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3C34" w:rsidRPr="00821096" w:rsidRDefault="00B53C34" w:rsidP="00B53C34">
      <w:pPr>
        <w:jc w:val="center"/>
        <w:rPr>
          <w:rFonts w:cs="Arial"/>
        </w:rPr>
      </w:pPr>
      <w:bookmarkStart w:id="0" w:name="_Hlk224944123"/>
      <w:bookmarkEnd w:id="0"/>
      <w:r w:rsidRPr="00821096">
        <w:rPr>
          <w:rFonts w:cs="Arial"/>
          <w:noProof/>
        </w:rPr>
        <w:drawing>
          <wp:inline distT="0" distB="0" distL="0" distR="0" wp14:anchorId="20143633" wp14:editId="426FF9D3">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Pr="00821096">
        <w:rPr>
          <w:rFonts w:cs="Arial"/>
        </w:rPr>
        <w:fldChar w:fldCharType="begin"/>
      </w:r>
      <w:r w:rsidRPr="00821096">
        <w:rPr>
          <w:rFonts w:cs="Arial"/>
        </w:rPr>
        <w:instrText xml:space="preserve"> INCLUDEPICTURE "C:\\Users\\AzZedin01\\Library\\Group Containers\\UBF8T346G9.ms\\WebArchiveCopyPasteTempFiles\\com.microsoft.Word\\8P2xdp3q1g646AAAAAElFTkSuQmCC" \* MERGEFORMAT </w:instrText>
      </w:r>
      <w:r w:rsidRPr="00821096">
        <w:rPr>
          <w:rFonts w:cs="Arial"/>
        </w:rPr>
        <w:fldChar w:fldCharType="end"/>
      </w:r>
    </w:p>
    <w:p w:rsidR="00B53C34" w:rsidRPr="00821096" w:rsidRDefault="00B53C34" w:rsidP="00B53C34">
      <w:pPr>
        <w:rPr>
          <w:rFonts w:cs="Arial"/>
        </w:rPr>
      </w:pPr>
    </w:p>
    <w:p w:rsidR="00B53C34" w:rsidRPr="00821096" w:rsidRDefault="00B53C34" w:rsidP="00B53C34">
      <w:pPr>
        <w:jc w:val="center"/>
        <w:rPr>
          <w:rFonts w:cs="Arial"/>
        </w:rPr>
      </w:pPr>
    </w:p>
    <w:p w:rsidR="00B53C34" w:rsidRPr="00821096" w:rsidRDefault="00B53C34" w:rsidP="00B53C34">
      <w:pPr>
        <w:jc w:val="center"/>
        <w:rPr>
          <w:rFonts w:cs="Arial"/>
          <w:b/>
          <w:bCs/>
          <w:sz w:val="28"/>
          <w:szCs w:val="28"/>
        </w:rPr>
      </w:pPr>
      <w:r w:rsidRPr="00821096">
        <w:rPr>
          <w:rFonts w:cs="Arial"/>
          <w:b/>
          <w:bCs/>
          <w:sz w:val="28"/>
          <w:szCs w:val="28"/>
        </w:rPr>
        <w:t xml:space="preserve">Student Name: </w:t>
      </w:r>
      <w:proofErr w:type="spellStart"/>
      <w:r w:rsidR="00302B8B" w:rsidRPr="00302B8B">
        <w:rPr>
          <w:rFonts w:cs="Arial"/>
          <w:b/>
          <w:bCs/>
          <w:sz w:val="28"/>
          <w:szCs w:val="28"/>
        </w:rPr>
        <w:t>Tahmina</w:t>
      </w:r>
      <w:proofErr w:type="spellEnd"/>
      <w:r w:rsidR="00302B8B" w:rsidRPr="00302B8B">
        <w:rPr>
          <w:rFonts w:cs="Arial"/>
          <w:b/>
          <w:bCs/>
          <w:sz w:val="28"/>
          <w:szCs w:val="28"/>
        </w:rPr>
        <w:t xml:space="preserve"> </w:t>
      </w:r>
      <w:proofErr w:type="spellStart"/>
      <w:r w:rsidR="00302B8B" w:rsidRPr="00302B8B">
        <w:rPr>
          <w:rFonts w:cs="Arial"/>
          <w:b/>
          <w:bCs/>
          <w:sz w:val="28"/>
          <w:szCs w:val="28"/>
        </w:rPr>
        <w:t>Aktar</w:t>
      </w:r>
      <w:proofErr w:type="spellEnd"/>
    </w:p>
    <w:p w:rsidR="00B53C34" w:rsidRPr="00821096" w:rsidRDefault="00B53C34" w:rsidP="00B53C34">
      <w:pPr>
        <w:jc w:val="center"/>
        <w:rPr>
          <w:rFonts w:cs="Arial"/>
          <w:b/>
          <w:bCs/>
          <w:sz w:val="28"/>
          <w:szCs w:val="28"/>
        </w:rPr>
      </w:pPr>
      <w:r w:rsidRPr="00821096">
        <w:rPr>
          <w:rFonts w:cs="Arial"/>
          <w:b/>
          <w:bCs/>
          <w:sz w:val="28"/>
          <w:szCs w:val="28"/>
        </w:rPr>
        <w:t xml:space="preserve">Student ID: </w:t>
      </w:r>
      <w:r w:rsidR="00302B8B" w:rsidRPr="00302B8B">
        <w:rPr>
          <w:rFonts w:cs="Arial"/>
          <w:b/>
          <w:bCs/>
          <w:sz w:val="28"/>
          <w:szCs w:val="28"/>
        </w:rPr>
        <w:t>2508483</w:t>
      </w:r>
    </w:p>
    <w:p w:rsidR="00B53C34" w:rsidRPr="00821096" w:rsidRDefault="00B53C34" w:rsidP="00B53C34">
      <w:pPr>
        <w:rPr>
          <w:rFonts w:cs="Arial"/>
          <w:sz w:val="28"/>
          <w:szCs w:val="28"/>
        </w:rPr>
      </w:pPr>
      <w:bookmarkStart w:id="1" w:name="_GoBack"/>
      <w:bookmarkEnd w:id="1"/>
    </w:p>
    <w:p w:rsidR="00B53C34" w:rsidRPr="00821096" w:rsidRDefault="00B53C34" w:rsidP="00B53C34">
      <w:pPr>
        <w:jc w:val="center"/>
        <w:rPr>
          <w:rFonts w:cs="Arial"/>
          <w:b/>
          <w:bCs/>
          <w:sz w:val="28"/>
          <w:szCs w:val="28"/>
        </w:rPr>
      </w:pPr>
      <w:r w:rsidRPr="00821096">
        <w:rPr>
          <w:rFonts w:cs="Arial"/>
          <w:b/>
          <w:bCs/>
          <w:sz w:val="28"/>
          <w:szCs w:val="28"/>
        </w:rPr>
        <w:t>Module Name: Marketing Management</w:t>
      </w:r>
    </w:p>
    <w:p w:rsidR="00B53C34" w:rsidRPr="00821096" w:rsidRDefault="00B53C34" w:rsidP="00B53C34">
      <w:pPr>
        <w:jc w:val="center"/>
        <w:rPr>
          <w:rFonts w:cs="Arial"/>
          <w:b/>
          <w:bCs/>
          <w:sz w:val="28"/>
          <w:szCs w:val="28"/>
        </w:rPr>
      </w:pPr>
      <w:r w:rsidRPr="00821096">
        <w:rPr>
          <w:rFonts w:cs="Arial"/>
          <w:b/>
          <w:bCs/>
          <w:sz w:val="28"/>
          <w:szCs w:val="28"/>
        </w:rPr>
        <w:t>Module Code: LCMB7024</w:t>
      </w:r>
    </w:p>
    <w:p w:rsidR="00B53C34" w:rsidRPr="00821096" w:rsidRDefault="00B53C34" w:rsidP="00B53C34">
      <w:pPr>
        <w:rPr>
          <w:rFonts w:cs="Arial"/>
          <w:b/>
          <w:bCs/>
          <w:sz w:val="28"/>
          <w:szCs w:val="28"/>
        </w:rPr>
      </w:pPr>
    </w:p>
    <w:p w:rsidR="00B53C34" w:rsidRPr="00821096" w:rsidRDefault="00B53C34" w:rsidP="00B53C34">
      <w:pPr>
        <w:rPr>
          <w:rFonts w:cs="Arial"/>
          <w:b/>
          <w:bCs/>
          <w:sz w:val="28"/>
          <w:szCs w:val="28"/>
        </w:rPr>
      </w:pPr>
    </w:p>
    <w:p w:rsidR="00B53C34" w:rsidRPr="00821096" w:rsidRDefault="00B53C34" w:rsidP="00B53C34">
      <w:pPr>
        <w:jc w:val="center"/>
        <w:rPr>
          <w:rFonts w:cs="Arial"/>
          <w:b/>
          <w:bCs/>
          <w:sz w:val="28"/>
          <w:szCs w:val="28"/>
        </w:rPr>
      </w:pPr>
      <w:r w:rsidRPr="00821096">
        <w:rPr>
          <w:rFonts w:cs="Arial"/>
          <w:b/>
          <w:bCs/>
          <w:sz w:val="28"/>
          <w:szCs w:val="28"/>
        </w:rPr>
        <w:t>Lecturer’s Name:</w:t>
      </w:r>
      <w:r>
        <w:rPr>
          <w:rFonts w:cs="Arial"/>
          <w:b/>
          <w:bCs/>
          <w:sz w:val="28"/>
          <w:szCs w:val="28"/>
        </w:rPr>
        <w:t xml:space="preserve"> Dr </w:t>
      </w:r>
      <w:r w:rsidRPr="00AD439C">
        <w:rPr>
          <w:rFonts w:cs="Arial"/>
          <w:b/>
          <w:bCs/>
          <w:sz w:val="28"/>
          <w:szCs w:val="28"/>
        </w:rPr>
        <w:t xml:space="preserve">Laila </w:t>
      </w:r>
      <w:proofErr w:type="spellStart"/>
      <w:r w:rsidRPr="00AD439C">
        <w:rPr>
          <w:rFonts w:cs="Arial"/>
          <w:b/>
          <w:bCs/>
          <w:sz w:val="28"/>
          <w:szCs w:val="28"/>
        </w:rPr>
        <w:t>Maazouz</w:t>
      </w:r>
      <w:proofErr w:type="spellEnd"/>
    </w:p>
    <w:p w:rsidR="00B53C34" w:rsidRPr="00821096" w:rsidRDefault="00B53C34" w:rsidP="00B53C34">
      <w:pPr>
        <w:rPr>
          <w:rFonts w:cs="Arial"/>
          <w:b/>
          <w:bCs/>
          <w:sz w:val="28"/>
          <w:szCs w:val="28"/>
        </w:rPr>
      </w:pPr>
    </w:p>
    <w:p w:rsidR="00B53C34" w:rsidRPr="00821096" w:rsidRDefault="00B53C34" w:rsidP="00B53C34">
      <w:pPr>
        <w:rPr>
          <w:rFonts w:cs="Arial"/>
          <w:b/>
          <w:bCs/>
          <w:sz w:val="28"/>
          <w:szCs w:val="28"/>
        </w:rPr>
      </w:pPr>
    </w:p>
    <w:p w:rsidR="00B53C34" w:rsidRPr="00821096" w:rsidRDefault="00B53C34" w:rsidP="00B53C34">
      <w:pPr>
        <w:jc w:val="center"/>
        <w:rPr>
          <w:rFonts w:cs="Arial"/>
          <w:b/>
          <w:bCs/>
          <w:sz w:val="28"/>
          <w:szCs w:val="28"/>
        </w:rPr>
      </w:pPr>
      <w:r w:rsidRPr="00821096">
        <w:rPr>
          <w:rFonts w:cs="Arial"/>
          <w:b/>
          <w:bCs/>
          <w:sz w:val="28"/>
          <w:szCs w:val="28"/>
        </w:rPr>
        <w:t>Work Count:</w:t>
      </w:r>
      <w:r>
        <w:rPr>
          <w:rFonts w:cs="Arial"/>
          <w:b/>
          <w:bCs/>
          <w:sz w:val="28"/>
          <w:szCs w:val="28"/>
        </w:rPr>
        <w:t xml:space="preserve"> 269</w:t>
      </w:r>
      <w:r w:rsidR="000518EA">
        <w:rPr>
          <w:rFonts w:cs="Arial"/>
          <w:b/>
          <w:bCs/>
          <w:sz w:val="28"/>
          <w:szCs w:val="28"/>
        </w:rPr>
        <w:t>7</w:t>
      </w:r>
    </w:p>
    <w:p w:rsidR="00B53C34" w:rsidRPr="00821096" w:rsidRDefault="00B53C34" w:rsidP="00B53C34">
      <w:pPr>
        <w:jc w:val="center"/>
        <w:rPr>
          <w:rFonts w:cs="Arial"/>
          <w:b/>
          <w:bCs/>
          <w:sz w:val="28"/>
          <w:szCs w:val="28"/>
        </w:rPr>
      </w:pPr>
    </w:p>
    <w:p w:rsidR="00B53C34" w:rsidRPr="00821096" w:rsidRDefault="00B53C34" w:rsidP="00B53C34">
      <w:pPr>
        <w:jc w:val="center"/>
        <w:rPr>
          <w:rFonts w:cs="Arial"/>
          <w:b/>
          <w:bCs/>
          <w:sz w:val="28"/>
          <w:szCs w:val="28"/>
        </w:rPr>
      </w:pPr>
    </w:p>
    <w:p w:rsidR="00B53C34" w:rsidRPr="00821096" w:rsidRDefault="00B53C34" w:rsidP="00B53C34">
      <w:pPr>
        <w:jc w:val="center"/>
        <w:rPr>
          <w:rFonts w:cs="Arial"/>
          <w:b/>
          <w:bCs/>
          <w:sz w:val="28"/>
          <w:szCs w:val="28"/>
        </w:rPr>
      </w:pPr>
    </w:p>
    <w:p w:rsidR="00B53C34" w:rsidRPr="00821096" w:rsidRDefault="00B53C34" w:rsidP="00B53C34">
      <w:pPr>
        <w:jc w:val="center"/>
        <w:rPr>
          <w:rFonts w:cs="Arial"/>
          <w:b/>
          <w:bCs/>
          <w:sz w:val="28"/>
          <w:szCs w:val="28"/>
        </w:rPr>
      </w:pPr>
      <w:r w:rsidRPr="00821096">
        <w:rPr>
          <w:rFonts w:cs="Arial"/>
          <w:b/>
          <w:bCs/>
          <w:sz w:val="28"/>
          <w:szCs w:val="28"/>
        </w:rPr>
        <w:t>Term 1</w:t>
      </w:r>
    </w:p>
    <w:p w:rsidR="00B53C34" w:rsidRPr="00821096" w:rsidRDefault="00B53C34" w:rsidP="00B53C34">
      <w:pPr>
        <w:pStyle w:val="NoSpacing"/>
        <w:rPr>
          <w:rFonts w:cs="Arial"/>
        </w:rPr>
      </w:pPr>
    </w:p>
    <w:p w:rsidR="00FF4A2C" w:rsidRDefault="00FF4A2C">
      <w:pPr>
        <w:spacing w:line="259" w:lineRule="auto"/>
        <w:jc w:val="left"/>
      </w:pPr>
    </w:p>
    <w:sdt>
      <w:sdtPr>
        <w:rPr>
          <w:rFonts w:ascii="Arial" w:eastAsiaTheme="minorHAnsi" w:hAnsi="Arial" w:cs="Arial"/>
          <w:color w:val="auto"/>
          <w:sz w:val="24"/>
          <w:szCs w:val="24"/>
        </w:rPr>
        <w:id w:val="256878211"/>
        <w:docPartObj>
          <w:docPartGallery w:val="Table of Contents"/>
          <w:docPartUnique/>
        </w:docPartObj>
      </w:sdtPr>
      <w:sdtEndPr>
        <w:rPr>
          <w:b/>
          <w:bCs/>
          <w:noProof/>
        </w:rPr>
      </w:sdtEndPr>
      <w:sdtContent>
        <w:p w:rsidR="00FF4A2C" w:rsidRPr="00F179D3" w:rsidRDefault="00FF4A2C" w:rsidP="00F179D3">
          <w:pPr>
            <w:pStyle w:val="TOCHeading"/>
            <w:spacing w:line="360" w:lineRule="auto"/>
            <w:jc w:val="both"/>
            <w:rPr>
              <w:rFonts w:ascii="Arial" w:hAnsi="Arial" w:cs="Arial"/>
              <w:sz w:val="24"/>
              <w:szCs w:val="24"/>
            </w:rPr>
          </w:pPr>
          <w:r w:rsidRPr="00F179D3">
            <w:rPr>
              <w:rFonts w:ascii="Arial" w:hAnsi="Arial" w:cs="Arial"/>
              <w:sz w:val="24"/>
              <w:szCs w:val="24"/>
            </w:rPr>
            <w:t>Table of Contents</w:t>
          </w:r>
        </w:p>
        <w:p w:rsidR="00B16947" w:rsidRPr="00F179D3" w:rsidRDefault="00FF4A2C" w:rsidP="00F179D3">
          <w:pPr>
            <w:pStyle w:val="TOC2"/>
            <w:tabs>
              <w:tab w:val="left" w:pos="880"/>
              <w:tab w:val="right" w:leader="dot" w:pos="9016"/>
            </w:tabs>
            <w:rPr>
              <w:rFonts w:eastAsiaTheme="minorEastAsia" w:cs="Arial"/>
              <w:noProof/>
              <w:szCs w:val="24"/>
            </w:rPr>
          </w:pPr>
          <w:r w:rsidRPr="00F179D3">
            <w:rPr>
              <w:rFonts w:cs="Arial"/>
              <w:szCs w:val="24"/>
            </w:rPr>
            <w:fldChar w:fldCharType="begin"/>
          </w:r>
          <w:r w:rsidRPr="00F179D3">
            <w:rPr>
              <w:rFonts w:cs="Arial"/>
              <w:szCs w:val="24"/>
            </w:rPr>
            <w:instrText xml:space="preserve"> TOC \o "1-3" \h \z \u </w:instrText>
          </w:r>
          <w:r w:rsidRPr="00F179D3">
            <w:rPr>
              <w:rFonts w:cs="Arial"/>
              <w:szCs w:val="24"/>
            </w:rPr>
            <w:fldChar w:fldCharType="separate"/>
          </w:r>
          <w:hyperlink w:anchor="_Toc224944431" w:history="1">
            <w:r w:rsidR="00B16947" w:rsidRPr="00F179D3">
              <w:rPr>
                <w:rStyle w:val="Hyperlink"/>
                <w:rFonts w:cs="Arial"/>
                <w:noProof/>
                <w:szCs w:val="24"/>
              </w:rPr>
              <w:t>1.</w:t>
            </w:r>
            <w:r w:rsidR="00B16947" w:rsidRPr="00F179D3">
              <w:rPr>
                <w:rFonts w:eastAsiaTheme="minorEastAsia" w:cs="Arial"/>
                <w:noProof/>
                <w:szCs w:val="24"/>
              </w:rPr>
              <w:tab/>
            </w:r>
            <w:r w:rsidR="00B16947" w:rsidRPr="00F179D3">
              <w:rPr>
                <w:rStyle w:val="Hyperlink"/>
                <w:rFonts w:cs="Arial"/>
                <w:noProof/>
                <w:szCs w:val="24"/>
              </w:rPr>
              <w:t>Introduction</w:t>
            </w:r>
            <w:r w:rsidR="00B16947" w:rsidRPr="00F179D3">
              <w:rPr>
                <w:rFonts w:cs="Arial"/>
                <w:noProof/>
                <w:webHidden/>
                <w:szCs w:val="24"/>
              </w:rPr>
              <w:tab/>
            </w:r>
            <w:r w:rsidR="00B16947" w:rsidRPr="00F179D3">
              <w:rPr>
                <w:rFonts w:cs="Arial"/>
                <w:noProof/>
                <w:webHidden/>
                <w:szCs w:val="24"/>
              </w:rPr>
              <w:fldChar w:fldCharType="begin"/>
            </w:r>
            <w:r w:rsidR="00B16947" w:rsidRPr="00F179D3">
              <w:rPr>
                <w:rFonts w:cs="Arial"/>
                <w:noProof/>
                <w:webHidden/>
                <w:szCs w:val="24"/>
              </w:rPr>
              <w:instrText xml:space="preserve"> PAGEREF _Toc224944431 \h </w:instrText>
            </w:r>
            <w:r w:rsidR="00B16947" w:rsidRPr="00F179D3">
              <w:rPr>
                <w:rFonts w:cs="Arial"/>
                <w:noProof/>
                <w:webHidden/>
                <w:szCs w:val="24"/>
              </w:rPr>
            </w:r>
            <w:r w:rsidR="00B16947" w:rsidRPr="00F179D3">
              <w:rPr>
                <w:rFonts w:cs="Arial"/>
                <w:noProof/>
                <w:webHidden/>
                <w:szCs w:val="24"/>
              </w:rPr>
              <w:fldChar w:fldCharType="separate"/>
            </w:r>
            <w:r w:rsidR="00F179D3">
              <w:rPr>
                <w:rFonts w:cs="Arial"/>
                <w:noProof/>
                <w:webHidden/>
                <w:szCs w:val="24"/>
              </w:rPr>
              <w:t>3</w:t>
            </w:r>
            <w:r w:rsidR="00B16947" w:rsidRPr="00F179D3">
              <w:rPr>
                <w:rFonts w:cs="Arial"/>
                <w:noProof/>
                <w:webHidden/>
                <w:szCs w:val="24"/>
              </w:rPr>
              <w:fldChar w:fldCharType="end"/>
            </w:r>
          </w:hyperlink>
        </w:p>
        <w:p w:rsidR="00B16947" w:rsidRPr="00F179D3" w:rsidRDefault="00005683" w:rsidP="00F179D3">
          <w:pPr>
            <w:pStyle w:val="TOC2"/>
            <w:tabs>
              <w:tab w:val="left" w:pos="880"/>
              <w:tab w:val="right" w:leader="dot" w:pos="9016"/>
            </w:tabs>
            <w:rPr>
              <w:rFonts w:eastAsiaTheme="minorEastAsia" w:cs="Arial"/>
              <w:noProof/>
              <w:szCs w:val="24"/>
            </w:rPr>
          </w:pPr>
          <w:hyperlink w:anchor="_Toc224944432" w:history="1">
            <w:r w:rsidR="00B16947" w:rsidRPr="00F179D3">
              <w:rPr>
                <w:rStyle w:val="Hyperlink"/>
                <w:rFonts w:eastAsia="Times New Roman" w:cs="Arial"/>
                <w:noProof/>
                <w:szCs w:val="24"/>
              </w:rPr>
              <w:t>2.</w:t>
            </w:r>
            <w:r w:rsidR="00B16947" w:rsidRPr="00F179D3">
              <w:rPr>
                <w:rFonts w:eastAsiaTheme="minorEastAsia" w:cs="Arial"/>
                <w:noProof/>
                <w:szCs w:val="24"/>
              </w:rPr>
              <w:tab/>
            </w:r>
            <w:r w:rsidR="00B16947" w:rsidRPr="00F179D3">
              <w:rPr>
                <w:rStyle w:val="Hyperlink"/>
                <w:rFonts w:eastAsia="Times New Roman" w:cs="Arial"/>
                <w:noProof/>
                <w:szCs w:val="24"/>
              </w:rPr>
              <w:t>Task 1: Critical Analysis of the Macro Marketing Environment</w:t>
            </w:r>
            <w:r w:rsidR="00B16947" w:rsidRPr="00F179D3">
              <w:rPr>
                <w:rFonts w:cs="Arial"/>
                <w:noProof/>
                <w:webHidden/>
                <w:szCs w:val="24"/>
              </w:rPr>
              <w:tab/>
            </w:r>
            <w:r w:rsidR="00B16947" w:rsidRPr="00F179D3">
              <w:rPr>
                <w:rFonts w:cs="Arial"/>
                <w:noProof/>
                <w:webHidden/>
                <w:szCs w:val="24"/>
              </w:rPr>
              <w:fldChar w:fldCharType="begin"/>
            </w:r>
            <w:r w:rsidR="00B16947" w:rsidRPr="00F179D3">
              <w:rPr>
                <w:rFonts w:cs="Arial"/>
                <w:noProof/>
                <w:webHidden/>
                <w:szCs w:val="24"/>
              </w:rPr>
              <w:instrText xml:space="preserve"> PAGEREF _Toc224944432 \h </w:instrText>
            </w:r>
            <w:r w:rsidR="00B16947" w:rsidRPr="00F179D3">
              <w:rPr>
                <w:rFonts w:cs="Arial"/>
                <w:noProof/>
                <w:webHidden/>
                <w:szCs w:val="24"/>
              </w:rPr>
            </w:r>
            <w:r w:rsidR="00B16947" w:rsidRPr="00F179D3">
              <w:rPr>
                <w:rFonts w:cs="Arial"/>
                <w:noProof/>
                <w:webHidden/>
                <w:szCs w:val="24"/>
              </w:rPr>
              <w:fldChar w:fldCharType="separate"/>
            </w:r>
            <w:r w:rsidR="00F179D3">
              <w:rPr>
                <w:rFonts w:cs="Arial"/>
                <w:noProof/>
                <w:webHidden/>
                <w:szCs w:val="24"/>
              </w:rPr>
              <w:t>4</w:t>
            </w:r>
            <w:r w:rsidR="00B16947" w:rsidRPr="00F179D3">
              <w:rPr>
                <w:rFonts w:cs="Arial"/>
                <w:noProof/>
                <w:webHidden/>
                <w:szCs w:val="24"/>
              </w:rPr>
              <w:fldChar w:fldCharType="end"/>
            </w:r>
          </w:hyperlink>
        </w:p>
        <w:p w:rsidR="00B16947" w:rsidRPr="00F179D3" w:rsidRDefault="00005683" w:rsidP="00F179D3">
          <w:pPr>
            <w:pStyle w:val="TOC2"/>
            <w:tabs>
              <w:tab w:val="right" w:leader="dot" w:pos="9016"/>
            </w:tabs>
            <w:rPr>
              <w:rFonts w:eastAsiaTheme="minorEastAsia" w:cs="Arial"/>
              <w:noProof/>
              <w:szCs w:val="24"/>
            </w:rPr>
          </w:pPr>
          <w:hyperlink w:anchor="_Toc224944433" w:history="1">
            <w:r w:rsidR="00B16947" w:rsidRPr="00F179D3">
              <w:rPr>
                <w:rStyle w:val="Hyperlink"/>
                <w:rFonts w:cs="Arial"/>
                <w:noProof/>
                <w:szCs w:val="24"/>
              </w:rPr>
              <w:t>2.1 Macro Marketing Environment</w:t>
            </w:r>
            <w:r w:rsidR="00B16947" w:rsidRPr="00F179D3">
              <w:rPr>
                <w:rFonts w:cs="Arial"/>
                <w:noProof/>
                <w:webHidden/>
                <w:szCs w:val="24"/>
              </w:rPr>
              <w:tab/>
            </w:r>
            <w:r w:rsidR="00B16947" w:rsidRPr="00F179D3">
              <w:rPr>
                <w:rFonts w:cs="Arial"/>
                <w:noProof/>
                <w:webHidden/>
                <w:szCs w:val="24"/>
              </w:rPr>
              <w:fldChar w:fldCharType="begin"/>
            </w:r>
            <w:r w:rsidR="00B16947" w:rsidRPr="00F179D3">
              <w:rPr>
                <w:rFonts w:cs="Arial"/>
                <w:noProof/>
                <w:webHidden/>
                <w:szCs w:val="24"/>
              </w:rPr>
              <w:instrText xml:space="preserve"> PAGEREF _Toc224944433 \h </w:instrText>
            </w:r>
            <w:r w:rsidR="00B16947" w:rsidRPr="00F179D3">
              <w:rPr>
                <w:rFonts w:cs="Arial"/>
                <w:noProof/>
                <w:webHidden/>
                <w:szCs w:val="24"/>
              </w:rPr>
            </w:r>
            <w:r w:rsidR="00B16947" w:rsidRPr="00F179D3">
              <w:rPr>
                <w:rFonts w:cs="Arial"/>
                <w:noProof/>
                <w:webHidden/>
                <w:szCs w:val="24"/>
              </w:rPr>
              <w:fldChar w:fldCharType="separate"/>
            </w:r>
            <w:r w:rsidR="00F179D3">
              <w:rPr>
                <w:rFonts w:cs="Arial"/>
                <w:noProof/>
                <w:webHidden/>
                <w:szCs w:val="24"/>
              </w:rPr>
              <w:t>4</w:t>
            </w:r>
            <w:r w:rsidR="00B16947" w:rsidRPr="00F179D3">
              <w:rPr>
                <w:rFonts w:cs="Arial"/>
                <w:noProof/>
                <w:webHidden/>
                <w:szCs w:val="24"/>
              </w:rPr>
              <w:fldChar w:fldCharType="end"/>
            </w:r>
          </w:hyperlink>
        </w:p>
        <w:p w:rsidR="00B16947" w:rsidRPr="00F179D3" w:rsidRDefault="00005683" w:rsidP="00F179D3">
          <w:pPr>
            <w:pStyle w:val="TOC2"/>
            <w:tabs>
              <w:tab w:val="right" w:leader="dot" w:pos="9016"/>
            </w:tabs>
            <w:rPr>
              <w:rFonts w:eastAsiaTheme="minorEastAsia" w:cs="Arial"/>
              <w:noProof/>
              <w:szCs w:val="24"/>
            </w:rPr>
          </w:pPr>
          <w:hyperlink w:anchor="_Toc224944434" w:history="1">
            <w:r w:rsidR="00B16947" w:rsidRPr="00F179D3">
              <w:rPr>
                <w:rStyle w:val="Hyperlink"/>
                <w:rFonts w:eastAsia="Times New Roman" w:cs="Arial"/>
                <w:noProof/>
                <w:szCs w:val="24"/>
              </w:rPr>
              <w:t>2.2 Analysis of Macro Factor 1: Technological Factors</w:t>
            </w:r>
            <w:r w:rsidR="00B16947" w:rsidRPr="00F179D3">
              <w:rPr>
                <w:rFonts w:cs="Arial"/>
                <w:noProof/>
                <w:webHidden/>
                <w:szCs w:val="24"/>
              </w:rPr>
              <w:tab/>
            </w:r>
            <w:r w:rsidR="00B16947" w:rsidRPr="00F179D3">
              <w:rPr>
                <w:rFonts w:cs="Arial"/>
                <w:noProof/>
                <w:webHidden/>
                <w:szCs w:val="24"/>
              </w:rPr>
              <w:fldChar w:fldCharType="begin"/>
            </w:r>
            <w:r w:rsidR="00B16947" w:rsidRPr="00F179D3">
              <w:rPr>
                <w:rFonts w:cs="Arial"/>
                <w:noProof/>
                <w:webHidden/>
                <w:szCs w:val="24"/>
              </w:rPr>
              <w:instrText xml:space="preserve"> PAGEREF _Toc224944434 \h </w:instrText>
            </w:r>
            <w:r w:rsidR="00B16947" w:rsidRPr="00F179D3">
              <w:rPr>
                <w:rFonts w:cs="Arial"/>
                <w:noProof/>
                <w:webHidden/>
                <w:szCs w:val="24"/>
              </w:rPr>
            </w:r>
            <w:r w:rsidR="00B16947" w:rsidRPr="00F179D3">
              <w:rPr>
                <w:rFonts w:cs="Arial"/>
                <w:noProof/>
                <w:webHidden/>
                <w:szCs w:val="24"/>
              </w:rPr>
              <w:fldChar w:fldCharType="separate"/>
            </w:r>
            <w:r w:rsidR="00F179D3">
              <w:rPr>
                <w:rFonts w:cs="Arial"/>
                <w:noProof/>
                <w:webHidden/>
                <w:szCs w:val="24"/>
              </w:rPr>
              <w:t>5</w:t>
            </w:r>
            <w:r w:rsidR="00B16947" w:rsidRPr="00F179D3">
              <w:rPr>
                <w:rFonts w:cs="Arial"/>
                <w:noProof/>
                <w:webHidden/>
                <w:szCs w:val="24"/>
              </w:rPr>
              <w:fldChar w:fldCharType="end"/>
            </w:r>
          </w:hyperlink>
        </w:p>
        <w:p w:rsidR="00B16947" w:rsidRPr="00F179D3" w:rsidRDefault="00005683" w:rsidP="00F179D3">
          <w:pPr>
            <w:pStyle w:val="TOC2"/>
            <w:tabs>
              <w:tab w:val="right" w:leader="dot" w:pos="9016"/>
            </w:tabs>
            <w:rPr>
              <w:rFonts w:eastAsiaTheme="minorEastAsia" w:cs="Arial"/>
              <w:noProof/>
              <w:szCs w:val="24"/>
            </w:rPr>
          </w:pPr>
          <w:hyperlink w:anchor="_Toc224944435" w:history="1">
            <w:r w:rsidR="00B16947" w:rsidRPr="00F179D3">
              <w:rPr>
                <w:rStyle w:val="Hyperlink"/>
                <w:rFonts w:eastAsia="Times New Roman" w:cs="Arial"/>
                <w:noProof/>
                <w:szCs w:val="24"/>
              </w:rPr>
              <w:t>2.2.1 Impact on the Pioneer Organisation (Apple Inc.)</w:t>
            </w:r>
            <w:r w:rsidR="00B16947" w:rsidRPr="00F179D3">
              <w:rPr>
                <w:rFonts w:cs="Arial"/>
                <w:noProof/>
                <w:webHidden/>
                <w:szCs w:val="24"/>
              </w:rPr>
              <w:tab/>
            </w:r>
            <w:r w:rsidR="00B16947" w:rsidRPr="00F179D3">
              <w:rPr>
                <w:rFonts w:cs="Arial"/>
                <w:noProof/>
                <w:webHidden/>
                <w:szCs w:val="24"/>
              </w:rPr>
              <w:fldChar w:fldCharType="begin"/>
            </w:r>
            <w:r w:rsidR="00B16947" w:rsidRPr="00F179D3">
              <w:rPr>
                <w:rFonts w:cs="Arial"/>
                <w:noProof/>
                <w:webHidden/>
                <w:szCs w:val="24"/>
              </w:rPr>
              <w:instrText xml:space="preserve"> PAGEREF _Toc224944435 \h </w:instrText>
            </w:r>
            <w:r w:rsidR="00B16947" w:rsidRPr="00F179D3">
              <w:rPr>
                <w:rFonts w:cs="Arial"/>
                <w:noProof/>
                <w:webHidden/>
                <w:szCs w:val="24"/>
              </w:rPr>
            </w:r>
            <w:r w:rsidR="00B16947" w:rsidRPr="00F179D3">
              <w:rPr>
                <w:rFonts w:cs="Arial"/>
                <w:noProof/>
                <w:webHidden/>
                <w:szCs w:val="24"/>
              </w:rPr>
              <w:fldChar w:fldCharType="separate"/>
            </w:r>
            <w:r w:rsidR="00F179D3">
              <w:rPr>
                <w:rFonts w:cs="Arial"/>
                <w:noProof/>
                <w:webHidden/>
                <w:szCs w:val="24"/>
              </w:rPr>
              <w:t>5</w:t>
            </w:r>
            <w:r w:rsidR="00B16947" w:rsidRPr="00F179D3">
              <w:rPr>
                <w:rFonts w:cs="Arial"/>
                <w:noProof/>
                <w:webHidden/>
                <w:szCs w:val="24"/>
              </w:rPr>
              <w:fldChar w:fldCharType="end"/>
            </w:r>
          </w:hyperlink>
        </w:p>
        <w:p w:rsidR="00B16947" w:rsidRPr="00F179D3" w:rsidRDefault="00005683" w:rsidP="00F179D3">
          <w:pPr>
            <w:pStyle w:val="TOC2"/>
            <w:tabs>
              <w:tab w:val="right" w:leader="dot" w:pos="9016"/>
            </w:tabs>
            <w:rPr>
              <w:rFonts w:eastAsiaTheme="minorEastAsia" w:cs="Arial"/>
              <w:noProof/>
              <w:szCs w:val="24"/>
            </w:rPr>
          </w:pPr>
          <w:hyperlink w:anchor="_Toc224944436" w:history="1">
            <w:r w:rsidR="00B16947" w:rsidRPr="00F179D3">
              <w:rPr>
                <w:rStyle w:val="Hyperlink"/>
                <w:rFonts w:cs="Arial"/>
                <w:noProof/>
                <w:szCs w:val="24"/>
              </w:rPr>
              <w:t>2.2.2 Impact on the Follower Organisation (Xiaomi Corporation)</w:t>
            </w:r>
            <w:r w:rsidR="00B16947" w:rsidRPr="00F179D3">
              <w:rPr>
                <w:rFonts w:cs="Arial"/>
                <w:noProof/>
                <w:webHidden/>
                <w:szCs w:val="24"/>
              </w:rPr>
              <w:tab/>
            </w:r>
            <w:r w:rsidR="00B16947" w:rsidRPr="00F179D3">
              <w:rPr>
                <w:rFonts w:cs="Arial"/>
                <w:noProof/>
                <w:webHidden/>
                <w:szCs w:val="24"/>
              </w:rPr>
              <w:fldChar w:fldCharType="begin"/>
            </w:r>
            <w:r w:rsidR="00B16947" w:rsidRPr="00F179D3">
              <w:rPr>
                <w:rFonts w:cs="Arial"/>
                <w:noProof/>
                <w:webHidden/>
                <w:szCs w:val="24"/>
              </w:rPr>
              <w:instrText xml:space="preserve"> PAGEREF _Toc224944436 \h </w:instrText>
            </w:r>
            <w:r w:rsidR="00B16947" w:rsidRPr="00F179D3">
              <w:rPr>
                <w:rFonts w:cs="Arial"/>
                <w:noProof/>
                <w:webHidden/>
                <w:szCs w:val="24"/>
              </w:rPr>
            </w:r>
            <w:r w:rsidR="00B16947" w:rsidRPr="00F179D3">
              <w:rPr>
                <w:rFonts w:cs="Arial"/>
                <w:noProof/>
                <w:webHidden/>
                <w:szCs w:val="24"/>
              </w:rPr>
              <w:fldChar w:fldCharType="separate"/>
            </w:r>
            <w:r w:rsidR="00F179D3">
              <w:rPr>
                <w:rFonts w:cs="Arial"/>
                <w:noProof/>
                <w:webHidden/>
                <w:szCs w:val="24"/>
              </w:rPr>
              <w:t>5</w:t>
            </w:r>
            <w:r w:rsidR="00B16947" w:rsidRPr="00F179D3">
              <w:rPr>
                <w:rFonts w:cs="Arial"/>
                <w:noProof/>
                <w:webHidden/>
                <w:szCs w:val="24"/>
              </w:rPr>
              <w:fldChar w:fldCharType="end"/>
            </w:r>
          </w:hyperlink>
        </w:p>
        <w:p w:rsidR="00B16947" w:rsidRPr="00F179D3" w:rsidRDefault="00005683" w:rsidP="00F179D3">
          <w:pPr>
            <w:pStyle w:val="TOC2"/>
            <w:tabs>
              <w:tab w:val="right" w:leader="dot" w:pos="9016"/>
            </w:tabs>
            <w:rPr>
              <w:rFonts w:eastAsiaTheme="minorEastAsia" w:cs="Arial"/>
              <w:noProof/>
              <w:szCs w:val="24"/>
            </w:rPr>
          </w:pPr>
          <w:hyperlink w:anchor="_Toc224944437" w:history="1">
            <w:r w:rsidR="00B16947" w:rsidRPr="00F179D3">
              <w:rPr>
                <w:rStyle w:val="Hyperlink"/>
                <w:rFonts w:eastAsia="Times New Roman" w:cs="Arial"/>
                <w:noProof/>
                <w:szCs w:val="24"/>
              </w:rPr>
              <w:t>2.3 Analysis of Macro Factor 2: Economic Factors</w:t>
            </w:r>
            <w:r w:rsidR="00B16947" w:rsidRPr="00F179D3">
              <w:rPr>
                <w:rFonts w:cs="Arial"/>
                <w:noProof/>
                <w:webHidden/>
                <w:szCs w:val="24"/>
              </w:rPr>
              <w:tab/>
            </w:r>
            <w:r w:rsidR="00B16947" w:rsidRPr="00F179D3">
              <w:rPr>
                <w:rFonts w:cs="Arial"/>
                <w:noProof/>
                <w:webHidden/>
                <w:szCs w:val="24"/>
              </w:rPr>
              <w:fldChar w:fldCharType="begin"/>
            </w:r>
            <w:r w:rsidR="00B16947" w:rsidRPr="00F179D3">
              <w:rPr>
                <w:rFonts w:cs="Arial"/>
                <w:noProof/>
                <w:webHidden/>
                <w:szCs w:val="24"/>
              </w:rPr>
              <w:instrText xml:space="preserve"> PAGEREF _Toc224944437 \h </w:instrText>
            </w:r>
            <w:r w:rsidR="00B16947" w:rsidRPr="00F179D3">
              <w:rPr>
                <w:rFonts w:cs="Arial"/>
                <w:noProof/>
                <w:webHidden/>
                <w:szCs w:val="24"/>
              </w:rPr>
            </w:r>
            <w:r w:rsidR="00B16947" w:rsidRPr="00F179D3">
              <w:rPr>
                <w:rFonts w:cs="Arial"/>
                <w:noProof/>
                <w:webHidden/>
                <w:szCs w:val="24"/>
              </w:rPr>
              <w:fldChar w:fldCharType="separate"/>
            </w:r>
            <w:r w:rsidR="00F179D3">
              <w:rPr>
                <w:rFonts w:cs="Arial"/>
                <w:noProof/>
                <w:webHidden/>
                <w:szCs w:val="24"/>
              </w:rPr>
              <w:t>6</w:t>
            </w:r>
            <w:r w:rsidR="00B16947" w:rsidRPr="00F179D3">
              <w:rPr>
                <w:rFonts w:cs="Arial"/>
                <w:noProof/>
                <w:webHidden/>
                <w:szCs w:val="24"/>
              </w:rPr>
              <w:fldChar w:fldCharType="end"/>
            </w:r>
          </w:hyperlink>
        </w:p>
        <w:p w:rsidR="00B16947" w:rsidRPr="00F179D3" w:rsidRDefault="00005683" w:rsidP="00F179D3">
          <w:pPr>
            <w:pStyle w:val="TOC2"/>
            <w:tabs>
              <w:tab w:val="right" w:leader="dot" w:pos="9016"/>
            </w:tabs>
            <w:rPr>
              <w:rFonts w:eastAsiaTheme="minorEastAsia" w:cs="Arial"/>
              <w:noProof/>
              <w:szCs w:val="24"/>
            </w:rPr>
          </w:pPr>
          <w:hyperlink w:anchor="_Toc224944438" w:history="1">
            <w:r w:rsidR="00B16947" w:rsidRPr="00F179D3">
              <w:rPr>
                <w:rStyle w:val="Hyperlink"/>
                <w:rFonts w:eastAsia="Times New Roman" w:cs="Arial"/>
                <w:noProof/>
                <w:szCs w:val="24"/>
              </w:rPr>
              <w:t>2.3.1 Impact on the Pioneer Organisation (Apple Inc.)</w:t>
            </w:r>
            <w:r w:rsidR="00B16947" w:rsidRPr="00F179D3">
              <w:rPr>
                <w:rFonts w:cs="Arial"/>
                <w:noProof/>
                <w:webHidden/>
                <w:szCs w:val="24"/>
              </w:rPr>
              <w:tab/>
            </w:r>
            <w:r w:rsidR="00B16947" w:rsidRPr="00F179D3">
              <w:rPr>
                <w:rFonts w:cs="Arial"/>
                <w:noProof/>
                <w:webHidden/>
                <w:szCs w:val="24"/>
              </w:rPr>
              <w:fldChar w:fldCharType="begin"/>
            </w:r>
            <w:r w:rsidR="00B16947" w:rsidRPr="00F179D3">
              <w:rPr>
                <w:rFonts w:cs="Arial"/>
                <w:noProof/>
                <w:webHidden/>
                <w:szCs w:val="24"/>
              </w:rPr>
              <w:instrText xml:space="preserve"> PAGEREF _Toc224944438 \h </w:instrText>
            </w:r>
            <w:r w:rsidR="00B16947" w:rsidRPr="00F179D3">
              <w:rPr>
                <w:rFonts w:cs="Arial"/>
                <w:noProof/>
                <w:webHidden/>
                <w:szCs w:val="24"/>
              </w:rPr>
            </w:r>
            <w:r w:rsidR="00B16947" w:rsidRPr="00F179D3">
              <w:rPr>
                <w:rFonts w:cs="Arial"/>
                <w:noProof/>
                <w:webHidden/>
                <w:szCs w:val="24"/>
              </w:rPr>
              <w:fldChar w:fldCharType="separate"/>
            </w:r>
            <w:r w:rsidR="00F179D3">
              <w:rPr>
                <w:rFonts w:cs="Arial"/>
                <w:noProof/>
                <w:webHidden/>
                <w:szCs w:val="24"/>
              </w:rPr>
              <w:t>6</w:t>
            </w:r>
            <w:r w:rsidR="00B16947" w:rsidRPr="00F179D3">
              <w:rPr>
                <w:rFonts w:cs="Arial"/>
                <w:noProof/>
                <w:webHidden/>
                <w:szCs w:val="24"/>
              </w:rPr>
              <w:fldChar w:fldCharType="end"/>
            </w:r>
          </w:hyperlink>
        </w:p>
        <w:p w:rsidR="00B16947" w:rsidRPr="00F179D3" w:rsidRDefault="00005683" w:rsidP="00F179D3">
          <w:pPr>
            <w:pStyle w:val="TOC2"/>
            <w:tabs>
              <w:tab w:val="right" w:leader="dot" w:pos="9016"/>
            </w:tabs>
            <w:rPr>
              <w:rFonts w:eastAsiaTheme="minorEastAsia" w:cs="Arial"/>
              <w:noProof/>
              <w:szCs w:val="24"/>
            </w:rPr>
          </w:pPr>
          <w:hyperlink w:anchor="_Toc224944439" w:history="1">
            <w:r w:rsidR="00B16947" w:rsidRPr="00F179D3">
              <w:rPr>
                <w:rStyle w:val="Hyperlink"/>
                <w:rFonts w:eastAsia="Times New Roman" w:cs="Arial"/>
                <w:noProof/>
                <w:szCs w:val="24"/>
              </w:rPr>
              <w:t>2.3.2 Impact on the Follower Organisation (Xiaomi Corporation)</w:t>
            </w:r>
            <w:r w:rsidR="00B16947" w:rsidRPr="00F179D3">
              <w:rPr>
                <w:rFonts w:cs="Arial"/>
                <w:noProof/>
                <w:webHidden/>
                <w:szCs w:val="24"/>
              </w:rPr>
              <w:tab/>
            </w:r>
            <w:r w:rsidR="00B16947" w:rsidRPr="00F179D3">
              <w:rPr>
                <w:rFonts w:cs="Arial"/>
                <w:noProof/>
                <w:webHidden/>
                <w:szCs w:val="24"/>
              </w:rPr>
              <w:fldChar w:fldCharType="begin"/>
            </w:r>
            <w:r w:rsidR="00B16947" w:rsidRPr="00F179D3">
              <w:rPr>
                <w:rFonts w:cs="Arial"/>
                <w:noProof/>
                <w:webHidden/>
                <w:szCs w:val="24"/>
              </w:rPr>
              <w:instrText xml:space="preserve"> PAGEREF _Toc224944439 \h </w:instrText>
            </w:r>
            <w:r w:rsidR="00B16947" w:rsidRPr="00F179D3">
              <w:rPr>
                <w:rFonts w:cs="Arial"/>
                <w:noProof/>
                <w:webHidden/>
                <w:szCs w:val="24"/>
              </w:rPr>
            </w:r>
            <w:r w:rsidR="00B16947" w:rsidRPr="00F179D3">
              <w:rPr>
                <w:rFonts w:cs="Arial"/>
                <w:noProof/>
                <w:webHidden/>
                <w:szCs w:val="24"/>
              </w:rPr>
              <w:fldChar w:fldCharType="separate"/>
            </w:r>
            <w:r w:rsidR="00F179D3">
              <w:rPr>
                <w:rFonts w:cs="Arial"/>
                <w:noProof/>
                <w:webHidden/>
                <w:szCs w:val="24"/>
              </w:rPr>
              <w:t>7</w:t>
            </w:r>
            <w:r w:rsidR="00B16947" w:rsidRPr="00F179D3">
              <w:rPr>
                <w:rFonts w:cs="Arial"/>
                <w:noProof/>
                <w:webHidden/>
                <w:szCs w:val="24"/>
              </w:rPr>
              <w:fldChar w:fldCharType="end"/>
            </w:r>
          </w:hyperlink>
        </w:p>
        <w:p w:rsidR="00B16947" w:rsidRPr="00F179D3" w:rsidRDefault="00005683" w:rsidP="00F179D3">
          <w:pPr>
            <w:pStyle w:val="TOC2"/>
            <w:tabs>
              <w:tab w:val="right" w:leader="dot" w:pos="9016"/>
            </w:tabs>
            <w:rPr>
              <w:rFonts w:eastAsiaTheme="minorEastAsia" w:cs="Arial"/>
              <w:noProof/>
              <w:szCs w:val="24"/>
            </w:rPr>
          </w:pPr>
          <w:hyperlink w:anchor="_Toc224944440" w:history="1">
            <w:r w:rsidR="00B16947" w:rsidRPr="00F179D3">
              <w:rPr>
                <w:rStyle w:val="Hyperlink"/>
                <w:rFonts w:eastAsia="Times New Roman" w:cs="Arial"/>
                <w:noProof/>
                <w:szCs w:val="24"/>
              </w:rPr>
              <w:t>3. Task 2: Strategic Responses of Pioneering and Follower Organisations</w:t>
            </w:r>
            <w:r w:rsidR="00B16947" w:rsidRPr="00F179D3">
              <w:rPr>
                <w:rFonts w:cs="Arial"/>
                <w:noProof/>
                <w:webHidden/>
                <w:szCs w:val="24"/>
              </w:rPr>
              <w:tab/>
            </w:r>
            <w:r w:rsidR="00B16947" w:rsidRPr="00F179D3">
              <w:rPr>
                <w:rFonts w:cs="Arial"/>
                <w:noProof/>
                <w:webHidden/>
                <w:szCs w:val="24"/>
              </w:rPr>
              <w:fldChar w:fldCharType="begin"/>
            </w:r>
            <w:r w:rsidR="00B16947" w:rsidRPr="00F179D3">
              <w:rPr>
                <w:rFonts w:cs="Arial"/>
                <w:noProof/>
                <w:webHidden/>
                <w:szCs w:val="24"/>
              </w:rPr>
              <w:instrText xml:space="preserve"> PAGEREF _Toc224944440 \h </w:instrText>
            </w:r>
            <w:r w:rsidR="00B16947" w:rsidRPr="00F179D3">
              <w:rPr>
                <w:rFonts w:cs="Arial"/>
                <w:noProof/>
                <w:webHidden/>
                <w:szCs w:val="24"/>
              </w:rPr>
            </w:r>
            <w:r w:rsidR="00B16947" w:rsidRPr="00F179D3">
              <w:rPr>
                <w:rFonts w:cs="Arial"/>
                <w:noProof/>
                <w:webHidden/>
                <w:szCs w:val="24"/>
              </w:rPr>
              <w:fldChar w:fldCharType="separate"/>
            </w:r>
            <w:r w:rsidR="00F179D3">
              <w:rPr>
                <w:rFonts w:cs="Arial"/>
                <w:noProof/>
                <w:webHidden/>
                <w:szCs w:val="24"/>
              </w:rPr>
              <w:t>9</w:t>
            </w:r>
            <w:r w:rsidR="00B16947" w:rsidRPr="00F179D3">
              <w:rPr>
                <w:rFonts w:cs="Arial"/>
                <w:noProof/>
                <w:webHidden/>
                <w:szCs w:val="24"/>
              </w:rPr>
              <w:fldChar w:fldCharType="end"/>
            </w:r>
          </w:hyperlink>
        </w:p>
        <w:p w:rsidR="00B16947" w:rsidRPr="00F179D3" w:rsidRDefault="00005683" w:rsidP="00F179D3">
          <w:pPr>
            <w:pStyle w:val="TOC2"/>
            <w:tabs>
              <w:tab w:val="right" w:leader="dot" w:pos="9016"/>
            </w:tabs>
            <w:rPr>
              <w:rFonts w:eastAsiaTheme="minorEastAsia" w:cs="Arial"/>
              <w:noProof/>
              <w:szCs w:val="24"/>
            </w:rPr>
          </w:pPr>
          <w:hyperlink w:anchor="_Toc224944441" w:history="1">
            <w:r w:rsidR="00B16947" w:rsidRPr="00F179D3">
              <w:rPr>
                <w:rStyle w:val="Hyperlink"/>
                <w:rFonts w:eastAsia="Times New Roman" w:cs="Arial"/>
                <w:noProof/>
                <w:szCs w:val="24"/>
              </w:rPr>
              <w:t>3.1 Pioneering Organisation’s Strategic Responses (Apple Inc.)</w:t>
            </w:r>
            <w:r w:rsidR="00B16947" w:rsidRPr="00F179D3">
              <w:rPr>
                <w:rFonts w:cs="Arial"/>
                <w:noProof/>
                <w:webHidden/>
                <w:szCs w:val="24"/>
              </w:rPr>
              <w:tab/>
            </w:r>
            <w:r w:rsidR="00B16947" w:rsidRPr="00F179D3">
              <w:rPr>
                <w:rFonts w:cs="Arial"/>
                <w:noProof/>
                <w:webHidden/>
                <w:szCs w:val="24"/>
              </w:rPr>
              <w:fldChar w:fldCharType="begin"/>
            </w:r>
            <w:r w:rsidR="00B16947" w:rsidRPr="00F179D3">
              <w:rPr>
                <w:rFonts w:cs="Arial"/>
                <w:noProof/>
                <w:webHidden/>
                <w:szCs w:val="24"/>
              </w:rPr>
              <w:instrText xml:space="preserve"> PAGEREF _Toc224944441 \h </w:instrText>
            </w:r>
            <w:r w:rsidR="00B16947" w:rsidRPr="00F179D3">
              <w:rPr>
                <w:rFonts w:cs="Arial"/>
                <w:noProof/>
                <w:webHidden/>
                <w:szCs w:val="24"/>
              </w:rPr>
            </w:r>
            <w:r w:rsidR="00B16947" w:rsidRPr="00F179D3">
              <w:rPr>
                <w:rFonts w:cs="Arial"/>
                <w:noProof/>
                <w:webHidden/>
                <w:szCs w:val="24"/>
              </w:rPr>
              <w:fldChar w:fldCharType="separate"/>
            </w:r>
            <w:r w:rsidR="00F179D3">
              <w:rPr>
                <w:rFonts w:cs="Arial"/>
                <w:noProof/>
                <w:webHidden/>
                <w:szCs w:val="24"/>
              </w:rPr>
              <w:t>9</w:t>
            </w:r>
            <w:r w:rsidR="00B16947" w:rsidRPr="00F179D3">
              <w:rPr>
                <w:rFonts w:cs="Arial"/>
                <w:noProof/>
                <w:webHidden/>
                <w:szCs w:val="24"/>
              </w:rPr>
              <w:fldChar w:fldCharType="end"/>
            </w:r>
          </w:hyperlink>
        </w:p>
        <w:p w:rsidR="00B16947" w:rsidRPr="00F179D3" w:rsidRDefault="00005683" w:rsidP="00F179D3">
          <w:pPr>
            <w:pStyle w:val="TOC2"/>
            <w:tabs>
              <w:tab w:val="right" w:leader="dot" w:pos="9016"/>
            </w:tabs>
            <w:rPr>
              <w:rFonts w:eastAsiaTheme="minorEastAsia" w:cs="Arial"/>
              <w:noProof/>
              <w:szCs w:val="24"/>
            </w:rPr>
          </w:pPr>
          <w:hyperlink w:anchor="_Toc224944442" w:history="1">
            <w:r w:rsidR="00B16947" w:rsidRPr="00F179D3">
              <w:rPr>
                <w:rStyle w:val="Hyperlink"/>
                <w:rFonts w:eastAsia="Times New Roman" w:cs="Arial"/>
                <w:noProof/>
                <w:szCs w:val="24"/>
              </w:rPr>
              <w:t>3.2 Follower Organisation’s Strategic Responses (Xiaomi Corporation)</w:t>
            </w:r>
            <w:r w:rsidR="00B16947" w:rsidRPr="00F179D3">
              <w:rPr>
                <w:rFonts w:cs="Arial"/>
                <w:noProof/>
                <w:webHidden/>
                <w:szCs w:val="24"/>
              </w:rPr>
              <w:tab/>
            </w:r>
            <w:r w:rsidR="00B16947" w:rsidRPr="00F179D3">
              <w:rPr>
                <w:rFonts w:cs="Arial"/>
                <w:noProof/>
                <w:webHidden/>
                <w:szCs w:val="24"/>
              </w:rPr>
              <w:fldChar w:fldCharType="begin"/>
            </w:r>
            <w:r w:rsidR="00B16947" w:rsidRPr="00F179D3">
              <w:rPr>
                <w:rFonts w:cs="Arial"/>
                <w:noProof/>
                <w:webHidden/>
                <w:szCs w:val="24"/>
              </w:rPr>
              <w:instrText xml:space="preserve"> PAGEREF _Toc224944442 \h </w:instrText>
            </w:r>
            <w:r w:rsidR="00B16947" w:rsidRPr="00F179D3">
              <w:rPr>
                <w:rFonts w:cs="Arial"/>
                <w:noProof/>
                <w:webHidden/>
                <w:szCs w:val="24"/>
              </w:rPr>
            </w:r>
            <w:r w:rsidR="00B16947" w:rsidRPr="00F179D3">
              <w:rPr>
                <w:rFonts w:cs="Arial"/>
                <w:noProof/>
                <w:webHidden/>
                <w:szCs w:val="24"/>
              </w:rPr>
              <w:fldChar w:fldCharType="separate"/>
            </w:r>
            <w:r w:rsidR="00F179D3">
              <w:rPr>
                <w:rFonts w:cs="Arial"/>
                <w:noProof/>
                <w:webHidden/>
                <w:szCs w:val="24"/>
              </w:rPr>
              <w:t>10</w:t>
            </w:r>
            <w:r w:rsidR="00B16947" w:rsidRPr="00F179D3">
              <w:rPr>
                <w:rFonts w:cs="Arial"/>
                <w:noProof/>
                <w:webHidden/>
                <w:szCs w:val="24"/>
              </w:rPr>
              <w:fldChar w:fldCharType="end"/>
            </w:r>
          </w:hyperlink>
        </w:p>
        <w:p w:rsidR="00B16947" w:rsidRPr="00F179D3" w:rsidRDefault="00005683" w:rsidP="00F179D3">
          <w:pPr>
            <w:pStyle w:val="TOC2"/>
            <w:tabs>
              <w:tab w:val="right" w:leader="dot" w:pos="9016"/>
            </w:tabs>
            <w:rPr>
              <w:rFonts w:eastAsiaTheme="minorEastAsia" w:cs="Arial"/>
              <w:noProof/>
              <w:szCs w:val="24"/>
            </w:rPr>
          </w:pPr>
          <w:hyperlink w:anchor="_Toc224944443" w:history="1">
            <w:r w:rsidR="00B16947" w:rsidRPr="00F179D3">
              <w:rPr>
                <w:rStyle w:val="Hyperlink"/>
                <w:rFonts w:cs="Arial"/>
                <w:bCs/>
                <w:noProof/>
                <w:szCs w:val="24"/>
              </w:rPr>
              <w:t>4. Conclusion</w:t>
            </w:r>
            <w:r w:rsidR="00B16947" w:rsidRPr="00F179D3">
              <w:rPr>
                <w:rFonts w:cs="Arial"/>
                <w:noProof/>
                <w:webHidden/>
                <w:szCs w:val="24"/>
              </w:rPr>
              <w:tab/>
            </w:r>
            <w:r w:rsidR="00B16947" w:rsidRPr="00F179D3">
              <w:rPr>
                <w:rFonts w:cs="Arial"/>
                <w:noProof/>
                <w:webHidden/>
                <w:szCs w:val="24"/>
              </w:rPr>
              <w:fldChar w:fldCharType="begin"/>
            </w:r>
            <w:r w:rsidR="00B16947" w:rsidRPr="00F179D3">
              <w:rPr>
                <w:rFonts w:cs="Arial"/>
                <w:noProof/>
                <w:webHidden/>
                <w:szCs w:val="24"/>
              </w:rPr>
              <w:instrText xml:space="preserve"> PAGEREF _Toc224944443 \h </w:instrText>
            </w:r>
            <w:r w:rsidR="00B16947" w:rsidRPr="00F179D3">
              <w:rPr>
                <w:rFonts w:cs="Arial"/>
                <w:noProof/>
                <w:webHidden/>
                <w:szCs w:val="24"/>
              </w:rPr>
            </w:r>
            <w:r w:rsidR="00B16947" w:rsidRPr="00F179D3">
              <w:rPr>
                <w:rFonts w:cs="Arial"/>
                <w:noProof/>
                <w:webHidden/>
                <w:szCs w:val="24"/>
              </w:rPr>
              <w:fldChar w:fldCharType="separate"/>
            </w:r>
            <w:r w:rsidR="00F179D3">
              <w:rPr>
                <w:rFonts w:cs="Arial"/>
                <w:noProof/>
                <w:webHidden/>
                <w:szCs w:val="24"/>
              </w:rPr>
              <w:t>12</w:t>
            </w:r>
            <w:r w:rsidR="00B16947" w:rsidRPr="00F179D3">
              <w:rPr>
                <w:rFonts w:cs="Arial"/>
                <w:noProof/>
                <w:webHidden/>
                <w:szCs w:val="24"/>
              </w:rPr>
              <w:fldChar w:fldCharType="end"/>
            </w:r>
          </w:hyperlink>
        </w:p>
        <w:p w:rsidR="00B16947" w:rsidRPr="00F179D3" w:rsidRDefault="00005683" w:rsidP="00F179D3">
          <w:pPr>
            <w:pStyle w:val="TOC2"/>
            <w:tabs>
              <w:tab w:val="right" w:leader="dot" w:pos="9016"/>
            </w:tabs>
            <w:rPr>
              <w:rFonts w:eastAsiaTheme="minorEastAsia" w:cs="Arial"/>
              <w:noProof/>
              <w:szCs w:val="24"/>
            </w:rPr>
          </w:pPr>
          <w:hyperlink w:anchor="_Toc224944444" w:history="1">
            <w:r w:rsidR="00B16947" w:rsidRPr="00F179D3">
              <w:rPr>
                <w:rStyle w:val="Hyperlink"/>
                <w:rFonts w:cs="Arial"/>
                <w:noProof/>
                <w:szCs w:val="24"/>
              </w:rPr>
              <w:t>References</w:t>
            </w:r>
            <w:r w:rsidR="00B16947" w:rsidRPr="00F179D3">
              <w:rPr>
                <w:rFonts w:cs="Arial"/>
                <w:noProof/>
                <w:webHidden/>
                <w:szCs w:val="24"/>
              </w:rPr>
              <w:tab/>
            </w:r>
            <w:r w:rsidR="00B16947" w:rsidRPr="00F179D3">
              <w:rPr>
                <w:rFonts w:cs="Arial"/>
                <w:noProof/>
                <w:webHidden/>
                <w:szCs w:val="24"/>
              </w:rPr>
              <w:fldChar w:fldCharType="begin"/>
            </w:r>
            <w:r w:rsidR="00B16947" w:rsidRPr="00F179D3">
              <w:rPr>
                <w:rFonts w:cs="Arial"/>
                <w:noProof/>
                <w:webHidden/>
                <w:szCs w:val="24"/>
              </w:rPr>
              <w:instrText xml:space="preserve"> PAGEREF _Toc224944444 \h </w:instrText>
            </w:r>
            <w:r w:rsidR="00B16947" w:rsidRPr="00F179D3">
              <w:rPr>
                <w:rFonts w:cs="Arial"/>
                <w:noProof/>
                <w:webHidden/>
                <w:szCs w:val="24"/>
              </w:rPr>
            </w:r>
            <w:r w:rsidR="00B16947" w:rsidRPr="00F179D3">
              <w:rPr>
                <w:rFonts w:cs="Arial"/>
                <w:noProof/>
                <w:webHidden/>
                <w:szCs w:val="24"/>
              </w:rPr>
              <w:fldChar w:fldCharType="separate"/>
            </w:r>
            <w:r w:rsidR="00F179D3">
              <w:rPr>
                <w:rFonts w:cs="Arial"/>
                <w:noProof/>
                <w:webHidden/>
                <w:szCs w:val="24"/>
              </w:rPr>
              <w:t>14</w:t>
            </w:r>
            <w:r w:rsidR="00B16947" w:rsidRPr="00F179D3">
              <w:rPr>
                <w:rFonts w:cs="Arial"/>
                <w:noProof/>
                <w:webHidden/>
                <w:szCs w:val="24"/>
              </w:rPr>
              <w:fldChar w:fldCharType="end"/>
            </w:r>
          </w:hyperlink>
        </w:p>
        <w:p w:rsidR="00FF4A2C" w:rsidRPr="00F179D3" w:rsidRDefault="00FF4A2C" w:rsidP="00F179D3">
          <w:pPr>
            <w:rPr>
              <w:rFonts w:cs="Arial"/>
              <w:szCs w:val="24"/>
            </w:rPr>
          </w:pPr>
          <w:r w:rsidRPr="00F179D3">
            <w:rPr>
              <w:rFonts w:cs="Arial"/>
              <w:b/>
              <w:bCs/>
              <w:noProof/>
              <w:szCs w:val="24"/>
            </w:rPr>
            <w:fldChar w:fldCharType="end"/>
          </w:r>
        </w:p>
      </w:sdtContent>
    </w:sdt>
    <w:p w:rsidR="00F179D3" w:rsidRPr="00F179D3" w:rsidRDefault="00210794" w:rsidP="00F179D3">
      <w:pPr>
        <w:pStyle w:val="TableofFigures"/>
        <w:tabs>
          <w:tab w:val="right" w:leader="dot" w:pos="9016"/>
        </w:tabs>
        <w:rPr>
          <w:rFonts w:eastAsiaTheme="minorEastAsia" w:cs="Arial"/>
          <w:noProof/>
          <w:szCs w:val="24"/>
        </w:rPr>
      </w:pPr>
      <w:r w:rsidRPr="00F179D3">
        <w:rPr>
          <w:rFonts w:cs="Arial"/>
          <w:szCs w:val="24"/>
        </w:rPr>
        <w:fldChar w:fldCharType="begin"/>
      </w:r>
      <w:r w:rsidRPr="00F179D3">
        <w:rPr>
          <w:rFonts w:cs="Arial"/>
          <w:szCs w:val="24"/>
        </w:rPr>
        <w:instrText xml:space="preserve"> TOC \h \z \c "Table" </w:instrText>
      </w:r>
      <w:r w:rsidRPr="00F179D3">
        <w:rPr>
          <w:rFonts w:cs="Arial"/>
          <w:szCs w:val="24"/>
        </w:rPr>
        <w:fldChar w:fldCharType="separate"/>
      </w:r>
      <w:hyperlink w:anchor="_Toc224944467" w:history="1">
        <w:r w:rsidR="00F179D3" w:rsidRPr="00F179D3">
          <w:rPr>
            <w:rStyle w:val="Hyperlink"/>
            <w:rFonts w:cs="Arial"/>
            <w:noProof/>
            <w:szCs w:val="24"/>
          </w:rPr>
          <w:t>Table 1: Macro Factors - Impact on Pioneer (Apple) vs Follower (Xiaomi)</w:t>
        </w:r>
        <w:r w:rsidR="00F179D3" w:rsidRPr="00F179D3">
          <w:rPr>
            <w:rFonts w:cs="Arial"/>
            <w:noProof/>
            <w:webHidden/>
            <w:szCs w:val="24"/>
          </w:rPr>
          <w:tab/>
        </w:r>
        <w:r w:rsidR="00F179D3" w:rsidRPr="00F179D3">
          <w:rPr>
            <w:rFonts w:cs="Arial"/>
            <w:noProof/>
            <w:webHidden/>
            <w:szCs w:val="24"/>
          </w:rPr>
          <w:fldChar w:fldCharType="begin"/>
        </w:r>
        <w:r w:rsidR="00F179D3" w:rsidRPr="00F179D3">
          <w:rPr>
            <w:rFonts w:cs="Arial"/>
            <w:noProof/>
            <w:webHidden/>
            <w:szCs w:val="24"/>
          </w:rPr>
          <w:instrText xml:space="preserve"> PAGEREF _Toc224944467 \h </w:instrText>
        </w:r>
        <w:r w:rsidR="00F179D3" w:rsidRPr="00F179D3">
          <w:rPr>
            <w:rFonts w:cs="Arial"/>
            <w:noProof/>
            <w:webHidden/>
            <w:szCs w:val="24"/>
          </w:rPr>
        </w:r>
        <w:r w:rsidR="00F179D3" w:rsidRPr="00F179D3">
          <w:rPr>
            <w:rFonts w:cs="Arial"/>
            <w:noProof/>
            <w:webHidden/>
            <w:szCs w:val="24"/>
          </w:rPr>
          <w:fldChar w:fldCharType="separate"/>
        </w:r>
        <w:r w:rsidR="00F179D3">
          <w:rPr>
            <w:rFonts w:cs="Arial"/>
            <w:noProof/>
            <w:webHidden/>
            <w:szCs w:val="24"/>
          </w:rPr>
          <w:t>8</w:t>
        </w:r>
        <w:r w:rsidR="00F179D3" w:rsidRPr="00F179D3">
          <w:rPr>
            <w:rFonts w:cs="Arial"/>
            <w:noProof/>
            <w:webHidden/>
            <w:szCs w:val="24"/>
          </w:rPr>
          <w:fldChar w:fldCharType="end"/>
        </w:r>
      </w:hyperlink>
    </w:p>
    <w:p w:rsidR="00F179D3" w:rsidRPr="00F179D3" w:rsidRDefault="00005683" w:rsidP="00F179D3">
      <w:pPr>
        <w:pStyle w:val="TableofFigures"/>
        <w:tabs>
          <w:tab w:val="right" w:leader="dot" w:pos="9016"/>
        </w:tabs>
        <w:rPr>
          <w:rFonts w:eastAsiaTheme="minorEastAsia" w:cs="Arial"/>
          <w:noProof/>
          <w:szCs w:val="24"/>
        </w:rPr>
      </w:pPr>
      <w:hyperlink w:anchor="_Toc224944468" w:history="1">
        <w:r w:rsidR="00F179D3" w:rsidRPr="00F179D3">
          <w:rPr>
            <w:rStyle w:val="Hyperlink"/>
            <w:rFonts w:cs="Arial"/>
            <w:noProof/>
            <w:szCs w:val="24"/>
          </w:rPr>
          <w:t>Table 2: Strategic Responses: Pioneer vs Follower</w:t>
        </w:r>
        <w:r w:rsidR="00F179D3" w:rsidRPr="00F179D3">
          <w:rPr>
            <w:rFonts w:cs="Arial"/>
            <w:noProof/>
            <w:webHidden/>
            <w:szCs w:val="24"/>
          </w:rPr>
          <w:tab/>
        </w:r>
        <w:r w:rsidR="00F179D3" w:rsidRPr="00F179D3">
          <w:rPr>
            <w:rFonts w:cs="Arial"/>
            <w:noProof/>
            <w:webHidden/>
            <w:szCs w:val="24"/>
          </w:rPr>
          <w:fldChar w:fldCharType="begin"/>
        </w:r>
        <w:r w:rsidR="00F179D3" w:rsidRPr="00F179D3">
          <w:rPr>
            <w:rFonts w:cs="Arial"/>
            <w:noProof/>
            <w:webHidden/>
            <w:szCs w:val="24"/>
          </w:rPr>
          <w:instrText xml:space="preserve"> PAGEREF _Toc224944468 \h </w:instrText>
        </w:r>
        <w:r w:rsidR="00F179D3" w:rsidRPr="00F179D3">
          <w:rPr>
            <w:rFonts w:cs="Arial"/>
            <w:noProof/>
            <w:webHidden/>
            <w:szCs w:val="24"/>
          </w:rPr>
        </w:r>
        <w:r w:rsidR="00F179D3" w:rsidRPr="00F179D3">
          <w:rPr>
            <w:rFonts w:cs="Arial"/>
            <w:noProof/>
            <w:webHidden/>
            <w:szCs w:val="24"/>
          </w:rPr>
          <w:fldChar w:fldCharType="separate"/>
        </w:r>
        <w:r w:rsidR="00F179D3">
          <w:rPr>
            <w:rFonts w:cs="Arial"/>
            <w:noProof/>
            <w:webHidden/>
            <w:szCs w:val="24"/>
          </w:rPr>
          <w:t>12</w:t>
        </w:r>
        <w:r w:rsidR="00F179D3" w:rsidRPr="00F179D3">
          <w:rPr>
            <w:rFonts w:cs="Arial"/>
            <w:noProof/>
            <w:webHidden/>
            <w:szCs w:val="24"/>
          </w:rPr>
          <w:fldChar w:fldCharType="end"/>
        </w:r>
      </w:hyperlink>
    </w:p>
    <w:p w:rsidR="00FF4A2C" w:rsidRPr="00F179D3" w:rsidRDefault="00210794" w:rsidP="00F179D3">
      <w:pPr>
        <w:pStyle w:val="Caption"/>
        <w:spacing w:line="360" w:lineRule="auto"/>
        <w:rPr>
          <w:rFonts w:cs="Arial"/>
          <w:sz w:val="24"/>
          <w:szCs w:val="24"/>
        </w:rPr>
      </w:pPr>
      <w:r w:rsidRPr="00F179D3">
        <w:rPr>
          <w:rFonts w:cs="Arial"/>
          <w:sz w:val="24"/>
          <w:szCs w:val="24"/>
        </w:rPr>
        <w:fldChar w:fldCharType="end"/>
      </w:r>
    </w:p>
    <w:p w:rsidR="00F179D3" w:rsidRPr="00F179D3" w:rsidRDefault="00210794" w:rsidP="00F179D3">
      <w:pPr>
        <w:pStyle w:val="TableofFigures"/>
        <w:tabs>
          <w:tab w:val="right" w:leader="dot" w:pos="9016"/>
        </w:tabs>
        <w:rPr>
          <w:rFonts w:eastAsiaTheme="minorEastAsia" w:cs="Arial"/>
          <w:noProof/>
          <w:szCs w:val="24"/>
        </w:rPr>
      </w:pPr>
      <w:r w:rsidRPr="00F179D3">
        <w:rPr>
          <w:rFonts w:cs="Arial"/>
          <w:szCs w:val="24"/>
        </w:rPr>
        <w:fldChar w:fldCharType="begin"/>
      </w:r>
      <w:r w:rsidRPr="00F179D3">
        <w:rPr>
          <w:rFonts w:cs="Arial"/>
          <w:szCs w:val="24"/>
        </w:rPr>
        <w:instrText xml:space="preserve"> TOC \h \z \c "Figure" </w:instrText>
      </w:r>
      <w:r w:rsidRPr="00F179D3">
        <w:rPr>
          <w:rFonts w:cs="Arial"/>
          <w:szCs w:val="24"/>
        </w:rPr>
        <w:fldChar w:fldCharType="separate"/>
      </w:r>
      <w:hyperlink w:anchor="_Toc224944476" w:history="1">
        <w:r w:rsidR="00F179D3" w:rsidRPr="00F179D3">
          <w:rPr>
            <w:rStyle w:val="Hyperlink"/>
            <w:rFonts w:cs="Arial"/>
            <w:noProof/>
            <w:szCs w:val="24"/>
          </w:rPr>
          <w:t>Figure 1: PESTLE Framework - Key Macro-Environmental Factors Influencing the Smartphone Industry</w:t>
        </w:r>
        <w:r w:rsidR="00F179D3" w:rsidRPr="00F179D3">
          <w:rPr>
            <w:rFonts w:cs="Arial"/>
            <w:noProof/>
            <w:webHidden/>
            <w:szCs w:val="24"/>
          </w:rPr>
          <w:tab/>
        </w:r>
        <w:r w:rsidR="00F179D3" w:rsidRPr="00F179D3">
          <w:rPr>
            <w:rFonts w:cs="Arial"/>
            <w:noProof/>
            <w:webHidden/>
            <w:szCs w:val="24"/>
          </w:rPr>
          <w:fldChar w:fldCharType="begin"/>
        </w:r>
        <w:r w:rsidR="00F179D3" w:rsidRPr="00F179D3">
          <w:rPr>
            <w:rFonts w:cs="Arial"/>
            <w:noProof/>
            <w:webHidden/>
            <w:szCs w:val="24"/>
          </w:rPr>
          <w:instrText xml:space="preserve"> PAGEREF _Toc224944476 \h </w:instrText>
        </w:r>
        <w:r w:rsidR="00F179D3" w:rsidRPr="00F179D3">
          <w:rPr>
            <w:rFonts w:cs="Arial"/>
            <w:noProof/>
            <w:webHidden/>
            <w:szCs w:val="24"/>
          </w:rPr>
        </w:r>
        <w:r w:rsidR="00F179D3" w:rsidRPr="00F179D3">
          <w:rPr>
            <w:rFonts w:cs="Arial"/>
            <w:noProof/>
            <w:webHidden/>
            <w:szCs w:val="24"/>
          </w:rPr>
          <w:fldChar w:fldCharType="separate"/>
        </w:r>
        <w:r w:rsidR="00F179D3">
          <w:rPr>
            <w:rFonts w:cs="Arial"/>
            <w:noProof/>
            <w:webHidden/>
            <w:szCs w:val="24"/>
          </w:rPr>
          <w:t>4</w:t>
        </w:r>
        <w:r w:rsidR="00F179D3" w:rsidRPr="00F179D3">
          <w:rPr>
            <w:rFonts w:cs="Arial"/>
            <w:noProof/>
            <w:webHidden/>
            <w:szCs w:val="24"/>
          </w:rPr>
          <w:fldChar w:fldCharType="end"/>
        </w:r>
      </w:hyperlink>
    </w:p>
    <w:p w:rsidR="00F179D3" w:rsidRPr="00F179D3" w:rsidRDefault="00005683" w:rsidP="00F179D3">
      <w:pPr>
        <w:pStyle w:val="TableofFigures"/>
        <w:tabs>
          <w:tab w:val="right" w:leader="dot" w:pos="9016"/>
        </w:tabs>
        <w:rPr>
          <w:rFonts w:eastAsiaTheme="minorEastAsia" w:cs="Arial"/>
          <w:noProof/>
          <w:szCs w:val="24"/>
        </w:rPr>
      </w:pPr>
      <w:hyperlink w:anchor="_Toc224944477" w:history="1">
        <w:r w:rsidR="00F179D3" w:rsidRPr="00F179D3">
          <w:rPr>
            <w:rStyle w:val="Hyperlink"/>
            <w:rFonts w:cs="Arial"/>
            <w:noProof/>
            <w:szCs w:val="24"/>
          </w:rPr>
          <w:t>Figure 2: Market Growth Trend Line - Apple vs Xiaomi</w:t>
        </w:r>
        <w:r w:rsidR="00F179D3" w:rsidRPr="00F179D3">
          <w:rPr>
            <w:rFonts w:cs="Arial"/>
            <w:noProof/>
            <w:webHidden/>
            <w:szCs w:val="24"/>
          </w:rPr>
          <w:tab/>
        </w:r>
        <w:r w:rsidR="00F179D3" w:rsidRPr="00F179D3">
          <w:rPr>
            <w:rFonts w:cs="Arial"/>
            <w:noProof/>
            <w:webHidden/>
            <w:szCs w:val="24"/>
          </w:rPr>
          <w:fldChar w:fldCharType="begin"/>
        </w:r>
        <w:r w:rsidR="00F179D3" w:rsidRPr="00F179D3">
          <w:rPr>
            <w:rFonts w:cs="Arial"/>
            <w:noProof/>
            <w:webHidden/>
            <w:szCs w:val="24"/>
          </w:rPr>
          <w:instrText xml:space="preserve"> PAGEREF _Toc224944477 \h </w:instrText>
        </w:r>
        <w:r w:rsidR="00F179D3" w:rsidRPr="00F179D3">
          <w:rPr>
            <w:rFonts w:cs="Arial"/>
            <w:noProof/>
            <w:webHidden/>
            <w:szCs w:val="24"/>
          </w:rPr>
        </w:r>
        <w:r w:rsidR="00F179D3" w:rsidRPr="00F179D3">
          <w:rPr>
            <w:rFonts w:cs="Arial"/>
            <w:noProof/>
            <w:webHidden/>
            <w:szCs w:val="24"/>
          </w:rPr>
          <w:fldChar w:fldCharType="separate"/>
        </w:r>
        <w:r w:rsidR="00F179D3">
          <w:rPr>
            <w:rFonts w:cs="Arial"/>
            <w:noProof/>
            <w:webHidden/>
            <w:szCs w:val="24"/>
          </w:rPr>
          <w:t>8</w:t>
        </w:r>
        <w:r w:rsidR="00F179D3" w:rsidRPr="00F179D3">
          <w:rPr>
            <w:rFonts w:cs="Arial"/>
            <w:noProof/>
            <w:webHidden/>
            <w:szCs w:val="24"/>
          </w:rPr>
          <w:fldChar w:fldCharType="end"/>
        </w:r>
      </w:hyperlink>
    </w:p>
    <w:p w:rsidR="00F179D3" w:rsidRPr="00F179D3" w:rsidRDefault="00005683" w:rsidP="00F179D3">
      <w:pPr>
        <w:pStyle w:val="TableofFigures"/>
        <w:tabs>
          <w:tab w:val="right" w:leader="dot" w:pos="9016"/>
        </w:tabs>
        <w:rPr>
          <w:rFonts w:eastAsiaTheme="minorEastAsia" w:cs="Arial"/>
          <w:noProof/>
          <w:szCs w:val="24"/>
        </w:rPr>
      </w:pPr>
      <w:hyperlink w:anchor="_Toc224944478" w:history="1">
        <w:r w:rsidR="00F179D3" w:rsidRPr="00F179D3">
          <w:rPr>
            <w:rStyle w:val="Hyperlink"/>
            <w:rFonts w:cs="Arial"/>
            <w:noProof/>
            <w:szCs w:val="24"/>
          </w:rPr>
          <w:t>Figure 3: Application of Ansoff Growth Matrix - Apple vs Xiaomi</w:t>
        </w:r>
        <w:r w:rsidR="00F179D3" w:rsidRPr="00F179D3">
          <w:rPr>
            <w:rFonts w:cs="Arial"/>
            <w:noProof/>
            <w:webHidden/>
            <w:szCs w:val="24"/>
          </w:rPr>
          <w:tab/>
        </w:r>
        <w:r w:rsidR="00F179D3" w:rsidRPr="00F179D3">
          <w:rPr>
            <w:rFonts w:cs="Arial"/>
            <w:noProof/>
            <w:webHidden/>
            <w:szCs w:val="24"/>
          </w:rPr>
          <w:fldChar w:fldCharType="begin"/>
        </w:r>
        <w:r w:rsidR="00F179D3" w:rsidRPr="00F179D3">
          <w:rPr>
            <w:rFonts w:cs="Arial"/>
            <w:noProof/>
            <w:webHidden/>
            <w:szCs w:val="24"/>
          </w:rPr>
          <w:instrText xml:space="preserve"> PAGEREF _Toc224944478 \h </w:instrText>
        </w:r>
        <w:r w:rsidR="00F179D3" w:rsidRPr="00F179D3">
          <w:rPr>
            <w:rFonts w:cs="Arial"/>
            <w:noProof/>
            <w:webHidden/>
            <w:szCs w:val="24"/>
          </w:rPr>
        </w:r>
        <w:r w:rsidR="00F179D3" w:rsidRPr="00F179D3">
          <w:rPr>
            <w:rFonts w:cs="Arial"/>
            <w:noProof/>
            <w:webHidden/>
            <w:szCs w:val="24"/>
          </w:rPr>
          <w:fldChar w:fldCharType="separate"/>
        </w:r>
        <w:r w:rsidR="00F179D3">
          <w:rPr>
            <w:rFonts w:cs="Arial"/>
            <w:noProof/>
            <w:webHidden/>
            <w:szCs w:val="24"/>
          </w:rPr>
          <w:t>9</w:t>
        </w:r>
        <w:r w:rsidR="00F179D3" w:rsidRPr="00F179D3">
          <w:rPr>
            <w:rFonts w:cs="Arial"/>
            <w:noProof/>
            <w:webHidden/>
            <w:szCs w:val="24"/>
          </w:rPr>
          <w:fldChar w:fldCharType="end"/>
        </w:r>
      </w:hyperlink>
    </w:p>
    <w:p w:rsidR="00210794" w:rsidRPr="00F179D3" w:rsidRDefault="00210794" w:rsidP="00F179D3">
      <w:pPr>
        <w:rPr>
          <w:rFonts w:cs="Arial"/>
          <w:szCs w:val="24"/>
        </w:rPr>
      </w:pPr>
      <w:r w:rsidRPr="00F179D3">
        <w:rPr>
          <w:rFonts w:cs="Arial"/>
          <w:szCs w:val="24"/>
        </w:rPr>
        <w:fldChar w:fldCharType="end"/>
      </w:r>
    </w:p>
    <w:p w:rsidR="009120E9" w:rsidRDefault="009120E9" w:rsidP="00F179D3">
      <w:pPr>
        <w:pStyle w:val="Caption"/>
      </w:pPr>
      <w:r>
        <w:br w:type="page"/>
      </w:r>
    </w:p>
    <w:p w:rsidR="009120E9" w:rsidRDefault="009120E9" w:rsidP="0040099F">
      <w:pPr>
        <w:pStyle w:val="Heading2"/>
        <w:numPr>
          <w:ilvl w:val="0"/>
          <w:numId w:val="2"/>
        </w:numPr>
      </w:pPr>
      <w:bookmarkStart w:id="2" w:name="_Toc224944431"/>
      <w:r>
        <w:lastRenderedPageBreak/>
        <w:t>Introduction</w:t>
      </w:r>
      <w:bookmarkEnd w:id="2"/>
    </w:p>
    <w:p w:rsidR="00857963" w:rsidRDefault="009120E9" w:rsidP="009120E9">
      <w:r>
        <w:t xml:space="preserve">This report is a critical study of strategic marketing management in the smartphone industry in the globe and how the external macro-environment factors affect the </w:t>
      </w:r>
      <w:proofErr w:type="spellStart"/>
      <w:r>
        <w:t>organisational</w:t>
      </w:r>
      <w:proofErr w:type="spellEnd"/>
      <w:r>
        <w:t xml:space="preserve"> strategy. It is aimed at comparing the reaction of a pioneer </w:t>
      </w:r>
      <w:proofErr w:type="spellStart"/>
      <w:r>
        <w:t>organisation</w:t>
      </w:r>
      <w:proofErr w:type="spellEnd"/>
      <w:r>
        <w:t xml:space="preserve">, Apple Inc., and a follower </w:t>
      </w:r>
      <w:proofErr w:type="spellStart"/>
      <w:r>
        <w:t>organisation</w:t>
      </w:r>
      <w:proofErr w:type="spellEnd"/>
      <w:r>
        <w:t xml:space="preserve">, Xiaomi Corporation, to environmental opportunities and threats to remain competitive </w:t>
      </w:r>
      <w:r w:rsidR="00857963">
        <w:fldChar w:fldCharType="begin" w:fldLock="1"/>
      </w:r>
      <w:r w:rsidR="002664A8">
        <w:instrText>ADDIN CSL_CITATION {"citationItems":[{"id":"ITEM-1","itemData":{"author":[{"dropping-particle":"","family":"Johnson","given":"Gerry","non-dropping-particle":"","parse-names":false,"suffix":""},{"dropping-particle":"","family":"Scholes","given":"Kevan","non-dropping-particle":"","parse-names":false,"suffix":""},{"dropping-particle":"","family":"Whittington","given":"Richard","non-dropping-particle":"","parse-names":false,"suffix":""}],"id":"ITEM-1","issued":{"date-parts":[["2017","1","1"]]},"publisher":"Pearson","title":"Exploring Corporate Strategy: Text &amp; Cases","type":"book"},"uris":["http://www.mendeley.com/documents/?uuid=000711cf-f320-4c9f-bfbf-8b0458529141"]},{"id":"ITEM-2","itemData":{"ISBN":"9780135887158","author":[{"dropping-particle":"","family":"Kotler","given":"P","non-dropping-particle":"","parse-names":false,"suffix":""},{"dropping-particle":"","family":"Keller","given":"K L","non-dropping-particle":"","parse-names":false,"suffix":""},{"dropping-particle":"","family":"Chernev","given":"A","non-dropping-particle":"","parse-names":false,"suffix":""}],"id":"ITEM-2","issued":{"date-parts":[["2021"]]},"publisher":"Pearson Education","title":"Marketing Management","type":"book"},"uris":["http://www.mendeley.com/documents/?uuid=d0c7ef5f-6770-4160-b18f-790e8d8db9ae"]}],"mendeley":{"formattedCitation":"(Johnson, Scholes and Whittington, 2017; Kotler, Keller and Chernev, 2021)","plainTextFormattedCitation":"(Johnson, Scholes and Whittington, 2017; Kotler, Keller and Chernev, 2021)","previouslyFormattedCitation":"(Johnson, Scholes and Whittington, 2017; Kotler, Keller and Chernev, 2021)"},"properties":{"noteIndex":0},"schema":"https://github.com/citation-style-language/schema/raw/master/csl-citation.json"}</w:instrText>
      </w:r>
      <w:r w:rsidR="00857963">
        <w:fldChar w:fldCharType="separate"/>
      </w:r>
      <w:r w:rsidR="00857963" w:rsidRPr="00857963">
        <w:rPr>
          <w:noProof/>
        </w:rPr>
        <w:t>(Johnson, Scholes and Whittington, 2017; Kotler, Keller and Chernev, 2021)</w:t>
      </w:r>
      <w:r w:rsidR="00857963">
        <w:fldChar w:fldCharType="end"/>
      </w:r>
      <w:r w:rsidR="00857963">
        <w:t>.</w:t>
      </w:r>
    </w:p>
    <w:p w:rsidR="009120E9" w:rsidRDefault="009120E9" w:rsidP="009120E9">
      <w:r>
        <w:t>The smartphone market is quite dynamic, which is typified by a high rate of technological innovation, the low life cycle of products produced and intense market competition amongst the players around the world. The growing market share of smartphones, the evolution of technologies, including the use of 5G and AI, and the growing popularity of differentiated features among consumers ensure the growth of the market</w:t>
      </w:r>
      <w:r w:rsidR="002664A8">
        <w:t xml:space="preserve"> </w:t>
      </w:r>
      <w:r w:rsidR="002664A8">
        <w:fldChar w:fldCharType="begin" w:fldLock="1"/>
      </w:r>
      <w:r w:rsidR="00435E93">
        <w:instrText>ADDIN CSL_CITATION {"citationItems":[{"id":"ITEM-1","itemData":{"URL":"https://www.deloitte.com/global/en/about/press-room/deloitte-tmt-2023-predictions.html","accessed":{"date-parts":[["2026","3","20"]]},"author":[{"dropping-particle":"","family":"Deloitte","given":"","non-dropping-particle":"","parse-names":false,"suffix":""}],"container-title":"Deloitte","id":"ITEM-1","issued":{"date-parts":[["2022","11","30"]]},"title":"Deloitte TMT 2023 Predictions","type":"webpage"},"uris":["http://www.mendeley.com/documents/?uuid=6e79602b-1796-354f-8a9e-ca51550bebed"]},{"id":"ITEM-2","itemData":{"URL":"https://www.statista.com/statistics/271496/global-market-share-held-by-smartphone-vendors-since-4th-quarter-2009/","accessed":{"date-parts":[["2026","3","20"]]},"author":[{"dropping-particle":"","family":"Statista","given":"","non-dropping-particle":"","parse-names":false,"suffix":""}],"container-title":"Statista","id":"ITEM-2","issued":{"date-parts":[["2026","1"]]},"title":"Smartphone market share by vendor quarterly 2025| Statista","type":"webpage"},"uris":["http://www.mendeley.com/documents/?uuid=fbd2b648-1ab8-39d5-b3e1-163307ecac15"]}],"mendeley":{"formattedCitation":"(Deloitte, 2022; Statista, 2026)","plainTextFormattedCitation":"(Deloitte, 2022; Statista, 2026)","previouslyFormattedCitation":"(Deloitte, 2022; Statista, 2026)"},"properties":{"noteIndex":0},"schema":"https://github.com/citation-style-language/schema/raw/master/csl-citation.json"}</w:instrText>
      </w:r>
      <w:r w:rsidR="002664A8">
        <w:fldChar w:fldCharType="separate"/>
      </w:r>
      <w:r w:rsidR="002664A8" w:rsidRPr="002664A8">
        <w:rPr>
          <w:noProof/>
        </w:rPr>
        <w:t>(Deloitte, 2022; Statista, 2026)</w:t>
      </w:r>
      <w:r w:rsidR="002664A8">
        <w:fldChar w:fldCharType="end"/>
      </w:r>
      <w:r>
        <w:t xml:space="preserve">. The </w:t>
      </w:r>
      <w:proofErr w:type="spellStart"/>
      <w:r>
        <w:t>organisations</w:t>
      </w:r>
      <w:proofErr w:type="spellEnd"/>
      <w:r>
        <w:t xml:space="preserve"> in this sector have to strike the balance between innovation, cost efficiency and responsiveness to the market in order to have a competitive advantage </w:t>
      </w:r>
      <w:r w:rsidR="00435E93">
        <w:fldChar w:fldCharType="begin" w:fldLock="1"/>
      </w:r>
      <w:r w:rsidR="00E64D72">
        <w:instrText>ADDIN CSL_CITATION {"citationItems":[{"id":"ITEM-1","itemData":{"ISBN":"9780029250907","author":[{"dropping-particle":"","family":"Porter","given":"M E","non-dropping-particle":"","parse-names":false,"suffix":""}],"id":"ITEM-1","issued":{"date-parts":[["1985"]]},"publisher":"Free Press","title":"Competitive Advantage: Creating and Sustaining Superior Performance","type":"article-journal"},"uris":["http://www.mendeley.com/documents/?uuid=e7882caf-556f-4c00-b0e1-7418b2605914"]}],"mendeley":{"formattedCitation":"(Porter, 1985)","plainTextFormattedCitation":"(Porter, 1985)","previouslyFormattedCitation":"(Porter, 1985)"},"properties":{"noteIndex":0},"schema":"https://github.com/citation-style-language/schema/raw/master/csl-citation.json"}</w:instrText>
      </w:r>
      <w:r w:rsidR="00435E93">
        <w:fldChar w:fldCharType="separate"/>
      </w:r>
      <w:r w:rsidR="00435E93" w:rsidRPr="00435E93">
        <w:rPr>
          <w:noProof/>
        </w:rPr>
        <w:t>(Porter, 1985)</w:t>
      </w:r>
      <w:r w:rsidR="00435E93">
        <w:fldChar w:fldCharType="end"/>
      </w:r>
      <w:r>
        <w:t>.</w:t>
      </w:r>
    </w:p>
    <w:p w:rsidR="009120E9" w:rsidRDefault="009120E9" w:rsidP="009120E9">
      <w:r>
        <w:t xml:space="preserve">A macro marketing environment analysis is critical in strategic decision-making. The PESTLE framework is an organizational method of evaluating each of the aforementioned forces (including political, economic, social, technological, legal, and environmental) to enable firms to determine their opportunities and threats and make qualified strategic decisions </w:t>
      </w:r>
      <w:r w:rsidR="00D56725">
        <w:fldChar w:fldCharType="begin" w:fldLock="1"/>
      </w:r>
      <w:r w:rsidR="00D56725">
        <w:instrText>ADDIN CSL_CITATION {"citationItems":[{"id":"ITEM-1","itemData":{"author":[{"dropping-particle":"","family":"Johnson","given":"Gerry","non-dropping-particle":"","parse-names":false,"suffix":""},{"dropping-particle":"","family":"Scholes","given":"Kevan","non-dropping-particle":"","parse-names":false,"suffix":""},{"dropping-particle":"","family":"Whittington","given":"Richard","non-dropping-particle":"","parse-names":false,"suffix":""}],"id":"ITEM-1","issued":{"date-parts":[["2017","1","1"]]},"publisher":"Pearson","title":"Exploring Corporate Strategy: Text &amp; Cases","type":"book"},"uris":["http://www.mendeley.com/documents/?uuid=000711cf-f320-4c9f-bfbf-8b0458529141"]},{"id":"ITEM-2","itemData":{"ISBN":"9780135887158","author":[{"dropping-particle":"","family":"Kotler","given":"P","non-dropping-particle":"","parse-names":false,"suffix":""},{"dropping-particle":"","family":"Keller","given":"K L","non-dropping-particle":"","parse-names":false,"suffix":""},{"dropping-particle":"","family":"Chernev","given":"A","non-dropping-particle":"","parse-names":false,"suffix":""}],"id":"ITEM-2","issued":{"date-parts":[["2021"]]},"publisher":"Pearson Education","title":"Marketing Management","type":"book"},"uris":["http://www.mendeley.com/documents/?uuid=d0c7ef5f-6770-4160-b18f-790e8d8db9ae"]}],"mendeley":{"formattedCitation":"(Johnson, Scholes and Whittington, 2017; Kotler, Keller and Chernev, 2021)","plainTextFormattedCitation":"(Johnson, Scholes and Whittington, 2017; Kotler, Keller and Chernev, 2021)","previouslyFormattedCitation":"(Johnson, Scholes and Whittington, 2017; Kotler, Keller and Chernev, 2021)"},"properties":{"noteIndex":0},"schema":"https://github.com/citation-style-language/schema/raw/master/csl-citation.json"}</w:instrText>
      </w:r>
      <w:r w:rsidR="00D56725">
        <w:fldChar w:fldCharType="separate"/>
      </w:r>
      <w:r w:rsidR="00D56725" w:rsidRPr="00857963">
        <w:rPr>
          <w:noProof/>
        </w:rPr>
        <w:t>(Johnson, Scholes and Whittington, 2017; Kotler, Keller and Chernev, 2021)</w:t>
      </w:r>
      <w:r w:rsidR="00D56725">
        <w:fldChar w:fldCharType="end"/>
      </w:r>
      <w:r w:rsidR="00D56725">
        <w:t>.</w:t>
      </w:r>
    </w:p>
    <w:p w:rsidR="00D36F73" w:rsidRDefault="009120E9" w:rsidP="009120E9">
      <w:r>
        <w:t>The report has been divided into three parts. Task 1 is the critical analysis of the macro marketing environment and the effects it has on Apple and Xiaomi. Task 2 studies their strategic reactions with the help of the Growth Matrix by</w:t>
      </w:r>
      <w:r w:rsidR="00432F0E">
        <w:t xml:space="preserve"> </w:t>
      </w:r>
      <w:r w:rsidR="00432F0E">
        <w:fldChar w:fldCharType="begin" w:fldLock="1"/>
      </w:r>
      <w:r w:rsidR="004E1F6D">
        <w:instrText>ADDIN CSL_CITATION {"citationItems":[{"id":"ITEM-1","itemData":{"DOI":"10.1016/0024-6301(72)90048-9","ISSN":"00246301","abstract":"The most suitable approach to the obtaining of new products by an individual firm in order to reach new markets can be determined only after a thorough investigation of the company's situation and the market conditions. Depending on the relationship between the old and the new products and their markets, the following basic strategies are possible: horizontal, vertical and lateral diversification. © 1972.","author":[{"dropping-particle":"","family":"Ansoff","given":"H. I.","non-dropping-particle":"","parse-names":false,"suffix":""}],"container-title":"Harvard Business Review","id":"ITEM-1","issue":"5","issued":{"date-parts":[["1957"]]},"page":"113–124","title":"Strategies for diversification","type":"article-journal","volume":"35"},"uris":["http://www.mendeley.com/documents/?uuid=0b6212b7-f198-4694-8e4d-1c574af89356"]}],"mendeley":{"formattedCitation":"(Ansoff, 1957)","manualFormatting":"Ansoff (1957)","plainTextFormattedCitation":"(Ansoff, 1957)","previouslyFormattedCitation":"(Ansoff, 1957)"},"properties":{"noteIndex":0},"schema":"https://github.com/citation-style-language/schema/raw/master/csl-citation.json"}</w:instrText>
      </w:r>
      <w:r w:rsidR="00432F0E">
        <w:fldChar w:fldCharType="separate"/>
      </w:r>
      <w:r w:rsidR="00432F0E" w:rsidRPr="00432F0E">
        <w:rPr>
          <w:noProof/>
        </w:rPr>
        <w:t>Ansoff</w:t>
      </w:r>
      <w:r w:rsidR="00432F0E">
        <w:rPr>
          <w:noProof/>
        </w:rPr>
        <w:t xml:space="preserve"> (</w:t>
      </w:r>
      <w:r w:rsidR="00432F0E" w:rsidRPr="00432F0E">
        <w:rPr>
          <w:noProof/>
        </w:rPr>
        <w:t>1957)</w:t>
      </w:r>
      <w:r w:rsidR="00432F0E">
        <w:fldChar w:fldCharType="end"/>
      </w:r>
      <w:r>
        <w:t>. The report brings the end by synthesizing the major findings and implications of the strategic marketing management.</w:t>
      </w:r>
    </w:p>
    <w:p w:rsidR="00622F40" w:rsidRDefault="00622F40" w:rsidP="009120E9"/>
    <w:p w:rsidR="00622F40" w:rsidRDefault="00622F40" w:rsidP="009120E9"/>
    <w:p w:rsidR="00622F40" w:rsidRDefault="00622F40" w:rsidP="009120E9"/>
    <w:p w:rsidR="00622F40" w:rsidRDefault="00622F40" w:rsidP="009120E9"/>
    <w:p w:rsidR="00665D4E" w:rsidRDefault="00665D4E" w:rsidP="00DA41BB">
      <w:pPr>
        <w:pStyle w:val="Heading2"/>
        <w:numPr>
          <w:ilvl w:val="0"/>
          <w:numId w:val="2"/>
        </w:numPr>
        <w:rPr>
          <w:rFonts w:eastAsia="Times New Roman"/>
        </w:rPr>
      </w:pPr>
      <w:bookmarkStart w:id="3" w:name="_Toc224944432"/>
      <w:r w:rsidRPr="002439EF">
        <w:rPr>
          <w:rFonts w:eastAsia="Times New Roman"/>
        </w:rPr>
        <w:lastRenderedPageBreak/>
        <w:t>Task 1: Critical Analysis of the Macro Marketing Environment</w:t>
      </w:r>
      <w:bookmarkEnd w:id="3"/>
    </w:p>
    <w:p w:rsidR="00DA41BB" w:rsidRDefault="00800C0D" w:rsidP="00DA41BB">
      <w:r>
        <w:rPr>
          <w:noProof/>
        </w:rPr>
        <w:drawing>
          <wp:anchor distT="0" distB="0" distL="114300" distR="114300" simplePos="0" relativeHeight="251658240" behindDoc="0" locked="0" layoutInCell="1" allowOverlap="1">
            <wp:simplePos x="0" y="0"/>
            <wp:positionH relativeFrom="column">
              <wp:posOffset>342900</wp:posOffset>
            </wp:positionH>
            <wp:positionV relativeFrom="paragraph">
              <wp:posOffset>10160</wp:posOffset>
            </wp:positionV>
            <wp:extent cx="5435600" cy="36233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35600" cy="36233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A41BB" w:rsidRDefault="00DA41BB" w:rsidP="00DA41BB"/>
    <w:p w:rsidR="00DA41BB" w:rsidRDefault="00DA41BB" w:rsidP="00DA41BB"/>
    <w:p w:rsidR="00DA41BB" w:rsidRDefault="00DA41BB" w:rsidP="00DA41BB"/>
    <w:p w:rsidR="00DA41BB" w:rsidRDefault="00DA41BB" w:rsidP="00DA41BB"/>
    <w:p w:rsidR="00800C0D" w:rsidRDefault="00800C0D" w:rsidP="00DA41BB"/>
    <w:p w:rsidR="00800C0D" w:rsidRDefault="00800C0D" w:rsidP="00DA41BB"/>
    <w:p w:rsidR="00800C0D" w:rsidRDefault="00800C0D" w:rsidP="00DA41BB"/>
    <w:p w:rsidR="00800C0D" w:rsidRDefault="00800C0D" w:rsidP="00DA41BB"/>
    <w:p w:rsidR="00800C0D" w:rsidRDefault="00800C0D" w:rsidP="00DA41BB"/>
    <w:p w:rsidR="00800C0D" w:rsidRDefault="00800C0D" w:rsidP="00800C0D">
      <w:pPr>
        <w:pStyle w:val="Caption"/>
      </w:pPr>
      <w:bookmarkStart w:id="4" w:name="_Toc224944476"/>
      <w:r>
        <w:t xml:space="preserve">Figure </w:t>
      </w:r>
      <w:fldSimple w:instr=" SEQ Figure \* ARABIC ">
        <w:r w:rsidR="00FB5595">
          <w:rPr>
            <w:noProof/>
          </w:rPr>
          <w:t>1</w:t>
        </w:r>
      </w:fldSimple>
      <w:r>
        <w:t xml:space="preserve">: </w:t>
      </w:r>
      <w:r w:rsidRPr="00F366FF">
        <w:t xml:space="preserve">PESTLE Framework </w:t>
      </w:r>
      <w:r>
        <w:t>-</w:t>
      </w:r>
      <w:r w:rsidRPr="00F366FF">
        <w:t xml:space="preserve"> Key Macro-Environmental Factors Influencing the Smartphone Industry</w:t>
      </w:r>
      <w:bookmarkEnd w:id="4"/>
    </w:p>
    <w:p w:rsidR="00665D4E" w:rsidRPr="002439EF" w:rsidRDefault="00665D4E" w:rsidP="00DA41BB">
      <w:pPr>
        <w:pStyle w:val="NoSpacing"/>
      </w:pPr>
      <w:bookmarkStart w:id="5" w:name="_Toc224944433"/>
      <w:r w:rsidRPr="00DA41BB">
        <w:rPr>
          <w:rStyle w:val="Heading2Char"/>
        </w:rPr>
        <w:t>2.1 Macro Marketing Environment</w:t>
      </w:r>
      <w:bookmarkEnd w:id="5"/>
    </w:p>
    <w:p w:rsidR="007569DF" w:rsidRDefault="007569DF" w:rsidP="00443827">
      <w:r>
        <w:t xml:space="preserve">The macro marketing environment refers to the external forces which are broad and widely beyond the control of the managers and only influence the </w:t>
      </w:r>
      <w:proofErr w:type="spellStart"/>
      <w:r>
        <w:t>organisation</w:t>
      </w:r>
      <w:proofErr w:type="spellEnd"/>
      <w:r>
        <w:t xml:space="preserve"> strategy. The most common framework used to study these forces is the PESTLE model that measures Political, Economic, Social, Technological, Legal, and Environmental factors </w:t>
      </w:r>
      <w:r w:rsidR="00443827">
        <w:fldChar w:fldCharType="begin" w:fldLock="1"/>
      </w:r>
      <w:r w:rsidR="00443827">
        <w:instrText>ADDIN CSL_CITATION {"citationItems":[{"id":"ITEM-1","itemData":{"author":[{"dropping-particle":"","family":"Johnson","given":"Gerry","non-dropping-particle":"","parse-names":false,"suffix":""},{"dropping-particle":"","family":"Scholes","given":"Kevan","non-dropping-particle":"","parse-names":false,"suffix":""},{"dropping-particle":"","family":"Whittington","given":"Richard","non-dropping-particle":"","parse-names":false,"suffix":""}],"id":"ITEM-1","issued":{"date-parts":[["2017","1","1"]]},"publisher":"Pearson","title":"Exploring Corporate Strategy: Text &amp; Cases","type":"book"},"uris":["http://www.mendeley.com/documents/?uuid=000711cf-f320-4c9f-bfbf-8b0458529141"]},{"id":"ITEM-2","itemData":{"ISBN":"9780135887158","author":[{"dropping-particle":"","family":"Kotler","given":"P","non-dropping-particle":"","parse-names":false,"suffix":""},{"dropping-particle":"","family":"Keller","given":"K L","non-dropping-particle":"","parse-names":false,"suffix":""},{"dropping-particle":"","family":"Chernev","given":"A","non-dropping-particle":"","parse-names":false,"suffix":""}],"id":"ITEM-2","issued":{"date-parts":[["2021"]]},"publisher":"Pearson Education","title":"Marketing Management","type":"book"},"uris":["http://www.mendeley.com/documents/?uuid=d0c7ef5f-6770-4160-b18f-790e8d8db9ae"]}],"mendeley":{"formattedCitation":"(Johnson, Scholes and Whittington, 2017; Kotler, Keller and Chernev, 2021)","manualFormatting":"(Kotler, Keller and Chernev, 2021)","plainTextFormattedCitation":"(Johnson, Scholes and Whittington, 2017; Kotler, Keller and Chernev, 2021)","previouslyFormattedCitation":"(Johnson, Scholes and Whittington, 2017; Kotler, Keller and Chernev, 2021)"},"properties":{"noteIndex":0},"schema":"https://github.com/citation-style-language/schema/raw/master/csl-citation.json"}</w:instrText>
      </w:r>
      <w:r w:rsidR="00443827">
        <w:fldChar w:fldCharType="separate"/>
      </w:r>
      <w:r w:rsidR="00443827">
        <w:rPr>
          <w:noProof/>
        </w:rPr>
        <w:t>(</w:t>
      </w:r>
      <w:r w:rsidR="00443827" w:rsidRPr="00857963">
        <w:rPr>
          <w:noProof/>
        </w:rPr>
        <w:t>Kotler, Keller and Chernev, 2021)</w:t>
      </w:r>
      <w:r w:rsidR="00443827">
        <w:fldChar w:fldCharType="end"/>
      </w:r>
      <w:r w:rsidR="00443827">
        <w:t>.</w:t>
      </w:r>
      <w:r w:rsidR="00D817EC">
        <w:t xml:space="preserve"> </w:t>
      </w:r>
      <w:r>
        <w:t xml:space="preserve">Such a framework can be especially useful in strategic marketing because it allows companies to determine the external opportunities and threats and, thus, base long-term choices on them </w:t>
      </w:r>
      <w:r w:rsidR="00443827">
        <w:fldChar w:fldCharType="begin" w:fldLock="1"/>
      </w:r>
      <w:r w:rsidR="004E1F6D">
        <w:instrText>ADDIN CSL_CITATION {"citationItems":[{"id":"ITEM-1","itemData":{"author":[{"dropping-particle":"","family":"Johnson","given":"Gerry","non-dropping-particle":"","parse-names":false,"suffix":""},{"dropping-particle":"","family":"Scholes","given":"Kevan","non-dropping-particle":"","parse-names":false,"suffix":""},{"dropping-particle":"","family":"Whittington","given":"Richard","non-dropping-particle":"","parse-names":false,"suffix":""}],"id":"ITEM-1","issued":{"date-parts":[["2017","1","1"]]},"publisher":"Pearson","title":"Exploring Corporate Strategy: Text &amp; Cases","type":"book"},"uris":["http://www.mendeley.com/documents/?uuid=000711cf-f320-4c9f-bfbf-8b0458529141"]},{"id":"ITEM-2","itemData":{"ISBN":"9780135887158","author":[{"dropping-particle":"","family":"Kotler","given":"P","non-dropping-particle":"","parse-names":false,"suffix":""},{"dropping-particle":"","family":"Keller","given":"K L","non-dropping-particle":"","parse-names":false,"suffix":""},{"dropping-particle":"","family":"Chernev","given":"A","non-dropping-particle":"","parse-names":false,"suffix":""}],"id":"ITEM-2","issued":{"date-parts":[["2021"]]},"publisher":"Pearson Education","title":"Marketing Management","type":"book"},"uris":["http://www.mendeley.com/documents/?uuid=d0c7ef5f-6770-4160-b18f-790e8d8db9ae"]}],"mendeley":{"formattedCitation":"(Johnson, Scholes and Whittington, 2017; Kotler, Keller and Chernev, 2021)","manualFormatting":"(Johnson, Scholes and Whittington, 2017)","plainTextFormattedCitation":"(Johnson, Scholes and Whittington, 2017; Kotler, Keller and Chernev, 2021)","previouslyFormattedCitation":"(Johnson, Scholes and Whittington, 2017; Kotler, Keller and Chernev, 2021)"},"properties":{"noteIndex":0},"schema":"https://github.com/citation-style-language/schema/raw/master/csl-citation.json"}</w:instrText>
      </w:r>
      <w:r w:rsidR="00443827">
        <w:fldChar w:fldCharType="separate"/>
      </w:r>
      <w:r w:rsidR="00443827" w:rsidRPr="00857963">
        <w:rPr>
          <w:noProof/>
        </w:rPr>
        <w:t>(Johnson, Scholes and Whittington, 2017)</w:t>
      </w:r>
      <w:r w:rsidR="00443827">
        <w:fldChar w:fldCharType="end"/>
      </w:r>
      <w:r w:rsidR="00443827">
        <w:t>.</w:t>
      </w:r>
    </w:p>
    <w:p w:rsidR="007569DF" w:rsidRDefault="007569DF" w:rsidP="007569DF">
      <w:r>
        <w:t>This report specifically concentrates on the technological and economic factors in the smartphone industry of the world. These two dimensions are selected due to their strong focus on the industry development as well as firm-level competitiveness. Innovation, product differentiation, and creation of value are some of the key drivers of success that require technological aspects in the smartphone market</w:t>
      </w:r>
      <w:r w:rsidR="00D817EC">
        <w:t xml:space="preserve"> </w:t>
      </w:r>
      <w:r w:rsidR="00D817EC">
        <w:fldChar w:fldCharType="begin" w:fldLock="1"/>
      </w:r>
      <w:r w:rsidR="00DF7B68">
        <w:instrText>ADDIN CSL_CITATION {"citationItems":[{"id":"ITEM-1","itemData":{"URL":"https://www.deloitte.com/global/en/about/press-room/deloitte-tmt-2023-predictions.html","accessed":{"date-parts":[["2026","3","20"]]},"author":[{"dropping-particle":"","family":"Deloitte","given":"","non-dropping-particle":"","parse-names":false,"suffix":""}],"container-title":"Deloitte","id":"ITEM-1","issued":{"date-parts":[["2022","11","30"]]},"title":"Deloitte TMT 2023 Predictions","type":"webpage"},"uris":["http://www.mendeley.com/documents/?uuid=6e79602b-1796-354f-8a9e-ca51550bebed"]}],"mendeley":{"formattedCitation":"(Deloitte, 2022)","plainTextFormattedCitation":"(Deloitte, 2022)","previouslyFormattedCitation":"(Deloitte, 2022)"},"properties":{"noteIndex":0},"schema":"https://github.com/citation-style-language/schema/raw/master/csl-citation.json"}</w:instrText>
      </w:r>
      <w:r w:rsidR="00D817EC">
        <w:fldChar w:fldCharType="separate"/>
      </w:r>
      <w:r w:rsidR="00D817EC" w:rsidRPr="00D817EC">
        <w:rPr>
          <w:noProof/>
        </w:rPr>
        <w:t>(Deloitte, 2022)</w:t>
      </w:r>
      <w:r w:rsidR="00D817EC">
        <w:fldChar w:fldCharType="end"/>
      </w:r>
      <w:r>
        <w:t>. Simultaneously, consumer purchasing power, demand trends, and pricing strategies in various segments of the market directly rely on economic conditions</w:t>
      </w:r>
      <w:r w:rsidR="00D817EC">
        <w:t xml:space="preserve"> </w:t>
      </w:r>
      <w:r w:rsidR="00D817EC">
        <w:fldChar w:fldCharType="begin" w:fldLock="1"/>
      </w:r>
      <w:r w:rsidR="00D817EC">
        <w:instrText>ADDIN CSL_CITATION {"citationItems":[{"id":"ITEM-1","itemData":{"URL":"https://www.statista.com/statistics/271496/global-market-share-held-by-smartphone-vendors-since-4th-quarter-2009/","accessed":{"date-parts":[["2026","3","20"]]},"author":[{"dropping-particle":"","family":"Statista","given":"","non-dropping-particle":"","parse-names":false,"suffix":""}],"container-title":"Statista","id":"ITEM-1","issued":{"date-parts":[["2026","1"]]},"title":"Smartphone market share by vendor quarterly 2025| Statista","type":"webpage"},"uris":["http://www.mendeley.com/documents/?uuid=fbd2b648-1ab8-39d5-b3e1-163307ecac15"]}],"mendeley":{"formattedCitation":"(Statista, 2026)","plainTextFormattedCitation":"(Statista, 2026)","previouslyFormattedCitation":"(Statista, 2026)"},"properties":{"noteIndex":0},"schema":"https://github.com/citation-style-language/schema/raw/master/csl-citation.json"}</w:instrText>
      </w:r>
      <w:r w:rsidR="00D817EC">
        <w:fldChar w:fldCharType="separate"/>
      </w:r>
      <w:r w:rsidR="00D817EC" w:rsidRPr="00D817EC">
        <w:rPr>
          <w:noProof/>
        </w:rPr>
        <w:t>(Statista, 2026)</w:t>
      </w:r>
      <w:r w:rsidR="00D817EC">
        <w:fldChar w:fldCharType="end"/>
      </w:r>
      <w:r>
        <w:t>.</w:t>
      </w:r>
    </w:p>
    <w:p w:rsidR="00BD6461" w:rsidRDefault="007569DF" w:rsidP="007569DF">
      <w:r>
        <w:lastRenderedPageBreak/>
        <w:t xml:space="preserve">They are strategic factors because the industry requires fast innovation opportunities and is considerably sensitive to world economic changes. The next technological shock and the fact that product life cycle is short means that firms have to constantly innovate and macroeconomic instability impacts desired upgrades by consumers. As a result, the evaluation of these elements will be important to understand the functioning of </w:t>
      </w:r>
      <w:proofErr w:type="spellStart"/>
      <w:r>
        <w:t>organisations</w:t>
      </w:r>
      <w:proofErr w:type="spellEnd"/>
      <w:r>
        <w:t xml:space="preserve"> like Apple Inc. and Xiaomi Corporation in terms of maintaining and transforming their competitiveness.</w:t>
      </w:r>
    </w:p>
    <w:p w:rsidR="007569DF" w:rsidRPr="002439EF" w:rsidRDefault="007569DF" w:rsidP="007569DF">
      <w:pPr>
        <w:pStyle w:val="Heading2"/>
        <w:rPr>
          <w:rFonts w:eastAsia="Times New Roman"/>
        </w:rPr>
      </w:pPr>
      <w:bookmarkStart w:id="6" w:name="_Toc224944434"/>
      <w:r w:rsidRPr="002439EF">
        <w:rPr>
          <w:rFonts w:eastAsia="Times New Roman"/>
        </w:rPr>
        <w:t>2.2 Analysis of Macro Factor 1: Technological Factors</w:t>
      </w:r>
      <w:bookmarkEnd w:id="6"/>
    </w:p>
    <w:p w:rsidR="007569DF" w:rsidRDefault="007569DF" w:rsidP="007569DF">
      <w:pPr>
        <w:pStyle w:val="Heading2"/>
        <w:rPr>
          <w:rFonts w:eastAsia="Times New Roman"/>
          <w:szCs w:val="24"/>
        </w:rPr>
      </w:pPr>
      <w:bookmarkStart w:id="7" w:name="_Toc224944435"/>
      <w:r w:rsidRPr="002439EF">
        <w:rPr>
          <w:rFonts w:eastAsia="Times New Roman"/>
          <w:szCs w:val="24"/>
        </w:rPr>
        <w:t xml:space="preserve">2.2.1 Impact on the Pioneer </w:t>
      </w:r>
      <w:proofErr w:type="spellStart"/>
      <w:r w:rsidRPr="002439EF">
        <w:rPr>
          <w:rFonts w:eastAsia="Times New Roman"/>
          <w:szCs w:val="24"/>
        </w:rPr>
        <w:t>Organisation</w:t>
      </w:r>
      <w:proofErr w:type="spellEnd"/>
      <w:r w:rsidRPr="002439EF">
        <w:rPr>
          <w:rFonts w:eastAsia="Times New Roman"/>
          <w:szCs w:val="24"/>
        </w:rPr>
        <w:t xml:space="preserve"> (Apple Inc.)</w:t>
      </w:r>
      <w:bookmarkEnd w:id="7"/>
    </w:p>
    <w:p w:rsidR="007569DF" w:rsidRDefault="007569DF" w:rsidP="007569DF">
      <w:pPr>
        <w:pStyle w:val="NoSpacing"/>
      </w:pPr>
      <w:r>
        <w:t xml:space="preserve">Technological progress is one of the key opportunities and strategic necessities of Apple Inc. Being an innovative </w:t>
      </w:r>
      <w:proofErr w:type="spellStart"/>
      <w:r>
        <w:t>organisation</w:t>
      </w:r>
      <w:proofErr w:type="spellEnd"/>
      <w:r>
        <w:t xml:space="preserve">, Apple uses the power of constant innovation to maintain the competitive edge. The firm has a huge investment on research and development, especially in the realms of proprietary chip design, artificial intelligence, and integration in an ecosystem </w:t>
      </w:r>
      <w:r w:rsidR="00DF7B68">
        <w:fldChar w:fldCharType="begin" w:fldLock="1"/>
      </w:r>
      <w:r w:rsidR="00DF7B68">
        <w:instrText>ADDIN CSL_CITATION {"citationItems":[{"id":"ITEM-1","itemData":{"author":[{"dropping-particle":"","family":"Apple Inc","given":"","non-dropping-particle":"","parse-names":false,"suffix":""}],"id":"ITEM-1","issued":{"date-parts":[["2023"]]},"page":"1-80","title":"Apple Inc Annual Report 2023","type":"patent"},"uris":["http://www.mendeley.com/documents/?uuid=18287737-e77d-4cd6-9501-7d5f29ecfcd1"]}],"mendeley":{"formattedCitation":"(Apple Inc, 2023)","plainTextFormattedCitation":"(Apple Inc, 2023)","previouslyFormattedCitation":"(Apple Inc, 2023)"},"properties":{"noteIndex":0},"schema":"https://github.com/citation-style-language/schema/raw/master/csl-citation.json"}</w:instrText>
      </w:r>
      <w:r w:rsidR="00DF7B68">
        <w:fldChar w:fldCharType="separate"/>
      </w:r>
      <w:r w:rsidR="00DF7B68" w:rsidRPr="00DF7B68">
        <w:rPr>
          <w:noProof/>
        </w:rPr>
        <w:t>(Apple Inc, 2023)</w:t>
      </w:r>
      <w:r w:rsidR="00DF7B68">
        <w:fldChar w:fldCharType="end"/>
      </w:r>
      <w:r>
        <w:t>.</w:t>
      </w:r>
    </w:p>
    <w:p w:rsidR="007569DF" w:rsidRDefault="007569DF" w:rsidP="007569DF">
      <w:pPr>
        <w:pStyle w:val="NoSpacing"/>
      </w:pPr>
      <w:r>
        <w:t xml:space="preserve">According to the industry data, more evolutions in the global smartphone living have been prompted by the technologies related to the 5G connection and AI-driven functionalities and enhanced user interfaces </w:t>
      </w:r>
      <w:r w:rsidR="00EA3255">
        <w:fldChar w:fldCharType="begin" w:fldLock="1"/>
      </w:r>
      <w:r w:rsidR="00EA3255">
        <w:instrText>ADDIN CSL_CITATION {"citationItems":[{"id":"ITEM-1","itemData":{"URL":"https://www.statista.com/statistics/271496/global-market-share-held-by-smartphone-vendors-since-4th-quarter-2009/","accessed":{"date-parts":[["2026","3","20"]]},"author":[{"dropping-particle":"","family":"Statista","given":"","non-dropping-particle":"","parse-names":false,"suffix":""}],"container-title":"Statista","id":"ITEM-1","issued":{"date-parts":[["2026","1"]]},"title":"Smartphone market share by vendor quarterly 2025| Statista","type":"webpage"},"uris":["http://www.mendeley.com/documents/?uuid=fbd2b648-1ab8-39d5-b3e1-163307ecac15"]}],"mendeley":{"formattedCitation":"(Statista, 2026)","plainTextFormattedCitation":"(Statista, 2026)","previouslyFormattedCitation":"(Statista, 2026)"},"properties":{"noteIndex":0},"schema":"https://github.com/citation-style-language/schema/raw/master/csl-citation.json"}</w:instrText>
      </w:r>
      <w:r w:rsidR="00EA3255">
        <w:fldChar w:fldCharType="separate"/>
      </w:r>
      <w:r w:rsidR="00EA3255" w:rsidRPr="00D817EC">
        <w:rPr>
          <w:noProof/>
        </w:rPr>
        <w:t>(Statista, 2026)</w:t>
      </w:r>
      <w:r w:rsidR="00EA3255">
        <w:fldChar w:fldCharType="end"/>
      </w:r>
      <w:r>
        <w:t xml:space="preserve">. This differentiated user experience is formed by Apple combining hardware, software, and services with services in a one-unit ecosystem which strengthens the brand loyalty and allows the company to command a high price </w:t>
      </w:r>
      <w:r w:rsidR="00EA3255">
        <w:fldChar w:fldCharType="begin" w:fldLock="1"/>
      </w:r>
      <w:r w:rsidR="00DF7B68">
        <w:instrText>ADDIN CSL_CITATION {"citationItems":[{"id":"ITEM-1","itemData":{"URL":"https://www.deloitte.com/global/en/about/press-room/deloitte-tmt-2023-predictions.html","accessed":{"date-parts":[["2026","3","20"]]},"author":[{"dropping-particle":"","family":"Deloitte","given":"","non-dropping-particle":"","parse-names":false,"suffix":""}],"container-title":"Deloitte","id":"ITEM-1","issued":{"date-parts":[["2022","11","30"]]},"title":"Deloitte TMT 2023 Predictions","type":"webpage"},"uris":["http://www.mendeley.com/documents/?uuid=6e79602b-1796-354f-8a9e-ca51550bebed"]}],"mendeley":{"formattedCitation":"(Deloitte, 2022)","plainTextFormattedCitation":"(Deloitte, 2022)","previouslyFormattedCitation":"(Deloitte, 2022)"},"properties":{"noteIndex":0},"schema":"https://github.com/citation-style-language/schema/raw/master/csl-citation.json"}</w:instrText>
      </w:r>
      <w:r w:rsidR="00EA3255">
        <w:fldChar w:fldCharType="separate"/>
      </w:r>
      <w:r w:rsidR="00EA3255" w:rsidRPr="00D817EC">
        <w:rPr>
          <w:noProof/>
        </w:rPr>
        <w:t>(Deloitte, 2022)</w:t>
      </w:r>
      <w:r w:rsidR="00EA3255">
        <w:fldChar w:fldCharType="end"/>
      </w:r>
      <w:r>
        <w:t>.</w:t>
      </w:r>
    </w:p>
    <w:p w:rsidR="007569DF" w:rsidRDefault="007569DF" w:rsidP="007569DF">
      <w:pPr>
        <w:pStyle w:val="NoSpacing"/>
      </w:pPr>
      <w:r>
        <w:t>But there is also the threat of a sudden technological change that would require a long-term investment and places the firm on the risk of becoming obsolete. Nevertheless, the high financial capability of Apple, as well as the power of innovation, helps such risks to be minimized. It is an implication of the competitive advantage, that through technological leadership, Apple can continue with a differentiation approach that will reinforce its dominance in the market and profitability.</w:t>
      </w:r>
    </w:p>
    <w:p w:rsidR="007569DF" w:rsidRDefault="007569DF" w:rsidP="007569DF">
      <w:pPr>
        <w:pStyle w:val="Heading2"/>
      </w:pPr>
      <w:bookmarkStart w:id="8" w:name="_Toc224944436"/>
      <w:r w:rsidRPr="007569DF">
        <w:t xml:space="preserve">2.2.2 Impact on the Follower </w:t>
      </w:r>
      <w:proofErr w:type="spellStart"/>
      <w:r w:rsidRPr="007569DF">
        <w:t>Organisation</w:t>
      </w:r>
      <w:proofErr w:type="spellEnd"/>
      <w:r w:rsidRPr="007569DF">
        <w:t xml:space="preserve"> (Xiaomi Corporation)</w:t>
      </w:r>
      <w:bookmarkEnd w:id="8"/>
    </w:p>
    <w:p w:rsidR="001D40DE" w:rsidRDefault="001D40DE" w:rsidP="001D40DE">
      <w:r>
        <w:t xml:space="preserve">In the case of Xiaomi Corporation, technology provides opportunities and limitations in a follower strategy. Xiaomi is a fast-follower company that quickly incorporates current innovations into its products at competitive prices </w:t>
      </w:r>
      <w:r w:rsidR="00E64D72">
        <w:fldChar w:fldCharType="begin" w:fldLock="1"/>
      </w:r>
      <w:r w:rsidR="00747FFB">
        <w:instrText>ADDIN CSL_CITATION {"citationItems":[{"id":"ITEM-1","itemData":{"abstract":"Technology continues to be a primary catalyst for change in the world. Technology advances give businesses, governments, and socialsector institutions more possibilities to lift their productivity, invent or reinvent offerings, and contribute to humanity’s well-being. And while it remains difficult to predict how technology trends will play out, executives can plan ahead better by tracking the development of new technologies, anticipating how companies might use them, and understanding the factors that affect innovation and adoption. To that end, we have worked with the internal and external experts on the McKinsey Technology Council to identify and interpret 14 of the most significant technology trends unfolding today (see sidebar “About the McKinsey Technology Council”). This study builds on the trend research we shared last year, adding fresh data and deeper analysis to provide a more granular assessment of trends in two thematic groups: Silicon Age, which encompasses digital and IT technologies, and Engineering Tomorrow, which encompasses physical technologies in domains such as energy and mobility. Our analysis examines such tangible, quantitative factors as investment, research activity, and news coverage to gauge the momentum of each trend. We also conducted dozens of interviews and performed hundreds of hours of research to learn which industries are apt to benefit most as they absorb these technologies. And, recognizing that trends can speed up, slow down, or change course, we examined the uncertainties and questions surrounding each trend. This research overview, an accompanying online interactive, and a set of 14 in-depth trend profiles lay out these considerations in more detail so that executives can better comprehend how the individual trends are developing and interacting, and what these developments might mean for their organizations. Looking across the trends, we also arrived at some general observations that leaders might find instructive.","author":[{"dropping-particle":"","family":"McKinsey &amp; Company","given":"","non-dropping-particle":"","parse-names":false,"suffix":""}],"container-title":"McKinsey","id":"ITEM-1","issue":"August","issued":{"date-parts":[["2022"]]},"number-of-pages":"1-47","title":"McKinsey Technology Trends Outlook 2022","type":"report"},"uris":["http://www.mendeley.com/documents/?uuid=5aa5b548-6980-4806-bd3b-e818574d23a8"]}],"mendeley":{"formattedCitation":"(McKinsey &amp; Company, 2022)","plainTextFormattedCitation":"(McKinsey &amp; Company, 2022)","previouslyFormattedCitation":"(McKinsey &amp; Company, 2022)"},"properties":{"noteIndex":0},"schema":"https://github.com/citation-style-language/schema/raw/master/csl-citation.json"}</w:instrText>
      </w:r>
      <w:r w:rsidR="00E64D72">
        <w:fldChar w:fldCharType="separate"/>
      </w:r>
      <w:r w:rsidR="00E64D72" w:rsidRPr="00E64D72">
        <w:rPr>
          <w:noProof/>
        </w:rPr>
        <w:t>(McKinsey &amp; Company, 2022)</w:t>
      </w:r>
      <w:r w:rsidR="00E64D72">
        <w:fldChar w:fldCharType="end"/>
      </w:r>
      <w:r>
        <w:t>.</w:t>
      </w:r>
    </w:p>
    <w:p w:rsidR="001D40DE" w:rsidRDefault="001D40DE" w:rsidP="001D40DE">
      <w:r>
        <w:t xml:space="preserve">The availability of mature and cost-effective technologies made available through technological advancements can also help Xiaomi to sell high in specification </w:t>
      </w:r>
      <w:r>
        <w:lastRenderedPageBreak/>
        <w:t xml:space="preserve">smartphones at comparatively cheaper prices. This increases its competitiveness especially in the developing markets which are very sensitive to prices </w:t>
      </w:r>
      <w:r w:rsidR="00747FFB">
        <w:fldChar w:fldCharType="begin" w:fldLock="1"/>
      </w:r>
      <w:r w:rsidR="00747FFB">
        <w:instrText>ADDIN CSL_CITATION {"citationItems":[{"id":"ITEM-1","itemData":{"URL":"https://www.statista.com/statistics/271496/global-market-share-held-by-smartphone-vendors-since-4th-quarter-2009/","accessed":{"date-parts":[["2026","3","20"]]},"author":[{"dropping-particle":"","family":"Statista","given":"","non-dropping-particle":"","parse-names":false,"suffix":""}],"container-title":"Statista","id":"ITEM-1","issued":{"date-parts":[["2026","1"]]},"title":"Smartphone market share by vendor quarterly 2025| Statista","type":"webpage"},"uris":["http://www.mendeley.com/documents/?uuid=fbd2b648-1ab8-39d5-b3e1-163307ecac15"]}],"mendeley":{"formattedCitation":"(Statista, 2026)","plainTextFormattedCitation":"(Statista, 2026)","previouslyFormattedCitation":"(Statista, 2026)"},"properties":{"noteIndex":0},"schema":"https://github.com/citation-style-language/schema/raw/master/csl-citation.json"}</w:instrText>
      </w:r>
      <w:r w:rsidR="00747FFB">
        <w:fldChar w:fldCharType="separate"/>
      </w:r>
      <w:r w:rsidR="00747FFB" w:rsidRPr="00D817EC">
        <w:rPr>
          <w:noProof/>
        </w:rPr>
        <w:t>(Statista, 2026)</w:t>
      </w:r>
      <w:r w:rsidR="00747FFB">
        <w:fldChar w:fldCharType="end"/>
      </w:r>
      <w:r w:rsidR="00E64D72">
        <w:t>.</w:t>
      </w:r>
      <w:r w:rsidR="00747FFB">
        <w:t xml:space="preserve"> </w:t>
      </w:r>
      <w:r>
        <w:t>Consequently, Xiaomi has gained the right to increase its market share in the global market in the last few years.</w:t>
      </w:r>
    </w:p>
    <w:p w:rsidR="001D40DE" w:rsidRDefault="001D40DE" w:rsidP="001D40DE">
      <w:r>
        <w:t xml:space="preserve">However, Xiaomi is more vulnerable than Apple because of the dependency on other suppliers and the weak own technological ecosystem. Contrary to Apple, Xiaomi is a company that does not have a significant vertical integration, and this limits its capacity to generate sustainable differentiation </w:t>
      </w:r>
      <w:r w:rsidR="00747FFB">
        <w:fldChar w:fldCharType="begin" w:fldLock="1"/>
      </w:r>
      <w:r w:rsidR="00D666A9">
        <w:instrText>ADDIN CSL_CITATION {"citationItems":[{"id":"ITEM-1","itemData":{"URL":"https://www.deloitte.com/global/en/about/press-room/deloitte-tmt-2023-predictions.html","accessed":{"date-parts":[["2026","3","20"]]},"author":[{"dropping-particle":"","family":"Deloitte","given":"","non-dropping-particle":"","parse-names":false,"suffix":""}],"container-title":"Deloitte","id":"ITEM-1","issued":{"date-parts":[["2022","11","30"]]},"title":"Deloitte TMT 2023 Predictions","type":"webpage"},"uris":["http://www.mendeley.com/documents/?uuid=6e79602b-1796-354f-8a9e-ca51550bebed"]}],"mendeley":{"formattedCitation":"(Deloitte, 2022)","plainTextFormattedCitation":"(Deloitte, 2022)","previouslyFormattedCitation":"(Deloitte, 2022)"},"properties":{"noteIndex":0},"schema":"https://github.com/citation-style-language/schema/raw/master/csl-citation.json"}</w:instrText>
      </w:r>
      <w:r w:rsidR="00747FFB">
        <w:fldChar w:fldCharType="separate"/>
      </w:r>
      <w:r w:rsidR="00747FFB" w:rsidRPr="00747FFB">
        <w:rPr>
          <w:noProof/>
        </w:rPr>
        <w:t>(Deloitte, 2022)</w:t>
      </w:r>
      <w:r w:rsidR="00747FFB">
        <w:fldChar w:fldCharType="end"/>
      </w:r>
      <w:r>
        <w:t>.</w:t>
      </w:r>
    </w:p>
    <w:p w:rsidR="007569DF" w:rsidRDefault="001D40DE" w:rsidP="001D40DE">
      <w:r>
        <w:t>The market position meaning is that Xiaomi can compete on cost effectiveness and value, instead of leading with innovation. Although the strategy can be used to generate faster growth and market penetration, its impact on long-term competitive advantage in the segments of premium markets might be restricted.</w:t>
      </w:r>
    </w:p>
    <w:p w:rsidR="001D40DE" w:rsidRPr="002439EF" w:rsidRDefault="001D40DE" w:rsidP="001D40DE">
      <w:pPr>
        <w:pStyle w:val="Heading2"/>
        <w:rPr>
          <w:rFonts w:eastAsia="Times New Roman"/>
        </w:rPr>
      </w:pPr>
      <w:bookmarkStart w:id="9" w:name="_Toc224944437"/>
      <w:r w:rsidRPr="002439EF">
        <w:rPr>
          <w:rFonts w:eastAsia="Times New Roman"/>
        </w:rPr>
        <w:t>2.3 Analysis of Macro Factor 2: Economic Factors</w:t>
      </w:r>
      <w:bookmarkEnd w:id="9"/>
    </w:p>
    <w:p w:rsidR="001D40DE" w:rsidRDefault="001D40DE" w:rsidP="001D40DE">
      <w:pPr>
        <w:pStyle w:val="Heading2"/>
        <w:rPr>
          <w:rFonts w:eastAsia="Times New Roman"/>
          <w:szCs w:val="24"/>
        </w:rPr>
      </w:pPr>
      <w:bookmarkStart w:id="10" w:name="_Toc224944438"/>
      <w:r w:rsidRPr="002439EF">
        <w:rPr>
          <w:rFonts w:eastAsia="Times New Roman"/>
          <w:szCs w:val="24"/>
        </w:rPr>
        <w:t xml:space="preserve">2.3.1 Impact on the Pioneer </w:t>
      </w:r>
      <w:proofErr w:type="spellStart"/>
      <w:r w:rsidRPr="002439EF">
        <w:rPr>
          <w:rFonts w:eastAsia="Times New Roman"/>
          <w:szCs w:val="24"/>
        </w:rPr>
        <w:t>Organisation</w:t>
      </w:r>
      <w:proofErr w:type="spellEnd"/>
      <w:r w:rsidRPr="002439EF">
        <w:rPr>
          <w:rFonts w:eastAsia="Times New Roman"/>
          <w:szCs w:val="24"/>
        </w:rPr>
        <w:t xml:space="preserve"> (Apple Inc.)</w:t>
      </w:r>
      <w:bookmarkEnd w:id="10"/>
    </w:p>
    <w:p w:rsidR="001D40DE" w:rsidRDefault="001D40DE" w:rsidP="001D40DE">
      <w:r>
        <w:t>Economic forces play a much larger role in influencing the performance of Apple Inc. especially as it has a high pricing policy. The high opportunity exists during the economic growth, when the level of disposable income increases and people are ready to spend money on the devices with high quality (Statista, 2024).</w:t>
      </w:r>
    </w:p>
    <w:p w:rsidR="001D40DE" w:rsidRDefault="001D40DE" w:rsidP="001D40DE">
      <w:r>
        <w:t xml:space="preserve">In contrast, economic crises, inflation and currency fluctuation are also significant threats. Studies show that shipments of smartphones in the world will generally decrease in moments of economic insecurity, as well, customers non-renew their purchases, switching to cheaper options </w:t>
      </w:r>
      <w:r w:rsidR="00D666A9">
        <w:fldChar w:fldCharType="begin" w:fldLock="1"/>
      </w:r>
      <w:r w:rsidR="00E274B8">
        <w:instrText>ADDIN CSL_CITATION {"citationItems":[{"id":"ITEM-1","itemData":{"URL":"https://www.idc.com/promo/smartphone-market-share/market-share/","accessed":{"date-parts":[["2026","3","20"]]},"author":[{"dropping-particle":"","family":"IDC","given":"","non-dropping-particle":"","parse-names":false,"suffix":""}],"container-title":"IDC","id":"ITEM-1","issued":{"date-parts":[["2026","3","5"]]},"title":"IDC - Smartphone Market Insights","type":"webpage"},"uris":["http://www.mendeley.com/documents/?uuid=e4d0a79b-ee44-3e38-8b14-66ad9819687b"]}],"mendeley":{"formattedCitation":"(IDC, 2026)","plainTextFormattedCitation":"(IDC, 2026)","previouslyFormattedCitation":"(IDC, 2026)"},"properties":{"noteIndex":0},"schema":"https://github.com/citation-style-language/schema/raw/master/csl-citation.json"}</w:instrText>
      </w:r>
      <w:r w:rsidR="00D666A9">
        <w:fldChar w:fldCharType="separate"/>
      </w:r>
      <w:r w:rsidR="00D666A9" w:rsidRPr="00D666A9">
        <w:rPr>
          <w:noProof/>
        </w:rPr>
        <w:t>(IDC, 2026)</w:t>
      </w:r>
      <w:r w:rsidR="00D666A9">
        <w:fldChar w:fldCharType="end"/>
      </w:r>
      <w:r>
        <w:t>. This trend can also have adverse effects on the sales of Apple especially in developing markets.</w:t>
      </w:r>
    </w:p>
    <w:p w:rsidR="001D40DE" w:rsidRDefault="001D40DE" w:rsidP="001D40DE">
      <w:r>
        <w:t xml:space="preserve">In spite of all these problems, Apple has been resilient as it has a good brand equity and customer loyalty. The effect of its ecosystem lock-in makes it less prone to switching </w:t>
      </w:r>
      <w:proofErr w:type="spellStart"/>
      <w:r>
        <w:t>behaviour</w:t>
      </w:r>
      <w:proofErr w:type="spellEnd"/>
      <w:r>
        <w:t xml:space="preserve"> among customers even in </w:t>
      </w:r>
      <w:proofErr w:type="spellStart"/>
      <w:r>
        <w:t>unfavoursome</w:t>
      </w:r>
      <w:proofErr w:type="spellEnd"/>
      <w:r>
        <w:t xml:space="preserve"> economic times </w:t>
      </w:r>
      <w:r w:rsidR="00E274B8">
        <w:fldChar w:fldCharType="begin" w:fldLock="1"/>
      </w:r>
      <w:r w:rsidR="00E274B8">
        <w:instrText>ADDIN CSL_CITATION {"citationItems":[{"id":"ITEM-1","itemData":{"author":[{"dropping-particle":"","family":"Johnson","given":"Gerry","non-dropping-particle":"","parse-names":false,"suffix":""},{"dropping-particle":"","family":"Scholes","given":"Kevan","non-dropping-particle":"","parse-names":false,"suffix":""},{"dropping-particle":"","family":"Whittington","given":"Richard","non-dropping-particle":"","parse-names":false,"suffix":""}],"id":"ITEM-1","issued":{"date-parts":[["2017","1","1"]]},"publisher":"Pearson","title":"Exploring Corporate Strategy: Text &amp; Cases","type":"book"},"uris":["http://www.mendeley.com/documents/?uuid=000711cf-f320-4c9f-bfbf-8b0458529141"]}],"mendeley":{"formattedCitation":"(Johnson, Scholes and Whittington, 2017)","plainTextFormattedCitation":"(Johnson, Scholes and Whittington, 2017)","previouslyFormattedCitation":"(Johnson, Scholes and Whittington, 2017)"},"properties":{"noteIndex":0},"schema":"https://github.com/citation-style-language/schema/raw/master/csl-citation.json"}</w:instrText>
      </w:r>
      <w:r w:rsidR="00E274B8">
        <w:fldChar w:fldCharType="separate"/>
      </w:r>
      <w:r w:rsidR="00E274B8" w:rsidRPr="00E274B8">
        <w:rPr>
          <w:noProof/>
        </w:rPr>
        <w:t>(Johnson, Scholes and Whittington, 2017)</w:t>
      </w:r>
      <w:r w:rsidR="00E274B8">
        <w:fldChar w:fldCharType="end"/>
      </w:r>
      <w:r>
        <w:t>. The competitive advantage implication is that when Apple growth is low due to recessions, it can still hold on to its comparatively stable, and profitable market.</w:t>
      </w:r>
    </w:p>
    <w:p w:rsidR="0040099F" w:rsidRDefault="0040099F" w:rsidP="0040099F">
      <w:pPr>
        <w:pStyle w:val="Heading2"/>
        <w:rPr>
          <w:rFonts w:eastAsia="Times New Roman"/>
        </w:rPr>
      </w:pPr>
      <w:bookmarkStart w:id="11" w:name="_Toc224944439"/>
      <w:r w:rsidRPr="002439EF">
        <w:rPr>
          <w:rFonts w:eastAsia="Times New Roman"/>
        </w:rPr>
        <w:lastRenderedPageBreak/>
        <w:t xml:space="preserve">2.3.2 Impact on the Follower </w:t>
      </w:r>
      <w:proofErr w:type="spellStart"/>
      <w:r w:rsidRPr="002439EF">
        <w:rPr>
          <w:rFonts w:eastAsia="Times New Roman"/>
        </w:rPr>
        <w:t>Organisation</w:t>
      </w:r>
      <w:proofErr w:type="spellEnd"/>
      <w:r w:rsidRPr="002439EF">
        <w:rPr>
          <w:rFonts w:eastAsia="Times New Roman"/>
        </w:rPr>
        <w:t xml:space="preserve"> (Xiaomi Corporation)</w:t>
      </w:r>
      <w:bookmarkEnd w:id="11"/>
    </w:p>
    <w:p w:rsidR="0040099F" w:rsidRDefault="0040099F" w:rsidP="0040099F">
      <w:r>
        <w:t xml:space="preserve">The economic realities pose a big opportunity to the Xiaomi Corporation particularly in times of financial limitation. Being a cost-oriented brand, Xiaomi also enjoys a price sensitivity tendency of consumers. Economic recessions tend to change the demand to less expensive smartphones to high-end ones and this enhances the market of Xiaomi </w:t>
      </w:r>
      <w:r w:rsidR="00E274B8">
        <w:fldChar w:fldCharType="begin" w:fldLock="1"/>
      </w:r>
      <w:r w:rsidR="00E274B8">
        <w:instrText>ADDIN CSL_CITATION {"citationItems":[{"id":"ITEM-1","itemData":{"URL":"https://www.statista.com/statistics/271496/global-market-share-held-by-smartphone-vendors-since-4th-quarter-2009/","accessed":{"date-parts":[["2026","3","20"]]},"author":[{"dropping-particle":"","family":"Statista","given":"","non-dropping-particle":"","parse-names":false,"suffix":""}],"container-title":"Statista","id":"ITEM-1","issued":{"date-parts":[["2026","1"]]},"title":"Smartphone market share by vendor quarterly 2025| Statista","type":"webpage"},"uris":["http://www.mendeley.com/documents/?uuid=fbd2b648-1ab8-39d5-b3e1-163307ecac15"]}],"mendeley":{"formattedCitation":"(Statista, 2026)","plainTextFormattedCitation":"(Statista, 2026)","previouslyFormattedCitation":"(Statista, 2026)"},"properties":{"noteIndex":0},"schema":"https://github.com/citation-style-language/schema/raw/master/csl-citation.json"}</w:instrText>
      </w:r>
      <w:r w:rsidR="00E274B8">
        <w:fldChar w:fldCharType="separate"/>
      </w:r>
      <w:r w:rsidR="00E274B8" w:rsidRPr="00E274B8">
        <w:rPr>
          <w:noProof/>
        </w:rPr>
        <w:t>(Statista, 2026)</w:t>
      </w:r>
      <w:r w:rsidR="00E274B8">
        <w:fldChar w:fldCharType="end"/>
      </w:r>
      <w:r>
        <w:t>.</w:t>
      </w:r>
    </w:p>
    <w:p w:rsidR="0040099F" w:rsidRDefault="0040099F" w:rsidP="0040099F">
      <w:r>
        <w:t>As one example, there has been rising inflation and tightened disposable income, world-wide, which has motivated the purchasers to find cheaper options, thus leading to increased sales of Xiaomi. This puts Xiaomi at a strong position in the emerging markets, whereby economic factors have one of the most significant roles in consumer decisions.</w:t>
      </w:r>
    </w:p>
    <w:p w:rsidR="0040099F" w:rsidRDefault="0040099F" w:rsidP="0040099F">
      <w:r>
        <w:t xml:space="preserve">Nevertheless, Xiaomi also has threats, such as unstable cost of production, supply chain and low profit margins. Its margin is also slimmer than that of Apple, which means that it is more vulnerable to cost and economic shocks </w:t>
      </w:r>
      <w:r w:rsidR="00E274B8">
        <w:fldChar w:fldCharType="begin" w:fldLock="1"/>
      </w:r>
      <w:r w:rsidR="00E274B8">
        <w:instrText>ADDIN CSL_CITATION {"citationItems":[{"id":"ITEM-1","itemData":{"abstract":"Technology continues to be a primary catalyst for change in the world. Technology advances give businesses, governments, and socialsector institutions more possibilities to lift their productivity, invent or reinvent offerings, and contribute to humanity’s well-being. And while it remains difficult to predict how technology trends will play out, executives can plan ahead better by tracking the development of new technologies, anticipating how companies might use them, and understanding the factors that affect innovation and adoption. To that end, we have worked with the internal and external experts on the McKinsey Technology Council to identify and interpret 14 of the most significant technology trends unfolding today (see sidebar “About the McKinsey Technology Council”). This study builds on the trend research we shared last year, adding fresh data and deeper analysis to provide a more granular assessment of trends in two thematic groups: Silicon Age, which encompasses digital and IT technologies, and Engineering Tomorrow, which encompasses physical technologies in domains such as energy and mobility. Our analysis examines such tangible, quantitative factors as investment, research activity, and news coverage to gauge the momentum of each trend. We also conducted dozens of interviews and performed hundreds of hours of research to learn which industries are apt to benefit most as they absorb these technologies. And, recognizing that trends can speed up, slow down, or change course, we examined the uncertainties and questions surrounding each trend. This research overview, an accompanying online interactive, and a set of 14 in-depth trend profiles lay out these considerations in more detail so that executives can better comprehend how the individual trends are developing and interacting, and what these developments might mean for their organizations. Looking across the trends, we also arrived at some general observations that leaders might find instructive.","author":[{"dropping-particle":"","family":"McKinsey &amp; Company","given":"","non-dropping-particle":"","parse-names":false,"suffix":""}],"container-title":"McKinsey","id":"ITEM-1","issue":"August","issued":{"date-parts":[["2022"]]},"number-of-pages":"1-47","title":"McKinsey Technology Trends Outlook 2022","type":"report"},"uris":["http://www.mendeley.com/documents/?uuid=5aa5b548-6980-4806-bd3b-e818574d23a8"]}],"mendeley":{"formattedCitation":"(McKinsey &amp; Company, 2022)","plainTextFormattedCitation":"(McKinsey &amp; Company, 2022)","previouslyFormattedCitation":"(McKinsey &amp; Company, 2022)"},"properties":{"noteIndex":0},"schema":"https://github.com/citation-style-language/schema/raw/master/csl-citation.json"}</w:instrText>
      </w:r>
      <w:r w:rsidR="00E274B8">
        <w:fldChar w:fldCharType="separate"/>
      </w:r>
      <w:r w:rsidR="00E274B8" w:rsidRPr="00E274B8">
        <w:rPr>
          <w:noProof/>
        </w:rPr>
        <w:t>(McKinsey &amp; Company, 2022)</w:t>
      </w:r>
      <w:r w:rsidR="00E274B8">
        <w:fldChar w:fldCharType="end"/>
      </w:r>
      <w:r>
        <w:t>.</w:t>
      </w:r>
    </w:p>
    <w:p w:rsidR="0040099F" w:rsidRDefault="0040099F" w:rsidP="0040099F">
      <w:r>
        <w:t>Flexibility wise, Xiaomi shows more flexible pricing and products in its offering, which makes it to be fast in adjusting to new economic conditions. The market position implication is that Xiaomi will be able to increase its market share when the economy is in a decline though profitability might also be limited.</w:t>
      </w:r>
    </w:p>
    <w:p w:rsidR="00264D4E" w:rsidRDefault="00264D4E" w:rsidP="0040099F"/>
    <w:p w:rsidR="00264D4E" w:rsidRDefault="00264D4E" w:rsidP="0040099F"/>
    <w:p w:rsidR="00264D4E" w:rsidRDefault="00264D4E" w:rsidP="0040099F"/>
    <w:p w:rsidR="00264D4E" w:rsidRDefault="00264D4E" w:rsidP="0040099F"/>
    <w:p w:rsidR="00264D4E" w:rsidRDefault="00264D4E" w:rsidP="0040099F"/>
    <w:p w:rsidR="00264D4E" w:rsidRDefault="00264D4E" w:rsidP="0040099F"/>
    <w:p w:rsidR="00264D4E" w:rsidRDefault="00264D4E" w:rsidP="0040099F"/>
    <w:p w:rsidR="00FB5595" w:rsidRDefault="00FB5595" w:rsidP="0040099F"/>
    <w:p w:rsidR="00FB5595" w:rsidRDefault="00FB5595" w:rsidP="0040099F"/>
    <w:p w:rsidR="00CE0A3C" w:rsidRDefault="00CE0A3C" w:rsidP="00CE0A3C">
      <w:pPr>
        <w:pStyle w:val="Caption"/>
        <w:rPr>
          <w:i w:val="0"/>
          <w:iCs w:val="0"/>
          <w:color w:val="auto"/>
          <w:sz w:val="24"/>
          <w:szCs w:val="22"/>
        </w:rPr>
      </w:pPr>
    </w:p>
    <w:p w:rsidR="00FB5595" w:rsidRPr="00FB5595" w:rsidRDefault="00FB5595" w:rsidP="00FB5595">
      <w:pPr>
        <w:jc w:val="center"/>
        <w:rPr>
          <w:b/>
          <w:color w:val="4472C4" w:themeColor="accent1"/>
        </w:rPr>
      </w:pPr>
      <w:r w:rsidRPr="00FB5595">
        <w:rPr>
          <w:b/>
          <w:color w:val="4472C4" w:themeColor="accent1"/>
        </w:rPr>
        <w:lastRenderedPageBreak/>
        <w:t>Market Growth Trend Line - Apple vs Xiaomi</w:t>
      </w:r>
    </w:p>
    <w:p w:rsidR="00CE0A3C" w:rsidRPr="00CE0A3C" w:rsidRDefault="00FB5595" w:rsidP="00FB5595">
      <w:pPr>
        <w:pStyle w:val="Caption"/>
      </w:pPr>
      <w:bookmarkStart w:id="12" w:name="_Toc224944477"/>
      <w:r>
        <w:t xml:space="preserve">Figure </w:t>
      </w:r>
      <w:fldSimple w:instr=" SEQ Figure \* ARABIC ">
        <w:r>
          <w:rPr>
            <w:noProof/>
          </w:rPr>
          <w:t>2</w:t>
        </w:r>
      </w:fldSimple>
      <w:r>
        <w:t xml:space="preserve">: </w:t>
      </w:r>
      <w:r w:rsidRPr="003D0BCB">
        <w:t>Market Growth Trend Line</w:t>
      </w:r>
      <w:r>
        <w:t xml:space="preserve"> - </w:t>
      </w:r>
      <w:r w:rsidRPr="003D0BCB">
        <w:t>Apple vs Xiaomi</w:t>
      </w:r>
      <w:r w:rsidR="00CE0A3C">
        <w:rPr>
          <w:noProof/>
        </w:rPr>
        <w:drawing>
          <wp:anchor distT="0" distB="0" distL="114300" distR="114300" simplePos="0" relativeHeight="251662336" behindDoc="0" locked="0" layoutInCell="1" allowOverlap="1" wp14:anchorId="31224C35" wp14:editId="0BD26885">
            <wp:simplePos x="0" y="0"/>
            <wp:positionH relativeFrom="margin">
              <wp:align>center</wp:align>
            </wp:positionH>
            <wp:positionV relativeFrom="paragraph">
              <wp:posOffset>0</wp:posOffset>
            </wp:positionV>
            <wp:extent cx="5956300" cy="3200400"/>
            <wp:effectExtent l="0" t="0" r="6350" b="0"/>
            <wp:wrapSquare wrapText="bothSides"/>
            <wp:docPr id="6" name="Chart 6">
              <a:extLst xmlns:a="http://schemas.openxmlformats.org/drawingml/2006/main">
                <a:ext uri="{FF2B5EF4-FFF2-40B4-BE49-F238E27FC236}">
                  <a16:creationId xmlns:a16="http://schemas.microsoft.com/office/drawing/2014/main" id="{40F4CD14-C26D-46AD-9C33-0C765C34A0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anchor>
        </w:drawing>
      </w:r>
      <w:bookmarkEnd w:id="12"/>
    </w:p>
    <w:p w:rsidR="00CE0A3C" w:rsidRDefault="00302123" w:rsidP="00E70136">
      <w:pPr>
        <w:pStyle w:val="NoSpacing"/>
        <w:rPr>
          <w:sz w:val="18"/>
          <w:szCs w:val="18"/>
        </w:rPr>
      </w:pPr>
      <w:r w:rsidRPr="002E032E">
        <w:rPr>
          <w:sz w:val="18"/>
          <w:szCs w:val="18"/>
        </w:rPr>
        <w:t>(</w:t>
      </w:r>
      <w:r w:rsidR="002E032E" w:rsidRPr="002E032E">
        <w:rPr>
          <w:sz w:val="18"/>
          <w:szCs w:val="18"/>
        </w:rPr>
        <w:t xml:space="preserve">For Chart </w:t>
      </w:r>
      <w:r w:rsidR="00E70136" w:rsidRPr="002E032E">
        <w:rPr>
          <w:sz w:val="18"/>
          <w:szCs w:val="18"/>
        </w:rPr>
        <w:t xml:space="preserve">Data collected from </w:t>
      </w:r>
      <w:r w:rsidR="005E485A" w:rsidRPr="002E032E">
        <w:rPr>
          <w:sz w:val="18"/>
          <w:szCs w:val="18"/>
        </w:rPr>
        <w:fldChar w:fldCharType="begin" w:fldLock="1"/>
      </w:r>
      <w:r w:rsidR="002E032E">
        <w:rPr>
          <w:sz w:val="18"/>
          <w:szCs w:val="18"/>
        </w:rPr>
        <w:instrText>ADDIN CSL_CITATION {"citationItems":[{"id":"ITEM-1","itemData":{"URL":"https://factodata.com/global-mobile-phone-market-share/","accessed":{"date-parts":[["2026","3","21"]]},"author":[{"dropping-particle":"","family":"Data and Statistics","given":"","non-dropping-particle":"","parse-names":false,"suffix":""}],"container-title":"FactoData","id":"ITEM-1","issued":{"date-parts":[["2025"]]},"title":"Global Smartphone Market share in 2024 - FactoData","type":"webpage"},"uris":["http://www.mendeley.com/documents/?uuid=3c0944bb-1918-3512-b6a6-2c64924497fe"]}],"mendeley":{"formattedCitation":"(Data and Statistics, 2025)","manualFormatting":"Data and Statistics, 2025)","plainTextFormattedCitation":"(Data and Statistics, 2025)","previouslyFormattedCitation":"(Data and Statistics, 2025)"},"properties":{"noteIndex":0},"schema":"https://github.com/citation-style-language/schema/raw/master/csl-citation.json"}</w:instrText>
      </w:r>
      <w:r w:rsidR="005E485A" w:rsidRPr="002E032E">
        <w:rPr>
          <w:sz w:val="18"/>
          <w:szCs w:val="18"/>
        </w:rPr>
        <w:fldChar w:fldCharType="separate"/>
      </w:r>
      <w:r w:rsidRPr="002E032E">
        <w:rPr>
          <w:noProof/>
          <w:sz w:val="18"/>
          <w:szCs w:val="18"/>
        </w:rPr>
        <w:t>Data and Statistics, 2025)</w:t>
      </w:r>
      <w:r w:rsidR="005E485A" w:rsidRPr="002E032E">
        <w:rPr>
          <w:sz w:val="18"/>
          <w:szCs w:val="18"/>
        </w:rPr>
        <w:fldChar w:fldCharType="end"/>
      </w:r>
    </w:p>
    <w:p w:rsidR="002E032E" w:rsidRPr="002E032E" w:rsidRDefault="002E032E" w:rsidP="00E70136">
      <w:pPr>
        <w:pStyle w:val="NoSpacing"/>
        <w:rPr>
          <w:sz w:val="18"/>
          <w:szCs w:val="18"/>
        </w:rPr>
      </w:pPr>
    </w:p>
    <w:p w:rsidR="00264D4E" w:rsidRPr="00264D4E" w:rsidRDefault="00264D4E" w:rsidP="00264D4E">
      <w:pPr>
        <w:pStyle w:val="Caption"/>
        <w:jc w:val="center"/>
        <w:rPr>
          <w:b/>
          <w:i w:val="0"/>
          <w:color w:val="4472C4" w:themeColor="accent1"/>
          <w:sz w:val="24"/>
          <w:szCs w:val="24"/>
        </w:rPr>
      </w:pPr>
      <w:r w:rsidRPr="00264D4E">
        <w:rPr>
          <w:b/>
          <w:i w:val="0"/>
          <w:color w:val="4472C4" w:themeColor="accent1"/>
          <w:sz w:val="24"/>
          <w:szCs w:val="24"/>
        </w:rPr>
        <w:t>Macro Factors - Impact on Pioneer (Apple) vs Follower (Xiaomi)</w:t>
      </w:r>
    </w:p>
    <w:tbl>
      <w:tblPr>
        <w:tblStyle w:val="TableGrid"/>
        <w:tblW w:w="9348" w:type="dxa"/>
        <w:tblLook w:val="04A0" w:firstRow="1" w:lastRow="0" w:firstColumn="1" w:lastColumn="0" w:noHBand="0" w:noVBand="1"/>
      </w:tblPr>
      <w:tblGrid>
        <w:gridCol w:w="2278"/>
        <w:gridCol w:w="2390"/>
        <w:gridCol w:w="2390"/>
        <w:gridCol w:w="2290"/>
      </w:tblGrid>
      <w:tr w:rsidR="00977320" w:rsidTr="00977320">
        <w:tc>
          <w:tcPr>
            <w:tcW w:w="2337" w:type="dxa"/>
            <w:vAlign w:val="center"/>
          </w:tcPr>
          <w:p w:rsidR="00977320" w:rsidRPr="004815E8" w:rsidRDefault="00977320" w:rsidP="009F58AF">
            <w:pPr>
              <w:spacing w:line="240" w:lineRule="auto"/>
              <w:jc w:val="center"/>
              <w:rPr>
                <w:rFonts w:eastAsia="Times New Roman" w:cs="Times New Roman"/>
                <w:b/>
                <w:bCs/>
                <w:szCs w:val="24"/>
              </w:rPr>
            </w:pPr>
            <w:r w:rsidRPr="004815E8">
              <w:rPr>
                <w:rFonts w:eastAsia="Times New Roman" w:cs="Times New Roman"/>
                <w:b/>
                <w:bCs/>
                <w:szCs w:val="24"/>
              </w:rPr>
              <w:t>Macro Factor</w:t>
            </w:r>
          </w:p>
        </w:tc>
        <w:tc>
          <w:tcPr>
            <w:tcW w:w="2337" w:type="dxa"/>
            <w:vAlign w:val="center"/>
          </w:tcPr>
          <w:p w:rsidR="00977320" w:rsidRPr="004815E8" w:rsidRDefault="00977320" w:rsidP="009F58AF">
            <w:pPr>
              <w:spacing w:line="240" w:lineRule="auto"/>
              <w:jc w:val="center"/>
              <w:rPr>
                <w:rFonts w:eastAsia="Times New Roman" w:cs="Times New Roman"/>
                <w:b/>
                <w:bCs/>
                <w:szCs w:val="24"/>
              </w:rPr>
            </w:pPr>
            <w:r w:rsidRPr="004815E8">
              <w:rPr>
                <w:rFonts w:eastAsia="Times New Roman" w:cs="Times New Roman"/>
                <w:b/>
                <w:bCs/>
                <w:szCs w:val="24"/>
              </w:rPr>
              <w:t>Apple (Pioneer) – Opportunity/Threat</w:t>
            </w:r>
          </w:p>
        </w:tc>
        <w:tc>
          <w:tcPr>
            <w:tcW w:w="2337" w:type="dxa"/>
            <w:vAlign w:val="center"/>
          </w:tcPr>
          <w:p w:rsidR="00977320" w:rsidRPr="004815E8" w:rsidRDefault="00977320" w:rsidP="009F58AF">
            <w:pPr>
              <w:spacing w:line="240" w:lineRule="auto"/>
              <w:jc w:val="center"/>
              <w:rPr>
                <w:rFonts w:eastAsia="Times New Roman" w:cs="Times New Roman"/>
                <w:b/>
                <w:bCs/>
                <w:szCs w:val="24"/>
              </w:rPr>
            </w:pPr>
            <w:r w:rsidRPr="004815E8">
              <w:rPr>
                <w:rFonts w:eastAsia="Times New Roman" w:cs="Times New Roman"/>
                <w:b/>
                <w:bCs/>
                <w:szCs w:val="24"/>
              </w:rPr>
              <w:t>Xiaomi (Follower) – Opportunity/Threat</w:t>
            </w:r>
          </w:p>
        </w:tc>
        <w:tc>
          <w:tcPr>
            <w:tcW w:w="2337" w:type="dxa"/>
            <w:vAlign w:val="center"/>
          </w:tcPr>
          <w:p w:rsidR="00977320" w:rsidRPr="004815E8" w:rsidRDefault="00977320" w:rsidP="009F58AF">
            <w:pPr>
              <w:spacing w:line="240" w:lineRule="auto"/>
              <w:jc w:val="center"/>
              <w:rPr>
                <w:rFonts w:eastAsia="Times New Roman" w:cs="Times New Roman"/>
                <w:b/>
                <w:bCs/>
                <w:szCs w:val="24"/>
              </w:rPr>
            </w:pPr>
            <w:r w:rsidRPr="004815E8">
              <w:rPr>
                <w:rFonts w:eastAsia="Times New Roman" w:cs="Times New Roman"/>
                <w:b/>
                <w:bCs/>
                <w:szCs w:val="24"/>
              </w:rPr>
              <w:t>Strategic Implication</w:t>
            </w:r>
          </w:p>
        </w:tc>
      </w:tr>
      <w:tr w:rsidR="00977320" w:rsidTr="00977320">
        <w:tc>
          <w:tcPr>
            <w:tcW w:w="2337" w:type="dxa"/>
            <w:vAlign w:val="center"/>
          </w:tcPr>
          <w:p w:rsidR="00977320" w:rsidRPr="004815E8" w:rsidRDefault="00977320" w:rsidP="009F58AF">
            <w:pPr>
              <w:spacing w:line="240" w:lineRule="auto"/>
              <w:jc w:val="left"/>
              <w:rPr>
                <w:rFonts w:eastAsia="Times New Roman" w:cs="Times New Roman"/>
                <w:szCs w:val="24"/>
              </w:rPr>
            </w:pPr>
            <w:r w:rsidRPr="004815E8">
              <w:rPr>
                <w:rFonts w:eastAsia="Times New Roman" w:cs="Times New Roman"/>
                <w:b/>
                <w:bCs/>
                <w:szCs w:val="24"/>
              </w:rPr>
              <w:t>Technological</w:t>
            </w:r>
          </w:p>
        </w:tc>
        <w:tc>
          <w:tcPr>
            <w:tcW w:w="2337" w:type="dxa"/>
            <w:vAlign w:val="center"/>
          </w:tcPr>
          <w:p w:rsidR="00977320" w:rsidRPr="004815E8" w:rsidRDefault="00977320" w:rsidP="009F58AF">
            <w:pPr>
              <w:spacing w:line="240" w:lineRule="auto"/>
              <w:jc w:val="left"/>
              <w:rPr>
                <w:rFonts w:eastAsia="Times New Roman" w:cs="Times New Roman"/>
                <w:szCs w:val="24"/>
              </w:rPr>
            </w:pPr>
            <w:r w:rsidRPr="004815E8">
              <w:rPr>
                <w:rFonts w:eastAsia="Times New Roman" w:cs="Times New Roman"/>
                <w:szCs w:val="24"/>
              </w:rPr>
              <w:t>Opportunity: Proprietary chipsets; AI integration; strengthens differentiation</w:t>
            </w:r>
          </w:p>
        </w:tc>
        <w:tc>
          <w:tcPr>
            <w:tcW w:w="2337" w:type="dxa"/>
            <w:vAlign w:val="center"/>
          </w:tcPr>
          <w:p w:rsidR="00977320" w:rsidRPr="004815E8" w:rsidRDefault="00977320" w:rsidP="009F58AF">
            <w:pPr>
              <w:spacing w:line="240" w:lineRule="auto"/>
              <w:jc w:val="left"/>
              <w:rPr>
                <w:rFonts w:eastAsia="Times New Roman" w:cs="Times New Roman"/>
                <w:szCs w:val="24"/>
              </w:rPr>
            </w:pPr>
            <w:r w:rsidRPr="004815E8">
              <w:rPr>
                <w:rFonts w:eastAsia="Times New Roman" w:cs="Times New Roman"/>
                <w:szCs w:val="24"/>
              </w:rPr>
              <w:t>Opportunity/Threat: Fast-follower strategy; quickly adapts existing technology</w:t>
            </w:r>
          </w:p>
        </w:tc>
        <w:tc>
          <w:tcPr>
            <w:tcW w:w="2337" w:type="dxa"/>
            <w:vAlign w:val="center"/>
          </w:tcPr>
          <w:p w:rsidR="00977320" w:rsidRPr="004815E8" w:rsidRDefault="00977320" w:rsidP="009F58AF">
            <w:pPr>
              <w:spacing w:line="240" w:lineRule="auto"/>
              <w:jc w:val="left"/>
              <w:rPr>
                <w:rFonts w:eastAsia="Times New Roman" w:cs="Times New Roman"/>
                <w:szCs w:val="24"/>
              </w:rPr>
            </w:pPr>
            <w:r w:rsidRPr="004815E8">
              <w:rPr>
                <w:rFonts w:eastAsia="Times New Roman" w:cs="Times New Roman"/>
                <w:szCs w:val="24"/>
              </w:rPr>
              <w:t>Apple maintains premium positioning; Xiaomi enhances cost competitiveness</w:t>
            </w:r>
          </w:p>
        </w:tc>
      </w:tr>
      <w:tr w:rsidR="00977320" w:rsidTr="00977320">
        <w:tc>
          <w:tcPr>
            <w:tcW w:w="2337" w:type="dxa"/>
            <w:vAlign w:val="center"/>
          </w:tcPr>
          <w:p w:rsidR="00977320" w:rsidRPr="004815E8" w:rsidRDefault="00977320" w:rsidP="009F58AF">
            <w:pPr>
              <w:spacing w:line="240" w:lineRule="auto"/>
              <w:jc w:val="left"/>
              <w:rPr>
                <w:rFonts w:eastAsia="Times New Roman" w:cs="Times New Roman"/>
                <w:szCs w:val="24"/>
              </w:rPr>
            </w:pPr>
            <w:r w:rsidRPr="004815E8">
              <w:rPr>
                <w:rFonts w:eastAsia="Times New Roman" w:cs="Times New Roman"/>
                <w:b/>
                <w:bCs/>
                <w:szCs w:val="24"/>
              </w:rPr>
              <w:t>Economic</w:t>
            </w:r>
          </w:p>
        </w:tc>
        <w:tc>
          <w:tcPr>
            <w:tcW w:w="2337" w:type="dxa"/>
            <w:vAlign w:val="center"/>
          </w:tcPr>
          <w:p w:rsidR="00977320" w:rsidRPr="004815E8" w:rsidRDefault="00977320" w:rsidP="009F58AF">
            <w:pPr>
              <w:spacing w:line="240" w:lineRule="auto"/>
              <w:jc w:val="left"/>
              <w:rPr>
                <w:rFonts w:eastAsia="Times New Roman" w:cs="Times New Roman"/>
                <w:szCs w:val="24"/>
              </w:rPr>
            </w:pPr>
            <w:r w:rsidRPr="004815E8">
              <w:rPr>
                <w:rFonts w:eastAsia="Times New Roman" w:cs="Times New Roman"/>
                <w:szCs w:val="24"/>
              </w:rPr>
              <w:t>Threat: Premium pricing may limit growth in price-sensitive markets</w:t>
            </w:r>
          </w:p>
        </w:tc>
        <w:tc>
          <w:tcPr>
            <w:tcW w:w="2337" w:type="dxa"/>
            <w:vAlign w:val="center"/>
          </w:tcPr>
          <w:p w:rsidR="00977320" w:rsidRPr="004815E8" w:rsidRDefault="00977320" w:rsidP="009F58AF">
            <w:pPr>
              <w:spacing w:line="240" w:lineRule="auto"/>
              <w:jc w:val="left"/>
              <w:rPr>
                <w:rFonts w:eastAsia="Times New Roman" w:cs="Times New Roman"/>
                <w:szCs w:val="24"/>
              </w:rPr>
            </w:pPr>
            <w:r w:rsidRPr="004815E8">
              <w:rPr>
                <w:rFonts w:eastAsia="Times New Roman" w:cs="Times New Roman"/>
                <w:szCs w:val="24"/>
              </w:rPr>
              <w:t>Opportunity: Low-cost devices attract price-sensitive consumer segments</w:t>
            </w:r>
          </w:p>
        </w:tc>
        <w:tc>
          <w:tcPr>
            <w:tcW w:w="2337" w:type="dxa"/>
            <w:vAlign w:val="center"/>
          </w:tcPr>
          <w:p w:rsidR="00977320" w:rsidRPr="004815E8" w:rsidRDefault="00977320" w:rsidP="009F58AF">
            <w:pPr>
              <w:spacing w:line="240" w:lineRule="auto"/>
              <w:jc w:val="left"/>
              <w:rPr>
                <w:rFonts w:eastAsia="Times New Roman" w:cs="Times New Roman"/>
                <w:szCs w:val="24"/>
              </w:rPr>
            </w:pPr>
            <w:r w:rsidRPr="004815E8">
              <w:rPr>
                <w:rFonts w:eastAsia="Times New Roman" w:cs="Times New Roman"/>
                <w:szCs w:val="24"/>
              </w:rPr>
              <w:t>Apple relies on brand loyalty and ecosystem; Xiaomi increases market share in emerging markets</w:t>
            </w:r>
          </w:p>
        </w:tc>
      </w:tr>
    </w:tbl>
    <w:p w:rsidR="00977320" w:rsidRDefault="00B16947" w:rsidP="00B16947">
      <w:pPr>
        <w:pStyle w:val="Caption"/>
      </w:pPr>
      <w:bookmarkStart w:id="13" w:name="_Toc224944467"/>
      <w:r>
        <w:t xml:space="preserve">Table </w:t>
      </w:r>
      <w:fldSimple w:instr=" SEQ Table \* ARABIC ">
        <w:r>
          <w:rPr>
            <w:noProof/>
          </w:rPr>
          <w:t>1</w:t>
        </w:r>
      </w:fldSimple>
      <w:r>
        <w:t xml:space="preserve">: </w:t>
      </w:r>
      <w:r w:rsidRPr="0044018C">
        <w:t>Macro Factors - Impact on Pioneer (Apple) vs Follower (Xiaomi)</w:t>
      </w:r>
      <w:bookmarkEnd w:id="13"/>
    </w:p>
    <w:p w:rsidR="00264D4E" w:rsidRDefault="00264D4E" w:rsidP="00264D4E"/>
    <w:p w:rsidR="00264D4E" w:rsidRDefault="00264D4E" w:rsidP="00264D4E"/>
    <w:p w:rsidR="004B0992" w:rsidRDefault="004B0992" w:rsidP="0040099F"/>
    <w:p w:rsidR="004B0992" w:rsidRPr="00DA7490" w:rsidRDefault="004B0992" w:rsidP="004B0992">
      <w:pPr>
        <w:pStyle w:val="Heading2"/>
        <w:rPr>
          <w:rFonts w:eastAsia="Times New Roman"/>
        </w:rPr>
      </w:pPr>
      <w:bookmarkStart w:id="14" w:name="_Toc224944440"/>
      <w:r w:rsidRPr="0076320C">
        <w:rPr>
          <w:rFonts w:eastAsia="Times New Roman"/>
        </w:rPr>
        <w:lastRenderedPageBreak/>
        <w:t xml:space="preserve">3. Task 2: Strategic Responses of Pioneering and Follower </w:t>
      </w:r>
      <w:proofErr w:type="spellStart"/>
      <w:r w:rsidRPr="0076320C">
        <w:rPr>
          <w:rFonts w:eastAsia="Times New Roman"/>
        </w:rPr>
        <w:t>Organisations</w:t>
      </w:r>
      <w:bookmarkEnd w:id="14"/>
      <w:proofErr w:type="spellEnd"/>
    </w:p>
    <w:p w:rsidR="004B0992" w:rsidRDefault="00CB0626" w:rsidP="004B0992">
      <w:pPr>
        <w:pStyle w:val="Heading2"/>
        <w:rPr>
          <w:rFonts w:eastAsia="Times New Roman"/>
          <w:sz w:val="27"/>
          <w:szCs w:val="27"/>
        </w:rPr>
      </w:pPr>
      <w:bookmarkStart w:id="15" w:name="_Toc224944441"/>
      <w:r>
        <w:rPr>
          <w:noProof/>
        </w:rPr>
        <w:drawing>
          <wp:anchor distT="0" distB="0" distL="114300" distR="114300" simplePos="0" relativeHeight="251660288" behindDoc="0" locked="0" layoutInCell="1" allowOverlap="1">
            <wp:simplePos x="0" y="0"/>
            <wp:positionH relativeFrom="margin">
              <wp:posOffset>-34290</wp:posOffset>
            </wp:positionH>
            <wp:positionV relativeFrom="paragraph">
              <wp:posOffset>276860</wp:posOffset>
            </wp:positionV>
            <wp:extent cx="5919470" cy="3587750"/>
            <wp:effectExtent l="0" t="0" r="508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19470" cy="3587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B0992" w:rsidRPr="0076320C">
        <w:rPr>
          <w:rFonts w:eastAsia="Times New Roman"/>
          <w:sz w:val="27"/>
          <w:szCs w:val="27"/>
        </w:rPr>
        <w:t xml:space="preserve">3.1 Pioneering </w:t>
      </w:r>
      <w:proofErr w:type="spellStart"/>
      <w:r w:rsidR="004B0992" w:rsidRPr="0076320C">
        <w:rPr>
          <w:rFonts w:eastAsia="Times New Roman"/>
          <w:sz w:val="27"/>
          <w:szCs w:val="27"/>
        </w:rPr>
        <w:t>Organisation’s</w:t>
      </w:r>
      <w:proofErr w:type="spellEnd"/>
      <w:r w:rsidR="004B0992" w:rsidRPr="0076320C">
        <w:rPr>
          <w:rFonts w:eastAsia="Times New Roman"/>
          <w:sz w:val="27"/>
          <w:szCs w:val="27"/>
        </w:rPr>
        <w:t xml:space="preserve"> Strategic Responses (Apple Inc.)</w:t>
      </w:r>
      <w:bookmarkEnd w:id="15"/>
    </w:p>
    <w:p w:rsidR="0032511A" w:rsidRDefault="00CB0626" w:rsidP="00CB0626">
      <w:pPr>
        <w:pStyle w:val="Caption"/>
      </w:pPr>
      <w:bookmarkStart w:id="16" w:name="_Toc224944478"/>
      <w:r>
        <w:t xml:space="preserve">Figure </w:t>
      </w:r>
      <w:fldSimple w:instr=" SEQ Figure \* ARABIC ">
        <w:r w:rsidR="00FB5595">
          <w:rPr>
            <w:noProof/>
          </w:rPr>
          <w:t>3</w:t>
        </w:r>
      </w:fldSimple>
      <w:r>
        <w:t xml:space="preserve">: </w:t>
      </w:r>
      <w:r w:rsidRPr="00B374C9">
        <w:t>Application of Ansoff Growth Matrix - Apple vs Xiaomi</w:t>
      </w:r>
      <w:bookmarkEnd w:id="16"/>
    </w:p>
    <w:p w:rsidR="004B0992" w:rsidRDefault="004B0992" w:rsidP="004B0992">
      <w:r>
        <w:t xml:space="preserve">Apple Inc., the pioneering </w:t>
      </w:r>
      <w:proofErr w:type="spellStart"/>
      <w:r>
        <w:t>organisation</w:t>
      </w:r>
      <w:proofErr w:type="spellEnd"/>
      <w:r>
        <w:t>, exhibits a very structural and innovation-based strategic response to the external environmental challenges and opportunities. Based on the Growth Matrix by Ansoff, we can explain the strategic orientation of the firm in terms of four growth strategies namely; market penetration, product development, market development and diversification</w:t>
      </w:r>
      <w:r w:rsidR="00E274B8">
        <w:t xml:space="preserve"> </w:t>
      </w:r>
      <w:r w:rsidR="00E274B8">
        <w:fldChar w:fldCharType="begin" w:fldLock="1"/>
      </w:r>
      <w:r w:rsidR="00157AC4">
        <w:instrText>ADDIN CSL_CITATION {"citationItems":[{"id":"ITEM-1","itemData":{"author":[{"dropping-particle":"","family":"Johnson","given":"Gerry","non-dropping-particle":"","parse-names":false,"suffix":""},{"dropping-particle":"","family":"Scholes","given":"Kevan","non-dropping-particle":"","parse-names":false,"suffix":""},{"dropping-particle":"","family":"Whittington","given":"Richard","non-dropping-particle":"","parse-names":false,"suffix":""}],"id":"ITEM-1","issued":{"date-parts":[["2017","1","1"]]},"publisher":"Pearson","title":"Exploring Corporate Strategy: Text &amp; Cases","type":"book"},"uris":["http://www.mendeley.com/documents/?uuid=000711cf-f320-4c9f-bfbf-8b0458529141"]},{"id":"ITEM-2","itemData":{"DOI":"10.1016/0024-6301(72)90048-9","ISSN":"00246301","abstract":"The most suitable approach to the obtaining of new products by an individual firm in order to reach new markets can be determined only after a thorough investigation of the company's situation and the market conditions. Depending on the relationship between the old and the new products and their markets, the following basic strategies are possible: horizontal, vertical and lateral diversification. © 1972.","author":[{"dropping-particle":"","family":"Ansoff","given":"H. I.","non-dropping-particle":"","parse-names":false,"suffix":""}],"container-title":"Harvard Business Review","id":"ITEM-2","issue":"5","issued":{"date-parts":[["1957"]]},"page":"113–124","title":"Strategies for diversification","type":"article-journal","volume":"35"},"uris":["http://www.mendeley.com/documents/?uuid=0b6212b7-f198-4694-8e4d-1c574af89356"]}],"mendeley":{"formattedCitation":"(Ansoff, 1957; Johnson, Scholes and Whittington, 2017)","plainTextFormattedCitation":"(Ansoff, 1957; Johnson, Scholes and Whittington, 2017)","previouslyFormattedCitation":"(Ansoff, 1957; Johnson, Scholes and Whittington, 2017)"},"properties":{"noteIndex":0},"schema":"https://github.com/citation-style-language/schema/raw/master/csl-citation.json"}</w:instrText>
      </w:r>
      <w:r w:rsidR="00E274B8">
        <w:fldChar w:fldCharType="separate"/>
      </w:r>
      <w:r w:rsidR="00E274B8" w:rsidRPr="00E274B8">
        <w:rPr>
          <w:noProof/>
        </w:rPr>
        <w:t>(Ansoff, 1957; Johnson, Scholes and Whittington, 2017)</w:t>
      </w:r>
      <w:r w:rsidR="00E274B8">
        <w:fldChar w:fldCharType="end"/>
      </w:r>
      <w:r>
        <w:t>. This model allows the critical review of how Apple responds to the macro factors that are technological and economic.</w:t>
      </w:r>
    </w:p>
    <w:p w:rsidR="004B0992" w:rsidRDefault="004B0992" w:rsidP="004B0992">
      <w:r>
        <w:t xml:space="preserve">Apple focuses largely on product development, and constantly launches new products and services in the existing markets. Apple has a massive investment in research and development due to the rapid change in technology, which is manifested in proprietary technologies (particularly, the M-series processors, a high level of artificial intelligence integration, and improved camera systems) </w:t>
      </w:r>
      <w:r w:rsidR="00157AC4">
        <w:fldChar w:fldCharType="begin" w:fldLock="1"/>
      </w:r>
      <w:r w:rsidR="00063F78">
        <w:instrText>ADDIN CSL_CITATION {"citationItems":[{"id":"ITEM-1","itemData":{"URL":"https://www.deloitte.com/global/en/about/press-room/deloitte-tmt-2023-predictions.html","accessed":{"date-parts":[["2026","3","20"]]},"author":[{"dropping-particle":"","family":"Deloitte","given":"","non-dropping-particle":"","parse-names":false,"suffix":""}],"container-title":"Deloitte","id":"ITEM-1","issued":{"date-parts":[["2022","11","30"]]},"title":"Deloitte TMT 2023 Predictions","type":"webpage"},"uris":["http://www.mendeley.com/documents/?uuid=6e79602b-1796-354f-8a9e-ca51550bebed"]},{"id":"ITEM-2","itemData":{"author":[{"dropping-particle":"","family":"Apple Inc","given":"","non-dropping-particle":"","parse-names":false,"suffix":""}],"id":"ITEM-2","issued":{"date-parts":[["2023"]]},"page":"1-80","title":"Apple Inc Annual Report 2023","type":"patent"},"uris":["http://www.mendeley.com/documents/?uuid=18287737-e77d-4cd6-9501-7d5f29ecfcd1"]}],"mendeley":{"formattedCitation":"(Deloitte, 2022; Apple Inc, 2023)","plainTextFormattedCitation":"(Deloitte, 2022; Apple Inc, 2023)","previouslyFormattedCitation":"(Deloitte, 2022; Apple Inc, 2023)"},"properties":{"noteIndex":0},"schema":"https://github.com/citation-style-language/schema/raw/master/csl-citation.json"}</w:instrText>
      </w:r>
      <w:r w:rsidR="00157AC4">
        <w:fldChar w:fldCharType="separate"/>
      </w:r>
      <w:r w:rsidR="00157AC4" w:rsidRPr="00157AC4">
        <w:rPr>
          <w:noProof/>
        </w:rPr>
        <w:t>(Deloitte, 2022; Apple Inc, 2023)</w:t>
      </w:r>
      <w:r w:rsidR="00157AC4">
        <w:fldChar w:fldCharType="end"/>
      </w:r>
      <w:r>
        <w:t>. These innovations reinforce differentiation, customer experience, and remain premium, which is consistent with the differentiation principle proposed by</w:t>
      </w:r>
      <w:r w:rsidR="00063F78">
        <w:t xml:space="preserve"> </w:t>
      </w:r>
      <w:r w:rsidR="00063F78">
        <w:fldChar w:fldCharType="begin" w:fldLock="1"/>
      </w:r>
      <w:r w:rsidR="00E13537">
        <w:instrText>ADDIN CSL_CITATION {"citationItems":[{"id":"ITEM-1","itemData":{"ISBN":"9780029250907","author":[{"dropping-particle":"","family":"Porter","given":"M E","non-dropping-particle":"","parse-names":false,"suffix":""}],"id":"ITEM-1","issued":{"date-parts":[["1985"]]},"publisher":"Free Press","title":"Competitive Advantage: Creating and Sustaining Superior Performance","type":"article-journal"},"uris":["http://www.mendeley.com/documents/?uuid=e7882caf-556f-4c00-b0e1-7418b2605914"]}],"mendeley":{"formattedCitation":"(Porter, 1985)","manualFormatting":"Porter (1985)","plainTextFormattedCitation":"(Porter, 1985)","previouslyFormattedCitation":"(Porter, 1985)"},"properties":{"noteIndex":0},"schema":"https://github.com/citation-style-language/schema/raw/master/csl-citation.json"}</w:instrText>
      </w:r>
      <w:r w:rsidR="00063F78">
        <w:fldChar w:fldCharType="separate"/>
      </w:r>
      <w:r w:rsidR="00063F78" w:rsidRPr="00063F78">
        <w:rPr>
          <w:noProof/>
        </w:rPr>
        <w:t>Porter</w:t>
      </w:r>
      <w:r w:rsidR="00063F78">
        <w:rPr>
          <w:noProof/>
        </w:rPr>
        <w:t xml:space="preserve"> (</w:t>
      </w:r>
      <w:r w:rsidR="00063F78" w:rsidRPr="00063F78">
        <w:rPr>
          <w:noProof/>
        </w:rPr>
        <w:t>1985)</w:t>
      </w:r>
      <w:r w:rsidR="00063F78">
        <w:fldChar w:fldCharType="end"/>
      </w:r>
      <w:r>
        <w:t>.</w:t>
      </w:r>
    </w:p>
    <w:p w:rsidR="004B0992" w:rsidRDefault="004B0992" w:rsidP="004B0992">
      <w:r>
        <w:t xml:space="preserve">Apple is actively involved in market development in economic factors, such as entering new markets, such as India and Southeast Asia, where the increasing disposable </w:t>
      </w:r>
      <w:r>
        <w:lastRenderedPageBreak/>
        <w:t xml:space="preserve">incomes and penetration of smartphones provide growth potential (Statista, 2024). Yet, it has a premium pricing policy that limits the access to segments that are sensitive to prices and limits the full extent of market usage </w:t>
      </w:r>
      <w:r w:rsidR="00E13537">
        <w:fldChar w:fldCharType="begin" w:fldLock="1"/>
      </w:r>
      <w:r w:rsidR="00E13537">
        <w:instrText>ADDIN CSL_CITATION {"citationItems":[{"id":"ITEM-1","itemData":{"author":[{"dropping-particle":"","family":"Johnson","given":"Gerry","non-dropping-particle":"","parse-names":false,"suffix":""},{"dropping-particle":"","family":"Scholes","given":"Kevan","non-dropping-particle":"","parse-names":false,"suffix":""},{"dropping-particle":"","family":"Whittington","given":"Richard","non-dropping-particle":"","parse-names":false,"suffix":""}],"id":"ITEM-1","issued":{"date-parts":[["2017","1","1"]]},"publisher":"Pearson","title":"Exploring Corporate Strategy: Text &amp; Cases","type":"book"},"uris":["http://www.mendeley.com/documents/?uuid=000711cf-f320-4c9f-bfbf-8b0458529141"]}],"mendeley":{"formattedCitation":"(Johnson, Scholes and Whittington, 2017)","plainTextFormattedCitation":"(Johnson, Scholes and Whittington, 2017)","previouslyFormattedCitation":"(Johnson, Scholes and Whittington, 2017)"},"properties":{"noteIndex":0},"schema":"https://github.com/citation-style-language/schema/raw/master/csl-citation.json"}</w:instrText>
      </w:r>
      <w:r w:rsidR="00E13537">
        <w:fldChar w:fldCharType="separate"/>
      </w:r>
      <w:r w:rsidR="00E13537" w:rsidRPr="00E13537">
        <w:rPr>
          <w:noProof/>
        </w:rPr>
        <w:t>(Johnson, Scholes and Whittington, 2017)</w:t>
      </w:r>
      <w:r w:rsidR="00E13537">
        <w:fldChar w:fldCharType="end"/>
      </w:r>
      <w:r>
        <w:t xml:space="preserve">. Apple manages this limitation so that it adds value through ecosystem services, a variety of services such as iCloud, Apple Music, and the App Store, which effectively create recurring revenue streams and makes hardware sales less dependent on hardware </w:t>
      </w:r>
      <w:r w:rsidR="00E13537">
        <w:fldChar w:fldCharType="begin" w:fldLock="1"/>
      </w:r>
      <w:r w:rsidR="00CF06C5">
        <w:instrText>ADDIN CSL_CITATION {"citationItems":[{"id":"ITEM-1","itemData":{"ISBN":"9780135887158","author":[{"dropping-particle":"","family":"Kotler","given":"P","non-dropping-particle":"","parse-names":false,"suffix":""},{"dropping-particle":"","family":"Keller","given":"K L","non-dropping-particle":"","parse-names":false,"suffix":""},{"dropping-particle":"","family":"Chernev","given":"A","non-dropping-particle":"","parse-names":false,"suffix":""}],"id":"ITEM-1","issued":{"date-parts":[["2021"]]},"publisher":"Pearson Education","title":"Marketing Management","type":"book"},"uris":["http://www.mendeley.com/documents/?uuid=d0c7ef5f-6770-4160-b18f-790e8d8db9ae"]}],"mendeley":{"formattedCitation":"(Kotler, Keller and Chernev, 2021)","plainTextFormattedCitation":"(Kotler, Keller and Chernev, 2021)","previouslyFormattedCitation":"(Kotler, Keller and Chernev, 2021)"},"properties":{"noteIndex":0},"schema":"https://github.com/citation-style-language/schema/raw/master/csl-citation.json"}</w:instrText>
      </w:r>
      <w:r w:rsidR="00E13537">
        <w:fldChar w:fldCharType="separate"/>
      </w:r>
      <w:r w:rsidR="00E13537" w:rsidRPr="00E13537">
        <w:rPr>
          <w:noProof/>
        </w:rPr>
        <w:t>(Kotler, Keller and Chernev, 2021)</w:t>
      </w:r>
      <w:r w:rsidR="00E13537">
        <w:fldChar w:fldCharType="end"/>
      </w:r>
      <w:r>
        <w:t>.</w:t>
      </w:r>
    </w:p>
    <w:p w:rsidR="004B0992" w:rsidRDefault="004B0992" w:rsidP="004B0992">
      <w:r>
        <w:t xml:space="preserve">Another related diversification Apple </w:t>
      </w:r>
      <w:proofErr w:type="spellStart"/>
      <w:r>
        <w:t>practises</w:t>
      </w:r>
      <w:proofErr w:type="spellEnd"/>
      <w:r>
        <w:t xml:space="preserve"> is to use services in differentiating hardware products in order to reinforce customer lock-in and risks in economic uncertainty </w:t>
      </w:r>
      <w:r w:rsidR="00CF06C5">
        <w:fldChar w:fldCharType="begin" w:fldLock="1"/>
      </w:r>
      <w:r w:rsidR="00CF06C5">
        <w:instrText>ADDIN CSL_CITATION {"citationItems":[{"id":"ITEM-1","itemData":{"URL":"https://www.idc.com/promo/smartphone-market-share/market-share/","accessed":{"date-parts":[["2026","3","20"]]},"author":[{"dropping-particle":"","family":"IDC","given":"","non-dropping-particle":"","parse-names":false,"suffix":""}],"container-title":"IDC","id":"ITEM-1","issued":{"date-parts":[["2026","3","5"]]},"title":"IDC - Smartphone Market Insights","type":"webpage"},"uris":["http://www.mendeley.com/documents/?uuid=e4d0a79b-ee44-3e38-8b14-66ad9819687b"]}],"mendeley":{"formattedCitation":"(IDC, 2026)","plainTextFormattedCitation":"(IDC, 2026)","previouslyFormattedCitation":"(IDC, 2026)"},"properties":{"noteIndex":0},"schema":"https://github.com/citation-style-language/schema/raw/master/csl-citation.json"}</w:instrText>
      </w:r>
      <w:r w:rsidR="00CF06C5">
        <w:fldChar w:fldCharType="separate"/>
      </w:r>
      <w:r w:rsidR="00CF06C5" w:rsidRPr="00CF06C5">
        <w:rPr>
          <w:noProof/>
        </w:rPr>
        <w:t>(IDC, 2026)</w:t>
      </w:r>
      <w:r w:rsidR="00CF06C5">
        <w:fldChar w:fldCharType="end"/>
      </w:r>
      <w:r>
        <w:t>. This strategy will provide a competitive advantage against competition threats and promote profitability in the long term, but price rigidity might lower agility during worse economic times.</w:t>
      </w:r>
    </w:p>
    <w:p w:rsidR="00B53C34" w:rsidRDefault="004B0992" w:rsidP="00CF06C5">
      <w:r>
        <w:t>More importantly, the strategic reactions of Apple represent the leadership of innovation, ecosystem integration, and differentiation of premiums. Although they are extremely useful to make the company remain competitive, its approaches lack flexibility in coping with the sudden changes in the economic environment, which, perhaps, is an issue when it comes to highly volatile markets</w:t>
      </w:r>
      <w:r w:rsidR="00CF06C5">
        <w:t xml:space="preserve"> </w:t>
      </w:r>
      <w:r w:rsidR="00CF06C5">
        <w:fldChar w:fldCharType="begin" w:fldLock="1"/>
      </w:r>
      <w:r w:rsidR="003C4DB0">
        <w:instrText>ADDIN CSL_CITATION {"citationItems":[{"id":"ITEM-1","itemData":{"URL":"https://www.deloitte.com/global/en/about/press-room/deloitte-tmt-2023-predictions.html","accessed":{"date-parts":[["2026","3","20"]]},"author":[{"dropping-particle":"","family":"Deloitte","given":"","non-dropping-particle":"","parse-names":false,"suffix":""}],"container-title":"Deloitte","id":"ITEM-1","issued":{"date-parts":[["2022","11","30"]]},"title":"Deloitte TMT 2023 Predictions","type":"webpage"},"uris":["http://www.mendeley.com/documents/?uuid=6e79602b-1796-354f-8a9e-ca51550bebed"]},{"id":"ITEM-2","itemData":{"author":[{"dropping-particle":"","family":"Apple Inc","given":"","non-dropping-particle":"","parse-names":false,"suffix":""}],"id":"ITEM-2","issued":{"date-parts":[["2023"]]},"page":"1-80","title":"Apple Inc Annual Report 2023","type":"patent"},"uris":["http://www.mendeley.com/documents/?uuid=18287737-e77d-4cd6-9501-7d5f29ecfcd1"]},{"id":"ITEM-3","itemData":{"author":[{"dropping-particle":"","family":"Johnson","given":"Gerry","non-dropping-particle":"","parse-names":false,"suffix":""},{"dropping-particle":"","family":"Scholes","given":"Kevan","non-dropping-particle":"","parse-names":false,"suffix":""},{"dropping-particle":"","family":"Whittington","given":"Richard","non-dropping-particle":"","parse-names":false,"suffix":""}],"id":"ITEM-3","issued":{"date-parts":[["2017","1","1"]]},"publisher":"Pearson","title":"Exploring Corporate Strategy: Text &amp; Cases","type":"book"},"uris":["http://www.mendeley.com/documents/?uuid=000711cf-f320-4c9f-bfbf-8b0458529141"]}],"mendeley":{"formattedCitation":"(Johnson, Scholes and Whittington, 2017; Deloitte, 2022; Apple Inc, 2023)","plainTextFormattedCitation":"(Johnson, Scholes and Whittington, 2017; Deloitte, 2022; Apple Inc, 2023)","previouslyFormattedCitation":"(Johnson, Scholes and Whittington, 2017; Deloitte, 2022; Apple Inc, 2023)"},"properties":{"noteIndex":0},"schema":"https://github.com/citation-style-language/schema/raw/master/csl-citation.json"}</w:instrText>
      </w:r>
      <w:r w:rsidR="00CF06C5">
        <w:fldChar w:fldCharType="separate"/>
      </w:r>
      <w:r w:rsidR="00CF06C5" w:rsidRPr="00CF06C5">
        <w:rPr>
          <w:noProof/>
        </w:rPr>
        <w:t>(Johnson, Scholes and Whittington, 2017; Deloitte, 2022; Apple Inc, 2023)</w:t>
      </w:r>
      <w:r w:rsidR="00CF06C5">
        <w:fldChar w:fldCharType="end"/>
      </w:r>
    </w:p>
    <w:p w:rsidR="007F4324" w:rsidRPr="00B53C34" w:rsidRDefault="00B63179" w:rsidP="00B53C34">
      <w:pPr>
        <w:pStyle w:val="Heading2"/>
        <w:rPr>
          <w:rFonts w:eastAsiaTheme="minorHAnsi"/>
        </w:rPr>
      </w:pPr>
      <w:bookmarkStart w:id="17" w:name="_Toc224944442"/>
      <w:r w:rsidRPr="0076320C">
        <w:rPr>
          <w:rFonts w:eastAsia="Times New Roman"/>
        </w:rPr>
        <w:t xml:space="preserve">3.2 Follower </w:t>
      </w:r>
      <w:proofErr w:type="spellStart"/>
      <w:r w:rsidRPr="0076320C">
        <w:rPr>
          <w:rFonts w:eastAsia="Times New Roman"/>
        </w:rPr>
        <w:t>Organisation’s</w:t>
      </w:r>
      <w:proofErr w:type="spellEnd"/>
      <w:r w:rsidRPr="0076320C">
        <w:rPr>
          <w:rFonts w:eastAsia="Times New Roman"/>
        </w:rPr>
        <w:t xml:space="preserve"> Strategic Responses (Xiaomi Corporation)</w:t>
      </w:r>
      <w:bookmarkEnd w:id="17"/>
    </w:p>
    <w:p w:rsidR="00BE4AED" w:rsidRDefault="00BE4AED" w:rsidP="00BE4AED">
      <w:r>
        <w:t xml:space="preserve">Xiaomi Corporation being a follower </w:t>
      </w:r>
      <w:proofErr w:type="spellStart"/>
      <w:r>
        <w:t>organisation</w:t>
      </w:r>
      <w:proofErr w:type="spellEnd"/>
      <w:r>
        <w:t xml:space="preserve"> is more flexible and cost oriented. It is also possible to review its reaction through the Growth Matrix suggested by Ansoff, but its strategy and choices are not similar to those of Apple</w:t>
      </w:r>
      <w:r w:rsidR="003C4DB0">
        <w:t xml:space="preserve"> </w:t>
      </w:r>
      <w:r w:rsidR="003C4DB0">
        <w:fldChar w:fldCharType="begin" w:fldLock="1"/>
      </w:r>
      <w:r w:rsidR="00A81073">
        <w:instrText>ADDIN CSL_CITATION {"citationItems":[{"id":"ITEM-1","itemData":{"DOI":"10.1016/0024-6301(72)90048-9","ISSN":"00246301","abstract":"The most suitable approach to the obtaining of new products by an individual firm in order to reach new markets can be determined only after a thorough investigation of the company's situation and the market conditions. Depending on the relationship between the old and the new products and their markets, the following basic strategies are possible: horizontal, vertical and lateral diversification. © 1972.","author":[{"dropping-particle":"","family":"Ansoff","given":"H. I.","non-dropping-particle":"","parse-names":false,"suffix":""}],"container-title":"Harvard Business Review","id":"ITEM-1","issue":"5","issued":{"date-parts":[["1957"]]},"page":"113–124","title":"Strategies for diversification","type":"article-journal","volume":"35"},"uris":["http://www.mendeley.com/documents/?uuid=0b6212b7-f198-4694-8e4d-1c574af89356"]},{"id":"ITEM-2","itemData":{"abstract":"Technology continues to be a primary catalyst for change in the world. Technology advances give businesses, governments, and socialsector institutions more possibilities to lift their productivity, invent or reinvent offerings, and contribute to humanity’s well-being. And while it remains difficult to predict how technology trends will play out, executives can plan ahead better by tracking the development of new technologies, anticipating how companies might use them, and understanding the factors that affect innovation and adoption. To that end, we have worked with the internal and external experts on the McKinsey Technology Council to identify and interpret 14 of the most significant technology trends unfolding today (see sidebar “About the McKinsey Technology Council”). This study builds on the trend research we shared last year, adding fresh data and deeper analysis to provide a more granular assessment of trends in two thematic groups: Silicon Age, which encompasses digital and IT technologies, and Engineering Tomorrow, which encompasses physical technologies in domains such as energy and mobility. Our analysis examines such tangible, quantitative factors as investment, research activity, and news coverage to gauge the momentum of each trend. We also conducted dozens of interviews and performed hundreds of hours of research to learn which industries are apt to benefit most as they absorb these technologies. And, recognizing that trends can speed up, slow down, or change course, we examined the uncertainties and questions surrounding each trend. This research overview, an accompanying online interactive, and a set of 14 in-depth trend profiles lay out these considerations in more detail so that executives can better comprehend how the individual trends are developing and interacting, and what these developments might mean for their organizations. Looking across the trends, we also arrived at some general observations that leaders might find instructive.","author":[{"dropping-particle":"","family":"McKinsey &amp; Company","given":"","non-dropping-particle":"","parse-names":false,"suffix":""}],"container-title":"McKinsey","id":"ITEM-2","issue":"August","issued":{"date-parts":[["2022"]]},"number-of-pages":"1-47","title":"McKinsey Technology Trends Outlook 2022","type":"report"},"uris":["http://www.mendeley.com/documents/?uuid=5aa5b548-6980-4806-bd3b-e818574d23a8"]}],"mendeley":{"formattedCitation":"(Ansoff, 1957; McKinsey &amp; Company, 2022)","plainTextFormattedCitation":"(Ansoff, 1957; McKinsey &amp; Company, 2022)","previouslyFormattedCitation":"(Ansoff, 1957; McKinsey &amp; Company, 2022)"},"properties":{"noteIndex":0},"schema":"https://github.com/citation-style-language/schema/raw/master/csl-citation.json"}</w:instrText>
      </w:r>
      <w:r w:rsidR="003C4DB0">
        <w:fldChar w:fldCharType="separate"/>
      </w:r>
      <w:r w:rsidR="003C4DB0" w:rsidRPr="003C4DB0">
        <w:rPr>
          <w:noProof/>
        </w:rPr>
        <w:t>(Ansoff, 1957; McKinsey &amp; Company, 2022)</w:t>
      </w:r>
      <w:r w:rsidR="003C4DB0">
        <w:fldChar w:fldCharType="end"/>
      </w:r>
      <w:r w:rsidR="003C4DB0">
        <w:t xml:space="preserve">. </w:t>
      </w:r>
      <w:r>
        <w:t xml:space="preserve">Xiaomi mainly employs market penetration, intending to maximize market share in the current markets by offering competitive pricing and intensive distribution channels. With its low prices and high specification smartphones, Xiaomi successfully draws in price applicants within the emerging economies, especially during the period of economic recessions </w:t>
      </w:r>
      <w:r w:rsidR="00A81073">
        <w:fldChar w:fldCharType="begin" w:fldLock="1"/>
      </w:r>
      <w:r w:rsidR="00A81073">
        <w:instrText>ADDIN CSL_CITATION {"citationItems":[{"id":"ITEM-1","itemData":{"URL":"https://www.statista.com/statistics/271496/global-market-share-held-by-smartphone-vendors-since-4th-quarter-2009/","accessed":{"date-parts":[["2026","3","20"]]},"author":[{"dropping-particle":"","family":"Statista","given":"","non-dropping-particle":"","parse-names":false,"suffix":""}],"container-title":"Statista","id":"ITEM-1","issued":{"date-parts":[["2026","1"]]},"title":"Smartphone market share by vendor quarterly 2025| Statista","type":"webpage"},"uris":["http://www.mendeley.com/documents/?uuid=fbd2b648-1ab8-39d5-b3e1-163307ecac15"]}],"mendeley":{"formattedCitation":"(Statista, 2026)","plainTextFormattedCitation":"(Statista, 2026)","previouslyFormattedCitation":"(Statista, 2026)"},"properties":{"noteIndex":0},"schema":"https://github.com/citation-style-language/schema/raw/master/csl-citation.json"}</w:instrText>
      </w:r>
      <w:r w:rsidR="00A81073">
        <w:fldChar w:fldCharType="separate"/>
      </w:r>
      <w:r w:rsidR="00A81073" w:rsidRPr="00A81073">
        <w:rPr>
          <w:noProof/>
        </w:rPr>
        <w:t>(Statista, 2026)</w:t>
      </w:r>
      <w:r w:rsidR="00A81073">
        <w:fldChar w:fldCharType="end"/>
      </w:r>
      <w:r>
        <w:t xml:space="preserve">. The approach helps the company to capitalize on the opportunity presented by the declining consumer buying ability and increasing demand of inexpensive devices </w:t>
      </w:r>
      <w:r w:rsidR="00A81073">
        <w:fldChar w:fldCharType="begin" w:fldLock="1"/>
      </w:r>
      <w:r w:rsidR="00A81073">
        <w:instrText>ADDIN CSL_CITATION {"citationItems":[{"id":"ITEM-1","itemData":{"ISBN":"9780135887158","author":[{"dropping-particle":"","family":"Kotler","given":"P","non-dropping-particle":"","parse-names":false,"suffix":""},{"dropping-particle":"","family":"Keller","given":"K L","non-dropping-particle":"","parse-names":false,"suffix":""},{"dropping-particle":"","family":"Chernev","given":"A","non-dropping-particle":"","parse-names":false,"suffix":""}],"id":"ITEM-1","issued":{"date-parts":[["2021"]]},"publisher":"Pearson Education","title":"Marketing Management","type":"book"},"uris":["http://www.mendeley.com/documents/?uuid=d0c7ef5f-6770-4160-b18f-790e8d8db9ae"]}],"mendeley":{"formattedCitation":"(Kotler, Keller and Chernev, 2021)","plainTextFormattedCitation":"(Kotler, Keller and Chernev, 2021)","previouslyFormattedCitation":"(Kotler, Keller and Chernev, 2021)"},"properties":{"noteIndex":0},"schema":"https://github.com/citation-style-language/schema/raw/master/csl-citation.json"}</w:instrText>
      </w:r>
      <w:r w:rsidR="00A81073">
        <w:fldChar w:fldCharType="separate"/>
      </w:r>
      <w:r w:rsidR="00A81073" w:rsidRPr="00A81073">
        <w:rPr>
          <w:noProof/>
        </w:rPr>
        <w:t>(Kotler, Keller and Chernev, 2021)</w:t>
      </w:r>
      <w:r w:rsidR="00A81073">
        <w:fldChar w:fldCharType="end"/>
      </w:r>
      <w:r>
        <w:t>.</w:t>
      </w:r>
    </w:p>
    <w:p w:rsidR="00BE4AED" w:rsidRDefault="00BE4AED" w:rsidP="00BE4AED">
      <w:r>
        <w:t xml:space="preserve">Besides that, Xiaomi uses product development through a fast-follower strategy. Xiaomi adapts the advanced technologies, including 5G connectivity, high megapixels </w:t>
      </w:r>
      <w:r>
        <w:lastRenderedPageBreak/>
        <w:t xml:space="preserve">cameras, long-lasting batteries, among other technologies, in a very short time, as soon as the rivals, including Apple, launch them </w:t>
      </w:r>
      <w:r w:rsidR="00A81073">
        <w:fldChar w:fldCharType="begin" w:fldLock="1"/>
      </w:r>
      <w:r w:rsidR="00A81073">
        <w:instrText>ADDIN CSL_CITATION {"citationItems":[{"id":"ITEM-1","itemData":{"URL":"https://www.deloitte.com/global/en/about/press-room/deloitte-tmt-2023-predictions.html","accessed":{"date-parts":[["2026","3","20"]]},"author":[{"dropping-particle":"","family":"Deloitte","given":"","non-dropping-particle":"","parse-names":false,"suffix":""}],"container-title":"Deloitte","id":"ITEM-1","issued":{"date-parts":[["2022","11","30"]]},"title":"Deloitte TMT 2023 Predictions","type":"webpage"},"uris":["http://www.mendeley.com/documents/?uuid=6e79602b-1796-354f-8a9e-ca51550bebed"]}],"mendeley":{"formattedCitation":"(Deloitte, 2022)","plainTextFormattedCitation":"(Deloitte, 2022)","previouslyFormattedCitation":"(Deloitte, 2022)"},"properties":{"noteIndex":0},"schema":"https://github.com/citation-style-language/schema/raw/master/csl-citation.json"}</w:instrText>
      </w:r>
      <w:r w:rsidR="00A81073">
        <w:fldChar w:fldCharType="separate"/>
      </w:r>
      <w:r w:rsidR="00A81073" w:rsidRPr="00A81073">
        <w:rPr>
          <w:noProof/>
        </w:rPr>
        <w:t>(Deloitte, 2022)</w:t>
      </w:r>
      <w:r w:rsidR="00A81073">
        <w:fldChar w:fldCharType="end"/>
      </w:r>
      <w:r>
        <w:t xml:space="preserve">. The strategy can help Xiaomi to stay technologically abreast with minimal R&amp;D spending, and this strategy aligns with the resource-based limitations that follower firms usually have </w:t>
      </w:r>
      <w:r w:rsidR="00A81073">
        <w:fldChar w:fldCharType="begin" w:fldLock="1"/>
      </w:r>
      <w:r w:rsidR="00B63965">
        <w:instrText>ADDIN CSL_CITATION {"citationItems":[{"id":"ITEM-1","itemData":{"author":[{"dropping-particle":"","family":"Johnson","given":"Gerry","non-dropping-particle":"","parse-names":false,"suffix":""},{"dropping-particle":"","family":"Scholes","given":"Kevan","non-dropping-particle":"","parse-names":false,"suffix":""},{"dropping-particle":"","family":"Whittington","given":"Richard","non-dropping-particle":"","parse-names":false,"suffix":""}],"id":"ITEM-1","issued":{"date-parts":[["2017","1","1"]]},"publisher":"Pearson","title":"Exploring Corporate Strategy: Text &amp; Cases","type":"book"},"uris":["http://www.mendeley.com/documents/?uuid=000711cf-f320-4c9f-bfbf-8b0458529141"]}],"mendeley":{"formattedCitation":"(Johnson, Scholes and Whittington, 2017)","plainTextFormattedCitation":"(Johnson, Scholes and Whittington, 2017)","previouslyFormattedCitation":"(Johnson, Scholes and Whittington, 2017)"},"properties":{"noteIndex":0},"schema":"https://github.com/citation-style-language/schema/raw/master/csl-citation.json"}</w:instrText>
      </w:r>
      <w:r w:rsidR="00A81073">
        <w:fldChar w:fldCharType="separate"/>
      </w:r>
      <w:r w:rsidR="00A81073" w:rsidRPr="00A81073">
        <w:rPr>
          <w:noProof/>
        </w:rPr>
        <w:t>(Johnson, Scholes and Whittington, 2017)</w:t>
      </w:r>
      <w:r w:rsidR="00A81073">
        <w:fldChar w:fldCharType="end"/>
      </w:r>
      <w:r>
        <w:t>.</w:t>
      </w:r>
    </w:p>
    <w:p w:rsidR="00BE4AED" w:rsidRDefault="00BE4AED" w:rsidP="00BE4AED">
      <w:r>
        <w:t xml:space="preserve">Another way in which Xiaomi promotes market development is through an international expansion into Asia, Europe, and Africa, which increases its level of competition and makes it less dependent on a particular market </w:t>
      </w:r>
      <w:r w:rsidR="00B63965">
        <w:fldChar w:fldCharType="begin" w:fldLock="1"/>
      </w:r>
      <w:r w:rsidR="00B63965">
        <w:instrText>ADDIN CSL_CITATION {"citationItems":[{"id":"ITEM-1","itemData":{"abstract":"Technology continues to be a primary catalyst for change in the world. Technology advances give businesses, governments, and socialsector institutions more possibilities to lift their productivity, invent or reinvent offerings, and contribute to humanity’s well-being. And while it remains difficult to predict how technology trends will play out, executives can plan ahead better by tracking the development of new technologies, anticipating how companies might use them, and understanding the factors that affect innovation and adoption. To that end, we have worked with the internal and external experts on the McKinsey Technology Council to identify and interpret 14 of the most significant technology trends unfolding today (see sidebar “About the McKinsey Technology Council”). This study builds on the trend research we shared last year, adding fresh data and deeper analysis to provide a more granular assessment of trends in two thematic groups: Silicon Age, which encompasses digital and IT technologies, and Engineering Tomorrow, which encompasses physical technologies in domains such as energy and mobility. Our analysis examines such tangible, quantitative factors as investment, research activity, and news coverage to gauge the momentum of each trend. We also conducted dozens of interviews and performed hundreds of hours of research to learn which industries are apt to benefit most as they absorb these technologies. And, recognizing that trends can speed up, slow down, or change course, we examined the uncertainties and questions surrounding each trend. This research overview, an accompanying online interactive, and a set of 14 in-depth trend profiles lay out these considerations in more detail so that executives can better comprehend how the individual trends are developing and interacting, and what these developments might mean for their organizations. Looking across the trends, we also arrived at some general observations that leaders might find instructive.","author":[{"dropping-particle":"","family":"McKinsey &amp; Company","given":"","non-dropping-particle":"","parse-names":false,"suffix":""}],"container-title":"McKinsey","id":"ITEM-1","issue":"August","issued":{"date-parts":[["2022"]]},"number-of-pages":"1-47","title":"McKinsey Technology Trends Outlook 2022","type":"report"},"uris":["http://www.mendeley.com/documents/?uuid=5aa5b548-6980-4806-bd3b-e818574d23a8"]}],"mendeley":{"formattedCitation":"(McKinsey &amp; Company, 2022)","plainTextFormattedCitation":"(McKinsey &amp; Company, 2022)","previouslyFormattedCitation":"(McKinsey &amp; Company, 2022)"},"properties":{"noteIndex":0},"schema":"https://github.com/citation-style-language/schema/raw/master/csl-citation.json"}</w:instrText>
      </w:r>
      <w:r w:rsidR="00B63965">
        <w:fldChar w:fldCharType="separate"/>
      </w:r>
      <w:r w:rsidR="00B63965" w:rsidRPr="00B63965">
        <w:rPr>
          <w:noProof/>
        </w:rPr>
        <w:t>(McKinsey &amp; Company, 2022)</w:t>
      </w:r>
      <w:r w:rsidR="00B63965">
        <w:fldChar w:fldCharType="end"/>
      </w:r>
      <w:r>
        <w:t xml:space="preserve">. The efficiency of its operations through online sales and direct-to-consumer model offers the firm efficiency in its operations, cost-saving, and scalability, which contributes to its cost leadership stance </w:t>
      </w:r>
      <w:r w:rsidR="00B63965">
        <w:fldChar w:fldCharType="begin" w:fldLock="1"/>
      </w:r>
      <w:r w:rsidR="004E7EF1">
        <w:instrText>ADDIN CSL_CITATION {"citationItems":[{"id":"ITEM-1","itemData":{"ISBN":"9780135887158","author":[{"dropping-particle":"","family":"Kotler","given":"P","non-dropping-particle":"","parse-names":false,"suffix":""},{"dropping-particle":"","family":"Keller","given":"K L","non-dropping-particle":"","parse-names":false,"suffix":""},{"dropping-particle":"","family":"Chernev","given":"A","non-dropping-particle":"","parse-names":false,"suffix":""}],"id":"ITEM-1","issued":{"date-parts":[["2021"]]},"publisher":"Pearson Education","title":"Marketing Management","type":"book"},"uris":["http://www.mendeley.com/documents/?uuid=d0c7ef5f-6770-4160-b18f-790e8d8db9ae"]}],"mendeley":{"formattedCitation":"(Kotler, Keller and Chernev, 2021)","plainTextFormattedCitation":"(Kotler, Keller and Chernev, 2021)","previouslyFormattedCitation":"(Kotler, Keller and Chernev, 2021)"},"properties":{"noteIndex":0},"schema":"https://github.com/citation-style-language/schema/raw/master/csl-citation.json"}</w:instrText>
      </w:r>
      <w:r w:rsidR="00B63965">
        <w:fldChar w:fldCharType="separate"/>
      </w:r>
      <w:r w:rsidR="00B63965" w:rsidRPr="00B63965">
        <w:rPr>
          <w:noProof/>
        </w:rPr>
        <w:t>(Kotler, Keller and Chernev, 2021)</w:t>
      </w:r>
      <w:r w:rsidR="00B63965">
        <w:fldChar w:fldCharType="end"/>
      </w:r>
      <w:r>
        <w:t>.</w:t>
      </w:r>
    </w:p>
    <w:p w:rsidR="00BE4AED" w:rsidRDefault="00BE4AED" w:rsidP="00BE4AED">
      <w:r>
        <w:t xml:space="preserve">Nonetheless, the strategies of Xiaomi are not problematic. It heavily depends on cost leadership, which causes it to have low profit margins and thus makes the firm susceptible to the increase in cost of components and instead of supply chain disruptions </w:t>
      </w:r>
      <w:r w:rsidR="004E7EF1">
        <w:fldChar w:fldCharType="begin" w:fldLock="1"/>
      </w:r>
      <w:r w:rsidR="004E7EF1">
        <w:instrText>ADDIN CSL_CITATION {"citationItems":[{"id":"ITEM-1","itemData":{"URL":"https://www.deloitte.com/global/en/about/press-room/deloitte-tmt-2023-predictions.html","accessed":{"date-parts":[["2026","3","20"]]},"author":[{"dropping-particle":"","family":"Deloitte","given":"","non-dropping-particle":"","parse-names":false,"suffix":""}],"container-title":"Deloitte","id":"ITEM-1","issued":{"date-parts":[["2022","11","30"]]},"title":"Deloitte TMT 2023 Predictions","type":"webpage"},"uris":["http://www.mendeley.com/documents/?uuid=6e79602b-1796-354f-8a9e-ca51550bebed"]}],"mendeley":{"formattedCitation":"(Deloitte, 2022)","plainTextFormattedCitation":"(Deloitte, 2022)","previouslyFormattedCitation":"(Deloitte, 2022)"},"properties":{"noteIndex":0},"schema":"https://github.com/citation-style-language/schema/raw/master/csl-citation.json"}</w:instrText>
      </w:r>
      <w:r w:rsidR="004E7EF1">
        <w:fldChar w:fldCharType="separate"/>
      </w:r>
      <w:r w:rsidR="004E7EF1" w:rsidRPr="004E7EF1">
        <w:rPr>
          <w:noProof/>
        </w:rPr>
        <w:t>(Deloitte, 2022)</w:t>
      </w:r>
      <w:r w:rsidR="004E7EF1">
        <w:fldChar w:fldCharType="end"/>
      </w:r>
      <w:r>
        <w:t xml:space="preserve">. In addition, poor brand differentiation makes it less competitive in the higher-level segments where brand perception and system integration are of greater concern </w:t>
      </w:r>
      <w:r w:rsidR="004E7EF1">
        <w:fldChar w:fldCharType="begin" w:fldLock="1"/>
      </w:r>
      <w:r w:rsidR="00DB4850">
        <w:instrText>ADDIN CSL_CITATION {"citationItems":[{"id":"ITEM-1","itemData":{"ISBN":"9780029250907","author":[{"dropping-particle":"","family":"Porter","given":"M E","non-dropping-particle":"","parse-names":false,"suffix":""}],"id":"ITEM-1","issued":{"date-parts":[["1985"]]},"publisher":"Free Press","title":"Competitive Advantage: Creating and Sustaining Superior Performance","type":"article-journal"},"uris":["http://www.mendeley.com/documents/?uuid=e7882caf-556f-4c00-b0e1-7418b2605914"]}],"mendeley":{"formattedCitation":"(Porter, 1985)","plainTextFormattedCitation":"(Porter, 1985)","previouslyFormattedCitation":"(Porter, 1985)"},"properties":{"noteIndex":0},"schema":"https://github.com/citation-style-language/schema/raw/master/csl-citation.json"}</w:instrText>
      </w:r>
      <w:r w:rsidR="004E7EF1">
        <w:fldChar w:fldCharType="separate"/>
      </w:r>
      <w:r w:rsidR="004E7EF1" w:rsidRPr="004E7EF1">
        <w:rPr>
          <w:noProof/>
        </w:rPr>
        <w:t>(Porter, 1985)</w:t>
      </w:r>
      <w:r w:rsidR="004E7EF1">
        <w:fldChar w:fldCharType="end"/>
      </w:r>
      <w:r>
        <w:t>.</w:t>
      </w:r>
    </w:p>
    <w:p w:rsidR="00BE4AED" w:rsidRDefault="00BE4AED" w:rsidP="00BE4AED">
      <w:r>
        <w:t xml:space="preserve">Importantly, Xiaomi is more flexible than Apple, in particular, to the changes of the economy. Highly adaptable price and diversification of its products enable it to quickly adapt to the market conditions to remain competitive even in times of worldwide economic uncertainty </w:t>
      </w:r>
      <w:r w:rsidR="00DB4850">
        <w:fldChar w:fldCharType="begin" w:fldLock="1"/>
      </w:r>
      <w:r w:rsidR="00DB4850">
        <w:instrText>ADDIN CSL_CITATION {"citationItems":[{"id":"ITEM-1","itemData":{"abstract":"Technology continues to be a primary catalyst for change in the world. Technology advances give businesses, governments, and socialsector institutions more possibilities to lift their productivity, invent or reinvent offerings, and contribute to humanity’s well-being. And while it remains difficult to predict how technology trends will play out, executives can plan ahead better by tracking the development of new technologies, anticipating how companies might use them, and understanding the factors that affect innovation and adoption. To that end, we have worked with the internal and external experts on the McKinsey Technology Council to identify and interpret 14 of the most significant technology trends unfolding today (see sidebar “About the McKinsey Technology Council”). This study builds on the trend research we shared last year, adding fresh data and deeper analysis to provide a more granular assessment of trends in two thematic groups: Silicon Age, which encompasses digital and IT technologies, and Engineering Tomorrow, which encompasses physical technologies in domains such as energy and mobility. Our analysis examines such tangible, quantitative factors as investment, research activity, and news coverage to gauge the momentum of each trend. We also conducted dozens of interviews and performed hundreds of hours of research to learn which industries are apt to benefit most as they absorb these technologies. And, recognizing that trends can speed up, slow down, or change course, we examined the uncertainties and questions surrounding each trend. This research overview, an accompanying online interactive, and a set of 14 in-depth trend profiles lay out these considerations in more detail so that executives can better comprehend how the individual trends are developing and interacting, and what these developments might mean for their organizations. Looking across the trends, we also arrived at some general observations that leaders might find instructive.","author":[{"dropping-particle":"","family":"McKinsey &amp; Company","given":"","non-dropping-particle":"","parse-names":false,"suffix":""}],"container-title":"McKinsey","id":"ITEM-1","issue":"August","issued":{"date-parts":[["2022"]]},"number-of-pages":"1-47","title":"McKinsey Technology Trends Outlook 2022","type":"report"},"uris":["http://www.mendeley.com/documents/?uuid=5aa5b548-6980-4806-bd3b-e818574d23a8"]},{"id":"ITEM-2","itemData":{"URL":"https://www.statista.com/statistics/271496/global-market-share-held-by-smartphone-vendors-since-4th-quarter-2009/","accessed":{"date-parts":[["2026","3","20"]]},"author":[{"dropping-particle":"","family":"Statista","given":"","non-dropping-particle":"","parse-names":false,"suffix":""}],"container-title":"Statista","id":"ITEM-2","issued":{"date-parts":[["2026","1"]]},"title":"Smartphone market share by vendor quarterly 2025| Statista","type":"webpage"},"uris":["http://www.mendeley.com/documents/?uuid=fbd2b648-1ab8-39d5-b3e1-163307ecac15"]}],"mendeley":{"formattedCitation":"(McKinsey &amp; Company, 2022; Statista, 2026)","plainTextFormattedCitation":"(McKinsey &amp; Company, 2022; Statista, 2026)","previouslyFormattedCitation":"(McKinsey &amp; Company, 2022; Statista, 2026)"},"properties":{"noteIndex":0},"schema":"https://github.com/citation-style-language/schema/raw/master/csl-citation.json"}</w:instrText>
      </w:r>
      <w:r w:rsidR="00DB4850">
        <w:fldChar w:fldCharType="separate"/>
      </w:r>
      <w:r w:rsidR="00DB4850" w:rsidRPr="00DB4850">
        <w:rPr>
          <w:noProof/>
        </w:rPr>
        <w:t>(McKinsey &amp; Company, 2022; Statista, 2026)</w:t>
      </w:r>
      <w:r w:rsidR="00DB4850">
        <w:fldChar w:fldCharType="end"/>
      </w:r>
      <w:r>
        <w:t>. Such short-term flexibility, however, might not be able to differentiate and enhance brand loyalty in the long term.</w:t>
      </w:r>
    </w:p>
    <w:p w:rsidR="00B63179" w:rsidRDefault="00BE4AED" w:rsidP="00BE4AED">
      <w:r>
        <w:t>Altogether, the strategic responses provided by Xiaomi, based on the Growth Matrix by Ansoff, can be characterized as market penetration and fast-follower growth strategy, as it can help to achieve rapid growth and cost-competitiveness but limits the ability to sustain differentiation in the long term</w:t>
      </w:r>
      <w:r w:rsidR="00F85159">
        <w:t xml:space="preserve"> </w:t>
      </w:r>
      <w:r w:rsidR="00F85159">
        <w:fldChar w:fldCharType="begin" w:fldLock="1"/>
      </w:r>
      <w:r w:rsidR="00820CBA">
        <w:instrText>ADDIN CSL_CITATION {"citationItems":[{"id":"ITEM-1","itemData":{"URL":"https://www.deloitte.com/global/en/about/press-room/deloitte-tmt-2023-predictions.html","accessed":{"date-parts":[["2026","3","20"]]},"author":[{"dropping-particle":"","family":"Deloitte","given":"","non-dropping-particle":"","parse-names":false,"suffix":""}],"container-title":"Deloitte","id":"ITEM-1","issued":{"date-parts":[["2022","11","30"]]},"title":"Deloitte TMT 2023 Predictions","type":"webpage"},"uris":["http://www.mendeley.com/documents/?uuid=6e79602b-1796-354f-8a9e-ca51550bebed"]},{"id":"ITEM-2","itemData":{"author":[{"dropping-particle":"","family":"Johnson","given":"Gerry","non-dropping-particle":"","parse-names":false,"suffix":""},{"dropping-particle":"","family":"Scholes","given":"Kevan","non-dropping-particle":"","parse-names":false,"suffix":""},{"dropping-particle":"","family":"Whittington","given":"Richard","non-dropping-particle":"","parse-names":false,"suffix":""}],"id":"ITEM-2","issued":{"date-parts":[["2017","1","1"]]},"publisher":"Pearson","title":"Exploring Corporate Strategy: Text &amp; Cases","type":"book"},"uris":["http://www.mendeley.com/documents/?uuid=000711cf-f320-4c9f-bfbf-8b0458529141"]}],"mendeley":{"formattedCitation":"(Johnson, Scholes and Whittington, 2017; Deloitte, 2022)","plainTextFormattedCitation":"(Johnson, Scholes and Whittington, 2017; Deloitte, 2022)","previouslyFormattedCitation":"(Johnson, Scholes and Whittington, 2017; Deloitte, 2022)"},"properties":{"noteIndex":0},"schema":"https://github.com/citation-style-language/schema/raw/master/csl-citation.json"}</w:instrText>
      </w:r>
      <w:r w:rsidR="00F85159">
        <w:fldChar w:fldCharType="separate"/>
      </w:r>
      <w:r w:rsidR="00F85159" w:rsidRPr="00F85159">
        <w:rPr>
          <w:noProof/>
        </w:rPr>
        <w:t>(Johnson, Scholes and Whittington, 2017; Deloitte, 2022)</w:t>
      </w:r>
      <w:r w:rsidR="00F85159">
        <w:fldChar w:fldCharType="end"/>
      </w:r>
      <w:r w:rsidR="00F85159">
        <w:t>.</w:t>
      </w:r>
    </w:p>
    <w:p w:rsidR="00ED789E" w:rsidRDefault="00ED789E" w:rsidP="00BE4AED"/>
    <w:p w:rsidR="00ED789E" w:rsidRDefault="00ED789E" w:rsidP="00BE4AED"/>
    <w:p w:rsidR="00ED789E" w:rsidRDefault="00ED789E" w:rsidP="00BE4AED"/>
    <w:p w:rsidR="00752F0A" w:rsidRPr="00C954B5" w:rsidRDefault="00752F0A" w:rsidP="00752F0A">
      <w:pPr>
        <w:spacing w:before="100" w:beforeAutospacing="1" w:after="100" w:afterAutospacing="1" w:line="240" w:lineRule="auto"/>
        <w:jc w:val="center"/>
        <w:rPr>
          <w:rFonts w:eastAsia="Times New Roman" w:cs="Times New Roman"/>
          <w:color w:val="4472C4" w:themeColor="accent1"/>
          <w:szCs w:val="24"/>
        </w:rPr>
      </w:pPr>
      <w:r w:rsidRPr="00752F0A">
        <w:rPr>
          <w:rFonts w:eastAsia="Times New Roman" w:cs="Times New Roman"/>
          <w:b/>
          <w:bCs/>
          <w:color w:val="4472C4" w:themeColor="accent1"/>
          <w:szCs w:val="24"/>
        </w:rPr>
        <w:lastRenderedPageBreak/>
        <w:t>Strategic Responses: Pioneer vs Follower</w:t>
      </w:r>
    </w:p>
    <w:tbl>
      <w:tblPr>
        <w:tblStyle w:val="TableGrid"/>
        <w:tblW w:w="0" w:type="auto"/>
        <w:tblLook w:val="04A0" w:firstRow="1" w:lastRow="0" w:firstColumn="1" w:lastColumn="0" w:noHBand="0" w:noVBand="1"/>
      </w:tblPr>
      <w:tblGrid>
        <w:gridCol w:w="1846"/>
        <w:gridCol w:w="2121"/>
        <w:gridCol w:w="1890"/>
        <w:gridCol w:w="3159"/>
      </w:tblGrid>
      <w:tr w:rsidR="00752F0A" w:rsidRPr="00C954B5" w:rsidTr="009F58AF">
        <w:tc>
          <w:tcPr>
            <w:tcW w:w="0" w:type="auto"/>
            <w:hideMark/>
          </w:tcPr>
          <w:p w:rsidR="00752F0A" w:rsidRPr="00C954B5" w:rsidRDefault="00752F0A" w:rsidP="009F58AF">
            <w:pPr>
              <w:spacing w:line="240" w:lineRule="auto"/>
              <w:jc w:val="center"/>
              <w:rPr>
                <w:rFonts w:eastAsia="Times New Roman" w:cs="Times New Roman"/>
                <w:b/>
                <w:bCs/>
                <w:szCs w:val="24"/>
              </w:rPr>
            </w:pPr>
            <w:r w:rsidRPr="00C954B5">
              <w:rPr>
                <w:rFonts w:eastAsia="Times New Roman" w:cs="Times New Roman"/>
                <w:b/>
                <w:bCs/>
                <w:szCs w:val="24"/>
              </w:rPr>
              <w:t>Strategic Dimension</w:t>
            </w:r>
          </w:p>
        </w:tc>
        <w:tc>
          <w:tcPr>
            <w:tcW w:w="0" w:type="auto"/>
            <w:hideMark/>
          </w:tcPr>
          <w:p w:rsidR="00752F0A" w:rsidRPr="00C954B5" w:rsidRDefault="00752F0A" w:rsidP="009F58AF">
            <w:pPr>
              <w:spacing w:line="240" w:lineRule="auto"/>
              <w:jc w:val="center"/>
              <w:rPr>
                <w:rFonts w:eastAsia="Times New Roman" w:cs="Times New Roman"/>
                <w:b/>
                <w:bCs/>
                <w:szCs w:val="24"/>
              </w:rPr>
            </w:pPr>
            <w:r w:rsidRPr="00C954B5">
              <w:rPr>
                <w:rFonts w:eastAsia="Times New Roman" w:cs="Times New Roman"/>
                <w:b/>
                <w:bCs/>
                <w:szCs w:val="24"/>
              </w:rPr>
              <w:t>Apple (Pioneer)</w:t>
            </w:r>
          </w:p>
        </w:tc>
        <w:tc>
          <w:tcPr>
            <w:tcW w:w="0" w:type="auto"/>
            <w:hideMark/>
          </w:tcPr>
          <w:p w:rsidR="00752F0A" w:rsidRPr="00C954B5" w:rsidRDefault="00752F0A" w:rsidP="009F58AF">
            <w:pPr>
              <w:spacing w:line="240" w:lineRule="auto"/>
              <w:jc w:val="center"/>
              <w:rPr>
                <w:rFonts w:eastAsia="Times New Roman" w:cs="Times New Roman"/>
                <w:b/>
                <w:bCs/>
                <w:szCs w:val="24"/>
              </w:rPr>
            </w:pPr>
            <w:r w:rsidRPr="00C954B5">
              <w:rPr>
                <w:rFonts w:eastAsia="Times New Roman" w:cs="Times New Roman"/>
                <w:b/>
                <w:bCs/>
                <w:szCs w:val="24"/>
              </w:rPr>
              <w:t>Xiaomi (Follower)</w:t>
            </w:r>
          </w:p>
        </w:tc>
        <w:tc>
          <w:tcPr>
            <w:tcW w:w="0" w:type="auto"/>
            <w:hideMark/>
          </w:tcPr>
          <w:p w:rsidR="00752F0A" w:rsidRPr="00C954B5" w:rsidRDefault="00752F0A" w:rsidP="009F58AF">
            <w:pPr>
              <w:spacing w:line="240" w:lineRule="auto"/>
              <w:jc w:val="center"/>
              <w:rPr>
                <w:rFonts w:eastAsia="Times New Roman" w:cs="Times New Roman"/>
                <w:b/>
                <w:bCs/>
                <w:szCs w:val="24"/>
              </w:rPr>
            </w:pPr>
            <w:r w:rsidRPr="00C954B5">
              <w:rPr>
                <w:rFonts w:eastAsia="Times New Roman" w:cs="Times New Roman"/>
                <w:b/>
                <w:bCs/>
                <w:szCs w:val="24"/>
              </w:rPr>
              <w:t>Outcome/Impact</w:t>
            </w:r>
          </w:p>
        </w:tc>
      </w:tr>
      <w:tr w:rsidR="00752F0A" w:rsidRPr="00C954B5" w:rsidTr="009F58AF">
        <w:tc>
          <w:tcPr>
            <w:tcW w:w="0" w:type="auto"/>
            <w:hideMark/>
          </w:tcPr>
          <w:p w:rsidR="00752F0A" w:rsidRPr="00C954B5" w:rsidRDefault="00752F0A" w:rsidP="009F58AF">
            <w:pPr>
              <w:spacing w:line="240" w:lineRule="auto"/>
              <w:jc w:val="left"/>
              <w:rPr>
                <w:rFonts w:eastAsia="Times New Roman" w:cs="Times New Roman"/>
                <w:szCs w:val="24"/>
              </w:rPr>
            </w:pPr>
            <w:r w:rsidRPr="00C954B5">
              <w:rPr>
                <w:rFonts w:eastAsia="Times New Roman" w:cs="Times New Roman"/>
                <w:szCs w:val="24"/>
              </w:rPr>
              <w:t>Core Strategy</w:t>
            </w:r>
          </w:p>
        </w:tc>
        <w:tc>
          <w:tcPr>
            <w:tcW w:w="0" w:type="auto"/>
            <w:hideMark/>
          </w:tcPr>
          <w:p w:rsidR="00752F0A" w:rsidRPr="00C954B5" w:rsidRDefault="00752F0A" w:rsidP="009F58AF">
            <w:pPr>
              <w:spacing w:line="240" w:lineRule="auto"/>
              <w:jc w:val="left"/>
              <w:rPr>
                <w:rFonts w:eastAsia="Times New Roman" w:cs="Times New Roman"/>
                <w:szCs w:val="24"/>
              </w:rPr>
            </w:pPr>
            <w:r w:rsidRPr="00C954B5">
              <w:rPr>
                <w:rFonts w:eastAsia="Times New Roman" w:cs="Times New Roman"/>
                <w:szCs w:val="24"/>
              </w:rPr>
              <w:t>Differentiation, innovation leadership</w:t>
            </w:r>
          </w:p>
        </w:tc>
        <w:tc>
          <w:tcPr>
            <w:tcW w:w="0" w:type="auto"/>
            <w:hideMark/>
          </w:tcPr>
          <w:p w:rsidR="00752F0A" w:rsidRPr="00C954B5" w:rsidRDefault="00752F0A" w:rsidP="009F58AF">
            <w:pPr>
              <w:spacing w:line="240" w:lineRule="auto"/>
              <w:jc w:val="left"/>
              <w:rPr>
                <w:rFonts w:eastAsia="Times New Roman" w:cs="Times New Roman"/>
                <w:szCs w:val="24"/>
              </w:rPr>
            </w:pPr>
            <w:r w:rsidRPr="00C954B5">
              <w:rPr>
                <w:rFonts w:eastAsia="Times New Roman" w:cs="Times New Roman"/>
                <w:szCs w:val="24"/>
              </w:rPr>
              <w:t>Cost leadership, fast-follower approach</w:t>
            </w:r>
          </w:p>
        </w:tc>
        <w:tc>
          <w:tcPr>
            <w:tcW w:w="0" w:type="auto"/>
            <w:hideMark/>
          </w:tcPr>
          <w:p w:rsidR="00752F0A" w:rsidRPr="00C954B5" w:rsidRDefault="00752F0A" w:rsidP="009F58AF">
            <w:pPr>
              <w:spacing w:line="240" w:lineRule="auto"/>
              <w:jc w:val="left"/>
              <w:rPr>
                <w:rFonts w:eastAsia="Times New Roman" w:cs="Times New Roman"/>
                <w:szCs w:val="24"/>
              </w:rPr>
            </w:pPr>
            <w:r w:rsidRPr="00C954B5">
              <w:rPr>
                <w:rFonts w:eastAsia="Times New Roman" w:cs="Times New Roman"/>
                <w:szCs w:val="24"/>
              </w:rPr>
              <w:t>Apple maintains premium positioning; Xiaomi grows market share in price-sensitive segments</w:t>
            </w:r>
          </w:p>
        </w:tc>
      </w:tr>
      <w:tr w:rsidR="00752F0A" w:rsidRPr="00C954B5" w:rsidTr="009F58AF">
        <w:tc>
          <w:tcPr>
            <w:tcW w:w="0" w:type="auto"/>
            <w:hideMark/>
          </w:tcPr>
          <w:p w:rsidR="00752F0A" w:rsidRPr="00C954B5" w:rsidRDefault="00752F0A" w:rsidP="009F58AF">
            <w:pPr>
              <w:spacing w:line="240" w:lineRule="auto"/>
              <w:jc w:val="left"/>
              <w:rPr>
                <w:rFonts w:eastAsia="Times New Roman" w:cs="Times New Roman"/>
                <w:szCs w:val="24"/>
              </w:rPr>
            </w:pPr>
            <w:r w:rsidRPr="00C954B5">
              <w:rPr>
                <w:rFonts w:eastAsia="Times New Roman" w:cs="Times New Roman"/>
                <w:szCs w:val="24"/>
              </w:rPr>
              <w:t>R&amp;D Approach</w:t>
            </w:r>
          </w:p>
        </w:tc>
        <w:tc>
          <w:tcPr>
            <w:tcW w:w="0" w:type="auto"/>
            <w:hideMark/>
          </w:tcPr>
          <w:p w:rsidR="00752F0A" w:rsidRPr="00C954B5" w:rsidRDefault="00752F0A" w:rsidP="009F58AF">
            <w:pPr>
              <w:spacing w:line="240" w:lineRule="auto"/>
              <w:jc w:val="left"/>
              <w:rPr>
                <w:rFonts w:eastAsia="Times New Roman" w:cs="Times New Roman"/>
                <w:szCs w:val="24"/>
              </w:rPr>
            </w:pPr>
            <w:r w:rsidRPr="00C954B5">
              <w:rPr>
                <w:rFonts w:eastAsia="Times New Roman" w:cs="Times New Roman"/>
                <w:szCs w:val="24"/>
              </w:rPr>
              <w:t>Heavy investment, proprietary tech</w:t>
            </w:r>
          </w:p>
        </w:tc>
        <w:tc>
          <w:tcPr>
            <w:tcW w:w="0" w:type="auto"/>
            <w:hideMark/>
          </w:tcPr>
          <w:p w:rsidR="00752F0A" w:rsidRPr="00C954B5" w:rsidRDefault="00752F0A" w:rsidP="009F58AF">
            <w:pPr>
              <w:spacing w:line="240" w:lineRule="auto"/>
              <w:jc w:val="left"/>
              <w:rPr>
                <w:rFonts w:eastAsia="Times New Roman" w:cs="Times New Roman"/>
                <w:szCs w:val="24"/>
              </w:rPr>
            </w:pPr>
            <w:r w:rsidRPr="00C954B5">
              <w:rPr>
                <w:rFonts w:eastAsia="Times New Roman" w:cs="Times New Roman"/>
                <w:szCs w:val="24"/>
              </w:rPr>
              <w:t>Moderate investment, rapid imitation</w:t>
            </w:r>
          </w:p>
        </w:tc>
        <w:tc>
          <w:tcPr>
            <w:tcW w:w="0" w:type="auto"/>
            <w:hideMark/>
          </w:tcPr>
          <w:p w:rsidR="00752F0A" w:rsidRPr="00C954B5" w:rsidRDefault="00752F0A" w:rsidP="009F58AF">
            <w:pPr>
              <w:spacing w:line="240" w:lineRule="auto"/>
              <w:jc w:val="left"/>
              <w:rPr>
                <w:rFonts w:eastAsia="Times New Roman" w:cs="Times New Roman"/>
                <w:szCs w:val="24"/>
              </w:rPr>
            </w:pPr>
            <w:r w:rsidRPr="00C954B5">
              <w:rPr>
                <w:rFonts w:eastAsia="Times New Roman" w:cs="Times New Roman"/>
                <w:szCs w:val="24"/>
              </w:rPr>
              <w:t>Apple leads tech; Xiaomi remains competitive at lower cost</w:t>
            </w:r>
          </w:p>
        </w:tc>
      </w:tr>
      <w:tr w:rsidR="00752F0A" w:rsidRPr="00C954B5" w:rsidTr="009F58AF">
        <w:tc>
          <w:tcPr>
            <w:tcW w:w="0" w:type="auto"/>
            <w:hideMark/>
          </w:tcPr>
          <w:p w:rsidR="00752F0A" w:rsidRPr="00C954B5" w:rsidRDefault="00752F0A" w:rsidP="009F58AF">
            <w:pPr>
              <w:spacing w:line="240" w:lineRule="auto"/>
              <w:jc w:val="left"/>
              <w:rPr>
                <w:rFonts w:eastAsia="Times New Roman" w:cs="Times New Roman"/>
                <w:szCs w:val="24"/>
              </w:rPr>
            </w:pPr>
            <w:r w:rsidRPr="00C954B5">
              <w:rPr>
                <w:rFonts w:eastAsia="Times New Roman" w:cs="Times New Roman"/>
                <w:szCs w:val="24"/>
              </w:rPr>
              <w:t>Market Focus</w:t>
            </w:r>
          </w:p>
        </w:tc>
        <w:tc>
          <w:tcPr>
            <w:tcW w:w="0" w:type="auto"/>
            <w:hideMark/>
          </w:tcPr>
          <w:p w:rsidR="00752F0A" w:rsidRPr="00C954B5" w:rsidRDefault="00752F0A" w:rsidP="009F58AF">
            <w:pPr>
              <w:spacing w:line="240" w:lineRule="auto"/>
              <w:jc w:val="left"/>
              <w:rPr>
                <w:rFonts w:eastAsia="Times New Roman" w:cs="Times New Roman"/>
                <w:szCs w:val="24"/>
              </w:rPr>
            </w:pPr>
            <w:r w:rsidRPr="00C954B5">
              <w:rPr>
                <w:rFonts w:eastAsia="Times New Roman" w:cs="Times New Roman"/>
                <w:szCs w:val="24"/>
              </w:rPr>
              <w:t>Premium consumers, emerging markets</w:t>
            </w:r>
          </w:p>
        </w:tc>
        <w:tc>
          <w:tcPr>
            <w:tcW w:w="0" w:type="auto"/>
            <w:hideMark/>
          </w:tcPr>
          <w:p w:rsidR="00752F0A" w:rsidRPr="00C954B5" w:rsidRDefault="00752F0A" w:rsidP="009F58AF">
            <w:pPr>
              <w:spacing w:line="240" w:lineRule="auto"/>
              <w:jc w:val="left"/>
              <w:rPr>
                <w:rFonts w:eastAsia="Times New Roman" w:cs="Times New Roman"/>
                <w:szCs w:val="24"/>
              </w:rPr>
            </w:pPr>
            <w:r w:rsidRPr="00C954B5">
              <w:rPr>
                <w:rFonts w:eastAsia="Times New Roman" w:cs="Times New Roman"/>
                <w:szCs w:val="24"/>
              </w:rPr>
              <w:t>Price-sensitive segments, global expansion</w:t>
            </w:r>
          </w:p>
        </w:tc>
        <w:tc>
          <w:tcPr>
            <w:tcW w:w="0" w:type="auto"/>
            <w:hideMark/>
          </w:tcPr>
          <w:p w:rsidR="00752F0A" w:rsidRPr="00C954B5" w:rsidRDefault="00752F0A" w:rsidP="009F58AF">
            <w:pPr>
              <w:spacing w:line="240" w:lineRule="auto"/>
              <w:jc w:val="left"/>
              <w:rPr>
                <w:rFonts w:eastAsia="Times New Roman" w:cs="Times New Roman"/>
                <w:szCs w:val="24"/>
              </w:rPr>
            </w:pPr>
            <w:r w:rsidRPr="00C954B5">
              <w:rPr>
                <w:rFonts w:eastAsia="Times New Roman" w:cs="Times New Roman"/>
                <w:szCs w:val="24"/>
              </w:rPr>
              <w:t>Balanced revenue streams vs fast penetration</w:t>
            </w:r>
          </w:p>
        </w:tc>
      </w:tr>
      <w:tr w:rsidR="00752F0A" w:rsidRPr="00C954B5" w:rsidTr="009F58AF">
        <w:tc>
          <w:tcPr>
            <w:tcW w:w="0" w:type="auto"/>
            <w:hideMark/>
          </w:tcPr>
          <w:p w:rsidR="00752F0A" w:rsidRPr="00C954B5" w:rsidRDefault="00752F0A" w:rsidP="009F58AF">
            <w:pPr>
              <w:spacing w:line="240" w:lineRule="auto"/>
              <w:jc w:val="left"/>
              <w:rPr>
                <w:rFonts w:eastAsia="Times New Roman" w:cs="Times New Roman"/>
                <w:szCs w:val="24"/>
              </w:rPr>
            </w:pPr>
            <w:r w:rsidRPr="00C954B5">
              <w:rPr>
                <w:rFonts w:eastAsia="Times New Roman" w:cs="Times New Roman"/>
                <w:szCs w:val="24"/>
              </w:rPr>
              <w:t>Revenue Diversification</w:t>
            </w:r>
          </w:p>
        </w:tc>
        <w:tc>
          <w:tcPr>
            <w:tcW w:w="0" w:type="auto"/>
            <w:hideMark/>
          </w:tcPr>
          <w:p w:rsidR="00752F0A" w:rsidRPr="00C954B5" w:rsidRDefault="00752F0A" w:rsidP="009F58AF">
            <w:pPr>
              <w:spacing w:line="240" w:lineRule="auto"/>
              <w:jc w:val="left"/>
              <w:rPr>
                <w:rFonts w:eastAsia="Times New Roman" w:cs="Times New Roman"/>
                <w:szCs w:val="24"/>
              </w:rPr>
            </w:pPr>
            <w:r w:rsidRPr="00C954B5">
              <w:rPr>
                <w:rFonts w:eastAsia="Times New Roman" w:cs="Times New Roman"/>
                <w:szCs w:val="24"/>
              </w:rPr>
              <w:t>Hardware + Services ecosystem</w:t>
            </w:r>
          </w:p>
        </w:tc>
        <w:tc>
          <w:tcPr>
            <w:tcW w:w="0" w:type="auto"/>
            <w:hideMark/>
          </w:tcPr>
          <w:p w:rsidR="00752F0A" w:rsidRPr="00C954B5" w:rsidRDefault="00752F0A" w:rsidP="009F58AF">
            <w:pPr>
              <w:spacing w:line="240" w:lineRule="auto"/>
              <w:jc w:val="left"/>
              <w:rPr>
                <w:rFonts w:eastAsia="Times New Roman" w:cs="Times New Roman"/>
                <w:szCs w:val="24"/>
              </w:rPr>
            </w:pPr>
            <w:r w:rsidRPr="00C954B5">
              <w:rPr>
                <w:rFonts w:eastAsia="Times New Roman" w:cs="Times New Roman"/>
                <w:szCs w:val="24"/>
              </w:rPr>
              <w:t>Primarily hardware</w:t>
            </w:r>
          </w:p>
        </w:tc>
        <w:tc>
          <w:tcPr>
            <w:tcW w:w="0" w:type="auto"/>
            <w:hideMark/>
          </w:tcPr>
          <w:p w:rsidR="00752F0A" w:rsidRPr="00C954B5" w:rsidRDefault="00752F0A" w:rsidP="009F58AF">
            <w:pPr>
              <w:spacing w:line="240" w:lineRule="auto"/>
              <w:jc w:val="left"/>
              <w:rPr>
                <w:rFonts w:eastAsia="Times New Roman" w:cs="Times New Roman"/>
                <w:szCs w:val="24"/>
              </w:rPr>
            </w:pPr>
            <w:r w:rsidRPr="00C954B5">
              <w:rPr>
                <w:rFonts w:eastAsia="Times New Roman" w:cs="Times New Roman"/>
                <w:szCs w:val="24"/>
              </w:rPr>
              <w:t>Apple reduces risk, Xiaomi relies on volume sales</w:t>
            </w:r>
          </w:p>
        </w:tc>
      </w:tr>
    </w:tbl>
    <w:p w:rsidR="00B03FCF" w:rsidRDefault="00752F0A" w:rsidP="00FE4423">
      <w:pPr>
        <w:pStyle w:val="Caption"/>
      </w:pPr>
      <w:bookmarkStart w:id="18" w:name="_Toc224944468"/>
      <w:r>
        <w:t xml:space="preserve">Table </w:t>
      </w:r>
      <w:fldSimple w:instr=" SEQ Table \* ARABIC ">
        <w:r w:rsidR="00B16947">
          <w:rPr>
            <w:noProof/>
          </w:rPr>
          <w:t>2</w:t>
        </w:r>
      </w:fldSimple>
      <w:r>
        <w:t xml:space="preserve">: </w:t>
      </w:r>
      <w:r w:rsidRPr="00AE10B4">
        <w:t>Strategic Responses: Pioneer vs Follower</w:t>
      </w:r>
      <w:bookmarkEnd w:id="18"/>
    </w:p>
    <w:p w:rsidR="00FE4423" w:rsidRPr="00FE4423" w:rsidRDefault="00FE4423" w:rsidP="00FE4423"/>
    <w:p w:rsidR="00942841" w:rsidRPr="00B02D19" w:rsidRDefault="00942841" w:rsidP="00B02D19">
      <w:pPr>
        <w:pStyle w:val="Heading2"/>
        <w:rPr>
          <w:rFonts w:ascii="Times New Roman" w:hAnsi="Times New Roman"/>
          <w:sz w:val="36"/>
          <w:szCs w:val="36"/>
        </w:rPr>
      </w:pPr>
      <w:bookmarkStart w:id="19" w:name="_Toc224944443"/>
      <w:r w:rsidRPr="00B02D19">
        <w:rPr>
          <w:rStyle w:val="Strong"/>
          <w:b/>
        </w:rPr>
        <w:t>4. Conclusion</w:t>
      </w:r>
      <w:bookmarkEnd w:id="19"/>
    </w:p>
    <w:p w:rsidR="00230E0D" w:rsidRDefault="00230E0D" w:rsidP="00230E0D">
      <w:r>
        <w:t xml:space="preserve">Drawing a conclusion, this report has critically discussed strategic responses in a pioneer </w:t>
      </w:r>
      <w:proofErr w:type="spellStart"/>
      <w:r>
        <w:t>organisation</w:t>
      </w:r>
      <w:proofErr w:type="spellEnd"/>
      <w:r>
        <w:t xml:space="preserve"> compared to a follower </w:t>
      </w:r>
      <w:proofErr w:type="spellStart"/>
      <w:r>
        <w:t>organisation</w:t>
      </w:r>
      <w:proofErr w:type="spellEnd"/>
      <w:r>
        <w:t xml:space="preserve"> in the smartphone industry in the global market. The macro marketing environment has been analyzed indicating that technology and the economy play a major role in the dynamics of industries. In the case of the groundbreaking </w:t>
      </w:r>
      <w:proofErr w:type="spellStart"/>
      <w:r>
        <w:t>organisation</w:t>
      </w:r>
      <w:proofErr w:type="spellEnd"/>
      <w:r>
        <w:t>, Apple, technological innovation and high premium positioning have helped it stay ahead of competition and act proactively when external opportunities and challenges arise. Unremitting development of products and their diversification into ecosystem has strengthened brand loyalty and guaranteed long-term sustainability, but monitored impact of pricing flexibility restraint its expansion in price-sensitive markets.</w:t>
      </w:r>
    </w:p>
    <w:p w:rsidR="00230E0D" w:rsidRDefault="00230E0D" w:rsidP="00230E0D">
      <w:r>
        <w:t xml:space="preserve">On the other hand, the follower </w:t>
      </w:r>
      <w:proofErr w:type="spellStart"/>
      <w:r>
        <w:t>organisation</w:t>
      </w:r>
      <w:proofErr w:type="spellEnd"/>
      <w:r>
        <w:t>, Xiaomi, has used the adaptability and cost-saving approach to take advantage of openings in the market and especially in the price-sensitive markets and in the developing economies. Following a fast-follower strategy towards technology and rapid market penetration, Xiaomi has been capable of increasing its market quickly and be competitive even with its smaller profit margins.</w:t>
      </w:r>
    </w:p>
    <w:p w:rsidR="00DF7B68" w:rsidRDefault="00230E0D" w:rsidP="00230E0D">
      <w:r>
        <w:t xml:space="preserve">In general, the results include the strategic importance of the environmental scanning process and the need to adopt adaptive marketing strategies. As it is shown in both </w:t>
      </w:r>
      <w:proofErr w:type="spellStart"/>
      <w:r>
        <w:lastRenderedPageBreak/>
        <w:t>organisations</w:t>
      </w:r>
      <w:proofErr w:type="spellEnd"/>
      <w:r>
        <w:t>, the alignment of the internal capabilities with the external macro-environmental forces is the key to maintaining the competitiveness. Though Apple is more about differentiation and innovation, Xiaomi is more flexible and affordable, which demonstrates how the companies can use opposite strategies to attain their strategic goals within the same sector.</w:t>
      </w:r>
    </w:p>
    <w:p w:rsidR="00DF7B68" w:rsidRDefault="00DF7B68">
      <w:pPr>
        <w:spacing w:line="259" w:lineRule="auto"/>
        <w:jc w:val="left"/>
      </w:pPr>
      <w:r>
        <w:br w:type="page"/>
      </w:r>
    </w:p>
    <w:p w:rsidR="00B63179" w:rsidRDefault="00DF7B68" w:rsidP="00DF7B68">
      <w:pPr>
        <w:pStyle w:val="Heading2"/>
      </w:pPr>
      <w:bookmarkStart w:id="20" w:name="_Toc224944444"/>
      <w:r>
        <w:lastRenderedPageBreak/>
        <w:t>References</w:t>
      </w:r>
      <w:bookmarkEnd w:id="20"/>
    </w:p>
    <w:p w:rsidR="002E032E" w:rsidRPr="002E032E" w:rsidRDefault="00DF7B68" w:rsidP="002E032E">
      <w:pPr>
        <w:widowControl w:val="0"/>
        <w:autoSpaceDE w:val="0"/>
        <w:autoSpaceDN w:val="0"/>
        <w:adjustRightInd w:val="0"/>
        <w:jc w:val="left"/>
        <w:rPr>
          <w:rFonts w:cs="Arial"/>
          <w:noProof/>
          <w:szCs w:val="24"/>
        </w:rPr>
      </w:pPr>
      <w:r>
        <w:fldChar w:fldCharType="begin" w:fldLock="1"/>
      </w:r>
      <w:r>
        <w:instrText xml:space="preserve">ADDIN Mendeley Bibliography CSL_BIBLIOGRAPHY </w:instrText>
      </w:r>
      <w:r>
        <w:fldChar w:fldCharType="separate"/>
      </w:r>
      <w:r w:rsidR="002E032E" w:rsidRPr="002E032E">
        <w:rPr>
          <w:rFonts w:cs="Arial"/>
          <w:noProof/>
          <w:szCs w:val="24"/>
        </w:rPr>
        <w:t xml:space="preserve">Ansoff, H.I. (1957) ‘Strategies for diversification’, </w:t>
      </w:r>
      <w:r w:rsidR="002E032E" w:rsidRPr="002E032E">
        <w:rPr>
          <w:rFonts w:cs="Arial"/>
          <w:i/>
          <w:iCs/>
          <w:noProof/>
          <w:szCs w:val="24"/>
        </w:rPr>
        <w:t>Harvard Business Review</w:t>
      </w:r>
      <w:r w:rsidR="002E032E" w:rsidRPr="002E032E">
        <w:rPr>
          <w:rFonts w:cs="Arial"/>
          <w:noProof/>
          <w:szCs w:val="24"/>
        </w:rPr>
        <w:t>, 35(5), pp. 113–124. Available at: https://doi.org/10.1016/0024-6301(72)90048-9.</w:t>
      </w:r>
    </w:p>
    <w:p w:rsidR="002E032E" w:rsidRPr="002E032E" w:rsidRDefault="002E032E" w:rsidP="002E032E">
      <w:pPr>
        <w:widowControl w:val="0"/>
        <w:autoSpaceDE w:val="0"/>
        <w:autoSpaceDN w:val="0"/>
        <w:adjustRightInd w:val="0"/>
        <w:jc w:val="left"/>
        <w:rPr>
          <w:rFonts w:cs="Arial"/>
          <w:noProof/>
          <w:szCs w:val="24"/>
        </w:rPr>
      </w:pPr>
      <w:r w:rsidRPr="002E032E">
        <w:rPr>
          <w:rFonts w:cs="Arial"/>
          <w:noProof/>
          <w:szCs w:val="24"/>
        </w:rPr>
        <w:t>Apple Inc (2023) ‘Apple Inc Annual Report 2023’. Available at: https://investor.apple.com/investor-relations/default.aspx.</w:t>
      </w:r>
    </w:p>
    <w:p w:rsidR="002E032E" w:rsidRPr="002E032E" w:rsidRDefault="002E032E" w:rsidP="002E032E">
      <w:pPr>
        <w:widowControl w:val="0"/>
        <w:autoSpaceDE w:val="0"/>
        <w:autoSpaceDN w:val="0"/>
        <w:adjustRightInd w:val="0"/>
        <w:jc w:val="left"/>
        <w:rPr>
          <w:rFonts w:cs="Arial"/>
          <w:noProof/>
          <w:szCs w:val="24"/>
        </w:rPr>
      </w:pPr>
      <w:r w:rsidRPr="002E032E">
        <w:rPr>
          <w:rFonts w:cs="Arial"/>
          <w:noProof/>
          <w:szCs w:val="24"/>
        </w:rPr>
        <w:t xml:space="preserve">Data and Statistics (2025) </w:t>
      </w:r>
      <w:r w:rsidRPr="002E032E">
        <w:rPr>
          <w:rFonts w:cs="Arial"/>
          <w:i/>
          <w:iCs/>
          <w:noProof/>
          <w:szCs w:val="24"/>
        </w:rPr>
        <w:t>Global Smartphone Market share in 2024 - FactoData</w:t>
      </w:r>
      <w:r w:rsidRPr="002E032E">
        <w:rPr>
          <w:rFonts w:cs="Arial"/>
          <w:noProof/>
          <w:szCs w:val="24"/>
        </w:rPr>
        <w:t xml:space="preserve">, </w:t>
      </w:r>
      <w:r w:rsidRPr="002E032E">
        <w:rPr>
          <w:rFonts w:cs="Arial"/>
          <w:i/>
          <w:iCs/>
          <w:noProof/>
          <w:szCs w:val="24"/>
        </w:rPr>
        <w:t>FactoData</w:t>
      </w:r>
      <w:r w:rsidRPr="002E032E">
        <w:rPr>
          <w:rFonts w:cs="Arial"/>
          <w:noProof/>
          <w:szCs w:val="24"/>
        </w:rPr>
        <w:t>. Available at: https://factodata.com/global-mobile-phone-market-share/ (Accessed: 21 March 2026).</w:t>
      </w:r>
    </w:p>
    <w:p w:rsidR="002E032E" w:rsidRPr="002E032E" w:rsidRDefault="002E032E" w:rsidP="002E032E">
      <w:pPr>
        <w:widowControl w:val="0"/>
        <w:autoSpaceDE w:val="0"/>
        <w:autoSpaceDN w:val="0"/>
        <w:adjustRightInd w:val="0"/>
        <w:jc w:val="left"/>
        <w:rPr>
          <w:rFonts w:cs="Arial"/>
          <w:noProof/>
          <w:szCs w:val="24"/>
        </w:rPr>
      </w:pPr>
      <w:r w:rsidRPr="002E032E">
        <w:rPr>
          <w:rFonts w:cs="Arial"/>
          <w:noProof/>
          <w:szCs w:val="24"/>
        </w:rPr>
        <w:t xml:space="preserve">Deloitte (2022) </w:t>
      </w:r>
      <w:r w:rsidRPr="002E032E">
        <w:rPr>
          <w:rFonts w:cs="Arial"/>
          <w:i/>
          <w:iCs/>
          <w:noProof/>
          <w:szCs w:val="24"/>
        </w:rPr>
        <w:t>Deloitte TMT 2023 Predictions</w:t>
      </w:r>
      <w:r w:rsidRPr="002E032E">
        <w:rPr>
          <w:rFonts w:cs="Arial"/>
          <w:noProof/>
          <w:szCs w:val="24"/>
        </w:rPr>
        <w:t xml:space="preserve">, </w:t>
      </w:r>
      <w:r w:rsidRPr="002E032E">
        <w:rPr>
          <w:rFonts w:cs="Arial"/>
          <w:i/>
          <w:iCs/>
          <w:noProof/>
          <w:szCs w:val="24"/>
        </w:rPr>
        <w:t>Deloitte</w:t>
      </w:r>
      <w:r w:rsidRPr="002E032E">
        <w:rPr>
          <w:rFonts w:cs="Arial"/>
          <w:noProof/>
          <w:szCs w:val="24"/>
        </w:rPr>
        <w:t>. Available at: https://www.deloitte.com/global/en/about/press-room/deloitte-tmt-2023-predictions.html (Accessed: 20 March 2026).</w:t>
      </w:r>
    </w:p>
    <w:p w:rsidR="002E032E" w:rsidRPr="002E032E" w:rsidRDefault="002E032E" w:rsidP="002E032E">
      <w:pPr>
        <w:widowControl w:val="0"/>
        <w:autoSpaceDE w:val="0"/>
        <w:autoSpaceDN w:val="0"/>
        <w:adjustRightInd w:val="0"/>
        <w:jc w:val="left"/>
        <w:rPr>
          <w:rFonts w:cs="Arial"/>
          <w:noProof/>
          <w:szCs w:val="24"/>
        </w:rPr>
      </w:pPr>
      <w:r w:rsidRPr="002E032E">
        <w:rPr>
          <w:rFonts w:cs="Arial"/>
          <w:noProof/>
          <w:szCs w:val="24"/>
        </w:rPr>
        <w:t xml:space="preserve">IDC (2026) </w:t>
      </w:r>
      <w:r w:rsidRPr="002E032E">
        <w:rPr>
          <w:rFonts w:cs="Arial"/>
          <w:i/>
          <w:iCs/>
          <w:noProof/>
          <w:szCs w:val="24"/>
        </w:rPr>
        <w:t>IDC - Smartphone Market Insights</w:t>
      </w:r>
      <w:r w:rsidRPr="002E032E">
        <w:rPr>
          <w:rFonts w:cs="Arial"/>
          <w:noProof/>
          <w:szCs w:val="24"/>
        </w:rPr>
        <w:t xml:space="preserve">, </w:t>
      </w:r>
      <w:r w:rsidRPr="002E032E">
        <w:rPr>
          <w:rFonts w:cs="Arial"/>
          <w:i/>
          <w:iCs/>
          <w:noProof/>
          <w:szCs w:val="24"/>
        </w:rPr>
        <w:t>IDC</w:t>
      </w:r>
      <w:r w:rsidRPr="002E032E">
        <w:rPr>
          <w:rFonts w:cs="Arial"/>
          <w:noProof/>
          <w:szCs w:val="24"/>
        </w:rPr>
        <w:t>. Available at: https://www.idc.com/promo/smartphone-market-share/market-share/ (Accessed: 20 March 2026).</w:t>
      </w:r>
    </w:p>
    <w:p w:rsidR="002E032E" w:rsidRPr="002E032E" w:rsidRDefault="002E032E" w:rsidP="002E032E">
      <w:pPr>
        <w:widowControl w:val="0"/>
        <w:autoSpaceDE w:val="0"/>
        <w:autoSpaceDN w:val="0"/>
        <w:adjustRightInd w:val="0"/>
        <w:jc w:val="left"/>
        <w:rPr>
          <w:rFonts w:cs="Arial"/>
          <w:noProof/>
          <w:szCs w:val="24"/>
        </w:rPr>
      </w:pPr>
      <w:r w:rsidRPr="002E032E">
        <w:rPr>
          <w:rFonts w:cs="Arial"/>
          <w:noProof/>
          <w:szCs w:val="24"/>
        </w:rPr>
        <w:t xml:space="preserve">Johnson, G., Scholes, K. and Whittington, R. (2017) </w:t>
      </w:r>
      <w:r w:rsidRPr="002E032E">
        <w:rPr>
          <w:rFonts w:cs="Arial"/>
          <w:i/>
          <w:iCs/>
          <w:noProof/>
          <w:szCs w:val="24"/>
        </w:rPr>
        <w:t>Exploring Corporate Strategy: Text &amp; Cases</w:t>
      </w:r>
      <w:r w:rsidRPr="002E032E">
        <w:rPr>
          <w:rFonts w:cs="Arial"/>
          <w:noProof/>
          <w:szCs w:val="24"/>
        </w:rPr>
        <w:t>. Pearson.</w:t>
      </w:r>
    </w:p>
    <w:p w:rsidR="002E032E" w:rsidRPr="002E032E" w:rsidRDefault="002E032E" w:rsidP="002E032E">
      <w:pPr>
        <w:widowControl w:val="0"/>
        <w:autoSpaceDE w:val="0"/>
        <w:autoSpaceDN w:val="0"/>
        <w:adjustRightInd w:val="0"/>
        <w:jc w:val="left"/>
        <w:rPr>
          <w:rFonts w:cs="Arial"/>
          <w:noProof/>
          <w:szCs w:val="24"/>
        </w:rPr>
      </w:pPr>
      <w:r w:rsidRPr="002E032E">
        <w:rPr>
          <w:rFonts w:cs="Arial"/>
          <w:noProof/>
          <w:szCs w:val="24"/>
        </w:rPr>
        <w:t xml:space="preserve">Kotler, P., Keller, K.L. and Chernev, A. (2021) </w:t>
      </w:r>
      <w:r w:rsidRPr="002E032E">
        <w:rPr>
          <w:rFonts w:cs="Arial"/>
          <w:i/>
          <w:iCs/>
          <w:noProof/>
          <w:szCs w:val="24"/>
        </w:rPr>
        <w:t>Marketing Management</w:t>
      </w:r>
      <w:r w:rsidRPr="002E032E">
        <w:rPr>
          <w:rFonts w:cs="Arial"/>
          <w:noProof/>
          <w:szCs w:val="24"/>
        </w:rPr>
        <w:t>. Pearson Education. Available at: https://books.google.com.bd/books?id=zXpfzgEACAAJ.</w:t>
      </w:r>
    </w:p>
    <w:p w:rsidR="002E032E" w:rsidRPr="002E032E" w:rsidRDefault="002E032E" w:rsidP="002E032E">
      <w:pPr>
        <w:widowControl w:val="0"/>
        <w:autoSpaceDE w:val="0"/>
        <w:autoSpaceDN w:val="0"/>
        <w:adjustRightInd w:val="0"/>
        <w:jc w:val="left"/>
        <w:rPr>
          <w:rFonts w:cs="Arial"/>
          <w:noProof/>
          <w:szCs w:val="24"/>
        </w:rPr>
      </w:pPr>
      <w:r w:rsidRPr="002E032E">
        <w:rPr>
          <w:rFonts w:cs="Arial"/>
          <w:noProof/>
          <w:szCs w:val="24"/>
        </w:rPr>
        <w:t xml:space="preserve">McKinsey &amp; Company (2022) </w:t>
      </w:r>
      <w:r w:rsidRPr="002E032E">
        <w:rPr>
          <w:rFonts w:cs="Arial"/>
          <w:i/>
          <w:iCs/>
          <w:noProof/>
          <w:szCs w:val="24"/>
        </w:rPr>
        <w:t>McKinsey Technology Trends Outlook 2022</w:t>
      </w:r>
      <w:r w:rsidRPr="002E032E">
        <w:rPr>
          <w:rFonts w:cs="Arial"/>
          <w:noProof/>
          <w:szCs w:val="24"/>
        </w:rPr>
        <w:t xml:space="preserve">, </w:t>
      </w:r>
      <w:r w:rsidRPr="002E032E">
        <w:rPr>
          <w:rFonts w:cs="Arial"/>
          <w:i/>
          <w:iCs/>
          <w:noProof/>
          <w:szCs w:val="24"/>
        </w:rPr>
        <w:t>McKinsey</w:t>
      </w:r>
      <w:r w:rsidRPr="002E032E">
        <w:rPr>
          <w:rFonts w:cs="Arial"/>
          <w:noProof/>
          <w:szCs w:val="24"/>
        </w:rPr>
        <w:t>. Available at: https://www.mckinsey.com/capabilities/tech-and-ai/our-insights/the-top-trends-in-tech-2022#/.</w:t>
      </w:r>
    </w:p>
    <w:p w:rsidR="002E032E" w:rsidRPr="002E032E" w:rsidRDefault="002E032E" w:rsidP="002E032E">
      <w:pPr>
        <w:widowControl w:val="0"/>
        <w:autoSpaceDE w:val="0"/>
        <w:autoSpaceDN w:val="0"/>
        <w:adjustRightInd w:val="0"/>
        <w:jc w:val="left"/>
        <w:rPr>
          <w:rFonts w:cs="Arial"/>
          <w:noProof/>
          <w:szCs w:val="24"/>
        </w:rPr>
      </w:pPr>
      <w:r w:rsidRPr="002E032E">
        <w:rPr>
          <w:rFonts w:cs="Arial"/>
          <w:noProof/>
          <w:szCs w:val="24"/>
        </w:rPr>
        <w:t>Porter, M.E. (1985) ‘Competitive Advantage: Creating and Sustaining Superior Performance’. Available at: https://books.google.com.bd/books?id=9C-5AAAAIAAJ.</w:t>
      </w:r>
    </w:p>
    <w:p w:rsidR="002E032E" w:rsidRPr="002E032E" w:rsidRDefault="002E032E" w:rsidP="002E032E">
      <w:pPr>
        <w:widowControl w:val="0"/>
        <w:autoSpaceDE w:val="0"/>
        <w:autoSpaceDN w:val="0"/>
        <w:adjustRightInd w:val="0"/>
        <w:jc w:val="left"/>
        <w:rPr>
          <w:rFonts w:cs="Arial"/>
          <w:noProof/>
        </w:rPr>
      </w:pPr>
      <w:r w:rsidRPr="002E032E">
        <w:rPr>
          <w:rFonts w:cs="Arial"/>
          <w:noProof/>
          <w:szCs w:val="24"/>
        </w:rPr>
        <w:t xml:space="preserve">Statista (2026) </w:t>
      </w:r>
      <w:r w:rsidRPr="002E032E">
        <w:rPr>
          <w:rFonts w:cs="Arial"/>
          <w:i/>
          <w:iCs/>
          <w:noProof/>
          <w:szCs w:val="24"/>
        </w:rPr>
        <w:t>Smartphone market share by vendor quarterly 2025| Statista</w:t>
      </w:r>
      <w:r w:rsidRPr="002E032E">
        <w:rPr>
          <w:rFonts w:cs="Arial"/>
          <w:noProof/>
          <w:szCs w:val="24"/>
        </w:rPr>
        <w:t xml:space="preserve">, </w:t>
      </w:r>
      <w:r w:rsidRPr="002E032E">
        <w:rPr>
          <w:rFonts w:cs="Arial"/>
          <w:i/>
          <w:iCs/>
          <w:noProof/>
          <w:szCs w:val="24"/>
        </w:rPr>
        <w:t>Statista</w:t>
      </w:r>
      <w:r w:rsidRPr="002E032E">
        <w:rPr>
          <w:rFonts w:cs="Arial"/>
          <w:noProof/>
          <w:szCs w:val="24"/>
        </w:rPr>
        <w:t>. Available at: https://www.statista.com/statistics/271496/global-market-share-held-by-smartphone-vendors-since-4th-quarter-2009/ (Accessed: 20 March 2026).</w:t>
      </w:r>
    </w:p>
    <w:p w:rsidR="00DF7B68" w:rsidRPr="00DF7B68" w:rsidRDefault="00DF7B68" w:rsidP="002E032E">
      <w:pPr>
        <w:jc w:val="left"/>
      </w:pPr>
      <w:r>
        <w:fldChar w:fldCharType="end"/>
      </w:r>
    </w:p>
    <w:p w:rsidR="00DF7B68" w:rsidRPr="001D40DE" w:rsidRDefault="00DF7B68" w:rsidP="002E032E">
      <w:pPr>
        <w:jc w:val="left"/>
      </w:pPr>
    </w:p>
    <w:sectPr w:rsidR="00DF7B68" w:rsidRPr="001D40DE" w:rsidSect="00C47C0E">
      <w:footerReference w:type="default" r:id="rId1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5683" w:rsidRDefault="00005683" w:rsidP="00C47C0E">
      <w:pPr>
        <w:spacing w:after="0" w:line="240" w:lineRule="auto"/>
      </w:pPr>
      <w:r>
        <w:separator/>
      </w:r>
    </w:p>
  </w:endnote>
  <w:endnote w:type="continuationSeparator" w:id="0">
    <w:p w:rsidR="00005683" w:rsidRDefault="00005683" w:rsidP="00C47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5716161"/>
      <w:docPartObj>
        <w:docPartGallery w:val="Page Numbers (Bottom of Page)"/>
        <w:docPartUnique/>
      </w:docPartObj>
    </w:sdtPr>
    <w:sdtEndPr>
      <w:rPr>
        <w:noProof/>
      </w:rPr>
    </w:sdtEndPr>
    <w:sdtContent>
      <w:p w:rsidR="00C47C0E" w:rsidRDefault="00C47C0E">
        <w:pPr>
          <w:pStyle w:val="Footer"/>
          <w:jc w:val="right"/>
        </w:pPr>
        <w:r w:rsidRPr="00C47C0E">
          <w:rPr>
            <w:rFonts w:cs="Arial"/>
            <w:szCs w:val="24"/>
          </w:rPr>
          <w:fldChar w:fldCharType="begin"/>
        </w:r>
        <w:r w:rsidRPr="00C47C0E">
          <w:rPr>
            <w:rFonts w:cs="Arial"/>
            <w:szCs w:val="24"/>
          </w:rPr>
          <w:instrText xml:space="preserve"> PAGE   \* MERGEFORMAT </w:instrText>
        </w:r>
        <w:r w:rsidRPr="00C47C0E">
          <w:rPr>
            <w:rFonts w:cs="Arial"/>
            <w:szCs w:val="24"/>
          </w:rPr>
          <w:fldChar w:fldCharType="separate"/>
        </w:r>
        <w:r w:rsidRPr="00C47C0E">
          <w:rPr>
            <w:rFonts w:cs="Arial"/>
            <w:noProof/>
            <w:szCs w:val="24"/>
          </w:rPr>
          <w:t>2</w:t>
        </w:r>
        <w:r w:rsidRPr="00C47C0E">
          <w:rPr>
            <w:rFonts w:cs="Arial"/>
            <w:noProof/>
            <w:szCs w:val="24"/>
          </w:rPr>
          <w:fldChar w:fldCharType="end"/>
        </w:r>
      </w:p>
    </w:sdtContent>
  </w:sdt>
  <w:p w:rsidR="00C47C0E" w:rsidRDefault="00C47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5683" w:rsidRDefault="00005683" w:rsidP="00C47C0E">
      <w:pPr>
        <w:spacing w:after="0" w:line="240" w:lineRule="auto"/>
      </w:pPr>
      <w:r>
        <w:separator/>
      </w:r>
    </w:p>
  </w:footnote>
  <w:footnote w:type="continuationSeparator" w:id="0">
    <w:p w:rsidR="00005683" w:rsidRDefault="00005683" w:rsidP="00C47C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638F5"/>
    <w:multiLevelType w:val="hybridMultilevel"/>
    <w:tmpl w:val="DF9E34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580768"/>
    <w:multiLevelType w:val="hybridMultilevel"/>
    <w:tmpl w:val="999806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C0E"/>
    <w:rsid w:val="00005683"/>
    <w:rsid w:val="000518EA"/>
    <w:rsid w:val="00063F78"/>
    <w:rsid w:val="0006620E"/>
    <w:rsid w:val="00122304"/>
    <w:rsid w:val="00157AC4"/>
    <w:rsid w:val="00166393"/>
    <w:rsid w:val="001D40DE"/>
    <w:rsid w:val="00210794"/>
    <w:rsid w:val="00230E0D"/>
    <w:rsid w:val="00264D4E"/>
    <w:rsid w:val="002664A8"/>
    <w:rsid w:val="002E032E"/>
    <w:rsid w:val="00302123"/>
    <w:rsid w:val="00302B8B"/>
    <w:rsid w:val="0032511A"/>
    <w:rsid w:val="00355916"/>
    <w:rsid w:val="0038712A"/>
    <w:rsid w:val="003C4DB0"/>
    <w:rsid w:val="0040099F"/>
    <w:rsid w:val="00432F0E"/>
    <w:rsid w:val="00435E93"/>
    <w:rsid w:val="00443827"/>
    <w:rsid w:val="00461D16"/>
    <w:rsid w:val="004B0992"/>
    <w:rsid w:val="004E1F6D"/>
    <w:rsid w:val="004E7EF1"/>
    <w:rsid w:val="0055222B"/>
    <w:rsid w:val="005D1E95"/>
    <w:rsid w:val="005E485A"/>
    <w:rsid w:val="00622F40"/>
    <w:rsid w:val="0065238E"/>
    <w:rsid w:val="00665D4E"/>
    <w:rsid w:val="00747FFB"/>
    <w:rsid w:val="00752F0A"/>
    <w:rsid w:val="007569DF"/>
    <w:rsid w:val="007F4324"/>
    <w:rsid w:val="00800C0D"/>
    <w:rsid w:val="00820CBA"/>
    <w:rsid w:val="00857963"/>
    <w:rsid w:val="00876BAD"/>
    <w:rsid w:val="00897153"/>
    <w:rsid w:val="008E4B01"/>
    <w:rsid w:val="009120E9"/>
    <w:rsid w:val="00942841"/>
    <w:rsid w:val="00977320"/>
    <w:rsid w:val="00A81073"/>
    <w:rsid w:val="00B02D19"/>
    <w:rsid w:val="00B03FCF"/>
    <w:rsid w:val="00B058C9"/>
    <w:rsid w:val="00B16947"/>
    <w:rsid w:val="00B53C34"/>
    <w:rsid w:val="00B63179"/>
    <w:rsid w:val="00B63965"/>
    <w:rsid w:val="00BD6461"/>
    <w:rsid w:val="00BE4AED"/>
    <w:rsid w:val="00C47C0E"/>
    <w:rsid w:val="00CA2430"/>
    <w:rsid w:val="00CB0626"/>
    <w:rsid w:val="00CE0A3C"/>
    <w:rsid w:val="00CF06C5"/>
    <w:rsid w:val="00D36F73"/>
    <w:rsid w:val="00D56725"/>
    <w:rsid w:val="00D666A9"/>
    <w:rsid w:val="00D817EC"/>
    <w:rsid w:val="00DA41BB"/>
    <w:rsid w:val="00DB4850"/>
    <w:rsid w:val="00DF7B68"/>
    <w:rsid w:val="00E0549B"/>
    <w:rsid w:val="00E13537"/>
    <w:rsid w:val="00E274B8"/>
    <w:rsid w:val="00E570BF"/>
    <w:rsid w:val="00E64D72"/>
    <w:rsid w:val="00E70136"/>
    <w:rsid w:val="00EA3255"/>
    <w:rsid w:val="00EA7B9D"/>
    <w:rsid w:val="00ED789E"/>
    <w:rsid w:val="00F179D3"/>
    <w:rsid w:val="00F37F1B"/>
    <w:rsid w:val="00F83025"/>
    <w:rsid w:val="00F85159"/>
    <w:rsid w:val="00FB5595"/>
    <w:rsid w:val="00FE4423"/>
    <w:rsid w:val="00FF4A2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B27DBF9-BF32-481C-8CA5-5F05715B0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3827"/>
    <w:pPr>
      <w:spacing w:line="360" w:lineRule="auto"/>
      <w:jc w:val="both"/>
    </w:pPr>
    <w:rPr>
      <w:rFonts w:ascii="Arial" w:hAnsi="Arial"/>
      <w:sz w:val="24"/>
      <w:szCs w:val="22"/>
      <w:lang w:bidi="ar-SA"/>
    </w:rPr>
  </w:style>
  <w:style w:type="paragraph" w:styleId="Heading1">
    <w:name w:val="heading 1"/>
    <w:basedOn w:val="Normal"/>
    <w:next w:val="Normal"/>
    <w:link w:val="Heading1Char"/>
    <w:autoRedefine/>
    <w:uiPriority w:val="9"/>
    <w:qFormat/>
    <w:rsid w:val="00122304"/>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69DF"/>
    <w:pPr>
      <w:keepNext/>
      <w:keepLines/>
      <w:spacing w:before="40" w:after="0"/>
      <w:jc w:val="left"/>
      <w:outlineLvl w:val="1"/>
    </w:pPr>
    <w:rPr>
      <w:rFonts w:eastAsiaTheme="majorEastAsia" w:cstheme="majorBidi"/>
      <w:b/>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304"/>
    <w:rPr>
      <w:rFonts w:ascii="Times New Roman" w:eastAsiaTheme="majorEastAsia" w:hAnsi="Times New Roman" w:cstheme="majorBidi"/>
      <w:color w:val="2F5496" w:themeColor="accent1" w:themeShade="BF"/>
      <w:sz w:val="32"/>
      <w:szCs w:val="32"/>
      <w:lang w:bidi="ar-SA"/>
    </w:rPr>
  </w:style>
  <w:style w:type="paragraph" w:styleId="Header">
    <w:name w:val="header"/>
    <w:basedOn w:val="Normal"/>
    <w:link w:val="HeaderChar"/>
    <w:uiPriority w:val="99"/>
    <w:unhideWhenUsed/>
    <w:rsid w:val="00C47C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7C0E"/>
    <w:rPr>
      <w:rFonts w:ascii="Times New Roman" w:hAnsi="Times New Roman"/>
      <w:sz w:val="24"/>
      <w:szCs w:val="22"/>
      <w:lang w:bidi="ar-SA"/>
    </w:rPr>
  </w:style>
  <w:style w:type="paragraph" w:styleId="Footer">
    <w:name w:val="footer"/>
    <w:basedOn w:val="Normal"/>
    <w:link w:val="FooterChar"/>
    <w:uiPriority w:val="99"/>
    <w:unhideWhenUsed/>
    <w:rsid w:val="00C47C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7C0E"/>
    <w:rPr>
      <w:rFonts w:ascii="Times New Roman" w:hAnsi="Times New Roman"/>
      <w:sz w:val="24"/>
      <w:szCs w:val="22"/>
      <w:lang w:bidi="ar-SA"/>
    </w:rPr>
  </w:style>
  <w:style w:type="paragraph" w:styleId="ListParagraph">
    <w:name w:val="List Paragraph"/>
    <w:basedOn w:val="Normal"/>
    <w:uiPriority w:val="34"/>
    <w:qFormat/>
    <w:rsid w:val="00BD6461"/>
    <w:pPr>
      <w:ind w:left="720"/>
      <w:contextualSpacing/>
    </w:pPr>
  </w:style>
  <w:style w:type="paragraph" w:styleId="NoSpacing">
    <w:name w:val="No Spacing"/>
    <w:uiPriority w:val="1"/>
    <w:qFormat/>
    <w:rsid w:val="007569DF"/>
    <w:pPr>
      <w:spacing w:after="0" w:line="360" w:lineRule="auto"/>
      <w:jc w:val="both"/>
    </w:pPr>
    <w:rPr>
      <w:rFonts w:ascii="Arial" w:hAnsi="Arial"/>
      <w:sz w:val="24"/>
      <w:szCs w:val="22"/>
      <w:lang w:bidi="ar-SA"/>
    </w:rPr>
  </w:style>
  <w:style w:type="character" w:customStyle="1" w:styleId="Heading2Char">
    <w:name w:val="Heading 2 Char"/>
    <w:basedOn w:val="DefaultParagraphFont"/>
    <w:link w:val="Heading2"/>
    <w:uiPriority w:val="9"/>
    <w:rsid w:val="007569DF"/>
    <w:rPr>
      <w:rFonts w:ascii="Arial" w:eastAsiaTheme="majorEastAsia" w:hAnsi="Arial" w:cstheme="majorBidi"/>
      <w:b/>
      <w:color w:val="2F5496" w:themeColor="accent1" w:themeShade="BF"/>
      <w:sz w:val="24"/>
      <w:szCs w:val="26"/>
      <w:lang w:bidi="ar-SA"/>
    </w:rPr>
  </w:style>
  <w:style w:type="character" w:styleId="Strong">
    <w:name w:val="Strong"/>
    <w:basedOn w:val="DefaultParagraphFont"/>
    <w:uiPriority w:val="22"/>
    <w:qFormat/>
    <w:rsid w:val="00942841"/>
    <w:rPr>
      <w:b/>
      <w:bCs/>
    </w:rPr>
  </w:style>
  <w:style w:type="paragraph" w:styleId="Caption">
    <w:name w:val="caption"/>
    <w:basedOn w:val="Normal"/>
    <w:next w:val="Normal"/>
    <w:uiPriority w:val="35"/>
    <w:unhideWhenUsed/>
    <w:qFormat/>
    <w:rsid w:val="00800C0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FF4A2C"/>
    <w:pPr>
      <w:spacing w:line="259" w:lineRule="auto"/>
      <w:jc w:val="left"/>
      <w:outlineLvl w:val="9"/>
    </w:pPr>
    <w:rPr>
      <w:rFonts w:asciiTheme="majorHAnsi" w:hAnsiTheme="majorHAnsi"/>
    </w:rPr>
  </w:style>
  <w:style w:type="paragraph" w:styleId="TOC2">
    <w:name w:val="toc 2"/>
    <w:basedOn w:val="Normal"/>
    <w:next w:val="Normal"/>
    <w:autoRedefine/>
    <w:uiPriority w:val="39"/>
    <w:unhideWhenUsed/>
    <w:rsid w:val="00FF4A2C"/>
    <w:pPr>
      <w:spacing w:after="100"/>
      <w:ind w:left="240"/>
    </w:pPr>
  </w:style>
  <w:style w:type="character" w:styleId="Hyperlink">
    <w:name w:val="Hyperlink"/>
    <w:basedOn w:val="DefaultParagraphFont"/>
    <w:uiPriority w:val="99"/>
    <w:unhideWhenUsed/>
    <w:rsid w:val="00FF4A2C"/>
    <w:rPr>
      <w:color w:val="0563C1" w:themeColor="hyperlink"/>
      <w:u w:val="single"/>
    </w:rPr>
  </w:style>
  <w:style w:type="paragraph" w:styleId="TableofFigures">
    <w:name w:val="table of figures"/>
    <w:basedOn w:val="Normal"/>
    <w:next w:val="Normal"/>
    <w:uiPriority w:val="99"/>
    <w:unhideWhenUsed/>
    <w:rsid w:val="00210794"/>
    <w:pPr>
      <w:spacing w:after="0"/>
    </w:pPr>
  </w:style>
  <w:style w:type="table" w:styleId="TableGrid">
    <w:name w:val="Table Grid"/>
    <w:basedOn w:val="TableNormal"/>
    <w:uiPriority w:val="39"/>
    <w:rsid w:val="00752F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78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sz="1200" b="1" i="0" u="none" strike="noStrike" baseline="0">
                <a:latin typeface="Arial" panose="020B0604020202020204" pitchFamily="34" charset="0"/>
                <a:cs typeface="Arial" panose="020B0604020202020204" pitchFamily="34" charset="0"/>
              </a:rPr>
              <a:t>Global smartphone shipments (2019–2024), Apple vs Xiaomi</a:t>
            </a:r>
            <a:endParaRPr lang="en-US" sz="12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Apple Shipments (Global, MM)</c:v>
                </c:pt>
              </c:strCache>
            </c:strRef>
          </c:tx>
          <c:spPr>
            <a:ln w="95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Sheet1!$A$2:$A$8</c:f>
              <c:numCache>
                <c:formatCode>General</c:formatCode>
                <c:ptCount val="7"/>
                <c:pt idx="0">
                  <c:v>2019</c:v>
                </c:pt>
                <c:pt idx="1">
                  <c:v>2020</c:v>
                </c:pt>
                <c:pt idx="2">
                  <c:v>2021</c:v>
                </c:pt>
                <c:pt idx="3">
                  <c:v>2022</c:v>
                </c:pt>
                <c:pt idx="4">
                  <c:v>2023</c:v>
                </c:pt>
                <c:pt idx="5">
                  <c:v>2024</c:v>
                </c:pt>
                <c:pt idx="6">
                  <c:v>2025</c:v>
                </c:pt>
              </c:numCache>
            </c:numRef>
          </c:xVal>
          <c:yVal>
            <c:numRef>
              <c:f>Sheet1!$B$2:$B$8</c:f>
              <c:numCache>
                <c:formatCode>General</c:formatCode>
                <c:ptCount val="7"/>
                <c:pt idx="0">
                  <c:v>150</c:v>
                </c:pt>
                <c:pt idx="1">
                  <c:v>192</c:v>
                </c:pt>
                <c:pt idx="2">
                  <c:v>230</c:v>
                </c:pt>
                <c:pt idx="3">
                  <c:v>218</c:v>
                </c:pt>
                <c:pt idx="4">
                  <c:v>229</c:v>
                </c:pt>
                <c:pt idx="5">
                  <c:v>225</c:v>
                </c:pt>
                <c:pt idx="6">
                  <c:v>247.8</c:v>
                </c:pt>
              </c:numCache>
            </c:numRef>
          </c:yVal>
          <c:smooth val="0"/>
          <c:extLst>
            <c:ext xmlns:c16="http://schemas.microsoft.com/office/drawing/2014/chart" uri="{C3380CC4-5D6E-409C-BE32-E72D297353CC}">
              <c16:uniqueId val="{00000000-BE0A-485F-AFD6-44108E06D15C}"/>
            </c:ext>
          </c:extLst>
        </c:ser>
        <c:ser>
          <c:idx val="1"/>
          <c:order val="1"/>
          <c:tx>
            <c:strRef>
              <c:f>Sheet1!$C$1</c:f>
              <c:strCache>
                <c:ptCount val="1"/>
                <c:pt idx="0">
                  <c:v>Xiaomi Shipments (Global, MM)</c:v>
                </c:pt>
              </c:strCache>
            </c:strRef>
          </c:tx>
          <c:spPr>
            <a:ln w="9525" cap="rnd">
              <a:solidFill>
                <a:schemeClr val="accent2"/>
              </a:solidFill>
              <a:round/>
            </a:ln>
            <a:effectLst>
              <a:outerShdw blurRad="57150" dist="19050" dir="5400000" algn="ctr" rotWithShape="0">
                <a:srgbClr val="000000">
                  <a:alpha val="63000"/>
                </a:srgbClr>
              </a:outerShdw>
            </a:effectLst>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cap="rnd">
                <a:solidFill>
                  <a:schemeClr val="accent2"/>
                </a:solidFill>
                <a:round/>
              </a:ln>
              <a:effectLst>
                <a:outerShdw blurRad="57150" dist="19050" dir="5400000" algn="ctr" rotWithShape="0">
                  <a:srgbClr val="000000">
                    <a:alpha val="63000"/>
                  </a:srgbClr>
                </a:outerShdw>
              </a:effectLst>
            </c:spPr>
          </c:marker>
          <c:dLbls>
            <c:dLbl>
              <c:idx val="0"/>
              <c:layout>
                <c:manualLayout>
                  <c:x val="-3.4693161893629455E-2"/>
                  <c:y val="3.5743969503812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E0A-485F-AFD6-44108E06D1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Sheet1!$A$2:$A$8</c:f>
              <c:numCache>
                <c:formatCode>General</c:formatCode>
                <c:ptCount val="7"/>
                <c:pt idx="0">
                  <c:v>2019</c:v>
                </c:pt>
                <c:pt idx="1">
                  <c:v>2020</c:v>
                </c:pt>
                <c:pt idx="2">
                  <c:v>2021</c:v>
                </c:pt>
                <c:pt idx="3">
                  <c:v>2022</c:v>
                </c:pt>
                <c:pt idx="4">
                  <c:v>2023</c:v>
                </c:pt>
                <c:pt idx="5">
                  <c:v>2024</c:v>
                </c:pt>
                <c:pt idx="6">
                  <c:v>2025</c:v>
                </c:pt>
              </c:numCache>
            </c:numRef>
          </c:xVal>
          <c:yVal>
            <c:numRef>
              <c:f>Sheet1!$C$2:$C$8</c:f>
              <c:numCache>
                <c:formatCode>General</c:formatCode>
                <c:ptCount val="7"/>
                <c:pt idx="0">
                  <c:v>127</c:v>
                </c:pt>
                <c:pt idx="1">
                  <c:v>125</c:v>
                </c:pt>
                <c:pt idx="2">
                  <c:v>143</c:v>
                </c:pt>
                <c:pt idx="3">
                  <c:v>145</c:v>
                </c:pt>
                <c:pt idx="4">
                  <c:v>146</c:v>
                </c:pt>
                <c:pt idx="5">
                  <c:v>168.6</c:v>
                </c:pt>
                <c:pt idx="6">
                  <c:v>165.3</c:v>
                </c:pt>
              </c:numCache>
            </c:numRef>
          </c:yVal>
          <c:smooth val="0"/>
          <c:extLst>
            <c:ext xmlns:c16="http://schemas.microsoft.com/office/drawing/2014/chart" uri="{C3380CC4-5D6E-409C-BE32-E72D297353CC}">
              <c16:uniqueId val="{00000002-BE0A-485F-AFD6-44108E06D15C}"/>
            </c:ext>
          </c:extLst>
        </c:ser>
        <c:dLbls>
          <c:dLblPos val="t"/>
          <c:showLegendKey val="0"/>
          <c:showVal val="1"/>
          <c:showCatName val="0"/>
          <c:showSerName val="0"/>
          <c:showPercent val="0"/>
          <c:showBubbleSize val="0"/>
        </c:dLbls>
        <c:axId val="165855648"/>
        <c:axId val="162482944"/>
      </c:scatterChart>
      <c:valAx>
        <c:axId val="1658556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482944"/>
        <c:crosses val="autoZero"/>
        <c:crossBetween val="midCat"/>
      </c:valAx>
      <c:valAx>
        <c:axId val="162482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Shipments (Global, MM)</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85564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79B0335-A29E-4E70-8BF4-C3B3A1CF8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14</Pages>
  <Words>11289</Words>
  <Characters>64351</Characters>
  <Application>Microsoft Office Word</Application>
  <DocSecurity>0</DocSecurity>
  <Lines>536</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2508483@student.uwtsd.ac.uk</dc:creator>
  <cp:keywords/>
  <dc:description/>
  <cp:lastModifiedBy>2508483@student.uwtsd.ac.uk</cp:lastModifiedBy>
  <cp:revision>12</cp:revision>
  <dcterms:created xsi:type="dcterms:W3CDTF">2026-03-20T14:25:00Z</dcterms:created>
  <dcterms:modified xsi:type="dcterms:W3CDTF">2026-03-20T18:29:00Z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f0d7ce96-7cb2-3d6e-b7c5-1a5727ca58af</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12th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4th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