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54411008" w14:textId="77777777" w:rsidR="00D002D5" w:rsidRPr="00814A9E" w:rsidRDefault="00D002D5" w:rsidP="00D002D5">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Pr>
          <w:rFonts w:ascii="Arial" w:hAnsi="Arial" w:cs="Arial"/>
          <w:sz w:val="28"/>
          <w:szCs w:val="28"/>
          <w:lang w:val="nl-NL"/>
        </w:rPr>
        <w:t>Daberechi Onyinye Eze</w:t>
      </w:r>
    </w:p>
    <w:p w14:paraId="5F10D421" w14:textId="77777777" w:rsidR="00D002D5" w:rsidRPr="00814A9E" w:rsidRDefault="00D002D5" w:rsidP="00D002D5">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Pr>
          <w:rFonts w:ascii="Arial" w:hAnsi="Arial" w:cs="Arial"/>
          <w:sz w:val="28"/>
          <w:szCs w:val="28"/>
          <w:lang w:val="nl-NL"/>
        </w:rPr>
        <w:t>2232114</w:t>
      </w:r>
    </w:p>
    <w:p w14:paraId="23A6E2F0" w14:textId="77777777" w:rsidR="00D002D5" w:rsidRPr="00A142D4" w:rsidRDefault="00D002D5" w:rsidP="00D002D5">
      <w:pPr>
        <w:tabs>
          <w:tab w:val="left" w:pos="6540"/>
        </w:tabs>
        <w:ind w:left="426"/>
        <w:rPr>
          <w:rFonts w:ascii="Arial" w:hAnsi="Arial" w:cs="Arial"/>
          <w:b/>
          <w:bCs/>
          <w:sz w:val="28"/>
          <w:szCs w:val="28"/>
          <w:lang w:val="en-GB"/>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Pr="00A142D4">
        <w:rPr>
          <w:rFonts w:ascii="Arial" w:hAnsi="Arial" w:cs="Arial"/>
          <w:sz w:val="28"/>
          <w:szCs w:val="28"/>
          <w:lang w:val="nl-NL"/>
        </w:rPr>
        <w:t>Student</w:t>
      </w:r>
      <w:r w:rsidRPr="00A142D4">
        <w:rPr>
          <w:rFonts w:ascii="Arial" w:eastAsiaTheme="minorEastAsia" w:hAnsi="Arial" w:cs="Arial"/>
          <w:color w:val="000000" w:themeColor="text1"/>
          <w:kern w:val="24"/>
          <w:sz w:val="56"/>
          <w:szCs w:val="56"/>
          <w:lang w:eastAsia="en-GB"/>
          <w14:textFill>
            <w14:solidFill>
              <w14:schemeClr w14:val="tx1">
                <w14:alpha w14:val="20000"/>
              </w14:schemeClr>
            </w14:solidFill>
          </w14:textFill>
        </w:rPr>
        <w:t xml:space="preserve"> </w:t>
      </w:r>
      <w:r w:rsidRPr="00A142D4">
        <w:rPr>
          <w:rFonts w:ascii="Arial" w:hAnsi="Arial" w:cs="Arial"/>
          <w:sz w:val="28"/>
          <w:szCs w:val="28"/>
          <w:lang w:val="en-GB"/>
        </w:rPr>
        <w:t>Independent Project</w:t>
      </w:r>
    </w:p>
    <w:p w14:paraId="545CC8B5" w14:textId="77777777" w:rsidR="00D002D5" w:rsidRPr="00A142D4" w:rsidRDefault="00D002D5" w:rsidP="00D002D5">
      <w:pPr>
        <w:tabs>
          <w:tab w:val="left" w:pos="6540"/>
        </w:tabs>
        <w:spacing w:line="360" w:lineRule="auto"/>
        <w:ind w:left="426"/>
        <w:rPr>
          <w:rFonts w:ascii="Arial" w:hAnsi="Arial" w:cs="Arial"/>
          <w:sz w:val="28"/>
          <w:szCs w:val="28"/>
          <w:lang w:val="en-GB"/>
        </w:rPr>
      </w:pPr>
      <w:r w:rsidRPr="00A142D4">
        <w:rPr>
          <w:rFonts w:ascii="Arial" w:hAnsi="Arial" w:cs="Arial"/>
          <w:b/>
          <w:bCs/>
          <w:sz w:val="28"/>
          <w:szCs w:val="28"/>
        </w:rPr>
        <w:t xml:space="preserve">Module code: </w:t>
      </w:r>
      <w:r w:rsidRPr="00A142D4">
        <w:rPr>
          <w:rFonts w:ascii="Arial" w:hAnsi="Arial" w:cs="Arial"/>
          <w:sz w:val="28"/>
          <w:szCs w:val="28"/>
        </w:rPr>
        <w:t>BMHP6020</w:t>
      </w:r>
    </w:p>
    <w:p w14:paraId="068CB873" w14:textId="77777777" w:rsidR="00D002D5" w:rsidRPr="00A142D4" w:rsidRDefault="00D002D5" w:rsidP="00D002D5">
      <w:pPr>
        <w:tabs>
          <w:tab w:val="left" w:pos="6540"/>
        </w:tabs>
        <w:spacing w:line="360" w:lineRule="auto"/>
        <w:ind w:left="426"/>
        <w:rPr>
          <w:rFonts w:ascii="Arial" w:hAnsi="Arial" w:cs="Arial"/>
          <w:b/>
          <w:bCs/>
          <w:sz w:val="28"/>
          <w:szCs w:val="28"/>
          <w:lang w:val="en-GB"/>
        </w:rPr>
      </w:pPr>
      <w:r w:rsidRPr="00A142D4">
        <w:rPr>
          <w:rFonts w:ascii="Arial" w:hAnsi="Arial" w:cs="Arial"/>
          <w:b/>
          <w:bCs/>
          <w:sz w:val="28"/>
          <w:szCs w:val="28"/>
        </w:rPr>
        <w:t xml:space="preserve">Supervisor’s name: </w:t>
      </w:r>
      <w:r w:rsidRPr="00A142D4">
        <w:rPr>
          <w:rFonts w:ascii="Arial" w:hAnsi="Arial" w:cs="Arial"/>
          <w:sz w:val="28"/>
          <w:szCs w:val="28"/>
        </w:rPr>
        <w:t>Dr. Jolly Nwankwo</w:t>
      </w:r>
    </w:p>
    <w:p w14:paraId="5F8CCE72" w14:textId="77777777" w:rsidR="00D002D5" w:rsidRPr="00814A9E" w:rsidRDefault="00D002D5" w:rsidP="00D002D5">
      <w:pPr>
        <w:tabs>
          <w:tab w:val="left" w:pos="6540"/>
        </w:tabs>
        <w:spacing w:line="360" w:lineRule="auto"/>
        <w:ind w:left="426"/>
        <w:rPr>
          <w:rFonts w:ascii="Arial" w:hAnsi="Arial" w:cs="Arial"/>
          <w:sz w:val="28"/>
          <w:szCs w:val="28"/>
          <w:lang w:val="nl-NL"/>
        </w:rPr>
      </w:pPr>
      <w:r w:rsidRPr="00A142D4">
        <w:rPr>
          <w:rFonts w:ascii="Arial" w:hAnsi="Arial" w:cs="Arial"/>
          <w:b/>
          <w:bCs/>
          <w:sz w:val="28"/>
          <w:szCs w:val="28"/>
        </w:rPr>
        <w:t> </w:t>
      </w:r>
    </w:p>
    <w:p w14:paraId="37D8CDDF" w14:textId="77777777" w:rsidR="00D002D5" w:rsidRPr="00ED1049" w:rsidRDefault="00D002D5" w:rsidP="00D002D5">
      <w:pPr>
        <w:rPr>
          <w:rFonts w:ascii="Arial" w:hAnsi="Arial" w:cs="Arial"/>
        </w:rPr>
      </w:pPr>
    </w:p>
    <w:p w14:paraId="62525107" w14:textId="77777777" w:rsidR="00BB01D2" w:rsidRDefault="00BB01D2" w:rsidP="00D002D5">
      <w:pPr>
        <w:tabs>
          <w:tab w:val="left" w:pos="6540"/>
        </w:tabs>
        <w:spacing w:line="360" w:lineRule="auto"/>
        <w:rPr>
          <w:rFonts w:ascii="Arial" w:hAnsi="Arial" w:cs="Arial"/>
          <w:sz w:val="28"/>
          <w:szCs w:val="28"/>
        </w:rPr>
      </w:pPr>
    </w:p>
    <w:p w14:paraId="6BA88F7F" w14:textId="77777777" w:rsidR="00BB01D2" w:rsidRDefault="00BB01D2" w:rsidP="00ED1049">
      <w:pPr>
        <w:tabs>
          <w:tab w:val="left" w:pos="6540"/>
        </w:tabs>
        <w:spacing w:line="360" w:lineRule="auto"/>
        <w:ind w:left="426"/>
        <w:rPr>
          <w:rFonts w:ascii="Arial" w:hAnsi="Arial" w:cs="Arial"/>
          <w:sz w:val="28"/>
          <w:szCs w:val="28"/>
        </w:rPr>
      </w:pPr>
    </w:p>
    <w:p w14:paraId="5FDDF587" w14:textId="77777777" w:rsidR="00BB01D2" w:rsidRDefault="00BB01D2" w:rsidP="00ED1049">
      <w:pPr>
        <w:tabs>
          <w:tab w:val="left" w:pos="6540"/>
        </w:tabs>
        <w:spacing w:line="360" w:lineRule="auto"/>
        <w:ind w:left="426"/>
        <w:rPr>
          <w:rFonts w:ascii="Arial" w:hAnsi="Arial" w:cs="Arial"/>
          <w:sz w:val="28"/>
          <w:szCs w:val="28"/>
        </w:rPr>
      </w:pPr>
    </w:p>
    <w:p w14:paraId="4F3CDAA8" w14:textId="77777777" w:rsidR="00BB01D2" w:rsidRPr="001571C6" w:rsidRDefault="00BB01D2" w:rsidP="00ED1049">
      <w:pPr>
        <w:tabs>
          <w:tab w:val="left" w:pos="6540"/>
        </w:tabs>
        <w:spacing w:line="360" w:lineRule="auto"/>
        <w:ind w:left="426"/>
        <w:rPr>
          <w:rFonts w:ascii="Arial" w:hAnsi="Arial" w:cs="Arial"/>
          <w:sz w:val="28"/>
          <w:szCs w:val="28"/>
        </w:rPr>
      </w:pPr>
    </w:p>
    <w:tbl>
      <w:tblPr>
        <w:tblpPr w:leftFromText="180" w:rightFromText="180" w:vertAnchor="text" w:horzAnchor="margin" w:tblpY="-325"/>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1"/>
        <w:gridCol w:w="416"/>
        <w:gridCol w:w="416"/>
        <w:gridCol w:w="4497"/>
        <w:gridCol w:w="360"/>
        <w:gridCol w:w="4587"/>
      </w:tblGrid>
      <w:tr w:rsidR="001571C6" w:rsidRPr="001571C6" w14:paraId="7B855243" w14:textId="77777777" w:rsidTr="001571C6">
        <w:trPr>
          <w:trHeight w:val="2393"/>
        </w:trPr>
        <w:tc>
          <w:tcPr>
            <w:tcW w:w="4530" w:type="dxa"/>
          </w:tcPr>
          <w:p w14:paraId="238FFEA8" w14:textId="77777777" w:rsidR="001571C6" w:rsidRPr="001571C6" w:rsidRDefault="001571C6" w:rsidP="00D002D5">
            <w:pPr>
              <w:rPr>
                <w:rFonts w:ascii="Arial" w:hAnsi="Arial" w:cs="Arial"/>
                <w:noProof/>
              </w:rPr>
            </w:pPr>
          </w:p>
          <w:p w14:paraId="662947FF" w14:textId="35769452" w:rsidR="001571C6" w:rsidRPr="001571C6" w:rsidRDefault="001571C6" w:rsidP="00D002D5">
            <w:pPr>
              <w:rPr>
                <w:rFonts w:ascii="Arial" w:hAnsi="Arial" w:cs="Arial"/>
                <w:noProof/>
              </w:rPr>
            </w:pPr>
            <w:r w:rsidRPr="001571C6">
              <w:rPr>
                <w:rFonts w:ascii="Arial" w:hAnsi="Arial" w:cs="Arial"/>
                <w:noProof/>
                <w:lang w:val="en-GB"/>
              </w:rPr>
              <w:drawing>
                <wp:inline distT="0" distB="0" distL="0" distR="0" wp14:anchorId="2124D3B3" wp14:editId="04C514C5">
                  <wp:extent cx="2731770" cy="1887438"/>
                  <wp:effectExtent l="0" t="0" r="0" b="0"/>
                  <wp:docPr id="6936441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1430" cy="2274119"/>
                          </a:xfrm>
                          <a:prstGeom prst="rect">
                            <a:avLst/>
                          </a:prstGeom>
                          <a:noFill/>
                          <a:ln>
                            <a:noFill/>
                          </a:ln>
                        </pic:spPr>
                      </pic:pic>
                    </a:graphicData>
                  </a:graphic>
                </wp:inline>
              </w:drawing>
            </w:r>
          </w:p>
        </w:tc>
        <w:tc>
          <w:tcPr>
            <w:tcW w:w="416" w:type="dxa"/>
          </w:tcPr>
          <w:p w14:paraId="6303D64D" w14:textId="0C7F53C3" w:rsidR="001571C6" w:rsidRPr="001571C6" w:rsidRDefault="001571C6" w:rsidP="00D002D5">
            <w:pPr>
              <w:rPr>
                <w:rFonts w:ascii="Arial" w:hAnsi="Arial" w:cs="Arial"/>
                <w:noProof/>
                <w:lang w:val="en-GB"/>
              </w:rPr>
            </w:pPr>
          </w:p>
        </w:tc>
        <w:tc>
          <w:tcPr>
            <w:tcW w:w="416" w:type="dxa"/>
            <w:vMerge w:val="restart"/>
          </w:tcPr>
          <w:p w14:paraId="58BC0117" w14:textId="7C912FBD" w:rsidR="001571C6" w:rsidRPr="001571C6" w:rsidRDefault="001571C6" w:rsidP="00D002D5">
            <w:pPr>
              <w:rPr>
                <w:rFonts w:ascii="Arial" w:hAnsi="Arial" w:cs="Arial"/>
                <w:noProof/>
              </w:rPr>
            </w:pPr>
          </w:p>
        </w:tc>
        <w:tc>
          <w:tcPr>
            <w:tcW w:w="4497" w:type="dxa"/>
            <w:vMerge w:val="restart"/>
          </w:tcPr>
          <w:p w14:paraId="63B5FB1C" w14:textId="630FBD94" w:rsidR="001571C6" w:rsidRPr="001571C6" w:rsidRDefault="001571C6" w:rsidP="00643636">
            <w:pPr>
              <w:spacing w:line="360" w:lineRule="auto"/>
              <w:jc w:val="both"/>
              <w:rPr>
                <w:rFonts w:ascii="Arial" w:hAnsi="Arial" w:cs="Arial"/>
                <w:b/>
                <w:bCs/>
              </w:rPr>
            </w:pPr>
            <w:r w:rsidRPr="001571C6">
              <w:rPr>
                <w:rFonts w:ascii="Arial" w:hAnsi="Arial" w:cs="Arial"/>
              </w:rPr>
              <w:t xml:space="preserve"> </w:t>
            </w:r>
            <w:r w:rsidRPr="001571C6">
              <w:rPr>
                <w:rFonts w:ascii="Arial" w:hAnsi="Arial" w:cs="Arial"/>
              </w:rPr>
              <w:t xml:space="preserve"> </w:t>
            </w:r>
            <w:r w:rsidRPr="001571C6">
              <w:rPr>
                <w:rFonts w:ascii="Arial" w:hAnsi="Arial" w:cs="Arial"/>
                <w:b/>
                <w:bCs/>
              </w:rPr>
              <w:t>Project Title</w:t>
            </w:r>
          </w:p>
          <w:p w14:paraId="576F5AEE" w14:textId="77777777" w:rsidR="001571C6" w:rsidRPr="001571C6" w:rsidRDefault="001571C6" w:rsidP="00643636">
            <w:pPr>
              <w:spacing w:line="360" w:lineRule="auto"/>
              <w:jc w:val="both"/>
              <w:rPr>
                <w:rFonts w:ascii="Arial" w:hAnsi="Arial" w:cs="Arial"/>
                <w:b/>
                <w:bCs/>
              </w:rPr>
            </w:pPr>
            <w:r w:rsidRPr="001571C6">
              <w:rPr>
                <w:rFonts w:ascii="Arial" w:hAnsi="Arial" w:cs="Arial"/>
                <w:b/>
                <w:bCs/>
              </w:rPr>
              <w:t xml:space="preserve">The Impact of Staff Training and Development on the Quality of Care Provided to Older Adults in UK Care Homes </w:t>
            </w:r>
          </w:p>
          <w:p w14:paraId="66003CAB" w14:textId="77777777" w:rsidR="001571C6" w:rsidRPr="001571C6" w:rsidRDefault="001571C6" w:rsidP="00643636">
            <w:pPr>
              <w:spacing w:after="0" w:line="360" w:lineRule="auto"/>
              <w:jc w:val="both"/>
              <w:rPr>
                <w:rFonts w:ascii="Arial" w:hAnsi="Arial" w:cs="Arial"/>
                <w:b/>
                <w:bCs/>
              </w:rPr>
            </w:pPr>
            <w:r w:rsidRPr="001571C6">
              <w:rPr>
                <w:rFonts w:ascii="Arial" w:hAnsi="Arial" w:cs="Arial"/>
                <w:b/>
                <w:bCs/>
              </w:rPr>
              <w:t>Research Aim</w:t>
            </w:r>
          </w:p>
          <w:p w14:paraId="32244EA7" w14:textId="77777777" w:rsidR="001571C6" w:rsidRPr="001571C6" w:rsidRDefault="001571C6" w:rsidP="00643636">
            <w:pPr>
              <w:spacing w:after="0" w:line="360" w:lineRule="auto"/>
              <w:jc w:val="both"/>
              <w:rPr>
                <w:rFonts w:ascii="Arial" w:hAnsi="Arial" w:cs="Arial"/>
              </w:rPr>
            </w:pPr>
            <w:r w:rsidRPr="001571C6">
              <w:rPr>
                <w:rFonts w:ascii="Arial" w:hAnsi="Arial" w:cs="Arial"/>
              </w:rPr>
              <w:t>To critically examine how staff training and development influence the quality of care provided to older adults in UK care homes.</w:t>
            </w:r>
          </w:p>
          <w:p w14:paraId="35EA310A" w14:textId="77777777" w:rsidR="001571C6" w:rsidRPr="001571C6" w:rsidRDefault="001571C6" w:rsidP="00643636">
            <w:pPr>
              <w:spacing w:after="0" w:line="360" w:lineRule="auto"/>
              <w:jc w:val="both"/>
              <w:rPr>
                <w:rFonts w:ascii="Arial" w:hAnsi="Arial" w:cs="Arial"/>
                <w:b/>
                <w:bCs/>
              </w:rPr>
            </w:pPr>
            <w:r w:rsidRPr="001571C6">
              <w:rPr>
                <w:rFonts w:ascii="Arial" w:hAnsi="Arial" w:cs="Arial"/>
              </w:rPr>
              <w:t xml:space="preserve"> </w:t>
            </w:r>
            <w:r w:rsidRPr="001571C6">
              <w:rPr>
                <w:rFonts w:ascii="Arial" w:hAnsi="Arial" w:cs="Arial"/>
                <w:b/>
                <w:bCs/>
              </w:rPr>
              <w:t>Research Objective</w:t>
            </w:r>
          </w:p>
          <w:p w14:paraId="74681456" w14:textId="77777777" w:rsidR="001571C6" w:rsidRPr="001571C6" w:rsidRDefault="001571C6" w:rsidP="00643636">
            <w:pPr>
              <w:pStyle w:val="ListParagraph"/>
              <w:numPr>
                <w:ilvl w:val="0"/>
                <w:numId w:val="8"/>
              </w:numPr>
              <w:spacing w:after="0" w:line="360" w:lineRule="auto"/>
              <w:jc w:val="both"/>
              <w:rPr>
                <w:rFonts w:ascii="Arial" w:hAnsi="Arial" w:cs="Arial"/>
              </w:rPr>
            </w:pPr>
            <w:r w:rsidRPr="001571C6">
              <w:rPr>
                <w:rFonts w:ascii="Arial" w:hAnsi="Arial" w:cs="Arial"/>
              </w:rPr>
              <w:t xml:space="preserve">To critically examine the relationship between staff training and development and the quality of care provided to older adults in UK care homes. </w:t>
            </w:r>
          </w:p>
          <w:p w14:paraId="57E120ED" w14:textId="77777777" w:rsidR="001571C6" w:rsidRPr="001571C6" w:rsidRDefault="001571C6" w:rsidP="00643636">
            <w:pPr>
              <w:pStyle w:val="ListParagraph"/>
              <w:numPr>
                <w:ilvl w:val="0"/>
                <w:numId w:val="8"/>
              </w:numPr>
              <w:spacing w:after="0" w:line="360" w:lineRule="auto"/>
              <w:jc w:val="both"/>
              <w:rPr>
                <w:rFonts w:ascii="Arial" w:hAnsi="Arial" w:cs="Arial"/>
              </w:rPr>
            </w:pPr>
            <w:r w:rsidRPr="001571C6">
              <w:rPr>
                <w:rFonts w:ascii="Arial" w:hAnsi="Arial" w:cs="Arial"/>
              </w:rPr>
              <w:t xml:space="preserve">Improve organizational and workforce factors that facilitate or constrain the effectiveness of staff training and development in UK care homes. </w:t>
            </w:r>
          </w:p>
          <w:p w14:paraId="7825A6F5" w14:textId="1D213B71" w:rsidR="001571C6" w:rsidRPr="001571C6" w:rsidRDefault="001571C6" w:rsidP="00643636">
            <w:pPr>
              <w:pStyle w:val="ListParagraph"/>
              <w:numPr>
                <w:ilvl w:val="0"/>
                <w:numId w:val="8"/>
              </w:numPr>
              <w:spacing w:after="0" w:line="360" w:lineRule="auto"/>
              <w:jc w:val="both"/>
              <w:rPr>
                <w:rFonts w:ascii="Arial" w:hAnsi="Arial" w:cs="Arial"/>
              </w:rPr>
            </w:pPr>
            <w:r w:rsidRPr="001571C6">
              <w:rPr>
                <w:rFonts w:ascii="Arial" w:hAnsi="Arial" w:cs="Arial"/>
              </w:rPr>
              <w:t>To evaluate strategies through which staff training and development can contribute to sustained improvements in care quality for older adults.</w:t>
            </w:r>
          </w:p>
        </w:tc>
        <w:tc>
          <w:tcPr>
            <w:tcW w:w="360" w:type="dxa"/>
            <w:vMerge w:val="restart"/>
          </w:tcPr>
          <w:p w14:paraId="5782EF40" w14:textId="77777777" w:rsidR="001571C6" w:rsidRPr="001571C6" w:rsidRDefault="001571C6" w:rsidP="00D002D5">
            <w:pPr>
              <w:rPr>
                <w:rFonts w:ascii="Arial" w:hAnsi="Arial" w:cs="Arial"/>
                <w:noProof/>
              </w:rPr>
            </w:pPr>
          </w:p>
        </w:tc>
        <w:tc>
          <w:tcPr>
            <w:tcW w:w="4587" w:type="dxa"/>
            <w:vAlign w:val="center"/>
          </w:tcPr>
          <w:p w14:paraId="552159F8" w14:textId="213D8DB2" w:rsidR="001571C6" w:rsidRPr="001571C6" w:rsidRDefault="005747D3" w:rsidP="00CC1DCE">
            <w:pPr>
              <w:spacing w:line="360" w:lineRule="auto"/>
              <w:jc w:val="both"/>
              <w:rPr>
                <w:rFonts w:ascii="Arial" w:hAnsi="Arial" w:cs="Arial"/>
                <w:noProof/>
              </w:rPr>
            </w:pPr>
            <w:r>
              <w:rPr>
                <w:noProof/>
              </w:rPr>
              <w:drawing>
                <wp:inline distT="0" distB="0" distL="0" distR="0" wp14:anchorId="09D91DF2" wp14:editId="28ECD895">
                  <wp:extent cx="2766695" cy="1943735"/>
                  <wp:effectExtent l="0" t="0" r="0" b="0"/>
                  <wp:docPr id="52760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6695" cy="1943735"/>
                          </a:xfrm>
                          <a:prstGeom prst="rect">
                            <a:avLst/>
                          </a:prstGeom>
                          <a:noFill/>
                          <a:ln>
                            <a:noFill/>
                          </a:ln>
                        </pic:spPr>
                      </pic:pic>
                    </a:graphicData>
                  </a:graphic>
                </wp:inline>
              </w:drawing>
            </w:r>
          </w:p>
        </w:tc>
      </w:tr>
      <w:tr w:rsidR="001571C6" w:rsidRPr="00EB6F36" w14:paraId="78AFF134" w14:textId="77777777" w:rsidTr="001571C6">
        <w:trPr>
          <w:trHeight w:val="272"/>
        </w:trPr>
        <w:tc>
          <w:tcPr>
            <w:tcW w:w="4530" w:type="dxa"/>
          </w:tcPr>
          <w:p w14:paraId="44B1C602" w14:textId="77777777" w:rsidR="001571C6" w:rsidRPr="00EB6F36" w:rsidRDefault="001571C6" w:rsidP="00D002D5">
            <w:pPr>
              <w:rPr>
                <w:rFonts w:ascii="Arial" w:hAnsi="Arial" w:cs="Arial"/>
                <w:noProof/>
              </w:rPr>
            </w:pPr>
          </w:p>
        </w:tc>
        <w:tc>
          <w:tcPr>
            <w:tcW w:w="416" w:type="dxa"/>
          </w:tcPr>
          <w:p w14:paraId="755401E5" w14:textId="77777777" w:rsidR="001571C6" w:rsidRPr="00EB6F36" w:rsidRDefault="001571C6" w:rsidP="00D002D5">
            <w:pPr>
              <w:rPr>
                <w:rFonts w:ascii="Arial" w:hAnsi="Arial" w:cs="Arial"/>
                <w:noProof/>
              </w:rPr>
            </w:pPr>
          </w:p>
        </w:tc>
        <w:tc>
          <w:tcPr>
            <w:tcW w:w="416" w:type="dxa"/>
            <w:vMerge/>
          </w:tcPr>
          <w:p w14:paraId="73060354" w14:textId="0D2F942C" w:rsidR="001571C6" w:rsidRPr="00EB6F36" w:rsidRDefault="001571C6" w:rsidP="00D002D5">
            <w:pPr>
              <w:rPr>
                <w:rFonts w:ascii="Arial" w:hAnsi="Arial" w:cs="Arial"/>
                <w:noProof/>
              </w:rPr>
            </w:pPr>
          </w:p>
        </w:tc>
        <w:tc>
          <w:tcPr>
            <w:tcW w:w="4497" w:type="dxa"/>
            <w:vMerge/>
          </w:tcPr>
          <w:p w14:paraId="48BAAE18" w14:textId="77777777" w:rsidR="001571C6" w:rsidRPr="00EB6F36" w:rsidRDefault="001571C6" w:rsidP="00D002D5">
            <w:pPr>
              <w:rPr>
                <w:rFonts w:ascii="Arial" w:eastAsia="Century Gothic" w:hAnsi="Arial" w:cs="Arial"/>
                <w:b/>
                <w:noProof/>
                <w:color w:val="FFFFFF"/>
                <w:sz w:val="24"/>
              </w:rPr>
            </w:pPr>
          </w:p>
        </w:tc>
        <w:tc>
          <w:tcPr>
            <w:tcW w:w="360" w:type="dxa"/>
            <w:vMerge/>
          </w:tcPr>
          <w:p w14:paraId="3CB59CDF" w14:textId="77777777" w:rsidR="001571C6" w:rsidRPr="00EB6F36" w:rsidRDefault="001571C6" w:rsidP="00D002D5">
            <w:pPr>
              <w:rPr>
                <w:rFonts w:ascii="Arial" w:hAnsi="Arial" w:cs="Arial"/>
                <w:noProof/>
              </w:rPr>
            </w:pPr>
          </w:p>
        </w:tc>
        <w:tc>
          <w:tcPr>
            <w:tcW w:w="4587" w:type="dxa"/>
          </w:tcPr>
          <w:p w14:paraId="1E4FDBCC" w14:textId="77777777" w:rsidR="001571C6" w:rsidRPr="00EB6F36" w:rsidRDefault="001571C6" w:rsidP="00D002D5">
            <w:pPr>
              <w:pStyle w:val="NoSpacing"/>
              <w:rPr>
                <w:rFonts w:ascii="Arial" w:hAnsi="Arial" w:cs="Arial"/>
              </w:rPr>
            </w:pPr>
          </w:p>
        </w:tc>
      </w:tr>
      <w:tr w:rsidR="001571C6" w:rsidRPr="00EB6F36" w14:paraId="40B04B4D" w14:textId="77777777" w:rsidTr="001571C6">
        <w:trPr>
          <w:trHeight w:val="599"/>
        </w:trPr>
        <w:tc>
          <w:tcPr>
            <w:tcW w:w="4530" w:type="dxa"/>
            <w:vMerge w:val="restart"/>
          </w:tcPr>
          <w:p w14:paraId="514D6AE8" w14:textId="77777777" w:rsidR="00363057" w:rsidRPr="00A37B0A" w:rsidRDefault="00363057" w:rsidP="00363057">
            <w:pPr>
              <w:rPr>
                <w:rFonts w:ascii="Arial" w:hAnsi="Arial" w:cs="Arial"/>
                <w:b/>
                <w:bCs/>
              </w:rPr>
            </w:pPr>
            <w:r w:rsidRPr="00A37B0A">
              <w:rPr>
                <w:rFonts w:ascii="Arial" w:hAnsi="Arial" w:cs="Arial"/>
                <w:b/>
                <w:bCs/>
              </w:rPr>
              <w:t>Methodology</w:t>
            </w:r>
          </w:p>
          <w:p w14:paraId="220B2957" w14:textId="77777777" w:rsidR="00363057" w:rsidRPr="00BB32EB" w:rsidRDefault="00363057" w:rsidP="00363057">
            <w:pPr>
              <w:spacing w:line="360" w:lineRule="auto"/>
              <w:jc w:val="both"/>
              <w:rPr>
                <w:rFonts w:ascii="Arial" w:hAnsi="Arial" w:cs="Arial"/>
              </w:rPr>
            </w:pPr>
            <w:r w:rsidRPr="00BB32EB">
              <w:rPr>
                <w:rFonts w:ascii="Arial" w:hAnsi="Arial" w:cs="Arial"/>
              </w:rPr>
              <w:t xml:space="preserve">This study will adopt a secondary </w:t>
            </w:r>
            <w:r>
              <w:rPr>
                <w:rFonts w:ascii="Arial" w:hAnsi="Arial" w:cs="Arial"/>
              </w:rPr>
              <w:t xml:space="preserve">qualitative </w:t>
            </w:r>
            <w:r w:rsidRPr="00BB32EB">
              <w:rPr>
                <w:rFonts w:ascii="Arial" w:hAnsi="Arial" w:cs="Arial"/>
              </w:rPr>
              <w:t>research approach</w:t>
            </w:r>
            <w:r>
              <w:rPr>
                <w:rFonts w:ascii="Arial" w:hAnsi="Arial" w:cs="Arial"/>
              </w:rPr>
              <w:t xml:space="preserve">. </w:t>
            </w:r>
            <w:r w:rsidRPr="00BB32EB">
              <w:rPr>
                <w:rFonts w:ascii="Arial" w:hAnsi="Arial" w:cs="Arial"/>
              </w:rPr>
              <w:t>Data will be collected from peer-reviewed</w:t>
            </w:r>
            <w:r>
              <w:rPr>
                <w:rFonts w:ascii="Arial" w:hAnsi="Arial" w:cs="Arial"/>
              </w:rPr>
              <w:t xml:space="preserve"> </w:t>
            </w:r>
            <w:r w:rsidRPr="00BB32EB">
              <w:rPr>
                <w:rFonts w:ascii="Arial" w:hAnsi="Arial" w:cs="Arial"/>
              </w:rPr>
              <w:t>journal articles, government reports, and publications from organizations such as the</w:t>
            </w:r>
            <w:r>
              <w:rPr>
                <w:rFonts w:ascii="Arial" w:hAnsi="Arial" w:cs="Arial"/>
              </w:rPr>
              <w:t xml:space="preserve"> </w:t>
            </w:r>
            <w:r w:rsidRPr="00BB32EB">
              <w:rPr>
                <w:rFonts w:ascii="Arial" w:hAnsi="Arial" w:cs="Arial"/>
              </w:rPr>
              <w:t>Care Quality Commission (CQC), Skills for Care, NHS England, and the Department</w:t>
            </w:r>
          </w:p>
          <w:p w14:paraId="213DA707" w14:textId="77777777" w:rsidR="00363057" w:rsidRDefault="00363057" w:rsidP="00363057">
            <w:pPr>
              <w:spacing w:line="360" w:lineRule="auto"/>
              <w:jc w:val="both"/>
              <w:rPr>
                <w:rFonts w:ascii="Arial" w:hAnsi="Arial" w:cs="Arial"/>
              </w:rPr>
            </w:pPr>
            <w:r w:rsidRPr="00BB32EB">
              <w:rPr>
                <w:rFonts w:ascii="Arial" w:hAnsi="Arial" w:cs="Arial"/>
              </w:rPr>
              <w:t>of Health and Social Care. A methodical literature review and thematic analysis will</w:t>
            </w:r>
            <w:r>
              <w:rPr>
                <w:rFonts w:ascii="Arial" w:hAnsi="Arial" w:cs="Arial"/>
              </w:rPr>
              <w:t xml:space="preserve"> </w:t>
            </w:r>
            <w:r w:rsidRPr="00BB32EB">
              <w:rPr>
                <w:rFonts w:ascii="Arial" w:hAnsi="Arial" w:cs="Arial"/>
              </w:rPr>
              <w:t>be used to establish patterns and themes relating to staff training as well as quality</w:t>
            </w:r>
            <w:r>
              <w:rPr>
                <w:rFonts w:ascii="Arial" w:hAnsi="Arial" w:cs="Arial"/>
              </w:rPr>
              <w:t xml:space="preserve"> </w:t>
            </w:r>
            <w:r w:rsidRPr="00BB32EB">
              <w:rPr>
                <w:rFonts w:ascii="Arial" w:hAnsi="Arial" w:cs="Arial"/>
              </w:rPr>
              <w:t xml:space="preserve">of </w:t>
            </w:r>
            <w:r w:rsidRPr="00BB32EB">
              <w:rPr>
                <w:rFonts w:ascii="Arial" w:hAnsi="Arial" w:cs="Arial"/>
              </w:rPr>
              <w:lastRenderedPageBreak/>
              <w:t>care. Secondary data are suitable because they provide access to extensive</w:t>
            </w:r>
            <w:r>
              <w:rPr>
                <w:rFonts w:ascii="Arial" w:hAnsi="Arial" w:cs="Arial"/>
              </w:rPr>
              <w:t xml:space="preserve"> </w:t>
            </w:r>
            <w:r w:rsidRPr="00BB32EB">
              <w:rPr>
                <w:rFonts w:ascii="Arial" w:hAnsi="Arial" w:cs="Arial"/>
              </w:rPr>
              <w:t>evidence while reducing time and resource requirements.</w:t>
            </w:r>
          </w:p>
          <w:p w14:paraId="382A9644" w14:textId="77777777" w:rsidR="001571C6" w:rsidRPr="00EB6F36" w:rsidRDefault="001571C6" w:rsidP="00363057">
            <w:pPr>
              <w:spacing w:line="360" w:lineRule="auto"/>
              <w:jc w:val="both"/>
              <w:rPr>
                <w:rFonts w:ascii="Arial" w:hAnsi="Arial" w:cs="Arial"/>
              </w:rPr>
            </w:pPr>
          </w:p>
        </w:tc>
        <w:tc>
          <w:tcPr>
            <w:tcW w:w="416" w:type="dxa"/>
          </w:tcPr>
          <w:p w14:paraId="347B8C23" w14:textId="77777777" w:rsidR="001571C6" w:rsidRPr="00EB6F36" w:rsidRDefault="001571C6" w:rsidP="00D002D5">
            <w:pPr>
              <w:pStyle w:val="NoSpacing"/>
              <w:jc w:val="center"/>
              <w:rPr>
                <w:rFonts w:ascii="Arial" w:hAnsi="Arial" w:cs="Arial"/>
                <w:noProof/>
              </w:rPr>
            </w:pPr>
          </w:p>
        </w:tc>
        <w:tc>
          <w:tcPr>
            <w:tcW w:w="416" w:type="dxa"/>
            <w:vMerge/>
            <w:tcMar>
              <w:top w:w="29" w:type="dxa"/>
              <w:left w:w="29" w:type="dxa"/>
              <w:bottom w:w="29" w:type="dxa"/>
              <w:right w:w="29" w:type="dxa"/>
            </w:tcMar>
            <w:vAlign w:val="center"/>
          </w:tcPr>
          <w:p w14:paraId="54D381DF" w14:textId="3E35E413" w:rsidR="001571C6" w:rsidRPr="00EB6F36" w:rsidRDefault="001571C6" w:rsidP="00D002D5">
            <w:pPr>
              <w:pStyle w:val="NoSpacing"/>
              <w:jc w:val="center"/>
              <w:rPr>
                <w:rFonts w:ascii="Arial" w:hAnsi="Arial" w:cs="Arial"/>
                <w:noProof/>
              </w:rPr>
            </w:pPr>
          </w:p>
        </w:tc>
        <w:tc>
          <w:tcPr>
            <w:tcW w:w="4497" w:type="dxa"/>
            <w:vMerge/>
            <w:vAlign w:val="center"/>
          </w:tcPr>
          <w:p w14:paraId="512A39AD" w14:textId="77777777" w:rsidR="001571C6" w:rsidRPr="00EB6F36" w:rsidRDefault="001571C6" w:rsidP="00D002D5">
            <w:pPr>
              <w:pStyle w:val="NoSpacing"/>
              <w:jc w:val="center"/>
              <w:rPr>
                <w:rFonts w:ascii="Arial" w:hAnsi="Arial" w:cs="Arial"/>
                <w:noProof/>
              </w:rPr>
            </w:pPr>
          </w:p>
        </w:tc>
        <w:tc>
          <w:tcPr>
            <w:tcW w:w="360" w:type="dxa"/>
            <w:vMerge/>
            <w:vAlign w:val="center"/>
          </w:tcPr>
          <w:p w14:paraId="5BF390BD" w14:textId="77777777" w:rsidR="001571C6" w:rsidRPr="00EB6F36" w:rsidRDefault="001571C6" w:rsidP="00D002D5">
            <w:pPr>
              <w:pStyle w:val="NoSpacing"/>
              <w:jc w:val="center"/>
              <w:rPr>
                <w:rFonts w:ascii="Arial" w:hAnsi="Arial" w:cs="Arial"/>
                <w:noProof/>
              </w:rPr>
            </w:pPr>
          </w:p>
        </w:tc>
        <w:tc>
          <w:tcPr>
            <w:tcW w:w="4587" w:type="dxa"/>
            <w:vMerge w:val="restart"/>
          </w:tcPr>
          <w:p w14:paraId="00BB25D7" w14:textId="77777777" w:rsidR="001571C6" w:rsidRPr="00354421" w:rsidRDefault="001571C6" w:rsidP="008931DE">
            <w:pPr>
              <w:spacing w:line="360" w:lineRule="auto"/>
              <w:jc w:val="both"/>
              <w:rPr>
                <w:rFonts w:ascii="Arial" w:hAnsi="Arial" w:cs="Arial"/>
                <w:b/>
                <w:bCs/>
              </w:rPr>
            </w:pPr>
            <w:r w:rsidRPr="00354421">
              <w:rPr>
                <w:rFonts w:ascii="Arial" w:hAnsi="Arial" w:cs="Arial"/>
                <w:b/>
                <w:bCs/>
              </w:rPr>
              <w:t>Data Analysis method</w:t>
            </w:r>
          </w:p>
          <w:p w14:paraId="38B3B44B" w14:textId="01811A89" w:rsidR="001571C6" w:rsidRDefault="001571C6" w:rsidP="002465D8">
            <w:pPr>
              <w:spacing w:line="360" w:lineRule="auto"/>
              <w:jc w:val="both"/>
              <w:rPr>
                <w:rFonts w:ascii="Arial" w:hAnsi="Arial" w:cs="Arial"/>
              </w:rPr>
            </w:pPr>
            <w:r>
              <w:rPr>
                <w:rFonts w:ascii="Arial" w:hAnsi="Arial" w:cs="Arial"/>
              </w:rPr>
              <w:t>The data collected from 10 selected studies were analyses using thematic analysis, following the approach outlined by (Braun et al;2021). The analysis involved six stages: Familiarization with the data, coding, generating initial themes, reviewing themes, defining and naming themes, and producing the final report. This process resulted in the identification of four key themes across the included studies. The ENTREQ framework (Tong et al.,2021) was used to promot</w:t>
            </w:r>
            <w:r>
              <w:rPr>
                <w:rFonts w:ascii="Arial" w:hAnsi="Arial" w:cs="Arial"/>
              </w:rPr>
              <w:t xml:space="preserve">e </w:t>
            </w:r>
            <w:r>
              <w:rPr>
                <w:rFonts w:ascii="Arial" w:hAnsi="Arial" w:cs="Arial"/>
              </w:rPr>
              <w:lastRenderedPageBreak/>
              <w:t>transparent and comprehensive reporting throughout the analysis.</w:t>
            </w:r>
          </w:p>
          <w:p w14:paraId="611881FA" w14:textId="77777777" w:rsidR="001571C6" w:rsidRDefault="001571C6" w:rsidP="00D478A2">
            <w:pPr>
              <w:spacing w:line="360" w:lineRule="auto"/>
              <w:jc w:val="both"/>
              <w:rPr>
                <w:rFonts w:ascii="Arial" w:hAnsi="Arial" w:cs="Arial"/>
                <w:lang w:val="en-GB"/>
              </w:rPr>
            </w:pPr>
            <w:r w:rsidRPr="00354421">
              <w:rPr>
                <w:rFonts w:ascii="Arial" w:hAnsi="Arial" w:cs="Arial"/>
                <w:b/>
                <w:bCs/>
                <w:lang w:val="en-GB"/>
              </w:rPr>
              <w:t>Ethical Considerations</w:t>
            </w:r>
          </w:p>
          <w:p w14:paraId="043F40C5" w14:textId="77777777" w:rsidR="001571C6" w:rsidRDefault="001571C6" w:rsidP="00D478A2">
            <w:pPr>
              <w:spacing w:line="360" w:lineRule="auto"/>
              <w:jc w:val="both"/>
              <w:rPr>
                <w:rFonts w:ascii="Arial" w:hAnsi="Arial" w:cs="Arial"/>
                <w:lang w:val="en-GB"/>
              </w:rPr>
            </w:pPr>
            <w:r w:rsidRPr="00354421">
              <w:rPr>
                <w:rFonts w:ascii="Arial" w:hAnsi="Arial" w:cs="Arial"/>
                <w:lang w:val="en-GB"/>
              </w:rPr>
              <w:t>As a secondary qualitative study using only published literature, no primary data were collected and no participants were recruited. Ethical approval was obtained from UWSTD.</w:t>
            </w:r>
          </w:p>
          <w:p w14:paraId="7449723C" w14:textId="774B5630" w:rsidR="001571C6" w:rsidRPr="00762FB9" w:rsidRDefault="001571C6" w:rsidP="00762FB9">
            <w:pPr>
              <w:spacing w:line="360" w:lineRule="auto"/>
              <w:jc w:val="both"/>
              <w:rPr>
                <w:rFonts w:ascii="Arial" w:hAnsi="Arial" w:cs="Arial"/>
                <w:lang w:val="en-GB"/>
              </w:rPr>
            </w:pPr>
            <w:r w:rsidRPr="00476C73">
              <w:rPr>
                <w:rFonts w:ascii="Arial" w:hAnsi="Arial" w:cs="Arial"/>
              </w:rPr>
              <w:t>Overall, the study posed minimal ethical risk because it did not involve direct contact with vulnerable individuals or the collection of sensitive primary data. Nevertheless, ethical principles such as honesty, respect for intellectual property, transparency, and responsible interpretation of evidence were upheld throughout the research process.</w:t>
            </w:r>
          </w:p>
        </w:tc>
      </w:tr>
      <w:tr w:rsidR="001571C6" w:rsidRPr="00EB6F36" w14:paraId="23C81EFB" w14:textId="77777777" w:rsidTr="001571C6">
        <w:trPr>
          <w:trHeight w:val="60"/>
        </w:trPr>
        <w:tc>
          <w:tcPr>
            <w:tcW w:w="4530" w:type="dxa"/>
            <w:vMerge/>
          </w:tcPr>
          <w:p w14:paraId="4645AB34" w14:textId="77777777" w:rsidR="001571C6" w:rsidRPr="00EB6F36" w:rsidRDefault="001571C6" w:rsidP="00D002D5">
            <w:pPr>
              <w:rPr>
                <w:rFonts w:ascii="Arial" w:hAnsi="Arial" w:cs="Arial"/>
                <w:noProof/>
              </w:rPr>
            </w:pPr>
          </w:p>
        </w:tc>
        <w:tc>
          <w:tcPr>
            <w:tcW w:w="416" w:type="dxa"/>
          </w:tcPr>
          <w:p w14:paraId="10606B77" w14:textId="77777777" w:rsidR="001571C6" w:rsidRPr="00EB6F36" w:rsidRDefault="001571C6" w:rsidP="00D002D5">
            <w:pPr>
              <w:rPr>
                <w:rFonts w:ascii="Arial" w:hAnsi="Arial" w:cs="Arial"/>
                <w:noProof/>
              </w:rPr>
            </w:pPr>
          </w:p>
        </w:tc>
        <w:tc>
          <w:tcPr>
            <w:tcW w:w="416" w:type="dxa"/>
            <w:vMerge/>
          </w:tcPr>
          <w:p w14:paraId="79C5C8BF" w14:textId="41EBDBEA" w:rsidR="001571C6" w:rsidRPr="00EB6F36" w:rsidRDefault="001571C6" w:rsidP="00D002D5">
            <w:pPr>
              <w:rPr>
                <w:rFonts w:ascii="Arial" w:hAnsi="Arial" w:cs="Arial"/>
                <w:noProof/>
              </w:rPr>
            </w:pPr>
          </w:p>
        </w:tc>
        <w:tc>
          <w:tcPr>
            <w:tcW w:w="4497" w:type="dxa"/>
          </w:tcPr>
          <w:p w14:paraId="33B345F1" w14:textId="77777777" w:rsidR="001571C6" w:rsidRPr="00EB6F36" w:rsidRDefault="001571C6" w:rsidP="00D002D5">
            <w:pPr>
              <w:rPr>
                <w:rFonts w:ascii="Arial" w:hAnsi="Arial" w:cs="Arial"/>
                <w:noProof/>
              </w:rPr>
            </w:pPr>
          </w:p>
        </w:tc>
        <w:tc>
          <w:tcPr>
            <w:tcW w:w="360" w:type="dxa"/>
            <w:vMerge/>
          </w:tcPr>
          <w:p w14:paraId="7F8F0072" w14:textId="77777777" w:rsidR="001571C6" w:rsidRPr="00EB6F36" w:rsidRDefault="001571C6" w:rsidP="00D002D5">
            <w:pPr>
              <w:rPr>
                <w:rFonts w:ascii="Arial" w:hAnsi="Arial" w:cs="Arial"/>
                <w:noProof/>
              </w:rPr>
            </w:pPr>
          </w:p>
        </w:tc>
        <w:tc>
          <w:tcPr>
            <w:tcW w:w="4587" w:type="dxa"/>
            <w:vMerge/>
          </w:tcPr>
          <w:p w14:paraId="2C1103B6" w14:textId="77777777" w:rsidR="001571C6" w:rsidRPr="00EB6F36" w:rsidRDefault="001571C6" w:rsidP="00D002D5">
            <w:pPr>
              <w:rPr>
                <w:rFonts w:ascii="Arial" w:hAnsi="Arial" w:cs="Arial"/>
                <w:sz w:val="21"/>
              </w:rPr>
            </w:pPr>
          </w:p>
        </w:tc>
      </w:tr>
      <w:tr w:rsidR="001571C6" w:rsidRPr="00EB6F36" w14:paraId="0BEEA0FC" w14:textId="77777777" w:rsidTr="001571C6">
        <w:trPr>
          <w:trHeight w:val="6431"/>
        </w:trPr>
        <w:tc>
          <w:tcPr>
            <w:tcW w:w="4530" w:type="dxa"/>
            <w:vMerge/>
          </w:tcPr>
          <w:p w14:paraId="4F59500F" w14:textId="77777777" w:rsidR="001571C6" w:rsidRPr="00EB6F36" w:rsidRDefault="001571C6" w:rsidP="00D002D5">
            <w:pPr>
              <w:rPr>
                <w:rFonts w:ascii="Arial" w:hAnsi="Arial" w:cs="Arial"/>
                <w:noProof/>
              </w:rPr>
            </w:pPr>
          </w:p>
        </w:tc>
        <w:tc>
          <w:tcPr>
            <w:tcW w:w="416" w:type="dxa"/>
          </w:tcPr>
          <w:p w14:paraId="571C9102" w14:textId="77777777" w:rsidR="001571C6" w:rsidRPr="00EB6F36" w:rsidRDefault="001571C6" w:rsidP="00D002D5">
            <w:pPr>
              <w:rPr>
                <w:rFonts w:ascii="Arial" w:hAnsi="Arial" w:cs="Arial"/>
                <w:noProof/>
              </w:rPr>
            </w:pPr>
          </w:p>
        </w:tc>
        <w:tc>
          <w:tcPr>
            <w:tcW w:w="416" w:type="dxa"/>
            <w:vMerge/>
          </w:tcPr>
          <w:p w14:paraId="3061373A" w14:textId="27DFFDE9" w:rsidR="001571C6" w:rsidRPr="00EB6F36" w:rsidRDefault="001571C6" w:rsidP="00D002D5">
            <w:pPr>
              <w:rPr>
                <w:rFonts w:ascii="Arial" w:hAnsi="Arial" w:cs="Arial"/>
                <w:noProof/>
              </w:rPr>
            </w:pPr>
          </w:p>
        </w:tc>
        <w:tc>
          <w:tcPr>
            <w:tcW w:w="4497" w:type="dxa"/>
          </w:tcPr>
          <w:p w14:paraId="2C98E4B5" w14:textId="46B3D99D" w:rsidR="001571C6" w:rsidRDefault="001571C6" w:rsidP="000039B7">
            <w:pPr>
              <w:spacing w:line="360" w:lineRule="auto"/>
              <w:jc w:val="both"/>
              <w:rPr>
                <w:rFonts w:ascii="Arial" w:hAnsi="Arial" w:cs="Arial"/>
              </w:rPr>
            </w:pPr>
            <w:r>
              <w:rPr>
                <w:rFonts w:ascii="Arial" w:hAnsi="Arial" w:cs="Arial"/>
              </w:rPr>
              <w:t>=</w:t>
            </w:r>
            <w:r w:rsidRPr="00FE3086">
              <w:rPr>
                <w:rFonts w:ascii="Arial" w:hAnsi="Arial" w:cs="Arial"/>
                <w:b/>
                <w:bCs/>
              </w:rPr>
              <w:t xml:space="preserve"> </w:t>
            </w:r>
            <w:r w:rsidRPr="00FE3086">
              <w:rPr>
                <w:rFonts w:ascii="Arial" w:hAnsi="Arial" w:cs="Arial"/>
                <w:b/>
                <w:bCs/>
              </w:rPr>
              <w:t>Data Collection method</w:t>
            </w:r>
          </w:p>
          <w:p w14:paraId="008ACD13" w14:textId="77777777" w:rsidR="001571C6" w:rsidRPr="0075607F" w:rsidRDefault="001571C6" w:rsidP="000039B7">
            <w:pPr>
              <w:spacing w:line="360" w:lineRule="auto"/>
              <w:jc w:val="both"/>
              <w:rPr>
                <w:rFonts w:ascii="Arial" w:hAnsi="Arial" w:cs="Arial"/>
                <w:lang w:val="en-GB"/>
              </w:rPr>
            </w:pPr>
            <w:r w:rsidRPr="0075607F">
              <w:rPr>
                <w:rFonts w:ascii="Arial" w:hAnsi="Arial" w:cs="Arial"/>
                <w:lang w:val="en-GB"/>
              </w:rPr>
              <w:t>This study will adopt a secondary qualitative data collection approach, using existing published literature rather than collecting new information directly from participants. Secondary data are information that have already been gathered and analysed by other researchers and can be reused to address a new research question (</w:t>
            </w:r>
            <w:proofErr w:type="spellStart"/>
            <w:r w:rsidRPr="0075607F">
              <w:rPr>
                <w:rFonts w:ascii="Arial" w:hAnsi="Arial" w:cs="Arial"/>
                <w:lang w:val="en-GB"/>
              </w:rPr>
              <w:t>Taherdoost</w:t>
            </w:r>
            <w:proofErr w:type="spellEnd"/>
            <w:r w:rsidRPr="0075607F">
              <w:rPr>
                <w:rFonts w:ascii="Arial" w:hAnsi="Arial" w:cs="Arial"/>
                <w:lang w:val="en-GB"/>
              </w:rPr>
              <w:t>, 2021). The main resources required will include access to online academic databases such as Google Scholar, ScienceDirect, Emerald Insight, Sage Journals, and ProQuest.</w:t>
            </w:r>
          </w:p>
          <w:p w14:paraId="67E9F2CB" w14:textId="77777777" w:rsidR="001571C6" w:rsidRPr="00B17A16" w:rsidRDefault="001571C6" w:rsidP="000039B7">
            <w:pPr>
              <w:spacing w:line="360" w:lineRule="auto"/>
              <w:jc w:val="both"/>
              <w:rPr>
                <w:rFonts w:ascii="Arial" w:hAnsi="Arial" w:cs="Arial"/>
                <w:lang w:val="en-GB"/>
              </w:rPr>
            </w:pPr>
            <w:r w:rsidRPr="0075607F">
              <w:rPr>
                <w:rFonts w:ascii="Arial" w:hAnsi="Arial" w:cs="Arial"/>
                <w:lang w:val="en-GB"/>
              </w:rPr>
              <w:t>A structured search strategy will be used to identify relevant and credible sources. Key terms and phrases related to the research topic will be entered into the selected databases, and Boolean operators such as ‘AND’, ‘OR’, and ‘NOT’ may be used to broaden or narrow the search results (Wakefield, 2014). The search process will be documented, including the databases used, keywords applied, filters selected, and the number of results identified (University of Texas Libraries, 2020).</w:t>
            </w:r>
          </w:p>
          <w:p w14:paraId="6CF889A3" w14:textId="15144BFD" w:rsidR="001571C6" w:rsidRDefault="001571C6" w:rsidP="00D002D5">
            <w:pPr>
              <w:rPr>
                <w:rFonts w:ascii="Arial" w:hAnsi="Arial" w:cs="Arial"/>
              </w:rPr>
            </w:pPr>
          </w:p>
          <w:p w14:paraId="15C51FC3" w14:textId="77777777" w:rsidR="001571C6" w:rsidRPr="00EB6F36" w:rsidRDefault="001571C6" w:rsidP="00D002D5">
            <w:pPr>
              <w:rPr>
                <w:rFonts w:ascii="Arial" w:hAnsi="Arial" w:cs="Arial"/>
                <w:noProof/>
              </w:rPr>
            </w:pPr>
          </w:p>
        </w:tc>
        <w:tc>
          <w:tcPr>
            <w:tcW w:w="360" w:type="dxa"/>
            <w:vMerge/>
          </w:tcPr>
          <w:p w14:paraId="466044E5" w14:textId="77777777" w:rsidR="001571C6" w:rsidRPr="00EB6F36" w:rsidRDefault="001571C6" w:rsidP="00D002D5">
            <w:pPr>
              <w:rPr>
                <w:rFonts w:ascii="Arial" w:hAnsi="Arial" w:cs="Arial"/>
                <w:noProof/>
              </w:rPr>
            </w:pPr>
          </w:p>
        </w:tc>
        <w:tc>
          <w:tcPr>
            <w:tcW w:w="4587" w:type="dxa"/>
            <w:vMerge/>
          </w:tcPr>
          <w:p w14:paraId="763FE2D9" w14:textId="77777777" w:rsidR="001571C6" w:rsidRPr="00EB6F36" w:rsidRDefault="001571C6" w:rsidP="00D002D5">
            <w:pPr>
              <w:rPr>
                <w:rFonts w:ascii="Arial" w:hAnsi="Arial" w:cs="Arial"/>
                <w:sz w:val="21"/>
              </w:rPr>
            </w:pPr>
          </w:p>
        </w:tc>
      </w:tr>
    </w:tbl>
    <w:p w14:paraId="6A2ACBAF" w14:textId="77777777" w:rsidR="00BB01D2" w:rsidRDefault="00BB01D2" w:rsidP="00ED1049">
      <w:pPr>
        <w:tabs>
          <w:tab w:val="left" w:pos="6540"/>
        </w:tabs>
        <w:spacing w:line="360" w:lineRule="auto"/>
        <w:ind w:left="426"/>
        <w:rPr>
          <w:rFonts w:ascii="Arial" w:hAnsi="Arial" w:cs="Arial"/>
          <w:sz w:val="28"/>
          <w:szCs w:val="28"/>
        </w:rPr>
      </w:pPr>
    </w:p>
    <w:p w14:paraId="32FCC01B" w14:textId="77777777" w:rsidR="00BB01D2" w:rsidRDefault="00BB01D2" w:rsidP="00ED1049">
      <w:pPr>
        <w:tabs>
          <w:tab w:val="left" w:pos="6540"/>
        </w:tabs>
        <w:spacing w:line="360" w:lineRule="auto"/>
        <w:ind w:left="426"/>
        <w:rPr>
          <w:rFonts w:ascii="Arial" w:hAnsi="Arial" w:cs="Arial"/>
          <w:sz w:val="28"/>
          <w:szCs w:val="28"/>
        </w:rPr>
      </w:pPr>
    </w:p>
    <w:p w14:paraId="512C88FF" w14:textId="77777777" w:rsidR="00BB01D2" w:rsidRDefault="00BB01D2" w:rsidP="00ED1049">
      <w:pPr>
        <w:tabs>
          <w:tab w:val="left" w:pos="6540"/>
        </w:tabs>
        <w:spacing w:line="360" w:lineRule="auto"/>
        <w:ind w:left="426"/>
        <w:rPr>
          <w:rFonts w:ascii="Arial" w:hAnsi="Arial" w:cs="Arial"/>
          <w:sz w:val="28"/>
          <w:szCs w:val="28"/>
        </w:rPr>
      </w:pPr>
    </w:p>
    <w:p w14:paraId="160FF05C" w14:textId="77777777" w:rsidR="00CC0A8F" w:rsidRPr="00CC0A8F" w:rsidRDefault="00CC0A8F" w:rsidP="00C46111">
      <w:r w:rsidRPr="00CC0A8F">
        <w:br w:type="page"/>
      </w:r>
    </w:p>
    <w:p w14:paraId="0863B5DF" w14:textId="77777777" w:rsidR="00B67824" w:rsidRDefault="00B67824" w:rsidP="00C46111"/>
    <w:p w14:paraId="5FD13C6F" w14:textId="4A253404" w:rsidR="006C322D" w:rsidRDefault="00ED1049" w:rsidP="006C322D">
      <w:pPr>
        <w:rPr>
          <w:rFonts w:ascii="Arial" w:hAnsi="Arial" w:cs="Arial"/>
          <w:b/>
          <w:bCs/>
          <w:sz w:val="28"/>
          <w:szCs w:val="28"/>
        </w:rPr>
      </w:pPr>
      <w:r w:rsidRPr="00ED1049">
        <w:rPr>
          <w:rFonts w:ascii="Arial" w:hAnsi="Arial" w:cs="Arial"/>
          <w:b/>
          <w:bCs/>
          <w:sz w:val="28"/>
          <w:szCs w:val="28"/>
        </w:rPr>
        <w:t>References</w:t>
      </w:r>
    </w:p>
    <w:p w14:paraId="7908653B" w14:textId="77777777" w:rsidR="006C322D" w:rsidRPr="000A1C00" w:rsidRDefault="006C322D" w:rsidP="006C322D">
      <w:pPr>
        <w:spacing w:line="360" w:lineRule="auto"/>
        <w:jc w:val="both"/>
        <w:rPr>
          <w:rFonts w:ascii="Arial" w:hAnsi="Arial" w:cs="Arial"/>
          <w:lang w:val="en-GB"/>
        </w:rPr>
      </w:pPr>
      <w:r w:rsidRPr="000A1C00">
        <w:rPr>
          <w:rFonts w:ascii="Arial" w:hAnsi="Arial" w:cs="Arial"/>
          <w:lang w:val="en-GB"/>
        </w:rPr>
        <w:t xml:space="preserve">Aveyard, H. (2023) </w:t>
      </w:r>
      <w:r w:rsidRPr="000A1C00">
        <w:rPr>
          <w:rFonts w:ascii="Arial" w:hAnsi="Arial" w:cs="Arial"/>
          <w:i/>
          <w:iCs/>
          <w:lang w:val="en-GB"/>
        </w:rPr>
        <w:t>Doing a literature review in health and social care: a practical guide</w:t>
      </w:r>
      <w:r w:rsidRPr="000A1C00">
        <w:rPr>
          <w:rFonts w:ascii="Arial" w:hAnsi="Arial" w:cs="Arial"/>
          <w:lang w:val="en-GB"/>
        </w:rPr>
        <w:t xml:space="preserve">. 5th </w:t>
      </w:r>
      <w:proofErr w:type="spellStart"/>
      <w:r w:rsidRPr="000A1C00">
        <w:rPr>
          <w:rFonts w:ascii="Arial" w:hAnsi="Arial" w:cs="Arial"/>
          <w:lang w:val="en-GB"/>
        </w:rPr>
        <w:t>edn</w:t>
      </w:r>
      <w:proofErr w:type="spellEnd"/>
      <w:r w:rsidRPr="000A1C00">
        <w:rPr>
          <w:rFonts w:ascii="Arial" w:hAnsi="Arial" w:cs="Arial"/>
          <w:lang w:val="en-GB"/>
        </w:rPr>
        <w:t>. London: Open University Press.</w:t>
      </w:r>
    </w:p>
    <w:p w14:paraId="522092C0" w14:textId="77777777" w:rsidR="006C322D" w:rsidRPr="000A1C00" w:rsidRDefault="006C322D" w:rsidP="006C322D">
      <w:pPr>
        <w:spacing w:line="360" w:lineRule="auto"/>
        <w:jc w:val="both"/>
        <w:rPr>
          <w:rFonts w:ascii="Arial" w:hAnsi="Arial" w:cs="Arial"/>
        </w:rPr>
      </w:pPr>
      <w:r w:rsidRPr="000A1C00">
        <w:rPr>
          <w:rFonts w:ascii="Arial" w:hAnsi="Arial" w:cs="Arial"/>
        </w:rPr>
        <w:t xml:space="preserve">Department of Health and Social Care (2025) </w:t>
      </w:r>
      <w:r w:rsidRPr="000A1C00">
        <w:rPr>
          <w:rFonts w:ascii="Arial" w:hAnsi="Arial" w:cs="Arial"/>
          <w:i/>
          <w:iCs/>
        </w:rPr>
        <w:t>Adult social care workforce survey 2023–2024</w:t>
      </w:r>
      <w:r w:rsidRPr="000A1C00">
        <w:rPr>
          <w:rFonts w:ascii="Arial" w:hAnsi="Arial" w:cs="Arial"/>
        </w:rPr>
        <w:t>. London: DHSC.</w:t>
      </w:r>
    </w:p>
    <w:p w14:paraId="46AAB594" w14:textId="77777777" w:rsidR="006C322D" w:rsidRPr="000A1C00" w:rsidRDefault="006C322D" w:rsidP="006C322D">
      <w:pPr>
        <w:spacing w:line="360" w:lineRule="auto"/>
        <w:jc w:val="both"/>
        <w:rPr>
          <w:rFonts w:ascii="Arial" w:hAnsi="Arial" w:cs="Arial"/>
          <w:lang w:val="en-GB"/>
        </w:rPr>
      </w:pPr>
      <w:proofErr w:type="spellStart"/>
      <w:r w:rsidRPr="000A1C00">
        <w:rPr>
          <w:rFonts w:ascii="Arial" w:hAnsi="Arial" w:cs="Arial"/>
          <w:lang w:val="en-GB"/>
        </w:rPr>
        <w:t>Taherdoost</w:t>
      </w:r>
      <w:proofErr w:type="spellEnd"/>
      <w:r w:rsidRPr="000A1C00">
        <w:rPr>
          <w:rFonts w:ascii="Arial" w:hAnsi="Arial" w:cs="Arial"/>
          <w:lang w:val="en-GB"/>
        </w:rPr>
        <w:t xml:space="preserve">, H. (2021) ‘Data collection methods and tools for research: a step-by-step guide’, </w:t>
      </w:r>
      <w:r w:rsidRPr="000A1C00">
        <w:rPr>
          <w:rFonts w:ascii="Arial" w:hAnsi="Arial" w:cs="Arial"/>
          <w:i/>
          <w:iCs/>
          <w:lang w:val="en-GB"/>
        </w:rPr>
        <w:t>HAL Archives Ouvertes</w:t>
      </w:r>
      <w:r w:rsidRPr="000A1C00">
        <w:rPr>
          <w:rFonts w:ascii="Arial" w:hAnsi="Arial" w:cs="Arial"/>
          <w:lang w:val="en-GB"/>
        </w:rPr>
        <w:t xml:space="preserve">. Available at: </w:t>
      </w:r>
      <w:hyperlink r:id="rId15" w:tgtFrame="_blank" w:history="1">
        <w:r w:rsidRPr="000A1C00">
          <w:rPr>
            <w:rStyle w:val="Hyperlink"/>
            <w:rFonts w:ascii="Arial" w:hAnsi="Arial" w:cs="Arial"/>
            <w:lang w:val="en-GB"/>
          </w:rPr>
          <w:t>https://hal.science/hal-03741847/document</w:t>
        </w:r>
      </w:hyperlink>
      <w:r w:rsidRPr="000A1C00">
        <w:rPr>
          <w:rFonts w:ascii="Arial" w:hAnsi="Arial" w:cs="Arial"/>
          <w:lang w:val="en-GB"/>
        </w:rPr>
        <w:t xml:space="preserve"> (Accessed: 12 October 2026).</w:t>
      </w:r>
    </w:p>
    <w:p w14:paraId="1E04C2D6" w14:textId="77777777" w:rsidR="006C322D" w:rsidRPr="000A1C00" w:rsidRDefault="006C322D" w:rsidP="006C322D">
      <w:pPr>
        <w:spacing w:line="360" w:lineRule="auto"/>
        <w:jc w:val="both"/>
        <w:rPr>
          <w:rFonts w:ascii="Arial" w:hAnsi="Arial" w:cs="Arial"/>
          <w:lang w:val="en-GB"/>
        </w:rPr>
      </w:pPr>
      <w:r w:rsidRPr="000A1C00">
        <w:rPr>
          <w:rFonts w:ascii="Arial" w:hAnsi="Arial" w:cs="Arial"/>
          <w:lang w:val="en-GB"/>
        </w:rPr>
        <w:t xml:space="preserve">University of Texas Libraries (2020) </w:t>
      </w:r>
      <w:r w:rsidRPr="000A1C00">
        <w:rPr>
          <w:rFonts w:ascii="Arial" w:hAnsi="Arial" w:cs="Arial"/>
          <w:i/>
          <w:iCs/>
          <w:lang w:val="en-GB"/>
        </w:rPr>
        <w:t>Steps in the literature review process</w:t>
      </w:r>
      <w:r w:rsidRPr="000A1C00">
        <w:rPr>
          <w:rFonts w:ascii="Arial" w:hAnsi="Arial" w:cs="Arial"/>
          <w:lang w:val="en-GB"/>
        </w:rPr>
        <w:t xml:space="preserve">. Available at: </w:t>
      </w:r>
      <w:hyperlink r:id="rId16" w:tgtFrame="_blank" w:history="1">
        <w:r w:rsidRPr="000A1C00">
          <w:rPr>
            <w:rStyle w:val="Hyperlink"/>
            <w:rFonts w:ascii="Arial" w:hAnsi="Arial" w:cs="Arial"/>
            <w:lang w:val="en-GB"/>
          </w:rPr>
          <w:t>https://guides.lib.utexas.edu/c.php?g=1060589&amp;p=7710319</w:t>
        </w:r>
      </w:hyperlink>
      <w:r w:rsidRPr="000A1C00">
        <w:rPr>
          <w:rFonts w:ascii="Arial" w:hAnsi="Arial" w:cs="Arial"/>
          <w:lang w:val="en-GB"/>
        </w:rPr>
        <w:t xml:space="preserve"> (Accessed: 12 October 2026).</w:t>
      </w:r>
    </w:p>
    <w:p w14:paraId="37B35DF0" w14:textId="77777777" w:rsidR="006C322D" w:rsidRPr="000A1C00" w:rsidRDefault="006C322D" w:rsidP="006C322D">
      <w:pPr>
        <w:spacing w:line="360" w:lineRule="auto"/>
        <w:jc w:val="both"/>
        <w:rPr>
          <w:rFonts w:ascii="Arial" w:hAnsi="Arial" w:cs="Arial"/>
          <w:lang w:val="en-GB"/>
        </w:rPr>
      </w:pPr>
      <w:r w:rsidRPr="000A1C00">
        <w:rPr>
          <w:rFonts w:ascii="Arial" w:hAnsi="Arial" w:cs="Arial"/>
          <w:lang w:val="en-GB"/>
        </w:rPr>
        <w:t xml:space="preserve">Wakefield, A. (2014) ‘Searching and critiquing the research literature’, </w:t>
      </w:r>
      <w:r w:rsidRPr="000A1C00">
        <w:rPr>
          <w:rFonts w:ascii="Arial" w:hAnsi="Arial" w:cs="Arial"/>
          <w:i/>
          <w:iCs/>
          <w:lang w:val="en-GB"/>
        </w:rPr>
        <w:t>Nursing Standard</w:t>
      </w:r>
      <w:r w:rsidRPr="000A1C00">
        <w:rPr>
          <w:rFonts w:ascii="Arial" w:hAnsi="Arial" w:cs="Arial"/>
          <w:lang w:val="en-GB"/>
        </w:rPr>
        <w:t>, 29(8), pp. 48–55.</w:t>
      </w:r>
    </w:p>
    <w:p w14:paraId="43C8E979" w14:textId="77777777" w:rsidR="006C322D" w:rsidRDefault="006C322D" w:rsidP="00C46111">
      <w:pPr>
        <w:rPr>
          <w:rFonts w:ascii="Arial" w:hAnsi="Arial" w:cs="Arial"/>
          <w:b/>
          <w:bCs/>
          <w:sz w:val="28"/>
          <w:szCs w:val="28"/>
        </w:rPr>
      </w:pP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17"/>
      <w:headerReference w:type="first" r:id="rId18"/>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365DE" w14:textId="77777777" w:rsidR="0086754B" w:rsidRDefault="0086754B" w:rsidP="00D210FA">
      <w:pPr>
        <w:spacing w:after="0"/>
      </w:pPr>
      <w:r>
        <w:separator/>
      </w:r>
    </w:p>
  </w:endnote>
  <w:endnote w:type="continuationSeparator" w:id="0">
    <w:p w14:paraId="00C56F46" w14:textId="77777777" w:rsidR="0086754B" w:rsidRDefault="0086754B"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9F224" w14:textId="77777777" w:rsidR="0086754B" w:rsidRDefault="0086754B" w:rsidP="00D210FA">
      <w:pPr>
        <w:spacing w:after="0"/>
      </w:pPr>
      <w:r>
        <w:separator/>
      </w:r>
    </w:p>
  </w:footnote>
  <w:footnote w:type="continuationSeparator" w:id="0">
    <w:p w14:paraId="7801B649" w14:textId="77777777" w:rsidR="0086754B" w:rsidRDefault="0086754B"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007CCA"/>
    <w:multiLevelType w:val="hybridMultilevel"/>
    <w:tmpl w:val="296C66D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6"/>
  </w:num>
  <w:num w:numId="4" w16cid:durableId="67852329">
    <w:abstractNumId w:val="7"/>
  </w:num>
  <w:num w:numId="5" w16cid:durableId="825783799">
    <w:abstractNumId w:val="3"/>
  </w:num>
  <w:num w:numId="6" w16cid:durableId="1203637911">
    <w:abstractNumId w:val="2"/>
  </w:num>
  <w:num w:numId="7" w16cid:durableId="1393117886">
    <w:abstractNumId w:val="5"/>
  </w:num>
  <w:num w:numId="8" w16cid:durableId="549852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39B7"/>
    <w:rsid w:val="00023293"/>
    <w:rsid w:val="00061977"/>
    <w:rsid w:val="000839C1"/>
    <w:rsid w:val="0008782A"/>
    <w:rsid w:val="000951CB"/>
    <w:rsid w:val="000A065A"/>
    <w:rsid w:val="00106FC5"/>
    <w:rsid w:val="00120DEC"/>
    <w:rsid w:val="00123C19"/>
    <w:rsid w:val="001571C6"/>
    <w:rsid w:val="00166651"/>
    <w:rsid w:val="001C55B6"/>
    <w:rsid w:val="001D6CC4"/>
    <w:rsid w:val="00206405"/>
    <w:rsid w:val="002465D8"/>
    <w:rsid w:val="00253267"/>
    <w:rsid w:val="002823CD"/>
    <w:rsid w:val="00287787"/>
    <w:rsid w:val="00291685"/>
    <w:rsid w:val="002A457F"/>
    <w:rsid w:val="002B0A3D"/>
    <w:rsid w:val="002F4221"/>
    <w:rsid w:val="003007A7"/>
    <w:rsid w:val="003257E1"/>
    <w:rsid w:val="00325DEC"/>
    <w:rsid w:val="00346FFA"/>
    <w:rsid w:val="00363057"/>
    <w:rsid w:val="003A3069"/>
    <w:rsid w:val="003C20B5"/>
    <w:rsid w:val="003E545F"/>
    <w:rsid w:val="003F03D2"/>
    <w:rsid w:val="003F1E1A"/>
    <w:rsid w:val="004045E5"/>
    <w:rsid w:val="00410241"/>
    <w:rsid w:val="00421496"/>
    <w:rsid w:val="00422C27"/>
    <w:rsid w:val="0044367C"/>
    <w:rsid w:val="004642F0"/>
    <w:rsid w:val="004A5E08"/>
    <w:rsid w:val="00500564"/>
    <w:rsid w:val="0051102B"/>
    <w:rsid w:val="005747D3"/>
    <w:rsid w:val="005838BC"/>
    <w:rsid w:val="00595E25"/>
    <w:rsid w:val="005B57E1"/>
    <w:rsid w:val="005E61E0"/>
    <w:rsid w:val="005F0F31"/>
    <w:rsid w:val="006024ED"/>
    <w:rsid w:val="0061793F"/>
    <w:rsid w:val="0062123A"/>
    <w:rsid w:val="00643636"/>
    <w:rsid w:val="006605F8"/>
    <w:rsid w:val="006676A1"/>
    <w:rsid w:val="006833BD"/>
    <w:rsid w:val="006C322D"/>
    <w:rsid w:val="006D2642"/>
    <w:rsid w:val="006E2D42"/>
    <w:rsid w:val="006F3E41"/>
    <w:rsid w:val="00711E29"/>
    <w:rsid w:val="00720FEE"/>
    <w:rsid w:val="00762FB9"/>
    <w:rsid w:val="00764B6F"/>
    <w:rsid w:val="00776A8C"/>
    <w:rsid w:val="007C7319"/>
    <w:rsid w:val="007D43B3"/>
    <w:rsid w:val="007F20B4"/>
    <w:rsid w:val="007F525E"/>
    <w:rsid w:val="00813B82"/>
    <w:rsid w:val="0082695D"/>
    <w:rsid w:val="0083044C"/>
    <w:rsid w:val="0085182D"/>
    <w:rsid w:val="0086754B"/>
    <w:rsid w:val="00867E5F"/>
    <w:rsid w:val="008709F5"/>
    <w:rsid w:val="00877A91"/>
    <w:rsid w:val="00884E86"/>
    <w:rsid w:val="008927FF"/>
    <w:rsid w:val="008931DE"/>
    <w:rsid w:val="008B0F18"/>
    <w:rsid w:val="008E3921"/>
    <w:rsid w:val="0090027B"/>
    <w:rsid w:val="00905238"/>
    <w:rsid w:val="0094702A"/>
    <w:rsid w:val="00967DAB"/>
    <w:rsid w:val="00990E76"/>
    <w:rsid w:val="00991A53"/>
    <w:rsid w:val="00996F4E"/>
    <w:rsid w:val="009B09FA"/>
    <w:rsid w:val="009F71FE"/>
    <w:rsid w:val="00A31F33"/>
    <w:rsid w:val="00A70A62"/>
    <w:rsid w:val="00A71DA8"/>
    <w:rsid w:val="00A84140"/>
    <w:rsid w:val="00A97C8C"/>
    <w:rsid w:val="00AB1210"/>
    <w:rsid w:val="00AB770D"/>
    <w:rsid w:val="00AC602C"/>
    <w:rsid w:val="00AF2088"/>
    <w:rsid w:val="00AF3495"/>
    <w:rsid w:val="00AF5FB0"/>
    <w:rsid w:val="00B0080A"/>
    <w:rsid w:val="00B0538C"/>
    <w:rsid w:val="00B37AB8"/>
    <w:rsid w:val="00B418DE"/>
    <w:rsid w:val="00B47FE7"/>
    <w:rsid w:val="00B507E6"/>
    <w:rsid w:val="00B67824"/>
    <w:rsid w:val="00BB01D2"/>
    <w:rsid w:val="00BE15BA"/>
    <w:rsid w:val="00C164DE"/>
    <w:rsid w:val="00C20ED0"/>
    <w:rsid w:val="00C230BB"/>
    <w:rsid w:val="00C3440A"/>
    <w:rsid w:val="00C348A8"/>
    <w:rsid w:val="00C46111"/>
    <w:rsid w:val="00C83332"/>
    <w:rsid w:val="00C856FD"/>
    <w:rsid w:val="00C95E04"/>
    <w:rsid w:val="00CC0A8F"/>
    <w:rsid w:val="00CC1DCE"/>
    <w:rsid w:val="00CC24B6"/>
    <w:rsid w:val="00CD3A64"/>
    <w:rsid w:val="00CE08CD"/>
    <w:rsid w:val="00D002D5"/>
    <w:rsid w:val="00D0664A"/>
    <w:rsid w:val="00D10239"/>
    <w:rsid w:val="00D210FA"/>
    <w:rsid w:val="00D30F1D"/>
    <w:rsid w:val="00D478A2"/>
    <w:rsid w:val="00D57231"/>
    <w:rsid w:val="00D87B48"/>
    <w:rsid w:val="00D91203"/>
    <w:rsid w:val="00D94FD1"/>
    <w:rsid w:val="00E41692"/>
    <w:rsid w:val="00E55D74"/>
    <w:rsid w:val="00E81234"/>
    <w:rsid w:val="00E9037E"/>
    <w:rsid w:val="00E97267"/>
    <w:rsid w:val="00EA120D"/>
    <w:rsid w:val="00EA49C3"/>
    <w:rsid w:val="00EB5E14"/>
    <w:rsid w:val="00EB6F36"/>
    <w:rsid w:val="00ED1049"/>
    <w:rsid w:val="00ED36D3"/>
    <w:rsid w:val="00EE19D9"/>
    <w:rsid w:val="00EF26FC"/>
    <w:rsid w:val="00F37523"/>
    <w:rsid w:val="00F37FF4"/>
    <w:rsid w:val="00F50168"/>
    <w:rsid w:val="00F50D34"/>
    <w:rsid w:val="00F61360"/>
    <w:rsid w:val="00FC538A"/>
    <w:rsid w:val="00FC62BF"/>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1E697A41-2669-4AA4-ADB8-38DD2C0E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6C32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uides.lib.utexas.edu/c.php?g=1060589&amp;p=77103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hal.science/hal-03741847/documen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brochure.dotx</Template>
  <TotalTime>37</TotalTime>
  <Pages>5</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Daberechi Onyinye Eze (2232114)</dc:creator>
  <cp:keywords/>
  <dc:description/>
  <cp:lastModifiedBy>Daberechi Onyinye Eze (2232114)</cp:lastModifiedBy>
  <cp:revision>36</cp:revision>
  <dcterms:created xsi:type="dcterms:W3CDTF">2026-10-12T16:10:00Z</dcterms:created>
  <dcterms:modified xsi:type="dcterms:W3CDTF">2026-10-12T16:48:00Z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