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2F4EB9" w:rsidR="7908378C" w:rsidRDefault="7908378C" w:rsidP="33572C6E">
            <w:pPr>
              <w:ind w:right="237"/>
              <w:rPr>
                <w:b/>
                <w:bCs/>
                <w:color w:val="auto"/>
                <w:sz w:val="32"/>
                <w:szCs w:val="32"/>
              </w:rPr>
            </w:pPr>
            <w:r w:rsidRPr="33572C6E">
              <w:rPr>
                <w:b/>
                <w:bCs/>
                <w:color w:val="auto"/>
                <w:sz w:val="32"/>
                <w:szCs w:val="32"/>
              </w:rPr>
              <w:t>Learner name: 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692FB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316F9A3B" w14:textId="77777777" w:rsidR="00692FBC" w:rsidRPr="00692FBC" w:rsidRDefault="00692FBC" w:rsidP="00692FBC">
      <w:pPr>
        <w:spacing w:line="480" w:lineRule="auto"/>
        <w:ind w:right="237"/>
        <w:jc w:val="both"/>
        <w:textAlignment w:val="auto"/>
        <w:rPr>
          <w:rFonts w:eastAsia="Arial"/>
          <w:color w:val="000000" w:themeColor="text1"/>
        </w:rPr>
      </w:pPr>
      <w:r w:rsidRPr="00692FBC">
        <w:rPr>
          <w:rFonts w:eastAsia="Arial"/>
          <w:color w:val="000000" w:themeColor="text1"/>
        </w:rPr>
        <w:t xml:space="preserve">In this essay I will reflect upon a policing incident where I have played a significant role, involving a victim of crime. </w:t>
      </w:r>
      <w:r w:rsidRPr="00692FBC">
        <w:rPr>
          <w:color w:val="212121"/>
          <w:shd w:val="clear" w:color="auto" w:fill="FFFFFF"/>
        </w:rPr>
        <w:t xml:space="preserve">I will be discussing the vulnerabilities surrounding the victim of crime and the processes that the police have in place to help moving forward in relation to re-victimisation of victims of anti-social behaviour and hate crime. </w:t>
      </w:r>
      <w:r w:rsidRPr="00692FBC">
        <w:rPr>
          <w:rFonts w:eastAsia="Arial"/>
          <w:color w:val="000000" w:themeColor="text1"/>
        </w:rPr>
        <w:t xml:space="preserve">To reflect on this, I will be using the </w:t>
      </w:r>
      <w:r w:rsidRPr="00692FBC">
        <w:rPr>
          <w:color w:val="212121"/>
          <w:shd w:val="clear" w:color="auto" w:fill="FFFFFF"/>
        </w:rPr>
        <w:t>Borton’s model which is a framework for reflection.</w:t>
      </w:r>
    </w:p>
    <w:p w14:paraId="217C866D" w14:textId="77777777" w:rsidR="00692FBC" w:rsidRPr="00692FBC" w:rsidRDefault="00692FBC" w:rsidP="00692FBC">
      <w:pPr>
        <w:shd w:val="clear" w:color="auto" w:fill="FFFFFF"/>
        <w:overflowPunct/>
        <w:autoSpaceDE/>
        <w:autoSpaceDN/>
        <w:adjustRightInd/>
        <w:spacing w:after="300" w:line="480" w:lineRule="auto"/>
        <w:rPr>
          <w:color w:val="212121"/>
        </w:rPr>
      </w:pPr>
      <w:r w:rsidRPr="00692FBC">
        <w:rPr>
          <w:color w:val="212121"/>
        </w:rPr>
        <w:t>The framework includes only three questions:</w:t>
      </w:r>
    </w:p>
    <w:p w14:paraId="413DD7E4" w14:textId="77777777" w:rsidR="00692FBC" w:rsidRPr="00692FBC" w:rsidRDefault="00692FBC" w:rsidP="00692FBC">
      <w:pPr>
        <w:numPr>
          <w:ilvl w:val="0"/>
          <w:numId w:val="51"/>
        </w:numPr>
        <w:shd w:val="clear" w:color="auto" w:fill="FFFFFF"/>
        <w:overflowPunct/>
        <w:autoSpaceDE/>
        <w:autoSpaceDN/>
        <w:adjustRightInd/>
        <w:spacing w:line="480" w:lineRule="auto"/>
        <w:ind w:left="1170"/>
        <w:textAlignment w:val="auto"/>
        <w:rPr>
          <w:color w:val="212121"/>
        </w:rPr>
      </w:pPr>
      <w:r w:rsidRPr="00692FBC">
        <w:rPr>
          <w:color w:val="212121"/>
        </w:rPr>
        <w:t>What?</w:t>
      </w:r>
    </w:p>
    <w:p w14:paraId="7C902CED" w14:textId="77777777" w:rsidR="00692FBC" w:rsidRPr="00692FBC" w:rsidRDefault="00692FBC" w:rsidP="00692FBC">
      <w:pPr>
        <w:numPr>
          <w:ilvl w:val="0"/>
          <w:numId w:val="51"/>
        </w:numPr>
        <w:shd w:val="clear" w:color="auto" w:fill="FFFFFF"/>
        <w:overflowPunct/>
        <w:autoSpaceDE/>
        <w:autoSpaceDN/>
        <w:adjustRightInd/>
        <w:spacing w:line="480" w:lineRule="auto"/>
        <w:ind w:left="1170"/>
        <w:textAlignment w:val="auto"/>
        <w:rPr>
          <w:color w:val="212121"/>
        </w:rPr>
      </w:pPr>
      <w:r w:rsidRPr="00692FBC">
        <w:rPr>
          <w:color w:val="212121"/>
        </w:rPr>
        <w:t>So what?</w:t>
      </w:r>
    </w:p>
    <w:p w14:paraId="42187DE7" w14:textId="77777777" w:rsidR="00692FBC" w:rsidRPr="00692FBC" w:rsidRDefault="00692FBC" w:rsidP="00692FBC">
      <w:pPr>
        <w:numPr>
          <w:ilvl w:val="0"/>
          <w:numId w:val="51"/>
        </w:numPr>
        <w:shd w:val="clear" w:color="auto" w:fill="FFFFFF"/>
        <w:overflowPunct/>
        <w:autoSpaceDE/>
        <w:autoSpaceDN/>
        <w:adjustRightInd/>
        <w:spacing w:line="480" w:lineRule="auto"/>
        <w:ind w:left="1170"/>
        <w:textAlignment w:val="auto"/>
        <w:rPr>
          <w:color w:val="212121"/>
        </w:rPr>
      </w:pPr>
      <w:r w:rsidRPr="00692FBC">
        <w:rPr>
          <w:color w:val="212121"/>
        </w:rPr>
        <w:t>Now what?</w:t>
      </w:r>
    </w:p>
    <w:p w14:paraId="40A2DFDC" w14:textId="77777777" w:rsidR="00692FBC" w:rsidRPr="00692FBC" w:rsidRDefault="00692FBC" w:rsidP="00692FBC">
      <w:pPr>
        <w:shd w:val="clear" w:color="auto" w:fill="FFFFFF"/>
        <w:overflowPunct/>
        <w:autoSpaceDE/>
        <w:autoSpaceDN/>
        <w:adjustRightInd/>
        <w:spacing w:line="480" w:lineRule="auto"/>
        <w:rPr>
          <w:color w:val="212121"/>
        </w:rPr>
      </w:pPr>
      <w:r w:rsidRPr="00692FBC">
        <w:t xml:space="preserve">(Janse, </w:t>
      </w:r>
      <w:r w:rsidRPr="00692FBC">
        <w:rPr>
          <w:i/>
          <w:iCs/>
        </w:rPr>
        <w:t>Borton's model of Reflection</w:t>
      </w:r>
      <w:r w:rsidRPr="00692FBC">
        <w:t xml:space="preserve"> 2022)</w:t>
      </w:r>
    </w:p>
    <w:p w14:paraId="4372C5B3" w14:textId="77777777" w:rsidR="00692FBC" w:rsidRPr="00692FBC" w:rsidRDefault="00692FBC" w:rsidP="00692FBC">
      <w:pPr>
        <w:spacing w:line="480" w:lineRule="auto"/>
        <w:textAlignment w:val="auto"/>
      </w:pPr>
    </w:p>
    <w:p w14:paraId="25174882"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Firstly, I will look at ‘What’ has happened.</w:t>
      </w:r>
    </w:p>
    <w:p w14:paraId="09456CF6"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 xml:space="preserve">The incident I attended came across as an emergency call stating that a girl had just run home from school and that she was visibly upset. She was being followed by two boys who attend her school. </w:t>
      </w:r>
      <w:r w:rsidRPr="00692FBC">
        <w:rPr>
          <w:color w:val="auto"/>
        </w:rPr>
        <w:lastRenderedPageBreak/>
        <w:t xml:space="preserve">While they were chasing her, they had been shouting racial abuse at her and making her feel threatened because of her race and ethnicity. The call was made by the girl’s foster mother who had concerns for her foster daughter as the boys had still been outside their home address when the girl arrived home. </w:t>
      </w:r>
    </w:p>
    <w:p w14:paraId="4771C2A7" w14:textId="77777777" w:rsidR="00692FBC" w:rsidRPr="00692FBC" w:rsidRDefault="00692FBC" w:rsidP="00692FBC">
      <w:pPr>
        <w:overflowPunct/>
        <w:autoSpaceDE/>
        <w:autoSpaceDN/>
        <w:adjustRightInd/>
        <w:spacing w:line="480" w:lineRule="auto"/>
        <w:textAlignment w:val="auto"/>
        <w:rPr>
          <w:color w:val="auto"/>
        </w:rPr>
      </w:pPr>
    </w:p>
    <w:p w14:paraId="72455DBA"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 xml:space="preserve">This call would have been assessed by the police control room using the THRIVE model which explores the Threat, Harm, Risk, Investigation and Engagement of a situation and allows a judgement to be made on evaluating the risk posed to the victim involved, and to allocate the correct police response. On this occasion this was graded as a Grade 1 response, meaning that officers needed to attend as soon as possible. </w:t>
      </w:r>
    </w:p>
    <w:p w14:paraId="6A299956" w14:textId="77777777" w:rsidR="00692FBC" w:rsidRPr="00692FBC" w:rsidRDefault="00692FBC" w:rsidP="00692FBC">
      <w:pPr>
        <w:overflowPunct/>
        <w:autoSpaceDE/>
        <w:autoSpaceDN/>
        <w:adjustRightInd/>
        <w:spacing w:line="480" w:lineRule="auto"/>
        <w:textAlignment w:val="auto"/>
        <w:rPr>
          <w:color w:val="auto"/>
        </w:rPr>
      </w:pPr>
    </w:p>
    <w:p w14:paraId="58EC6051" w14:textId="77777777" w:rsidR="00692FBC" w:rsidRPr="00692FBC" w:rsidRDefault="00692FBC" w:rsidP="00692FBC">
      <w:pPr>
        <w:spacing w:line="480" w:lineRule="auto"/>
        <w:textAlignment w:val="auto"/>
      </w:pPr>
      <w:r w:rsidRPr="00692FBC">
        <w:t>‘The College of Policing states as ‘</w:t>
      </w:r>
      <w:r w:rsidRPr="00692FBC">
        <w:rPr>
          <w:spacing w:val="3"/>
        </w:rPr>
        <w:t>the THRIVE approach requires the following four steps.</w:t>
      </w:r>
    </w:p>
    <w:p w14:paraId="7F37E8BA" w14:textId="77777777" w:rsidR="00692FBC" w:rsidRPr="00692FBC" w:rsidRDefault="00692FBC" w:rsidP="00692FBC">
      <w:pPr>
        <w:numPr>
          <w:ilvl w:val="0"/>
          <w:numId w:val="50"/>
        </w:numPr>
        <w:overflowPunct/>
        <w:autoSpaceDE/>
        <w:autoSpaceDN/>
        <w:adjustRightInd/>
        <w:spacing w:before="100" w:beforeAutospacing="1" w:after="100" w:afterAutospacing="1" w:line="480" w:lineRule="auto"/>
        <w:textAlignment w:val="auto"/>
      </w:pPr>
      <w:r w:rsidRPr="00692FBC">
        <w:t>Identify an individual’s vulnerability or vulnerabilities.</w:t>
      </w:r>
    </w:p>
    <w:p w14:paraId="1EE81797" w14:textId="77777777" w:rsidR="00692FBC" w:rsidRPr="00692FBC" w:rsidRDefault="00692FBC" w:rsidP="00692FBC">
      <w:pPr>
        <w:numPr>
          <w:ilvl w:val="0"/>
          <w:numId w:val="50"/>
        </w:numPr>
        <w:overflowPunct/>
        <w:autoSpaceDE/>
        <w:autoSpaceDN/>
        <w:adjustRightInd/>
        <w:spacing w:before="100" w:beforeAutospacing="1" w:after="100" w:afterAutospacing="1" w:line="480" w:lineRule="auto"/>
        <w:textAlignment w:val="auto"/>
      </w:pPr>
      <w:r w:rsidRPr="00692FBC">
        <w:t>Understand how these vulnerabilities interact with the situation to create harm or risk of harm.</w:t>
      </w:r>
    </w:p>
    <w:p w14:paraId="48DDC49C" w14:textId="77777777" w:rsidR="00692FBC" w:rsidRPr="00692FBC" w:rsidRDefault="00692FBC" w:rsidP="00692FBC">
      <w:pPr>
        <w:numPr>
          <w:ilvl w:val="0"/>
          <w:numId w:val="50"/>
        </w:numPr>
        <w:overflowPunct/>
        <w:autoSpaceDE/>
        <w:autoSpaceDN/>
        <w:adjustRightInd/>
        <w:spacing w:before="100" w:beforeAutospacing="1" w:after="100" w:afterAutospacing="1" w:line="480" w:lineRule="auto"/>
        <w:textAlignment w:val="auto"/>
      </w:pPr>
      <w:r w:rsidRPr="00692FBC">
        <w:t>Assess the level of harm or risk of harm.</w:t>
      </w:r>
    </w:p>
    <w:p w14:paraId="7ECC7CD2" w14:textId="77777777" w:rsidR="00692FBC" w:rsidRPr="00692FBC" w:rsidRDefault="00692FBC" w:rsidP="00692FBC">
      <w:pPr>
        <w:numPr>
          <w:ilvl w:val="0"/>
          <w:numId w:val="50"/>
        </w:numPr>
        <w:overflowPunct/>
        <w:autoSpaceDE/>
        <w:autoSpaceDN/>
        <w:adjustRightInd/>
        <w:spacing w:before="100" w:beforeAutospacing="1" w:after="100" w:afterAutospacing="1" w:line="480" w:lineRule="auto"/>
        <w:textAlignment w:val="auto"/>
      </w:pPr>
      <w:r w:rsidRPr="00692FBC">
        <w:t xml:space="preserve">Take appropriate and proportionate action if required, involving partners where they have the relevant skills and resources.’ </w:t>
      </w:r>
    </w:p>
    <w:p w14:paraId="05DD7090" w14:textId="77777777" w:rsidR="00692FBC" w:rsidRPr="00692FBC" w:rsidRDefault="00692FBC" w:rsidP="00692FBC">
      <w:pPr>
        <w:overflowPunct/>
        <w:autoSpaceDE/>
        <w:autoSpaceDN/>
        <w:adjustRightInd/>
        <w:spacing w:before="100" w:beforeAutospacing="1" w:after="100" w:afterAutospacing="1" w:line="480" w:lineRule="auto"/>
        <w:textAlignment w:val="auto"/>
      </w:pPr>
      <w:r w:rsidRPr="00692FBC">
        <w:t xml:space="preserve">(College of Policing, </w:t>
      </w:r>
      <w:r w:rsidRPr="00692FBC">
        <w:rPr>
          <w:i/>
          <w:iCs/>
        </w:rPr>
        <w:t>Introduction to vulnerability-related risk</w:t>
      </w:r>
      <w:r w:rsidRPr="00692FBC">
        <w:t xml:space="preserve"> 2024)</w:t>
      </w:r>
    </w:p>
    <w:p w14:paraId="1B3409EC"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I attended the girl’s home address with my colleague, where she lived with her foster mother and their family. We went into the living room to speak with the girl alone in company with her foster mother so that she could speak with us in the company of an appropriate adult, as the girl was 14 years old. The girl sat on the sofa and did not speak to us. It was clear that the girl had been crying and was visibly upset. Her foster mother stated that she goes into herself when she is upset and that this incident had left her feeling scared. The girl’s foster mother took the lead and explained what had happened. </w:t>
      </w:r>
    </w:p>
    <w:p w14:paraId="366D72C2" w14:textId="77777777" w:rsidR="00692FBC" w:rsidRPr="00692FBC" w:rsidRDefault="00692FBC" w:rsidP="00692FBC">
      <w:pPr>
        <w:overflowPunct/>
        <w:autoSpaceDE/>
        <w:autoSpaceDN/>
        <w:adjustRightInd/>
        <w:spacing w:line="480" w:lineRule="auto"/>
        <w:textAlignment w:val="auto"/>
        <w:rPr>
          <w:color w:val="auto"/>
        </w:rPr>
      </w:pPr>
    </w:p>
    <w:p w14:paraId="1FD85605"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 xml:space="preserve">The girl had been walking home from school with her friend, when two boys who attend her school walked behind her, also on their way home. The two boys were known to the girl, and they were both 14 years old. While the female was walking with her friend, the boys have been behind talking loudly </w:t>
      </w:r>
      <w:r w:rsidRPr="00692FBC">
        <w:rPr>
          <w:color w:val="auto"/>
        </w:rPr>
        <w:lastRenderedPageBreak/>
        <w:t xml:space="preserve">for her to hear. Boy one has shouted ‘Hi Nigga’ to the girl and the other boy laughed as they continued to walk behind her. Then, as they walked, they started talking about monkeys, and boy one said, ‘let’s catch up to the monkey’. The girl had then turned around and told the boys that what she was hearing was offensive to her and asked them to stop. The boys didn’t listen and carried on calling the girl ‘a Nigga’ until they got to the girl’s friends home address. It was also said that the boys have said that they support slavery and love slaves. The boys had then walked off and the girl stayed with her friend for approximately 15 minutes to give the boys time to leave. The girl has then left her friend’s house and started walking to her home address. The girl has then started walking on her own to her home address where she has seen the boys again walking towards her. Boy one has shouted that they should ‘chase the nigga’ before starting to run towards her. This has caused the girl extreme anxiety, and she has started to run quickly away from the boys, toward her home address. The foster mother then said that she had arrived home crying and out of breath and that the boys were standing in the street outside the house. They had then left prior to officers’ arrival. There was CCTV available and a good visual of the boys was obtained. </w:t>
      </w:r>
    </w:p>
    <w:p w14:paraId="4968B39D" w14:textId="77777777" w:rsidR="00692FBC" w:rsidRPr="00692FBC" w:rsidRDefault="00692FBC" w:rsidP="00692FBC">
      <w:pPr>
        <w:overflowPunct/>
        <w:autoSpaceDE/>
        <w:autoSpaceDN/>
        <w:adjustRightInd/>
        <w:spacing w:line="480" w:lineRule="auto"/>
        <w:textAlignment w:val="auto"/>
        <w:rPr>
          <w:color w:val="auto"/>
        </w:rPr>
      </w:pPr>
    </w:p>
    <w:p w14:paraId="50BF77E8"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Due to the nature of the incident, we believed it was important to get the boys in to speak with us as soon as possible due to them attending the same school and they would see her the next day. </w:t>
      </w:r>
    </w:p>
    <w:p w14:paraId="5C67F25F" w14:textId="77777777" w:rsidR="00692FBC" w:rsidRPr="00692FBC" w:rsidRDefault="00692FBC" w:rsidP="00692FBC">
      <w:pPr>
        <w:overflowPunct/>
        <w:autoSpaceDE/>
        <w:autoSpaceDN/>
        <w:adjustRightInd/>
        <w:spacing w:line="480" w:lineRule="auto"/>
        <w:textAlignment w:val="auto"/>
        <w:rPr>
          <w:color w:val="auto"/>
        </w:rPr>
      </w:pPr>
    </w:p>
    <w:p w14:paraId="1ACA005A" w14:textId="77777777" w:rsidR="00692FBC" w:rsidRPr="00692FBC" w:rsidRDefault="00692FBC" w:rsidP="00692FBC">
      <w:pPr>
        <w:spacing w:line="480" w:lineRule="auto"/>
        <w:textAlignment w:val="auto"/>
      </w:pPr>
      <w:r w:rsidRPr="00692FBC">
        <w:t xml:space="preserve">Using the THRIVE model again, we have evaluated that the threat is present, due to the boys still potentially being in the area and knowing where the girl lives. She had not suffered any physical harm, however the emotional harm she has suffered was extreme and likely to have a long-term effect on her. There was the risk of her becoming a repeat victim due to the boys being in the same school and that when she leaves school, this incident could potentially be repeated. It was important that the boys were brought in to speak with police under caution, to start the investigation process and to make further enquiries while ensuring the victim was safeguarded. CCTV and house to house investigations would need to take place to find any evidence to assist the victim’s statement. We had found it quite difficult to engage with the female, as she had only given one-word answers and very brief information to our questions, so to achieve best evidence, we may also need to contact specifically trained officer to help gain any further information from the victim. </w:t>
      </w:r>
    </w:p>
    <w:p w14:paraId="527C4E5E" w14:textId="77777777" w:rsidR="00692FBC" w:rsidRPr="00692FBC" w:rsidRDefault="00692FBC" w:rsidP="00692FBC">
      <w:pPr>
        <w:overflowPunct/>
        <w:autoSpaceDE/>
        <w:autoSpaceDN/>
        <w:adjustRightInd/>
        <w:spacing w:line="480" w:lineRule="auto"/>
        <w:textAlignment w:val="auto"/>
        <w:rPr>
          <w:color w:val="auto"/>
        </w:rPr>
      </w:pPr>
    </w:p>
    <w:p w14:paraId="05D7458B"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lastRenderedPageBreak/>
        <w:t xml:space="preserve">Secondly, I will explain ‘So What?’ happened next? (Janse, </w:t>
      </w:r>
      <w:r w:rsidRPr="00692FBC">
        <w:rPr>
          <w:i/>
          <w:iCs/>
          <w:color w:val="auto"/>
        </w:rPr>
        <w:t>Borton's model of Reflection</w:t>
      </w:r>
      <w:r w:rsidRPr="00692FBC">
        <w:rPr>
          <w:color w:val="auto"/>
        </w:rPr>
        <w:t xml:space="preserve"> 2022)</w:t>
      </w:r>
    </w:p>
    <w:p w14:paraId="2E938D5C"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The girl was then left in the care of her foster mother as we knew that she would be safeguarded for the rest of the evening. I then checked the Police National Computer to search for the names given to us by the girls and they boys came up straight away and were well known to police. </w:t>
      </w:r>
    </w:p>
    <w:p w14:paraId="6DA2CE2C"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Officers have then attended the boys home addresses and using Section 24 PACE have arrested them for racially aggravated public order.</w:t>
      </w:r>
    </w:p>
    <w:p w14:paraId="19CC6054" w14:textId="77777777" w:rsidR="00692FBC" w:rsidRPr="00692FBC" w:rsidRDefault="00692FBC" w:rsidP="00692FBC">
      <w:pPr>
        <w:overflowPunct/>
        <w:autoSpaceDE/>
        <w:autoSpaceDN/>
        <w:adjustRightInd/>
        <w:spacing w:line="480" w:lineRule="auto"/>
        <w:textAlignment w:val="auto"/>
        <w:rPr>
          <w:color w:val="auto"/>
        </w:rPr>
      </w:pPr>
    </w:p>
    <w:p w14:paraId="5098312F"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(1) An offence is racially aggravated for the purposes of sections 29 to 32 below if—</w:t>
      </w:r>
    </w:p>
    <w:p w14:paraId="79A3BA87"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(a) at the time of committing the offence, or immediately before or after doing so, the offender demonstrates towards the victim of the offence hostility based on the victim’s membership (or presumed membership) of a racial group; or</w:t>
      </w:r>
    </w:p>
    <w:p w14:paraId="1937C0CF"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(b) the offence is motivated (wholly or partly) by hostility towards members of a racial group based on their membership of that group. (</w:t>
      </w:r>
      <w:hyperlink r:id="rId15" w:history="1">
        <w:r w:rsidRPr="00692FBC">
          <w:rPr>
            <w:color w:val="0000FF"/>
            <w:u w:val="single"/>
          </w:rPr>
          <w:t>GOV.UK</w:t>
        </w:r>
      </w:hyperlink>
      <w:r w:rsidRPr="00692FBC">
        <w:rPr>
          <w:color w:val="auto"/>
        </w:rPr>
        <w:t xml:space="preserve">, </w:t>
      </w:r>
      <w:r w:rsidRPr="00692FBC">
        <w:rPr>
          <w:i/>
          <w:iCs/>
          <w:color w:val="auto"/>
        </w:rPr>
        <w:t>Crime and disorder act 1998</w:t>
      </w:r>
      <w:r w:rsidRPr="00692FBC">
        <w:rPr>
          <w:color w:val="auto"/>
        </w:rPr>
        <w:t>)</w:t>
      </w:r>
    </w:p>
    <w:p w14:paraId="0AEC911B" w14:textId="77777777" w:rsidR="00692FBC" w:rsidRPr="00692FBC" w:rsidRDefault="00692FBC" w:rsidP="00692FBC">
      <w:pPr>
        <w:overflowPunct/>
        <w:autoSpaceDE/>
        <w:autoSpaceDN/>
        <w:adjustRightInd/>
        <w:spacing w:line="480" w:lineRule="auto"/>
        <w:textAlignment w:val="auto"/>
        <w:rPr>
          <w:color w:val="auto"/>
        </w:rPr>
      </w:pPr>
    </w:p>
    <w:p w14:paraId="30876C5C"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‘PACE sets out to strike the right balance between the powers of the police and the rights and freedoms of the public. Maintaining that balance is a central element of PACE. Code G details the powers of arrest for a constable under PACE. ‘Powers of arrest under section 24 the Police and Criminal Evidence Act 1984 as amended by section 110 of the Serious Organised Crime and Police Act 2005’. </w:t>
      </w:r>
    </w:p>
    <w:p w14:paraId="5654DE10"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w:t>
      </w:r>
      <w:hyperlink r:id="rId16" w:history="1">
        <w:r w:rsidRPr="00692FBC">
          <w:rPr>
            <w:color w:val="0000FF"/>
            <w:u w:val="single"/>
          </w:rPr>
          <w:t>GOV.UK</w:t>
        </w:r>
      </w:hyperlink>
      <w:r w:rsidRPr="00692FBC">
        <w:rPr>
          <w:color w:val="auto"/>
        </w:rPr>
        <w:t xml:space="preserve">, </w:t>
      </w:r>
      <w:r w:rsidRPr="00692FBC">
        <w:rPr>
          <w:i/>
          <w:iCs/>
          <w:color w:val="auto"/>
        </w:rPr>
        <w:t>Police and criminal evidence act 1984 (PACE) codes of Practice</w:t>
      </w:r>
      <w:r w:rsidRPr="00692FBC">
        <w:rPr>
          <w:color w:val="auto"/>
        </w:rPr>
        <w:t>)</w:t>
      </w:r>
    </w:p>
    <w:p w14:paraId="10D7E116" w14:textId="77777777" w:rsidR="00692FBC" w:rsidRPr="00692FBC" w:rsidRDefault="00692FBC" w:rsidP="00692FBC">
      <w:pPr>
        <w:overflowPunct/>
        <w:autoSpaceDE/>
        <w:autoSpaceDN/>
        <w:adjustRightInd/>
        <w:spacing w:line="480" w:lineRule="auto"/>
        <w:textAlignment w:val="auto"/>
        <w:rPr>
          <w:color w:val="auto"/>
        </w:rPr>
      </w:pPr>
    </w:p>
    <w:p w14:paraId="44E2B13B"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‘(1) A constable may arrest without a warrant—</w:t>
      </w:r>
    </w:p>
    <w:p w14:paraId="47B5ECAA"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(a) anyone who is about to commit an offence;</w:t>
      </w:r>
    </w:p>
    <w:p w14:paraId="2945137F"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(b) anyone who is in the act of committing an offence;</w:t>
      </w:r>
    </w:p>
    <w:p w14:paraId="5A09AB87"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(c) anyone whom he has reasonable grounds for suspecting to be about to commit an offence;</w:t>
      </w:r>
    </w:p>
    <w:p w14:paraId="40064351"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(d) anyone whom he has reasonable grounds for suspecting to be committing an offence.</w:t>
      </w:r>
    </w:p>
    <w:p w14:paraId="4B515C22" w14:textId="77777777" w:rsidR="00692FBC" w:rsidRPr="00692FBC" w:rsidRDefault="00692FBC" w:rsidP="00692FBC">
      <w:pPr>
        <w:overflowPunct/>
        <w:autoSpaceDE/>
        <w:autoSpaceDN/>
        <w:adjustRightInd/>
        <w:spacing w:line="480" w:lineRule="auto"/>
        <w:textAlignment w:val="auto"/>
        <w:rPr>
          <w:color w:val="auto"/>
        </w:rPr>
      </w:pPr>
    </w:p>
    <w:p w14:paraId="0B4858CD"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(2) If a constable has reasonable grounds for suspecting that an offence has been committed, he may arrest without a warrant anyone whom he has reasonable grounds to suspect of being guilty of it.</w:t>
      </w:r>
    </w:p>
    <w:p w14:paraId="718358C8" w14:textId="77777777" w:rsidR="00692FBC" w:rsidRPr="00692FBC" w:rsidRDefault="00692FBC" w:rsidP="00692FBC">
      <w:pPr>
        <w:overflowPunct/>
        <w:autoSpaceDE/>
        <w:autoSpaceDN/>
        <w:adjustRightInd/>
        <w:spacing w:line="480" w:lineRule="auto"/>
        <w:textAlignment w:val="auto"/>
        <w:rPr>
          <w:color w:val="auto"/>
        </w:rPr>
      </w:pPr>
    </w:p>
    <w:p w14:paraId="56F1E638"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lastRenderedPageBreak/>
        <w:t>(3) If an offence has been committed, a constable may arrest without a warrant—</w:t>
      </w:r>
    </w:p>
    <w:p w14:paraId="1919CC09"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(a)anyone who is guilty of the offence;</w:t>
      </w:r>
    </w:p>
    <w:p w14:paraId="0DB53902"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(b)anyone whom he has reasonable grounds for suspecting to be guilty of it.’ (</w:t>
      </w:r>
      <w:hyperlink r:id="rId17" w:history="1">
        <w:r w:rsidRPr="00692FBC">
          <w:rPr>
            <w:color w:val="0000FF"/>
            <w:u w:val="single"/>
          </w:rPr>
          <w:t>GOV.UK</w:t>
        </w:r>
      </w:hyperlink>
      <w:r w:rsidRPr="00692FBC">
        <w:rPr>
          <w:color w:val="auto"/>
        </w:rPr>
        <w:t xml:space="preserve">, </w:t>
      </w:r>
      <w:r w:rsidRPr="00692FBC">
        <w:rPr>
          <w:i/>
          <w:iCs/>
          <w:color w:val="auto"/>
        </w:rPr>
        <w:t>Police and criminal evidence act 1984</w:t>
      </w:r>
      <w:r w:rsidRPr="00692FBC">
        <w:rPr>
          <w:color w:val="auto"/>
        </w:rPr>
        <w:t xml:space="preserve"> 1984)</w:t>
      </w:r>
    </w:p>
    <w:p w14:paraId="7C58BCFE" w14:textId="77777777" w:rsidR="00692FBC" w:rsidRPr="00692FBC" w:rsidRDefault="00692FBC" w:rsidP="00692FBC">
      <w:pPr>
        <w:overflowPunct/>
        <w:autoSpaceDE/>
        <w:autoSpaceDN/>
        <w:adjustRightInd/>
        <w:spacing w:line="480" w:lineRule="auto"/>
        <w:textAlignment w:val="auto"/>
        <w:rPr>
          <w:color w:val="auto"/>
        </w:rPr>
      </w:pPr>
    </w:p>
    <w:p w14:paraId="7357501C"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 xml:space="preserve">The males were subsequently arrested and brought into custody where their detention was authorised.  Even though the males were known to police, they had only been spoken to in relation to low level Anti-Social Behaviour in the past and the concern that their behaviour had escalated into a hate crime was a big concern. The males were interviewed, and they had admitted to what they had done and were highly apologetic. They had admitted they believed that they were messing around and did not understand the impact this could have on the girl. Due to this, they were able to be dealt with via the Youth Bureau and would also be advised to organise with the school for a meeting to be held with the victim, in company with the school’s liaison officer for them to formally apologise for their behaviour. This was also confirmed with the girls foster mother who believed this was the correct way to deal with this due to the boy’s young age. </w:t>
      </w:r>
    </w:p>
    <w:p w14:paraId="77A93B7A" w14:textId="77777777" w:rsidR="00692FBC" w:rsidRPr="00692FBC" w:rsidRDefault="00692FBC" w:rsidP="00692FBC">
      <w:pPr>
        <w:overflowPunct/>
        <w:autoSpaceDE/>
        <w:autoSpaceDN/>
        <w:adjustRightInd/>
        <w:spacing w:line="480" w:lineRule="auto"/>
        <w:textAlignment w:val="auto"/>
        <w:rPr>
          <w:color w:val="auto"/>
        </w:rPr>
      </w:pPr>
    </w:p>
    <w:p w14:paraId="325BBA85"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Early Help referrals were submitted for both boys. NSPCC describes this as ‘</w:t>
      </w:r>
      <w:r w:rsidRPr="00692FBC">
        <w:rPr>
          <w:spacing w:val="-1"/>
          <w:shd w:val="clear" w:color="auto" w:fill="FFFFFF"/>
        </w:rPr>
        <w:t>Early help and early intervention are forms of support aimed at improving outcomes for children or preventing escalating need or risk.’</w:t>
      </w:r>
      <w:r w:rsidRPr="00692FBC">
        <w:rPr>
          <w:color w:val="auto"/>
        </w:rPr>
        <w:t xml:space="preserve"> (NSPCC, </w:t>
      </w:r>
      <w:r w:rsidRPr="00692FBC">
        <w:rPr>
          <w:i/>
          <w:iCs/>
          <w:color w:val="auto"/>
        </w:rPr>
        <w:t>Early help and early intervention</w:t>
      </w:r>
      <w:r w:rsidRPr="00692FBC">
        <w:rPr>
          <w:color w:val="auto"/>
        </w:rPr>
        <w:t xml:space="preserve"> 2024) This was put in place to help the boys move forward and to try to prevent them getting themselves into the same situations moving forward.</w:t>
      </w:r>
    </w:p>
    <w:p w14:paraId="040F5C42" w14:textId="77777777" w:rsidR="00692FBC" w:rsidRPr="00692FBC" w:rsidRDefault="00692FBC" w:rsidP="00692FBC">
      <w:pPr>
        <w:overflowPunct/>
        <w:autoSpaceDE/>
        <w:autoSpaceDN/>
        <w:adjustRightInd/>
        <w:spacing w:line="480" w:lineRule="auto"/>
        <w:textAlignment w:val="auto"/>
        <w:rPr>
          <w:color w:val="auto"/>
        </w:rPr>
      </w:pPr>
    </w:p>
    <w:p w14:paraId="5C52FE95"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 xml:space="preserve">Finally, I will explore the ‘Now What?’ happened? (Janse, </w:t>
      </w:r>
      <w:r w:rsidRPr="00692FBC">
        <w:rPr>
          <w:i/>
          <w:iCs/>
          <w:color w:val="auto"/>
        </w:rPr>
        <w:t>Borton's model of Reflection</w:t>
      </w:r>
      <w:r w:rsidRPr="00692FBC">
        <w:rPr>
          <w:color w:val="auto"/>
        </w:rPr>
        <w:t xml:space="preserve"> 2022)</w:t>
      </w:r>
    </w:p>
    <w:p w14:paraId="76FD7337"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 xml:space="preserve">It was important to ensure that the girl was safeguarded throughout the process and to ensure that she did not become a repeat victim. Firstly, A PPN was submitted for the girl which is a public protection notification. This is a document specifically designed to share information with partner agencies to help create a multi-agency response to incidents. (HMICFRS, </w:t>
      </w:r>
      <w:r w:rsidRPr="00692FBC">
        <w:rPr>
          <w:i/>
          <w:iCs/>
          <w:color w:val="auto"/>
        </w:rPr>
        <w:t>Public protection notice (PPN)</w:t>
      </w:r>
      <w:r w:rsidRPr="00692FBC">
        <w:rPr>
          <w:color w:val="auto"/>
        </w:rPr>
        <w:t xml:space="preserve"> 2024). As well as this, a victim focus referral form was then submitted for the victim to receive any extra support she may need. Victim Focus is an independent charity where victims of crime can contact using a freephone number and get confidential help and advice. They link in with other third-</w:t>
      </w:r>
      <w:r w:rsidRPr="00692FBC">
        <w:rPr>
          <w:color w:val="auto"/>
        </w:rPr>
        <w:lastRenderedPageBreak/>
        <w:t>party agencies like LIVE FEAR FREE to ensure they have all the support available for individuals in need. (Victim Focus, 2023)</w:t>
      </w:r>
    </w:p>
    <w:p w14:paraId="743A040E" w14:textId="77777777" w:rsidR="00692FBC" w:rsidRPr="00692FBC" w:rsidRDefault="00692FBC" w:rsidP="00692FBC">
      <w:pPr>
        <w:overflowPunct/>
        <w:autoSpaceDE/>
        <w:autoSpaceDN/>
        <w:adjustRightInd/>
        <w:spacing w:line="480" w:lineRule="auto"/>
        <w:textAlignment w:val="auto"/>
        <w:rPr>
          <w:color w:val="auto"/>
        </w:rPr>
      </w:pPr>
    </w:p>
    <w:p w14:paraId="70BA8FAF"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 xml:space="preserve">I have then submitted a hate crime referral form to ensure that the hate crime officer in our area was aware of the incident and for them to reach out to the victim to offer further support. The purpose of this form is to ‘assess the risk posed to the individual involved and to make an initial assessment of the extent of vulnerability present.’ (Brandford Hate Crime Alliance, </w:t>
      </w:r>
      <w:r w:rsidRPr="00692FBC">
        <w:rPr>
          <w:i/>
          <w:iCs/>
          <w:color w:val="auto"/>
        </w:rPr>
        <w:t>Make a referral</w:t>
      </w:r>
      <w:r w:rsidRPr="00692FBC">
        <w:rPr>
          <w:color w:val="auto"/>
        </w:rPr>
        <w:t xml:space="preserve"> 2022)</w:t>
      </w:r>
    </w:p>
    <w:p w14:paraId="40271D7E" w14:textId="77777777" w:rsidR="00692FBC" w:rsidRPr="00692FBC" w:rsidRDefault="00692FBC" w:rsidP="00692FBC">
      <w:pPr>
        <w:overflowPunct/>
        <w:autoSpaceDE/>
        <w:autoSpaceDN/>
        <w:adjustRightInd/>
        <w:spacing w:line="480" w:lineRule="auto"/>
        <w:textAlignment w:val="auto"/>
        <w:rPr>
          <w:color w:val="auto"/>
        </w:rPr>
      </w:pPr>
      <w:r w:rsidRPr="00692FBC">
        <w:rPr>
          <w:color w:val="auto"/>
        </w:rPr>
        <w:t xml:space="preserve">The neighbourhood policing teams were made aware of the victim and the perpetrators so that they could arrange to attend the school to potentially hold awareness days targeting hate crime as a priority, as well as meeting with the school’s liaison officer so that she could follow up with the school about the incident to ensure they put sufficient safeguarding in place for the victim on her return to school. </w:t>
      </w:r>
    </w:p>
    <w:p w14:paraId="37A33A6C" w14:textId="77777777" w:rsidR="00692FBC" w:rsidRPr="00692FBC" w:rsidRDefault="00692FBC" w:rsidP="00692FBC">
      <w:pPr>
        <w:overflowPunct/>
        <w:autoSpaceDE/>
        <w:autoSpaceDN/>
        <w:adjustRightInd/>
        <w:spacing w:line="480" w:lineRule="auto"/>
        <w:textAlignment w:val="auto"/>
        <w:rPr>
          <w:color w:val="auto"/>
        </w:rPr>
      </w:pPr>
    </w:p>
    <w:p w14:paraId="0C051E4C" w14:textId="77777777" w:rsidR="00692FBC" w:rsidRPr="00692FBC" w:rsidRDefault="00692FBC" w:rsidP="00692FBC">
      <w:pPr>
        <w:spacing w:line="480" w:lineRule="auto"/>
        <w:textAlignment w:val="auto"/>
      </w:pPr>
      <w:r w:rsidRPr="00692FBC">
        <w:t xml:space="preserve">Throughout this incident, I had regular phone calls with the victim’s stepmother, and had also attended the address following the arrest to speak with the victim in person. On this occasion, she was a lot more talkative and had been a lot more engaging. She was happy to know that we had put the amount of support in place that we had done, and she had already heard from victim focus. The main priority for us in this incident was that the girl would not have long term effects following what had happened to her and for her to still want to attend school and walk to school with her friend. </w:t>
      </w:r>
    </w:p>
    <w:p w14:paraId="3B681404" w14:textId="77777777" w:rsidR="00692FBC" w:rsidRPr="00692FBC" w:rsidRDefault="00692FBC" w:rsidP="00692FBC">
      <w:pPr>
        <w:spacing w:line="480" w:lineRule="auto"/>
        <w:textAlignment w:val="auto"/>
      </w:pPr>
    </w:p>
    <w:p w14:paraId="22D49F18" w14:textId="77777777" w:rsidR="00692FBC" w:rsidRPr="00692FBC" w:rsidRDefault="00692FBC" w:rsidP="00692FBC">
      <w:pPr>
        <w:spacing w:line="480" w:lineRule="auto"/>
        <w:textAlignment w:val="auto"/>
      </w:pPr>
      <w:r w:rsidRPr="00692FBC">
        <w:t xml:space="preserve">In conclusion, this incident was responded to as an emergency response, the boys involved as perpetrators were found and arrested the same day and all support referrals were also processed as soon as possible. I believe we acted appropriately and proportionate to the level of Threat, Risk and Harm that was posed to the victim. On this occasion, we were lucky that the perpetrators were as apologetic as they were and that they were willing to learn and change their behaviours. It is important for us as officers to be aware that this is not always the case, and that some perpetrators would not have believed that they had done anything wrong. I believe this to be a positive incident to reflect on as myself and my colleague have been able to help a victim of crime continue with her life without any long-term worries of becoming a repeat victim. </w:t>
      </w:r>
    </w:p>
    <w:p w14:paraId="51E813B0" w14:textId="77777777" w:rsidR="00692FBC" w:rsidRPr="00692FBC" w:rsidRDefault="00692FBC" w:rsidP="00692FBC">
      <w:pPr>
        <w:spacing w:line="480" w:lineRule="auto"/>
        <w:textAlignment w:val="auto"/>
      </w:pPr>
    </w:p>
    <w:p w14:paraId="4F483B13" w14:textId="77777777" w:rsidR="00692FBC" w:rsidRPr="00692FBC" w:rsidRDefault="00692FBC" w:rsidP="00692FBC">
      <w:pPr>
        <w:spacing w:line="480" w:lineRule="auto"/>
        <w:textAlignment w:val="auto"/>
        <w:rPr>
          <w:b/>
          <w:bCs/>
        </w:rPr>
      </w:pPr>
      <w:r w:rsidRPr="00692FBC">
        <w:rPr>
          <w:b/>
          <w:bCs/>
        </w:rPr>
        <w:lastRenderedPageBreak/>
        <w:t>Word Count – 2163</w:t>
      </w:r>
    </w:p>
    <w:p w14:paraId="210F3693" w14:textId="77777777" w:rsidR="00692FBC" w:rsidRPr="00692FBC" w:rsidRDefault="00692FBC" w:rsidP="00692FBC">
      <w:pPr>
        <w:textAlignment w:val="auto"/>
        <w:rPr>
          <w:rFonts w:asciiTheme="minorHAnsi" w:hAnsiTheme="minorHAnsi" w:cstheme="minorHAnsi"/>
          <w:b/>
          <w:bCs/>
          <w:sz w:val="22"/>
          <w:szCs w:val="22"/>
        </w:rPr>
      </w:pPr>
    </w:p>
    <w:p w14:paraId="5FAD63BE" w14:textId="77777777" w:rsidR="00692FBC" w:rsidRPr="00692FBC" w:rsidRDefault="00692FBC" w:rsidP="00692FBC">
      <w:pPr>
        <w:textAlignment w:val="auto"/>
        <w:rPr>
          <w:rFonts w:asciiTheme="minorHAnsi" w:hAnsiTheme="minorHAnsi" w:cstheme="minorHAnsi"/>
          <w:sz w:val="22"/>
          <w:szCs w:val="22"/>
          <w:u w:val="single"/>
        </w:rPr>
      </w:pPr>
      <w:r w:rsidRPr="00692FBC">
        <w:rPr>
          <w:rFonts w:asciiTheme="minorHAnsi" w:hAnsiTheme="minorHAnsi" w:cstheme="minorHAnsi"/>
          <w:sz w:val="22"/>
          <w:szCs w:val="22"/>
          <w:u w:val="single"/>
        </w:rPr>
        <w:t>References</w:t>
      </w:r>
    </w:p>
    <w:p w14:paraId="19D84EA9" w14:textId="77777777" w:rsidR="00692FBC" w:rsidRPr="00692FBC" w:rsidRDefault="00692FBC" w:rsidP="00692FBC">
      <w:pPr>
        <w:overflowPunct/>
        <w:autoSpaceDE/>
        <w:autoSpaceDN/>
        <w:adjustRightInd/>
        <w:textAlignment w:val="auto"/>
        <w:rPr>
          <w:rFonts w:asciiTheme="minorHAnsi" w:hAnsiTheme="minorHAnsi" w:cstheme="minorHAnsi"/>
          <w:color w:val="auto"/>
          <w:sz w:val="22"/>
          <w:szCs w:val="22"/>
        </w:rPr>
      </w:pPr>
    </w:p>
    <w:p w14:paraId="1A4E6CAF" w14:textId="77777777" w:rsidR="00692FBC" w:rsidRPr="00692FBC" w:rsidRDefault="00692FBC" w:rsidP="00692FBC">
      <w:pPr>
        <w:overflowPunct/>
        <w:autoSpaceDE/>
        <w:autoSpaceDN/>
        <w:adjustRightInd/>
        <w:textAlignment w:val="auto"/>
        <w:rPr>
          <w:rFonts w:asciiTheme="minorHAnsi" w:hAnsiTheme="minorHAnsi" w:cstheme="minorHAnsi"/>
          <w:color w:val="auto"/>
          <w:sz w:val="22"/>
          <w:szCs w:val="22"/>
        </w:rPr>
      </w:pPr>
      <w:r w:rsidRPr="00692FBC">
        <w:rPr>
          <w:rFonts w:asciiTheme="minorHAnsi" w:hAnsiTheme="minorHAnsi" w:cstheme="minorHAnsi"/>
          <w:i/>
          <w:iCs/>
          <w:color w:val="auto"/>
          <w:sz w:val="22"/>
          <w:szCs w:val="22"/>
        </w:rPr>
        <w:t>Crime and disorder act 1998</w:t>
      </w:r>
      <w:r w:rsidRPr="00692FBC">
        <w:rPr>
          <w:rFonts w:asciiTheme="minorHAnsi" w:hAnsiTheme="minorHAnsi" w:cstheme="minorHAnsi"/>
          <w:color w:val="auto"/>
          <w:sz w:val="22"/>
          <w:szCs w:val="22"/>
        </w:rPr>
        <w:t xml:space="preserve"> (no date) </w:t>
      </w:r>
      <w:hyperlink r:id="rId18" w:history="1">
        <w:r w:rsidRPr="00692FBC">
          <w:rPr>
            <w:rFonts w:asciiTheme="minorHAnsi" w:hAnsiTheme="minorHAnsi" w:cstheme="minorHAnsi"/>
            <w:i/>
            <w:iCs/>
            <w:color w:val="auto"/>
            <w:sz w:val="22"/>
            <w:szCs w:val="22"/>
          </w:rPr>
          <w:t>Legislation.gov.uk</w:t>
        </w:r>
      </w:hyperlink>
      <w:r w:rsidRPr="00692FBC">
        <w:rPr>
          <w:rFonts w:asciiTheme="minorHAnsi" w:hAnsiTheme="minorHAnsi" w:cstheme="minorHAnsi"/>
          <w:color w:val="auto"/>
          <w:sz w:val="22"/>
          <w:szCs w:val="22"/>
        </w:rPr>
        <w:t xml:space="preserve">. Available at: </w:t>
      </w:r>
      <w:hyperlink r:id="rId19" w:history="1">
        <w:r w:rsidRPr="00692FBC">
          <w:rPr>
            <w:rFonts w:asciiTheme="minorHAnsi" w:hAnsiTheme="minorHAnsi" w:cstheme="minorHAnsi"/>
            <w:color w:val="auto"/>
            <w:sz w:val="22"/>
            <w:szCs w:val="22"/>
          </w:rPr>
          <w:t>https://www.legislation.gov.uk/ukpga/1998/37/part/II/crossheading/raciallyaggravated-offences-england-and-wales/enacted</w:t>
        </w:r>
      </w:hyperlink>
      <w:r w:rsidRPr="00692FBC">
        <w:rPr>
          <w:rFonts w:asciiTheme="minorHAnsi" w:hAnsiTheme="minorHAnsi" w:cstheme="minorHAnsi"/>
          <w:color w:val="auto"/>
          <w:sz w:val="22"/>
          <w:szCs w:val="22"/>
        </w:rPr>
        <w:t xml:space="preserve"> (Accessed: 19 March 2024). </w:t>
      </w:r>
    </w:p>
    <w:p w14:paraId="4DAC2D65" w14:textId="77777777" w:rsidR="00692FBC" w:rsidRPr="00692FBC" w:rsidRDefault="00692FBC" w:rsidP="00692FBC">
      <w:pPr>
        <w:overflowPunct/>
        <w:autoSpaceDE/>
        <w:autoSpaceDN/>
        <w:adjustRightInd/>
        <w:textAlignment w:val="auto"/>
        <w:rPr>
          <w:rFonts w:asciiTheme="minorHAnsi" w:hAnsiTheme="minorHAnsi" w:cstheme="minorHAnsi"/>
          <w:color w:val="auto"/>
          <w:sz w:val="22"/>
          <w:szCs w:val="22"/>
        </w:rPr>
      </w:pPr>
    </w:p>
    <w:p w14:paraId="615661E4" w14:textId="77777777" w:rsidR="00692FBC" w:rsidRPr="00692FBC" w:rsidRDefault="00692FBC" w:rsidP="00692FBC">
      <w:pPr>
        <w:overflowPunct/>
        <w:autoSpaceDE/>
        <w:autoSpaceDN/>
        <w:adjustRightInd/>
        <w:textAlignment w:val="auto"/>
        <w:rPr>
          <w:rFonts w:asciiTheme="minorHAnsi" w:hAnsiTheme="minorHAnsi" w:cstheme="minorHAnsi"/>
          <w:color w:val="auto"/>
          <w:sz w:val="22"/>
          <w:szCs w:val="22"/>
        </w:rPr>
      </w:pPr>
      <w:r w:rsidRPr="00692FBC">
        <w:rPr>
          <w:rFonts w:asciiTheme="minorHAnsi" w:hAnsiTheme="minorHAnsi" w:cstheme="minorHAnsi"/>
          <w:i/>
          <w:iCs/>
          <w:color w:val="auto"/>
          <w:sz w:val="22"/>
          <w:szCs w:val="22"/>
        </w:rPr>
        <w:t>Hate crime</w:t>
      </w:r>
      <w:r w:rsidRPr="00692FBC">
        <w:rPr>
          <w:rFonts w:asciiTheme="minorHAnsi" w:hAnsiTheme="minorHAnsi" w:cstheme="minorHAnsi"/>
          <w:color w:val="auto"/>
          <w:sz w:val="22"/>
          <w:szCs w:val="22"/>
        </w:rPr>
        <w:t xml:space="preserve"> (no date) </w:t>
      </w:r>
      <w:r w:rsidRPr="00692FBC">
        <w:rPr>
          <w:rFonts w:asciiTheme="minorHAnsi" w:hAnsiTheme="minorHAnsi" w:cstheme="minorHAnsi"/>
          <w:i/>
          <w:iCs/>
          <w:color w:val="auto"/>
          <w:sz w:val="22"/>
          <w:szCs w:val="22"/>
        </w:rPr>
        <w:t>Hate crime | The Crown Prosecution Service</w:t>
      </w:r>
      <w:r w:rsidRPr="00692FBC">
        <w:rPr>
          <w:rFonts w:asciiTheme="minorHAnsi" w:hAnsiTheme="minorHAnsi" w:cstheme="minorHAnsi"/>
          <w:color w:val="auto"/>
          <w:sz w:val="22"/>
          <w:szCs w:val="22"/>
        </w:rPr>
        <w:t xml:space="preserve">. Available at: </w:t>
      </w:r>
      <w:hyperlink r:id="rId20" w:history="1">
        <w:r w:rsidRPr="00692FBC">
          <w:rPr>
            <w:rFonts w:asciiTheme="minorHAnsi" w:hAnsiTheme="minorHAnsi" w:cstheme="minorHAnsi"/>
            <w:color w:val="auto"/>
            <w:sz w:val="22"/>
            <w:szCs w:val="22"/>
          </w:rPr>
          <w:t>https://www.cps.gov.uk/crime-info/hate-crime</w:t>
        </w:r>
      </w:hyperlink>
      <w:r w:rsidRPr="00692FBC">
        <w:rPr>
          <w:rFonts w:asciiTheme="minorHAnsi" w:hAnsiTheme="minorHAnsi" w:cstheme="minorHAnsi"/>
          <w:color w:val="auto"/>
          <w:sz w:val="22"/>
          <w:szCs w:val="22"/>
        </w:rPr>
        <w:t xml:space="preserve"> (Accessed: 20 April 2024). </w:t>
      </w:r>
    </w:p>
    <w:p w14:paraId="49F65EBD" w14:textId="77777777" w:rsidR="00692FBC" w:rsidRPr="00692FBC" w:rsidRDefault="00692FBC" w:rsidP="00692FBC">
      <w:pPr>
        <w:overflowPunct/>
        <w:autoSpaceDE/>
        <w:autoSpaceDN/>
        <w:adjustRightInd/>
        <w:textAlignment w:val="auto"/>
        <w:rPr>
          <w:rFonts w:asciiTheme="minorHAnsi" w:hAnsiTheme="minorHAnsi" w:cstheme="minorHAnsi"/>
          <w:color w:val="auto"/>
          <w:sz w:val="22"/>
          <w:szCs w:val="22"/>
        </w:rPr>
      </w:pPr>
    </w:p>
    <w:p w14:paraId="0B9D5C9E" w14:textId="77777777" w:rsidR="00692FBC" w:rsidRPr="00692FBC" w:rsidRDefault="00692FBC" w:rsidP="00692FBC">
      <w:pPr>
        <w:overflowPunct/>
        <w:autoSpaceDE/>
        <w:autoSpaceDN/>
        <w:adjustRightInd/>
        <w:textAlignment w:val="auto"/>
        <w:rPr>
          <w:rFonts w:asciiTheme="minorHAnsi" w:hAnsiTheme="minorHAnsi" w:cstheme="minorHAnsi"/>
          <w:color w:val="auto"/>
          <w:sz w:val="22"/>
          <w:szCs w:val="22"/>
        </w:rPr>
      </w:pPr>
      <w:r w:rsidRPr="00692FBC">
        <w:rPr>
          <w:rFonts w:asciiTheme="minorHAnsi" w:hAnsiTheme="minorHAnsi" w:cstheme="minorHAnsi"/>
          <w:color w:val="auto"/>
          <w:sz w:val="22"/>
          <w:szCs w:val="22"/>
        </w:rPr>
        <w:t xml:space="preserve">Participation, E. (1984) </w:t>
      </w:r>
      <w:r w:rsidRPr="00692FBC">
        <w:rPr>
          <w:rFonts w:asciiTheme="minorHAnsi" w:hAnsiTheme="minorHAnsi" w:cstheme="minorHAnsi"/>
          <w:i/>
          <w:iCs/>
          <w:color w:val="auto"/>
          <w:sz w:val="22"/>
          <w:szCs w:val="22"/>
        </w:rPr>
        <w:t>Police and criminal evidence act 1984</w:t>
      </w:r>
      <w:r w:rsidRPr="00692FBC">
        <w:rPr>
          <w:rFonts w:asciiTheme="minorHAnsi" w:hAnsiTheme="minorHAnsi" w:cstheme="minorHAnsi"/>
          <w:color w:val="auto"/>
          <w:sz w:val="22"/>
          <w:szCs w:val="22"/>
        </w:rPr>
        <w:t xml:space="preserve">, </w:t>
      </w:r>
      <w:hyperlink r:id="rId21" w:history="1">
        <w:r w:rsidRPr="00692FBC">
          <w:rPr>
            <w:rFonts w:asciiTheme="minorHAnsi" w:hAnsiTheme="minorHAnsi" w:cstheme="minorHAnsi"/>
            <w:i/>
            <w:iCs/>
            <w:color w:val="auto"/>
            <w:sz w:val="22"/>
            <w:szCs w:val="22"/>
          </w:rPr>
          <w:t>Legislation.gov.uk</w:t>
        </w:r>
      </w:hyperlink>
      <w:r w:rsidRPr="00692FBC">
        <w:rPr>
          <w:rFonts w:asciiTheme="minorHAnsi" w:hAnsiTheme="minorHAnsi" w:cstheme="minorHAnsi"/>
          <w:color w:val="auto"/>
          <w:sz w:val="22"/>
          <w:szCs w:val="22"/>
        </w:rPr>
        <w:t xml:space="preserve">. Available at: </w:t>
      </w:r>
      <w:hyperlink r:id="rId22" w:history="1">
        <w:r w:rsidRPr="00692FBC">
          <w:rPr>
            <w:rFonts w:asciiTheme="minorHAnsi" w:hAnsiTheme="minorHAnsi" w:cstheme="minorHAnsi"/>
            <w:color w:val="auto"/>
            <w:sz w:val="22"/>
            <w:szCs w:val="22"/>
          </w:rPr>
          <w:t>https://www.legislation.gov.uk/ukpga/1984/60/section/24</w:t>
        </w:r>
      </w:hyperlink>
      <w:r w:rsidRPr="00692FBC">
        <w:rPr>
          <w:rFonts w:asciiTheme="minorHAnsi" w:hAnsiTheme="minorHAnsi" w:cstheme="minorHAnsi"/>
          <w:color w:val="auto"/>
          <w:sz w:val="22"/>
          <w:szCs w:val="22"/>
        </w:rPr>
        <w:t xml:space="preserve"> (Accessed: 26 April 2024). </w:t>
      </w:r>
    </w:p>
    <w:p w14:paraId="2EF6D8B7" w14:textId="77777777" w:rsidR="00692FBC" w:rsidRPr="00692FBC" w:rsidRDefault="00692FBC" w:rsidP="00692FBC">
      <w:pPr>
        <w:overflowPunct/>
        <w:autoSpaceDE/>
        <w:autoSpaceDN/>
        <w:adjustRightInd/>
        <w:textAlignment w:val="auto"/>
        <w:rPr>
          <w:rFonts w:asciiTheme="minorHAnsi" w:hAnsiTheme="minorHAnsi" w:cstheme="minorHAnsi"/>
          <w:color w:val="auto"/>
          <w:sz w:val="22"/>
          <w:szCs w:val="22"/>
        </w:rPr>
      </w:pPr>
    </w:p>
    <w:p w14:paraId="4EE4AA9D" w14:textId="77777777" w:rsidR="00692FBC" w:rsidRPr="00692FBC" w:rsidRDefault="00692FBC" w:rsidP="00692FBC">
      <w:pPr>
        <w:overflowPunct/>
        <w:autoSpaceDE/>
        <w:autoSpaceDN/>
        <w:adjustRightInd/>
        <w:textAlignment w:val="auto"/>
        <w:rPr>
          <w:rFonts w:asciiTheme="minorHAnsi" w:hAnsiTheme="minorHAnsi" w:cstheme="minorHAnsi"/>
          <w:color w:val="auto"/>
          <w:sz w:val="22"/>
          <w:szCs w:val="22"/>
        </w:rPr>
      </w:pPr>
      <w:r w:rsidRPr="00692FBC">
        <w:rPr>
          <w:rFonts w:asciiTheme="minorHAnsi" w:hAnsiTheme="minorHAnsi" w:cstheme="minorHAnsi"/>
          <w:i/>
          <w:iCs/>
          <w:color w:val="auto"/>
          <w:sz w:val="22"/>
          <w:szCs w:val="22"/>
        </w:rPr>
        <w:t>Police and criminal evidence act 1984 (PACE) codes of Practice</w:t>
      </w:r>
      <w:r w:rsidRPr="00692FBC">
        <w:rPr>
          <w:rFonts w:asciiTheme="minorHAnsi" w:hAnsiTheme="minorHAnsi" w:cstheme="minorHAnsi"/>
          <w:color w:val="auto"/>
          <w:sz w:val="22"/>
          <w:szCs w:val="22"/>
        </w:rPr>
        <w:t xml:space="preserve"> (no date) </w:t>
      </w:r>
      <w:hyperlink r:id="rId23" w:history="1">
        <w:r w:rsidRPr="00692FBC">
          <w:rPr>
            <w:rFonts w:asciiTheme="minorHAnsi" w:hAnsiTheme="minorHAnsi" w:cstheme="minorHAnsi"/>
            <w:i/>
            <w:iCs/>
            <w:color w:val="auto"/>
            <w:sz w:val="22"/>
            <w:szCs w:val="22"/>
          </w:rPr>
          <w:t>GOV.UK</w:t>
        </w:r>
      </w:hyperlink>
      <w:r w:rsidRPr="00692FBC">
        <w:rPr>
          <w:rFonts w:asciiTheme="minorHAnsi" w:hAnsiTheme="minorHAnsi" w:cstheme="minorHAnsi"/>
          <w:color w:val="auto"/>
          <w:sz w:val="22"/>
          <w:szCs w:val="22"/>
        </w:rPr>
        <w:t xml:space="preserve">. Available at: </w:t>
      </w:r>
      <w:hyperlink r:id="rId24" w:history="1">
        <w:r w:rsidRPr="00692FBC">
          <w:rPr>
            <w:rFonts w:asciiTheme="minorHAnsi" w:hAnsiTheme="minorHAnsi" w:cstheme="minorHAnsi"/>
            <w:color w:val="auto"/>
            <w:sz w:val="22"/>
            <w:szCs w:val="22"/>
          </w:rPr>
          <w:t>https://www.gov.uk/guidance/police-and-criminal-evidence-act-1984-pace-codes-of-practice</w:t>
        </w:r>
      </w:hyperlink>
      <w:r w:rsidRPr="00692FBC">
        <w:rPr>
          <w:rFonts w:asciiTheme="minorHAnsi" w:hAnsiTheme="minorHAnsi" w:cstheme="minorHAnsi"/>
          <w:color w:val="auto"/>
          <w:sz w:val="22"/>
          <w:szCs w:val="22"/>
        </w:rPr>
        <w:t xml:space="preserve"> (Accessed: 26 April 2024). </w:t>
      </w:r>
    </w:p>
    <w:p w14:paraId="35722379" w14:textId="77777777" w:rsidR="00692FBC" w:rsidRPr="00692FBC" w:rsidRDefault="00692FBC" w:rsidP="00692FBC">
      <w:pPr>
        <w:overflowPunct/>
        <w:autoSpaceDE/>
        <w:autoSpaceDN/>
        <w:adjustRightInd/>
        <w:textAlignment w:val="auto"/>
        <w:rPr>
          <w:rFonts w:asciiTheme="minorHAnsi" w:hAnsiTheme="minorHAnsi" w:cstheme="minorHAnsi"/>
          <w:color w:val="auto"/>
          <w:sz w:val="22"/>
          <w:szCs w:val="22"/>
        </w:rPr>
      </w:pPr>
    </w:p>
    <w:p w14:paraId="76C7BC02" w14:textId="77777777" w:rsidR="00692FBC" w:rsidRPr="00692FBC" w:rsidRDefault="00692FBC" w:rsidP="00692FBC">
      <w:pPr>
        <w:overflowPunct/>
        <w:autoSpaceDE/>
        <w:autoSpaceDN/>
        <w:adjustRightInd/>
        <w:textAlignment w:val="auto"/>
        <w:rPr>
          <w:rFonts w:asciiTheme="minorHAnsi" w:hAnsiTheme="minorHAnsi" w:cstheme="minorHAnsi"/>
          <w:color w:val="auto"/>
          <w:sz w:val="22"/>
          <w:szCs w:val="22"/>
        </w:rPr>
      </w:pPr>
      <w:r w:rsidRPr="00692FBC">
        <w:rPr>
          <w:rFonts w:asciiTheme="minorHAnsi" w:hAnsiTheme="minorHAnsi" w:cstheme="minorHAnsi"/>
          <w:i/>
          <w:iCs/>
          <w:color w:val="auto"/>
          <w:sz w:val="22"/>
          <w:szCs w:val="22"/>
        </w:rPr>
        <w:t>Racism and racial bullying</w:t>
      </w:r>
      <w:r w:rsidRPr="00692FBC">
        <w:rPr>
          <w:rFonts w:asciiTheme="minorHAnsi" w:hAnsiTheme="minorHAnsi" w:cstheme="minorHAnsi"/>
          <w:color w:val="auto"/>
          <w:sz w:val="22"/>
          <w:szCs w:val="22"/>
        </w:rPr>
        <w:t xml:space="preserve"> (no date) </w:t>
      </w:r>
      <w:r w:rsidRPr="00692FBC">
        <w:rPr>
          <w:rFonts w:asciiTheme="minorHAnsi" w:hAnsiTheme="minorHAnsi" w:cstheme="minorHAnsi"/>
          <w:i/>
          <w:iCs/>
          <w:color w:val="auto"/>
          <w:sz w:val="22"/>
          <w:szCs w:val="22"/>
        </w:rPr>
        <w:t>Childline</w:t>
      </w:r>
      <w:r w:rsidRPr="00692FBC">
        <w:rPr>
          <w:rFonts w:asciiTheme="minorHAnsi" w:hAnsiTheme="minorHAnsi" w:cstheme="minorHAnsi"/>
          <w:color w:val="auto"/>
          <w:sz w:val="22"/>
          <w:szCs w:val="22"/>
        </w:rPr>
        <w:t xml:space="preserve">. Available at: </w:t>
      </w:r>
      <w:hyperlink r:id="rId25" w:history="1">
        <w:r w:rsidRPr="00692FBC">
          <w:rPr>
            <w:rFonts w:asciiTheme="minorHAnsi" w:hAnsiTheme="minorHAnsi" w:cstheme="minorHAnsi"/>
            <w:color w:val="auto"/>
            <w:sz w:val="22"/>
            <w:szCs w:val="22"/>
          </w:rPr>
          <w:t>https://www.childline.org.uk/info-advice/bullying-abuse-safety/crime-law/racism-racial-bullying/</w:t>
        </w:r>
      </w:hyperlink>
      <w:r w:rsidRPr="00692FBC">
        <w:rPr>
          <w:rFonts w:asciiTheme="minorHAnsi" w:hAnsiTheme="minorHAnsi" w:cstheme="minorHAnsi"/>
          <w:color w:val="auto"/>
          <w:sz w:val="22"/>
          <w:szCs w:val="22"/>
        </w:rPr>
        <w:t xml:space="preserve"> (Accessed: 15 March 2024). </w:t>
      </w:r>
    </w:p>
    <w:p w14:paraId="67849DDF" w14:textId="77777777" w:rsidR="00692FBC" w:rsidRPr="00692FBC" w:rsidRDefault="00692FBC" w:rsidP="00692FBC">
      <w:pPr>
        <w:overflowPunct/>
        <w:autoSpaceDE/>
        <w:autoSpaceDN/>
        <w:adjustRightInd/>
        <w:textAlignment w:val="auto"/>
        <w:rPr>
          <w:rFonts w:asciiTheme="minorHAnsi" w:hAnsiTheme="minorHAnsi" w:cstheme="minorHAnsi"/>
          <w:color w:val="auto"/>
          <w:sz w:val="22"/>
          <w:szCs w:val="22"/>
        </w:rPr>
      </w:pPr>
    </w:p>
    <w:p w14:paraId="65A96BAC" w14:textId="77777777" w:rsidR="00692FBC" w:rsidRPr="00692FBC" w:rsidRDefault="00692FBC" w:rsidP="00692FBC">
      <w:pPr>
        <w:overflowPunct/>
        <w:autoSpaceDE/>
        <w:autoSpaceDN/>
        <w:adjustRightInd/>
        <w:textAlignment w:val="auto"/>
        <w:rPr>
          <w:rFonts w:asciiTheme="minorHAnsi" w:hAnsiTheme="minorHAnsi" w:cstheme="minorHAnsi"/>
          <w:color w:val="auto"/>
          <w:sz w:val="22"/>
          <w:szCs w:val="22"/>
        </w:rPr>
      </w:pPr>
      <w:r w:rsidRPr="00692FBC">
        <w:rPr>
          <w:rFonts w:asciiTheme="minorHAnsi" w:hAnsiTheme="minorHAnsi" w:cstheme="minorHAnsi"/>
          <w:color w:val="auto"/>
          <w:sz w:val="22"/>
          <w:szCs w:val="22"/>
        </w:rPr>
        <w:t xml:space="preserve">Walters, M., Wiedlitzka, S. and Brown, R. (2013) </w:t>
      </w:r>
      <w:r w:rsidRPr="00692FBC">
        <w:rPr>
          <w:rFonts w:asciiTheme="minorHAnsi" w:hAnsiTheme="minorHAnsi" w:cstheme="minorHAnsi"/>
          <w:i/>
          <w:iCs/>
          <w:color w:val="auto"/>
          <w:sz w:val="22"/>
          <w:szCs w:val="22"/>
        </w:rPr>
        <w:t>Reflections on risk, anti-social behaviour and vulnerable/repeat victims</w:t>
      </w:r>
      <w:r w:rsidRPr="00692FBC">
        <w:rPr>
          <w:rFonts w:asciiTheme="minorHAnsi" w:hAnsiTheme="minorHAnsi" w:cstheme="minorHAnsi"/>
          <w:color w:val="auto"/>
          <w:sz w:val="22"/>
          <w:szCs w:val="22"/>
        </w:rPr>
        <w:t xml:space="preserve">, </w:t>
      </w:r>
      <w:r w:rsidRPr="00692FBC">
        <w:rPr>
          <w:rFonts w:asciiTheme="minorHAnsi" w:hAnsiTheme="minorHAnsi" w:cstheme="minorHAnsi"/>
          <w:i/>
          <w:iCs/>
          <w:color w:val="auto"/>
          <w:sz w:val="22"/>
          <w:szCs w:val="22"/>
        </w:rPr>
        <w:t xml:space="preserve">Preventing hate crime: emerging practices and recommendations for the effective management of criminal justice interventions. </w:t>
      </w:r>
      <w:r w:rsidRPr="00692FBC">
        <w:rPr>
          <w:rFonts w:asciiTheme="minorHAnsi" w:hAnsiTheme="minorHAnsi" w:cstheme="minorHAnsi"/>
          <w:color w:val="auto"/>
          <w:sz w:val="22"/>
          <w:szCs w:val="22"/>
        </w:rPr>
        <w:t xml:space="preserve">. Available at: </w:t>
      </w:r>
      <w:hyperlink r:id="rId26" w:history="1">
        <w:r w:rsidRPr="00692FBC">
          <w:rPr>
            <w:rFonts w:asciiTheme="minorHAnsi" w:hAnsiTheme="minorHAnsi" w:cstheme="minorHAnsi"/>
            <w:color w:val="auto"/>
            <w:sz w:val="22"/>
            <w:szCs w:val="22"/>
          </w:rPr>
          <w:t>figshare.com</w:t>
        </w:r>
      </w:hyperlink>
      <w:r w:rsidRPr="00692FBC">
        <w:rPr>
          <w:rFonts w:asciiTheme="minorHAnsi" w:hAnsiTheme="minorHAnsi" w:cstheme="minorHAnsi"/>
          <w:color w:val="auto"/>
          <w:sz w:val="22"/>
          <w:szCs w:val="22"/>
        </w:rPr>
        <w:t xml:space="preserve"> (Accessed: 03 April 2024). </w:t>
      </w:r>
    </w:p>
    <w:p w14:paraId="2F948266" w14:textId="77777777" w:rsidR="00692FBC" w:rsidRPr="00692FBC" w:rsidRDefault="00692FBC" w:rsidP="00692FB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sidRPr="00692FBC">
        <w:rPr>
          <w:rFonts w:asciiTheme="minorHAnsi" w:hAnsiTheme="minorHAnsi" w:cstheme="minorHAnsi"/>
          <w:i/>
          <w:iCs/>
          <w:color w:val="auto"/>
          <w:sz w:val="22"/>
          <w:szCs w:val="22"/>
        </w:rPr>
        <w:t>Early help and early intervention</w:t>
      </w:r>
      <w:r w:rsidRPr="00692FBC">
        <w:rPr>
          <w:rFonts w:asciiTheme="minorHAnsi" w:hAnsiTheme="minorHAnsi" w:cstheme="minorHAnsi"/>
          <w:color w:val="auto"/>
          <w:sz w:val="22"/>
          <w:szCs w:val="22"/>
        </w:rPr>
        <w:t xml:space="preserve"> (no date) </w:t>
      </w:r>
      <w:r w:rsidRPr="00692FBC">
        <w:rPr>
          <w:rFonts w:asciiTheme="minorHAnsi" w:hAnsiTheme="minorHAnsi" w:cstheme="minorHAnsi"/>
          <w:i/>
          <w:iCs/>
          <w:color w:val="auto"/>
          <w:sz w:val="22"/>
          <w:szCs w:val="22"/>
        </w:rPr>
        <w:t>NSPCC Learning</w:t>
      </w:r>
      <w:r w:rsidRPr="00692FBC">
        <w:rPr>
          <w:rFonts w:asciiTheme="minorHAnsi" w:hAnsiTheme="minorHAnsi" w:cstheme="minorHAnsi"/>
          <w:color w:val="auto"/>
          <w:sz w:val="22"/>
          <w:szCs w:val="22"/>
        </w:rPr>
        <w:t xml:space="preserve">. Available at: https://learning.nspcc.org.uk/safeguarding-child-protection/early-help-and-early-intervention (Accessed: 19 March 2024). </w:t>
      </w:r>
    </w:p>
    <w:p w14:paraId="6F5B3F85" w14:textId="77777777" w:rsidR="00692FBC" w:rsidRPr="00692FBC" w:rsidRDefault="00692FBC" w:rsidP="00692FB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sidRPr="00692FBC">
        <w:rPr>
          <w:rFonts w:asciiTheme="minorHAnsi" w:hAnsiTheme="minorHAnsi" w:cstheme="minorHAnsi"/>
          <w:i/>
          <w:iCs/>
          <w:color w:val="auto"/>
          <w:sz w:val="22"/>
          <w:szCs w:val="22"/>
        </w:rPr>
        <w:t>Public protection notice (PPN)</w:t>
      </w:r>
      <w:r w:rsidRPr="00692FBC">
        <w:rPr>
          <w:rFonts w:asciiTheme="minorHAnsi" w:hAnsiTheme="minorHAnsi" w:cstheme="minorHAnsi"/>
          <w:color w:val="auto"/>
          <w:sz w:val="22"/>
          <w:szCs w:val="22"/>
        </w:rPr>
        <w:t xml:space="preserve"> (no date) </w:t>
      </w:r>
      <w:r w:rsidRPr="00692FBC">
        <w:rPr>
          <w:rFonts w:asciiTheme="minorHAnsi" w:hAnsiTheme="minorHAnsi" w:cstheme="minorHAnsi"/>
          <w:i/>
          <w:iCs/>
          <w:color w:val="auto"/>
          <w:sz w:val="22"/>
          <w:szCs w:val="22"/>
        </w:rPr>
        <w:t>His Majesty’s Inspectorate of Constabulary and Fire &amp; Rescue Services</w:t>
      </w:r>
      <w:r w:rsidRPr="00692FBC">
        <w:rPr>
          <w:rFonts w:asciiTheme="minorHAnsi" w:hAnsiTheme="minorHAnsi" w:cstheme="minorHAnsi"/>
          <w:color w:val="auto"/>
          <w:sz w:val="22"/>
          <w:szCs w:val="22"/>
        </w:rPr>
        <w:t xml:space="preserve">. Available at: https://hmicfrs.justiceinspectorates.gov.uk/glossary/public-protection-notice/ (Accessed: 28 April 2024). </w:t>
      </w:r>
    </w:p>
    <w:p w14:paraId="1AA0C190" w14:textId="77777777" w:rsidR="00692FBC" w:rsidRPr="00692FBC" w:rsidRDefault="00692FBC" w:rsidP="00692FB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sidRPr="00692FBC">
        <w:rPr>
          <w:rFonts w:asciiTheme="minorHAnsi" w:hAnsiTheme="minorHAnsi" w:cstheme="minorHAnsi"/>
          <w:i/>
          <w:iCs/>
          <w:color w:val="auto"/>
          <w:sz w:val="22"/>
          <w:szCs w:val="22"/>
        </w:rPr>
        <w:t>South Wales</w:t>
      </w:r>
      <w:r w:rsidRPr="00692FBC">
        <w:rPr>
          <w:rFonts w:asciiTheme="minorHAnsi" w:hAnsiTheme="minorHAnsi" w:cstheme="minorHAnsi"/>
          <w:color w:val="auto"/>
          <w:sz w:val="22"/>
          <w:szCs w:val="22"/>
        </w:rPr>
        <w:t xml:space="preserve"> (2023) </w:t>
      </w:r>
      <w:r w:rsidRPr="00692FBC">
        <w:rPr>
          <w:rFonts w:asciiTheme="minorHAnsi" w:hAnsiTheme="minorHAnsi" w:cstheme="minorHAnsi"/>
          <w:i/>
          <w:iCs/>
          <w:color w:val="auto"/>
          <w:sz w:val="22"/>
          <w:szCs w:val="22"/>
        </w:rPr>
        <w:t>Victim Support</w:t>
      </w:r>
      <w:r w:rsidRPr="00692FBC">
        <w:rPr>
          <w:rFonts w:asciiTheme="minorHAnsi" w:hAnsiTheme="minorHAnsi" w:cstheme="minorHAnsi"/>
          <w:color w:val="auto"/>
          <w:sz w:val="22"/>
          <w:szCs w:val="22"/>
        </w:rPr>
        <w:t xml:space="preserve">. Available at: https://www.victimsupport.org.uk/resources/south-wales/ (Accessed: 14 March 2024). </w:t>
      </w:r>
    </w:p>
    <w:p w14:paraId="242E68B0" w14:textId="77777777" w:rsidR="00692FBC" w:rsidRPr="00692FBC" w:rsidRDefault="00692FBC" w:rsidP="00692FB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sidRPr="00692FBC">
        <w:rPr>
          <w:rFonts w:asciiTheme="minorHAnsi" w:hAnsiTheme="minorHAnsi" w:cstheme="minorHAnsi"/>
          <w:i/>
          <w:iCs/>
          <w:color w:val="auto"/>
          <w:sz w:val="22"/>
          <w:szCs w:val="22"/>
        </w:rPr>
        <w:t>Make a referral</w:t>
      </w:r>
      <w:r w:rsidRPr="00692FBC">
        <w:rPr>
          <w:rFonts w:asciiTheme="minorHAnsi" w:hAnsiTheme="minorHAnsi" w:cstheme="minorHAnsi"/>
          <w:color w:val="auto"/>
          <w:sz w:val="22"/>
          <w:szCs w:val="22"/>
        </w:rPr>
        <w:t xml:space="preserve"> (2022) </w:t>
      </w:r>
      <w:r w:rsidRPr="00692FBC">
        <w:rPr>
          <w:rFonts w:asciiTheme="minorHAnsi" w:hAnsiTheme="minorHAnsi" w:cstheme="minorHAnsi"/>
          <w:i/>
          <w:iCs/>
          <w:color w:val="auto"/>
          <w:sz w:val="22"/>
          <w:szCs w:val="22"/>
        </w:rPr>
        <w:t>Bradford Hate Crime Alliance</w:t>
      </w:r>
      <w:r w:rsidRPr="00692FBC">
        <w:rPr>
          <w:rFonts w:asciiTheme="minorHAnsi" w:hAnsiTheme="minorHAnsi" w:cstheme="minorHAnsi"/>
          <w:color w:val="auto"/>
          <w:sz w:val="22"/>
          <w:szCs w:val="22"/>
        </w:rPr>
        <w:t xml:space="preserve">. Available at: https://bradfordhatecrimealliance.com/make-a-referral (Accessed: 20 April 2024). </w:t>
      </w:r>
    </w:p>
    <w:p w14:paraId="1E96D16A" w14:textId="302F013D" w:rsidR="5B843AF0" w:rsidRPr="00E676F7" w:rsidRDefault="5B843AF0" w:rsidP="00692FBC">
      <w:pPr>
        <w:ind w:right="237"/>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3032DEC9" w14:textId="77777777" w:rsidR="00692FBC" w:rsidRPr="00692FBC" w:rsidRDefault="00692FBC" w:rsidP="00692FBC">
      <w:pPr>
        <w:spacing w:line="480" w:lineRule="auto"/>
        <w:textAlignment w:val="auto"/>
        <w:rPr>
          <w:sz w:val="22"/>
          <w:szCs w:val="22"/>
        </w:rPr>
      </w:pPr>
      <w:bookmarkStart w:id="0" w:name="_Hlk158289640"/>
      <w:r w:rsidRPr="00692FBC">
        <w:t xml:space="preserve">For this essay, I am going to describe an incident where I dealt with </w:t>
      </w:r>
      <w:bookmarkEnd w:id="0"/>
      <w:r w:rsidRPr="00692FBC">
        <w:t xml:space="preserve">a domestic incident approximately a year into my career as a police officer. </w:t>
      </w:r>
      <w:bookmarkStart w:id="1" w:name="_Hlk163115537"/>
      <w:r w:rsidRPr="00692FBC">
        <w:t xml:space="preserve">To reflect on the incident, I will be using the Gibbs Model.  </w:t>
      </w:r>
      <w:bookmarkEnd w:id="1"/>
      <w:r w:rsidRPr="00692FBC">
        <w:t xml:space="preserve">(The University of Edinburgh, </w:t>
      </w:r>
      <w:r w:rsidRPr="00692FBC">
        <w:rPr>
          <w:i/>
          <w:iCs/>
        </w:rPr>
        <w:t>Gibbs' reflective cycle</w:t>
      </w:r>
      <w:r w:rsidRPr="00692FBC">
        <w:t xml:space="preserve"> 1970)</w:t>
      </w:r>
    </w:p>
    <w:p w14:paraId="2A998862" w14:textId="77777777" w:rsidR="00692FBC" w:rsidRPr="00692FBC" w:rsidRDefault="00692FBC" w:rsidP="00692FBC">
      <w:pPr>
        <w:spacing w:line="480" w:lineRule="auto"/>
      </w:pPr>
      <w:r w:rsidRPr="00692FBC">
        <w:t xml:space="preserve">This is an incident that had high concerns of coercive control. </w:t>
      </w:r>
    </w:p>
    <w:p w14:paraId="5F11D664" w14:textId="77777777" w:rsidR="00692FBC" w:rsidRPr="00692FBC" w:rsidRDefault="00692FBC" w:rsidP="00692FBC">
      <w:pPr>
        <w:spacing w:line="480" w:lineRule="auto"/>
      </w:pPr>
    </w:p>
    <w:p w14:paraId="4A5A9C69" w14:textId="77777777" w:rsidR="00692FBC" w:rsidRPr="00692FBC" w:rsidRDefault="00692FBC" w:rsidP="00692FBC">
      <w:pPr>
        <w:spacing w:line="480" w:lineRule="auto"/>
      </w:pPr>
      <w:r w:rsidRPr="00692FBC">
        <w:t>Definition of coercive control by women’s aid:</w:t>
      </w:r>
    </w:p>
    <w:p w14:paraId="112F3912" w14:textId="77777777" w:rsidR="00692FBC" w:rsidRPr="00692FBC" w:rsidRDefault="00692FBC" w:rsidP="00692FBC">
      <w:pPr>
        <w:shd w:val="clear" w:color="auto" w:fill="FFFFFF"/>
        <w:overflowPunct/>
        <w:autoSpaceDE/>
        <w:autoSpaceDN/>
        <w:adjustRightInd/>
        <w:spacing w:after="300" w:line="480" w:lineRule="auto"/>
        <w:outlineLvl w:val="1"/>
        <w:rPr>
          <w:b/>
          <w:bCs/>
          <w:color w:val="auto"/>
        </w:rPr>
      </w:pPr>
      <w:r w:rsidRPr="00692FBC">
        <w:rPr>
          <w:b/>
          <w:bCs/>
          <w:color w:val="auto"/>
        </w:rPr>
        <w:t xml:space="preserve">Domestic abuse isn’t always physical. Coercive control is an act or a pattern of acts of assault, threats, humiliation and intimidation or other abuse that is used to harm, punish, or frighten their victim. </w:t>
      </w:r>
      <w:r w:rsidRPr="00692FBC">
        <w:t xml:space="preserve">(Women's Aid, </w:t>
      </w:r>
      <w:r w:rsidRPr="00692FBC">
        <w:rPr>
          <w:i/>
          <w:iCs/>
        </w:rPr>
        <w:t>Coercive control</w:t>
      </w:r>
      <w:r w:rsidRPr="00692FBC">
        <w:t xml:space="preserve"> 2024)</w:t>
      </w:r>
    </w:p>
    <w:p w14:paraId="5BAD219B" w14:textId="77777777" w:rsidR="00692FBC" w:rsidRPr="00692FBC" w:rsidRDefault="00692FBC" w:rsidP="00692FBC">
      <w:pPr>
        <w:spacing w:line="480" w:lineRule="auto"/>
      </w:pPr>
      <w:r w:rsidRPr="00692FBC">
        <w:t xml:space="preserve">The definition of coercive control </w:t>
      </w:r>
    </w:p>
    <w:p w14:paraId="1BEF2EBF" w14:textId="77777777" w:rsidR="00692FBC" w:rsidRPr="00692FBC" w:rsidRDefault="00692FBC" w:rsidP="00692FBC">
      <w:pPr>
        <w:spacing w:line="480" w:lineRule="auto"/>
      </w:pPr>
      <w:r w:rsidRPr="00692FBC">
        <w:t>“Section 76 Serious Crime Act 2015 states that an offence is committed by a suspect (A) against a victim (B) if:</w:t>
      </w:r>
    </w:p>
    <w:p w14:paraId="41E11D65" w14:textId="77777777" w:rsidR="00692FBC" w:rsidRPr="00692FBC" w:rsidRDefault="00692FBC" w:rsidP="00692FBC">
      <w:pPr>
        <w:numPr>
          <w:ilvl w:val="0"/>
          <w:numId w:val="52"/>
        </w:numPr>
        <w:overflowPunct/>
        <w:autoSpaceDE/>
        <w:autoSpaceDN/>
        <w:adjustRightInd/>
        <w:spacing w:after="160" w:line="480" w:lineRule="auto"/>
        <w:contextualSpacing/>
        <w:textAlignment w:val="auto"/>
        <w:rPr>
          <w:rFonts w:eastAsiaTheme="minorHAnsi"/>
          <w:color w:val="auto"/>
          <w:lang w:eastAsia="en-US"/>
        </w:rPr>
      </w:pPr>
      <w:r w:rsidRPr="00692FBC">
        <w:rPr>
          <w:rFonts w:eastAsiaTheme="minorHAnsi"/>
          <w:color w:val="auto"/>
          <w:lang w:eastAsia="en-US"/>
        </w:rPr>
        <w:t>(A) repeatedly or continuously engages in behaviour towards another person, (B), that is controlling or coercive</w:t>
      </w:r>
    </w:p>
    <w:p w14:paraId="74317485" w14:textId="77777777" w:rsidR="00692FBC" w:rsidRPr="00692FBC" w:rsidRDefault="00692FBC" w:rsidP="00692FBC">
      <w:pPr>
        <w:numPr>
          <w:ilvl w:val="0"/>
          <w:numId w:val="52"/>
        </w:numPr>
        <w:overflowPunct/>
        <w:autoSpaceDE/>
        <w:autoSpaceDN/>
        <w:adjustRightInd/>
        <w:spacing w:after="160" w:line="480" w:lineRule="auto"/>
        <w:contextualSpacing/>
        <w:textAlignment w:val="auto"/>
        <w:rPr>
          <w:rFonts w:eastAsiaTheme="minorHAnsi"/>
          <w:color w:val="auto"/>
          <w:lang w:eastAsia="en-US"/>
        </w:rPr>
      </w:pPr>
      <w:r w:rsidRPr="00692FBC">
        <w:rPr>
          <w:rFonts w:eastAsiaTheme="minorHAnsi"/>
          <w:color w:val="auto"/>
          <w:lang w:eastAsia="en-US"/>
        </w:rPr>
        <w:t>At the time of the behaviour, (A) and (B) are personally connected</w:t>
      </w:r>
    </w:p>
    <w:p w14:paraId="28500170" w14:textId="77777777" w:rsidR="00692FBC" w:rsidRPr="00692FBC" w:rsidRDefault="00692FBC" w:rsidP="00692FBC">
      <w:pPr>
        <w:numPr>
          <w:ilvl w:val="0"/>
          <w:numId w:val="52"/>
        </w:numPr>
        <w:overflowPunct/>
        <w:autoSpaceDE/>
        <w:autoSpaceDN/>
        <w:adjustRightInd/>
        <w:spacing w:after="160" w:line="480" w:lineRule="auto"/>
        <w:contextualSpacing/>
        <w:textAlignment w:val="auto"/>
        <w:rPr>
          <w:rFonts w:eastAsiaTheme="minorHAnsi"/>
          <w:color w:val="auto"/>
          <w:lang w:eastAsia="en-US"/>
        </w:rPr>
      </w:pPr>
      <w:r w:rsidRPr="00692FBC">
        <w:rPr>
          <w:rFonts w:eastAsiaTheme="minorHAnsi"/>
          <w:color w:val="auto"/>
          <w:lang w:eastAsia="en-US"/>
        </w:rPr>
        <w:t>The behaviour has a serious effect on (B), and</w:t>
      </w:r>
    </w:p>
    <w:p w14:paraId="2053E78D" w14:textId="77777777" w:rsidR="00692FBC" w:rsidRPr="00692FBC" w:rsidRDefault="00692FBC" w:rsidP="00692FBC">
      <w:pPr>
        <w:numPr>
          <w:ilvl w:val="0"/>
          <w:numId w:val="52"/>
        </w:numPr>
        <w:overflowPunct/>
        <w:autoSpaceDE/>
        <w:autoSpaceDN/>
        <w:adjustRightInd/>
        <w:spacing w:after="160" w:line="480" w:lineRule="auto"/>
        <w:contextualSpacing/>
        <w:textAlignment w:val="auto"/>
        <w:rPr>
          <w:rFonts w:eastAsiaTheme="minorHAnsi"/>
          <w:color w:val="auto"/>
          <w:lang w:eastAsia="en-US"/>
        </w:rPr>
      </w:pPr>
      <w:r w:rsidRPr="00692FBC">
        <w:rPr>
          <w:rFonts w:eastAsiaTheme="minorHAnsi"/>
          <w:color w:val="auto"/>
          <w:lang w:eastAsia="en-US"/>
        </w:rPr>
        <w:t xml:space="preserve">(A) knows or ought to know that the behaviour will have a serious effect on (B)” </w:t>
      </w:r>
    </w:p>
    <w:p w14:paraId="4DE6D919" w14:textId="77777777" w:rsidR="00692FBC" w:rsidRPr="00692FBC" w:rsidRDefault="00692FBC" w:rsidP="00692FBC">
      <w:pPr>
        <w:overflowPunct/>
        <w:autoSpaceDE/>
        <w:autoSpaceDN/>
        <w:adjustRightInd/>
        <w:spacing w:after="160" w:line="480" w:lineRule="auto"/>
        <w:contextualSpacing/>
        <w:rPr>
          <w:rFonts w:eastAsiaTheme="minorHAnsi"/>
          <w:color w:val="auto"/>
          <w:lang w:eastAsia="en-US"/>
        </w:rPr>
      </w:pPr>
      <w:r w:rsidRPr="00692FBC">
        <w:t xml:space="preserve">(CPS, </w:t>
      </w:r>
      <w:r w:rsidRPr="00692FBC">
        <w:rPr>
          <w:i/>
          <w:iCs/>
        </w:rPr>
        <w:t>Controlling or coercive behaviour in an intimate or family relationship</w:t>
      </w:r>
      <w:r w:rsidRPr="00692FBC">
        <w:t xml:space="preserve"> 2024)</w:t>
      </w:r>
    </w:p>
    <w:p w14:paraId="2C237BDC" w14:textId="77777777" w:rsidR="00692FBC" w:rsidRPr="00692FBC" w:rsidRDefault="00692FBC" w:rsidP="00692FBC">
      <w:pPr>
        <w:overflowPunct/>
        <w:autoSpaceDE/>
        <w:autoSpaceDN/>
        <w:adjustRightInd/>
        <w:spacing w:after="160" w:line="480" w:lineRule="auto"/>
        <w:contextualSpacing/>
        <w:rPr>
          <w:rFonts w:eastAsiaTheme="minorHAnsi"/>
          <w:color w:val="auto"/>
          <w:lang w:eastAsia="en-US"/>
        </w:rPr>
      </w:pPr>
    </w:p>
    <w:p w14:paraId="68537059" w14:textId="77777777" w:rsidR="00692FBC" w:rsidRPr="00692FBC" w:rsidRDefault="00692FBC" w:rsidP="00692FBC">
      <w:pPr>
        <w:spacing w:line="480" w:lineRule="auto"/>
        <w:textAlignment w:val="auto"/>
      </w:pPr>
      <w:r w:rsidRPr="00692FBC">
        <w:t xml:space="preserve">A call came across from our control room stating that a male had attended at the police station I work out of looking for his daughter. The male had driven up to the area from Dorset which is the other side of the country to South Wales as he had concerns that she was in a domestic relationship with another female, and they were residing in our area. The male had concerns as he had received a bill from a booking.com residence saying that his daughter and the female had caused £4000 worth of damage to the property and that they had moved on. The male stated that the female and his daughter apparently had puppies and children also living with them and he felt that his daughter was being used to look after the dogs and the children rather than being in a relationship with the female. </w:t>
      </w:r>
    </w:p>
    <w:p w14:paraId="640A06D5" w14:textId="77777777" w:rsidR="00692FBC" w:rsidRPr="00692FBC" w:rsidRDefault="00692FBC" w:rsidP="00692FBC">
      <w:pPr>
        <w:spacing w:line="480" w:lineRule="auto"/>
        <w:textAlignment w:val="auto"/>
      </w:pPr>
    </w:p>
    <w:p w14:paraId="6FB506EC" w14:textId="77777777" w:rsidR="00692FBC" w:rsidRPr="00692FBC" w:rsidRDefault="00692FBC" w:rsidP="00692FBC">
      <w:pPr>
        <w:spacing w:line="480" w:lineRule="auto"/>
        <w:textAlignment w:val="auto"/>
      </w:pPr>
      <w:r w:rsidRPr="00692FBC">
        <w:lastRenderedPageBreak/>
        <w:t xml:space="preserve">My colleague and I spoke to the male in length, where he informed us that he did not have a lot of information about the female and that he believed his daughter did not have a mobile phone currently. </w:t>
      </w:r>
    </w:p>
    <w:p w14:paraId="0ED77B02" w14:textId="77777777" w:rsidR="00692FBC" w:rsidRPr="00692FBC" w:rsidRDefault="00692FBC" w:rsidP="00692FBC">
      <w:pPr>
        <w:spacing w:line="480" w:lineRule="auto"/>
        <w:textAlignment w:val="auto"/>
      </w:pPr>
      <w:r w:rsidRPr="00692FBC">
        <w:t>As both females were from out of area, we were unable to find information about them on our internal police system NICHE, however, did manage to find the female one on the Police National Computer which gave us an insight into her as a person.</w:t>
      </w:r>
    </w:p>
    <w:p w14:paraId="7B96A529" w14:textId="77777777" w:rsidR="00692FBC" w:rsidRPr="00692FBC" w:rsidRDefault="00692FBC" w:rsidP="00692FBC">
      <w:pPr>
        <w:spacing w:line="480" w:lineRule="auto"/>
        <w:textAlignment w:val="auto"/>
      </w:pPr>
    </w:p>
    <w:p w14:paraId="5D4B00E4" w14:textId="77777777" w:rsidR="00692FBC" w:rsidRPr="00692FBC" w:rsidRDefault="00692FBC" w:rsidP="00692FBC">
      <w:pPr>
        <w:spacing w:line="480" w:lineRule="auto"/>
        <w:textAlignment w:val="auto"/>
      </w:pPr>
      <w:r w:rsidRPr="00692FBC">
        <w:t xml:space="preserve">The last conversation that his wife had with their daughter, his daughter had said words to the effect of ‘MUM I’VE FUCKED UP’ and ‘MUM I DIDN’T WANT TO DO DRUGS’. This conversation with her mother has led to her being so worried that her dad has made the journey to speak with us as officers in South Wales Police. </w:t>
      </w:r>
    </w:p>
    <w:p w14:paraId="216E135B" w14:textId="77777777" w:rsidR="00692FBC" w:rsidRPr="00692FBC" w:rsidRDefault="00692FBC" w:rsidP="00692FBC">
      <w:pPr>
        <w:spacing w:line="480" w:lineRule="auto"/>
        <w:textAlignment w:val="auto"/>
      </w:pPr>
      <w:r w:rsidRPr="00692FBC">
        <w:t xml:space="preserve">After gaining a little more information and a telephone number for the female, my colleague has contacted her, and she has answered. The female has advised that she is now residing in the Brecon area and that she already had a lot of police involvement because of the daughter’s parents being overprotective. The female stated that she would be declaring herself homeless to an area that South Wales Police covers and that she had an appointment that day so would be leaving soon. The female’s manner on the phone sparked concerns for us as officers and my colleague has asked if she would put the daughter on the phone to speak with us. She has given the phone to daughter and my colleague has asked her where she will be when the female goes out. She has stated that she will be staying there with the dogs and children and at this point, the female cuts into the conversation telling the daughter that she does not know where she will be. This appeared to only be because she had told us that she would be at the property, and we felt that it was to stop us going to see her without the female present. Due to these concerns, we have decided that we need to make our way into the Dyfed Powys police area to locate the daughter and to speak with her ourselves to find out if there was any reason for us to believe that there is any control over her by the female. </w:t>
      </w:r>
    </w:p>
    <w:p w14:paraId="16E94C73" w14:textId="77777777" w:rsidR="00692FBC" w:rsidRPr="00692FBC" w:rsidRDefault="00692FBC" w:rsidP="00692FBC">
      <w:pPr>
        <w:spacing w:line="480" w:lineRule="auto"/>
        <w:textAlignment w:val="auto"/>
        <w:rPr>
          <w:rFonts w:ascii="Open Sans" w:hAnsi="Open Sans" w:cs="Open Sans"/>
          <w:color w:val="333333"/>
          <w:shd w:val="clear" w:color="auto" w:fill="FFFFFF"/>
        </w:rPr>
      </w:pPr>
    </w:p>
    <w:p w14:paraId="0F2688B5" w14:textId="77777777" w:rsidR="00692FBC" w:rsidRPr="00692FBC" w:rsidRDefault="00692FBC" w:rsidP="00692FBC">
      <w:pPr>
        <w:spacing w:line="480" w:lineRule="auto"/>
        <w:textAlignment w:val="auto"/>
      </w:pPr>
      <w:r w:rsidRPr="00692FBC">
        <w:rPr>
          <w:color w:val="auto"/>
          <w:shd w:val="clear" w:color="auto" w:fill="FFFFFF"/>
        </w:rPr>
        <w:t>‘A well-designed study of 184 self-identified gay men and lesbians found that men and women were equally likely to engage in coercive control and that almost 3 times as many couples engaged in “mutually violent control” (12.5%), where both partners used violence and control tactics, as engaged in coercively controlling violence (4.4%)</w:t>
      </w:r>
      <w:r w:rsidRPr="00692FBC">
        <w:rPr>
          <w:color w:val="333333"/>
          <w:shd w:val="clear" w:color="auto" w:fill="FFFFFF"/>
        </w:rPr>
        <w:t xml:space="preserve">’ </w:t>
      </w:r>
      <w:r w:rsidRPr="00692FBC">
        <w:t xml:space="preserve">(SAGE JOURNALS, </w:t>
      </w:r>
      <w:r w:rsidRPr="00692FBC">
        <w:rPr>
          <w:i/>
          <w:iCs/>
        </w:rPr>
        <w:t>Frankland A., Brown J. (2014). Coercive control in same-sex intimate partner violence. Journal of Family Violence, 29(1), 15-22</w:t>
      </w:r>
      <w:r w:rsidRPr="00692FBC">
        <w:t xml:space="preserve"> 2014)</w:t>
      </w:r>
    </w:p>
    <w:p w14:paraId="545752AE" w14:textId="77777777" w:rsidR="00692FBC" w:rsidRPr="00692FBC" w:rsidRDefault="00692FBC" w:rsidP="00692FBC">
      <w:pPr>
        <w:spacing w:line="480" w:lineRule="auto"/>
        <w:textAlignment w:val="auto"/>
      </w:pPr>
    </w:p>
    <w:p w14:paraId="350BCFA1" w14:textId="77777777" w:rsidR="00692FBC" w:rsidRPr="00692FBC" w:rsidRDefault="00692FBC" w:rsidP="00692FBC">
      <w:pPr>
        <w:spacing w:line="480" w:lineRule="auto"/>
        <w:textAlignment w:val="auto"/>
      </w:pPr>
      <w:r w:rsidRPr="00692FBC">
        <w:t xml:space="preserve">On our arrival at the village, we were stopped by a member of the public that informed us that she owns the property the two females were staying in and that she had concerns about them being there. She stated that there were 14 dogs in the property and the 2 children. The two females had been visited by Dyfed Powys police multiple times since they had been there, and they had only been there for 7 days. They had concerns about the rental property and that they did not know how many dogs they had until they arrived. They had concerns about the children at the property and them with the dogs. They also informed us that Dyfed Powys police had already seized two of the dogs from them due to them being potential XL Bully breeds, however due to their ages they could not do the assessment, so they were taken until they were old enough and since they had been, two more dogs had been brought back to the property still making it 14 dogs in total. </w:t>
      </w:r>
    </w:p>
    <w:p w14:paraId="212914FA" w14:textId="77777777" w:rsidR="00692FBC" w:rsidRPr="00692FBC" w:rsidRDefault="00692FBC" w:rsidP="00692FBC">
      <w:pPr>
        <w:spacing w:line="480" w:lineRule="auto"/>
        <w:textAlignment w:val="auto"/>
      </w:pPr>
    </w:p>
    <w:p w14:paraId="40168B38" w14:textId="77777777" w:rsidR="00692FBC" w:rsidRPr="00692FBC" w:rsidRDefault="00692FBC" w:rsidP="00692FBC">
      <w:pPr>
        <w:spacing w:line="480" w:lineRule="auto"/>
        <w:textAlignment w:val="auto"/>
      </w:pPr>
      <w:r w:rsidRPr="00692FBC">
        <w:t xml:space="preserve">We have then gone to speak with the females, ensuring to keep them separate. I have spoken to the daughter and my colleague has spoken to the female. As soon as I started speaking with the daughter, I could tell she was vulnerable. She was visibly upset and wasn’t very forthcoming with information. She stated that she was happy and that she was here because she wanted to be. I have asked her about her situation and regarding the dogs, and she stated that she would not go anywhere without her dogs. She advised that all the dogs were young and that 9 of them were hers and 5 of them were the females. She said that she had been in a relationship with the female for 6 months and that they had collectively acquired these dogs over the last two months. I have asked her what the reason is for having this many dogs, and she has not given an answer. I have then asked her if the reason she was staying in this situation is because of the dogs, and would she go home to Dorset if she didn’t have the dogs. She has started to cry and said she wanted to go home. She has then gone on to say that her parents would not have the dogs, and that they didn’t approve of her tattoos and her hair colour. I have asked her if she has a good relationship with her parents and she said that she did, and that she regrets that she left the way she did. </w:t>
      </w:r>
    </w:p>
    <w:p w14:paraId="3BE7B95D" w14:textId="77777777" w:rsidR="00692FBC" w:rsidRPr="00692FBC" w:rsidRDefault="00692FBC" w:rsidP="00692FBC">
      <w:pPr>
        <w:spacing w:line="480" w:lineRule="auto"/>
        <w:textAlignment w:val="auto"/>
      </w:pPr>
    </w:p>
    <w:p w14:paraId="43BEEC57" w14:textId="77777777" w:rsidR="00692FBC" w:rsidRPr="00692FBC" w:rsidRDefault="00692FBC" w:rsidP="00692FBC">
      <w:pPr>
        <w:spacing w:line="480" w:lineRule="auto"/>
        <w:textAlignment w:val="auto"/>
      </w:pPr>
      <w:r w:rsidRPr="00692FBC">
        <w:t xml:space="preserve">This is where I have used my communication skills to build rapport with the female, to minimise bias and judgement. (College of Policing, </w:t>
      </w:r>
      <w:r w:rsidRPr="00692FBC">
        <w:rPr>
          <w:i/>
          <w:iCs/>
        </w:rPr>
        <w:t>Communication</w:t>
      </w:r>
      <w:r w:rsidRPr="00692FBC">
        <w:t xml:space="preserve">) I have then told her of my own personal experience where I have a father of an older generation who did not approve of my tattoos and that </w:t>
      </w:r>
      <w:r w:rsidRPr="00692FBC">
        <w:lastRenderedPageBreak/>
        <w:t xml:space="preserve">he had got over it because it does not really matter. I have also used my own personal experience to inform her that my father also did not like dogs due to having a fear of them, and that he now lives with a large breed dog because his relationship with me is more important than his beliefs. I have then informed her that I believe this to be the case with her as her father was in an area close to where she was, very concerned and upset about her welfare and that this is her opportunity to leave with us and go home with him, if she so wished. The daughter’s face lit up and she started to cry. The daughter has then started to come out of her shell and told me that she was not happy and that she would be left a lot to look after the dogs and the two children as she didn’t drive. I knew at this point that I had built a good rapport and that she was happy to speak to me. She did not go into detail however did say that she felt that she was weak, and she was afraid to leave. The daughter has also said that female one had made her feel inadequate, by telling her that if she was to go home, she is pathetic. Again, using communication, I have used the personal approach again to highlight that I am older than her, a police officer and that due to living costs and getting onto the property ladder being so difficult that I also live with my parents. (College of Policing, </w:t>
      </w:r>
      <w:r w:rsidRPr="00692FBC">
        <w:rPr>
          <w:i/>
          <w:iCs/>
        </w:rPr>
        <w:t>Communication</w:t>
      </w:r>
      <w:r w:rsidRPr="00692FBC">
        <w:t xml:space="preserve">) </w:t>
      </w:r>
    </w:p>
    <w:p w14:paraId="0E7DB15B" w14:textId="77777777" w:rsidR="00692FBC" w:rsidRPr="00692FBC" w:rsidRDefault="00692FBC" w:rsidP="00692FBC">
      <w:pPr>
        <w:spacing w:line="480" w:lineRule="auto"/>
        <w:textAlignment w:val="auto"/>
      </w:pPr>
    </w:p>
    <w:p w14:paraId="0709AB2E" w14:textId="77777777" w:rsidR="00692FBC" w:rsidRPr="00692FBC" w:rsidRDefault="00692FBC" w:rsidP="00692FBC">
      <w:pPr>
        <w:spacing w:line="480" w:lineRule="auto"/>
        <w:textAlignment w:val="auto"/>
      </w:pPr>
      <w:r w:rsidRPr="00692FBC">
        <w:t xml:space="preserve">I had assured her that she would be safe leaving with us and that her father was on his way to the location and willing to also take the dogs. By this point, I had high concerns of coercive control within this relationship and after my colleague spoke with the female, he felt the same however as the daughter was not forthcoming with any information, it was difficult to solidify the offence. However, giving the daughter an option to leave the situation and move back to her hometown which was in the South of England with her dad, we knew that the safeguarding side of this was solid, and that the daughter would not have contact with the female. (SCIE, </w:t>
      </w:r>
      <w:r w:rsidRPr="00692FBC">
        <w:rPr>
          <w:i/>
          <w:iCs/>
        </w:rPr>
        <w:t>What is safeguarding?</w:t>
      </w:r>
      <w:r w:rsidRPr="00692FBC">
        <w:t xml:space="preserve"> 2023)</w:t>
      </w:r>
    </w:p>
    <w:p w14:paraId="18F8C341" w14:textId="77777777" w:rsidR="00692FBC" w:rsidRPr="00692FBC" w:rsidRDefault="00692FBC" w:rsidP="00692FBC">
      <w:pPr>
        <w:spacing w:line="480" w:lineRule="auto"/>
      </w:pPr>
    </w:p>
    <w:p w14:paraId="1A67494A" w14:textId="77777777" w:rsidR="00692FBC" w:rsidRPr="00692FBC" w:rsidRDefault="00692FBC" w:rsidP="00692FBC">
      <w:pPr>
        <w:spacing w:line="480" w:lineRule="auto"/>
        <w:textAlignment w:val="auto"/>
      </w:pPr>
      <w:r w:rsidRPr="00692FBC">
        <w:t xml:space="preserve">My contribution to this was substantial as I had the most contact with the female two (daughter). I felt that my manner with her was firm, assuring her that she was not weak and that she was in a situation that she could not control due to the overwhelming personality of female one. I had a personal approach, giving my own personal life experiences to help her to see that she was not the only one experiencing the emotions and worries that she was feeling and hoping that giving her this information would allow her to make her own decision about what she wanted to happen moving forward. I feel that I was able to build rapport with female two which helped her to trust me and to trust that my </w:t>
      </w:r>
      <w:r w:rsidRPr="00692FBC">
        <w:lastRenderedPageBreak/>
        <w:t xml:space="preserve">colleague and I would help her, even though at the start of our communication she was concerned about police being involved. (College of Policing, </w:t>
      </w:r>
      <w:r w:rsidRPr="00692FBC">
        <w:rPr>
          <w:i/>
          <w:iCs/>
        </w:rPr>
        <w:t>Communication</w:t>
      </w:r>
      <w:r w:rsidRPr="00692FBC">
        <w:t>)</w:t>
      </w:r>
    </w:p>
    <w:p w14:paraId="077369F6" w14:textId="77777777" w:rsidR="00692FBC" w:rsidRPr="00692FBC" w:rsidRDefault="00692FBC" w:rsidP="00692FBC">
      <w:pPr>
        <w:spacing w:line="480" w:lineRule="auto"/>
        <w:textAlignment w:val="auto"/>
      </w:pPr>
    </w:p>
    <w:p w14:paraId="71B4C02E" w14:textId="77777777" w:rsidR="00692FBC" w:rsidRPr="00692FBC" w:rsidRDefault="00692FBC" w:rsidP="00692FBC">
      <w:pPr>
        <w:spacing w:line="480" w:lineRule="auto"/>
        <w:textAlignment w:val="auto"/>
      </w:pPr>
      <w:r w:rsidRPr="00692FBC">
        <w:t xml:space="preserve">The possibility was there to arrest female one, however due to the amount of information given to us and the fact that we knew that female two would be safeguarded going back to Dorset we chose not to and to inform Dyfed Powys of what has happened, as they were involved with the females before we did. I believe we reacted quickly and efficiently to our concerns, meaning that we removed female two from a situation that could have become a lot worse and if it had been left any longer, we may have lost communication with them, meaning that they would not have been easy to locate. We gave her parents the peace of mind having their daughter return to them, which they did not believe initially would be a possibility and that we have had a positive effect on their lives. There is nothing I would do differently if we were to have the same situation. We were lucky that there was little to no conflict from female one, whereas we were prepared for there to be an element of this due to the possible controlling situation we had entered in to. </w:t>
      </w:r>
    </w:p>
    <w:p w14:paraId="3E3D9F4B" w14:textId="77777777" w:rsidR="00692FBC" w:rsidRPr="00692FBC" w:rsidRDefault="00692FBC" w:rsidP="00692FBC">
      <w:pPr>
        <w:spacing w:line="480" w:lineRule="auto"/>
        <w:textAlignment w:val="auto"/>
      </w:pPr>
    </w:p>
    <w:p w14:paraId="5D14E061" w14:textId="77777777" w:rsidR="00692FBC" w:rsidRPr="00692FBC" w:rsidRDefault="00692FBC" w:rsidP="00692FBC">
      <w:pPr>
        <w:spacing w:line="480" w:lineRule="auto"/>
        <w:textAlignment w:val="auto"/>
      </w:pPr>
      <w:r w:rsidRPr="00692FBC">
        <w:t xml:space="preserve">To conclude, it was important in this situation to keep an open mind in approaching this situation as no domestic abuse situation is the same, and in this instance were dealing with two females who could have claimed to not be in an emotional or sexual relationship. As officers, we believe we did everything we could to safeguard the daughter however there was more than one force involved who could have identified issues sooner. Social services also intervened with safeguarding of the children and RSPCA took responsibility with the dogs, however this is not something we were involved in, their response came off the back of us intervening. </w:t>
      </w:r>
    </w:p>
    <w:p w14:paraId="04F0C4CE" w14:textId="77777777" w:rsidR="00692FBC" w:rsidRPr="00692FBC" w:rsidRDefault="00692FBC" w:rsidP="00692FBC">
      <w:pPr>
        <w:textAlignment w:val="auto"/>
      </w:pPr>
    </w:p>
    <w:p w14:paraId="23BAC4F7" w14:textId="77777777" w:rsidR="00692FBC" w:rsidRPr="00692FBC" w:rsidRDefault="00692FBC" w:rsidP="00692FBC">
      <w:pPr>
        <w:textAlignment w:val="auto"/>
      </w:pPr>
    </w:p>
    <w:p w14:paraId="4F22FF10" w14:textId="77777777" w:rsidR="00692FBC" w:rsidRPr="00692FBC" w:rsidRDefault="00692FBC" w:rsidP="00692FBC">
      <w:pPr>
        <w:textAlignment w:val="auto"/>
      </w:pPr>
    </w:p>
    <w:p w14:paraId="0C9FDFA8" w14:textId="77777777" w:rsidR="00692FBC" w:rsidRPr="00692FBC" w:rsidRDefault="00692FBC" w:rsidP="00692FBC">
      <w:pPr>
        <w:textAlignment w:val="auto"/>
        <w:rPr>
          <w:b/>
          <w:bCs/>
        </w:rPr>
      </w:pPr>
      <w:r w:rsidRPr="00692FBC">
        <w:rPr>
          <w:b/>
          <w:bCs/>
        </w:rPr>
        <w:t>WORD COUNT - 2175</w:t>
      </w:r>
    </w:p>
    <w:p w14:paraId="6C53F783" w14:textId="77777777" w:rsidR="00692FBC" w:rsidRPr="00692FBC" w:rsidRDefault="00692FBC" w:rsidP="00692FBC">
      <w:pPr>
        <w:textAlignment w:val="auto"/>
      </w:pPr>
    </w:p>
    <w:p w14:paraId="6C4B415E" w14:textId="77777777" w:rsidR="00692FBC" w:rsidRPr="00692FBC" w:rsidRDefault="00692FBC" w:rsidP="00692FBC">
      <w:pPr>
        <w:textAlignment w:val="auto"/>
      </w:pPr>
    </w:p>
    <w:p w14:paraId="1E1798D4" w14:textId="77777777" w:rsidR="00692FBC" w:rsidRPr="00692FBC" w:rsidRDefault="00692FBC" w:rsidP="00692FBC">
      <w:pPr>
        <w:overflowPunct/>
        <w:autoSpaceDE/>
        <w:autoSpaceDN/>
        <w:adjustRightInd/>
        <w:spacing w:before="100" w:beforeAutospacing="1" w:after="100" w:afterAutospacing="1"/>
        <w:ind w:left="567" w:hanging="567"/>
        <w:textAlignment w:val="auto"/>
        <w:rPr>
          <w:rFonts w:ascii="Times New Roman" w:hAnsi="Times New Roman" w:cs="Times New Roman"/>
          <w:b/>
          <w:bCs/>
          <w:color w:val="auto"/>
          <w:sz w:val="24"/>
          <w:szCs w:val="24"/>
          <w:u w:val="single"/>
        </w:rPr>
      </w:pPr>
      <w:r w:rsidRPr="00692FBC">
        <w:rPr>
          <w:rFonts w:ascii="Times New Roman" w:hAnsi="Times New Roman" w:cs="Times New Roman"/>
          <w:b/>
          <w:bCs/>
          <w:color w:val="auto"/>
          <w:sz w:val="24"/>
          <w:szCs w:val="24"/>
          <w:u w:val="single"/>
        </w:rPr>
        <w:t>References</w:t>
      </w:r>
    </w:p>
    <w:p w14:paraId="0A4EC33A" w14:textId="77777777" w:rsidR="00692FBC" w:rsidRPr="00692FBC" w:rsidRDefault="00692FBC" w:rsidP="00692FBC">
      <w:pPr>
        <w:numPr>
          <w:ilvl w:val="0"/>
          <w:numId w:val="52"/>
        </w:num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692FBC">
        <w:rPr>
          <w:rFonts w:ascii="Times New Roman" w:hAnsi="Times New Roman" w:cs="Times New Roman"/>
          <w:i/>
          <w:iCs/>
          <w:color w:val="auto"/>
          <w:sz w:val="24"/>
          <w:szCs w:val="24"/>
        </w:rPr>
        <w:t>Controlling or coercive behaviour in an intimate or family relationship</w:t>
      </w:r>
      <w:r w:rsidRPr="00692FBC">
        <w:rPr>
          <w:rFonts w:ascii="Times New Roman" w:hAnsi="Times New Roman" w:cs="Times New Roman"/>
          <w:color w:val="auto"/>
          <w:sz w:val="24"/>
          <w:szCs w:val="24"/>
        </w:rPr>
        <w:t xml:space="preserve"> (no date) </w:t>
      </w:r>
      <w:r w:rsidRPr="00692FBC">
        <w:rPr>
          <w:rFonts w:ascii="Times New Roman" w:hAnsi="Times New Roman" w:cs="Times New Roman"/>
          <w:i/>
          <w:iCs/>
          <w:color w:val="auto"/>
          <w:sz w:val="24"/>
          <w:szCs w:val="24"/>
        </w:rPr>
        <w:t>Controlling or Coercive Behaviour in an Intimate or Family Relationship | The Crown Prosecution Service</w:t>
      </w:r>
      <w:r w:rsidRPr="00692FBC">
        <w:rPr>
          <w:rFonts w:ascii="Times New Roman" w:hAnsi="Times New Roman" w:cs="Times New Roman"/>
          <w:color w:val="auto"/>
          <w:sz w:val="24"/>
          <w:szCs w:val="24"/>
        </w:rPr>
        <w:t xml:space="preserve">. Available at: https://www.cps.gov.uk/legal-guidance/controlling-or-coercive-behaviour-intimate-or-family-relationship (Accessed: 19 February 2024). </w:t>
      </w:r>
    </w:p>
    <w:p w14:paraId="0AA4431E" w14:textId="77777777" w:rsidR="00692FBC" w:rsidRPr="00692FBC" w:rsidRDefault="00692FBC" w:rsidP="00692FBC">
      <w:pPr>
        <w:numPr>
          <w:ilvl w:val="0"/>
          <w:numId w:val="52"/>
        </w:num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692FBC">
        <w:rPr>
          <w:rFonts w:ascii="Times New Roman" w:hAnsi="Times New Roman" w:cs="Times New Roman"/>
          <w:i/>
          <w:iCs/>
          <w:color w:val="auto"/>
          <w:sz w:val="24"/>
          <w:szCs w:val="24"/>
        </w:rPr>
        <w:lastRenderedPageBreak/>
        <w:t>Coercive control</w:t>
      </w:r>
      <w:r w:rsidRPr="00692FBC">
        <w:rPr>
          <w:rFonts w:ascii="Times New Roman" w:hAnsi="Times New Roman" w:cs="Times New Roman"/>
          <w:color w:val="auto"/>
          <w:sz w:val="24"/>
          <w:szCs w:val="24"/>
        </w:rPr>
        <w:t xml:space="preserve"> (2024) </w:t>
      </w:r>
      <w:r w:rsidRPr="00692FBC">
        <w:rPr>
          <w:rFonts w:ascii="Times New Roman" w:hAnsi="Times New Roman" w:cs="Times New Roman"/>
          <w:i/>
          <w:iCs/>
          <w:color w:val="auto"/>
          <w:sz w:val="24"/>
          <w:szCs w:val="24"/>
        </w:rPr>
        <w:t>Women’s Aid</w:t>
      </w:r>
      <w:r w:rsidRPr="00692FBC">
        <w:rPr>
          <w:rFonts w:ascii="Times New Roman" w:hAnsi="Times New Roman" w:cs="Times New Roman"/>
          <w:color w:val="auto"/>
          <w:sz w:val="24"/>
          <w:szCs w:val="24"/>
        </w:rPr>
        <w:t xml:space="preserve">. Available at: https://www.womensaid.org.uk/information-support/what-is-domestic-abuse/coercive-control/ (Accessed: 19 February 2024). </w:t>
      </w:r>
    </w:p>
    <w:p w14:paraId="5AAF8E78" w14:textId="77777777" w:rsidR="00692FBC" w:rsidRPr="00692FBC" w:rsidRDefault="00692FBC" w:rsidP="00692FBC">
      <w:pPr>
        <w:numPr>
          <w:ilvl w:val="0"/>
          <w:numId w:val="52"/>
        </w:num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692FBC">
        <w:rPr>
          <w:rFonts w:ascii="Times New Roman" w:hAnsi="Times New Roman" w:cs="Times New Roman"/>
          <w:i/>
          <w:iCs/>
          <w:color w:val="auto"/>
          <w:sz w:val="24"/>
          <w:szCs w:val="24"/>
        </w:rPr>
        <w:t>Gibbs’ reflective cycle</w:t>
      </w:r>
      <w:r w:rsidRPr="00692FBC">
        <w:rPr>
          <w:rFonts w:ascii="Times New Roman" w:hAnsi="Times New Roman" w:cs="Times New Roman"/>
          <w:color w:val="auto"/>
          <w:sz w:val="24"/>
          <w:szCs w:val="24"/>
        </w:rPr>
        <w:t xml:space="preserve"> (1970) </w:t>
      </w:r>
      <w:r w:rsidRPr="00692FBC">
        <w:rPr>
          <w:rFonts w:ascii="Times New Roman" w:hAnsi="Times New Roman" w:cs="Times New Roman"/>
          <w:i/>
          <w:iCs/>
          <w:color w:val="auto"/>
          <w:sz w:val="24"/>
          <w:szCs w:val="24"/>
        </w:rPr>
        <w:t>The University of Edinburgh</w:t>
      </w:r>
      <w:r w:rsidRPr="00692FBC">
        <w:rPr>
          <w:rFonts w:ascii="Times New Roman" w:hAnsi="Times New Roman" w:cs="Times New Roman"/>
          <w:color w:val="auto"/>
          <w:sz w:val="24"/>
          <w:szCs w:val="24"/>
        </w:rPr>
        <w:t xml:space="preserve">. Available at: https://www.ed.ac.uk/reflection/reflectors-toolkit/reflecting-on-experience/gibbs-reflective-cycle (Accessed: 24 February 2024). </w:t>
      </w:r>
    </w:p>
    <w:p w14:paraId="1BF970C1" w14:textId="77777777" w:rsidR="00692FBC" w:rsidRPr="00692FBC" w:rsidRDefault="00692FBC" w:rsidP="00692FBC">
      <w:pPr>
        <w:numPr>
          <w:ilvl w:val="0"/>
          <w:numId w:val="52"/>
        </w:num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692FBC">
        <w:rPr>
          <w:rFonts w:ascii="Times New Roman" w:hAnsi="Times New Roman" w:cs="Times New Roman"/>
          <w:color w:val="auto"/>
          <w:sz w:val="24"/>
          <w:szCs w:val="24"/>
        </w:rPr>
        <w:t xml:space="preserve">(2014) </w:t>
      </w:r>
      <w:r w:rsidRPr="00692FBC">
        <w:rPr>
          <w:rFonts w:ascii="Times New Roman" w:hAnsi="Times New Roman" w:cs="Times New Roman"/>
          <w:i/>
          <w:iCs/>
          <w:color w:val="auto"/>
          <w:sz w:val="24"/>
          <w:szCs w:val="24"/>
        </w:rPr>
        <w:t>Frankland A., Brown J. (2014). Coercive control in same-sex intimate partner violence. Journal of Family Violence, 29(1), 15-22</w:t>
      </w:r>
      <w:r w:rsidRPr="00692FBC">
        <w:rPr>
          <w:rFonts w:ascii="Times New Roman" w:hAnsi="Times New Roman" w:cs="Times New Roman"/>
          <w:color w:val="auto"/>
          <w:sz w:val="24"/>
          <w:szCs w:val="24"/>
        </w:rPr>
        <w:t>. Available at: https://journals.sagepub.com/ (Accessed: 19 April 2024).</w:t>
      </w:r>
    </w:p>
    <w:p w14:paraId="4B6769D0" w14:textId="77777777" w:rsidR="00692FBC" w:rsidRPr="00692FBC" w:rsidRDefault="00692FBC" w:rsidP="00692FBC">
      <w:pPr>
        <w:numPr>
          <w:ilvl w:val="0"/>
          <w:numId w:val="52"/>
        </w:num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692FBC">
        <w:rPr>
          <w:rFonts w:ascii="Times New Roman" w:hAnsi="Times New Roman" w:cs="Times New Roman"/>
          <w:i/>
          <w:iCs/>
          <w:color w:val="auto"/>
          <w:sz w:val="24"/>
          <w:szCs w:val="24"/>
        </w:rPr>
        <w:t>Communication</w:t>
      </w:r>
      <w:r w:rsidRPr="00692FBC">
        <w:rPr>
          <w:rFonts w:ascii="Times New Roman" w:hAnsi="Times New Roman" w:cs="Times New Roman"/>
          <w:color w:val="auto"/>
          <w:sz w:val="24"/>
          <w:szCs w:val="24"/>
        </w:rPr>
        <w:t xml:space="preserve"> (no date) </w:t>
      </w:r>
      <w:r w:rsidRPr="00692FBC">
        <w:rPr>
          <w:rFonts w:ascii="Times New Roman" w:hAnsi="Times New Roman" w:cs="Times New Roman"/>
          <w:i/>
          <w:iCs/>
          <w:color w:val="auto"/>
          <w:sz w:val="24"/>
          <w:szCs w:val="24"/>
        </w:rPr>
        <w:t>College of Policing</w:t>
      </w:r>
      <w:r w:rsidRPr="00692FBC">
        <w:rPr>
          <w:rFonts w:ascii="Times New Roman" w:hAnsi="Times New Roman" w:cs="Times New Roman"/>
          <w:color w:val="auto"/>
          <w:sz w:val="24"/>
          <w:szCs w:val="24"/>
        </w:rPr>
        <w:t xml:space="preserve">. Available at: https://www.college.police.uk/guidance/vulnerability-related-risks/communication (Accessed: 24 April 2024). </w:t>
      </w: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27"/>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3EAC0328"/>
    <w:multiLevelType w:val="hybridMultilevel"/>
    <w:tmpl w:val="D096B944"/>
    <w:lvl w:ilvl="0" w:tplc="7C20584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53B7CF9"/>
    <w:multiLevelType w:val="multilevel"/>
    <w:tmpl w:val="455E8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82E33A6"/>
    <w:multiLevelType w:val="multilevel"/>
    <w:tmpl w:val="344A4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5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50"/>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7"/>
  </w:num>
  <w:num w:numId="6" w16cid:durableId="2030257421">
    <w:abstractNumId w:val="49"/>
  </w:num>
  <w:num w:numId="7" w16cid:durableId="1001156350">
    <w:abstractNumId w:val="37"/>
  </w:num>
  <w:num w:numId="8" w16cid:durableId="693071113">
    <w:abstractNumId w:val="33"/>
  </w:num>
  <w:num w:numId="9" w16cid:durableId="1461191123">
    <w:abstractNumId w:val="30"/>
  </w:num>
  <w:num w:numId="10" w16cid:durableId="47804158">
    <w:abstractNumId w:val="31"/>
  </w:num>
  <w:num w:numId="11" w16cid:durableId="1906380597">
    <w:abstractNumId w:val="9"/>
  </w:num>
  <w:num w:numId="12" w16cid:durableId="1916237999">
    <w:abstractNumId w:val="35"/>
  </w:num>
  <w:num w:numId="13" w16cid:durableId="101875315">
    <w:abstractNumId w:val="17"/>
  </w:num>
  <w:num w:numId="14" w16cid:durableId="1284531750">
    <w:abstractNumId w:val="16"/>
  </w:num>
  <w:num w:numId="15" w16cid:durableId="2067952899">
    <w:abstractNumId w:val="27"/>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8"/>
  </w:num>
  <w:num w:numId="26" w16cid:durableId="1650397480">
    <w:abstractNumId w:val="19"/>
  </w:num>
  <w:num w:numId="27" w16cid:durableId="797259064">
    <w:abstractNumId w:val="43"/>
  </w:num>
  <w:num w:numId="28" w16cid:durableId="1722634903">
    <w:abstractNumId w:val="38"/>
  </w:num>
  <w:num w:numId="29" w16cid:durableId="1249390611">
    <w:abstractNumId w:val="42"/>
  </w:num>
  <w:num w:numId="30" w16cid:durableId="1344282584">
    <w:abstractNumId w:val="20"/>
  </w:num>
  <w:num w:numId="31" w16cid:durableId="1746609829">
    <w:abstractNumId w:val="45"/>
  </w:num>
  <w:num w:numId="32" w16cid:durableId="1988586761">
    <w:abstractNumId w:val="32"/>
  </w:num>
  <w:num w:numId="33" w16cid:durableId="1557475669">
    <w:abstractNumId w:val="12"/>
  </w:num>
  <w:num w:numId="34" w16cid:durableId="2114667185">
    <w:abstractNumId w:val="46"/>
  </w:num>
  <w:num w:numId="35" w16cid:durableId="1402630006">
    <w:abstractNumId w:val="41"/>
  </w:num>
  <w:num w:numId="36" w16cid:durableId="2135364684">
    <w:abstractNumId w:val="4"/>
  </w:num>
  <w:num w:numId="37" w16cid:durableId="1523282661">
    <w:abstractNumId w:val="48"/>
  </w:num>
  <w:num w:numId="38" w16cid:durableId="384984533">
    <w:abstractNumId w:val="44"/>
  </w:num>
  <w:num w:numId="39" w16cid:durableId="119036455">
    <w:abstractNumId w:val="39"/>
  </w:num>
  <w:num w:numId="40" w16cid:durableId="186407522">
    <w:abstractNumId w:val="40"/>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9"/>
  </w:num>
  <w:num w:numId="49" w16cid:durableId="339695764">
    <w:abstractNumId w:val="51"/>
  </w:num>
  <w:num w:numId="50" w16cid:durableId="1082407717">
    <w:abstractNumId w:val="34"/>
  </w:num>
  <w:num w:numId="51" w16cid:durableId="133566863">
    <w:abstractNumId w:val="36"/>
  </w:num>
  <w:num w:numId="52" w16cid:durableId="723599588">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2FBC"/>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gbr01.safelinks.protection.outlook.com/?url=http%3A%2F%2Flegislation.gov.uk%2F&amp;data=05%7C02%7Ccarla.morris1%40south-wales.police.uk%7C9493646736214ea58a4808dc66314a61%7C270c2f4dfd0c4f0892a9e5bdd8a87e09%7C0%7C0%7C638497609091349365%7CUnknown%7CTWFpbGZsb3d8eyJWIjoiMC4wLjAwMDAiLCJQIjoiV2luMzIiLCJBTiI6Ik1haWwiLCJXVCI6Mn0%3D%7C0%7C%7C%7C&amp;sdata=xopOtDweTwYjzrtqrfPYclGQ0nZtMMXJFjLi2lmH%2Fn4%3D&amp;reserved=0" TargetMode="External"/><Relationship Id="rId26" Type="http://schemas.openxmlformats.org/officeDocument/2006/relationships/hyperlink" Target="https://gbr01.safelinks.protection.outlook.com/?url=http%3A%2F%2Ffigshare.com%2F&amp;data=05%7C02%7Ccarla.morris1%40south-wales.police.uk%7C9493646736214ea58a4808dc66314a61%7C270c2f4dfd0c4f0892a9e5bdd8a87e09%7C0%7C0%7C638497609091390361%7CUnknown%7CTWFpbGZsb3d8eyJWIjoiMC4wLjAwMDAiLCJQIjoiV2luMzIiLCJBTiI6Ik1haWwiLCJXVCI6Mn0%3D%7C0%7C%7C%7C&amp;sdata=TF1zJ86UuP64TZC4vJKlmSz7K9AFqta2i22BEbNE%2FTk%3D&amp;reserved=0" TargetMode="External"/><Relationship Id="rId3" Type="http://schemas.openxmlformats.org/officeDocument/2006/relationships/customXml" Target="../customXml/item3.xml"/><Relationship Id="rId21" Type="http://schemas.openxmlformats.org/officeDocument/2006/relationships/hyperlink" Target="https://gbr01.safelinks.protection.outlook.com/?url=http%3A%2F%2Flegislation.gov.uk%2F&amp;data=05%7C02%7Ccarla.morris1%40south-wales.police.uk%7C9493646736214ea58a4808dc66314a61%7C270c2f4dfd0c4f0892a9e5bdd8a87e09%7C0%7C0%7C638497609091364817%7CUnknown%7CTWFpbGZsb3d8eyJWIjoiMC4wLjAwMDAiLCJQIjoiV2luMzIiLCJBTiI6Ik1haWwiLCJXVCI6Mn0%3D%7C0%7C%7C%7C&amp;sdata=sYR67GEujQVuy9rG6c5D1qdb8iGeF4FqVkf3yGDWKfw%3D&amp;reserved=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gbr01.safelinks.protection.outlook.com/?url=http%3A%2F%2Fgov.uk%2F&amp;data=05%7C02%7Ccarla.morris1%40south-wales.police.uk%7C9493646736214ea58a4808dc66314a61%7C270c2f4dfd0c4f0892a9e5bdd8a87e09%7C0%7C0%7C638497609091338298%7CUnknown%7CTWFpbGZsb3d8eyJWIjoiMC4wLjAwMDAiLCJQIjoiV2luMzIiLCJBTiI6Ik1haWwiLCJXVCI6Mn0%3D%7C0%7C%7C%7C&amp;sdata=HsqfrjoKfFZuJqZrTC95Bwnea2drh6axHEpkpRDT9o4%3D&amp;reserved=0" TargetMode="External"/><Relationship Id="rId25" Type="http://schemas.openxmlformats.org/officeDocument/2006/relationships/hyperlink" Target="https://gbr01.safelinks.protection.outlook.com/?url=https%3A%2F%2Fwww.childline.org.uk%2Finfo-advice%2Fbullying-abuse-safety%2Fcrime-law%2Fracism-racial-bullying%2F&amp;data=05%7C02%7Ccarla.morris1%40south-wales.police.uk%7C9493646736214ea58a4808dc66314a61%7C270c2f4dfd0c4f0892a9e5bdd8a87e09%7C0%7C0%7C638497609091385243%7CUnknown%7CTWFpbGZsb3d8eyJWIjoiMC4wLjAwMDAiLCJQIjoiV2luMzIiLCJBTiI6Ik1haWwiLCJXVCI6Mn0%3D%7C0%7C%7C%7C&amp;sdata=IAs7uKLqM4Q1MloXCb6b7Fc5QDDTYN40YcKT75O0YUM%3D&amp;reserved=0" TargetMode="External"/><Relationship Id="rId2" Type="http://schemas.openxmlformats.org/officeDocument/2006/relationships/customXml" Target="../customXml/item2.xml"/><Relationship Id="rId16" Type="http://schemas.openxmlformats.org/officeDocument/2006/relationships/hyperlink" Target="https://gbr01.safelinks.protection.outlook.com/?url=http%3A%2F%2Fgov.uk%2F&amp;data=05%7C02%7Ccarla.morris1%40south-wales.police.uk%7C9493646736214ea58a4808dc66314a61%7C270c2f4dfd0c4f0892a9e5bdd8a87e09%7C0%7C0%7C638497609091331350%7CUnknown%7CTWFpbGZsb3d8eyJWIjoiMC4wLjAwMDAiLCJQIjoiV2luMzIiLCJBTiI6Ik1haWwiLCJXVCI6Mn0%3D%7C0%7C%7C%7C&amp;sdata=6RWNK76CBT0tqNkRsD1iH3%2F2Qo1lsXE8fX1mb0aNjfI%3D&amp;reserved=0" TargetMode="External"/><Relationship Id="rId20" Type="http://schemas.openxmlformats.org/officeDocument/2006/relationships/hyperlink" Target="https://gbr01.safelinks.protection.outlook.com/?url=https%3A%2F%2Fwww.cps.gov.uk%2Fcrime-info%2Fhate-crime&amp;data=05%7C02%7Ccarla.morris1%40south-wales.police.uk%7C9493646736214ea58a4808dc66314a61%7C270c2f4dfd0c4f0892a9e5bdd8a87e09%7C0%7C0%7C638497609091359775%7CUnknown%7CTWFpbGZsb3d8eyJWIjoiMC4wLjAwMDAiLCJQIjoiV2luMzIiLCJBTiI6Ik1haWwiLCJXVCI6Mn0%3D%7C0%7C%7C%7C&amp;sdata=nUbr0zsoNwAAykjNs9sL46vQcxK2ggGx5NffvDq5qNo%3D&amp;reserved=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s%3A%2F%2Fwww.gov.uk%2Fguidance%2Fpolice-and-criminal-evidence-act-1984-pace-codes-of-practice&amp;data=05%7C02%7Ccarla.morris1%40south-wales.police.uk%7C9493646736214ea58a4808dc66314a61%7C270c2f4dfd0c4f0892a9e5bdd8a87e09%7C0%7C0%7C638497609091380166%7CUnknown%7CTWFpbGZsb3d8eyJWIjoiMC4wLjAwMDAiLCJQIjoiV2luMzIiLCJBTiI6Ik1haWwiLCJXVCI6Mn0%3D%7C0%7C%7C%7C&amp;sdata=CGqHbT1aORrooqLx%2Bw1RKmVZFMP60hi9iAj9gL23d1A%3D&amp;reserved=0" TargetMode="External"/><Relationship Id="rId5" Type="http://schemas.openxmlformats.org/officeDocument/2006/relationships/numbering" Target="numbering.xml"/><Relationship Id="rId15" Type="http://schemas.openxmlformats.org/officeDocument/2006/relationships/hyperlink" Target="https://gbr01.safelinks.protection.outlook.com/?url=http%3A%2F%2Fgov.uk%2F&amp;data=05%7C02%7Ccarla.morris1%40south-wales.police.uk%7C9493646736214ea58a4808dc66314a61%7C270c2f4dfd0c4f0892a9e5bdd8a87e09%7C0%7C0%7C638497609091321537%7CUnknown%7CTWFpbGZsb3d8eyJWIjoiMC4wLjAwMDAiLCJQIjoiV2luMzIiLCJBTiI6Ik1haWwiLCJXVCI6Mn0%3D%7C0%7C%7C%7C&amp;sdata=WbBBSOf0KeBxyeq72lILfcoU6VeFJei308Z0oB3h4KQ%3D&amp;reserved=0" TargetMode="External"/><Relationship Id="rId23" Type="http://schemas.openxmlformats.org/officeDocument/2006/relationships/hyperlink" Target="https://gbr01.safelinks.protection.outlook.com/?url=http%3A%2F%2Fgov.uk%2F&amp;data=05%7C02%7Ccarla.morris1%40south-wales.police.uk%7C9493646736214ea58a4808dc66314a61%7C270c2f4dfd0c4f0892a9e5bdd8a87e09%7C0%7C0%7C638497609091375041%7CUnknown%7CTWFpbGZsb3d8eyJWIjoiMC4wLjAwMDAiLCJQIjoiV2luMzIiLCJBTiI6Ik1haWwiLCJXVCI6Mn0%3D%7C0%7C%7C%7C&amp;sdata=xpgMAVwdzhvdc3CwY7Fj4fXSgZQP6d0vHgW5s3qc8gY%3D&amp;reserved=0"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gbr01.safelinks.protection.outlook.com/?url=https%3A%2F%2Fwww.legislation.gov.uk%2Fukpga%2F1998%2F37%2Fpart%2FII%2Fcrossheading%2Fraciallyaggravated-offences-england-and-wales%2Fenacted&amp;data=05%7C02%7Ccarla.morris1%40south-wales.police.uk%7C9493646736214ea58a4808dc66314a61%7C270c2f4dfd0c4f0892a9e5bdd8a87e09%7C0%7C0%7C638497609091354529%7CUnknown%7CTWFpbGZsb3d8eyJWIjoiMC4wLjAwMDAiLCJQIjoiV2luMzIiLCJBTiI6Ik1haWwiLCJXVCI6Mn0%3D%7C0%7C%7C%7C&amp;sdata=jlxBRGrYKrhjYlr3pjYSOKXRVJNU4zy3ePLF7WlW21A%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gbr01.safelinks.protection.outlook.com/?url=https%3A%2F%2Fwww.legislation.gov.uk%2Fukpga%2F1984%2F60%2Fsection%2F24&amp;data=05%7C02%7Ccarla.morris1%40south-wales.police.uk%7C9493646736214ea58a4808dc66314a61%7C270c2f4dfd0c4f0892a9e5bdd8a87e09%7C0%7C0%7C638497609091369933%7CUnknown%7CTWFpbGZsb3d8eyJWIjoiMC4wLjAwMDAiLCJQIjoiV2luMzIiLCJBTiI6Ik1haWwiLCJXVCI6Mn0%3D%7C0%7C%7C%7C&amp;sdata=e5ILOZ4TprHuTQJx4xsj%2Fq8cjHQ5mrcXIveda2Wn7iA%3D&amp;reserved=0" TargetMode="External"/><Relationship Id="rId27" Type="http://schemas.openxmlformats.org/officeDocument/2006/relationships/footer" Target="footer1.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6620</Words>
  <Characters>37740</Characters>
  <Application>Microsoft Office Word</Application>
  <DocSecurity>0</DocSecurity>
  <Lines>314</Lines>
  <Paragraphs>88</Paragraphs>
  <ScaleCrop>false</ScaleCrop>
  <Company>Powys County Council</Company>
  <LinksUpToDate>false</LinksUpToDate>
  <CharactersWithSpaces>44272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Morris,Carla swp8398</cp:lastModifiedBy>
  <cp:revision>2</cp:revision>
  <cp:lastPrinted>2014-08-26T08:55:00Z</cp:lastPrinted>
  <dcterms:created xsi:type="dcterms:W3CDTF">2024-04-29T16:29:00Z</dcterms:created>
  <dcterms:modified xsi:type="dcterms:W3CDTF">2024-04-29T16:29:00Z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2024-04-29T16:29:44Z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deaa30f0-0752-473d-a2cd-9bb7a0ead7a2</vt:lpwstr>
  </property>
  <property fmtid="{D5CDD505-2E9C-101B-9397-08002B2CF9AE}" pid="9" name="MSIP_Label_66cf8fe5-b7b7-4df7-b38d-1c61ac2f6639_ContentBits">
    <vt:lpwstr>0</vt:lpwstr>
  </property>
</Properties>
</file>