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DAE72" w14:textId="2C86005A" w:rsidR="00CD3917" w:rsidRPr="00CD3917" w:rsidRDefault="00CD3917" w:rsidP="00CD3917">
      <w:pPr>
        <w:spacing w:before="100" w:beforeAutospacing="1" w:after="100" w:afterAutospacing="1" w:line="240" w:lineRule="auto"/>
        <w:jc w:val="center"/>
        <w:rPr>
          <w:rFonts w:ascii="Times New Roman" w:eastAsia="Times New Roman" w:hAnsi="Times New Roman" w:cs="Times New Roman"/>
          <w:b/>
          <w:sz w:val="28"/>
          <w:szCs w:val="28"/>
          <w:lang w:eastAsia="en-GB"/>
        </w:rPr>
      </w:pPr>
      <w:r w:rsidRPr="00CD3917">
        <w:rPr>
          <w:rFonts w:ascii="Times New Roman" w:hAnsi="Times New Roman" w:cs="Times New Roman"/>
          <w:b/>
          <w:sz w:val="28"/>
          <w:szCs w:val="28"/>
        </w:rPr>
        <w:t>Critical Analysis of Decision Support: BMDS7003</w:t>
      </w:r>
    </w:p>
    <w:p w14:paraId="487DAB71" w14:textId="61A8D085" w:rsidR="00926A22" w:rsidRPr="00CD3917" w:rsidRDefault="00DA7968" w:rsidP="00CD3917">
      <w:pPr>
        <w:spacing w:before="100" w:beforeAutospacing="1" w:after="100" w:afterAutospacing="1" w:line="240" w:lineRule="auto"/>
        <w:jc w:val="center"/>
        <w:rPr>
          <w:rFonts w:ascii="Times New Roman" w:eastAsia="Times New Roman" w:hAnsi="Times New Roman" w:cs="Times New Roman"/>
          <w:b/>
          <w:lang w:eastAsia="en-GB"/>
        </w:rPr>
      </w:pPr>
      <w:r>
        <w:rPr>
          <w:rFonts w:ascii="Times New Roman" w:eastAsia="Times New Roman" w:hAnsi="Times New Roman" w:cs="Times New Roman"/>
          <w:b/>
          <w:lang w:eastAsia="en-GB"/>
        </w:rPr>
        <w:t>Word Count: 5098</w:t>
      </w:r>
    </w:p>
    <w:p w14:paraId="61836D0D" w14:textId="241B5AF8" w:rsidR="00816CF2" w:rsidRPr="00E2582E" w:rsidRDefault="00816CF2" w:rsidP="00816CF2">
      <w:pPr>
        <w:spacing w:before="100" w:beforeAutospacing="1" w:after="100" w:afterAutospacing="1" w:line="240" w:lineRule="auto"/>
        <w:rPr>
          <w:rFonts w:ascii="Times New Roman" w:eastAsia="Times New Roman" w:hAnsi="Times New Roman" w:cs="Times New Roman"/>
          <w:b/>
          <w:sz w:val="28"/>
          <w:szCs w:val="28"/>
          <w:lang w:eastAsia="en-GB"/>
        </w:rPr>
      </w:pPr>
      <w:r w:rsidRPr="00E2582E">
        <w:rPr>
          <w:rFonts w:ascii="Times New Roman" w:eastAsia="Times New Roman" w:hAnsi="Times New Roman" w:cs="Times New Roman"/>
          <w:b/>
          <w:sz w:val="28"/>
          <w:szCs w:val="28"/>
          <w:lang w:eastAsia="en-GB"/>
        </w:rPr>
        <w:t>Background</w:t>
      </w:r>
    </w:p>
    <w:p w14:paraId="4D0B781A" w14:textId="5FCF9753" w:rsidR="00D94819" w:rsidRPr="00E2582E" w:rsidRDefault="00D94819" w:rsidP="00A13A2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2582E">
        <w:rPr>
          <w:rFonts w:ascii="Times New Roman" w:hAnsi="Times New Roman" w:cs="Times New Roman"/>
          <w:sz w:val="24"/>
          <w:szCs w:val="24"/>
        </w:rPr>
        <w:t xml:space="preserve">For many years, the integrated sexual health (ISH) clinic within Swansea Bay University Health Board (SBUHB) operated on a walk-in basis, allowing patients to attend without appointments and wait to be seen by a </w:t>
      </w:r>
      <w:r w:rsidR="00523E7E">
        <w:rPr>
          <w:rFonts w:ascii="Times New Roman" w:hAnsi="Times New Roman" w:cs="Times New Roman"/>
          <w:sz w:val="24"/>
          <w:szCs w:val="24"/>
        </w:rPr>
        <w:t>clinician</w:t>
      </w:r>
      <w:r w:rsidRPr="00E2582E">
        <w:rPr>
          <w:rFonts w:ascii="Times New Roman" w:hAnsi="Times New Roman" w:cs="Times New Roman"/>
          <w:sz w:val="24"/>
          <w:szCs w:val="24"/>
        </w:rPr>
        <w:t>. This provided open access for people with a wide range of sexual health needs including symptoms suggestive of sexually transmitted infections (STIs), contraception, emergency contraception and HIV care. Although accessible, the walk-in approach placed pressure on patients and staff due to long waiting times and unpredictable clinic capacity.</w:t>
      </w:r>
    </w:p>
    <w:p w14:paraId="357A80D6" w14:textId="5D77B591" w:rsidR="00D94819" w:rsidRPr="00E2582E" w:rsidRDefault="00D94819" w:rsidP="00A13A2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2582E">
        <w:rPr>
          <w:rFonts w:ascii="Times New Roman" w:hAnsi="Times New Roman" w:cs="Times New Roman"/>
          <w:sz w:val="24"/>
          <w:szCs w:val="24"/>
        </w:rPr>
        <w:t xml:space="preserve">The COVID-19 pandemic in 2020 caused significant changes to healthcare delivery. Patients were discouraged from attending hospital sites unless necessary and services were required to prioritise those with urgent clinical needs. In response, the ISH service introduced a telephone triage system, supported by national guidance from the British Association for Sexual Health and HIV (BASHH) and the Faculty of Sexual and Reproductive Healthcare (FSRH) (BASHH &amp; FSRH 2020). Under this system, a </w:t>
      </w:r>
      <w:r w:rsidR="00523E7E">
        <w:rPr>
          <w:rFonts w:ascii="Times New Roman" w:hAnsi="Times New Roman" w:cs="Times New Roman"/>
          <w:sz w:val="24"/>
          <w:szCs w:val="24"/>
        </w:rPr>
        <w:t>clinician</w:t>
      </w:r>
      <w:r w:rsidRPr="00E2582E">
        <w:rPr>
          <w:rFonts w:ascii="Times New Roman" w:hAnsi="Times New Roman" w:cs="Times New Roman"/>
          <w:sz w:val="24"/>
          <w:szCs w:val="24"/>
        </w:rPr>
        <w:t xml:space="preserve"> contact</w:t>
      </w:r>
      <w:r w:rsidR="00523E7E">
        <w:rPr>
          <w:rFonts w:ascii="Times New Roman" w:hAnsi="Times New Roman" w:cs="Times New Roman"/>
          <w:sz w:val="24"/>
          <w:szCs w:val="24"/>
        </w:rPr>
        <w:t>s</w:t>
      </w:r>
      <w:r w:rsidRPr="00E2582E">
        <w:rPr>
          <w:rFonts w:ascii="Times New Roman" w:hAnsi="Times New Roman" w:cs="Times New Roman"/>
          <w:sz w:val="24"/>
          <w:szCs w:val="24"/>
        </w:rPr>
        <w:t xml:space="preserve"> patients </w:t>
      </w:r>
      <w:r w:rsidR="00323B58" w:rsidRPr="00E2582E">
        <w:rPr>
          <w:rFonts w:ascii="Times New Roman" w:hAnsi="Times New Roman" w:cs="Times New Roman"/>
          <w:sz w:val="24"/>
          <w:szCs w:val="24"/>
        </w:rPr>
        <w:t>by telephone to assess symptoms and risks.</w:t>
      </w:r>
      <w:r w:rsidRPr="00E2582E">
        <w:rPr>
          <w:rFonts w:ascii="Times New Roman" w:hAnsi="Times New Roman" w:cs="Times New Roman"/>
          <w:sz w:val="24"/>
          <w:szCs w:val="24"/>
        </w:rPr>
        <w:t xml:space="preserve"> </w:t>
      </w:r>
      <w:r w:rsidR="00323B58" w:rsidRPr="00E2582E">
        <w:rPr>
          <w:rFonts w:ascii="Times New Roman" w:hAnsi="Times New Roman" w:cs="Times New Roman"/>
          <w:sz w:val="24"/>
          <w:szCs w:val="24"/>
        </w:rPr>
        <w:t>A</w:t>
      </w:r>
      <w:r w:rsidRPr="00E2582E">
        <w:rPr>
          <w:rFonts w:ascii="Times New Roman" w:hAnsi="Times New Roman" w:cs="Times New Roman"/>
          <w:sz w:val="24"/>
          <w:szCs w:val="24"/>
        </w:rPr>
        <w:t xml:space="preserve">ppointments </w:t>
      </w:r>
      <w:r w:rsidR="00523E7E">
        <w:rPr>
          <w:rFonts w:ascii="Times New Roman" w:hAnsi="Times New Roman" w:cs="Times New Roman"/>
          <w:sz w:val="24"/>
          <w:szCs w:val="24"/>
        </w:rPr>
        <w:t>were t</w:t>
      </w:r>
      <w:r w:rsidR="00323B58" w:rsidRPr="00E2582E">
        <w:rPr>
          <w:rFonts w:ascii="Times New Roman" w:hAnsi="Times New Roman" w:cs="Times New Roman"/>
          <w:sz w:val="24"/>
          <w:szCs w:val="24"/>
        </w:rPr>
        <w:t xml:space="preserve">hen </w:t>
      </w:r>
      <w:r w:rsidRPr="00E2582E">
        <w:rPr>
          <w:rFonts w:ascii="Times New Roman" w:hAnsi="Times New Roman" w:cs="Times New Roman"/>
          <w:sz w:val="24"/>
          <w:szCs w:val="24"/>
        </w:rPr>
        <w:t>allocated according to clinical need and directed to the most appropriate healthcare professional.</w:t>
      </w:r>
    </w:p>
    <w:p w14:paraId="02079231" w14:textId="4A11F0C2" w:rsidR="00323B58" w:rsidRPr="00E2582E" w:rsidRDefault="00323B58" w:rsidP="00A13A2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2582E">
        <w:rPr>
          <w:rFonts w:ascii="Times New Roman" w:hAnsi="Times New Roman" w:cs="Times New Roman"/>
          <w:sz w:val="24"/>
          <w:szCs w:val="24"/>
        </w:rPr>
        <w:t xml:space="preserve">During the pandemic, triage was essential to safeguard patients and staff. Individuals with urgent presentations, such as genital ulceration, were prioritised for face-to-face </w:t>
      </w:r>
      <w:r w:rsidR="00523E7E">
        <w:rPr>
          <w:rFonts w:ascii="Times New Roman" w:hAnsi="Times New Roman" w:cs="Times New Roman"/>
          <w:sz w:val="24"/>
          <w:szCs w:val="24"/>
        </w:rPr>
        <w:t>appointments</w:t>
      </w:r>
      <w:r w:rsidRPr="00E2582E">
        <w:rPr>
          <w:rFonts w:ascii="Times New Roman" w:hAnsi="Times New Roman" w:cs="Times New Roman"/>
          <w:sz w:val="24"/>
          <w:szCs w:val="24"/>
        </w:rPr>
        <w:t>. Where appropriate, patients were instead directed to alternative pathw</w:t>
      </w:r>
      <w:r w:rsidR="00523E7E">
        <w:rPr>
          <w:rFonts w:ascii="Times New Roman" w:hAnsi="Times New Roman" w:cs="Times New Roman"/>
          <w:sz w:val="24"/>
          <w:szCs w:val="24"/>
        </w:rPr>
        <w:t>ays, including</w:t>
      </w:r>
      <w:r w:rsidRPr="00E2582E">
        <w:rPr>
          <w:rFonts w:ascii="Times New Roman" w:hAnsi="Times New Roman" w:cs="Times New Roman"/>
          <w:sz w:val="24"/>
          <w:szCs w:val="24"/>
        </w:rPr>
        <w:t xml:space="preserve"> the ‘test and post’ service provide</w:t>
      </w:r>
      <w:r w:rsidR="00523E7E">
        <w:rPr>
          <w:rFonts w:ascii="Times New Roman" w:hAnsi="Times New Roman" w:cs="Times New Roman"/>
          <w:sz w:val="24"/>
          <w:szCs w:val="24"/>
        </w:rPr>
        <w:t xml:space="preserve">d by Public Health Wales (PHW) </w:t>
      </w:r>
      <w:r w:rsidRPr="00E2582E">
        <w:rPr>
          <w:rFonts w:ascii="Times New Roman" w:hAnsi="Times New Roman" w:cs="Times New Roman"/>
          <w:sz w:val="24"/>
          <w:szCs w:val="24"/>
        </w:rPr>
        <w:t>or clinician-led appointments. This reduced unnecessary face-to-face contact, shortened waiting times, and helped manage clinician workload while ensuring timely care for those most in need.</w:t>
      </w:r>
    </w:p>
    <w:p w14:paraId="53727CD7" w14:textId="6395F672" w:rsidR="00323B58" w:rsidRDefault="00323B58" w:rsidP="00A13A24">
      <w:pPr>
        <w:spacing w:before="100" w:beforeAutospacing="1" w:after="100" w:afterAutospacing="1" w:line="240" w:lineRule="auto"/>
        <w:jc w:val="both"/>
        <w:rPr>
          <w:rFonts w:ascii="Times New Roman" w:hAnsi="Times New Roman" w:cs="Times New Roman"/>
          <w:sz w:val="24"/>
          <w:szCs w:val="24"/>
        </w:rPr>
      </w:pPr>
      <w:r w:rsidRPr="00E2582E">
        <w:rPr>
          <w:rFonts w:ascii="Times New Roman" w:hAnsi="Times New Roman" w:cs="Times New Roman"/>
          <w:sz w:val="24"/>
          <w:szCs w:val="24"/>
        </w:rPr>
        <w:t>Following the reopening of services, SBUHB did not return to the walk-in model as triage had shown clear benefits</w:t>
      </w:r>
      <w:r w:rsidR="00523E7E">
        <w:rPr>
          <w:rFonts w:ascii="Times New Roman" w:hAnsi="Times New Roman" w:cs="Times New Roman"/>
          <w:sz w:val="24"/>
          <w:szCs w:val="24"/>
        </w:rPr>
        <w:t>.</w:t>
      </w:r>
      <w:r w:rsidRPr="00E2582E">
        <w:rPr>
          <w:rFonts w:ascii="Times New Roman" w:hAnsi="Times New Roman" w:cs="Times New Roman"/>
          <w:sz w:val="24"/>
          <w:szCs w:val="24"/>
        </w:rPr>
        <w:t xml:space="preserve"> Triage is now a core component of the service. Initial patient contact is managed by clerical staff via telephone or online referral forms, with patients added to a digital list. A nurse then completes a telephone clinical assessment using checklists alongside professional judgement</w:t>
      </w:r>
      <w:r w:rsidR="004F2A50">
        <w:rPr>
          <w:rFonts w:ascii="Times New Roman" w:hAnsi="Times New Roman" w:cs="Times New Roman"/>
          <w:sz w:val="24"/>
          <w:szCs w:val="24"/>
        </w:rPr>
        <w:t xml:space="preserve"> (see Figure 1)</w:t>
      </w:r>
      <w:r w:rsidRPr="00E2582E">
        <w:rPr>
          <w:rFonts w:ascii="Times New Roman" w:hAnsi="Times New Roman" w:cs="Times New Roman"/>
          <w:sz w:val="24"/>
          <w:szCs w:val="24"/>
        </w:rPr>
        <w:t>. While effective, this system could be further enhanced through the development of a digital triage</w:t>
      </w:r>
      <w:r w:rsidR="00F87479">
        <w:rPr>
          <w:rFonts w:ascii="Times New Roman" w:hAnsi="Times New Roman" w:cs="Times New Roman"/>
          <w:sz w:val="24"/>
          <w:szCs w:val="24"/>
        </w:rPr>
        <w:t xml:space="preserve"> (DT)</w:t>
      </w:r>
      <w:r w:rsidRPr="00E2582E">
        <w:rPr>
          <w:rFonts w:ascii="Times New Roman" w:hAnsi="Times New Roman" w:cs="Times New Roman"/>
          <w:sz w:val="24"/>
          <w:szCs w:val="24"/>
        </w:rPr>
        <w:t xml:space="preserve"> decision-support tool.</w:t>
      </w:r>
    </w:p>
    <w:p w14:paraId="0C82FC4C" w14:textId="7AD44466" w:rsidR="00E23134" w:rsidRDefault="00E23134" w:rsidP="00E23134">
      <w:pPr>
        <w:spacing w:before="100" w:beforeAutospacing="1" w:after="100" w:afterAutospacing="1" w:line="240" w:lineRule="auto"/>
        <w:jc w:val="center"/>
        <w:rPr>
          <w:rFonts w:ascii="Times New Roman" w:hAnsi="Times New Roman" w:cs="Times New Roman"/>
          <w:sz w:val="24"/>
          <w:szCs w:val="24"/>
        </w:rPr>
      </w:pPr>
      <w:r>
        <w:rPr>
          <w:noProof/>
          <w:lang w:eastAsia="en-GB"/>
        </w:rPr>
        <w:drawing>
          <wp:inline distT="0" distB="0" distL="0" distR="0" wp14:anchorId="3C50F491" wp14:editId="08C32DBB">
            <wp:extent cx="3944454" cy="1285335"/>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
                    <a:srcRect t="21996" b="29088"/>
                    <a:stretch/>
                  </pic:blipFill>
                  <pic:spPr>
                    <a:xfrm>
                      <a:off x="0" y="0"/>
                      <a:ext cx="3944454" cy="1285335"/>
                    </a:xfrm>
                    <a:prstGeom prst="rect">
                      <a:avLst/>
                    </a:prstGeom>
                  </pic:spPr>
                </pic:pic>
              </a:graphicData>
            </a:graphic>
          </wp:inline>
        </w:drawing>
      </w:r>
    </w:p>
    <w:p w14:paraId="4FFD38C3" w14:textId="1A490CDD" w:rsidR="004F2A50" w:rsidRPr="005F5991" w:rsidRDefault="004F2A50" w:rsidP="004F2A50">
      <w:pPr>
        <w:pStyle w:val="NormalWeb"/>
        <w:rPr>
          <w:i/>
          <w:sz w:val="20"/>
          <w:szCs w:val="20"/>
        </w:rPr>
      </w:pPr>
      <w:r w:rsidRPr="005F5991">
        <w:rPr>
          <w:i/>
          <w:sz w:val="20"/>
          <w:szCs w:val="20"/>
        </w:rPr>
        <w:t>Figure 1.</w:t>
      </w:r>
      <w:r w:rsidR="007E67E9" w:rsidRPr="005F5991">
        <w:rPr>
          <w:i/>
          <w:sz w:val="20"/>
          <w:szCs w:val="20"/>
        </w:rPr>
        <w:t xml:space="preserve"> </w:t>
      </w:r>
      <w:r w:rsidR="003D0618" w:rsidRPr="005F5991">
        <w:rPr>
          <w:i/>
          <w:sz w:val="20"/>
          <w:szCs w:val="20"/>
        </w:rPr>
        <w:t>Current patient pathway (</w:t>
      </w:r>
      <w:proofErr w:type="spellStart"/>
      <w:r w:rsidR="007E67E9" w:rsidRPr="005F5991">
        <w:rPr>
          <w:i/>
          <w:sz w:val="20"/>
          <w:szCs w:val="20"/>
        </w:rPr>
        <w:t>OpenAI</w:t>
      </w:r>
      <w:proofErr w:type="spellEnd"/>
      <w:r w:rsidR="007E67E9" w:rsidRPr="005F5991">
        <w:rPr>
          <w:i/>
          <w:sz w:val="20"/>
          <w:szCs w:val="20"/>
        </w:rPr>
        <w:t xml:space="preserve"> 2026)</w:t>
      </w:r>
    </w:p>
    <w:p w14:paraId="6EABFFFB" w14:textId="578840C2" w:rsidR="00E23134" w:rsidRDefault="00E23134" w:rsidP="004F2A50">
      <w:pPr>
        <w:pStyle w:val="NormalWeb"/>
      </w:pPr>
    </w:p>
    <w:p w14:paraId="212946FE" w14:textId="6CD88404" w:rsidR="00E23134" w:rsidRDefault="00E23134" w:rsidP="004F2A50">
      <w:pPr>
        <w:pStyle w:val="NormalWeb"/>
      </w:pPr>
    </w:p>
    <w:p w14:paraId="72C80FD3" w14:textId="47C44184" w:rsidR="00E06224" w:rsidRDefault="00E06224" w:rsidP="00E06224">
      <w:pPr>
        <w:pStyle w:val="NormalWeb"/>
        <w:jc w:val="both"/>
      </w:pPr>
      <w:r>
        <w:lastRenderedPageBreak/>
        <w:t xml:space="preserve">The proposed digital tool is a triage decision-support system designed to sit at the point of first contact with ISH. It will guide patients through a structured online assessment using clear questions to collect information on symptoms, sexual risk, pregnancy possibility, HIV exposure and safeguarding concerns. Based on this information, the tool will suggest an appropriate next step, such as referral to the </w:t>
      </w:r>
      <w:r w:rsidR="00523E7E">
        <w:t>PHW</w:t>
      </w:r>
      <w:r>
        <w:t xml:space="preserve"> “test and post” service, routine </w:t>
      </w:r>
      <w:r w:rsidR="00523E7E">
        <w:t>clinician</w:t>
      </w:r>
      <w:r>
        <w:t xml:space="preserve"> appointments, or urgent face-to-face review. The tool is intended to support, not replace, nurse-led triage by </w:t>
      </w:r>
      <w:r w:rsidR="00523E7E">
        <w:t>collecting</w:t>
      </w:r>
      <w:r>
        <w:t xml:space="preserve"> standardised information before clinic</w:t>
      </w:r>
      <w:r w:rsidR="00523E7E">
        <w:t>ian</w:t>
      </w:r>
      <w:r>
        <w:t xml:space="preserve"> contact. This allows clinicians to focus on clinical interpretation, safeguarding and decision-making rather than routine data collection. Higher-risk or complex cases will continue to require nurse telephone assessment. The tool will be used before nurse triage, replacing</w:t>
      </w:r>
      <w:r w:rsidR="00523E7E">
        <w:t>/</w:t>
      </w:r>
      <w:r>
        <w:t>enhancing the current online referral form</w:t>
      </w:r>
      <w:r w:rsidR="00523E7E">
        <w:t xml:space="preserve">. </w:t>
      </w:r>
      <w:r>
        <w:t>Telephone access will remain available to ensure equ</w:t>
      </w:r>
      <w:r w:rsidR="00523E7E">
        <w:t>al access</w:t>
      </w:r>
      <w:r>
        <w:t>.</w:t>
      </w:r>
    </w:p>
    <w:p w14:paraId="2AA99EA6" w14:textId="3C4834D6" w:rsidR="00E06224" w:rsidRDefault="00E06224" w:rsidP="00E06224">
      <w:pPr>
        <w:pStyle w:val="NormalWeb"/>
        <w:jc w:val="center"/>
      </w:pPr>
      <w:r>
        <w:rPr>
          <w:noProof/>
        </w:rPr>
        <w:drawing>
          <wp:inline distT="0" distB="0" distL="0" distR="0" wp14:anchorId="67FCB6EF" wp14:editId="6502ECED">
            <wp:extent cx="4615132" cy="3648973"/>
            <wp:effectExtent l="0" t="0" r="0" b="889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8"/>
                    <a:srcRect l="15473" r="7880"/>
                    <a:stretch/>
                  </pic:blipFill>
                  <pic:spPr>
                    <a:xfrm>
                      <a:off x="0" y="0"/>
                      <a:ext cx="4615132" cy="3648973"/>
                    </a:xfrm>
                    <a:prstGeom prst="rect">
                      <a:avLst/>
                    </a:prstGeom>
                  </pic:spPr>
                </pic:pic>
              </a:graphicData>
            </a:graphic>
          </wp:inline>
        </w:drawing>
      </w:r>
    </w:p>
    <w:p w14:paraId="391FCF6F" w14:textId="68136778" w:rsidR="00E06224" w:rsidRDefault="00E06224" w:rsidP="00E06224">
      <w:pPr>
        <w:pStyle w:val="NormalWeb"/>
        <w:rPr>
          <w:i/>
          <w:sz w:val="20"/>
          <w:szCs w:val="20"/>
        </w:rPr>
      </w:pPr>
      <w:r w:rsidRPr="005F5991">
        <w:rPr>
          <w:i/>
          <w:sz w:val="20"/>
          <w:szCs w:val="20"/>
        </w:rPr>
        <w:t>Figure 2.</w:t>
      </w:r>
      <w:r w:rsidR="007E67E9" w:rsidRPr="005F5991">
        <w:rPr>
          <w:i/>
          <w:sz w:val="20"/>
          <w:szCs w:val="20"/>
        </w:rPr>
        <w:t>Proposed Digital Pathway for ISH Services</w:t>
      </w:r>
      <w:r w:rsidR="00523E7E" w:rsidRPr="005F5991">
        <w:rPr>
          <w:i/>
          <w:sz w:val="20"/>
          <w:szCs w:val="20"/>
        </w:rPr>
        <w:t xml:space="preserve"> </w:t>
      </w:r>
      <w:r w:rsidR="007E67E9" w:rsidRPr="005F5991">
        <w:rPr>
          <w:i/>
          <w:sz w:val="20"/>
          <w:szCs w:val="20"/>
        </w:rPr>
        <w:t>(</w:t>
      </w:r>
      <w:proofErr w:type="spellStart"/>
      <w:r w:rsidR="007E67E9" w:rsidRPr="005F5991">
        <w:rPr>
          <w:i/>
          <w:sz w:val="20"/>
          <w:szCs w:val="20"/>
        </w:rPr>
        <w:t>OpenAI</w:t>
      </w:r>
      <w:proofErr w:type="spellEnd"/>
      <w:r w:rsidR="007E67E9" w:rsidRPr="005F5991">
        <w:rPr>
          <w:i/>
          <w:sz w:val="20"/>
          <w:szCs w:val="20"/>
        </w:rPr>
        <w:t xml:space="preserve"> 2026)</w:t>
      </w:r>
    </w:p>
    <w:p w14:paraId="5A269194" w14:textId="2BC0C7C4" w:rsidR="00816CF2" w:rsidRDefault="00444AC7" w:rsidP="00816CF2">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D</w:t>
      </w:r>
      <w:r w:rsidR="00816CF2" w:rsidRPr="00E2582E">
        <w:rPr>
          <w:rFonts w:ascii="Times New Roman" w:eastAsia="Times New Roman" w:hAnsi="Times New Roman" w:cs="Times New Roman"/>
          <w:b/>
          <w:bCs/>
          <w:sz w:val="28"/>
          <w:szCs w:val="28"/>
          <w:lang w:eastAsia="en-GB"/>
        </w:rPr>
        <w:t>igital Decision-Making</w:t>
      </w:r>
    </w:p>
    <w:p w14:paraId="17D7B52E" w14:textId="306E289D" w:rsidR="003B469F" w:rsidRDefault="003B469F" w:rsidP="003B469F">
      <w:pPr>
        <w:pStyle w:val="NormalWeb"/>
        <w:jc w:val="both"/>
      </w:pPr>
      <w:r>
        <w:t>Digital technology is now a central feature of healthcare delivery across the NHS, driv</w:t>
      </w:r>
      <w:r w:rsidR="00346CC1">
        <w:t>en</w:t>
      </w:r>
      <w:r>
        <w:t xml:space="preserve"> </w:t>
      </w:r>
      <w:r w:rsidR="00D1321E">
        <w:t xml:space="preserve">by </w:t>
      </w:r>
      <w:r>
        <w:t xml:space="preserve">strategies focused on digital transformation. The NHS </w:t>
      </w:r>
      <w:r w:rsidR="00346CC1">
        <w:t>‘</w:t>
      </w:r>
      <w:r>
        <w:t>Long-Term Plan</w:t>
      </w:r>
      <w:r w:rsidR="00346CC1">
        <w:t>’</w:t>
      </w:r>
      <w:r>
        <w:t xml:space="preserve"> (2019), the World Health Organisation’s</w:t>
      </w:r>
      <w:r w:rsidR="00346CC1">
        <w:t xml:space="preserve"> (WHO)</w:t>
      </w:r>
      <w:r>
        <w:t xml:space="preserve"> global digital health strategy (2021), and the Welsh Government’s ‘</w:t>
      </w:r>
      <w:r w:rsidRPr="003B469F">
        <w:rPr>
          <w:rStyle w:val="Emphasis"/>
          <w:i w:val="0"/>
        </w:rPr>
        <w:t>Digital Strategy for Wales</w:t>
      </w:r>
      <w:r>
        <w:t>’ (2021) all promote online access, remote consultations and data-driven tools to manage rising demand and workforce pres</w:t>
      </w:r>
      <w:r w:rsidR="00346CC1">
        <w:t>sures.</w:t>
      </w:r>
    </w:p>
    <w:p w14:paraId="494E6001" w14:textId="30397141" w:rsidR="003B469F" w:rsidRDefault="003B469F" w:rsidP="003B469F">
      <w:pPr>
        <w:pStyle w:val="NormalWeb"/>
        <w:jc w:val="both"/>
      </w:pPr>
      <w:r>
        <w:t>Advances in technology have created new opportunities for healthcare delivery (</w:t>
      </w:r>
      <w:proofErr w:type="spellStart"/>
      <w:r>
        <w:t>Wadham</w:t>
      </w:r>
      <w:proofErr w:type="spellEnd"/>
      <w:r>
        <w:t xml:space="preserve"> 2019). In Wales, 66% of people use the internet to support their health (Song, Sharp &amp; Davies 2020). However, despite increasing </w:t>
      </w:r>
      <w:r w:rsidR="00346CC1">
        <w:t>utilisation of</w:t>
      </w:r>
      <w:r>
        <w:t xml:space="preserve"> digital decision-making and triage tools, there is still a lack of evidence around safety, effectiveness and equity. Internet use declines with increasing age and socioeconomic deprivation, raising concerns about digital exclusion</w:t>
      </w:r>
      <w:r w:rsidR="00346CC1">
        <w:t xml:space="preserve"> (Song, Sharp &amp; Davies 2020)</w:t>
      </w:r>
      <w:r>
        <w:t xml:space="preserve">. Individuals with limited digital literacy, language barriers, disabilities, </w:t>
      </w:r>
      <w:r>
        <w:lastRenderedPageBreak/>
        <w:t>or restricted access to technology may be disadvantaged. This can lead to widening health inequalities.</w:t>
      </w:r>
    </w:p>
    <w:p w14:paraId="5EC5EC57" w14:textId="11BB6E3E" w:rsidR="003B469F" w:rsidRDefault="003B469F" w:rsidP="003B469F">
      <w:pPr>
        <w:pStyle w:val="NormalWeb"/>
        <w:jc w:val="both"/>
      </w:pPr>
      <w:r>
        <w:t>Concerns have also been raised regarding clinical risk and accuracy. Algorithm-based tools</w:t>
      </w:r>
      <w:r w:rsidR="00346CC1">
        <w:t xml:space="preserve"> may</w:t>
      </w:r>
      <w:r>
        <w:t xml:space="preserve"> rely on incomplete or self-reported information which can lead to inappropriate advice or incorrect appointment allocation. Clinicians have reported uncertainty around accountability, governance and regulation, particularly where automated recommendations influence decision-making (</w:t>
      </w:r>
      <w:proofErr w:type="spellStart"/>
      <w:r>
        <w:t>Esmaeilzadeh</w:t>
      </w:r>
      <w:proofErr w:type="spellEnd"/>
      <w:r>
        <w:t xml:space="preserve"> 2020; Scott, Carter &amp; </w:t>
      </w:r>
      <w:proofErr w:type="spellStart"/>
      <w:r>
        <w:t>Coiera</w:t>
      </w:r>
      <w:proofErr w:type="spellEnd"/>
      <w:r>
        <w:t xml:space="preserve"> 2021). Issues of data privacy, consent and transparency further complicate implementation, especially where artificial intelligence (AI) is involved (Murdoch 2021). These concerns are particularly significant in sexual health services, where confidentiality and sensitivity are paramount.</w:t>
      </w:r>
    </w:p>
    <w:p w14:paraId="6A08A79C" w14:textId="103E33CA" w:rsidR="003B469F" w:rsidRDefault="00F87479" w:rsidP="003B469F">
      <w:pPr>
        <w:pStyle w:val="NormalWeb"/>
        <w:jc w:val="both"/>
      </w:pPr>
      <w:r>
        <w:t>DT</w:t>
      </w:r>
      <w:r w:rsidR="003B469F">
        <w:t xml:space="preserve"> aims to support, rather than replace clinical judgement by standardising assessments and prioritising need (</w:t>
      </w:r>
      <w:proofErr w:type="spellStart"/>
      <w:r w:rsidR="003B469F">
        <w:t>Illicki</w:t>
      </w:r>
      <w:proofErr w:type="spellEnd"/>
      <w:r w:rsidR="003B469F">
        <w:t xml:space="preserve"> 2022; </w:t>
      </w:r>
      <w:proofErr w:type="spellStart"/>
      <w:r w:rsidR="003B469F">
        <w:t>Semigran</w:t>
      </w:r>
      <w:proofErr w:type="spellEnd"/>
      <w:r w:rsidR="003B469F">
        <w:t xml:space="preserve"> et al 2015). Given both its potential benefits and identified risks, a critical review of the literature is required.</w:t>
      </w:r>
    </w:p>
    <w:p w14:paraId="6223CAD4" w14:textId="77777777" w:rsidR="008263E9" w:rsidRPr="003D3C55" w:rsidRDefault="008263E9" w:rsidP="008263E9">
      <w:pPr>
        <w:pStyle w:val="NormalWeb"/>
        <w:jc w:val="both"/>
        <w:rPr>
          <w:b/>
          <w:sz w:val="28"/>
          <w:szCs w:val="28"/>
        </w:rPr>
      </w:pPr>
      <w:r w:rsidRPr="003D3C55">
        <w:rPr>
          <w:b/>
          <w:sz w:val="28"/>
          <w:szCs w:val="28"/>
        </w:rPr>
        <w:t>Literature Review</w:t>
      </w:r>
    </w:p>
    <w:p w14:paraId="12291FBA" w14:textId="72B0C3C1" w:rsidR="008263E9" w:rsidRDefault="008263E9" w:rsidP="008263E9">
      <w:pPr>
        <w:pStyle w:val="NormalWeb"/>
        <w:jc w:val="both"/>
      </w:pPr>
      <w:r>
        <w:t>With the reliance on a triage-based model within ISH services, it is important to examine the existing evidence supporting digital</w:t>
      </w:r>
      <w:r w:rsidR="00503D98">
        <w:t xml:space="preserve"> decision-making tools</w:t>
      </w:r>
      <w:r>
        <w:t xml:space="preserve">. By exploring the current literature, </w:t>
      </w:r>
      <w:r w:rsidR="00503D98">
        <w:t xml:space="preserve">an </w:t>
      </w:r>
      <w:r>
        <w:t xml:space="preserve">insight into the effectiveness, safety and acceptability of triage approaches in sexual health and wider healthcare settings can be </w:t>
      </w:r>
      <w:r w:rsidR="00A46EA3">
        <w:t>established</w:t>
      </w:r>
      <w:r>
        <w:t>. It also enables identification of</w:t>
      </w:r>
      <w:r w:rsidR="00346CC1">
        <w:t xml:space="preserve"> best practice, potential risks</w:t>
      </w:r>
      <w:r>
        <w:t xml:space="preserve"> and gaps in knowledge. The following literature review explores current research and national guidance relating to </w:t>
      </w:r>
      <w:r w:rsidR="00503D98">
        <w:t xml:space="preserve">AI/machine-learning </w:t>
      </w:r>
      <w:r w:rsidR="00A46EA3">
        <w:t xml:space="preserve">digital decision-making tools </w:t>
      </w:r>
      <w:r w:rsidR="00E73C7C">
        <w:t>for triage</w:t>
      </w:r>
      <w:r>
        <w:t>.</w:t>
      </w:r>
    </w:p>
    <w:p w14:paraId="4EB2EDF3" w14:textId="7AF1C1CD" w:rsidR="008263E9" w:rsidRDefault="008263E9" w:rsidP="008263E9">
      <w:pPr>
        <w:pStyle w:val="NormalWeb"/>
        <w:jc w:val="both"/>
      </w:pPr>
      <w:r w:rsidRPr="00A02063">
        <w:t>A systematic approach was used to identify</w:t>
      </w:r>
      <w:r w:rsidR="001F5826">
        <w:t xml:space="preserve"> </w:t>
      </w:r>
      <w:r w:rsidRPr="00A02063">
        <w:t>relevant literature</w:t>
      </w:r>
      <w:r w:rsidR="001F5826">
        <w:t xml:space="preserve"> to ensure</w:t>
      </w:r>
      <w:r w:rsidRPr="00A02063">
        <w:t xml:space="preserve"> a comprehensive understanding of digital decision support tools</w:t>
      </w:r>
      <w:r w:rsidR="00503D98">
        <w:t>.</w:t>
      </w:r>
    </w:p>
    <w:p w14:paraId="415F52C7" w14:textId="77777777" w:rsidR="00896F2B" w:rsidRDefault="00896F2B" w:rsidP="00896F2B">
      <w:pPr>
        <w:pStyle w:val="NormalWeb"/>
        <w:jc w:val="both"/>
        <w:rPr>
          <w:b/>
        </w:rPr>
      </w:pPr>
      <w:r w:rsidRPr="00973007">
        <w:rPr>
          <w:b/>
        </w:rPr>
        <w:t>Grey Literature Methodology</w:t>
      </w:r>
    </w:p>
    <w:p w14:paraId="00F76B6C" w14:textId="66398A74" w:rsidR="00896F2B" w:rsidRPr="00896F2B" w:rsidRDefault="00896F2B" w:rsidP="00C63D68">
      <w:pPr>
        <w:spacing w:before="100" w:beforeAutospacing="1" w:after="100" w:afterAutospacing="1" w:line="240" w:lineRule="auto"/>
        <w:jc w:val="both"/>
        <w:rPr>
          <w:rFonts w:ascii="Times New Roman" w:hAnsi="Times New Roman" w:cs="Times New Roman"/>
          <w:sz w:val="24"/>
          <w:szCs w:val="24"/>
        </w:rPr>
      </w:pPr>
      <w:r w:rsidRPr="00896F2B">
        <w:rPr>
          <w:rFonts w:ascii="Times New Roman" w:hAnsi="Times New Roman" w:cs="Times New Roman"/>
          <w:sz w:val="24"/>
          <w:szCs w:val="24"/>
        </w:rPr>
        <w:t>All grey lite</w:t>
      </w:r>
      <w:r w:rsidR="007B5923">
        <w:rPr>
          <w:rFonts w:ascii="Times New Roman" w:hAnsi="Times New Roman" w:cs="Times New Roman"/>
          <w:sz w:val="24"/>
          <w:szCs w:val="24"/>
        </w:rPr>
        <w:t xml:space="preserve">rature was identified </w:t>
      </w:r>
      <w:r w:rsidR="00D1321E">
        <w:rPr>
          <w:rFonts w:ascii="Times New Roman" w:hAnsi="Times New Roman" w:cs="Times New Roman"/>
          <w:sz w:val="24"/>
          <w:szCs w:val="24"/>
        </w:rPr>
        <w:t>by a search of organisation websites</w:t>
      </w:r>
      <w:r w:rsidR="007B5923">
        <w:rPr>
          <w:rFonts w:ascii="Times New Roman" w:hAnsi="Times New Roman" w:cs="Times New Roman"/>
          <w:sz w:val="24"/>
          <w:szCs w:val="24"/>
        </w:rPr>
        <w:t xml:space="preserve"> (</w:t>
      </w:r>
      <w:r w:rsidR="00D1321E">
        <w:rPr>
          <w:rFonts w:ascii="Times New Roman" w:hAnsi="Times New Roman" w:cs="Times New Roman"/>
          <w:sz w:val="24"/>
          <w:szCs w:val="24"/>
        </w:rPr>
        <w:t>e.g.</w:t>
      </w:r>
      <w:r w:rsidR="007B5923">
        <w:rPr>
          <w:rFonts w:ascii="Times New Roman" w:hAnsi="Times New Roman" w:cs="Times New Roman"/>
          <w:sz w:val="24"/>
          <w:szCs w:val="24"/>
        </w:rPr>
        <w:t xml:space="preserve"> BASHH) or </w:t>
      </w:r>
      <w:r w:rsidRPr="00896F2B">
        <w:rPr>
          <w:rFonts w:ascii="Times New Roman" w:hAnsi="Times New Roman" w:cs="Times New Roman"/>
          <w:sz w:val="24"/>
          <w:szCs w:val="24"/>
        </w:rPr>
        <w:t>Google search</w:t>
      </w:r>
      <w:r w:rsidR="007B5923">
        <w:rPr>
          <w:rFonts w:ascii="Times New Roman" w:hAnsi="Times New Roman" w:cs="Times New Roman"/>
          <w:sz w:val="24"/>
          <w:szCs w:val="24"/>
        </w:rPr>
        <w:t>. The searches</w:t>
      </w:r>
      <w:r w:rsidRPr="00896F2B">
        <w:rPr>
          <w:rFonts w:ascii="Times New Roman" w:hAnsi="Times New Roman" w:cs="Times New Roman"/>
          <w:sz w:val="24"/>
          <w:szCs w:val="24"/>
        </w:rPr>
        <w:t xml:space="preserve"> includ</w:t>
      </w:r>
      <w:r w:rsidR="007B5923">
        <w:rPr>
          <w:rFonts w:ascii="Times New Roman" w:hAnsi="Times New Roman" w:cs="Times New Roman"/>
          <w:sz w:val="24"/>
          <w:szCs w:val="24"/>
        </w:rPr>
        <w:t>ed</w:t>
      </w:r>
      <w:r w:rsidRPr="00896F2B">
        <w:rPr>
          <w:rFonts w:ascii="Times New Roman" w:hAnsi="Times New Roman" w:cs="Times New Roman"/>
          <w:sz w:val="24"/>
          <w:szCs w:val="24"/>
        </w:rPr>
        <w:t xml:space="preserve"> unpublished reports, published standards and guidelines, news articles, policy documents and blog posts</w:t>
      </w:r>
      <w:r w:rsidR="00C63D68">
        <w:rPr>
          <w:rFonts w:ascii="Times New Roman" w:hAnsi="Times New Roman" w:cs="Times New Roman"/>
          <w:sz w:val="24"/>
          <w:szCs w:val="24"/>
        </w:rPr>
        <w:t>, specifically related to digital/remote working</w:t>
      </w:r>
      <w:r w:rsidRPr="00896F2B">
        <w:rPr>
          <w:rFonts w:ascii="Times New Roman" w:hAnsi="Times New Roman" w:cs="Times New Roman"/>
          <w:sz w:val="24"/>
          <w:szCs w:val="24"/>
        </w:rPr>
        <w:t>.</w:t>
      </w:r>
    </w:p>
    <w:p w14:paraId="7E604134" w14:textId="77777777" w:rsidR="00896F2B" w:rsidRPr="00896F2B" w:rsidRDefault="00896F2B" w:rsidP="008263E9">
      <w:pPr>
        <w:pStyle w:val="NormalWeb"/>
        <w:jc w:val="both"/>
        <w:rPr>
          <w:b/>
        </w:rPr>
      </w:pPr>
      <w:r w:rsidRPr="00896F2B">
        <w:rPr>
          <w:b/>
        </w:rPr>
        <w:t>E-database Methodology</w:t>
      </w:r>
    </w:p>
    <w:p w14:paraId="186EB8E3" w14:textId="0A9AC67F" w:rsidR="00503D98" w:rsidRDefault="008263E9" w:rsidP="00285670">
      <w:pPr>
        <w:pStyle w:val="NormalWeb"/>
        <w:jc w:val="both"/>
      </w:pPr>
      <w:r>
        <w:t xml:space="preserve">A search across the </w:t>
      </w:r>
      <w:r w:rsidR="00503D98">
        <w:t>‘PubMed’</w:t>
      </w:r>
      <w:r>
        <w:t xml:space="preserve"> e</w:t>
      </w:r>
      <w:r w:rsidR="00EE5C35">
        <w:t>-</w:t>
      </w:r>
      <w:r>
        <w:t>database was conducted</w:t>
      </w:r>
      <w:r w:rsidR="001F5826">
        <w:t>.</w:t>
      </w:r>
      <w:r w:rsidR="00EE5C35">
        <w:t xml:space="preserve"> </w:t>
      </w:r>
      <w:r>
        <w:t xml:space="preserve">Boolean operators (AND, OR) were used to refine the search. During the search, </w:t>
      </w:r>
      <w:proofErr w:type="spellStart"/>
      <w:r>
        <w:t>Mendeley</w:t>
      </w:r>
      <w:proofErr w:type="spellEnd"/>
      <w:r>
        <w:t xml:space="preserve"> Reference Manager was utilised to export articles into a reference list where duplicates were removed. </w:t>
      </w:r>
    </w:p>
    <w:p w14:paraId="6EBDABEF" w14:textId="77777777" w:rsidR="001F5826" w:rsidRDefault="001F5826" w:rsidP="00285670">
      <w:pPr>
        <w:pStyle w:val="NormalWeb"/>
        <w:jc w:val="both"/>
      </w:pPr>
    </w:p>
    <w:p w14:paraId="6AB79170" w14:textId="6F532CC6" w:rsidR="008263E9" w:rsidRDefault="00DA7968" w:rsidP="00345479">
      <w:pPr>
        <w:pStyle w:val="NormalWeb"/>
        <w:jc w:val="both"/>
      </w:pPr>
      <w:r>
        <w:t>T</w:t>
      </w:r>
      <w:r w:rsidR="008263E9">
        <w:t>he search terms used to find relevant articl</w:t>
      </w:r>
      <w:r w:rsidR="00503D98">
        <w:t xml:space="preserve">es, reports and studies were as </w:t>
      </w:r>
      <w:r w:rsidR="00285670">
        <w:t xml:space="preserve">Table 1 </w:t>
      </w:r>
      <w:r w:rsidR="00503D98">
        <w:t>below</w:t>
      </w:r>
      <w:r w:rsidR="008263E9">
        <w:t>:</w:t>
      </w:r>
    </w:p>
    <w:p w14:paraId="64E9A9EE" w14:textId="7328EEFE" w:rsidR="00DA7968" w:rsidRDefault="00DA7968" w:rsidP="00345479">
      <w:pPr>
        <w:pStyle w:val="NormalWeb"/>
        <w:jc w:val="both"/>
      </w:pPr>
    </w:p>
    <w:p w14:paraId="046576D2" w14:textId="438C032C" w:rsidR="00DA7968" w:rsidRDefault="00DA7968" w:rsidP="00345479">
      <w:pPr>
        <w:pStyle w:val="NormalWeb"/>
        <w:jc w:val="both"/>
      </w:pPr>
    </w:p>
    <w:p w14:paraId="6D628141" w14:textId="77777777" w:rsidR="00DA7968" w:rsidRDefault="00DA7968" w:rsidP="00345479">
      <w:pPr>
        <w:pStyle w:val="NormalWeb"/>
        <w:jc w:val="both"/>
      </w:pPr>
    </w:p>
    <w:tbl>
      <w:tblPr>
        <w:tblStyle w:val="TableGrid"/>
        <w:tblW w:w="0" w:type="auto"/>
        <w:tblLook w:val="04A0" w:firstRow="1" w:lastRow="0" w:firstColumn="1" w:lastColumn="0" w:noHBand="0" w:noVBand="1"/>
      </w:tblPr>
      <w:tblGrid>
        <w:gridCol w:w="9016"/>
      </w:tblGrid>
      <w:tr w:rsidR="00285670" w14:paraId="30EA1733" w14:textId="77777777" w:rsidTr="00285670">
        <w:tc>
          <w:tcPr>
            <w:tcW w:w="9016" w:type="dxa"/>
          </w:tcPr>
          <w:p w14:paraId="380B9F46" w14:textId="2670C957" w:rsidR="00285670" w:rsidRPr="00285670" w:rsidRDefault="00285670" w:rsidP="00345479">
            <w:pPr>
              <w:pStyle w:val="NormalWeb"/>
              <w:jc w:val="both"/>
              <w:rPr>
                <w:b/>
              </w:rPr>
            </w:pPr>
            <w:r w:rsidRPr="00285670">
              <w:rPr>
                <w:b/>
              </w:rPr>
              <w:lastRenderedPageBreak/>
              <w:t>Search 1:</w:t>
            </w:r>
          </w:p>
        </w:tc>
      </w:tr>
      <w:tr w:rsidR="00285670" w14:paraId="5C3C2888" w14:textId="77777777" w:rsidTr="00285670">
        <w:tc>
          <w:tcPr>
            <w:tcW w:w="9016" w:type="dxa"/>
          </w:tcPr>
          <w:p w14:paraId="1F88C00B" w14:textId="03B75B14" w:rsidR="00285670" w:rsidRDefault="00285670" w:rsidP="00285670">
            <w:r w:rsidRPr="00285670">
              <w:rPr>
                <w:rFonts w:ascii="Times New Roman" w:hAnsi="Times New Roman" w:cs="Times New Roman"/>
                <w:color w:val="000000"/>
                <w:lang w:eastAsia="en-GB"/>
              </w:rPr>
              <w:t>("digital support system*"[Title/Abstract]) OR ("digital system*"[Title/Abstract])) OR ("digital tool*"[Title/Abstract])) OR ("symptom checker*"[Title/Abstract])) OR ("online support"[Title/Abstract])) OR ("online system"[Title/Abstract])) OR (“remote”) OR (algorithm[Title/Abstract])) OR (digital technology[</w:t>
            </w:r>
            <w:proofErr w:type="spellStart"/>
            <w:r w:rsidRPr="00285670">
              <w:rPr>
                <w:rFonts w:ascii="Times New Roman" w:hAnsi="Times New Roman" w:cs="Times New Roman"/>
                <w:color w:val="000000"/>
                <w:lang w:eastAsia="en-GB"/>
              </w:rPr>
              <w:t>MeSH</w:t>
            </w:r>
            <w:proofErr w:type="spellEnd"/>
            <w:r w:rsidRPr="00285670">
              <w:rPr>
                <w:rFonts w:ascii="Times New Roman" w:hAnsi="Times New Roman" w:cs="Times New Roman"/>
                <w:color w:val="000000"/>
                <w:lang w:eastAsia="en-GB"/>
              </w:rPr>
              <w:t xml:space="preserve"> Terms])) OR (digital health[</w:t>
            </w:r>
            <w:proofErr w:type="spellStart"/>
            <w:r w:rsidRPr="00285670">
              <w:rPr>
                <w:rFonts w:ascii="Times New Roman" w:hAnsi="Times New Roman" w:cs="Times New Roman"/>
                <w:color w:val="000000"/>
                <w:lang w:eastAsia="en-GB"/>
              </w:rPr>
              <w:t>MeSH</w:t>
            </w:r>
            <w:proofErr w:type="spellEnd"/>
            <w:r w:rsidRPr="00285670">
              <w:rPr>
                <w:rFonts w:ascii="Times New Roman" w:hAnsi="Times New Roman" w:cs="Times New Roman"/>
                <w:color w:val="000000"/>
                <w:lang w:eastAsia="en-GB"/>
              </w:rPr>
              <w:t xml:space="preserve"> </w:t>
            </w:r>
            <w:r>
              <w:rPr>
                <w:rFonts w:ascii="Times New Roman" w:hAnsi="Times New Roman" w:cs="Times New Roman"/>
                <w:color w:val="000000"/>
                <w:lang w:eastAsia="en-GB"/>
              </w:rPr>
              <w:t>t</w:t>
            </w:r>
            <w:r w:rsidRPr="00285670">
              <w:rPr>
                <w:rFonts w:ascii="Times New Roman" w:hAnsi="Times New Roman" w:cs="Times New Roman"/>
                <w:color w:val="000000"/>
                <w:lang w:eastAsia="en-GB"/>
              </w:rPr>
              <w:t>erms])) AND ((triage[Title/Abstract]) OR (triage[</w:t>
            </w:r>
            <w:proofErr w:type="spellStart"/>
            <w:r w:rsidRPr="00285670">
              <w:rPr>
                <w:rFonts w:ascii="Times New Roman" w:hAnsi="Times New Roman" w:cs="Times New Roman"/>
                <w:color w:val="000000"/>
                <w:lang w:eastAsia="en-GB"/>
              </w:rPr>
              <w:t>MeSH</w:t>
            </w:r>
            <w:proofErr w:type="spellEnd"/>
            <w:r w:rsidRPr="00285670">
              <w:rPr>
                <w:rFonts w:ascii="Times New Roman" w:hAnsi="Times New Roman" w:cs="Times New Roman"/>
                <w:color w:val="000000"/>
                <w:lang w:eastAsia="en-GB"/>
              </w:rPr>
              <w:t xml:space="preserve"> Terms])</w:t>
            </w:r>
          </w:p>
        </w:tc>
      </w:tr>
      <w:tr w:rsidR="00285670" w14:paraId="136305E7" w14:textId="77777777" w:rsidTr="00285670">
        <w:tc>
          <w:tcPr>
            <w:tcW w:w="9016" w:type="dxa"/>
          </w:tcPr>
          <w:p w14:paraId="0AEBCEA3" w14:textId="1F6A443C" w:rsidR="00285670" w:rsidRPr="00285670" w:rsidRDefault="00285670" w:rsidP="00345479">
            <w:pPr>
              <w:pStyle w:val="NormalWeb"/>
              <w:jc w:val="both"/>
              <w:rPr>
                <w:b/>
              </w:rPr>
            </w:pPr>
            <w:r w:rsidRPr="00285670">
              <w:rPr>
                <w:b/>
              </w:rPr>
              <w:t>Search 2:</w:t>
            </w:r>
          </w:p>
        </w:tc>
      </w:tr>
      <w:tr w:rsidR="00285670" w14:paraId="138DE2A7" w14:textId="77777777" w:rsidTr="00285670">
        <w:tc>
          <w:tcPr>
            <w:tcW w:w="9016" w:type="dxa"/>
          </w:tcPr>
          <w:p w14:paraId="58E63BB8" w14:textId="2C2DB0A9" w:rsidR="00285670" w:rsidRPr="00285670" w:rsidRDefault="00285670" w:rsidP="00285670">
            <w:r w:rsidRPr="00285670">
              <w:rPr>
                <w:rFonts w:ascii="Times New Roman" w:hAnsi="Times New Roman" w:cs="Times New Roman"/>
              </w:rPr>
              <w:t>("sexual health"[Title/Abstract]) OR ("</w:t>
            </w:r>
            <w:proofErr w:type="spellStart"/>
            <w:r w:rsidRPr="00285670">
              <w:rPr>
                <w:rFonts w:ascii="Times New Roman" w:hAnsi="Times New Roman" w:cs="Times New Roman"/>
              </w:rPr>
              <w:t>genito-urinary</w:t>
            </w:r>
            <w:proofErr w:type="spellEnd"/>
            <w:r w:rsidRPr="00285670">
              <w:rPr>
                <w:rFonts w:ascii="Times New Roman" w:hAnsi="Times New Roman" w:cs="Times New Roman"/>
              </w:rPr>
              <w:t xml:space="preserve"> medicine"[Title/Abstract])) OR ("genitourinary medicine"[Title/Abstract])) OR (sexual health[</w:t>
            </w:r>
            <w:proofErr w:type="spellStart"/>
            <w:r w:rsidRPr="00285670">
              <w:rPr>
                <w:rFonts w:ascii="Times New Roman" w:hAnsi="Times New Roman" w:cs="Times New Roman"/>
              </w:rPr>
              <w:t>MeSH</w:t>
            </w:r>
            <w:proofErr w:type="spellEnd"/>
            <w:r w:rsidRPr="00285670">
              <w:rPr>
                <w:rFonts w:ascii="Times New Roman" w:hAnsi="Times New Roman" w:cs="Times New Roman"/>
              </w:rPr>
              <w:t xml:space="preserve"> Terms])) AND ((triage[Title/Abstract]) OR (triage[</w:t>
            </w:r>
            <w:proofErr w:type="spellStart"/>
            <w:r w:rsidRPr="00285670">
              <w:rPr>
                <w:rFonts w:ascii="Times New Roman" w:hAnsi="Times New Roman" w:cs="Times New Roman"/>
              </w:rPr>
              <w:t>MeSH</w:t>
            </w:r>
            <w:proofErr w:type="spellEnd"/>
            <w:r w:rsidRPr="00285670">
              <w:rPr>
                <w:rFonts w:ascii="Times New Roman" w:hAnsi="Times New Roman" w:cs="Times New Roman"/>
              </w:rPr>
              <w:t xml:space="preserve"> Terms])</w:t>
            </w:r>
          </w:p>
        </w:tc>
      </w:tr>
    </w:tbl>
    <w:p w14:paraId="536E5753" w14:textId="617F590B" w:rsidR="00285670" w:rsidRPr="005F5991" w:rsidRDefault="00285670" w:rsidP="00345479">
      <w:pPr>
        <w:pStyle w:val="NormalWeb"/>
        <w:jc w:val="both"/>
        <w:rPr>
          <w:i/>
          <w:sz w:val="20"/>
          <w:szCs w:val="20"/>
        </w:rPr>
      </w:pPr>
      <w:r w:rsidRPr="005F5991">
        <w:rPr>
          <w:i/>
          <w:sz w:val="20"/>
          <w:szCs w:val="20"/>
        </w:rPr>
        <w:t>Table 1.</w:t>
      </w:r>
    </w:p>
    <w:p w14:paraId="25CC6D40" w14:textId="5FE24712" w:rsidR="008263E9" w:rsidRDefault="001F5826" w:rsidP="008263E9">
      <w:pPr>
        <w:pStyle w:val="NormalWeb"/>
        <w:jc w:val="both"/>
      </w:pPr>
      <w:r>
        <w:t>The following criteria was applied to</w:t>
      </w:r>
      <w:r w:rsidR="008263E9">
        <w:t xml:space="preserve"> ensure relevant, methodically sound studies were considered as shown in Table </w:t>
      </w:r>
      <w:r w:rsidR="00285670">
        <w:t>2</w:t>
      </w:r>
      <w:r w:rsidR="008263E9">
        <w:t>:</w:t>
      </w:r>
    </w:p>
    <w:p w14:paraId="1DE928BC" w14:textId="77777777" w:rsidR="009D54EF" w:rsidRDefault="009D54EF" w:rsidP="008263E9">
      <w:pPr>
        <w:pStyle w:val="NormalWeb"/>
        <w:jc w:val="both"/>
      </w:pPr>
    </w:p>
    <w:tbl>
      <w:tblPr>
        <w:tblStyle w:val="TableGrid"/>
        <w:tblW w:w="0" w:type="auto"/>
        <w:tblLook w:val="04A0" w:firstRow="1" w:lastRow="0" w:firstColumn="1" w:lastColumn="0" w:noHBand="0" w:noVBand="1"/>
      </w:tblPr>
      <w:tblGrid>
        <w:gridCol w:w="4508"/>
        <w:gridCol w:w="4508"/>
      </w:tblGrid>
      <w:tr w:rsidR="008263E9" w14:paraId="0DFA96F3" w14:textId="77777777" w:rsidTr="003752F0">
        <w:tc>
          <w:tcPr>
            <w:tcW w:w="4508" w:type="dxa"/>
          </w:tcPr>
          <w:p w14:paraId="2E87E9DF" w14:textId="77777777" w:rsidR="008263E9" w:rsidRPr="005C05C0" w:rsidRDefault="008263E9" w:rsidP="003752F0">
            <w:pPr>
              <w:pStyle w:val="NormalWeb"/>
              <w:jc w:val="center"/>
              <w:rPr>
                <w:b/>
                <w:sz w:val="22"/>
                <w:szCs w:val="22"/>
              </w:rPr>
            </w:pPr>
            <w:r w:rsidRPr="005C05C0">
              <w:rPr>
                <w:b/>
                <w:sz w:val="22"/>
                <w:szCs w:val="22"/>
              </w:rPr>
              <w:t>Inclusion</w:t>
            </w:r>
          </w:p>
        </w:tc>
        <w:tc>
          <w:tcPr>
            <w:tcW w:w="4508" w:type="dxa"/>
          </w:tcPr>
          <w:p w14:paraId="2F23DDA4" w14:textId="77777777" w:rsidR="008263E9" w:rsidRPr="005C05C0" w:rsidRDefault="008263E9" w:rsidP="003752F0">
            <w:pPr>
              <w:pStyle w:val="NormalWeb"/>
              <w:jc w:val="center"/>
              <w:rPr>
                <w:b/>
                <w:sz w:val="22"/>
                <w:szCs w:val="22"/>
              </w:rPr>
            </w:pPr>
            <w:r w:rsidRPr="005C05C0">
              <w:rPr>
                <w:b/>
                <w:sz w:val="22"/>
                <w:szCs w:val="22"/>
              </w:rPr>
              <w:t>Exclusion</w:t>
            </w:r>
          </w:p>
        </w:tc>
      </w:tr>
      <w:tr w:rsidR="008263E9" w14:paraId="6F93CE87" w14:textId="77777777" w:rsidTr="003752F0">
        <w:tc>
          <w:tcPr>
            <w:tcW w:w="4508" w:type="dxa"/>
          </w:tcPr>
          <w:p w14:paraId="617DAEDC" w14:textId="77777777" w:rsidR="008263E9" w:rsidRPr="005C05C0" w:rsidRDefault="008263E9" w:rsidP="003752F0">
            <w:pPr>
              <w:pStyle w:val="NormalWeb"/>
              <w:jc w:val="both"/>
              <w:rPr>
                <w:sz w:val="22"/>
                <w:szCs w:val="22"/>
              </w:rPr>
            </w:pPr>
            <w:r w:rsidRPr="005C05C0">
              <w:rPr>
                <w:sz w:val="22"/>
                <w:szCs w:val="22"/>
              </w:rPr>
              <w:t>Full text available</w:t>
            </w:r>
          </w:p>
        </w:tc>
        <w:tc>
          <w:tcPr>
            <w:tcW w:w="4508" w:type="dxa"/>
          </w:tcPr>
          <w:p w14:paraId="2DAA0BCF" w14:textId="77777777" w:rsidR="008263E9" w:rsidRPr="005C05C0" w:rsidRDefault="008263E9" w:rsidP="003752F0">
            <w:pPr>
              <w:pStyle w:val="NormalWeb"/>
              <w:jc w:val="both"/>
              <w:rPr>
                <w:sz w:val="22"/>
                <w:szCs w:val="22"/>
              </w:rPr>
            </w:pPr>
            <w:r w:rsidRPr="005C05C0">
              <w:rPr>
                <w:sz w:val="22"/>
                <w:szCs w:val="22"/>
              </w:rPr>
              <w:t>Opinion sources</w:t>
            </w:r>
          </w:p>
        </w:tc>
      </w:tr>
      <w:tr w:rsidR="008263E9" w14:paraId="591467B1" w14:textId="77777777" w:rsidTr="003752F0">
        <w:tc>
          <w:tcPr>
            <w:tcW w:w="4508" w:type="dxa"/>
          </w:tcPr>
          <w:p w14:paraId="1466F214" w14:textId="77777777" w:rsidR="008263E9" w:rsidRPr="005C05C0" w:rsidRDefault="008263E9" w:rsidP="003752F0">
            <w:pPr>
              <w:pStyle w:val="NormalWeb"/>
              <w:jc w:val="both"/>
              <w:rPr>
                <w:sz w:val="22"/>
                <w:szCs w:val="22"/>
              </w:rPr>
            </w:pPr>
            <w:r w:rsidRPr="005C05C0">
              <w:rPr>
                <w:sz w:val="22"/>
                <w:szCs w:val="22"/>
              </w:rPr>
              <w:t>Peer reviewed</w:t>
            </w:r>
          </w:p>
        </w:tc>
        <w:tc>
          <w:tcPr>
            <w:tcW w:w="4508" w:type="dxa"/>
          </w:tcPr>
          <w:p w14:paraId="4C61A56F" w14:textId="77777777" w:rsidR="008263E9" w:rsidRPr="005C05C0" w:rsidRDefault="008263E9" w:rsidP="003752F0">
            <w:pPr>
              <w:pStyle w:val="NormalWeb"/>
              <w:jc w:val="both"/>
              <w:rPr>
                <w:sz w:val="22"/>
                <w:szCs w:val="22"/>
              </w:rPr>
            </w:pPr>
            <w:r w:rsidRPr="005C05C0">
              <w:rPr>
                <w:sz w:val="22"/>
                <w:szCs w:val="22"/>
              </w:rPr>
              <w:t>Non-English Publication</w:t>
            </w:r>
          </w:p>
        </w:tc>
      </w:tr>
      <w:tr w:rsidR="008263E9" w14:paraId="09B74E9F" w14:textId="77777777" w:rsidTr="003752F0">
        <w:tc>
          <w:tcPr>
            <w:tcW w:w="4508" w:type="dxa"/>
          </w:tcPr>
          <w:p w14:paraId="7EDADF5E" w14:textId="77777777" w:rsidR="008263E9" w:rsidRPr="005C05C0" w:rsidRDefault="008263E9" w:rsidP="003752F0">
            <w:pPr>
              <w:pStyle w:val="NormalWeb"/>
              <w:jc w:val="both"/>
              <w:rPr>
                <w:sz w:val="22"/>
                <w:szCs w:val="22"/>
              </w:rPr>
            </w:pPr>
            <w:r w:rsidRPr="005C05C0">
              <w:rPr>
                <w:sz w:val="22"/>
                <w:szCs w:val="22"/>
              </w:rPr>
              <w:t>English language publication</w:t>
            </w:r>
          </w:p>
        </w:tc>
        <w:tc>
          <w:tcPr>
            <w:tcW w:w="4508" w:type="dxa"/>
          </w:tcPr>
          <w:p w14:paraId="2DB812D5" w14:textId="77777777" w:rsidR="008263E9" w:rsidRPr="005C05C0" w:rsidRDefault="008263E9" w:rsidP="003752F0">
            <w:pPr>
              <w:pStyle w:val="NormalWeb"/>
              <w:jc w:val="both"/>
              <w:rPr>
                <w:sz w:val="22"/>
                <w:szCs w:val="22"/>
              </w:rPr>
            </w:pPr>
            <w:r w:rsidRPr="005C05C0">
              <w:rPr>
                <w:sz w:val="22"/>
                <w:szCs w:val="22"/>
              </w:rPr>
              <w:t>Non Full Text</w:t>
            </w:r>
          </w:p>
        </w:tc>
      </w:tr>
      <w:tr w:rsidR="008263E9" w14:paraId="0D6B0613" w14:textId="77777777" w:rsidTr="003752F0">
        <w:tc>
          <w:tcPr>
            <w:tcW w:w="4508" w:type="dxa"/>
          </w:tcPr>
          <w:p w14:paraId="584FEA0D" w14:textId="77777777" w:rsidR="008263E9" w:rsidRPr="005C05C0" w:rsidRDefault="008263E9" w:rsidP="003752F0">
            <w:pPr>
              <w:pStyle w:val="NormalWeb"/>
              <w:jc w:val="both"/>
              <w:rPr>
                <w:sz w:val="22"/>
                <w:szCs w:val="22"/>
              </w:rPr>
            </w:pPr>
            <w:r w:rsidRPr="005C05C0">
              <w:rPr>
                <w:sz w:val="22"/>
                <w:szCs w:val="22"/>
              </w:rPr>
              <w:t>Published in the last 10 years</w:t>
            </w:r>
          </w:p>
        </w:tc>
        <w:tc>
          <w:tcPr>
            <w:tcW w:w="4508" w:type="dxa"/>
          </w:tcPr>
          <w:p w14:paraId="0CD2C8B9" w14:textId="77777777" w:rsidR="008263E9" w:rsidRPr="005C05C0" w:rsidRDefault="008263E9" w:rsidP="003752F0">
            <w:pPr>
              <w:spacing w:before="100" w:beforeAutospacing="1" w:after="100" w:afterAutospacing="1"/>
            </w:pPr>
            <w:r w:rsidRPr="005C05C0">
              <w:rPr>
                <w:rFonts w:ascii="Times New Roman" w:eastAsia="Times New Roman" w:hAnsi="Times New Roman" w:cs="Times New Roman"/>
                <w:lang w:eastAsia="en-GB"/>
              </w:rPr>
              <w:t xml:space="preserve">Decision aids not related to triage </w:t>
            </w:r>
          </w:p>
        </w:tc>
      </w:tr>
      <w:tr w:rsidR="008263E9" w14:paraId="7E89437A" w14:textId="77777777" w:rsidTr="003752F0">
        <w:tc>
          <w:tcPr>
            <w:tcW w:w="4508" w:type="dxa"/>
          </w:tcPr>
          <w:p w14:paraId="5DD4C877" w14:textId="77777777" w:rsidR="008263E9" w:rsidRPr="005C05C0" w:rsidRDefault="008263E9" w:rsidP="003752F0">
            <w:pPr>
              <w:pStyle w:val="NormalWeb"/>
              <w:jc w:val="both"/>
              <w:rPr>
                <w:sz w:val="22"/>
                <w:szCs w:val="22"/>
              </w:rPr>
            </w:pPr>
            <w:r w:rsidRPr="005C05C0">
              <w:rPr>
                <w:sz w:val="22"/>
                <w:szCs w:val="22"/>
              </w:rPr>
              <w:t>Settings analogous to sexual health e.g. emergency department</w:t>
            </w:r>
          </w:p>
        </w:tc>
        <w:tc>
          <w:tcPr>
            <w:tcW w:w="4508" w:type="dxa"/>
          </w:tcPr>
          <w:p w14:paraId="471B5499" w14:textId="77777777" w:rsidR="008263E9" w:rsidRPr="005C05C0" w:rsidRDefault="008263E9" w:rsidP="005C05C0">
            <w:pPr>
              <w:spacing w:before="100" w:beforeAutospacing="1" w:after="100" w:afterAutospacing="1"/>
            </w:pPr>
            <w:r w:rsidRPr="005C05C0">
              <w:rPr>
                <w:rFonts w:ascii="Times New Roman" w:eastAsia="Times New Roman" w:hAnsi="Times New Roman" w:cs="Times New Roman"/>
                <w:lang w:eastAsia="en-GB"/>
              </w:rPr>
              <w:t>Non-healthcare contexts</w:t>
            </w:r>
          </w:p>
        </w:tc>
      </w:tr>
    </w:tbl>
    <w:p w14:paraId="126DA959" w14:textId="46A582DD" w:rsidR="00285670" w:rsidRPr="005F5991" w:rsidRDefault="00285670" w:rsidP="008263E9">
      <w:pPr>
        <w:pStyle w:val="NormalWeb"/>
        <w:jc w:val="both"/>
        <w:rPr>
          <w:i/>
          <w:sz w:val="20"/>
          <w:szCs w:val="20"/>
        </w:rPr>
      </w:pPr>
      <w:r w:rsidRPr="005F5991">
        <w:rPr>
          <w:i/>
          <w:sz w:val="20"/>
          <w:szCs w:val="20"/>
        </w:rPr>
        <w:t>Table 2.</w:t>
      </w:r>
    </w:p>
    <w:p w14:paraId="569A3246" w14:textId="74878709" w:rsidR="00D52730" w:rsidRDefault="00D52730" w:rsidP="008263E9">
      <w:pPr>
        <w:pStyle w:val="NormalWeb"/>
        <w:jc w:val="both"/>
        <w:rPr>
          <w:i/>
        </w:rPr>
      </w:pPr>
    </w:p>
    <w:p w14:paraId="44BBA843" w14:textId="0E7AA737" w:rsidR="008263E9" w:rsidRPr="003D3C55" w:rsidRDefault="008263E9" w:rsidP="008263E9">
      <w:pPr>
        <w:pStyle w:val="NormalWeb"/>
        <w:jc w:val="both"/>
        <w:rPr>
          <w:b/>
          <w:sz w:val="28"/>
          <w:szCs w:val="28"/>
        </w:rPr>
      </w:pPr>
      <w:r w:rsidRPr="003D3C55">
        <w:rPr>
          <w:b/>
          <w:sz w:val="28"/>
          <w:szCs w:val="28"/>
        </w:rPr>
        <w:t>Results</w:t>
      </w:r>
    </w:p>
    <w:p w14:paraId="6E32DF4A" w14:textId="5D4D3D02" w:rsidR="008263E9" w:rsidRPr="00973007" w:rsidRDefault="008263E9" w:rsidP="008263E9">
      <w:pPr>
        <w:pStyle w:val="NormalWeb"/>
        <w:jc w:val="both"/>
      </w:pPr>
      <w:r w:rsidRPr="00973007">
        <w:t xml:space="preserve">Literature was initially screened based on title and abstract relevance. Full text articles were then reviewed to </w:t>
      </w:r>
      <w:r w:rsidR="00346CC1">
        <w:t>ensure they met</w:t>
      </w:r>
      <w:r w:rsidRPr="00973007">
        <w:t xml:space="preserve"> the search criteria. This approach </w:t>
      </w:r>
      <w:r w:rsidR="001F5826">
        <w:t xml:space="preserve">then </w:t>
      </w:r>
      <w:bookmarkStart w:id="0" w:name="_GoBack"/>
      <w:bookmarkEnd w:id="0"/>
      <w:r w:rsidRPr="00973007">
        <w:t xml:space="preserve">informed the later discussion of the literature. </w:t>
      </w:r>
    </w:p>
    <w:p w14:paraId="30AD08A1" w14:textId="037E171B" w:rsidR="008263E9" w:rsidRDefault="009D54EF" w:rsidP="008263E9">
      <w:pPr>
        <w:pStyle w:val="NormalWeb"/>
        <w:jc w:val="both"/>
      </w:pPr>
      <w:r>
        <w:t xml:space="preserve">Figure </w:t>
      </w:r>
      <w:r w:rsidR="005F5991">
        <w:t>3</w:t>
      </w:r>
      <w:r w:rsidR="008263E9" w:rsidRPr="00973007">
        <w:t xml:space="preserve"> utilises the PRISMA model (Page et al 2020) to outline the systematic selec</w:t>
      </w:r>
      <w:r w:rsidR="00EE5C35">
        <w:t>tion of literature</w:t>
      </w:r>
      <w:r w:rsidR="008263E9" w:rsidRPr="00973007">
        <w:t>.</w:t>
      </w:r>
    </w:p>
    <w:p w14:paraId="646F73A5" w14:textId="3A932F77" w:rsidR="002C5A84" w:rsidRDefault="002C5A84" w:rsidP="003D44F6">
      <w:pPr>
        <w:pStyle w:val="NormalWeb"/>
        <w:jc w:val="center"/>
      </w:pPr>
    </w:p>
    <w:p w14:paraId="1CC33E32" w14:textId="2575D2F8" w:rsidR="002C5A84" w:rsidRDefault="002C5A84" w:rsidP="008263E9">
      <w:pPr>
        <w:pStyle w:val="NormalWeb"/>
        <w:jc w:val="both"/>
      </w:pPr>
    </w:p>
    <w:p w14:paraId="342B2D31" w14:textId="77717402" w:rsidR="00E66B34" w:rsidRDefault="00E66B34" w:rsidP="008263E9">
      <w:pPr>
        <w:pStyle w:val="NormalWeb"/>
        <w:jc w:val="both"/>
      </w:pPr>
    </w:p>
    <w:p w14:paraId="552C3E7C" w14:textId="77777777" w:rsidR="005F5991" w:rsidRDefault="005F5991" w:rsidP="005F5991">
      <w:pPr>
        <w:pStyle w:val="NormalWeb"/>
        <w:jc w:val="both"/>
        <w:rPr>
          <w:bCs/>
          <w:i/>
        </w:rPr>
      </w:pPr>
      <w:r w:rsidRPr="005F5991">
        <w:rPr>
          <w:noProof/>
        </w:rPr>
        <w:lastRenderedPageBreak/>
        <w:drawing>
          <wp:inline distT="0" distB="0" distL="0" distR="0" wp14:anchorId="1164D8C2" wp14:editId="69716583">
            <wp:extent cx="8376346" cy="4855423"/>
            <wp:effectExtent l="793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8428011" cy="4885371"/>
                    </a:xfrm>
                    <a:prstGeom prst="rect">
                      <a:avLst/>
                    </a:prstGeom>
                  </pic:spPr>
                </pic:pic>
              </a:graphicData>
            </a:graphic>
          </wp:inline>
        </w:drawing>
      </w:r>
    </w:p>
    <w:p w14:paraId="5E07AE35" w14:textId="6990BF0D" w:rsidR="003D44F6" w:rsidRPr="005F5991" w:rsidRDefault="005F5991" w:rsidP="005F5991">
      <w:pPr>
        <w:pStyle w:val="NormalWeb"/>
        <w:jc w:val="both"/>
        <w:rPr>
          <w:bCs/>
          <w:i/>
          <w:sz w:val="20"/>
          <w:szCs w:val="20"/>
        </w:rPr>
      </w:pPr>
      <w:r w:rsidRPr="005F5991">
        <w:rPr>
          <w:bCs/>
          <w:i/>
          <w:sz w:val="20"/>
          <w:szCs w:val="20"/>
        </w:rPr>
        <w:t>F</w:t>
      </w:r>
      <w:r w:rsidR="003D44F6" w:rsidRPr="005F5991">
        <w:rPr>
          <w:bCs/>
          <w:i/>
          <w:sz w:val="20"/>
          <w:szCs w:val="20"/>
        </w:rPr>
        <w:t xml:space="preserve">igure </w:t>
      </w:r>
      <w:r>
        <w:rPr>
          <w:bCs/>
          <w:i/>
          <w:sz w:val="20"/>
          <w:szCs w:val="20"/>
        </w:rPr>
        <w:t>3</w:t>
      </w:r>
      <w:r w:rsidR="003D44F6" w:rsidRPr="005F5991">
        <w:rPr>
          <w:bCs/>
          <w:i/>
          <w:sz w:val="20"/>
          <w:szCs w:val="20"/>
        </w:rPr>
        <w:t>.</w:t>
      </w:r>
      <w:r w:rsidR="009F5AA4" w:rsidRPr="005F5991">
        <w:rPr>
          <w:bCs/>
          <w:i/>
          <w:sz w:val="20"/>
          <w:szCs w:val="20"/>
        </w:rPr>
        <w:t xml:space="preserve"> </w:t>
      </w:r>
      <w:proofErr w:type="spellStart"/>
      <w:r w:rsidRPr="005F5991">
        <w:rPr>
          <w:bCs/>
          <w:i/>
          <w:sz w:val="20"/>
          <w:szCs w:val="20"/>
        </w:rPr>
        <w:t>P</w:t>
      </w:r>
      <w:r w:rsidR="009F5AA4" w:rsidRPr="005F5991">
        <w:rPr>
          <w:bCs/>
          <w:i/>
          <w:sz w:val="20"/>
          <w:szCs w:val="20"/>
        </w:rPr>
        <w:t>risma</w:t>
      </w:r>
      <w:proofErr w:type="spellEnd"/>
      <w:r w:rsidR="009F5AA4" w:rsidRPr="005F5991">
        <w:rPr>
          <w:bCs/>
          <w:i/>
          <w:sz w:val="20"/>
          <w:szCs w:val="20"/>
        </w:rPr>
        <w:t xml:space="preserve"> Diagram</w:t>
      </w:r>
    </w:p>
    <w:p w14:paraId="6059A55D" w14:textId="49FBCB0A" w:rsidR="008263E9" w:rsidRDefault="003D3C55" w:rsidP="008263E9">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lastRenderedPageBreak/>
        <w:t xml:space="preserve">Findings </w:t>
      </w:r>
    </w:p>
    <w:p w14:paraId="37BF1D12" w14:textId="412864E0" w:rsidR="001F7B0B" w:rsidRPr="001F7B0B" w:rsidRDefault="00AE1AF1" w:rsidP="001F7B0B">
      <w:pPr>
        <w:spacing w:line="300" w:lineRule="atLeast"/>
        <w:jc w:val="both"/>
        <w:rPr>
          <w:rFonts w:ascii="Times New Roman" w:hAnsi="Times New Roman" w:cs="Times New Roman"/>
          <w:sz w:val="24"/>
          <w:szCs w:val="24"/>
        </w:rPr>
      </w:pPr>
      <w:r w:rsidRPr="001F7B0B">
        <w:rPr>
          <w:rFonts w:ascii="Times New Roman" w:hAnsi="Times New Roman" w:cs="Times New Roman"/>
          <w:sz w:val="24"/>
          <w:szCs w:val="24"/>
        </w:rPr>
        <w:t>A search of grey literature and academic databases identified different types of evidence. The grey literature, published within the past six years, was produced in response to the COVID-19 pandemic and the rapid a</w:t>
      </w:r>
      <w:r w:rsidR="00591EEB" w:rsidRPr="001F7B0B">
        <w:rPr>
          <w:rFonts w:ascii="Times New Roman" w:hAnsi="Times New Roman" w:cs="Times New Roman"/>
          <w:sz w:val="24"/>
          <w:szCs w:val="24"/>
        </w:rPr>
        <w:t>ccele</w:t>
      </w:r>
      <w:r w:rsidRPr="001F7B0B">
        <w:rPr>
          <w:rFonts w:ascii="Times New Roman" w:hAnsi="Times New Roman" w:cs="Times New Roman"/>
          <w:sz w:val="24"/>
          <w:szCs w:val="24"/>
        </w:rPr>
        <w:t>ration of remote working.</w:t>
      </w:r>
      <w:r w:rsidR="00F87479">
        <w:rPr>
          <w:rFonts w:ascii="Times New Roman" w:hAnsi="Times New Roman" w:cs="Times New Roman"/>
          <w:sz w:val="24"/>
          <w:szCs w:val="24"/>
        </w:rPr>
        <w:t xml:space="preserve"> In these sources, DT</w:t>
      </w:r>
      <w:r w:rsidRPr="001F7B0B">
        <w:rPr>
          <w:rFonts w:ascii="Times New Roman" w:hAnsi="Times New Roman" w:cs="Times New Roman"/>
          <w:sz w:val="24"/>
          <w:szCs w:val="24"/>
        </w:rPr>
        <w:t xml:space="preserve"> is described not only as a technical tool but as part of </w:t>
      </w:r>
      <w:r w:rsidR="00591EEB" w:rsidRPr="001F7B0B">
        <w:rPr>
          <w:rFonts w:ascii="Times New Roman" w:hAnsi="Times New Roman" w:cs="Times New Roman"/>
          <w:sz w:val="24"/>
          <w:szCs w:val="24"/>
        </w:rPr>
        <w:t>wider</w:t>
      </w:r>
      <w:r w:rsidRPr="001F7B0B">
        <w:rPr>
          <w:rFonts w:ascii="Times New Roman" w:hAnsi="Times New Roman" w:cs="Times New Roman"/>
          <w:sz w:val="24"/>
          <w:szCs w:val="24"/>
        </w:rPr>
        <w:t xml:space="preserve"> discussions about access to care. The focus is on practice and policy during periods of restricted face-to-face contact, </w:t>
      </w:r>
      <w:r w:rsidR="00346CC1">
        <w:rPr>
          <w:rFonts w:ascii="Times New Roman" w:hAnsi="Times New Roman" w:cs="Times New Roman"/>
          <w:sz w:val="24"/>
          <w:szCs w:val="24"/>
        </w:rPr>
        <w:t>and themes included</w:t>
      </w:r>
      <w:r w:rsidRPr="001F7B0B">
        <w:rPr>
          <w:rFonts w:ascii="Times New Roman" w:hAnsi="Times New Roman" w:cs="Times New Roman"/>
          <w:sz w:val="24"/>
          <w:szCs w:val="24"/>
        </w:rPr>
        <w:t xml:space="preserve"> service continuity, safeguarding ada</w:t>
      </w:r>
      <w:r w:rsidR="00346CC1">
        <w:rPr>
          <w:rFonts w:ascii="Times New Roman" w:hAnsi="Times New Roman" w:cs="Times New Roman"/>
          <w:sz w:val="24"/>
          <w:szCs w:val="24"/>
        </w:rPr>
        <w:t>ptations, governance frameworks</w:t>
      </w:r>
      <w:r w:rsidRPr="001F7B0B">
        <w:rPr>
          <w:rFonts w:ascii="Times New Roman" w:hAnsi="Times New Roman" w:cs="Times New Roman"/>
          <w:sz w:val="24"/>
          <w:szCs w:val="24"/>
        </w:rPr>
        <w:t xml:space="preserve"> and the expansion of digital pathways.</w:t>
      </w:r>
      <w:r w:rsidR="001F7B0B" w:rsidRPr="001F7B0B">
        <w:rPr>
          <w:rFonts w:ascii="Times New Roman" w:hAnsi="Times New Roman" w:cs="Times New Roman"/>
          <w:sz w:val="24"/>
          <w:szCs w:val="24"/>
        </w:rPr>
        <w:t xml:space="preserve"> However, much of this literature is context-dependent. It reflects emergency conditions, workforce shortages and rapid implementation, which may limit how it applies to routine, post-pandemic sexual health services. </w:t>
      </w:r>
      <w:r w:rsidR="001F7B0B" w:rsidRPr="001F7B0B">
        <w:rPr>
          <w:rFonts w:ascii="Times New Roman" w:eastAsia="Times New Roman" w:hAnsi="Times New Roman" w:cs="Times New Roman"/>
          <w:sz w:val="24"/>
          <w:szCs w:val="24"/>
          <w:lang w:eastAsia="en-GB"/>
        </w:rPr>
        <w:t xml:space="preserve">As a result, professional guidance developed during this period may prioritise what was immediately achievable and sustainable rather than focusing on </w:t>
      </w:r>
      <w:r w:rsidR="00CA0092">
        <w:rPr>
          <w:rFonts w:ascii="Times New Roman" w:eastAsia="Times New Roman" w:hAnsi="Times New Roman" w:cs="Times New Roman"/>
          <w:sz w:val="24"/>
          <w:szCs w:val="24"/>
          <w:lang w:eastAsia="en-GB"/>
        </w:rPr>
        <w:t xml:space="preserve">longer-term </w:t>
      </w:r>
      <w:r w:rsidR="001F7B0B" w:rsidRPr="001F7B0B">
        <w:rPr>
          <w:rFonts w:ascii="Times New Roman" w:eastAsia="Times New Roman" w:hAnsi="Times New Roman" w:cs="Times New Roman"/>
          <w:sz w:val="24"/>
          <w:szCs w:val="24"/>
          <w:lang w:eastAsia="en-GB"/>
        </w:rPr>
        <w:t>goals.</w:t>
      </w:r>
    </w:p>
    <w:p w14:paraId="0DFAB712" w14:textId="0D8F50C3" w:rsidR="00AE1AF1" w:rsidRDefault="00AE1AF1" w:rsidP="001F7B0B">
      <w:pPr>
        <w:pStyle w:val="NormalWeb"/>
        <w:jc w:val="both"/>
      </w:pPr>
      <w:r>
        <w:t>In contrast, the peer-reviewed literature approaches digital triage differently, examining its use in settings such as em</w:t>
      </w:r>
      <w:r w:rsidR="004E7EE1">
        <w:t>ergency departments</w:t>
      </w:r>
      <w:r w:rsidR="00591EEB">
        <w:t xml:space="preserve"> and</w:t>
      </w:r>
      <w:r>
        <w:t xml:space="preserve"> primary c</w:t>
      </w:r>
      <w:r w:rsidR="00591EEB">
        <w:t>are</w:t>
      </w:r>
      <w:r>
        <w:t>. These studies focus on technical performance, agreement with clinician decision-making, service utilisation and user satisfaction (</w:t>
      </w:r>
      <w:proofErr w:type="spellStart"/>
      <w:r>
        <w:t>Paule</w:t>
      </w:r>
      <w:proofErr w:type="spellEnd"/>
      <w:r>
        <w:t xml:space="preserve"> et al 202</w:t>
      </w:r>
      <w:r w:rsidR="00591EEB">
        <w:t xml:space="preserve">5; </w:t>
      </w:r>
      <w:proofErr w:type="spellStart"/>
      <w:r w:rsidR="00591EEB">
        <w:t>Ziebarte</w:t>
      </w:r>
      <w:proofErr w:type="spellEnd"/>
      <w:r w:rsidR="00591EEB">
        <w:t xml:space="preserve"> et al 2023). Importantly</w:t>
      </w:r>
      <w:r>
        <w:t>, none of the identified studies were specific to sexual health services, and few addressed safeguarding, stigma</w:t>
      </w:r>
      <w:r w:rsidR="004E7EE1">
        <w:t>, or the complex social issues</w:t>
      </w:r>
      <w:r>
        <w:t xml:space="preserve"> central to sexual health </w:t>
      </w:r>
      <w:r w:rsidR="004E7EE1">
        <w:t>services</w:t>
      </w:r>
      <w:r>
        <w:t>.</w:t>
      </w:r>
      <w:r w:rsidR="001F7B0B">
        <w:t xml:space="preserve"> Many studies were conducted outside the UK, which limits their applicability to the NHS. In the NHS, care pathways, professio</w:t>
      </w:r>
      <w:r w:rsidR="004E7EE1">
        <w:t>nal roles, legal duties</w:t>
      </w:r>
      <w:r w:rsidR="001F7B0B">
        <w:t xml:space="preserve"> and safeguarding responsibilities differ from those in international health systems.</w:t>
      </w:r>
    </w:p>
    <w:p w14:paraId="3DA607A3" w14:textId="03C9F13B" w:rsidR="00593248" w:rsidRPr="00593248" w:rsidRDefault="00593248" w:rsidP="00A31EA3">
      <w:pPr>
        <w:pStyle w:val="NormalWeb"/>
        <w:jc w:val="both"/>
        <w:rPr>
          <w:b/>
        </w:rPr>
      </w:pPr>
      <w:r w:rsidRPr="00593248">
        <w:rPr>
          <w:b/>
        </w:rPr>
        <w:t>Safety</w:t>
      </w:r>
      <w:r w:rsidR="0009704E">
        <w:rPr>
          <w:b/>
        </w:rPr>
        <w:t xml:space="preserve"> and Accuracy</w:t>
      </w:r>
    </w:p>
    <w:p w14:paraId="608BA760" w14:textId="1FB01806" w:rsidR="00B04AC5" w:rsidRDefault="006E5182" w:rsidP="001F7B0B">
      <w:pPr>
        <w:pStyle w:val="NormalWeb"/>
        <w:jc w:val="both"/>
      </w:pPr>
      <w:r>
        <w:t xml:space="preserve">Systematic reviews of digital telephone triage, such as that by Sexton et al (2025), demonstrates that digital support systems can be helpful when making service utilisation or ‘routing’ decisions, but concludes that evidence on clinical outcomes and safety is limited. </w:t>
      </w:r>
    </w:p>
    <w:p w14:paraId="20AC8581" w14:textId="63FDBE91" w:rsidR="008C7F05" w:rsidRDefault="006E5182" w:rsidP="001F7B0B">
      <w:pPr>
        <w:pStyle w:val="NormalWeb"/>
        <w:jc w:val="both"/>
      </w:pPr>
      <w:r>
        <w:t>These reviews highlight the risk of ‘over-triage’ (for example, sending a person for urgent care when it is not needed), or ‘under-triage’ (failing to recognise when a person requires urgent care).</w:t>
      </w:r>
      <w:r w:rsidR="008C7F05" w:rsidRPr="008C7F05">
        <w:t xml:space="preserve"> </w:t>
      </w:r>
      <w:r w:rsidR="008C7F05">
        <w:t>For example, Levine et al (2024) showed that an AI system sometimes failed to recognise urgent cases, even though it appeared efficient at identifying diagnoses. Similarly, Liu et al (2024) found that ‘</w:t>
      </w:r>
      <w:proofErr w:type="spellStart"/>
      <w:r w:rsidR="008C7F05">
        <w:t>ChatGPT</w:t>
      </w:r>
      <w:proofErr w:type="spellEnd"/>
      <w:r w:rsidR="008C7F05">
        <w:t>’ (an AI tool) often gave the same triage advice as clinicians, but the study did not examine whether this advice was safe or whether important contextual risks were missed.</w:t>
      </w:r>
      <w:r w:rsidR="001F7B0B">
        <w:t xml:space="preserve"> In addition, some AI studies are produced in collaboration with technology </w:t>
      </w:r>
      <w:r w:rsidR="00A623C2">
        <w:t>developers, which may lead to bias. Positive outcomes may be exaggerated or the scrutiny of possible harm/poorer outcomes may be limited.</w:t>
      </w:r>
    </w:p>
    <w:p w14:paraId="419660DE" w14:textId="4269BE40" w:rsidR="006E5182" w:rsidRDefault="006E5182" w:rsidP="00A31EA3">
      <w:pPr>
        <w:pStyle w:val="NormalWeb"/>
        <w:jc w:val="both"/>
      </w:pPr>
      <w:r>
        <w:t>A major limitation of these reviews is that they fail to examine the complexities associated with the social context of a person, and instead see the patient as a list of symp</w:t>
      </w:r>
      <w:r w:rsidR="00A31EA3">
        <w:t>toms. In sexual health settings this is an important aspect of triage. If a young person (&lt;18 years old) completes an online tool with the symptoms of ‘abdominal pain and irregular bleeding’, the tool may classify this as a non-urgent appointment. However, this person may be experiencing abuse or pregnancy risk that a clinician would likely exp</w:t>
      </w:r>
      <w:r w:rsidR="00F87479">
        <w:t>lore. Most of the DT</w:t>
      </w:r>
      <w:r w:rsidR="00A31EA3">
        <w:t xml:space="preserve"> studies reviewed do not assess whether these tools can reliably detect or respond to contextual risk.</w:t>
      </w:r>
    </w:p>
    <w:p w14:paraId="4AFCDECF" w14:textId="27E02518" w:rsidR="00F334CD" w:rsidRDefault="00F334CD" w:rsidP="00A31EA3">
      <w:pPr>
        <w:pStyle w:val="NormalWeb"/>
        <w:jc w:val="both"/>
      </w:pPr>
      <w:r>
        <w:t>Lindner and Ravioli (2025) show that an AI-based triage system can both over and under-triage when compared with the ‘Manchester Triage System (MTS)’. This highl</w:t>
      </w:r>
      <w:r w:rsidR="004E7EE1">
        <w:t>ights that even ‘</w:t>
      </w:r>
      <w:r>
        <w:t xml:space="preserve">gold </w:t>
      </w:r>
      <w:r w:rsidR="004E7EE1">
        <w:lastRenderedPageBreak/>
        <w:t>standards’</w:t>
      </w:r>
      <w:r>
        <w:t xml:space="preserve"> are subjective </w:t>
      </w:r>
      <w:r w:rsidR="004E7EE1">
        <w:t xml:space="preserve">and depend on context. This is </w:t>
      </w:r>
      <w:r>
        <w:t>important for sexual health, where generic triage scales are unlikely to be sufficient and where assessment needs to be consistent with existing standards such as HIV PEP (post-exposure prophylaxi</w:t>
      </w:r>
      <w:r w:rsidR="004E7EE1">
        <w:t xml:space="preserve">s) eligibility, pregnancy risk </w:t>
      </w:r>
      <w:r>
        <w:t xml:space="preserve">and safeguarding guidelines. In contrast, the prediction modelling approach described by Li et al (2025), although focused on acute abdominal pain, shows the value of using structured, prospectively collected variables and models that can be validated and calibrated. </w:t>
      </w:r>
      <w:r w:rsidR="00F608F5">
        <w:t xml:space="preserve">This may offer a safer alternative to fully automated AI systems. </w:t>
      </w:r>
      <w:r>
        <w:t xml:space="preserve">For sexual health settings this would mean capturing </w:t>
      </w:r>
      <w:r w:rsidR="004E7EE1">
        <w:t>important</w:t>
      </w:r>
      <w:r>
        <w:t xml:space="preserve"> information such as menstrual history, pregnancy risk, timing of exposure, HIV risk windows, assault disclosure and red-flag symptoms, while allowing options that still protect patient safety.</w:t>
      </w:r>
    </w:p>
    <w:p w14:paraId="39E4E1F7" w14:textId="5DD5C310" w:rsidR="00BB0E77" w:rsidRDefault="00BB0E77" w:rsidP="00A31EA3">
      <w:pPr>
        <w:pStyle w:val="NormalWeb"/>
        <w:jc w:val="both"/>
      </w:pPr>
      <w:r>
        <w:t xml:space="preserve">While grey literature reflects the lived realities, regulatory concerns and ethical </w:t>
      </w:r>
      <w:r w:rsidR="00EE5C35">
        <w:t>issues</w:t>
      </w:r>
      <w:r>
        <w:t xml:space="preserve"> of implementing digital triage in </w:t>
      </w:r>
      <w:r w:rsidR="004E7EE1">
        <w:t>healthcare</w:t>
      </w:r>
      <w:r w:rsidR="008C7F05">
        <w:t xml:space="preserve">, </w:t>
      </w:r>
      <w:r>
        <w:t xml:space="preserve">the academic literature has </w:t>
      </w:r>
      <w:r w:rsidR="008C7F05">
        <w:t>mainly</w:t>
      </w:r>
      <w:r w:rsidR="00F87479">
        <w:t xml:space="preserve"> evaluated DT</w:t>
      </w:r>
      <w:r>
        <w:t xml:space="preserve"> in </w:t>
      </w:r>
      <w:r w:rsidR="008C7F05">
        <w:t>areas</w:t>
      </w:r>
      <w:r>
        <w:t xml:space="preserve"> where risk is more easily standardised</w:t>
      </w:r>
      <w:r w:rsidR="008C7F05">
        <w:t>.</w:t>
      </w:r>
      <w:r>
        <w:t xml:space="preserve"> </w:t>
      </w:r>
      <w:r w:rsidR="00D1321E">
        <w:t>This reveals</w:t>
      </w:r>
      <w:r w:rsidR="00F334CD">
        <w:t xml:space="preserve"> a gap in the evidence. </w:t>
      </w:r>
      <w:r>
        <w:t>The absence of sexual health</w:t>
      </w:r>
      <w:r w:rsidR="008C7F05">
        <w:t xml:space="preserve"> </w:t>
      </w:r>
      <w:r>
        <w:t xml:space="preserve">specific studies in the database literature limits the transferability of its findings and </w:t>
      </w:r>
      <w:r w:rsidR="008C7F05">
        <w:t>highlights</w:t>
      </w:r>
      <w:r>
        <w:t xml:space="preserve"> the need for research that </w:t>
      </w:r>
      <w:r w:rsidR="004E7EE1">
        <w:t>examines</w:t>
      </w:r>
      <w:r>
        <w:t xml:space="preserve"> the unique clinical, ethical and safeguard</w:t>
      </w:r>
      <w:r w:rsidR="00F87479">
        <w:t>ing challenges of DT</w:t>
      </w:r>
      <w:r>
        <w:t xml:space="preserve"> in sexual health settings.</w:t>
      </w:r>
      <w:r w:rsidR="00F608F5" w:rsidRPr="00F608F5">
        <w:t xml:space="preserve"> </w:t>
      </w:r>
      <w:r w:rsidR="00F608F5">
        <w:t>This gap also raises the qu</w:t>
      </w:r>
      <w:r w:rsidR="00F87479">
        <w:t>estion of whether DT</w:t>
      </w:r>
      <w:r w:rsidR="00F608F5">
        <w:t xml:space="preserve"> offers adequate benefit over alternatives, such as enhanced nurse-led triage, improved appointment scheduling, or hybrid models that combine digital technology with clinician contact.</w:t>
      </w:r>
    </w:p>
    <w:p w14:paraId="0F7C69AF" w14:textId="285D15B6" w:rsidR="00A95849" w:rsidRDefault="00E21434" w:rsidP="00A95849">
      <w:pPr>
        <w:pStyle w:val="NormalWeb"/>
        <w:jc w:val="both"/>
      </w:pPr>
      <w:r>
        <w:t xml:space="preserve">The literature from UK professional bodies consistently emphasises the complexity of safeguarding in triage. The BASHH/FSRH </w:t>
      </w:r>
      <w:r w:rsidR="00A95849">
        <w:t>‘S</w:t>
      </w:r>
      <w:r>
        <w:t>tandards for online and remote SRH providers</w:t>
      </w:r>
      <w:r w:rsidR="00A95849">
        <w:t>’ (2020)</w:t>
      </w:r>
      <w:r>
        <w:t xml:space="preserve"> stress that triage systems must address </w:t>
      </w:r>
      <w:r w:rsidR="00A95849">
        <w:t>safeguarding, consent and confidentiality. Similarly, the Office for Health Improvement and Disparities</w:t>
      </w:r>
      <w:r w:rsidR="006F2DD6">
        <w:t xml:space="preserve"> (OHID)</w:t>
      </w:r>
      <w:r w:rsidR="00A95849">
        <w:t xml:space="preserve"> ‘Integrated Sexual Health Service Specification’</w:t>
      </w:r>
      <w:r w:rsidR="00FF7164">
        <w:t xml:space="preserve"> </w:t>
      </w:r>
      <w:r w:rsidR="00A95849">
        <w:t xml:space="preserve">(2023) describes digital access to be part of a </w:t>
      </w:r>
      <w:r w:rsidR="00591EEB">
        <w:t>wider</w:t>
      </w:r>
      <w:r w:rsidR="00A95849">
        <w:t xml:space="preserve"> system that must maintain equity, safety and continuity of care.</w:t>
      </w:r>
      <w:r w:rsidR="00F608F5">
        <w:t xml:space="preserve"> However, </w:t>
      </w:r>
      <w:r w:rsidR="004E7EE1">
        <w:t xml:space="preserve">as </w:t>
      </w:r>
      <w:r w:rsidR="00F608F5">
        <w:t>professional guidance may reflect shared opinions rather than evidence</w:t>
      </w:r>
      <w:r w:rsidR="004E7EE1">
        <w:t>, it should</w:t>
      </w:r>
      <w:r w:rsidR="00F608F5">
        <w:t xml:space="preserve"> be considered alongside independent research.</w:t>
      </w:r>
    </w:p>
    <w:p w14:paraId="67CC3BEA" w14:textId="5583AB71" w:rsidR="00E21434" w:rsidRDefault="00A95849" w:rsidP="00A31EA3">
      <w:pPr>
        <w:pStyle w:val="NormalWeb"/>
        <w:jc w:val="both"/>
      </w:pPr>
      <w:r>
        <w:t>The academic lite</w:t>
      </w:r>
      <w:r w:rsidR="00F87479">
        <w:t>rature on DT</w:t>
      </w:r>
      <w:r w:rsidR="00591EEB">
        <w:t xml:space="preserve"> </w:t>
      </w:r>
      <w:r>
        <w:t>tend</w:t>
      </w:r>
      <w:r w:rsidR="00591EEB">
        <w:t>s</w:t>
      </w:r>
      <w:r>
        <w:t xml:space="preserve"> to focus on measures such as agreement with clinician decision-making, adherence to triage advice or patterns of service u</w:t>
      </w:r>
      <w:r w:rsidR="00A8277C">
        <w:t xml:space="preserve">tilisation (Sexton et al 2022; </w:t>
      </w:r>
      <w:proofErr w:type="spellStart"/>
      <w:r w:rsidR="00A8277C">
        <w:t>Paule</w:t>
      </w:r>
      <w:proofErr w:type="spellEnd"/>
      <w:r w:rsidR="00A8277C">
        <w:t xml:space="preserve"> et al</w:t>
      </w:r>
      <w:r>
        <w:t xml:space="preserve"> 2025). In sexual health settings, these measures are insufficient, as agreement between an algorithm and a clinician does not ensure that safeguarding concerns have been identified or that indicators of abuse</w:t>
      </w:r>
      <w:r w:rsidR="00591EEB">
        <w:t xml:space="preserve"> </w:t>
      </w:r>
      <w:r>
        <w:t>have been recognised. This limitation is reinforced by evidence that triage performance is often poorer than diagnostic performance and that evaluation methods rely on simulated cases</w:t>
      </w:r>
      <w:r w:rsidR="00A8277C">
        <w:t xml:space="preserve"> (vignettes)</w:t>
      </w:r>
      <w:r>
        <w:t xml:space="preserve"> rather than real interactions (</w:t>
      </w:r>
      <w:proofErr w:type="spellStart"/>
      <w:r>
        <w:t>Riboli-Sasco</w:t>
      </w:r>
      <w:proofErr w:type="spellEnd"/>
      <w:r>
        <w:t xml:space="preserve"> et al 2023; El-</w:t>
      </w:r>
      <w:proofErr w:type="spellStart"/>
      <w:r>
        <w:t>Osta</w:t>
      </w:r>
      <w:proofErr w:type="spellEnd"/>
      <w:r>
        <w:t xml:space="preserve"> et al 2022). </w:t>
      </w:r>
      <w:r w:rsidR="00591EEB">
        <w:t>Additionally</w:t>
      </w:r>
      <w:r>
        <w:t>, evidence from AI-based triage research demonstrates that even advanced systems can fail to appropriately prioritise urgent cases, highlighting the risks of relying on automated assessments in contexts where safeguard</w:t>
      </w:r>
      <w:r w:rsidR="00A8277C">
        <w:t xml:space="preserve">ing is critical (Levine et al </w:t>
      </w:r>
      <w:r>
        <w:t>2024).</w:t>
      </w:r>
    </w:p>
    <w:p w14:paraId="30C3CECC" w14:textId="04B6064E" w:rsidR="00BB0E77" w:rsidRPr="000C2ACA" w:rsidRDefault="000C2ACA" w:rsidP="00A31EA3">
      <w:p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r w:rsidRPr="000C2ACA">
        <w:rPr>
          <w:rFonts w:ascii="Times New Roman" w:hAnsi="Times New Roman" w:cs="Times New Roman"/>
          <w:sz w:val="24"/>
          <w:szCs w:val="24"/>
        </w:rPr>
        <w:t>Systematic and scoping reviews of online symptom checkers and self-triage tools show mixed and inconsistent results. Many studies use different methods and</w:t>
      </w:r>
      <w:r w:rsidR="00A8277C">
        <w:rPr>
          <w:rFonts w:ascii="Times New Roman" w:hAnsi="Times New Roman" w:cs="Times New Roman"/>
          <w:sz w:val="24"/>
          <w:szCs w:val="24"/>
        </w:rPr>
        <w:t xml:space="preserve"> rely heavily on vignettes</w:t>
      </w:r>
      <w:r w:rsidRPr="000C2ACA">
        <w:rPr>
          <w:rFonts w:ascii="Times New Roman" w:hAnsi="Times New Roman" w:cs="Times New Roman"/>
          <w:sz w:val="24"/>
          <w:szCs w:val="24"/>
        </w:rPr>
        <w:t xml:space="preserve"> rather than real patient use. </w:t>
      </w:r>
      <w:proofErr w:type="spellStart"/>
      <w:r w:rsidRPr="000C2ACA">
        <w:rPr>
          <w:rFonts w:ascii="Times New Roman" w:hAnsi="Times New Roman" w:cs="Times New Roman"/>
          <w:sz w:val="24"/>
          <w:szCs w:val="24"/>
        </w:rPr>
        <w:t>Riboli-Sasco</w:t>
      </w:r>
      <w:proofErr w:type="spellEnd"/>
      <w:r w:rsidRPr="000C2ACA">
        <w:rPr>
          <w:rFonts w:ascii="Times New Roman" w:hAnsi="Times New Roman" w:cs="Times New Roman"/>
          <w:sz w:val="24"/>
          <w:szCs w:val="24"/>
        </w:rPr>
        <w:t xml:space="preserve"> et al (2023) found that all studies they reviewed had a high risk of bias and that symptom checkers were generally worse at giving safe triage advice than at suggesting diagnoses. Additionally, </w:t>
      </w:r>
      <w:proofErr w:type="spellStart"/>
      <w:r w:rsidRPr="000C2ACA">
        <w:rPr>
          <w:rFonts w:ascii="Times New Roman" w:hAnsi="Times New Roman" w:cs="Times New Roman"/>
          <w:sz w:val="24"/>
          <w:szCs w:val="24"/>
        </w:rPr>
        <w:t>Ziebart</w:t>
      </w:r>
      <w:proofErr w:type="spellEnd"/>
      <w:r w:rsidRPr="000C2ACA">
        <w:rPr>
          <w:rFonts w:ascii="Times New Roman" w:hAnsi="Times New Roman" w:cs="Times New Roman"/>
          <w:sz w:val="24"/>
          <w:szCs w:val="24"/>
        </w:rPr>
        <w:t xml:space="preserve"> et al (2023) reported that although self-triage tools were rolled out quickly during the pandemic, there was little strong evidence that they reduced pressure on services or improved patient outcomes. Overall, this suggests that </w:t>
      </w:r>
      <w:r w:rsidR="00F87479">
        <w:rPr>
          <w:rFonts w:ascii="Times New Roman" w:hAnsi="Times New Roman" w:cs="Times New Roman"/>
          <w:sz w:val="24"/>
          <w:szCs w:val="24"/>
        </w:rPr>
        <w:t>DT</w:t>
      </w:r>
      <w:r w:rsidRPr="000C2ACA">
        <w:rPr>
          <w:rFonts w:ascii="Times New Roman" w:hAnsi="Times New Roman" w:cs="Times New Roman"/>
          <w:sz w:val="24"/>
          <w:szCs w:val="24"/>
        </w:rPr>
        <w:t xml:space="preserve"> </w:t>
      </w:r>
      <w:r w:rsidRPr="000C2ACA">
        <w:rPr>
          <w:rFonts w:ascii="Times New Roman" w:hAnsi="Times New Roman" w:cs="Times New Roman"/>
          <w:sz w:val="24"/>
          <w:szCs w:val="24"/>
        </w:rPr>
        <w:lastRenderedPageBreak/>
        <w:t>tools have often been developed and implemented faster than they have been properly evaluated for safety.</w:t>
      </w:r>
    </w:p>
    <w:p w14:paraId="420F0050" w14:textId="30BB643F" w:rsidR="000C2ACA" w:rsidRDefault="000C2ACA" w:rsidP="00E21434">
      <w:pPr>
        <w:pStyle w:val="NormalWeb"/>
        <w:jc w:val="both"/>
      </w:pPr>
      <w:r>
        <w:t>Studies using simulated patient cases, such as t</w:t>
      </w:r>
      <w:r w:rsidR="00F9672E">
        <w:t>hat</w:t>
      </w:r>
      <w:r>
        <w:t xml:space="preserve"> by Levine et al (2023), highlight important weaknesses in the current evidence base. In this paper, a large language model (LLM) was studied. An LLM is a type of AI designed to understand and generate human-like text </w:t>
      </w:r>
      <w:r w:rsidR="00E21434">
        <w:t>(Naveed et al 2025)</w:t>
      </w:r>
      <w:r>
        <w:t>. Although LLM’s performed reasonably well at suggesting diagnoses, they were less accurate at deciding how urgent a case was and sometimes failed to identify emergencies. Their performance also worsened as cases became more serious. This is particularly worrying for sexual health services, where missing rare but serious conditions such as ectopic pregnancy, testicular torsion or sexual assault can have serious consequences.</w:t>
      </w:r>
    </w:p>
    <w:p w14:paraId="548BE330" w14:textId="1DF6DE58" w:rsidR="000C2ACA" w:rsidRDefault="000C2ACA" w:rsidP="00E21434">
      <w:pPr>
        <w:pStyle w:val="NormalWeb"/>
        <w:jc w:val="both"/>
      </w:pPr>
      <w:r>
        <w:t xml:space="preserve">The issue is not just that these studies have limitations, but that they are carried out in clinical settings where risk is mainly </w:t>
      </w:r>
      <w:r w:rsidR="00D1321E">
        <w:t>based on physical symptoms</w:t>
      </w:r>
      <w:r>
        <w:t>. In sexual health, risk is often shaped by personal, social and safeguarding factors, meaning that urgency cannot always be judged by symptoms alone.</w:t>
      </w:r>
    </w:p>
    <w:p w14:paraId="556495B1" w14:textId="0D571CAA" w:rsidR="007B3A8E" w:rsidRDefault="007B3A8E" w:rsidP="007B3A8E">
      <w:pPr>
        <w:pStyle w:val="NormalWeb"/>
        <w:jc w:val="both"/>
      </w:pPr>
      <w:r>
        <w:t>One of the most important contributions of the academic literature is not clear evidence that digital triage works well, but evidence that current evaluation methods are limited. A study by El-</w:t>
      </w:r>
      <w:proofErr w:type="spellStart"/>
      <w:r>
        <w:t>Osta</w:t>
      </w:r>
      <w:proofErr w:type="spellEnd"/>
      <w:r>
        <w:t xml:space="preserve"> et al (2022) showed that when symptom ch</w:t>
      </w:r>
      <w:r w:rsidR="00F9672E">
        <w:t>eckers are tested using</w:t>
      </w:r>
      <w:r>
        <w:t xml:space="preserve"> vignettes, the results can change depending on who enters the same information. Agreement on triage advice was only moderate and was weakest for urgent cases, leading the authors to conclude that vignette-based studies are not suitable for assessing triage safety. This is important because many studies rely on vignettes</w:t>
      </w:r>
      <w:r w:rsidR="00F87479">
        <w:t xml:space="preserve"> to judge whether DT</w:t>
      </w:r>
      <w:r>
        <w:t xml:space="preserve"> systems are safe or accurate.</w:t>
      </w:r>
    </w:p>
    <w:p w14:paraId="0ECF8BB5" w14:textId="323E6332" w:rsidR="007B3A8E" w:rsidRDefault="007B3A8E" w:rsidP="007B3A8E">
      <w:pPr>
        <w:pStyle w:val="NormalWeb"/>
        <w:jc w:val="both"/>
      </w:pPr>
      <w:r>
        <w:t>This limitation is particul</w:t>
      </w:r>
      <w:r w:rsidR="00F9672E">
        <w:t>arly relevant for sexual health</w:t>
      </w:r>
      <w:r>
        <w:t>. Sexual health information is often sensitive to wording, cultural understanding and personal circumstances. Some individuals may understate symptoms to avoid face-to-face care, safeguarding questions, or judgement, while others may overstate symptoms to gain reassurance (</w:t>
      </w:r>
      <w:proofErr w:type="spellStart"/>
      <w:r>
        <w:t>Minchiello</w:t>
      </w:r>
      <w:proofErr w:type="spellEnd"/>
      <w:r>
        <w:t xml:space="preserve"> et al 2013). The variation seen in vignette studies is therefore likely to be even greater in sexual health settings, meaning that reliance on simulation-based validation may give a misleading impression of safety.</w:t>
      </w:r>
    </w:p>
    <w:p w14:paraId="4B2F6184" w14:textId="2347F925" w:rsidR="007B3A8E" w:rsidRDefault="007B3A8E" w:rsidP="007B3A8E">
      <w:pPr>
        <w:pStyle w:val="NormalWeb"/>
        <w:jc w:val="both"/>
      </w:pPr>
      <w:r>
        <w:t>Studies using real patients provide more realistic insights but also have weaknesses. Prospective evaluations of symptom checkers in emergency department settings suggest low levels of potentially harmful under-triage, but these studies are usually limited to single sites, exclude many eligible patients and rely on expert opinion rather than direct evidence of harm (Sexton et al 2022). In addition, emergency department populations differ from sexual health service users, who may access care repeatedly, use multiple services at the</w:t>
      </w:r>
      <w:r w:rsidR="00F9672E">
        <w:t xml:space="preserve"> same time and have issues</w:t>
      </w:r>
      <w:r>
        <w:t xml:space="preserve"> linked to privacy and stigma.</w:t>
      </w:r>
    </w:p>
    <w:p w14:paraId="73BCD8B8" w14:textId="701C2E18" w:rsidR="007B3A8E" w:rsidRDefault="007B3A8E" w:rsidP="00FF7164">
      <w:pPr>
        <w:pStyle w:val="NormalWeb"/>
        <w:jc w:val="both"/>
      </w:pPr>
      <w:r>
        <w:t xml:space="preserve">Evidence from usage data further highlights these challenges. </w:t>
      </w:r>
      <w:proofErr w:type="spellStart"/>
      <w:r>
        <w:t>Accorsi</w:t>
      </w:r>
      <w:proofErr w:type="spellEnd"/>
      <w:r>
        <w:t xml:space="preserve"> et al (2025) found that many users restart or explore multiple triage pathways, particularly when advised to attend emergency care. This behaviour, sometimes described as “triage shopping,” is rarely considered in safety evaluations. In sexual health services, where users may actively seek the least stigmatising or most private option, this behaviour is l</w:t>
      </w:r>
      <w:r w:rsidR="00F87479">
        <w:t>ikely to be common. DT</w:t>
      </w:r>
      <w:r>
        <w:t xml:space="preserve"> systems that assume users will follow </w:t>
      </w:r>
      <w:r w:rsidR="00FF7164">
        <w:t>a single direct</w:t>
      </w:r>
      <w:r>
        <w:t xml:space="preserve"> pathway may the</w:t>
      </w:r>
      <w:r w:rsidR="00FF7164">
        <w:t>n</w:t>
      </w:r>
      <w:r>
        <w:t xml:space="preserve"> </w:t>
      </w:r>
      <w:r w:rsidR="00F9672E">
        <w:t>fa</w:t>
      </w:r>
      <w:r>
        <w:t>il to identify thos</w:t>
      </w:r>
      <w:r w:rsidR="00F9672E">
        <w:t>e who need urgent</w:t>
      </w:r>
      <w:r>
        <w:t xml:space="preserve"> care.</w:t>
      </w:r>
    </w:p>
    <w:p w14:paraId="54EFD268" w14:textId="77777777" w:rsidR="00F9672E" w:rsidRDefault="00F9672E" w:rsidP="00FF7164">
      <w:pPr>
        <w:pStyle w:val="NormalWeb"/>
        <w:jc w:val="both"/>
        <w:rPr>
          <w:b/>
        </w:rPr>
      </w:pPr>
    </w:p>
    <w:p w14:paraId="33F601B5" w14:textId="1E704ABC" w:rsidR="003D5CE9" w:rsidRDefault="003D5CE9" w:rsidP="00FF7164">
      <w:pPr>
        <w:pStyle w:val="NormalWeb"/>
        <w:jc w:val="both"/>
        <w:rPr>
          <w:b/>
        </w:rPr>
      </w:pPr>
      <w:r w:rsidRPr="003D5CE9">
        <w:rPr>
          <w:b/>
        </w:rPr>
        <w:lastRenderedPageBreak/>
        <w:t>Digital Literacy</w:t>
      </w:r>
    </w:p>
    <w:p w14:paraId="2D4D565C" w14:textId="6DE97BB9" w:rsidR="00611556" w:rsidRPr="004300D1" w:rsidRDefault="00611556" w:rsidP="007010D6">
      <w:pPr>
        <w:pStyle w:val="NormalWeb"/>
        <w:jc w:val="both"/>
      </w:pPr>
      <w:r w:rsidRPr="004300D1">
        <w:t xml:space="preserve">Across the grey literature, digital literacy is discussed through repeated concerns about access, equity, safeguarding and service design. National guidance and commissioning documents from NHS England, </w:t>
      </w:r>
      <w:r w:rsidR="006F2DD6">
        <w:t>OHID</w:t>
      </w:r>
      <w:r w:rsidRPr="004300D1">
        <w:t xml:space="preserve">, and NICE consistently recognise that not all service users have the skills, </w:t>
      </w:r>
      <w:r w:rsidR="00F9672E">
        <w:t>confidence, language</w:t>
      </w:r>
      <w:r w:rsidRPr="004300D1">
        <w:t xml:space="preserve"> or access</w:t>
      </w:r>
      <w:r w:rsidR="00F9672E">
        <w:t xml:space="preserve"> required to use digital systems </w:t>
      </w:r>
      <w:r w:rsidRPr="004300D1">
        <w:t>(NHS England</w:t>
      </w:r>
      <w:r w:rsidR="004300D1" w:rsidRPr="004300D1">
        <w:t xml:space="preserve"> 2025</w:t>
      </w:r>
      <w:r w:rsidRPr="004300D1">
        <w:t>; OHID</w:t>
      </w:r>
      <w:r w:rsidR="004300D1" w:rsidRPr="004300D1">
        <w:t xml:space="preserve"> 2023</w:t>
      </w:r>
      <w:r w:rsidR="006F2DD6">
        <w:t>; NICE 2019</w:t>
      </w:r>
      <w:r w:rsidRPr="004300D1">
        <w:t>). Rather than blaming the individuals for the deficits in literacy, these sources place it as a responsibili</w:t>
      </w:r>
      <w:r w:rsidR="00F9672E">
        <w:t>ty of health services</w:t>
      </w:r>
      <w:r w:rsidRPr="004300D1">
        <w:t>. They emphasise the need for mult</w:t>
      </w:r>
      <w:r w:rsidR="00F9672E">
        <w:t>iple access routes and clear,</w:t>
      </w:r>
      <w:r w:rsidRPr="004300D1">
        <w:t xml:space="preserve"> accessible information. They recommend non-digital alternatives (such as telephone access) so that online triage does not become a barrier to care. Safeguarding-focused grey literature reinforces this. </w:t>
      </w:r>
      <w:r w:rsidR="004300D1" w:rsidRPr="004300D1">
        <w:t xml:space="preserve">The </w:t>
      </w:r>
      <w:r w:rsidRPr="004300D1">
        <w:t>R</w:t>
      </w:r>
      <w:r w:rsidR="004300D1" w:rsidRPr="004300D1">
        <w:t xml:space="preserve">oyal </w:t>
      </w:r>
      <w:r w:rsidRPr="004300D1">
        <w:t>C</w:t>
      </w:r>
      <w:r w:rsidR="004300D1" w:rsidRPr="004300D1">
        <w:t xml:space="preserve">ollege of </w:t>
      </w:r>
      <w:r w:rsidRPr="004300D1">
        <w:t>P</w:t>
      </w:r>
      <w:r w:rsidR="004300D1" w:rsidRPr="004300D1">
        <w:t xml:space="preserve">aediatric and </w:t>
      </w:r>
      <w:r w:rsidRPr="004300D1">
        <w:t>C</w:t>
      </w:r>
      <w:r w:rsidR="004300D1" w:rsidRPr="004300D1">
        <w:t xml:space="preserve">hild </w:t>
      </w:r>
      <w:r w:rsidRPr="004300D1">
        <w:t>H</w:t>
      </w:r>
      <w:r w:rsidR="004300D1" w:rsidRPr="004300D1">
        <w:t>ealth (RCPCH)</w:t>
      </w:r>
      <w:r w:rsidRPr="004300D1">
        <w:t xml:space="preserve"> guidance for under-18s accessing abortion services highlights how limited understanding, shared device use or inability to use digital systems safely can correlate</w:t>
      </w:r>
      <w:r w:rsidR="001A6CAB">
        <w:t xml:space="preserve"> with vulnerabilities</w:t>
      </w:r>
      <w:r w:rsidRPr="004300D1">
        <w:t>. This increases th</w:t>
      </w:r>
      <w:r w:rsidR="00F87479">
        <w:t>e risk of harm if DT</w:t>
      </w:r>
      <w:r w:rsidRPr="004300D1">
        <w:t xml:space="preserve"> is relied on without human escalation pathways (RCPCH 2022). Professional standards also stress that services must account for varying levels of user capacity when designing d</w:t>
      </w:r>
      <w:r w:rsidR="000532C3">
        <w:t>igital pathways (BASHH/FSRH 2020</w:t>
      </w:r>
      <w:r w:rsidRPr="004300D1">
        <w:t>).</w:t>
      </w:r>
    </w:p>
    <w:p w14:paraId="0AF6C10C" w14:textId="300CF870" w:rsidR="00611556" w:rsidRDefault="00611556" w:rsidP="004300D1">
      <w:pPr>
        <w:pStyle w:val="NormalWeb"/>
        <w:jc w:val="both"/>
      </w:pPr>
      <w:r>
        <w:t>In the academic literature, digital literacy is more clearly visible as a factor shaping how triage systems perform in practice</w:t>
      </w:r>
      <w:r w:rsidR="007010D6">
        <w:t>.</w:t>
      </w:r>
      <w:r>
        <w:t xml:space="preserve"> Studies of symptom checkers and online triage demonstrate that outputs are highly sensitive to how information is entered, with small differences in wording </w:t>
      </w:r>
      <w:r w:rsidR="007010D6">
        <w:t>l</w:t>
      </w:r>
      <w:r>
        <w:t>eading to different urgency r</w:t>
      </w:r>
      <w:r w:rsidR="007010D6">
        <w:t>ecommendations (El-</w:t>
      </w:r>
      <w:proofErr w:type="spellStart"/>
      <w:r w:rsidR="007010D6">
        <w:t>Osta</w:t>
      </w:r>
      <w:proofErr w:type="spellEnd"/>
      <w:r w:rsidR="007010D6">
        <w:t xml:space="preserve"> et al </w:t>
      </w:r>
      <w:r>
        <w:t xml:space="preserve">2022). This has implications for users with lower health or digital literacy who may struggle to interpret questions. Reviews of digital and telephone triage </w:t>
      </w:r>
      <w:r w:rsidR="007010D6">
        <w:t>also</w:t>
      </w:r>
      <w:r>
        <w:t xml:space="preserve"> show that user behaviour, adherence and service use are inconsistent, suggesting that understanding and confidence in using digital systems influences whether advice is followed </w:t>
      </w:r>
      <w:r w:rsidR="007010D6">
        <w:t xml:space="preserve">(Sexton et al 2022; </w:t>
      </w:r>
      <w:proofErr w:type="spellStart"/>
      <w:r w:rsidR="007010D6">
        <w:t>Paule</w:t>
      </w:r>
      <w:proofErr w:type="spellEnd"/>
      <w:r w:rsidR="007010D6">
        <w:t xml:space="preserve"> et al </w:t>
      </w:r>
      <w:r>
        <w:t>2025). Evidence on AI and LLM-based triage reinforces these concerns, as vignette</w:t>
      </w:r>
      <w:r w:rsidR="001A6CAB">
        <w:t xml:space="preserve"> </w:t>
      </w:r>
      <w:r>
        <w:t>studies show that triage accuracy can deteriorate when information is incomplete</w:t>
      </w:r>
      <w:r w:rsidR="007010D6">
        <w:t xml:space="preserve"> or</w:t>
      </w:r>
      <w:r>
        <w:t xml:space="preserve"> complex</w:t>
      </w:r>
      <w:r w:rsidR="007010D6">
        <w:t xml:space="preserve"> (Levine et al 2024; Liu et al </w:t>
      </w:r>
      <w:r>
        <w:t>2024).</w:t>
      </w:r>
    </w:p>
    <w:p w14:paraId="14FAF21D" w14:textId="16A4C4F8" w:rsidR="00611556" w:rsidRDefault="00611556" w:rsidP="004300D1">
      <w:pPr>
        <w:pStyle w:val="NormalWeb"/>
        <w:jc w:val="both"/>
        <w:rPr>
          <w:b/>
        </w:rPr>
      </w:pPr>
      <w:r>
        <w:t xml:space="preserve">Although few sources </w:t>
      </w:r>
      <w:r w:rsidR="007010D6">
        <w:t>actually</w:t>
      </w:r>
      <w:r>
        <w:t xml:space="preserve"> define or quantify digital literacy, many assume that uneve</w:t>
      </w:r>
      <w:r w:rsidR="001A6CAB">
        <w:t>n digital skills, comprehension</w:t>
      </w:r>
      <w:r>
        <w:t xml:space="preserve"> and confidence will affect navigation, trust and safety within digital triage systems</w:t>
      </w:r>
      <w:r w:rsidR="007010D6">
        <w:t>.</w:t>
      </w:r>
      <w:r>
        <w:t xml:space="preserve"> </w:t>
      </w:r>
      <w:r w:rsidR="007010D6">
        <w:t>B</w:t>
      </w:r>
      <w:r>
        <w:t>oth bodies of literature</w:t>
      </w:r>
      <w:r w:rsidR="007010D6">
        <w:t xml:space="preserve"> imply </w:t>
      </w:r>
      <w:r w:rsidR="00F87479">
        <w:t>that DT</w:t>
      </w:r>
      <w:r>
        <w:t xml:space="preserve"> must be designed to </w:t>
      </w:r>
      <w:r w:rsidR="007010D6">
        <w:t>cope with</w:t>
      </w:r>
      <w:r>
        <w:t xml:space="preserve"> variation</w:t>
      </w:r>
      <w:r w:rsidR="007010D6">
        <w:t>s</w:t>
      </w:r>
      <w:r>
        <w:t xml:space="preserve"> in digital literacy through cle</w:t>
      </w:r>
      <w:r w:rsidR="007010D6">
        <w:t>ar language, flexible</w:t>
      </w:r>
      <w:r>
        <w:t xml:space="preserve"> options, </w:t>
      </w:r>
      <w:proofErr w:type="gramStart"/>
      <w:r>
        <w:t>strong</w:t>
      </w:r>
      <w:proofErr w:type="gramEnd"/>
      <w:r>
        <w:t xml:space="preserve"> safety-netting and easy escalati</w:t>
      </w:r>
      <w:r w:rsidR="007010D6">
        <w:t>on to human support (BASHH/FSRH</w:t>
      </w:r>
      <w:r w:rsidR="000532C3">
        <w:t xml:space="preserve"> 2020</w:t>
      </w:r>
      <w:r w:rsidR="004300D1">
        <w:t>; NHS England 2025</w:t>
      </w:r>
      <w:r>
        <w:t xml:space="preserve">). </w:t>
      </w:r>
    </w:p>
    <w:p w14:paraId="21EB0D40" w14:textId="2F746D17" w:rsidR="00593248" w:rsidRPr="00593248" w:rsidRDefault="001A6CAB" w:rsidP="00FF7164">
      <w:pPr>
        <w:pStyle w:val="NormalWeb"/>
        <w:jc w:val="both"/>
        <w:rPr>
          <w:b/>
        </w:rPr>
      </w:pPr>
      <w:r>
        <w:rPr>
          <w:b/>
        </w:rPr>
        <w:t>Governance</w:t>
      </w:r>
    </w:p>
    <w:p w14:paraId="406D8057" w14:textId="6531FFEF" w:rsidR="000C343E" w:rsidRDefault="001A6CAB" w:rsidP="000C343E">
      <w:pPr>
        <w:pStyle w:val="NormalWeb"/>
        <w:jc w:val="both"/>
      </w:pPr>
      <w:r>
        <w:t>I</w:t>
      </w:r>
      <w:r w:rsidR="00FF7164">
        <w:t xml:space="preserve">nterest in </w:t>
      </w:r>
      <w:r w:rsidR="000C343E">
        <w:t xml:space="preserve">AI </w:t>
      </w:r>
      <w:r w:rsidR="00F87479">
        <w:t>driven DT</w:t>
      </w:r>
      <w:r w:rsidR="00FF7164">
        <w:t xml:space="preserve"> has increased concerns about safety, governance and ethics. Small studies assessing tools such as </w:t>
      </w:r>
      <w:proofErr w:type="spellStart"/>
      <w:r w:rsidR="00FF7164">
        <w:t>ChatGPT</w:t>
      </w:r>
      <w:proofErr w:type="spellEnd"/>
      <w:r w:rsidR="00FF7164">
        <w:t xml:space="preserve"> in outpatient triage settings have reported high levels of agreement between AI</w:t>
      </w:r>
      <w:r w:rsidR="000C343E">
        <w:t xml:space="preserve"> </w:t>
      </w:r>
      <w:r w:rsidR="00FF7164">
        <w:t xml:space="preserve">generated advice and clinician decisions, but these findings are based on very small samples and do not examine patient outcomes </w:t>
      </w:r>
      <w:r w:rsidR="000C343E">
        <w:t>(Liu et al</w:t>
      </w:r>
      <w:r w:rsidR="00FF7164">
        <w:t xml:space="preserve"> 2024). </w:t>
      </w:r>
      <w:r w:rsidR="000C343E">
        <w:t>In these studies, if the digital tool’s answer matches a clinician’s answer, it is assumed that the system must be safe.</w:t>
      </w:r>
    </w:p>
    <w:p w14:paraId="35D6BEF0" w14:textId="395B5874" w:rsidR="000C343E" w:rsidRDefault="000C343E" w:rsidP="000C343E">
      <w:pPr>
        <w:pStyle w:val="NormalWeb"/>
        <w:jc w:val="both"/>
      </w:pPr>
      <w:r>
        <w:t xml:space="preserve">However, </w:t>
      </w:r>
      <w:r w:rsidRPr="000C343E">
        <w:rPr>
          <w:rStyle w:val="Strong"/>
          <w:b w:val="0"/>
        </w:rPr>
        <w:t>matching a clinician’s decision does not guarantee that the decision itself was safe or appropriate</w:t>
      </w:r>
      <w:r>
        <w:t>, especially for urgent or high-risk situations. Both the clinician and the system could miss the same warning signs, or the system might match clinicians on routine cases but fail on rare, serious ones. Other studies show that this is a real risk (Levine et al 2024; Sexton et al 2025</w:t>
      </w:r>
      <w:r w:rsidR="006C7744">
        <w:t xml:space="preserve">; </w:t>
      </w:r>
      <w:proofErr w:type="spellStart"/>
      <w:r w:rsidR="006C7744">
        <w:t>Knitza</w:t>
      </w:r>
      <w:proofErr w:type="spellEnd"/>
      <w:r w:rsidR="006C7744">
        <w:t xml:space="preserve"> et al 2024</w:t>
      </w:r>
      <w:r>
        <w:t xml:space="preserve">). For example, the research has found that AI systems can appear accurate overall, yet still </w:t>
      </w:r>
      <w:r w:rsidRPr="000C343E">
        <w:rPr>
          <w:rStyle w:val="Strong"/>
          <w:b w:val="0"/>
        </w:rPr>
        <w:t>fail to recognise emergencies or assign them sufficient urgency</w:t>
      </w:r>
      <w:r w:rsidRPr="000C343E">
        <w:rPr>
          <w:b/>
        </w:rPr>
        <w:t>.</w:t>
      </w:r>
      <w:r>
        <w:t xml:space="preserve"> This means a system can have high agreement with clinicians in general, while still making </w:t>
      </w:r>
      <w:r>
        <w:lastRenderedPageBreak/>
        <w:t>dangerous mistakes in the cases where getting triage right matters most.</w:t>
      </w:r>
      <w:r w:rsidR="00CC69DC">
        <w:t xml:space="preserve"> Mani and </w:t>
      </w:r>
      <w:proofErr w:type="spellStart"/>
      <w:r w:rsidR="00CC69DC">
        <w:t>Albagawi</w:t>
      </w:r>
      <w:proofErr w:type="spellEnd"/>
      <w:r w:rsidR="00CC69DC">
        <w:t xml:space="preserve"> (2024) identified clinician education as a challenge in th</w:t>
      </w:r>
      <w:r w:rsidR="00351812">
        <w:t xml:space="preserve">e use of AI tools. Their review, plus a systematic review by Yi, </w:t>
      </w:r>
      <w:proofErr w:type="spellStart"/>
      <w:r w:rsidR="00351812">
        <w:t>Baik</w:t>
      </w:r>
      <w:proofErr w:type="spellEnd"/>
      <w:r w:rsidR="00351812">
        <w:t xml:space="preserve"> and </w:t>
      </w:r>
      <w:proofErr w:type="spellStart"/>
      <w:r w:rsidR="00351812">
        <w:t>Baek</w:t>
      </w:r>
      <w:proofErr w:type="spellEnd"/>
      <w:r w:rsidR="00351812">
        <w:t xml:space="preserve"> (2024) </w:t>
      </w:r>
      <w:r w:rsidR="00CC69DC">
        <w:t>highlighted the need for nurses to receive appropriate training on how to use these systems, as well as to understand their capabilities and lim</w:t>
      </w:r>
      <w:r w:rsidR="00351812">
        <w:t>itations. The reviews reinforced</w:t>
      </w:r>
      <w:r w:rsidR="00CC69DC">
        <w:t xml:space="preserve"> that</w:t>
      </w:r>
      <w:r w:rsidR="00351812">
        <w:t xml:space="preserve"> AI cannot replace the nuances of human interaction and that </w:t>
      </w:r>
      <w:r w:rsidR="00CC69DC">
        <w:t>clinical judgement is essential.</w:t>
      </w:r>
    </w:p>
    <w:p w14:paraId="45EB0841" w14:textId="50C18A2A" w:rsidR="00FF7164" w:rsidRDefault="00CC69DC" w:rsidP="00C25CF4">
      <w:pPr>
        <w:pStyle w:val="NormalWeb"/>
        <w:jc w:val="both"/>
      </w:pPr>
      <w:r>
        <w:t>A s</w:t>
      </w:r>
      <w:r w:rsidR="008D21C1">
        <w:t xml:space="preserve">coping review by </w:t>
      </w:r>
      <w:proofErr w:type="spellStart"/>
      <w:r w:rsidR="008D21C1">
        <w:t>Daneshjou</w:t>
      </w:r>
      <w:proofErr w:type="spellEnd"/>
      <w:r w:rsidR="008D21C1">
        <w:t xml:space="preserve"> et al (2021)</w:t>
      </w:r>
      <w:r>
        <w:t xml:space="preserve"> found</w:t>
      </w:r>
      <w:r w:rsidR="008D21C1">
        <w:t xml:space="preserve"> that many clinical AI studies do not clearly report who their systems are trained or tested on, making it difficult to judge whether the results are biased or apply to different populations. Although this study is not specific to sexual health, it is highly relevant because sexual health services often support marginalised groups, including young people, LGBTQ+ communities, migrants, and people facing social or economic disadvantage (McDermott, Nelson and Weeks 2021; </w:t>
      </w:r>
      <w:proofErr w:type="spellStart"/>
      <w:r w:rsidR="008D21C1">
        <w:t>Adley</w:t>
      </w:r>
      <w:proofErr w:type="spellEnd"/>
      <w:r w:rsidR="008D21C1">
        <w:t>, O’Donnell and Scott 2025).</w:t>
      </w:r>
      <w:r w:rsidR="006C7744">
        <w:t xml:space="preserve"> The same conclusion was drawn by </w:t>
      </w:r>
      <w:proofErr w:type="spellStart"/>
      <w:r w:rsidR="006C7744">
        <w:t>Siira</w:t>
      </w:r>
      <w:proofErr w:type="spellEnd"/>
      <w:r w:rsidR="006C7744">
        <w:t xml:space="preserve"> et al (2025), who stated that AI tools must integrate with patient needs and voices to be inclusive.</w:t>
      </w:r>
      <w:r w:rsidR="008D21C1">
        <w:t xml:space="preserve"> If AI systems are developed or evaluated using data that do not reflect these populations, there is a risk that existing inequalities ar</w:t>
      </w:r>
      <w:r w:rsidR="001A6CAB">
        <w:t>e made worse</w:t>
      </w:r>
      <w:r w:rsidR="008D21C1">
        <w:t>.</w:t>
      </w:r>
      <w:r>
        <w:t xml:space="preserve"> </w:t>
      </w:r>
    </w:p>
    <w:p w14:paraId="135B7B87" w14:textId="051189ED" w:rsidR="00235420" w:rsidRDefault="00235420" w:rsidP="00235420">
      <w:pPr>
        <w:pStyle w:val="NormalWeb"/>
        <w:jc w:val="both"/>
      </w:pPr>
      <w:r>
        <w:t>Professional guidance takes a more cautious approach than much of the academic literature. In the document ‘Digitally Enabled Triage’ by NH</w:t>
      </w:r>
      <w:r w:rsidR="00F87479">
        <w:t>S England (2025), DT</w:t>
      </w:r>
      <w:r>
        <w:t xml:space="preserve"> is described as a tool to support clinical decision-making, not to replace professional judgement, and stresses the need for clear oversight, governance, and accountability. In a similar way, Welsh Government standards, including the ‘</w:t>
      </w:r>
      <w:r w:rsidRPr="00235420">
        <w:rPr>
          <w:rStyle w:val="Emphasis"/>
          <w:i w:val="0"/>
        </w:rPr>
        <w:t>Qualit</w:t>
      </w:r>
      <w:r>
        <w:rPr>
          <w:rStyle w:val="Emphasis"/>
          <w:i w:val="0"/>
        </w:rPr>
        <w:t xml:space="preserve">y Statement for Women and Girls </w:t>
      </w:r>
      <w:r w:rsidRPr="00235420">
        <w:rPr>
          <w:rStyle w:val="Emphasis"/>
          <w:i w:val="0"/>
        </w:rPr>
        <w:t>Health</w:t>
      </w:r>
      <w:r>
        <w:t>’ (2022), place stro</w:t>
      </w:r>
      <w:r w:rsidR="001A6CAB">
        <w:t>ng emphasis on equity, safety</w:t>
      </w:r>
      <w:r>
        <w:t xml:space="preserve"> and access when using digital health systems. Together, these framework</w:t>
      </w:r>
      <w:r w:rsidR="00F87479">
        <w:t>s make clear that DT</w:t>
      </w:r>
      <w:r>
        <w:t xml:space="preserve"> should not operate on its own, but as part of a wider, well-governed health syst</w:t>
      </w:r>
      <w:r w:rsidR="001A6CAB">
        <w:t xml:space="preserve">em that prioritises </w:t>
      </w:r>
      <w:r>
        <w:t>person-centred care.</w:t>
      </w:r>
      <w:r w:rsidR="00826838">
        <w:t xml:space="preserve"> Brownie et al (2025) carried out a scoping review of the available clinical guidelines for virtual health assessment and care, and found that standardised guidelines are not well documented, despite them being critical to safety and quality.</w:t>
      </w:r>
    </w:p>
    <w:p w14:paraId="2D5F8BA3" w14:textId="07658FF5" w:rsidR="00FF7164" w:rsidRDefault="00FF7164" w:rsidP="007449D2">
      <w:pPr>
        <w:pStyle w:val="NormalWeb"/>
        <w:jc w:val="both"/>
      </w:pPr>
      <w:r>
        <w:t>Professional bodies in sexual health also stress governance and audit. The BASHH</w:t>
      </w:r>
      <w:r w:rsidR="007449D2">
        <w:t xml:space="preserve"> position statement</w:t>
      </w:r>
      <w:r>
        <w:t xml:space="preserve"> on digital testing platforms and antimicrobial stewardship</w:t>
      </w:r>
      <w:r w:rsidR="007449D2">
        <w:t xml:space="preserve"> (2021)</w:t>
      </w:r>
      <w:r>
        <w:t xml:space="preserve"> emphasise clinical oversight and audit mecha</w:t>
      </w:r>
      <w:r w:rsidR="007449D2">
        <w:t>nisms, while joint standards from BASHH and FSRH</w:t>
      </w:r>
      <w:r w:rsidR="000532C3">
        <w:t xml:space="preserve"> </w:t>
      </w:r>
      <w:r w:rsidR="007449D2">
        <w:t xml:space="preserve">(2020) </w:t>
      </w:r>
      <w:r>
        <w:t xml:space="preserve">highlight governance arrangements, escalation pathways and workforce accountability. </w:t>
      </w:r>
      <w:r w:rsidR="00155B73">
        <w:t>These views differ from many academic studies, which often look at triage tools as standalone technologies rather than as parts of regulated healthcare systems.</w:t>
      </w:r>
    </w:p>
    <w:p w14:paraId="3AE317CD" w14:textId="6B6BF089" w:rsidR="00593248" w:rsidRDefault="00593248" w:rsidP="00593248">
      <w:pPr>
        <w:pStyle w:val="NormalWeb"/>
        <w:jc w:val="both"/>
      </w:pPr>
      <w:r>
        <w:t>Ethical and legal issues are not cons</w:t>
      </w:r>
      <w:r w:rsidR="00F87479">
        <w:t>istently addressed in DT</w:t>
      </w:r>
      <w:r>
        <w:t xml:space="preserve"> research. Informed consent is rar</w:t>
      </w:r>
      <w:r w:rsidR="00F87479">
        <w:t>ely discussed and DT</w:t>
      </w:r>
      <w:r>
        <w:t xml:space="preserve"> is often presented as a simple access tool rather than a clinical intervention that can </w:t>
      </w:r>
      <w:r w:rsidR="00F63DAE">
        <w:t>influence risk and</w:t>
      </w:r>
      <w:r>
        <w:t xml:space="preserve"> decision-making. Responsibility for triage decisions is also often unclear, especially when automated recommendations are used and accountability is shared between clinicians, healthcare organisations and technology providers (</w:t>
      </w:r>
      <w:proofErr w:type="spellStart"/>
      <w:r>
        <w:t>Paule</w:t>
      </w:r>
      <w:proofErr w:type="spellEnd"/>
      <w:r>
        <w:t xml:space="preserve"> et al 2025). Although bias in algorithms is increasingly recognised in AI research, it is difficult to assess in practice because studies often lack transparency and do not clearly report who systems are trained or tested on (</w:t>
      </w:r>
      <w:proofErr w:type="spellStart"/>
      <w:r>
        <w:t>Daneshjou</w:t>
      </w:r>
      <w:proofErr w:type="spellEnd"/>
      <w:r>
        <w:t xml:space="preserve"> et al 2021).</w:t>
      </w:r>
    </w:p>
    <w:p w14:paraId="4E890D8D" w14:textId="59DA40E0" w:rsidR="00F63DAE" w:rsidRDefault="00F63DAE" w:rsidP="00593248">
      <w:pPr>
        <w:pStyle w:val="NormalWeb"/>
        <w:jc w:val="both"/>
      </w:pPr>
    </w:p>
    <w:p w14:paraId="24F7C9C9" w14:textId="77777777" w:rsidR="00926A22" w:rsidRDefault="00926A22" w:rsidP="00593248">
      <w:pPr>
        <w:pStyle w:val="NormalWeb"/>
        <w:jc w:val="both"/>
      </w:pPr>
    </w:p>
    <w:p w14:paraId="0C3F829A" w14:textId="77777777" w:rsidR="00F63DAE" w:rsidRDefault="00F63DAE" w:rsidP="00593248">
      <w:pPr>
        <w:pStyle w:val="NormalWeb"/>
        <w:jc w:val="both"/>
      </w:pPr>
    </w:p>
    <w:p w14:paraId="0F31D8A6" w14:textId="34BD7A95" w:rsidR="00123D43" w:rsidRDefault="00123D43" w:rsidP="00593248">
      <w:pPr>
        <w:pStyle w:val="NormalWeb"/>
        <w:jc w:val="both"/>
        <w:rPr>
          <w:b/>
        </w:rPr>
      </w:pPr>
      <w:r w:rsidRPr="00123D43">
        <w:rPr>
          <w:b/>
        </w:rPr>
        <w:lastRenderedPageBreak/>
        <w:t>System Integration and Organisational Oversight</w:t>
      </w:r>
    </w:p>
    <w:p w14:paraId="0358B0DA" w14:textId="6E3B7C31" w:rsidR="00123D43" w:rsidRDefault="00123D43" w:rsidP="00DB32AE">
      <w:pPr>
        <w:pStyle w:val="NormalWeb"/>
        <w:jc w:val="both"/>
      </w:pPr>
      <w:r>
        <w:t>System integration and oversight are central to the safe a</w:t>
      </w:r>
      <w:r w:rsidR="00926A22">
        <w:t>nd ethical use of DT</w:t>
      </w:r>
      <w:r>
        <w:t>, yet they are weakly addressed in much of the academic literature. Stud</w:t>
      </w:r>
      <w:r w:rsidR="00926A22">
        <w:t>ies of online and DT</w:t>
      </w:r>
      <w:r>
        <w:t xml:space="preserve"> in primary and urgent care show that these systems are often poorly integrated with existing clinical records and workflows, leading to duplication of work and incre</w:t>
      </w:r>
      <w:r w:rsidR="00F63DAE">
        <w:t xml:space="preserve">ased administrative burden </w:t>
      </w:r>
      <w:r>
        <w:t>(</w:t>
      </w:r>
      <w:proofErr w:type="spellStart"/>
      <w:r>
        <w:t>Paule</w:t>
      </w:r>
      <w:proofErr w:type="spellEnd"/>
      <w:r>
        <w:t xml:space="preserve"> et al 2025). When triage tools operate alongside, instead of within clinical systems, responsibility for decisions becomes less clear, raising concerns about accountability and governance.</w:t>
      </w:r>
    </w:p>
    <w:p w14:paraId="7C8544C7" w14:textId="103C1D33" w:rsidR="00123D43" w:rsidRDefault="00123D43" w:rsidP="00DB32AE">
      <w:pPr>
        <w:pStyle w:val="NormalWeb"/>
        <w:jc w:val="both"/>
      </w:pPr>
      <w:r>
        <w:t>Reviews of telephone and digitally supported triage further highligh</w:t>
      </w:r>
      <w:r w:rsidR="00DB32AE">
        <w:t>t how oversight is distributed between</w:t>
      </w:r>
      <w:r>
        <w:t xml:space="preserve"> non-clinical staf</w:t>
      </w:r>
      <w:r w:rsidR="00F63DAE">
        <w:t>f, clinicians</w:t>
      </w:r>
      <w:r>
        <w:t xml:space="preserve"> and decision-</w:t>
      </w:r>
      <w:r w:rsidR="00DB32AE">
        <w:t xml:space="preserve">support systems (Sexton et al </w:t>
      </w:r>
      <w:r>
        <w:t>2022; 2025). While these models are intended to support decision-making, they also make it difficult to identify who is responsible when triage decisions are incorrect. This is particularly relevant in sexual healt</w:t>
      </w:r>
      <w:r w:rsidR="00926A22">
        <w:t>h services, where DT</w:t>
      </w:r>
      <w:r>
        <w:t xml:space="preserve"> must connect with safeguarding processes, laborator</w:t>
      </w:r>
      <w:r w:rsidR="00F63DAE">
        <w:t>y testing</w:t>
      </w:r>
      <w:r>
        <w:t xml:space="preserve"> and legally regulated care pathways, all of which require clear escalation and audit mechanisms.</w:t>
      </w:r>
    </w:p>
    <w:p w14:paraId="1FAC7F3B" w14:textId="578C8820" w:rsidR="00123D43" w:rsidRDefault="00123D43" w:rsidP="00DB32AE">
      <w:pPr>
        <w:pStyle w:val="NormalWeb"/>
        <w:jc w:val="both"/>
      </w:pPr>
      <w:r>
        <w:t>Evidence on user behaviour reinforce</w:t>
      </w:r>
      <w:r w:rsidR="00DB32AE">
        <w:t xml:space="preserve">s these concerns. </w:t>
      </w:r>
      <w:r>
        <w:t xml:space="preserve">In sexual health contexts, where users may access services repeatedly and anonymously, </w:t>
      </w:r>
      <w:r w:rsidR="00AA2781">
        <w:t>fragmented data can hide patterns of risk and undermine safeguarding</w:t>
      </w:r>
      <w:r w:rsidR="00DB32AE">
        <w:t xml:space="preserve"> (</w:t>
      </w:r>
      <w:proofErr w:type="spellStart"/>
      <w:r w:rsidR="00DB32AE">
        <w:t>Accorsi</w:t>
      </w:r>
      <w:proofErr w:type="spellEnd"/>
      <w:r w:rsidR="00DB32AE">
        <w:t xml:space="preserve"> et al 2025)</w:t>
      </w:r>
      <w:r>
        <w:t>.</w:t>
      </w:r>
    </w:p>
    <w:p w14:paraId="3799B481" w14:textId="7C337A4E" w:rsidR="00123D43" w:rsidRDefault="00123D43" w:rsidP="00DB32AE">
      <w:pPr>
        <w:pStyle w:val="NormalWeb"/>
        <w:jc w:val="both"/>
      </w:pPr>
      <w:r>
        <w:t>Despite the importance of these issues, most studies of digital and AI-supported triage focus on technical performance or agreement with clinicians, rather than on how systems are go</w:t>
      </w:r>
      <w:r w:rsidR="00DB32AE">
        <w:t>verned in practice (Liu et al 2024; Levine et al</w:t>
      </w:r>
      <w:r>
        <w:t xml:space="preserve"> 2024</w:t>
      </w:r>
      <w:r w:rsidR="00CC69DC">
        <w:t xml:space="preserve">; Mani and </w:t>
      </w:r>
      <w:proofErr w:type="spellStart"/>
      <w:r w:rsidR="00CC69DC">
        <w:t>Albagawi</w:t>
      </w:r>
      <w:proofErr w:type="spellEnd"/>
      <w:r w:rsidR="00CC69DC">
        <w:t xml:space="preserve"> 2024</w:t>
      </w:r>
      <w:r>
        <w:t xml:space="preserve">). This </w:t>
      </w:r>
      <w:r w:rsidR="00DB32AE">
        <w:t>reflects</w:t>
      </w:r>
      <w:r>
        <w:t xml:space="preserve"> the wider ethical gap identified in the </w:t>
      </w:r>
      <w:r w:rsidR="00DB32AE">
        <w:t>literature.</w:t>
      </w:r>
      <w:r>
        <w:t xml:space="preserve"> </w:t>
      </w:r>
      <w:r w:rsidR="00DB32AE">
        <w:t>W</w:t>
      </w:r>
      <w:r>
        <w:t>hile policy and professional guidance emph</w:t>
      </w:r>
      <w:r w:rsidR="00F63DAE">
        <w:t>asise oversight, accountability</w:t>
      </w:r>
      <w:r>
        <w:t xml:space="preserve"> and safety, </w:t>
      </w:r>
      <w:r w:rsidR="00BE0E28">
        <w:t>practical</w:t>
      </w:r>
      <w:r>
        <w:t xml:space="preserve"> evaluations rarely test </w:t>
      </w:r>
      <w:r w:rsidR="00926A22">
        <w:t>whether DT</w:t>
      </w:r>
      <w:r>
        <w:t xml:space="preserve"> systems are capable of managing risk in services such as sexual health.</w:t>
      </w:r>
    </w:p>
    <w:p w14:paraId="7EA8D307" w14:textId="49EEE5CC" w:rsidR="00CE6FED" w:rsidRDefault="004300D1" w:rsidP="00CE6FED">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7D4CA6">
        <w:rPr>
          <w:rFonts w:ascii="Times New Roman" w:eastAsia="Times New Roman" w:hAnsi="Times New Roman" w:cs="Times New Roman"/>
          <w:b/>
          <w:bCs/>
          <w:sz w:val="28"/>
          <w:szCs w:val="28"/>
          <w:lang w:eastAsia="en-GB"/>
        </w:rPr>
        <w:t>Implementation Issues</w:t>
      </w:r>
    </w:p>
    <w:p w14:paraId="5AFF5A82" w14:textId="139A94F6" w:rsidR="007D4CA6" w:rsidRDefault="00926A22" w:rsidP="007D4CA6">
      <w:pPr>
        <w:pStyle w:val="NormalWeb"/>
        <w:jc w:val="both"/>
      </w:pPr>
      <w:r>
        <w:t>Introducing a DT</w:t>
      </w:r>
      <w:r w:rsidR="007D4CA6">
        <w:t xml:space="preserve"> tool into sexual health services raises implementation challenges that include technical performance, workflow, governance and accountability.</w:t>
      </w:r>
      <w:r w:rsidR="007D4CA6" w:rsidRPr="007D4CA6">
        <w:t xml:space="preserve"> </w:t>
      </w:r>
      <w:r w:rsidR="007D4CA6">
        <w:t>Academic evidence on digital and telephone triage suggests that instead of reducing workload, these systems often change how work is organised and distri</w:t>
      </w:r>
      <w:r>
        <w:t>buted. Reviews of DT</w:t>
      </w:r>
      <w:r w:rsidR="007D4CA6">
        <w:t xml:space="preserve"> and online consultation systems determine that digital tools can add extra steps by creating parallel access routes. This can lead to duplicated work when digital and non-digital pathways operate side by side (</w:t>
      </w:r>
      <w:proofErr w:type="spellStart"/>
      <w:r w:rsidR="007D4CA6">
        <w:t>Paule</w:t>
      </w:r>
      <w:proofErr w:type="spellEnd"/>
      <w:r w:rsidR="007D4CA6">
        <w:t xml:space="preserve"> et al 2025; Sexton et al 2022). This is particularly relevant in sexual health services, which manage high volumes of routine, low-risk patients alongside a small number of more urgent, high-risk presentations. </w:t>
      </w:r>
      <w:r w:rsidR="0013387D">
        <w:t xml:space="preserve">Redesigning workflows at the point of implementation would </w:t>
      </w:r>
      <w:r w:rsidR="00AA2781">
        <w:t>lessen</w:t>
      </w:r>
      <w:r w:rsidR="0013387D">
        <w:t xml:space="preserve"> this risk. Making clear decisions about which presentations are appropriate for digital entry, how digital and non-digital routes interact and how duplication will be avoided is key. </w:t>
      </w:r>
      <w:r w:rsidR="00F63DAE">
        <w:t>G</w:t>
      </w:r>
      <w:r w:rsidR="007D4CA6">
        <w:t>rey literature also reflects this concern through its emphasis on clinical governance, escalation pathways and accountability</w:t>
      </w:r>
      <w:r w:rsidR="00F63DAE">
        <w:t>,</w:t>
      </w:r>
      <w:r w:rsidR="007D4CA6">
        <w:t xml:space="preserve"> suggesting that implementation risks are organisational in nature rather t</w:t>
      </w:r>
      <w:r w:rsidR="000532C3">
        <w:t>han technical (BASHH &amp; FSRH 2020; NHS England 2025</w:t>
      </w:r>
      <w:r w:rsidR="007D4CA6">
        <w:t>).</w:t>
      </w:r>
    </w:p>
    <w:p w14:paraId="11400DF6" w14:textId="26E3F20E" w:rsidR="007D4CA6" w:rsidRDefault="007D4CA6" w:rsidP="00DD1709">
      <w:pPr>
        <w:pStyle w:val="NormalWeb"/>
        <w:jc w:val="both"/>
      </w:pPr>
      <w:r>
        <w:t>Clin</w:t>
      </w:r>
      <w:r w:rsidR="00F63DAE">
        <w:t>ical safety, professional trust</w:t>
      </w:r>
      <w:r>
        <w:t xml:space="preserve"> and accountability also present further implementation challenges. Academic studies highlight that clinicians have </w:t>
      </w:r>
      <w:r w:rsidR="00DD1709">
        <w:t>concerns</w:t>
      </w:r>
      <w:r>
        <w:t xml:space="preserve"> about</w:t>
      </w:r>
      <w:r w:rsidR="00DD1709">
        <w:t xml:space="preserve"> where</w:t>
      </w:r>
      <w:r>
        <w:t xml:space="preserve"> responsibility</w:t>
      </w:r>
      <w:r w:rsidR="00DD1709">
        <w:t xml:space="preserve"> lies</w:t>
      </w:r>
      <w:r>
        <w:t xml:space="preserve"> when algorithm-based or AI-supported triage </w:t>
      </w:r>
      <w:r w:rsidR="00DD1709">
        <w:t>makes</w:t>
      </w:r>
      <w:r>
        <w:t xml:space="preserve"> care decisions</w:t>
      </w:r>
      <w:r w:rsidR="00DD1709">
        <w:t xml:space="preserve"> (</w:t>
      </w:r>
      <w:proofErr w:type="spellStart"/>
      <w:r w:rsidR="00DD1709">
        <w:t>Esmaeilzadeh</w:t>
      </w:r>
      <w:proofErr w:type="spellEnd"/>
      <w:r w:rsidR="00DD1709">
        <w:t xml:space="preserve"> </w:t>
      </w:r>
      <w:r>
        <w:t xml:space="preserve">2020; Scott, Carter &amp; </w:t>
      </w:r>
      <w:proofErr w:type="spellStart"/>
      <w:r>
        <w:t>Coiera</w:t>
      </w:r>
      <w:proofErr w:type="spellEnd"/>
      <w:r>
        <w:t xml:space="preserve"> 2021). Reviews of AI use in triage identify</w:t>
      </w:r>
      <w:r w:rsidR="00DD1709">
        <w:t xml:space="preserve"> that</w:t>
      </w:r>
      <w:r>
        <w:t xml:space="preserve"> clinician education </w:t>
      </w:r>
      <w:r w:rsidR="00DD1709">
        <w:t>i</w:t>
      </w:r>
      <w:r>
        <w:t>s a recurring barrier</w:t>
      </w:r>
      <w:r w:rsidR="00DD1709">
        <w:t>. It is noted that</w:t>
      </w:r>
      <w:r>
        <w:t xml:space="preserve"> staff require training not only in system </w:t>
      </w:r>
      <w:r>
        <w:lastRenderedPageBreak/>
        <w:t xml:space="preserve">use but in understanding </w:t>
      </w:r>
      <w:r w:rsidR="00DD1709">
        <w:t xml:space="preserve">the </w:t>
      </w:r>
      <w:r>
        <w:t>system limitations and the continued necessity of human clinic</w:t>
      </w:r>
      <w:r w:rsidR="00DD1709">
        <w:t xml:space="preserve">al judgement (Mani &amp; </w:t>
      </w:r>
      <w:proofErr w:type="spellStart"/>
      <w:r w:rsidR="00DD1709">
        <w:t>Albagawi</w:t>
      </w:r>
      <w:proofErr w:type="spellEnd"/>
      <w:r>
        <w:t xml:space="preserve"> 2024; </w:t>
      </w:r>
      <w:proofErr w:type="spellStart"/>
      <w:r>
        <w:t>Siira</w:t>
      </w:r>
      <w:proofErr w:type="spellEnd"/>
      <w:r>
        <w:t xml:space="preserve"> et al 2025</w:t>
      </w:r>
      <w:r w:rsidR="00F63DAE">
        <w:t xml:space="preserve">; </w:t>
      </w:r>
      <w:proofErr w:type="spellStart"/>
      <w:r w:rsidR="00F63DAE">
        <w:t>Illicki</w:t>
      </w:r>
      <w:proofErr w:type="spellEnd"/>
      <w:r w:rsidR="00F63DAE">
        <w:t xml:space="preserve"> 2022; </w:t>
      </w:r>
      <w:proofErr w:type="spellStart"/>
      <w:r w:rsidR="00F63DAE">
        <w:t>Semigran</w:t>
      </w:r>
      <w:proofErr w:type="spellEnd"/>
      <w:r w:rsidR="00F63DAE">
        <w:t xml:space="preserve"> et al 2015</w:t>
      </w:r>
      <w:r>
        <w:t xml:space="preserve">). </w:t>
      </w:r>
      <w:r w:rsidR="00157084">
        <w:t>Providing structured and ongoing training for all staff involved in triage would mitigate this. Training should provide clear guidance on clinical accountability for triage and escalation decisions including when digital recommendations</w:t>
      </w:r>
      <w:r w:rsidR="00F63DAE">
        <w:t xml:space="preserve"> should be accepted, questioned</w:t>
      </w:r>
      <w:r w:rsidR="00157084">
        <w:t xml:space="preserve"> or overridden. </w:t>
      </w:r>
      <w:r>
        <w:t xml:space="preserve">These concerns </w:t>
      </w:r>
      <w:r w:rsidR="00DD1709">
        <w:t>are echoed within the</w:t>
      </w:r>
      <w:r>
        <w:t xml:space="preserve"> grey literature in sexual and reproductive health, which consistently </w:t>
      </w:r>
      <w:r w:rsidR="00DD1709">
        <w:t>states that</w:t>
      </w:r>
      <w:r w:rsidR="00926A22">
        <w:t xml:space="preserve"> DT</w:t>
      </w:r>
      <w:r>
        <w:t xml:space="preserve"> </w:t>
      </w:r>
      <w:r w:rsidR="00DD1709">
        <w:t>i</w:t>
      </w:r>
      <w:r>
        <w:t xml:space="preserve">s a decision-support tool rather than a replacement for professional judgement, and stresses the need for clear lines </w:t>
      </w:r>
      <w:r w:rsidR="00F63DAE">
        <w:t xml:space="preserve">of responsibility </w:t>
      </w:r>
      <w:r>
        <w:t xml:space="preserve">(BASHH </w:t>
      </w:r>
      <w:r w:rsidR="000532C3">
        <w:t>&amp; FSRH 2020</w:t>
      </w:r>
      <w:r>
        <w:t xml:space="preserve">; RCOG 2022). </w:t>
      </w:r>
    </w:p>
    <w:p w14:paraId="61645CF3" w14:textId="52672980" w:rsidR="007D4CA6" w:rsidRDefault="00DD1709" w:rsidP="00E07EFF">
      <w:pPr>
        <w:pStyle w:val="NormalWeb"/>
        <w:jc w:val="both"/>
      </w:pPr>
      <w:r>
        <w:t>Other issues for implementation include e</w:t>
      </w:r>
      <w:r w:rsidR="007D4CA6">
        <w:t xml:space="preserve">quity, digital literacy, </w:t>
      </w:r>
      <w:r w:rsidR="00157084">
        <w:t xml:space="preserve">data quality </w:t>
      </w:r>
      <w:r w:rsidR="007D4CA6">
        <w:t>and safeguarding</w:t>
      </w:r>
      <w:r>
        <w:t xml:space="preserve">. </w:t>
      </w:r>
      <w:r w:rsidR="007D4CA6">
        <w:t xml:space="preserve">Both academic and grey literature note that </w:t>
      </w:r>
      <w:r>
        <w:t xml:space="preserve">there are large disparities in the population regarding </w:t>
      </w:r>
      <w:r w:rsidR="007D4CA6">
        <w:t>digital access and capability</w:t>
      </w:r>
      <w:r>
        <w:t>.</w:t>
      </w:r>
      <w:r w:rsidR="007D4CA6">
        <w:t xml:space="preserve"> </w:t>
      </w:r>
      <w:r>
        <w:t>L</w:t>
      </w:r>
      <w:r w:rsidR="007D4CA6">
        <w:t>ower internet use</w:t>
      </w:r>
      <w:r>
        <w:t xml:space="preserve"> is</w:t>
      </w:r>
      <w:r w:rsidR="007D4CA6">
        <w:t xml:space="preserve"> associated with older age, socioeconomic deprivation</w:t>
      </w:r>
      <w:r w:rsidR="00F63DAE">
        <w:t>, language barriers, disability</w:t>
      </w:r>
      <w:r w:rsidR="007D4CA6">
        <w:t xml:space="preserve"> and lack of access to devices (Song, Sharp &amp; Davies</w:t>
      </w:r>
      <w:r>
        <w:t xml:space="preserve"> 2020; OHID</w:t>
      </w:r>
      <w:r w:rsidR="007D4CA6">
        <w:t xml:space="preserve"> 2023). In sexual health, these factors interact with stigma, confidentiality c</w:t>
      </w:r>
      <w:r>
        <w:t>oncerns and safeguarding risks</w:t>
      </w:r>
      <w:r w:rsidR="007D4CA6">
        <w:t xml:space="preserve"> meaning some users may be unable </w:t>
      </w:r>
      <w:r>
        <w:t xml:space="preserve">or unwilling </w:t>
      </w:r>
      <w:r w:rsidR="007D4CA6">
        <w:t>to engage with digital triage</w:t>
      </w:r>
      <w:r w:rsidR="00157084">
        <w:t>, or may provide incomplete or ambiguous information</w:t>
      </w:r>
      <w:r>
        <w:t>.</w:t>
      </w:r>
      <w:r w:rsidR="007D4CA6">
        <w:t xml:space="preserve"> </w:t>
      </w:r>
      <w:r w:rsidR="00157084">
        <w:t xml:space="preserve">To overcome this, triage tools should use structured, plain-language questions in </w:t>
      </w:r>
      <w:r w:rsidR="00AA2781">
        <w:t>keeping</w:t>
      </w:r>
      <w:r w:rsidR="00157084">
        <w:t xml:space="preserve"> with sexual health guidelines. </w:t>
      </w:r>
      <w:r>
        <w:t>The importance of maintain other channels to access services and clear routes to human support is emphasised in professional guidelines and standards (BASHH &amp; FSRH</w:t>
      </w:r>
      <w:r w:rsidR="000532C3">
        <w:t xml:space="preserve"> 2020</w:t>
      </w:r>
      <w:r w:rsidR="007D4CA6">
        <w:t>; NHS England</w:t>
      </w:r>
      <w:r>
        <w:t xml:space="preserve"> 202</w:t>
      </w:r>
      <w:r w:rsidR="000532C3">
        <w:t>5</w:t>
      </w:r>
      <w:r w:rsidR="007D4CA6">
        <w:t xml:space="preserve">). </w:t>
      </w:r>
      <w:r w:rsidR="00157084">
        <w:t xml:space="preserve">Strong governance arrangements are also required, including named clinical ownership of the triage system, routine audit </w:t>
      </w:r>
      <w:r w:rsidR="00AA2781">
        <w:t>of triage decisions</w:t>
      </w:r>
      <w:r w:rsidR="00157084">
        <w:t xml:space="preserve"> and clear escalation and incident-reporting processes to identify safety concerns. </w:t>
      </w:r>
      <w:r w:rsidR="00E07EFF">
        <w:t>Overall, t</w:t>
      </w:r>
      <w:r w:rsidR="007D4CA6">
        <w:t>he literature suggests</w:t>
      </w:r>
      <w:r w:rsidR="00926A22">
        <w:t xml:space="preserve"> that introducing DT</w:t>
      </w:r>
      <w:r w:rsidR="007D4CA6">
        <w:t xml:space="preserve"> without addressing workflow integration, cli</w:t>
      </w:r>
      <w:r w:rsidR="00F63DAE">
        <w:t>nician training, accountability</w:t>
      </w:r>
      <w:r w:rsidR="007D4CA6">
        <w:t xml:space="preserve"> and equity may increase risk</w:t>
      </w:r>
      <w:r w:rsidR="00F63DAE">
        <w:t>s</w:t>
      </w:r>
      <w:r w:rsidR="007D4CA6">
        <w:t xml:space="preserve"> rather than </w:t>
      </w:r>
      <w:r w:rsidR="00E07EFF">
        <w:t>providing</w:t>
      </w:r>
      <w:r w:rsidR="007D4CA6">
        <w:t xml:space="preserve"> improvements in access </w:t>
      </w:r>
      <w:r w:rsidR="00E07EFF">
        <w:t>to services.</w:t>
      </w:r>
    </w:p>
    <w:p w14:paraId="2DB3E381" w14:textId="6EA96987" w:rsidR="008263E9" w:rsidRDefault="00D613FF" w:rsidP="00CE6FED">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D613FF">
        <w:rPr>
          <w:rFonts w:ascii="Times New Roman" w:eastAsia="Times New Roman" w:hAnsi="Times New Roman" w:cs="Times New Roman"/>
          <w:b/>
          <w:bCs/>
          <w:sz w:val="28"/>
          <w:szCs w:val="28"/>
          <w:lang w:eastAsia="en-GB"/>
        </w:rPr>
        <w:t>Evaluation</w:t>
      </w:r>
      <w:r w:rsidR="00DF433B">
        <w:rPr>
          <w:rFonts w:ascii="Times New Roman" w:eastAsia="Times New Roman" w:hAnsi="Times New Roman" w:cs="Times New Roman"/>
          <w:b/>
          <w:bCs/>
          <w:sz w:val="28"/>
          <w:szCs w:val="28"/>
          <w:lang w:eastAsia="en-GB"/>
        </w:rPr>
        <w:t xml:space="preserve"> and Recommendations</w:t>
      </w:r>
    </w:p>
    <w:p w14:paraId="7E4E828C" w14:textId="149B2014" w:rsidR="00A12D0F" w:rsidRPr="00A12D0F" w:rsidRDefault="00A12D0F" w:rsidP="00A12D0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12D0F">
        <w:rPr>
          <w:rFonts w:ascii="Times New Roman" w:eastAsia="Times New Roman" w:hAnsi="Times New Roman" w:cs="Times New Roman"/>
          <w:sz w:val="24"/>
          <w:szCs w:val="24"/>
          <w:lang w:eastAsia="en-GB"/>
        </w:rPr>
        <w:t>Evaluation is essential for any new service initiative to assess quality, impact, and whether intended outcomes are achieved. Applying a structured evaluation methodology enables a determination of</w:t>
      </w:r>
      <w:r w:rsidR="00926A22">
        <w:rPr>
          <w:rFonts w:ascii="Times New Roman" w:eastAsia="Times New Roman" w:hAnsi="Times New Roman" w:cs="Times New Roman"/>
          <w:sz w:val="24"/>
          <w:szCs w:val="24"/>
          <w:lang w:eastAsia="en-GB"/>
        </w:rPr>
        <w:t xml:space="preserve"> the value of the DT</w:t>
      </w:r>
      <w:r w:rsidRPr="00A12D0F">
        <w:rPr>
          <w:rFonts w:ascii="Times New Roman" w:eastAsia="Times New Roman" w:hAnsi="Times New Roman" w:cs="Times New Roman"/>
          <w:sz w:val="24"/>
          <w:szCs w:val="24"/>
          <w:lang w:eastAsia="en-GB"/>
        </w:rPr>
        <w:t xml:space="preserve"> tool within ISH services and supports ref</w:t>
      </w:r>
      <w:r>
        <w:rPr>
          <w:rFonts w:ascii="Times New Roman" w:eastAsia="Times New Roman" w:hAnsi="Times New Roman" w:cs="Times New Roman"/>
          <w:sz w:val="24"/>
          <w:szCs w:val="24"/>
          <w:lang w:eastAsia="en-GB"/>
        </w:rPr>
        <w:t>inement or wider implementation.</w:t>
      </w:r>
    </w:p>
    <w:p w14:paraId="6D21586E" w14:textId="334A66FA" w:rsidR="00A12D0F" w:rsidRDefault="00A12D0F" w:rsidP="008A64D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12D0F">
        <w:rPr>
          <w:rFonts w:ascii="Times New Roman" w:eastAsia="Times New Roman" w:hAnsi="Times New Roman" w:cs="Times New Roman"/>
          <w:sz w:val="24"/>
          <w:szCs w:val="24"/>
          <w:lang w:eastAsia="en-GB"/>
        </w:rPr>
        <w:t xml:space="preserve">The implementation of the digital triage tool </w:t>
      </w:r>
      <w:r>
        <w:rPr>
          <w:rFonts w:ascii="Times New Roman" w:eastAsia="Times New Roman" w:hAnsi="Times New Roman" w:cs="Times New Roman"/>
          <w:sz w:val="24"/>
          <w:szCs w:val="24"/>
          <w:lang w:eastAsia="en-GB"/>
        </w:rPr>
        <w:t>could</w:t>
      </w:r>
      <w:r w:rsidRPr="00A12D0F">
        <w:rPr>
          <w:rFonts w:ascii="Times New Roman" w:eastAsia="Times New Roman" w:hAnsi="Times New Roman" w:cs="Times New Roman"/>
          <w:sz w:val="24"/>
          <w:szCs w:val="24"/>
          <w:lang w:eastAsia="en-GB"/>
        </w:rPr>
        <w:t xml:space="preserve"> be evaluated using the </w:t>
      </w:r>
      <w:r>
        <w:rPr>
          <w:rFonts w:ascii="Times New Roman" w:eastAsia="Times New Roman" w:hAnsi="Times New Roman" w:cs="Times New Roman"/>
          <w:sz w:val="24"/>
          <w:szCs w:val="24"/>
          <w:lang w:eastAsia="en-GB"/>
        </w:rPr>
        <w:t>‘</w:t>
      </w:r>
      <w:r w:rsidRPr="00A12D0F">
        <w:rPr>
          <w:rFonts w:ascii="Times New Roman" w:eastAsia="Times New Roman" w:hAnsi="Times New Roman" w:cs="Times New Roman"/>
          <w:iCs/>
          <w:sz w:val="24"/>
          <w:szCs w:val="24"/>
          <w:lang w:eastAsia="en-GB"/>
        </w:rPr>
        <w:t>Model for Improvement’</w:t>
      </w:r>
      <w:r w:rsidRPr="00A12D0F">
        <w:rPr>
          <w:rFonts w:ascii="Times New Roman" w:eastAsia="Times New Roman" w:hAnsi="Times New Roman" w:cs="Times New Roman"/>
          <w:sz w:val="24"/>
          <w:szCs w:val="24"/>
          <w:lang w:eastAsia="en-GB"/>
        </w:rPr>
        <w:t xml:space="preserve">, a widely used healthcare quality improvement framework (Improvement </w:t>
      </w:r>
      <w:proofErr w:type="spellStart"/>
      <w:r w:rsidRPr="00A12D0F">
        <w:rPr>
          <w:rFonts w:ascii="Times New Roman" w:eastAsia="Times New Roman" w:hAnsi="Times New Roman" w:cs="Times New Roman"/>
          <w:sz w:val="24"/>
          <w:szCs w:val="24"/>
          <w:lang w:eastAsia="en-GB"/>
        </w:rPr>
        <w:t>Cymru</w:t>
      </w:r>
      <w:proofErr w:type="spellEnd"/>
      <w:r w:rsidRPr="00A12D0F">
        <w:rPr>
          <w:rFonts w:ascii="Times New Roman" w:eastAsia="Times New Roman" w:hAnsi="Times New Roman" w:cs="Times New Roman"/>
          <w:sz w:val="24"/>
          <w:szCs w:val="24"/>
          <w:lang w:eastAsia="en-GB"/>
        </w:rPr>
        <w:t xml:space="preserve"> 2023). This model is well suited to digital triage as it combines clear evaluative questions with testing through Plan–Do–Study–Act (PDSA) cycl</w:t>
      </w:r>
      <w:r>
        <w:rPr>
          <w:rFonts w:ascii="Times New Roman" w:eastAsia="Times New Roman" w:hAnsi="Times New Roman" w:cs="Times New Roman"/>
          <w:sz w:val="24"/>
          <w:szCs w:val="24"/>
          <w:lang w:eastAsia="en-GB"/>
        </w:rPr>
        <w:t xml:space="preserve">es. </w:t>
      </w:r>
      <w:r w:rsidRPr="00A12D0F">
        <w:rPr>
          <w:rFonts w:ascii="Times New Roman" w:eastAsia="Times New Roman" w:hAnsi="Times New Roman" w:cs="Times New Roman"/>
          <w:sz w:val="24"/>
          <w:szCs w:val="24"/>
          <w:lang w:eastAsia="en-GB"/>
        </w:rPr>
        <w:t>Evidence suggests that PDSA-based approaches can lead to meaningful improvements in healthcare outcomes (</w:t>
      </w:r>
      <w:proofErr w:type="spellStart"/>
      <w:r w:rsidRPr="00A12D0F">
        <w:rPr>
          <w:rFonts w:ascii="Times New Roman" w:eastAsia="Times New Roman" w:hAnsi="Times New Roman" w:cs="Times New Roman"/>
          <w:sz w:val="24"/>
          <w:szCs w:val="24"/>
          <w:lang w:eastAsia="en-GB"/>
        </w:rPr>
        <w:t>Varkey</w:t>
      </w:r>
      <w:proofErr w:type="spellEnd"/>
      <w:r w:rsidRPr="00A12D0F">
        <w:rPr>
          <w:rFonts w:ascii="Times New Roman" w:eastAsia="Times New Roman" w:hAnsi="Times New Roman" w:cs="Times New Roman"/>
          <w:sz w:val="24"/>
          <w:szCs w:val="24"/>
          <w:lang w:eastAsia="en-GB"/>
        </w:rPr>
        <w:t xml:space="preserve"> et al. 2007).</w:t>
      </w:r>
    </w:p>
    <w:p w14:paraId="54D36BBD" w14:textId="3431D1A7" w:rsidR="00A12D0F" w:rsidRDefault="00A12D0F" w:rsidP="00A12D0F">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three guiding questions</w:t>
      </w:r>
      <w:r w:rsidRPr="00A12D0F">
        <w:rPr>
          <w:rFonts w:ascii="Times New Roman" w:eastAsia="Times New Roman" w:hAnsi="Times New Roman" w:cs="Times New Roman"/>
          <w:sz w:val="24"/>
          <w:szCs w:val="24"/>
          <w:lang w:eastAsia="en-GB"/>
        </w:rPr>
        <w:t xml:space="preserve"> provide a structured approach to assessing whether the tool enhances access, safety, </w:t>
      </w:r>
      <w:proofErr w:type="gramStart"/>
      <w:r w:rsidRPr="00A12D0F">
        <w:rPr>
          <w:rFonts w:ascii="Times New Roman" w:eastAsia="Times New Roman" w:hAnsi="Times New Roman" w:cs="Times New Roman"/>
          <w:sz w:val="24"/>
          <w:szCs w:val="24"/>
          <w:lang w:eastAsia="en-GB"/>
        </w:rPr>
        <w:t>efficiency</w:t>
      </w:r>
      <w:proofErr w:type="gramEnd"/>
      <w:r w:rsidRPr="00A12D0F">
        <w:rPr>
          <w:rFonts w:ascii="Times New Roman" w:eastAsia="Times New Roman" w:hAnsi="Times New Roman" w:cs="Times New Roman"/>
          <w:sz w:val="24"/>
          <w:szCs w:val="24"/>
          <w:lang w:eastAsia="en-GB"/>
        </w:rPr>
        <w:t xml:space="preserve"> and user experienc</w:t>
      </w:r>
      <w:r>
        <w:rPr>
          <w:rFonts w:ascii="Times New Roman" w:eastAsia="Times New Roman" w:hAnsi="Times New Roman" w:cs="Times New Roman"/>
          <w:sz w:val="24"/>
          <w:szCs w:val="24"/>
          <w:lang w:eastAsia="en-GB"/>
        </w:rPr>
        <w:t xml:space="preserve">e within </w:t>
      </w:r>
      <w:r w:rsidR="00C43B52">
        <w:rPr>
          <w:rFonts w:ascii="Times New Roman" w:eastAsia="Times New Roman" w:hAnsi="Times New Roman" w:cs="Times New Roman"/>
          <w:sz w:val="24"/>
          <w:szCs w:val="24"/>
          <w:lang w:eastAsia="en-GB"/>
        </w:rPr>
        <w:t>ISH</w:t>
      </w:r>
      <w:r>
        <w:rPr>
          <w:rFonts w:ascii="Times New Roman" w:eastAsia="Times New Roman" w:hAnsi="Times New Roman" w:cs="Times New Roman"/>
          <w:sz w:val="24"/>
          <w:szCs w:val="24"/>
          <w:lang w:eastAsia="en-GB"/>
        </w:rPr>
        <w:t>:</w:t>
      </w:r>
    </w:p>
    <w:p w14:paraId="07B3829E" w14:textId="207F0015" w:rsidR="00A12D0F" w:rsidRPr="00A12D0F" w:rsidRDefault="00A12D0F" w:rsidP="00A12D0F">
      <w:pPr>
        <w:pStyle w:val="ListParagraph"/>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12D0F">
        <w:rPr>
          <w:rFonts w:ascii="Times New Roman" w:eastAsia="Times New Roman" w:hAnsi="Times New Roman" w:cs="Times New Roman"/>
          <w:iCs/>
          <w:sz w:val="24"/>
          <w:szCs w:val="24"/>
          <w:lang w:eastAsia="en-GB"/>
        </w:rPr>
        <w:t>what</w:t>
      </w:r>
      <w:proofErr w:type="gramEnd"/>
      <w:r w:rsidRPr="00A12D0F">
        <w:rPr>
          <w:rFonts w:ascii="Times New Roman" w:eastAsia="Times New Roman" w:hAnsi="Times New Roman" w:cs="Times New Roman"/>
          <w:iCs/>
          <w:sz w:val="24"/>
          <w:szCs w:val="24"/>
          <w:lang w:eastAsia="en-GB"/>
        </w:rPr>
        <w:t xml:space="preserve"> are we trying to accomplish?</w:t>
      </w:r>
    </w:p>
    <w:p w14:paraId="70AF72C3" w14:textId="27A92F0E" w:rsidR="00A12D0F" w:rsidRPr="00A12D0F" w:rsidRDefault="00A12D0F" w:rsidP="00A12D0F">
      <w:pPr>
        <w:pStyle w:val="ListParagraph"/>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12D0F">
        <w:rPr>
          <w:rFonts w:ascii="Times New Roman" w:eastAsia="Times New Roman" w:hAnsi="Times New Roman" w:cs="Times New Roman"/>
          <w:iCs/>
          <w:sz w:val="24"/>
          <w:szCs w:val="24"/>
          <w:lang w:eastAsia="en-GB"/>
        </w:rPr>
        <w:t>how</w:t>
      </w:r>
      <w:proofErr w:type="gramEnd"/>
      <w:r w:rsidRPr="00A12D0F">
        <w:rPr>
          <w:rFonts w:ascii="Times New Roman" w:eastAsia="Times New Roman" w:hAnsi="Times New Roman" w:cs="Times New Roman"/>
          <w:iCs/>
          <w:sz w:val="24"/>
          <w:szCs w:val="24"/>
          <w:lang w:eastAsia="en-GB"/>
        </w:rPr>
        <w:t xml:space="preserve"> will we know a change is an improvement?</w:t>
      </w:r>
    </w:p>
    <w:p w14:paraId="2A88E168" w14:textId="29F33DFE" w:rsidR="00A12D0F" w:rsidRPr="00A12D0F" w:rsidRDefault="00A12D0F" w:rsidP="00A12D0F">
      <w:pPr>
        <w:pStyle w:val="ListParagraph"/>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12D0F">
        <w:rPr>
          <w:rFonts w:ascii="Times New Roman" w:eastAsia="Times New Roman" w:hAnsi="Times New Roman" w:cs="Times New Roman"/>
          <w:iCs/>
          <w:sz w:val="24"/>
          <w:szCs w:val="24"/>
          <w:lang w:eastAsia="en-GB"/>
        </w:rPr>
        <w:t>what</w:t>
      </w:r>
      <w:proofErr w:type="gramEnd"/>
      <w:r w:rsidRPr="00A12D0F">
        <w:rPr>
          <w:rFonts w:ascii="Times New Roman" w:eastAsia="Times New Roman" w:hAnsi="Times New Roman" w:cs="Times New Roman"/>
          <w:iCs/>
          <w:sz w:val="24"/>
          <w:szCs w:val="24"/>
          <w:lang w:eastAsia="en-GB"/>
        </w:rPr>
        <w:t xml:space="preserve"> changes will result in improvement?</w:t>
      </w:r>
    </w:p>
    <w:p w14:paraId="739DF729" w14:textId="77777777" w:rsidR="00A12D0F" w:rsidRPr="00A12D0F" w:rsidRDefault="00A12D0F" w:rsidP="00A12D0F">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14:paraId="11950F21" w14:textId="07A0A7F5" w:rsidR="00A12D0F" w:rsidRDefault="00A12D0F" w:rsidP="00A12D0F">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71301">
        <w:rPr>
          <w:rFonts w:ascii="Arial" w:hAnsi="Arial" w:cs="Arial"/>
          <w:noProof/>
          <w:sz w:val="24"/>
          <w:szCs w:val="24"/>
          <w:lang w:eastAsia="en-GB"/>
        </w:rPr>
        <w:lastRenderedPageBreak/>
        <w:drawing>
          <wp:inline distT="0" distB="0" distL="0" distR="0" wp14:anchorId="58B9239F" wp14:editId="51987E3A">
            <wp:extent cx="4199860" cy="2799907"/>
            <wp:effectExtent l="0" t="0" r="0" b="635"/>
            <wp:docPr id="6" name="Picture 6" descr="QIST model for improvement - HE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IST model for improvement - HEI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9748" cy="2839832"/>
                    </a:xfrm>
                    <a:prstGeom prst="rect">
                      <a:avLst/>
                    </a:prstGeom>
                    <a:noFill/>
                    <a:ln>
                      <a:noFill/>
                    </a:ln>
                  </pic:spPr>
                </pic:pic>
              </a:graphicData>
            </a:graphic>
          </wp:inline>
        </w:drawing>
      </w:r>
    </w:p>
    <w:p w14:paraId="7F68F821" w14:textId="684475FE" w:rsidR="00A12D0F" w:rsidRPr="00A12D0F" w:rsidRDefault="00A12D0F" w:rsidP="00A12D0F">
      <w:pPr>
        <w:pStyle w:val="ListParagraph"/>
        <w:ind w:left="1080"/>
        <w:rPr>
          <w:rFonts w:ascii="Times New Roman" w:hAnsi="Times New Roman" w:cs="Times New Roman"/>
          <w:i/>
          <w:sz w:val="24"/>
          <w:szCs w:val="24"/>
        </w:rPr>
      </w:pPr>
      <w:r w:rsidRPr="00A12D0F">
        <w:rPr>
          <w:rFonts w:ascii="Times New Roman" w:hAnsi="Times New Roman" w:cs="Times New Roman"/>
          <w:i/>
          <w:sz w:val="24"/>
          <w:szCs w:val="24"/>
        </w:rPr>
        <w:t xml:space="preserve">Figure </w:t>
      </w:r>
      <w:r w:rsidR="005F5991">
        <w:rPr>
          <w:rFonts w:ascii="Times New Roman" w:hAnsi="Times New Roman" w:cs="Times New Roman"/>
          <w:i/>
          <w:sz w:val="24"/>
          <w:szCs w:val="24"/>
        </w:rPr>
        <w:t>4</w:t>
      </w:r>
      <w:r w:rsidRPr="00A12D0F">
        <w:rPr>
          <w:rFonts w:ascii="Times New Roman" w:hAnsi="Times New Roman" w:cs="Times New Roman"/>
          <w:i/>
          <w:sz w:val="24"/>
          <w:szCs w:val="24"/>
        </w:rPr>
        <w:t xml:space="preserve">: Illustration of the Model for Improvement (Improvement </w:t>
      </w:r>
      <w:proofErr w:type="spellStart"/>
      <w:r w:rsidRPr="00A12D0F">
        <w:rPr>
          <w:rFonts w:ascii="Times New Roman" w:hAnsi="Times New Roman" w:cs="Times New Roman"/>
          <w:i/>
          <w:sz w:val="24"/>
          <w:szCs w:val="24"/>
        </w:rPr>
        <w:t>Cymru</w:t>
      </w:r>
      <w:proofErr w:type="spellEnd"/>
      <w:r w:rsidRPr="00A12D0F">
        <w:rPr>
          <w:rFonts w:ascii="Times New Roman" w:hAnsi="Times New Roman" w:cs="Times New Roman"/>
          <w:i/>
          <w:sz w:val="24"/>
          <w:szCs w:val="24"/>
        </w:rPr>
        <w:t xml:space="preserve"> 2023)</w:t>
      </w:r>
    </w:p>
    <w:p w14:paraId="39581E9F" w14:textId="77777777" w:rsidR="00A12D0F" w:rsidRPr="00A12D0F" w:rsidRDefault="00A12D0F" w:rsidP="00A12D0F">
      <w:pPr>
        <w:spacing w:before="100" w:beforeAutospacing="1" w:after="100" w:afterAutospacing="1" w:line="240" w:lineRule="auto"/>
        <w:jc w:val="center"/>
        <w:rPr>
          <w:rFonts w:ascii="Times New Roman" w:eastAsia="Times New Roman" w:hAnsi="Times New Roman" w:cs="Times New Roman"/>
          <w:sz w:val="24"/>
          <w:szCs w:val="24"/>
          <w:lang w:eastAsia="en-GB"/>
        </w:rPr>
      </w:pPr>
    </w:p>
    <w:p w14:paraId="2FF80E19" w14:textId="4BBFF91D" w:rsidR="00A12D0F" w:rsidRPr="00DA7968" w:rsidRDefault="00DF433B" w:rsidP="00A12D0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F433B">
        <w:rPr>
          <w:rFonts w:ascii="Times New Roman" w:hAnsi="Times New Roman" w:cs="Times New Roman"/>
          <w:sz w:val="24"/>
          <w:szCs w:val="24"/>
        </w:rPr>
        <w:t>Early PDSA cycles should prioritise real-patient audit rat</w:t>
      </w:r>
      <w:r w:rsidR="00DA7968">
        <w:rPr>
          <w:rFonts w:ascii="Times New Roman" w:hAnsi="Times New Roman" w:cs="Times New Roman"/>
          <w:sz w:val="24"/>
          <w:szCs w:val="24"/>
        </w:rPr>
        <w:t>her than vignette-based testing and d</w:t>
      </w:r>
      <w:r w:rsidR="00A12D0F" w:rsidRPr="00A12D0F">
        <w:rPr>
          <w:rFonts w:ascii="Times New Roman" w:eastAsia="Times New Roman" w:hAnsi="Times New Roman" w:cs="Times New Roman"/>
          <w:sz w:val="24"/>
          <w:szCs w:val="24"/>
          <w:lang w:eastAsia="en-GB"/>
        </w:rPr>
        <w:t xml:space="preserve">ata should be collected both before and after implementation to assess change over time. </w:t>
      </w:r>
      <w:r w:rsidR="00200EB2" w:rsidRPr="002F7C49">
        <w:rPr>
          <w:rFonts w:ascii="Times New Roman" w:eastAsia="Times New Roman" w:hAnsi="Times New Roman" w:cs="Times New Roman"/>
          <w:sz w:val="24"/>
          <w:szCs w:val="24"/>
          <w:lang w:eastAsia="en-GB"/>
        </w:rPr>
        <w:t>I</w:t>
      </w:r>
      <w:r w:rsidRPr="002F7C49">
        <w:rPr>
          <w:rFonts w:ascii="Times New Roman" w:eastAsia="Times New Roman" w:hAnsi="Times New Roman" w:cs="Times New Roman"/>
          <w:sz w:val="24"/>
          <w:szCs w:val="24"/>
          <w:lang w:eastAsia="en-GB"/>
        </w:rPr>
        <w:t>ndicators</w:t>
      </w:r>
      <w:r w:rsidRPr="002F7C49">
        <w:rPr>
          <w:rFonts w:ascii="Times New Roman" w:hAnsi="Times New Roman" w:cs="Times New Roman"/>
          <w:sz w:val="24"/>
          <w:szCs w:val="24"/>
        </w:rPr>
        <w:t xml:space="preserve"> should include safeguarding detection and escalation rates, alongside patient and staff experience, system efficiency and health outcomes.</w:t>
      </w:r>
      <w:r w:rsidRPr="002F7C49">
        <w:rPr>
          <w:rFonts w:ascii="Times New Roman" w:hAnsi="Times New Roman" w:cs="Times New Roman"/>
          <w:sz w:val="24"/>
          <w:szCs w:val="24"/>
        </w:rPr>
        <w:t xml:space="preserve"> </w:t>
      </w:r>
      <w:r w:rsidR="00200EB2" w:rsidRPr="002F7C49">
        <w:rPr>
          <w:rFonts w:ascii="Times New Roman" w:eastAsia="Times New Roman" w:hAnsi="Times New Roman" w:cs="Times New Roman"/>
          <w:sz w:val="24"/>
          <w:szCs w:val="24"/>
          <w:lang w:eastAsia="en-GB"/>
        </w:rPr>
        <w:t>E</w:t>
      </w:r>
      <w:r w:rsidR="00A12D0F" w:rsidRPr="002F7C49">
        <w:rPr>
          <w:rFonts w:ascii="Times New Roman" w:eastAsia="Times New Roman" w:hAnsi="Times New Roman" w:cs="Times New Roman"/>
          <w:sz w:val="24"/>
          <w:szCs w:val="24"/>
          <w:lang w:eastAsia="en-GB"/>
        </w:rPr>
        <w:t>valuation must extend beyond technical performance to consider equity of access and integration with existing clinical workflows</w:t>
      </w:r>
      <w:r w:rsidR="00200EB2" w:rsidRPr="002F7C49">
        <w:rPr>
          <w:rFonts w:ascii="Times New Roman" w:eastAsia="Times New Roman" w:hAnsi="Times New Roman" w:cs="Times New Roman"/>
          <w:sz w:val="24"/>
          <w:szCs w:val="24"/>
          <w:lang w:eastAsia="en-GB"/>
        </w:rPr>
        <w:t xml:space="preserve"> due to</w:t>
      </w:r>
      <w:r w:rsidR="00C43B52" w:rsidRPr="002F7C49">
        <w:rPr>
          <w:rFonts w:ascii="Times New Roman" w:eastAsia="Times New Roman" w:hAnsi="Times New Roman" w:cs="Times New Roman"/>
          <w:sz w:val="24"/>
          <w:szCs w:val="24"/>
          <w:lang w:eastAsia="en-GB"/>
        </w:rPr>
        <w:t xml:space="preserve"> the complexity</w:t>
      </w:r>
      <w:r w:rsidR="00C43B52">
        <w:rPr>
          <w:rFonts w:ascii="Times New Roman" w:eastAsia="Times New Roman" w:hAnsi="Times New Roman" w:cs="Times New Roman"/>
          <w:sz w:val="24"/>
          <w:szCs w:val="24"/>
          <w:lang w:eastAsia="en-GB"/>
        </w:rPr>
        <w:t xml:space="preserve"> of ISH</w:t>
      </w:r>
      <w:r w:rsidR="00200EB2">
        <w:rPr>
          <w:rFonts w:ascii="Times New Roman" w:eastAsia="Times New Roman" w:hAnsi="Times New Roman" w:cs="Times New Roman"/>
          <w:sz w:val="24"/>
          <w:szCs w:val="24"/>
          <w:lang w:eastAsia="en-GB"/>
        </w:rPr>
        <w:t xml:space="preserve"> services</w:t>
      </w:r>
      <w:r w:rsidR="00A12D0F">
        <w:rPr>
          <w:rFonts w:ascii="Times New Roman" w:eastAsia="Times New Roman" w:hAnsi="Times New Roman" w:cs="Times New Roman"/>
          <w:sz w:val="24"/>
          <w:szCs w:val="24"/>
          <w:lang w:eastAsia="en-GB"/>
        </w:rPr>
        <w:t>.</w:t>
      </w:r>
      <w:r w:rsidR="00A12D0F" w:rsidRPr="00A12D0F">
        <w:rPr>
          <w:rFonts w:ascii="Times New Roman" w:eastAsia="Times New Roman" w:hAnsi="Times New Roman" w:cs="Times New Roman"/>
          <w:sz w:val="24"/>
          <w:szCs w:val="24"/>
          <w:lang w:eastAsia="en-GB"/>
        </w:rPr>
        <w:t xml:space="preserve"> </w:t>
      </w:r>
      <w:r w:rsidRPr="002F7C49">
        <w:rPr>
          <w:rFonts w:ascii="Times New Roman" w:hAnsi="Times New Roman" w:cs="Times New Roman"/>
          <w:sz w:val="24"/>
          <w:szCs w:val="24"/>
        </w:rPr>
        <w:t xml:space="preserve">This should include </w:t>
      </w:r>
      <w:r w:rsidRPr="002F7C49">
        <w:rPr>
          <w:rFonts w:ascii="Times New Roman" w:hAnsi="Times New Roman" w:cs="Times New Roman"/>
          <w:sz w:val="24"/>
          <w:szCs w:val="24"/>
        </w:rPr>
        <w:t xml:space="preserve">analysis by age, deprivation and access </w:t>
      </w:r>
      <w:r w:rsidRPr="00DA7968">
        <w:rPr>
          <w:rFonts w:ascii="Times New Roman" w:hAnsi="Times New Roman" w:cs="Times New Roman"/>
          <w:sz w:val="24"/>
          <w:szCs w:val="24"/>
        </w:rPr>
        <w:t>rou</w:t>
      </w:r>
      <w:r w:rsidR="002F7C49" w:rsidRPr="00DA7968">
        <w:rPr>
          <w:rFonts w:ascii="Times New Roman" w:hAnsi="Times New Roman" w:cs="Times New Roman"/>
          <w:sz w:val="24"/>
          <w:szCs w:val="24"/>
        </w:rPr>
        <w:t xml:space="preserve">te </w:t>
      </w:r>
      <w:r w:rsidR="002F7C49" w:rsidRPr="00DA7968">
        <w:rPr>
          <w:rFonts w:ascii="Times New Roman" w:hAnsi="Times New Roman" w:cs="Times New Roman"/>
          <w:sz w:val="24"/>
          <w:szCs w:val="24"/>
        </w:rPr>
        <w:t>to identify patterns of digital exclusion or unintended barriers to care</w:t>
      </w:r>
      <w:r w:rsidRPr="00DA7968">
        <w:rPr>
          <w:rFonts w:ascii="Times New Roman" w:hAnsi="Times New Roman" w:cs="Times New Roman"/>
          <w:sz w:val="24"/>
          <w:szCs w:val="24"/>
        </w:rPr>
        <w:t>.</w:t>
      </w:r>
      <w:r w:rsidRPr="00DA7968">
        <w:rPr>
          <w:rFonts w:ascii="Times New Roman" w:hAnsi="Times New Roman" w:cs="Times New Roman"/>
          <w:sz w:val="24"/>
          <w:szCs w:val="24"/>
        </w:rPr>
        <w:t xml:space="preserve"> </w:t>
      </w:r>
      <w:r w:rsidRPr="00DA7968">
        <w:rPr>
          <w:rFonts w:ascii="Times New Roman" w:hAnsi="Times New Roman" w:cs="Times New Roman"/>
          <w:sz w:val="24"/>
          <w:szCs w:val="24"/>
        </w:rPr>
        <w:t>Ongoing telephone and face-to-face access should be monitored to e</w:t>
      </w:r>
      <w:r w:rsidR="002F7C49" w:rsidRPr="00DA7968">
        <w:rPr>
          <w:rFonts w:ascii="Times New Roman" w:hAnsi="Times New Roman" w:cs="Times New Roman"/>
          <w:sz w:val="24"/>
          <w:szCs w:val="24"/>
        </w:rPr>
        <w:t>nsure that digital triage compli</w:t>
      </w:r>
      <w:r w:rsidRPr="00DA7968">
        <w:rPr>
          <w:rFonts w:ascii="Times New Roman" w:hAnsi="Times New Roman" w:cs="Times New Roman"/>
          <w:sz w:val="24"/>
          <w:szCs w:val="24"/>
        </w:rPr>
        <w:t>ments</w:t>
      </w:r>
      <w:r w:rsidR="002F7C49" w:rsidRPr="00DA7968">
        <w:rPr>
          <w:rFonts w:ascii="Times New Roman" w:hAnsi="Times New Roman" w:cs="Times New Roman"/>
          <w:sz w:val="24"/>
          <w:szCs w:val="24"/>
        </w:rPr>
        <w:t>,</w:t>
      </w:r>
      <w:r w:rsidRPr="00DA7968">
        <w:rPr>
          <w:rFonts w:ascii="Times New Roman" w:hAnsi="Times New Roman" w:cs="Times New Roman"/>
          <w:sz w:val="24"/>
          <w:szCs w:val="24"/>
        </w:rPr>
        <w:t xml:space="preserve"> rather than replaces inclusive service provision.</w:t>
      </w:r>
    </w:p>
    <w:p w14:paraId="061896D8" w14:textId="23FF5C22" w:rsidR="00AD60F1" w:rsidRDefault="00AD60F1" w:rsidP="00AD60F1">
      <w:pPr>
        <w:pStyle w:val="NormalWeb"/>
        <w:jc w:val="both"/>
      </w:pPr>
      <w:r>
        <w:t xml:space="preserve">A mixed-methods approach should be used to support a thorough </w:t>
      </w:r>
      <w:r w:rsidR="00926A22">
        <w:t>evaluation of the DT</w:t>
      </w:r>
      <w:r w:rsidR="002F7C49">
        <w:t xml:space="preserve"> tool. </w:t>
      </w:r>
      <w:r w:rsidR="00DF433B">
        <w:t xml:space="preserve">Quantitative measures may include accuracy of appointment allocation, rates of under-triage in high-risk </w:t>
      </w:r>
      <w:r w:rsidR="00DF433B">
        <w:t>presentations, time to clinician escalation</w:t>
      </w:r>
      <w:r>
        <w:t>, service throughput and rates of onward referral to appropriate care pathways. Statistical ana</w:t>
      </w:r>
      <w:r w:rsidR="00200EB2">
        <w:t>lysis could</w:t>
      </w:r>
      <w:r>
        <w:t xml:space="preserve"> ena</w:t>
      </w:r>
      <w:r w:rsidR="00200EB2">
        <w:t>ble identification of</w:t>
      </w:r>
      <w:r>
        <w:t xml:space="preserve"> changes associated with implementation. </w:t>
      </w:r>
      <w:r w:rsidR="00C43B52">
        <w:t>C</w:t>
      </w:r>
      <w:r>
        <w:t>ontinuous variables (such as time saved per patient or user satisfaction scores) may be assessed using t-tests or analysis of variance (ANOVA) (</w:t>
      </w:r>
      <w:proofErr w:type="spellStart"/>
      <w:r>
        <w:t>Vandever</w:t>
      </w:r>
      <w:proofErr w:type="spellEnd"/>
      <w:r>
        <w:t xml:space="preserve"> 2020). </w:t>
      </w:r>
    </w:p>
    <w:p w14:paraId="785F86E0" w14:textId="167E3A61" w:rsidR="00AD60F1" w:rsidRDefault="00AD60F1" w:rsidP="00AD60F1">
      <w:pPr>
        <w:pStyle w:val="NormalWeb"/>
        <w:jc w:val="both"/>
      </w:pPr>
      <w:r>
        <w:t>Qualitative data could</w:t>
      </w:r>
      <w:r w:rsidR="00200EB2">
        <w:t xml:space="preserve"> provide</w:t>
      </w:r>
      <w:r>
        <w:t xml:space="preserve"> insights in</w:t>
      </w:r>
      <w:r w:rsidR="00200EB2">
        <w:t>to the lived experiences of</w:t>
      </w:r>
      <w:r>
        <w:t xml:space="preserve"> patients an</w:t>
      </w:r>
      <w:r w:rsidR="00926A22">
        <w:t>d staff using the DT</w:t>
      </w:r>
      <w:r>
        <w:t xml:space="preserve"> tool. Semi-structured interviews or focus groups could explore usability, clarity of questions, confidentiality, digital literacy and impact on clinical workflows. These methods are particularly important in </w:t>
      </w:r>
      <w:r w:rsidR="00C43B52">
        <w:t>ISH</w:t>
      </w:r>
      <w:r>
        <w:t xml:space="preserve"> services, where stigma, privacy and trust influences engagement with care. </w:t>
      </w:r>
    </w:p>
    <w:p w14:paraId="03C6383D" w14:textId="03924D4B" w:rsidR="00AD60F1" w:rsidRDefault="00AD60F1" w:rsidP="009E09BB">
      <w:pPr>
        <w:pStyle w:val="NormalWeb"/>
        <w:jc w:val="both"/>
      </w:pPr>
      <w:r>
        <w:t>Combining quantitative and qualitative findings allows for triangulation and strengthens the evaluation. This combined analysis will dete</w:t>
      </w:r>
      <w:r w:rsidR="00926A22">
        <w:t>rmine whether the DT</w:t>
      </w:r>
      <w:r>
        <w:t xml:space="preserve"> tool meets its objectives of improving efficiency, data quality, safeguarding and user experience, and will inform decisio</w:t>
      </w:r>
      <w:r w:rsidR="0052674D">
        <w:t>ns regarding further refinement</w:t>
      </w:r>
      <w:r>
        <w:t>.</w:t>
      </w:r>
    </w:p>
    <w:p w14:paraId="1EABF69D" w14:textId="448124C7" w:rsidR="002F7C49" w:rsidRDefault="002F7C49" w:rsidP="009E09BB">
      <w:pPr>
        <w:pStyle w:val="NormalWeb"/>
        <w:jc w:val="both"/>
      </w:pPr>
      <w:r>
        <w:lastRenderedPageBreak/>
        <w:t>Governance arrangements should form part of the evaluation framework. The DT tool should sit under named clinical ownership, with clear accountability for triage decisions, routine audit of outcomes and established escalation</w:t>
      </w:r>
      <w:r w:rsidR="00DA7968">
        <w:t>/</w:t>
      </w:r>
      <w:r>
        <w:t xml:space="preserve"> incident-reporting processes. Findings from evaluation cycles should inform </w:t>
      </w:r>
      <w:r>
        <w:t>r</w:t>
      </w:r>
      <w:r>
        <w:t>efinement of the tool, staff training and workflow redesign, or withdrawal of the intervention if safety or equity concerns emerge.</w:t>
      </w:r>
    </w:p>
    <w:p w14:paraId="068F8F21" w14:textId="77777777" w:rsidR="002F7C49" w:rsidRPr="002F7C49" w:rsidRDefault="002F7C49" w:rsidP="002F7C49">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2F7C49">
        <w:rPr>
          <w:rFonts w:ascii="Times New Roman" w:eastAsia="Times New Roman" w:hAnsi="Times New Roman" w:cs="Times New Roman"/>
          <w:b/>
          <w:bCs/>
          <w:sz w:val="28"/>
          <w:szCs w:val="28"/>
          <w:lang w:eastAsia="en-GB"/>
        </w:rPr>
        <w:t>Conclusion</w:t>
      </w:r>
    </w:p>
    <w:p w14:paraId="4C728C07" w14:textId="07A61E3D" w:rsidR="002F7C49" w:rsidRPr="002F7C49" w:rsidRDefault="002F7C49" w:rsidP="002F7C49">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By introducing DT, there are </w:t>
      </w:r>
      <w:r w:rsidRPr="002F7C49">
        <w:rPr>
          <w:rFonts w:ascii="Times New Roman" w:eastAsia="Times New Roman" w:hAnsi="Times New Roman" w:cs="Times New Roman"/>
          <w:sz w:val="24"/>
          <w:szCs w:val="24"/>
          <w:lang w:eastAsia="en-GB"/>
        </w:rPr>
        <w:t>potential benefits for managing demand and standardising information within ISH services</w:t>
      </w:r>
      <w:r>
        <w:rPr>
          <w:rFonts w:ascii="Times New Roman" w:eastAsia="Times New Roman" w:hAnsi="Times New Roman" w:cs="Times New Roman"/>
          <w:sz w:val="24"/>
          <w:szCs w:val="24"/>
          <w:lang w:eastAsia="en-GB"/>
        </w:rPr>
        <w:t>. However, the literature provides</w:t>
      </w:r>
      <w:r w:rsidRPr="002F7C49">
        <w:rPr>
          <w:rFonts w:ascii="Times New Roman" w:eastAsia="Times New Roman" w:hAnsi="Times New Roman" w:cs="Times New Roman"/>
          <w:sz w:val="24"/>
          <w:szCs w:val="24"/>
          <w:lang w:eastAsia="en-GB"/>
        </w:rPr>
        <w:t xml:space="preserve"> limited evidence of safety, effectiveness and equity, particularly in sexual health contexts. This highlights that triage accuracy alone is insufficient and that safeguarding, digital literacy</w:t>
      </w:r>
      <w:r>
        <w:rPr>
          <w:rFonts w:ascii="Times New Roman" w:eastAsia="Times New Roman" w:hAnsi="Times New Roman" w:cs="Times New Roman"/>
          <w:sz w:val="24"/>
          <w:szCs w:val="24"/>
          <w:lang w:eastAsia="en-GB"/>
        </w:rPr>
        <w:t xml:space="preserve"> and</w:t>
      </w:r>
      <w:r w:rsidRPr="002F7C49">
        <w:rPr>
          <w:rFonts w:ascii="Times New Roman" w:eastAsia="Times New Roman" w:hAnsi="Times New Roman" w:cs="Times New Roman"/>
          <w:sz w:val="24"/>
          <w:szCs w:val="24"/>
          <w:lang w:eastAsia="en-GB"/>
        </w:rPr>
        <w:t xml:space="preserve"> governance</w:t>
      </w:r>
      <w:r>
        <w:rPr>
          <w:rFonts w:ascii="Times New Roman" w:eastAsia="Times New Roman" w:hAnsi="Times New Roman" w:cs="Times New Roman"/>
          <w:sz w:val="24"/>
          <w:szCs w:val="24"/>
          <w:lang w:eastAsia="en-GB"/>
        </w:rPr>
        <w:t xml:space="preserve"> must be central to</w:t>
      </w:r>
      <w:r w:rsidRPr="002F7C49">
        <w:rPr>
          <w:rFonts w:ascii="Times New Roman" w:eastAsia="Times New Roman" w:hAnsi="Times New Roman" w:cs="Times New Roman"/>
          <w:sz w:val="24"/>
          <w:szCs w:val="24"/>
          <w:lang w:eastAsia="en-GB"/>
        </w:rPr>
        <w:t xml:space="preserve"> implementation and evaluation. A hybrid model</w:t>
      </w:r>
      <w:r>
        <w:rPr>
          <w:rFonts w:ascii="Times New Roman" w:eastAsia="Times New Roman" w:hAnsi="Times New Roman" w:cs="Times New Roman"/>
          <w:sz w:val="24"/>
          <w:szCs w:val="24"/>
          <w:lang w:eastAsia="en-GB"/>
        </w:rPr>
        <w:t xml:space="preserve">, </w:t>
      </w:r>
      <w:r w:rsidRPr="002F7C49">
        <w:rPr>
          <w:rFonts w:ascii="Times New Roman" w:eastAsia="Times New Roman" w:hAnsi="Times New Roman" w:cs="Times New Roman"/>
          <w:sz w:val="24"/>
          <w:szCs w:val="24"/>
          <w:lang w:eastAsia="en-GB"/>
        </w:rPr>
        <w:t>where digital tools support rather than replace clinician judgement</w:t>
      </w:r>
      <w:r>
        <w:rPr>
          <w:rFonts w:ascii="Times New Roman" w:eastAsia="Times New Roman" w:hAnsi="Times New Roman" w:cs="Times New Roman"/>
          <w:sz w:val="24"/>
          <w:szCs w:val="24"/>
          <w:lang w:eastAsia="en-GB"/>
        </w:rPr>
        <w:t xml:space="preserve"> is essential to ensure that DT enhances care without increasing health disparities.</w:t>
      </w:r>
    </w:p>
    <w:p w14:paraId="692B991D" w14:textId="6B0363F1" w:rsidR="008263E9" w:rsidRDefault="008263E9" w:rsidP="008263E9">
      <w:pPr>
        <w:spacing w:after="0" w:line="240" w:lineRule="auto"/>
        <w:rPr>
          <w:rFonts w:ascii="Times New Roman" w:eastAsia="Times New Roman" w:hAnsi="Times New Roman" w:cs="Times New Roman"/>
          <w:sz w:val="24"/>
          <w:szCs w:val="24"/>
          <w:lang w:eastAsia="en-GB"/>
        </w:rPr>
      </w:pPr>
    </w:p>
    <w:p w14:paraId="7C1DF3B5" w14:textId="77777777" w:rsidR="00926A22" w:rsidRPr="00156067" w:rsidRDefault="00926A22" w:rsidP="008263E9">
      <w:pPr>
        <w:spacing w:after="0" w:line="240" w:lineRule="auto"/>
        <w:rPr>
          <w:rFonts w:ascii="Times New Roman" w:eastAsia="Times New Roman" w:hAnsi="Times New Roman" w:cs="Times New Roman"/>
          <w:sz w:val="24"/>
          <w:szCs w:val="24"/>
          <w:lang w:eastAsia="en-GB"/>
        </w:rPr>
      </w:pPr>
    </w:p>
    <w:p w14:paraId="56C3760D" w14:textId="48E90C1B" w:rsidR="008263E9" w:rsidRPr="00D02CF1" w:rsidRDefault="008263E9" w:rsidP="008263E9">
      <w:pPr>
        <w:rPr>
          <w:rFonts w:ascii="Times New Roman" w:hAnsi="Times New Roman" w:cs="Times New Roman"/>
          <w:b/>
          <w:sz w:val="24"/>
          <w:szCs w:val="24"/>
        </w:rPr>
      </w:pPr>
      <w:r w:rsidRPr="00D02CF1">
        <w:rPr>
          <w:rFonts w:ascii="Times New Roman" w:hAnsi="Times New Roman" w:cs="Times New Roman"/>
          <w:b/>
          <w:sz w:val="24"/>
          <w:szCs w:val="24"/>
        </w:rPr>
        <w:t>References</w:t>
      </w:r>
    </w:p>
    <w:p w14:paraId="1681D633" w14:textId="75647705"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Accorsi</w:t>
      </w:r>
      <w:proofErr w:type="spellEnd"/>
      <w:r w:rsidRPr="005F5991">
        <w:rPr>
          <w:rFonts w:ascii="Times New Roman" w:eastAsia="Times New Roman" w:hAnsi="Times New Roman" w:cs="Times New Roman"/>
          <w:sz w:val="24"/>
          <w:szCs w:val="24"/>
          <w:lang w:eastAsia="en-GB"/>
        </w:rPr>
        <w:t xml:space="preserve">, T.A.D.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“Patient Navigation </w:t>
      </w:r>
      <w:proofErr w:type="spellStart"/>
      <w:r w:rsidRPr="005F5991">
        <w:rPr>
          <w:rFonts w:ascii="Times New Roman" w:eastAsia="Times New Roman" w:hAnsi="Times New Roman" w:cs="Times New Roman"/>
          <w:sz w:val="24"/>
          <w:szCs w:val="24"/>
          <w:lang w:eastAsia="en-GB"/>
        </w:rPr>
        <w:t>Behavior</w:t>
      </w:r>
      <w:proofErr w:type="spellEnd"/>
      <w:r w:rsidRPr="005F5991">
        <w:rPr>
          <w:rFonts w:ascii="Times New Roman" w:eastAsia="Times New Roman" w:hAnsi="Times New Roman" w:cs="Times New Roman"/>
          <w:sz w:val="24"/>
          <w:szCs w:val="24"/>
          <w:lang w:eastAsia="en-GB"/>
        </w:rPr>
        <w:t xml:space="preserve"> in a Symptom-Based Self-Triage Mobile App for Direct-to-Consumer Urgent Care: Retrospective Observational Study,” </w:t>
      </w:r>
      <w:r w:rsidRPr="005F5991">
        <w:rPr>
          <w:rFonts w:ascii="Times New Roman" w:eastAsia="Times New Roman" w:hAnsi="Times New Roman" w:cs="Times New Roman"/>
          <w:i/>
          <w:iCs/>
          <w:sz w:val="24"/>
          <w:szCs w:val="24"/>
          <w:lang w:eastAsia="en-GB"/>
        </w:rPr>
        <w:t>Journal of Medical Internet Research</w:t>
      </w:r>
      <w:r w:rsidRPr="005F5991">
        <w:rPr>
          <w:rFonts w:ascii="Times New Roman" w:eastAsia="Times New Roman" w:hAnsi="Times New Roman" w:cs="Times New Roman"/>
          <w:sz w:val="24"/>
          <w:szCs w:val="24"/>
          <w:lang w:eastAsia="en-GB"/>
        </w:rPr>
        <w:t xml:space="preserve">, 27. Available at: </w:t>
      </w:r>
      <w:hyperlink r:id="rId11" w:history="1">
        <w:r w:rsidRPr="005F5991">
          <w:rPr>
            <w:rStyle w:val="Hyperlink"/>
            <w:rFonts w:ascii="Times New Roman" w:eastAsia="Times New Roman" w:hAnsi="Times New Roman" w:cs="Times New Roman"/>
            <w:sz w:val="24"/>
            <w:szCs w:val="24"/>
            <w:u w:val="none"/>
            <w:lang w:eastAsia="en-GB"/>
          </w:rPr>
          <w:t>https://doi.org/10.2196/63816</w:t>
        </w:r>
      </w:hyperlink>
      <w:r w:rsidRPr="005F5991">
        <w:rPr>
          <w:rFonts w:ascii="Times New Roman" w:eastAsia="Times New Roman" w:hAnsi="Times New Roman" w:cs="Times New Roman"/>
          <w:sz w:val="24"/>
          <w:szCs w:val="24"/>
          <w:lang w:eastAsia="en-GB"/>
        </w:rPr>
        <w:t>.</w:t>
      </w:r>
    </w:p>
    <w:p w14:paraId="177D00D8" w14:textId="77777777"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285707A1" w14:textId="2A36E85D" w:rsidR="00540F9E" w:rsidRPr="005F5991" w:rsidRDefault="00540F9E" w:rsidP="00540F9E">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Adley</w:t>
      </w:r>
      <w:proofErr w:type="spellEnd"/>
      <w:r w:rsidRPr="005F5991">
        <w:rPr>
          <w:rFonts w:ascii="Times New Roman" w:eastAsia="Times New Roman" w:hAnsi="Times New Roman" w:cs="Times New Roman"/>
          <w:sz w:val="24"/>
          <w:szCs w:val="24"/>
          <w:lang w:eastAsia="en-GB"/>
        </w:rPr>
        <w:t xml:space="preserve">, M., O’Donnell, A. and Scott, S. (2025) “How LGBTQ + adults’ experiences of multiple disadvantage impact upon their health and social care service pathways in the UK &amp;amp; Ireland: a scoping review,” </w:t>
      </w:r>
      <w:r w:rsidRPr="005F5991">
        <w:rPr>
          <w:rFonts w:ascii="Times New Roman" w:eastAsia="Times New Roman" w:hAnsi="Times New Roman" w:cs="Times New Roman"/>
          <w:i/>
          <w:iCs/>
          <w:sz w:val="24"/>
          <w:szCs w:val="24"/>
          <w:lang w:eastAsia="en-GB"/>
        </w:rPr>
        <w:t>BMC Health Services Research</w:t>
      </w:r>
      <w:r w:rsidRPr="005F5991">
        <w:rPr>
          <w:rFonts w:ascii="Times New Roman" w:eastAsia="Times New Roman" w:hAnsi="Times New Roman" w:cs="Times New Roman"/>
          <w:sz w:val="24"/>
          <w:szCs w:val="24"/>
          <w:lang w:eastAsia="en-GB"/>
        </w:rPr>
        <w:t xml:space="preserve">, 25(1), p. 244. Available at: </w:t>
      </w:r>
      <w:hyperlink r:id="rId12" w:history="1">
        <w:r w:rsidRPr="005F5991">
          <w:rPr>
            <w:rStyle w:val="Hyperlink"/>
            <w:rFonts w:ascii="Times New Roman" w:eastAsia="Times New Roman" w:hAnsi="Times New Roman" w:cs="Times New Roman"/>
            <w:sz w:val="24"/>
            <w:szCs w:val="24"/>
            <w:u w:val="none"/>
            <w:lang w:eastAsia="en-GB"/>
          </w:rPr>
          <w:t>https://doi.org/10.1186/s12913-025-12232-8</w:t>
        </w:r>
      </w:hyperlink>
      <w:r w:rsidRPr="005F5991">
        <w:rPr>
          <w:rFonts w:ascii="Times New Roman" w:eastAsia="Times New Roman" w:hAnsi="Times New Roman" w:cs="Times New Roman"/>
          <w:sz w:val="24"/>
          <w:szCs w:val="24"/>
          <w:lang w:eastAsia="en-GB"/>
        </w:rPr>
        <w:t>.</w:t>
      </w:r>
    </w:p>
    <w:p w14:paraId="1A013ABE" w14:textId="77777777" w:rsidR="00540F9E" w:rsidRPr="005F5991" w:rsidRDefault="00540F9E" w:rsidP="00540F9E">
      <w:pPr>
        <w:spacing w:after="0" w:line="240" w:lineRule="auto"/>
        <w:rPr>
          <w:rFonts w:ascii="Times New Roman" w:eastAsia="Times New Roman" w:hAnsi="Times New Roman" w:cs="Times New Roman"/>
          <w:sz w:val="24"/>
          <w:szCs w:val="24"/>
          <w:lang w:eastAsia="en-GB"/>
        </w:rPr>
      </w:pPr>
    </w:p>
    <w:p w14:paraId="2394ACA9" w14:textId="5061CBAB" w:rsidR="008263E9" w:rsidRPr="005F5991" w:rsidRDefault="008263E9" w:rsidP="008263E9">
      <w:pPr>
        <w:rPr>
          <w:rStyle w:val="Hyperlink"/>
          <w:rFonts w:ascii="Times New Roman" w:hAnsi="Times New Roman" w:cs="Times New Roman"/>
          <w:color w:val="auto"/>
          <w:sz w:val="24"/>
          <w:szCs w:val="24"/>
          <w:u w:val="none"/>
        </w:rPr>
      </w:pPr>
      <w:r w:rsidRPr="005F5991">
        <w:rPr>
          <w:rFonts w:ascii="Times New Roman" w:hAnsi="Times New Roman" w:cs="Times New Roman"/>
          <w:sz w:val="24"/>
          <w:szCs w:val="24"/>
        </w:rPr>
        <w:t xml:space="preserve">BASHH &amp; FSRH (2020) </w:t>
      </w:r>
      <w:r w:rsidR="00EA0D6B" w:rsidRPr="005F5991">
        <w:rPr>
          <w:rFonts w:ascii="Times New Roman" w:hAnsi="Times New Roman" w:cs="Times New Roman"/>
          <w:sz w:val="24"/>
          <w:szCs w:val="24"/>
        </w:rPr>
        <w:t>‘</w:t>
      </w:r>
      <w:r w:rsidRPr="005F5991">
        <w:rPr>
          <w:rFonts w:ascii="Times New Roman" w:hAnsi="Times New Roman" w:cs="Times New Roman"/>
          <w:sz w:val="24"/>
          <w:szCs w:val="24"/>
        </w:rPr>
        <w:t>Telemedicine for Sexual &amp; Reproductive Healthcare Services in Response to Covid 19</w:t>
      </w:r>
      <w:r w:rsidR="00EA0D6B" w:rsidRPr="005F5991">
        <w:rPr>
          <w:rFonts w:ascii="Times New Roman" w:hAnsi="Times New Roman" w:cs="Times New Roman"/>
          <w:sz w:val="24"/>
          <w:szCs w:val="24"/>
        </w:rPr>
        <w:t>’</w:t>
      </w:r>
      <w:r w:rsidRPr="005F5991">
        <w:rPr>
          <w:rFonts w:ascii="Times New Roman" w:hAnsi="Times New Roman" w:cs="Times New Roman"/>
          <w:sz w:val="24"/>
          <w:szCs w:val="24"/>
        </w:rPr>
        <w:t xml:space="preserve">. Available at: </w:t>
      </w:r>
      <w:hyperlink r:id="rId13" w:history="1">
        <w:r w:rsidRPr="005F5991">
          <w:rPr>
            <w:rStyle w:val="Hyperlink"/>
            <w:rFonts w:ascii="Times New Roman" w:hAnsi="Times New Roman" w:cs="Times New Roman"/>
            <w:sz w:val="24"/>
            <w:szCs w:val="24"/>
            <w:u w:val="none"/>
          </w:rPr>
          <w:t>1.-Triage-Integration-Considerations-Methods-to-Prioritise-Vulnerable-Groups.pdf</w:t>
        </w:r>
      </w:hyperlink>
      <w:r w:rsidRPr="005F5991">
        <w:rPr>
          <w:rStyle w:val="Hyperlink"/>
          <w:rFonts w:ascii="Times New Roman" w:hAnsi="Times New Roman" w:cs="Times New Roman"/>
          <w:sz w:val="24"/>
          <w:szCs w:val="24"/>
          <w:u w:val="none"/>
        </w:rPr>
        <w:t xml:space="preserve">  </w:t>
      </w:r>
      <w:r w:rsidRPr="005F5991">
        <w:rPr>
          <w:rStyle w:val="Hyperlink"/>
          <w:rFonts w:ascii="Times New Roman" w:hAnsi="Times New Roman" w:cs="Times New Roman"/>
          <w:color w:val="auto"/>
          <w:sz w:val="24"/>
          <w:szCs w:val="24"/>
          <w:u w:val="none"/>
        </w:rPr>
        <w:t>accessed on 14.1.26</w:t>
      </w:r>
    </w:p>
    <w:p w14:paraId="52CF3331" w14:textId="472C2C67" w:rsidR="00980BA1" w:rsidRPr="005F5991" w:rsidRDefault="00980BA1" w:rsidP="008263E9">
      <w:pPr>
        <w:rPr>
          <w:rFonts w:ascii="Times New Roman" w:hAnsi="Times New Roman" w:cs="Times New Roman"/>
          <w:sz w:val="24"/>
          <w:szCs w:val="24"/>
        </w:rPr>
      </w:pPr>
      <w:r w:rsidRPr="005F5991">
        <w:rPr>
          <w:rStyle w:val="Hyperlink"/>
          <w:rFonts w:ascii="Times New Roman" w:hAnsi="Times New Roman" w:cs="Times New Roman"/>
          <w:color w:val="auto"/>
          <w:sz w:val="24"/>
          <w:szCs w:val="24"/>
          <w:u w:val="none"/>
        </w:rPr>
        <w:t xml:space="preserve">BASHH &amp; FSRH (2020) ‘Standards for Online &amp; Remote Providers of Sexual &amp; Reproductive Health Services: BASHH/FSRH Joint Standard.’ </w:t>
      </w:r>
      <w:r w:rsidR="00967504" w:rsidRPr="005F5991">
        <w:rPr>
          <w:rStyle w:val="Hyperlink"/>
          <w:rFonts w:ascii="Times New Roman" w:hAnsi="Times New Roman" w:cs="Times New Roman"/>
          <w:color w:val="auto"/>
          <w:sz w:val="24"/>
          <w:szCs w:val="24"/>
          <w:u w:val="none"/>
        </w:rPr>
        <w:t xml:space="preserve">Available at: </w:t>
      </w:r>
      <w:hyperlink r:id="rId14" w:history="1">
        <w:r w:rsidR="00967504" w:rsidRPr="005F5991">
          <w:rPr>
            <w:rFonts w:ascii="Times New Roman" w:hAnsi="Times New Roman" w:cs="Times New Roman"/>
            <w:color w:val="0000FF"/>
            <w:sz w:val="24"/>
            <w:szCs w:val="24"/>
          </w:rPr>
          <w:t>standards-for-online-and-remote-providers-2020.pdf</w:t>
        </w:r>
      </w:hyperlink>
      <w:r w:rsidR="00967504" w:rsidRPr="005F5991">
        <w:rPr>
          <w:rFonts w:ascii="Times New Roman" w:hAnsi="Times New Roman" w:cs="Times New Roman"/>
          <w:sz w:val="24"/>
          <w:szCs w:val="24"/>
        </w:rPr>
        <w:t xml:space="preserve"> accessed on: 8.2.26</w:t>
      </w:r>
    </w:p>
    <w:p w14:paraId="04B03EF8" w14:textId="123E533F" w:rsidR="000532C3" w:rsidRPr="005F5991" w:rsidRDefault="000532C3" w:rsidP="008263E9">
      <w:pPr>
        <w:rPr>
          <w:rStyle w:val="Hyperlink"/>
          <w:rFonts w:ascii="Times New Roman" w:hAnsi="Times New Roman" w:cs="Times New Roman"/>
          <w:color w:val="auto"/>
          <w:sz w:val="24"/>
          <w:szCs w:val="24"/>
          <w:u w:val="none"/>
        </w:rPr>
      </w:pPr>
      <w:r w:rsidRPr="005F5991">
        <w:rPr>
          <w:rFonts w:ascii="Times New Roman" w:hAnsi="Times New Roman" w:cs="Times New Roman"/>
          <w:sz w:val="24"/>
          <w:szCs w:val="24"/>
        </w:rPr>
        <w:t xml:space="preserve">BASHH (2021) ‘BASHH position statement on the use of multiplex testing platforms and suboptimal antibiotic treatment regimens for bacterial sexually transmitted infections’ Available at: </w:t>
      </w:r>
      <w:hyperlink r:id="rId15" w:history="1">
        <w:r w:rsidRPr="005F5991">
          <w:rPr>
            <w:rFonts w:ascii="Times New Roman" w:hAnsi="Times New Roman" w:cs="Times New Roman"/>
            <w:color w:val="0000FF"/>
            <w:sz w:val="24"/>
            <w:szCs w:val="24"/>
          </w:rPr>
          <w:t>BASHH position statement on the inappropriate use of multiplex testing platforms, and suboptimal antibiotic treatment regimens for bacterial sexually transmitted infections | BASHH</w:t>
        </w:r>
      </w:hyperlink>
      <w:r w:rsidRPr="005F5991">
        <w:rPr>
          <w:rFonts w:ascii="Times New Roman" w:hAnsi="Times New Roman" w:cs="Times New Roman"/>
          <w:sz w:val="24"/>
          <w:szCs w:val="24"/>
        </w:rPr>
        <w:t xml:space="preserve"> accessed on: 8.2.26</w:t>
      </w:r>
    </w:p>
    <w:p w14:paraId="39C1363B" w14:textId="6BD4106D"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Beck, J.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w:t>
      </w:r>
      <w:proofErr w:type="spellStart"/>
      <w:r w:rsidRPr="005F5991">
        <w:rPr>
          <w:rFonts w:ascii="Times New Roman" w:eastAsia="Times New Roman" w:hAnsi="Times New Roman" w:cs="Times New Roman"/>
          <w:sz w:val="24"/>
          <w:szCs w:val="24"/>
          <w:lang w:eastAsia="en-GB"/>
        </w:rPr>
        <w:t>Teledermatological</w:t>
      </w:r>
      <w:proofErr w:type="spellEnd"/>
      <w:r w:rsidRPr="005F5991">
        <w:rPr>
          <w:rFonts w:ascii="Times New Roman" w:eastAsia="Times New Roman" w:hAnsi="Times New Roman" w:cs="Times New Roman"/>
          <w:sz w:val="24"/>
          <w:szCs w:val="24"/>
          <w:lang w:eastAsia="en-GB"/>
        </w:rPr>
        <w:t xml:space="preserve"> services at a Swiss university hospital - evaluation of patient benefits and economic impact ,” </w:t>
      </w:r>
      <w:r w:rsidRPr="005F5991">
        <w:rPr>
          <w:rFonts w:ascii="Times New Roman" w:eastAsia="Times New Roman" w:hAnsi="Times New Roman" w:cs="Times New Roman"/>
          <w:i/>
          <w:iCs/>
          <w:sz w:val="24"/>
          <w:szCs w:val="24"/>
          <w:lang w:eastAsia="en-GB"/>
        </w:rPr>
        <w:t>Journal of Dermatological Treatment</w:t>
      </w:r>
      <w:r w:rsidRPr="005F5991">
        <w:rPr>
          <w:rFonts w:ascii="Times New Roman" w:eastAsia="Times New Roman" w:hAnsi="Times New Roman" w:cs="Times New Roman"/>
          <w:sz w:val="24"/>
          <w:szCs w:val="24"/>
          <w:lang w:eastAsia="en-GB"/>
        </w:rPr>
        <w:t xml:space="preserve">, 36(1). Available at: </w:t>
      </w:r>
      <w:hyperlink r:id="rId16" w:history="1">
        <w:r w:rsidRPr="005F5991">
          <w:rPr>
            <w:rStyle w:val="Hyperlink"/>
            <w:rFonts w:ascii="Times New Roman" w:eastAsia="Times New Roman" w:hAnsi="Times New Roman" w:cs="Times New Roman"/>
            <w:sz w:val="24"/>
            <w:szCs w:val="24"/>
            <w:u w:val="none"/>
            <w:lang w:eastAsia="en-GB"/>
          </w:rPr>
          <w:t>https://doi.org/10.1080/09546634.2025.2555189</w:t>
        </w:r>
      </w:hyperlink>
      <w:r w:rsidRPr="005F5991">
        <w:rPr>
          <w:rFonts w:ascii="Times New Roman" w:eastAsia="Times New Roman" w:hAnsi="Times New Roman" w:cs="Times New Roman"/>
          <w:sz w:val="24"/>
          <w:szCs w:val="24"/>
          <w:lang w:eastAsia="en-GB"/>
        </w:rPr>
        <w:t>.</w:t>
      </w:r>
    </w:p>
    <w:p w14:paraId="418728A6" w14:textId="792F364D" w:rsidR="00544942" w:rsidRPr="005F5991" w:rsidRDefault="00544942" w:rsidP="00513BCF">
      <w:pPr>
        <w:spacing w:after="0" w:line="240" w:lineRule="auto"/>
        <w:rPr>
          <w:rFonts w:ascii="Times New Roman" w:eastAsia="Times New Roman" w:hAnsi="Times New Roman" w:cs="Times New Roman"/>
          <w:sz w:val="24"/>
          <w:szCs w:val="24"/>
          <w:lang w:eastAsia="en-GB"/>
        </w:rPr>
      </w:pPr>
    </w:p>
    <w:p w14:paraId="28D67294" w14:textId="0C61606D" w:rsidR="00544942" w:rsidRPr="005F5991" w:rsidRDefault="00544942" w:rsidP="00544942">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Brownie, S.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“Clinical Guidelines for Virtual Health Assessment and Care: A Scoping Review,” </w:t>
      </w:r>
      <w:r w:rsidRPr="005F5991">
        <w:rPr>
          <w:rFonts w:ascii="Times New Roman" w:eastAsia="Times New Roman" w:hAnsi="Times New Roman" w:cs="Times New Roman"/>
          <w:i/>
          <w:iCs/>
          <w:sz w:val="24"/>
          <w:szCs w:val="24"/>
          <w:lang w:eastAsia="en-GB"/>
        </w:rPr>
        <w:t>Journal of Advanced Nursing</w:t>
      </w:r>
      <w:r w:rsidRPr="005F5991">
        <w:rPr>
          <w:rFonts w:ascii="Times New Roman" w:eastAsia="Times New Roman" w:hAnsi="Times New Roman" w:cs="Times New Roman"/>
          <w:sz w:val="24"/>
          <w:szCs w:val="24"/>
          <w:lang w:eastAsia="en-GB"/>
        </w:rPr>
        <w:t xml:space="preserve"> [Preprint]. Available at: </w:t>
      </w:r>
      <w:hyperlink r:id="rId17" w:history="1">
        <w:r w:rsidRPr="005F5991">
          <w:rPr>
            <w:rStyle w:val="Hyperlink"/>
            <w:rFonts w:ascii="Times New Roman" w:eastAsia="Times New Roman" w:hAnsi="Times New Roman" w:cs="Times New Roman"/>
            <w:sz w:val="24"/>
            <w:szCs w:val="24"/>
            <w:u w:val="none"/>
            <w:lang w:eastAsia="en-GB"/>
          </w:rPr>
          <w:t>https://doi.org/10.1111/JAN.16952</w:t>
        </w:r>
      </w:hyperlink>
      <w:r w:rsidRPr="005F5991">
        <w:rPr>
          <w:rFonts w:ascii="Times New Roman" w:eastAsia="Times New Roman" w:hAnsi="Times New Roman" w:cs="Times New Roman"/>
          <w:sz w:val="24"/>
          <w:szCs w:val="24"/>
          <w:lang w:eastAsia="en-GB"/>
        </w:rPr>
        <w:t>.</w:t>
      </w:r>
    </w:p>
    <w:p w14:paraId="0EBCEE52" w14:textId="010F8687" w:rsidR="00E87931" w:rsidRPr="005F5991" w:rsidRDefault="00E87931" w:rsidP="00544942">
      <w:pPr>
        <w:spacing w:after="0" w:line="240" w:lineRule="auto"/>
        <w:rPr>
          <w:rFonts w:ascii="Times New Roman" w:eastAsia="Times New Roman" w:hAnsi="Times New Roman" w:cs="Times New Roman"/>
          <w:sz w:val="24"/>
          <w:szCs w:val="24"/>
          <w:lang w:eastAsia="en-GB"/>
        </w:rPr>
      </w:pPr>
    </w:p>
    <w:p w14:paraId="4BA88823" w14:textId="6B449FC4" w:rsidR="00E87931" w:rsidRPr="005F5991" w:rsidRDefault="00E87931" w:rsidP="00544942">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lastRenderedPageBreak/>
        <w:t xml:space="preserve">Care Quality Commission (2022) ‘Digital Triage in Health Services’ Available at: </w:t>
      </w:r>
      <w:hyperlink r:id="rId18" w:history="1">
        <w:r w:rsidRPr="005F5991">
          <w:rPr>
            <w:rFonts w:ascii="Times New Roman" w:hAnsi="Times New Roman" w:cs="Times New Roman"/>
            <w:color w:val="0000FF"/>
            <w:sz w:val="24"/>
            <w:szCs w:val="24"/>
          </w:rPr>
          <w:t>Digital triage in health services - Care Quality Commission</w:t>
        </w:r>
      </w:hyperlink>
      <w:r w:rsidRPr="005F5991">
        <w:rPr>
          <w:rFonts w:ascii="Times New Roman" w:hAnsi="Times New Roman" w:cs="Times New Roman"/>
          <w:sz w:val="24"/>
          <w:szCs w:val="24"/>
        </w:rPr>
        <w:t xml:space="preserve"> accessed on 8.2.26</w:t>
      </w:r>
    </w:p>
    <w:p w14:paraId="2BA8727F" w14:textId="783D2FBA" w:rsidR="00513BCF" w:rsidRPr="005F5991" w:rsidRDefault="00513BCF" w:rsidP="00513BCF">
      <w:pPr>
        <w:spacing w:after="0" w:line="240" w:lineRule="auto"/>
        <w:rPr>
          <w:rFonts w:ascii="Times New Roman" w:eastAsia="Times New Roman" w:hAnsi="Times New Roman" w:cs="Times New Roman"/>
          <w:sz w:val="24"/>
          <w:szCs w:val="24"/>
          <w:lang w:eastAsia="en-GB"/>
        </w:rPr>
      </w:pPr>
    </w:p>
    <w:p w14:paraId="122094B9" w14:textId="2C87B2E0"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Da’Costa</w:t>
      </w:r>
      <w:proofErr w:type="spellEnd"/>
      <w:r w:rsidRPr="005F5991">
        <w:rPr>
          <w:rFonts w:ascii="Times New Roman" w:eastAsia="Times New Roman" w:hAnsi="Times New Roman" w:cs="Times New Roman"/>
          <w:sz w:val="24"/>
          <w:szCs w:val="24"/>
          <w:lang w:eastAsia="en-GB"/>
        </w:rPr>
        <w:t xml:space="preserve">, A.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“AI-driven triage in emergency departments: A review of benefits, challenges, and future directions,” </w:t>
      </w:r>
      <w:r w:rsidRPr="005F5991">
        <w:rPr>
          <w:rFonts w:ascii="Times New Roman" w:eastAsia="Times New Roman" w:hAnsi="Times New Roman" w:cs="Times New Roman"/>
          <w:i/>
          <w:iCs/>
          <w:sz w:val="24"/>
          <w:szCs w:val="24"/>
          <w:lang w:eastAsia="en-GB"/>
        </w:rPr>
        <w:t>International Journal of Medical Informatics</w:t>
      </w:r>
      <w:r w:rsidRPr="005F5991">
        <w:rPr>
          <w:rFonts w:ascii="Times New Roman" w:eastAsia="Times New Roman" w:hAnsi="Times New Roman" w:cs="Times New Roman"/>
          <w:sz w:val="24"/>
          <w:szCs w:val="24"/>
          <w:lang w:eastAsia="en-GB"/>
        </w:rPr>
        <w:t xml:space="preserve">, 197. Available at: </w:t>
      </w:r>
      <w:hyperlink r:id="rId19" w:history="1">
        <w:r w:rsidRPr="005F5991">
          <w:rPr>
            <w:rStyle w:val="Hyperlink"/>
            <w:rFonts w:ascii="Times New Roman" w:eastAsia="Times New Roman" w:hAnsi="Times New Roman" w:cs="Times New Roman"/>
            <w:sz w:val="24"/>
            <w:szCs w:val="24"/>
            <w:u w:val="none"/>
            <w:lang w:eastAsia="en-GB"/>
          </w:rPr>
          <w:t>https://doi.org/10.1016/J.IJMEDINF.2025.105838</w:t>
        </w:r>
      </w:hyperlink>
      <w:r w:rsidRPr="005F5991">
        <w:rPr>
          <w:rFonts w:ascii="Times New Roman" w:eastAsia="Times New Roman" w:hAnsi="Times New Roman" w:cs="Times New Roman"/>
          <w:sz w:val="24"/>
          <w:szCs w:val="24"/>
          <w:lang w:eastAsia="en-GB"/>
        </w:rPr>
        <w:t>.</w:t>
      </w:r>
    </w:p>
    <w:p w14:paraId="2AF651C7" w14:textId="46ABF76A" w:rsidR="00513BCF" w:rsidRPr="005F5991" w:rsidRDefault="00513BCF" w:rsidP="00513BCF">
      <w:pPr>
        <w:spacing w:after="0" w:line="240" w:lineRule="auto"/>
        <w:rPr>
          <w:rFonts w:ascii="Times New Roman" w:eastAsia="Times New Roman" w:hAnsi="Times New Roman" w:cs="Times New Roman"/>
          <w:sz w:val="24"/>
          <w:szCs w:val="24"/>
          <w:lang w:eastAsia="en-GB"/>
        </w:rPr>
      </w:pPr>
    </w:p>
    <w:p w14:paraId="615E9C42" w14:textId="4C91D9F7"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Daneshjou</w:t>
      </w:r>
      <w:proofErr w:type="spellEnd"/>
      <w:r w:rsidRPr="005F5991">
        <w:rPr>
          <w:rFonts w:ascii="Times New Roman" w:eastAsia="Times New Roman" w:hAnsi="Times New Roman" w:cs="Times New Roman"/>
          <w:sz w:val="24"/>
          <w:szCs w:val="24"/>
          <w:lang w:eastAsia="en-GB"/>
        </w:rPr>
        <w:t xml:space="preserve">, R.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(2021) “Lack of Transparency and Potential Bias in Artificial Intelligence Data Sets and Algorithms: A Scoping Review,” </w:t>
      </w:r>
      <w:r w:rsidRPr="005F5991">
        <w:rPr>
          <w:rFonts w:ascii="Times New Roman" w:eastAsia="Times New Roman" w:hAnsi="Times New Roman" w:cs="Times New Roman"/>
          <w:i/>
          <w:iCs/>
          <w:sz w:val="24"/>
          <w:szCs w:val="24"/>
          <w:lang w:eastAsia="en-GB"/>
        </w:rPr>
        <w:t>JAMA Dermatology</w:t>
      </w:r>
      <w:r w:rsidRPr="005F5991">
        <w:rPr>
          <w:rFonts w:ascii="Times New Roman" w:eastAsia="Times New Roman" w:hAnsi="Times New Roman" w:cs="Times New Roman"/>
          <w:sz w:val="24"/>
          <w:szCs w:val="24"/>
          <w:lang w:eastAsia="en-GB"/>
        </w:rPr>
        <w:t xml:space="preserve">, 157(11), pp. 1362–1369. Available at: </w:t>
      </w:r>
      <w:hyperlink r:id="rId20" w:history="1">
        <w:r w:rsidRPr="005F5991">
          <w:rPr>
            <w:rStyle w:val="Hyperlink"/>
            <w:rFonts w:ascii="Times New Roman" w:eastAsia="Times New Roman" w:hAnsi="Times New Roman" w:cs="Times New Roman"/>
            <w:sz w:val="24"/>
            <w:szCs w:val="24"/>
            <w:u w:val="none"/>
            <w:lang w:eastAsia="en-GB"/>
          </w:rPr>
          <w:t>https://doi.org/10.1001/JAMADERMATOL.2021.3129</w:t>
        </w:r>
      </w:hyperlink>
      <w:r w:rsidRPr="005F5991">
        <w:rPr>
          <w:rFonts w:ascii="Times New Roman" w:eastAsia="Times New Roman" w:hAnsi="Times New Roman" w:cs="Times New Roman"/>
          <w:sz w:val="24"/>
          <w:szCs w:val="24"/>
          <w:lang w:eastAsia="en-GB"/>
        </w:rPr>
        <w:t>.</w:t>
      </w:r>
    </w:p>
    <w:p w14:paraId="2E2704D8" w14:textId="29F1A33E" w:rsidR="00513BCF" w:rsidRPr="005F5991" w:rsidRDefault="00513BCF" w:rsidP="00513BCF">
      <w:pPr>
        <w:spacing w:after="0" w:line="240" w:lineRule="auto"/>
        <w:rPr>
          <w:rFonts w:ascii="Times New Roman" w:eastAsia="Times New Roman" w:hAnsi="Times New Roman" w:cs="Times New Roman"/>
          <w:sz w:val="24"/>
          <w:szCs w:val="24"/>
          <w:lang w:eastAsia="en-GB"/>
        </w:rPr>
      </w:pPr>
    </w:p>
    <w:p w14:paraId="09385213" w14:textId="0FA50BF4"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El-</w:t>
      </w:r>
      <w:proofErr w:type="spellStart"/>
      <w:r w:rsidRPr="005F5991">
        <w:rPr>
          <w:rFonts w:ascii="Times New Roman" w:eastAsia="Times New Roman" w:hAnsi="Times New Roman" w:cs="Times New Roman"/>
          <w:sz w:val="24"/>
          <w:szCs w:val="24"/>
          <w:lang w:eastAsia="en-GB"/>
        </w:rPr>
        <w:t>Osta</w:t>
      </w:r>
      <w:proofErr w:type="spellEnd"/>
      <w:r w:rsidRPr="005F5991">
        <w:rPr>
          <w:rFonts w:ascii="Times New Roman" w:eastAsia="Times New Roman" w:hAnsi="Times New Roman" w:cs="Times New Roman"/>
          <w:sz w:val="24"/>
          <w:szCs w:val="24"/>
          <w:lang w:eastAsia="en-GB"/>
        </w:rPr>
        <w:t xml:space="preserve">, A.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(2022) “What is the suitability of clinical vignettes in benchmarking the performance of online symptom checkers? An audit study,” </w:t>
      </w:r>
      <w:r w:rsidRPr="005F5991">
        <w:rPr>
          <w:rFonts w:ascii="Times New Roman" w:eastAsia="Times New Roman" w:hAnsi="Times New Roman" w:cs="Times New Roman"/>
          <w:i/>
          <w:iCs/>
          <w:sz w:val="24"/>
          <w:szCs w:val="24"/>
          <w:lang w:eastAsia="en-GB"/>
        </w:rPr>
        <w:t>BMJ Open</w:t>
      </w:r>
      <w:r w:rsidRPr="005F5991">
        <w:rPr>
          <w:rFonts w:ascii="Times New Roman" w:eastAsia="Times New Roman" w:hAnsi="Times New Roman" w:cs="Times New Roman"/>
          <w:sz w:val="24"/>
          <w:szCs w:val="24"/>
          <w:lang w:eastAsia="en-GB"/>
        </w:rPr>
        <w:t xml:space="preserve">, 12(4). Available at: </w:t>
      </w:r>
      <w:hyperlink r:id="rId21" w:history="1">
        <w:r w:rsidRPr="005F5991">
          <w:rPr>
            <w:rStyle w:val="Hyperlink"/>
            <w:rFonts w:ascii="Times New Roman" w:eastAsia="Times New Roman" w:hAnsi="Times New Roman" w:cs="Times New Roman"/>
            <w:sz w:val="24"/>
            <w:szCs w:val="24"/>
            <w:u w:val="none"/>
            <w:lang w:eastAsia="en-GB"/>
          </w:rPr>
          <w:t>https://doi.org/10.1136/BMJOPEN-2021-053566</w:t>
        </w:r>
      </w:hyperlink>
      <w:r w:rsidRPr="005F5991">
        <w:rPr>
          <w:rFonts w:ascii="Times New Roman" w:eastAsia="Times New Roman" w:hAnsi="Times New Roman" w:cs="Times New Roman"/>
          <w:sz w:val="24"/>
          <w:szCs w:val="24"/>
          <w:lang w:eastAsia="en-GB"/>
        </w:rPr>
        <w:t>.</w:t>
      </w:r>
    </w:p>
    <w:p w14:paraId="49C84AC2" w14:textId="23E8DA62" w:rsidR="00027EC6" w:rsidRPr="005F5991" w:rsidRDefault="00027EC6" w:rsidP="00513BCF">
      <w:pPr>
        <w:spacing w:after="0" w:line="240" w:lineRule="auto"/>
        <w:rPr>
          <w:rFonts w:ascii="Times New Roman" w:eastAsia="Times New Roman" w:hAnsi="Times New Roman" w:cs="Times New Roman"/>
          <w:sz w:val="24"/>
          <w:szCs w:val="24"/>
          <w:lang w:eastAsia="en-GB"/>
        </w:rPr>
      </w:pPr>
    </w:p>
    <w:p w14:paraId="6A079FFE" w14:textId="42DB80F9" w:rsidR="00027EC6" w:rsidRPr="005F5991" w:rsidRDefault="00027EC6" w:rsidP="00027EC6">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Esmaeilzadeh</w:t>
      </w:r>
      <w:proofErr w:type="spellEnd"/>
      <w:r w:rsidRPr="005F5991">
        <w:rPr>
          <w:rFonts w:ascii="Times New Roman" w:eastAsia="Times New Roman" w:hAnsi="Times New Roman" w:cs="Times New Roman"/>
          <w:sz w:val="24"/>
          <w:szCs w:val="24"/>
          <w:lang w:eastAsia="en-GB"/>
        </w:rPr>
        <w:t xml:space="preserve">, P. (2020) “Use of AI-based tools for healthcare purposes: a survey study from consumers’ perspectives,” </w:t>
      </w:r>
      <w:r w:rsidRPr="005F5991">
        <w:rPr>
          <w:rFonts w:ascii="Times New Roman" w:eastAsia="Times New Roman" w:hAnsi="Times New Roman" w:cs="Times New Roman"/>
          <w:i/>
          <w:iCs/>
          <w:sz w:val="24"/>
          <w:szCs w:val="24"/>
          <w:lang w:eastAsia="en-GB"/>
        </w:rPr>
        <w:t>BMC Medical Informatics and Decision Making</w:t>
      </w:r>
      <w:r w:rsidRPr="005F5991">
        <w:rPr>
          <w:rFonts w:ascii="Times New Roman" w:eastAsia="Times New Roman" w:hAnsi="Times New Roman" w:cs="Times New Roman"/>
          <w:sz w:val="24"/>
          <w:szCs w:val="24"/>
          <w:lang w:eastAsia="en-GB"/>
        </w:rPr>
        <w:t xml:space="preserve">, 20(1), p. 170. Available at: </w:t>
      </w:r>
      <w:hyperlink r:id="rId22" w:history="1">
        <w:r w:rsidRPr="005F5991">
          <w:rPr>
            <w:rStyle w:val="Hyperlink"/>
            <w:rFonts w:ascii="Times New Roman" w:eastAsia="Times New Roman" w:hAnsi="Times New Roman" w:cs="Times New Roman"/>
            <w:sz w:val="24"/>
            <w:szCs w:val="24"/>
            <w:u w:val="none"/>
            <w:lang w:eastAsia="en-GB"/>
          </w:rPr>
          <w:t>https://doi.org/10.1186/s12911-020-01191-1</w:t>
        </w:r>
      </w:hyperlink>
      <w:r w:rsidRPr="005F5991">
        <w:rPr>
          <w:rFonts w:ascii="Times New Roman" w:eastAsia="Times New Roman" w:hAnsi="Times New Roman" w:cs="Times New Roman"/>
          <w:sz w:val="24"/>
          <w:szCs w:val="24"/>
          <w:lang w:eastAsia="en-GB"/>
        </w:rPr>
        <w:t>.</w:t>
      </w:r>
    </w:p>
    <w:p w14:paraId="68AFCFD2" w14:textId="77777777"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41D3100D" w14:textId="6CF61D82" w:rsidR="00540F9E" w:rsidRPr="005F5991" w:rsidRDefault="00540F9E" w:rsidP="00540F9E">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Ilicki</w:t>
      </w:r>
      <w:proofErr w:type="spellEnd"/>
      <w:r w:rsidRPr="005F5991">
        <w:rPr>
          <w:rFonts w:ascii="Times New Roman" w:eastAsia="Times New Roman" w:hAnsi="Times New Roman" w:cs="Times New Roman"/>
          <w:sz w:val="24"/>
          <w:szCs w:val="24"/>
          <w:lang w:eastAsia="en-GB"/>
        </w:rPr>
        <w:t xml:space="preserve">, J. (2022) “Challenges in evaluating the accuracy of AI-containing digital triage systems: A systematic review,” </w:t>
      </w:r>
      <w:r w:rsidRPr="005F5991">
        <w:rPr>
          <w:rFonts w:ascii="Times New Roman" w:eastAsia="Times New Roman" w:hAnsi="Times New Roman" w:cs="Times New Roman"/>
          <w:i/>
          <w:iCs/>
          <w:sz w:val="24"/>
          <w:szCs w:val="24"/>
          <w:lang w:eastAsia="en-GB"/>
        </w:rPr>
        <w:t>PLOS ONE</w:t>
      </w:r>
      <w:r w:rsidRPr="005F5991">
        <w:rPr>
          <w:rFonts w:ascii="Times New Roman" w:eastAsia="Times New Roman" w:hAnsi="Times New Roman" w:cs="Times New Roman"/>
          <w:sz w:val="24"/>
          <w:szCs w:val="24"/>
          <w:lang w:eastAsia="en-GB"/>
        </w:rPr>
        <w:t xml:space="preserve">, 17(12), p. e0279636. Available at: </w:t>
      </w:r>
      <w:hyperlink r:id="rId23" w:history="1">
        <w:r w:rsidRPr="005F5991">
          <w:rPr>
            <w:rStyle w:val="Hyperlink"/>
            <w:rFonts w:ascii="Times New Roman" w:eastAsia="Times New Roman" w:hAnsi="Times New Roman" w:cs="Times New Roman"/>
            <w:sz w:val="24"/>
            <w:szCs w:val="24"/>
            <w:u w:val="none"/>
            <w:lang w:eastAsia="en-GB"/>
          </w:rPr>
          <w:t>https://doi.org/10.1371/JOURNAL.PONE.0279636</w:t>
        </w:r>
      </w:hyperlink>
      <w:r w:rsidRPr="005F5991">
        <w:rPr>
          <w:rFonts w:ascii="Times New Roman" w:eastAsia="Times New Roman" w:hAnsi="Times New Roman" w:cs="Times New Roman"/>
          <w:sz w:val="24"/>
          <w:szCs w:val="24"/>
          <w:lang w:eastAsia="en-GB"/>
        </w:rPr>
        <w:t>.</w:t>
      </w:r>
    </w:p>
    <w:p w14:paraId="38D6EE07" w14:textId="2876484E" w:rsidR="009E09BB" w:rsidRPr="005F5991" w:rsidRDefault="009E09BB" w:rsidP="00540F9E">
      <w:pPr>
        <w:spacing w:after="0" w:line="240" w:lineRule="auto"/>
        <w:rPr>
          <w:rFonts w:ascii="Times New Roman" w:eastAsia="Times New Roman" w:hAnsi="Times New Roman" w:cs="Times New Roman"/>
          <w:sz w:val="24"/>
          <w:szCs w:val="24"/>
          <w:lang w:eastAsia="en-GB"/>
        </w:rPr>
      </w:pPr>
    </w:p>
    <w:p w14:paraId="625E951F" w14:textId="5CE23F11" w:rsidR="009E09BB" w:rsidRPr="005F5991" w:rsidRDefault="009E09BB" w:rsidP="009E09BB">
      <w:pPr>
        <w:rPr>
          <w:rFonts w:ascii="Times New Roman" w:hAnsi="Times New Roman" w:cs="Times New Roman"/>
          <w:sz w:val="24"/>
          <w:szCs w:val="24"/>
        </w:rPr>
      </w:pPr>
      <w:r w:rsidRPr="005F5991">
        <w:rPr>
          <w:rFonts w:ascii="Times New Roman" w:hAnsi="Times New Roman" w:cs="Times New Roman"/>
          <w:sz w:val="24"/>
          <w:szCs w:val="24"/>
        </w:rPr>
        <w:t xml:space="preserve">Improvement </w:t>
      </w:r>
      <w:proofErr w:type="spellStart"/>
      <w:r w:rsidRPr="005F5991">
        <w:rPr>
          <w:rFonts w:ascii="Times New Roman" w:hAnsi="Times New Roman" w:cs="Times New Roman"/>
          <w:sz w:val="24"/>
          <w:szCs w:val="24"/>
        </w:rPr>
        <w:t>Cymru</w:t>
      </w:r>
      <w:proofErr w:type="spellEnd"/>
      <w:r w:rsidRPr="005F5991">
        <w:rPr>
          <w:rFonts w:ascii="Times New Roman" w:hAnsi="Times New Roman" w:cs="Times New Roman"/>
          <w:sz w:val="24"/>
          <w:szCs w:val="24"/>
        </w:rPr>
        <w:t xml:space="preserve"> (2023) ‘Model for Improvement’. Improvement </w:t>
      </w:r>
      <w:proofErr w:type="spellStart"/>
      <w:r w:rsidRPr="005F5991">
        <w:rPr>
          <w:rFonts w:ascii="Times New Roman" w:hAnsi="Times New Roman" w:cs="Times New Roman"/>
          <w:sz w:val="24"/>
          <w:szCs w:val="24"/>
        </w:rPr>
        <w:t>Cymru</w:t>
      </w:r>
      <w:proofErr w:type="spellEnd"/>
      <w:r w:rsidRPr="005F5991">
        <w:rPr>
          <w:rFonts w:ascii="Times New Roman" w:hAnsi="Times New Roman" w:cs="Times New Roman"/>
          <w:sz w:val="24"/>
          <w:szCs w:val="24"/>
        </w:rPr>
        <w:t xml:space="preserve"> Academy Toolkit Guide. Available at: </w:t>
      </w:r>
      <w:hyperlink r:id="rId24" w:history="1">
        <w:r w:rsidRPr="005F5991">
          <w:rPr>
            <w:rFonts w:ascii="Times New Roman" w:hAnsi="Times New Roman" w:cs="Times New Roman"/>
            <w:color w:val="0000FF"/>
            <w:sz w:val="24"/>
            <w:szCs w:val="24"/>
          </w:rPr>
          <w:t>performanceandimprovement.nhs.wales/functions/quality-safety-and-improvement/improvement/improvement-cymru-academy/resource-library/academy-toolkit-guides/model-for-improvement-toolkit-guide/</w:t>
        </w:r>
      </w:hyperlink>
      <w:r w:rsidRPr="005F5991">
        <w:rPr>
          <w:rFonts w:ascii="Times New Roman" w:hAnsi="Times New Roman" w:cs="Times New Roman"/>
          <w:sz w:val="24"/>
          <w:szCs w:val="24"/>
        </w:rPr>
        <w:t xml:space="preserve">  accessed on 5.2.26</w:t>
      </w:r>
    </w:p>
    <w:p w14:paraId="09294864" w14:textId="6582F3E9" w:rsidR="00544942" w:rsidRPr="005F5991" w:rsidRDefault="00544942" w:rsidP="00544942">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Knitza</w:t>
      </w:r>
      <w:proofErr w:type="spellEnd"/>
      <w:r w:rsidRPr="005F5991">
        <w:rPr>
          <w:rFonts w:ascii="Times New Roman" w:eastAsia="Times New Roman" w:hAnsi="Times New Roman" w:cs="Times New Roman"/>
          <w:sz w:val="24"/>
          <w:szCs w:val="24"/>
          <w:lang w:eastAsia="en-GB"/>
        </w:rPr>
        <w:t xml:space="preserve">, J.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(2024) “Comparison of Two Symptom Checkers (Ada and </w:t>
      </w:r>
      <w:proofErr w:type="spellStart"/>
      <w:r w:rsidRPr="005F5991">
        <w:rPr>
          <w:rFonts w:ascii="Times New Roman" w:eastAsia="Times New Roman" w:hAnsi="Times New Roman" w:cs="Times New Roman"/>
          <w:sz w:val="24"/>
          <w:szCs w:val="24"/>
          <w:lang w:eastAsia="en-GB"/>
        </w:rPr>
        <w:t>Symptoma</w:t>
      </w:r>
      <w:proofErr w:type="spellEnd"/>
      <w:r w:rsidRPr="005F5991">
        <w:rPr>
          <w:rFonts w:ascii="Times New Roman" w:eastAsia="Times New Roman" w:hAnsi="Times New Roman" w:cs="Times New Roman"/>
          <w:sz w:val="24"/>
          <w:szCs w:val="24"/>
          <w:lang w:eastAsia="en-GB"/>
        </w:rPr>
        <w:t xml:space="preserve">) in the Emergency Department: Randomized, Crossover, Head-to-Head, Double-Blinded Study,” </w:t>
      </w:r>
      <w:r w:rsidRPr="005F5991">
        <w:rPr>
          <w:rFonts w:ascii="Times New Roman" w:eastAsia="Times New Roman" w:hAnsi="Times New Roman" w:cs="Times New Roman"/>
          <w:i/>
          <w:iCs/>
          <w:sz w:val="24"/>
          <w:szCs w:val="24"/>
          <w:lang w:eastAsia="en-GB"/>
        </w:rPr>
        <w:t>Journal of Medical Internet Research</w:t>
      </w:r>
      <w:r w:rsidRPr="005F5991">
        <w:rPr>
          <w:rFonts w:ascii="Times New Roman" w:eastAsia="Times New Roman" w:hAnsi="Times New Roman" w:cs="Times New Roman"/>
          <w:sz w:val="24"/>
          <w:szCs w:val="24"/>
          <w:lang w:eastAsia="en-GB"/>
        </w:rPr>
        <w:t xml:space="preserve">, 26. Available at: </w:t>
      </w:r>
      <w:hyperlink r:id="rId25" w:history="1">
        <w:r w:rsidRPr="005F5991">
          <w:rPr>
            <w:rStyle w:val="Hyperlink"/>
            <w:rFonts w:ascii="Times New Roman" w:eastAsia="Times New Roman" w:hAnsi="Times New Roman" w:cs="Times New Roman"/>
            <w:sz w:val="24"/>
            <w:szCs w:val="24"/>
            <w:u w:val="none"/>
            <w:lang w:eastAsia="en-GB"/>
          </w:rPr>
          <w:t>https://doi.org/10.2196/56514</w:t>
        </w:r>
      </w:hyperlink>
      <w:r w:rsidRPr="005F5991">
        <w:rPr>
          <w:rFonts w:ascii="Times New Roman" w:eastAsia="Times New Roman" w:hAnsi="Times New Roman" w:cs="Times New Roman"/>
          <w:sz w:val="24"/>
          <w:szCs w:val="24"/>
          <w:lang w:eastAsia="en-GB"/>
        </w:rPr>
        <w:t>.</w:t>
      </w:r>
    </w:p>
    <w:p w14:paraId="4D8181ED" w14:textId="7C6237C9"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3C65C23B" w14:textId="3E795F72"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Levine, D.M.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(2024) “The diagnostic and triage accuracy of the GPT-3 artificial intelligence model: an observational study,” </w:t>
      </w:r>
      <w:r w:rsidRPr="005F5991">
        <w:rPr>
          <w:rFonts w:ascii="Times New Roman" w:eastAsia="Times New Roman" w:hAnsi="Times New Roman" w:cs="Times New Roman"/>
          <w:i/>
          <w:iCs/>
          <w:sz w:val="24"/>
          <w:szCs w:val="24"/>
          <w:lang w:eastAsia="en-GB"/>
        </w:rPr>
        <w:t>The Lancet Digital Health</w:t>
      </w:r>
      <w:r w:rsidRPr="005F5991">
        <w:rPr>
          <w:rFonts w:ascii="Times New Roman" w:eastAsia="Times New Roman" w:hAnsi="Times New Roman" w:cs="Times New Roman"/>
          <w:sz w:val="24"/>
          <w:szCs w:val="24"/>
          <w:lang w:eastAsia="en-GB"/>
        </w:rPr>
        <w:t xml:space="preserve">, 6(8), pp. e555–e561. Available at: </w:t>
      </w:r>
      <w:hyperlink r:id="rId26" w:history="1">
        <w:r w:rsidRPr="005F5991">
          <w:rPr>
            <w:rStyle w:val="Hyperlink"/>
            <w:rFonts w:ascii="Times New Roman" w:eastAsia="Times New Roman" w:hAnsi="Times New Roman" w:cs="Times New Roman"/>
            <w:sz w:val="24"/>
            <w:szCs w:val="24"/>
            <w:u w:val="none"/>
            <w:lang w:eastAsia="en-GB"/>
          </w:rPr>
          <w:t>https://doi.org/10.1016/S2589-7500(24)00097-9</w:t>
        </w:r>
      </w:hyperlink>
      <w:r w:rsidRPr="005F5991">
        <w:rPr>
          <w:rFonts w:ascii="Times New Roman" w:eastAsia="Times New Roman" w:hAnsi="Times New Roman" w:cs="Times New Roman"/>
          <w:sz w:val="24"/>
          <w:szCs w:val="24"/>
          <w:lang w:eastAsia="en-GB"/>
        </w:rPr>
        <w:t>.</w:t>
      </w:r>
    </w:p>
    <w:p w14:paraId="468A3617" w14:textId="3BC4A25A" w:rsidR="00540F9E" w:rsidRPr="005F5991" w:rsidRDefault="00540F9E" w:rsidP="008263E9">
      <w:pPr>
        <w:rPr>
          <w:rStyle w:val="Hyperlink"/>
          <w:rFonts w:ascii="Times New Roman" w:hAnsi="Times New Roman" w:cs="Times New Roman"/>
          <w:color w:val="auto"/>
          <w:sz w:val="24"/>
          <w:szCs w:val="24"/>
          <w:u w:val="none"/>
        </w:rPr>
      </w:pPr>
    </w:p>
    <w:p w14:paraId="6FEE85B3" w14:textId="3D22D31D"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Li, R.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“Development and validation of risk prediction models for high-risk patients with non-traumatic acute abdominal pain: a prospective observational study,” </w:t>
      </w:r>
      <w:r w:rsidRPr="005F5991">
        <w:rPr>
          <w:rFonts w:ascii="Times New Roman" w:eastAsia="Times New Roman" w:hAnsi="Times New Roman" w:cs="Times New Roman"/>
          <w:i/>
          <w:iCs/>
          <w:sz w:val="24"/>
          <w:szCs w:val="24"/>
          <w:lang w:eastAsia="en-GB"/>
        </w:rPr>
        <w:t>Frontiers in Public Health</w:t>
      </w:r>
      <w:r w:rsidRPr="005F5991">
        <w:rPr>
          <w:rFonts w:ascii="Times New Roman" w:eastAsia="Times New Roman" w:hAnsi="Times New Roman" w:cs="Times New Roman"/>
          <w:sz w:val="24"/>
          <w:szCs w:val="24"/>
          <w:lang w:eastAsia="en-GB"/>
        </w:rPr>
        <w:t xml:space="preserve">, 13. Available at: </w:t>
      </w:r>
      <w:hyperlink r:id="rId27" w:history="1">
        <w:r w:rsidRPr="005F5991">
          <w:rPr>
            <w:rStyle w:val="Hyperlink"/>
            <w:rFonts w:ascii="Times New Roman" w:eastAsia="Times New Roman" w:hAnsi="Times New Roman" w:cs="Times New Roman"/>
            <w:sz w:val="24"/>
            <w:szCs w:val="24"/>
            <w:u w:val="none"/>
            <w:lang w:eastAsia="en-GB"/>
          </w:rPr>
          <w:t>https://doi.org/10.3389/FPUBH.2025.1701050</w:t>
        </w:r>
      </w:hyperlink>
      <w:r w:rsidRPr="005F5991">
        <w:rPr>
          <w:rFonts w:ascii="Times New Roman" w:eastAsia="Times New Roman" w:hAnsi="Times New Roman" w:cs="Times New Roman"/>
          <w:sz w:val="24"/>
          <w:szCs w:val="24"/>
          <w:lang w:eastAsia="en-GB"/>
        </w:rPr>
        <w:t>.</w:t>
      </w:r>
    </w:p>
    <w:p w14:paraId="7C09E4AF" w14:textId="22971605" w:rsidR="00544942" w:rsidRPr="005F5991" w:rsidRDefault="00544942" w:rsidP="00513BCF">
      <w:pPr>
        <w:spacing w:after="0" w:line="240" w:lineRule="auto"/>
        <w:rPr>
          <w:rFonts w:ascii="Times New Roman" w:eastAsia="Times New Roman" w:hAnsi="Times New Roman" w:cs="Times New Roman"/>
          <w:sz w:val="24"/>
          <w:szCs w:val="24"/>
          <w:lang w:eastAsia="en-GB"/>
        </w:rPr>
      </w:pPr>
    </w:p>
    <w:p w14:paraId="5F0A1E4C" w14:textId="50142110" w:rsidR="00544942" w:rsidRPr="005F5991" w:rsidRDefault="00544942" w:rsidP="00544942">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Lindner, G. and Ravioli, S. (2025) “Performance of the artificial intelligence-based Swiss medical assessment system versus Manchester triage system in the emergency department: A retrospective analysis,” </w:t>
      </w:r>
      <w:r w:rsidRPr="005F5991">
        <w:rPr>
          <w:rFonts w:ascii="Times New Roman" w:eastAsia="Times New Roman" w:hAnsi="Times New Roman" w:cs="Times New Roman"/>
          <w:i/>
          <w:iCs/>
          <w:sz w:val="24"/>
          <w:szCs w:val="24"/>
          <w:lang w:eastAsia="en-GB"/>
        </w:rPr>
        <w:t>American Journal of Emergency Medicine</w:t>
      </w:r>
      <w:r w:rsidRPr="005F5991">
        <w:rPr>
          <w:rFonts w:ascii="Times New Roman" w:eastAsia="Times New Roman" w:hAnsi="Times New Roman" w:cs="Times New Roman"/>
          <w:sz w:val="24"/>
          <w:szCs w:val="24"/>
          <w:lang w:eastAsia="en-GB"/>
        </w:rPr>
        <w:t xml:space="preserve">, 94, pp. 46–49. Available at: </w:t>
      </w:r>
      <w:hyperlink r:id="rId28" w:history="1">
        <w:r w:rsidRPr="005F5991">
          <w:rPr>
            <w:rStyle w:val="Hyperlink"/>
            <w:rFonts w:ascii="Times New Roman" w:eastAsia="Times New Roman" w:hAnsi="Times New Roman" w:cs="Times New Roman"/>
            <w:sz w:val="24"/>
            <w:szCs w:val="24"/>
            <w:u w:val="none"/>
            <w:lang w:eastAsia="en-GB"/>
          </w:rPr>
          <w:t>https://doi.org/10.1016/J.AJEM.2025.04.023</w:t>
        </w:r>
      </w:hyperlink>
      <w:r w:rsidRPr="005F5991">
        <w:rPr>
          <w:rFonts w:ascii="Times New Roman" w:eastAsia="Times New Roman" w:hAnsi="Times New Roman" w:cs="Times New Roman"/>
          <w:sz w:val="24"/>
          <w:szCs w:val="24"/>
          <w:lang w:eastAsia="en-GB"/>
        </w:rPr>
        <w:t>.</w:t>
      </w:r>
    </w:p>
    <w:p w14:paraId="117BFE94" w14:textId="77777777" w:rsidR="00544942" w:rsidRPr="005F5991" w:rsidRDefault="00544942" w:rsidP="00513BCF">
      <w:pPr>
        <w:spacing w:after="0" w:line="240" w:lineRule="auto"/>
        <w:rPr>
          <w:rFonts w:ascii="Times New Roman" w:eastAsia="Times New Roman" w:hAnsi="Times New Roman" w:cs="Times New Roman"/>
          <w:sz w:val="24"/>
          <w:szCs w:val="24"/>
          <w:lang w:eastAsia="en-GB"/>
        </w:rPr>
      </w:pPr>
    </w:p>
    <w:p w14:paraId="266378CC" w14:textId="2F455288"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Liu, X.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(2024) “Assessing the utility of artificial intelligence throughout the triage outpatients: a prospective randomized controlled clinical study,” </w:t>
      </w:r>
      <w:r w:rsidRPr="005F5991">
        <w:rPr>
          <w:rFonts w:ascii="Times New Roman" w:eastAsia="Times New Roman" w:hAnsi="Times New Roman" w:cs="Times New Roman"/>
          <w:i/>
          <w:iCs/>
          <w:sz w:val="24"/>
          <w:szCs w:val="24"/>
          <w:lang w:eastAsia="en-GB"/>
        </w:rPr>
        <w:t>Frontiers in Public Health</w:t>
      </w:r>
      <w:r w:rsidRPr="005F5991">
        <w:rPr>
          <w:rFonts w:ascii="Times New Roman" w:eastAsia="Times New Roman" w:hAnsi="Times New Roman" w:cs="Times New Roman"/>
          <w:sz w:val="24"/>
          <w:szCs w:val="24"/>
          <w:lang w:eastAsia="en-GB"/>
        </w:rPr>
        <w:t xml:space="preserve">, 12. Available at: </w:t>
      </w:r>
      <w:hyperlink r:id="rId29" w:history="1">
        <w:r w:rsidRPr="005F5991">
          <w:rPr>
            <w:rStyle w:val="Hyperlink"/>
            <w:rFonts w:ascii="Times New Roman" w:eastAsia="Times New Roman" w:hAnsi="Times New Roman" w:cs="Times New Roman"/>
            <w:sz w:val="24"/>
            <w:szCs w:val="24"/>
            <w:u w:val="none"/>
            <w:lang w:eastAsia="en-GB"/>
          </w:rPr>
          <w:t>https://doi.org/10.3389/FPUBH.2024.1391906</w:t>
        </w:r>
      </w:hyperlink>
      <w:r w:rsidRPr="005F5991">
        <w:rPr>
          <w:rFonts w:ascii="Times New Roman" w:eastAsia="Times New Roman" w:hAnsi="Times New Roman" w:cs="Times New Roman"/>
          <w:sz w:val="24"/>
          <w:szCs w:val="24"/>
          <w:lang w:eastAsia="en-GB"/>
        </w:rPr>
        <w:t>.</w:t>
      </w:r>
    </w:p>
    <w:p w14:paraId="0F06DCF2" w14:textId="6E5C253F" w:rsidR="00513BCF" w:rsidRPr="005F5991" w:rsidRDefault="00513BCF" w:rsidP="008263E9">
      <w:pPr>
        <w:rPr>
          <w:rStyle w:val="Hyperlink"/>
          <w:rFonts w:ascii="Times New Roman" w:hAnsi="Times New Roman" w:cs="Times New Roman"/>
          <w:color w:val="auto"/>
          <w:sz w:val="24"/>
          <w:szCs w:val="24"/>
          <w:u w:val="none"/>
        </w:rPr>
      </w:pPr>
    </w:p>
    <w:p w14:paraId="57F9D0B0" w14:textId="1EA355E9"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lastRenderedPageBreak/>
        <w:t xml:space="preserve">Mani, Z. and </w:t>
      </w:r>
      <w:proofErr w:type="spellStart"/>
      <w:r w:rsidRPr="005F5991">
        <w:rPr>
          <w:rFonts w:ascii="Times New Roman" w:eastAsia="Times New Roman" w:hAnsi="Times New Roman" w:cs="Times New Roman"/>
          <w:sz w:val="24"/>
          <w:szCs w:val="24"/>
          <w:lang w:eastAsia="en-GB"/>
        </w:rPr>
        <w:t>Albagawi</w:t>
      </w:r>
      <w:proofErr w:type="spellEnd"/>
      <w:r w:rsidRPr="005F5991">
        <w:rPr>
          <w:rFonts w:ascii="Times New Roman" w:eastAsia="Times New Roman" w:hAnsi="Times New Roman" w:cs="Times New Roman"/>
          <w:sz w:val="24"/>
          <w:szCs w:val="24"/>
          <w:lang w:eastAsia="en-GB"/>
        </w:rPr>
        <w:t xml:space="preserve">, B. (2024) “AI frontiers in emergency care: the next evolution of nursing interventions,” </w:t>
      </w:r>
      <w:r w:rsidRPr="005F5991">
        <w:rPr>
          <w:rFonts w:ascii="Times New Roman" w:eastAsia="Times New Roman" w:hAnsi="Times New Roman" w:cs="Times New Roman"/>
          <w:i/>
          <w:iCs/>
          <w:sz w:val="24"/>
          <w:szCs w:val="24"/>
          <w:lang w:eastAsia="en-GB"/>
        </w:rPr>
        <w:t>Frontiers in Public Health</w:t>
      </w:r>
      <w:r w:rsidRPr="005F5991">
        <w:rPr>
          <w:rFonts w:ascii="Times New Roman" w:eastAsia="Times New Roman" w:hAnsi="Times New Roman" w:cs="Times New Roman"/>
          <w:sz w:val="24"/>
          <w:szCs w:val="24"/>
          <w:lang w:eastAsia="en-GB"/>
        </w:rPr>
        <w:t xml:space="preserve">, 12. Available at: </w:t>
      </w:r>
      <w:hyperlink r:id="rId30" w:history="1">
        <w:r w:rsidRPr="005F5991">
          <w:rPr>
            <w:rStyle w:val="Hyperlink"/>
            <w:rFonts w:ascii="Times New Roman" w:eastAsia="Times New Roman" w:hAnsi="Times New Roman" w:cs="Times New Roman"/>
            <w:sz w:val="24"/>
            <w:szCs w:val="24"/>
            <w:u w:val="none"/>
            <w:lang w:eastAsia="en-GB"/>
          </w:rPr>
          <w:t>https://doi.org/10.3389/FPUBH.2024.1439412</w:t>
        </w:r>
      </w:hyperlink>
      <w:r w:rsidRPr="005F5991">
        <w:rPr>
          <w:rFonts w:ascii="Times New Roman" w:eastAsia="Times New Roman" w:hAnsi="Times New Roman" w:cs="Times New Roman"/>
          <w:sz w:val="24"/>
          <w:szCs w:val="24"/>
          <w:lang w:eastAsia="en-GB"/>
        </w:rPr>
        <w:t>.</w:t>
      </w:r>
    </w:p>
    <w:p w14:paraId="600DC7B6" w14:textId="77777777" w:rsidR="00513BCF" w:rsidRPr="005F5991" w:rsidRDefault="00513BCF" w:rsidP="008263E9">
      <w:pPr>
        <w:rPr>
          <w:rStyle w:val="Hyperlink"/>
          <w:rFonts w:ascii="Times New Roman" w:hAnsi="Times New Roman" w:cs="Times New Roman"/>
          <w:color w:val="auto"/>
          <w:sz w:val="24"/>
          <w:szCs w:val="24"/>
          <w:u w:val="none"/>
        </w:rPr>
      </w:pPr>
    </w:p>
    <w:p w14:paraId="44FD6356" w14:textId="670F03C4" w:rsidR="00540F9E" w:rsidRPr="005F5991" w:rsidRDefault="00540F9E" w:rsidP="00540F9E">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McDermott, E., Nelson, R. and Weeks, H. (2021) “The Politics of LGBT+ Health Inequality: Conclusions from a UK Scoping Review,” </w:t>
      </w:r>
      <w:r w:rsidRPr="005F5991">
        <w:rPr>
          <w:rFonts w:ascii="Times New Roman" w:eastAsia="Times New Roman" w:hAnsi="Times New Roman" w:cs="Times New Roman"/>
          <w:i/>
          <w:iCs/>
          <w:sz w:val="24"/>
          <w:szCs w:val="24"/>
          <w:lang w:eastAsia="en-GB"/>
        </w:rPr>
        <w:t>International Journal of Environmental Research and Public Health</w:t>
      </w:r>
      <w:r w:rsidRPr="005F5991">
        <w:rPr>
          <w:rFonts w:ascii="Times New Roman" w:eastAsia="Times New Roman" w:hAnsi="Times New Roman" w:cs="Times New Roman"/>
          <w:sz w:val="24"/>
          <w:szCs w:val="24"/>
          <w:lang w:eastAsia="en-GB"/>
        </w:rPr>
        <w:t xml:space="preserve">, 18(2), p. 826. Available at: </w:t>
      </w:r>
      <w:hyperlink r:id="rId31" w:history="1">
        <w:r w:rsidRPr="005F5991">
          <w:rPr>
            <w:rStyle w:val="Hyperlink"/>
            <w:rFonts w:ascii="Times New Roman" w:eastAsia="Times New Roman" w:hAnsi="Times New Roman" w:cs="Times New Roman"/>
            <w:sz w:val="24"/>
            <w:szCs w:val="24"/>
            <w:u w:val="none"/>
            <w:lang w:eastAsia="en-GB"/>
          </w:rPr>
          <w:t>https://doi.org/10.3390/ijerph18020826</w:t>
        </w:r>
      </w:hyperlink>
      <w:r w:rsidRPr="005F5991">
        <w:rPr>
          <w:rFonts w:ascii="Times New Roman" w:eastAsia="Times New Roman" w:hAnsi="Times New Roman" w:cs="Times New Roman"/>
          <w:sz w:val="24"/>
          <w:szCs w:val="24"/>
          <w:lang w:eastAsia="en-GB"/>
        </w:rPr>
        <w:t>.</w:t>
      </w:r>
    </w:p>
    <w:p w14:paraId="5F535D5E" w14:textId="461069AB" w:rsidR="00540F9E" w:rsidRPr="005F5991" w:rsidRDefault="00540F9E" w:rsidP="00540F9E">
      <w:pPr>
        <w:spacing w:after="0" w:line="240" w:lineRule="auto"/>
        <w:rPr>
          <w:rFonts w:ascii="Times New Roman" w:eastAsia="Times New Roman" w:hAnsi="Times New Roman" w:cs="Times New Roman"/>
          <w:sz w:val="24"/>
          <w:szCs w:val="24"/>
          <w:lang w:eastAsia="en-GB"/>
        </w:rPr>
      </w:pPr>
    </w:p>
    <w:p w14:paraId="17FC6C83" w14:textId="400CC148" w:rsidR="00540F9E" w:rsidRPr="005F5991" w:rsidRDefault="00540F9E" w:rsidP="00540F9E">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Minichiello</w:t>
      </w:r>
      <w:proofErr w:type="spellEnd"/>
      <w:r w:rsidRPr="005F5991">
        <w:rPr>
          <w:rFonts w:ascii="Times New Roman" w:eastAsia="Times New Roman" w:hAnsi="Times New Roman" w:cs="Times New Roman"/>
          <w:sz w:val="24"/>
          <w:szCs w:val="24"/>
          <w:lang w:eastAsia="en-GB"/>
        </w:rPr>
        <w:t xml:space="preserve">, V.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(2013) “E-health: potential benefits and challenges in providing and accessing sexual health services,” </w:t>
      </w:r>
      <w:r w:rsidRPr="005F5991">
        <w:rPr>
          <w:rFonts w:ascii="Times New Roman" w:eastAsia="Times New Roman" w:hAnsi="Times New Roman" w:cs="Times New Roman"/>
          <w:i/>
          <w:iCs/>
          <w:sz w:val="24"/>
          <w:szCs w:val="24"/>
          <w:lang w:eastAsia="en-GB"/>
        </w:rPr>
        <w:t>BMC Public Health</w:t>
      </w:r>
      <w:r w:rsidRPr="005F5991">
        <w:rPr>
          <w:rFonts w:ascii="Times New Roman" w:eastAsia="Times New Roman" w:hAnsi="Times New Roman" w:cs="Times New Roman"/>
          <w:sz w:val="24"/>
          <w:szCs w:val="24"/>
          <w:lang w:eastAsia="en-GB"/>
        </w:rPr>
        <w:t xml:space="preserve">, 13(1), p. 790. Available at: </w:t>
      </w:r>
      <w:hyperlink r:id="rId32" w:history="1">
        <w:r w:rsidRPr="005F5991">
          <w:rPr>
            <w:rStyle w:val="Hyperlink"/>
            <w:rFonts w:ascii="Times New Roman" w:eastAsia="Times New Roman" w:hAnsi="Times New Roman" w:cs="Times New Roman"/>
            <w:sz w:val="24"/>
            <w:szCs w:val="24"/>
            <w:u w:val="none"/>
            <w:lang w:eastAsia="en-GB"/>
          </w:rPr>
          <w:t>https://doi.org/10.1186/1471-2458-13-790</w:t>
        </w:r>
      </w:hyperlink>
      <w:r w:rsidRPr="005F5991">
        <w:rPr>
          <w:rFonts w:ascii="Times New Roman" w:eastAsia="Times New Roman" w:hAnsi="Times New Roman" w:cs="Times New Roman"/>
          <w:sz w:val="24"/>
          <w:szCs w:val="24"/>
          <w:lang w:eastAsia="en-GB"/>
        </w:rPr>
        <w:t>.</w:t>
      </w:r>
    </w:p>
    <w:p w14:paraId="445FBA2D" w14:textId="27763414" w:rsidR="00540F9E" w:rsidRPr="005F5991" w:rsidRDefault="00540F9E" w:rsidP="00540F9E">
      <w:pPr>
        <w:spacing w:after="0" w:line="240" w:lineRule="auto"/>
        <w:rPr>
          <w:rFonts w:ascii="Times New Roman" w:eastAsia="Times New Roman" w:hAnsi="Times New Roman" w:cs="Times New Roman"/>
          <w:sz w:val="24"/>
          <w:szCs w:val="24"/>
          <w:lang w:eastAsia="en-GB"/>
        </w:rPr>
      </w:pPr>
    </w:p>
    <w:p w14:paraId="3CE09CE2" w14:textId="4DCBE650" w:rsidR="00540F9E" w:rsidRPr="005F5991" w:rsidRDefault="00540F9E" w:rsidP="00540F9E">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Murdoch, B. (2021) “Privacy and artificial intelligence: challenges for protecting health information in a new era,” </w:t>
      </w:r>
      <w:r w:rsidRPr="005F5991">
        <w:rPr>
          <w:rFonts w:ascii="Times New Roman" w:eastAsia="Times New Roman" w:hAnsi="Times New Roman" w:cs="Times New Roman"/>
          <w:i/>
          <w:iCs/>
          <w:sz w:val="24"/>
          <w:szCs w:val="24"/>
          <w:lang w:eastAsia="en-GB"/>
        </w:rPr>
        <w:t>BMC Medical Ethics 2021 22:1</w:t>
      </w:r>
      <w:r w:rsidRPr="005F5991">
        <w:rPr>
          <w:rFonts w:ascii="Times New Roman" w:eastAsia="Times New Roman" w:hAnsi="Times New Roman" w:cs="Times New Roman"/>
          <w:sz w:val="24"/>
          <w:szCs w:val="24"/>
          <w:lang w:eastAsia="en-GB"/>
        </w:rPr>
        <w:t xml:space="preserve">, 22(1), pp. 122-. Available at: </w:t>
      </w:r>
      <w:hyperlink r:id="rId33" w:history="1">
        <w:r w:rsidRPr="005F5991">
          <w:rPr>
            <w:rStyle w:val="Hyperlink"/>
            <w:rFonts w:ascii="Times New Roman" w:eastAsia="Times New Roman" w:hAnsi="Times New Roman" w:cs="Times New Roman"/>
            <w:sz w:val="24"/>
            <w:szCs w:val="24"/>
            <w:u w:val="none"/>
            <w:lang w:eastAsia="en-GB"/>
          </w:rPr>
          <w:t>https://doi.org/10.1186/S12910-021-00687-3</w:t>
        </w:r>
      </w:hyperlink>
      <w:r w:rsidRPr="005F5991">
        <w:rPr>
          <w:rFonts w:ascii="Times New Roman" w:eastAsia="Times New Roman" w:hAnsi="Times New Roman" w:cs="Times New Roman"/>
          <w:sz w:val="24"/>
          <w:szCs w:val="24"/>
          <w:lang w:eastAsia="en-GB"/>
        </w:rPr>
        <w:t>.</w:t>
      </w:r>
    </w:p>
    <w:p w14:paraId="09F9AC97" w14:textId="37505085" w:rsidR="00540F9E" w:rsidRPr="005F5991" w:rsidRDefault="00540F9E" w:rsidP="00540F9E">
      <w:pPr>
        <w:spacing w:after="0" w:line="240" w:lineRule="auto"/>
        <w:rPr>
          <w:rFonts w:ascii="Times New Roman" w:eastAsia="Times New Roman" w:hAnsi="Times New Roman" w:cs="Times New Roman"/>
          <w:sz w:val="24"/>
          <w:szCs w:val="24"/>
          <w:lang w:eastAsia="en-GB"/>
        </w:rPr>
      </w:pPr>
    </w:p>
    <w:p w14:paraId="7B0F9971" w14:textId="3B6A32A9" w:rsidR="00540F9E" w:rsidRPr="005F5991" w:rsidRDefault="00540F9E" w:rsidP="00540F9E">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Naveed, H.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“A Comprehensive Overview of Large Language Models,” </w:t>
      </w:r>
      <w:r w:rsidRPr="005F5991">
        <w:rPr>
          <w:rFonts w:ascii="Times New Roman" w:eastAsia="Times New Roman" w:hAnsi="Times New Roman" w:cs="Times New Roman"/>
          <w:i/>
          <w:iCs/>
          <w:sz w:val="24"/>
          <w:szCs w:val="24"/>
          <w:lang w:eastAsia="en-GB"/>
        </w:rPr>
        <w:t>ACM Transactions on Intelligent Systems and Technology</w:t>
      </w:r>
      <w:r w:rsidRPr="005F5991">
        <w:rPr>
          <w:rFonts w:ascii="Times New Roman" w:eastAsia="Times New Roman" w:hAnsi="Times New Roman" w:cs="Times New Roman"/>
          <w:sz w:val="24"/>
          <w:szCs w:val="24"/>
          <w:lang w:eastAsia="en-GB"/>
        </w:rPr>
        <w:t xml:space="preserve">, 16(5), pp. 1–72. Available at: </w:t>
      </w:r>
      <w:hyperlink r:id="rId34" w:history="1">
        <w:r w:rsidRPr="005F5991">
          <w:rPr>
            <w:rStyle w:val="Hyperlink"/>
            <w:rFonts w:ascii="Times New Roman" w:eastAsia="Times New Roman" w:hAnsi="Times New Roman" w:cs="Times New Roman"/>
            <w:sz w:val="24"/>
            <w:szCs w:val="24"/>
            <w:u w:val="none"/>
            <w:lang w:eastAsia="en-GB"/>
          </w:rPr>
          <w:t>https://doi.org/10.1145/3744746</w:t>
        </w:r>
      </w:hyperlink>
      <w:r w:rsidRPr="005F5991">
        <w:rPr>
          <w:rFonts w:ascii="Times New Roman" w:eastAsia="Times New Roman" w:hAnsi="Times New Roman" w:cs="Times New Roman"/>
          <w:sz w:val="24"/>
          <w:szCs w:val="24"/>
          <w:lang w:eastAsia="en-GB"/>
        </w:rPr>
        <w:t>.</w:t>
      </w:r>
    </w:p>
    <w:p w14:paraId="74264B8B" w14:textId="7C2CFEA4" w:rsidR="008544CF" w:rsidRPr="005F5991" w:rsidRDefault="008544CF" w:rsidP="00540F9E">
      <w:pPr>
        <w:spacing w:after="0" w:line="240" w:lineRule="auto"/>
        <w:rPr>
          <w:rFonts w:ascii="Times New Roman" w:eastAsia="Times New Roman" w:hAnsi="Times New Roman" w:cs="Times New Roman"/>
          <w:sz w:val="24"/>
          <w:szCs w:val="24"/>
          <w:lang w:eastAsia="en-GB"/>
        </w:rPr>
      </w:pPr>
    </w:p>
    <w:p w14:paraId="430CAFF5" w14:textId="5CB46B3A" w:rsidR="008544CF" w:rsidRPr="005F5991" w:rsidRDefault="008544CF" w:rsidP="008544CF">
      <w:pPr>
        <w:rPr>
          <w:rFonts w:ascii="Times New Roman" w:hAnsi="Times New Roman" w:cs="Times New Roman"/>
          <w:sz w:val="24"/>
          <w:szCs w:val="24"/>
        </w:rPr>
      </w:pPr>
      <w:r w:rsidRPr="005F5991">
        <w:rPr>
          <w:rFonts w:ascii="Times New Roman" w:eastAsia="Times New Roman" w:hAnsi="Times New Roman" w:cs="Times New Roman"/>
          <w:sz w:val="24"/>
          <w:szCs w:val="24"/>
          <w:lang w:eastAsia="en-GB"/>
        </w:rPr>
        <w:t xml:space="preserve">NHS (2019) ‘The NHS Long-term Plan’. Available at: </w:t>
      </w:r>
      <w:hyperlink r:id="rId35" w:history="1">
        <w:r w:rsidRPr="005F5991">
          <w:rPr>
            <w:rFonts w:ascii="Times New Roman" w:hAnsi="Times New Roman" w:cs="Times New Roman"/>
            <w:color w:val="0000FF"/>
            <w:sz w:val="24"/>
            <w:szCs w:val="24"/>
          </w:rPr>
          <w:t>NHS Long Term Plan v1.2 August 2019</w:t>
        </w:r>
      </w:hyperlink>
      <w:r w:rsidRPr="005F5991">
        <w:rPr>
          <w:rFonts w:ascii="Times New Roman" w:hAnsi="Times New Roman" w:cs="Times New Roman"/>
          <w:sz w:val="24"/>
          <w:szCs w:val="24"/>
        </w:rPr>
        <w:t xml:space="preserve">  accessed on: 15.1.26</w:t>
      </w:r>
    </w:p>
    <w:p w14:paraId="10828A95" w14:textId="5CFBB211" w:rsidR="00FA74D8" w:rsidRPr="005F5991" w:rsidRDefault="00FA74D8" w:rsidP="008544CF">
      <w:pPr>
        <w:rPr>
          <w:rFonts w:ascii="Times New Roman" w:hAnsi="Times New Roman" w:cs="Times New Roman"/>
          <w:sz w:val="24"/>
          <w:szCs w:val="24"/>
        </w:rPr>
      </w:pPr>
      <w:r w:rsidRPr="005F5991">
        <w:rPr>
          <w:rFonts w:ascii="Times New Roman" w:hAnsi="Times New Roman" w:cs="Times New Roman"/>
          <w:sz w:val="24"/>
          <w:szCs w:val="24"/>
        </w:rPr>
        <w:t xml:space="preserve">NHS England (2025) ‘Digitally Enabled Triage’ Available at: </w:t>
      </w:r>
      <w:hyperlink r:id="rId36" w:history="1">
        <w:r w:rsidRPr="005F5991">
          <w:rPr>
            <w:rFonts w:ascii="Times New Roman" w:hAnsi="Times New Roman" w:cs="Times New Roman"/>
            <w:color w:val="0000FF"/>
            <w:sz w:val="24"/>
            <w:szCs w:val="24"/>
          </w:rPr>
          <w:t>NHS England » Digitally enabled triage</w:t>
        </w:r>
      </w:hyperlink>
      <w:r w:rsidRPr="005F5991">
        <w:rPr>
          <w:rFonts w:ascii="Times New Roman" w:hAnsi="Times New Roman" w:cs="Times New Roman"/>
          <w:sz w:val="24"/>
          <w:szCs w:val="24"/>
        </w:rPr>
        <w:t xml:space="preserve"> accessed on: 8.2.26</w:t>
      </w:r>
    </w:p>
    <w:p w14:paraId="3EEB16D5" w14:textId="2CBF650B" w:rsidR="006D1BFD" w:rsidRPr="005F5991" w:rsidRDefault="006D1BFD" w:rsidP="008544CF">
      <w:pPr>
        <w:rPr>
          <w:rFonts w:ascii="Times New Roman" w:hAnsi="Times New Roman" w:cs="Times New Roman"/>
          <w:sz w:val="24"/>
          <w:szCs w:val="24"/>
        </w:rPr>
      </w:pPr>
      <w:r w:rsidRPr="005F5991">
        <w:rPr>
          <w:rFonts w:ascii="Times New Roman" w:hAnsi="Times New Roman" w:cs="Times New Roman"/>
          <w:sz w:val="24"/>
          <w:szCs w:val="24"/>
        </w:rPr>
        <w:t xml:space="preserve">National Institute for Health &amp; Care Excellence (NICE) (2019) ‘Abortion Care Guideline NG140’ Available at: </w:t>
      </w:r>
      <w:hyperlink r:id="rId37" w:history="1">
        <w:r w:rsidRPr="005F5991">
          <w:rPr>
            <w:rFonts w:ascii="Times New Roman" w:hAnsi="Times New Roman" w:cs="Times New Roman"/>
            <w:color w:val="0000FF"/>
            <w:sz w:val="24"/>
            <w:szCs w:val="24"/>
          </w:rPr>
          <w:t>Overview | Abortion care | Guidance | NICE</w:t>
        </w:r>
      </w:hyperlink>
      <w:r w:rsidRPr="005F5991">
        <w:rPr>
          <w:rFonts w:ascii="Times New Roman" w:hAnsi="Times New Roman" w:cs="Times New Roman"/>
          <w:sz w:val="24"/>
          <w:szCs w:val="24"/>
        </w:rPr>
        <w:t xml:space="preserve"> accessed on 8.2.26</w:t>
      </w:r>
    </w:p>
    <w:p w14:paraId="4C401017" w14:textId="0D41223E" w:rsidR="001C0887" w:rsidRPr="005F5991" w:rsidRDefault="001C0887" w:rsidP="008544CF">
      <w:pPr>
        <w:rPr>
          <w:rFonts w:ascii="Times New Roman" w:hAnsi="Times New Roman" w:cs="Times New Roman"/>
          <w:sz w:val="24"/>
          <w:szCs w:val="24"/>
        </w:rPr>
      </w:pPr>
      <w:r w:rsidRPr="005F5991">
        <w:rPr>
          <w:rFonts w:ascii="Times New Roman" w:hAnsi="Times New Roman" w:cs="Times New Roman"/>
          <w:sz w:val="24"/>
          <w:szCs w:val="24"/>
        </w:rPr>
        <w:t xml:space="preserve">Office for Health Improvement &amp; Disparities (OHID) (2023) ‘Integrated Sexual Health Service </w:t>
      </w:r>
      <w:proofErr w:type="spellStart"/>
      <w:r w:rsidRPr="005F5991">
        <w:rPr>
          <w:rFonts w:ascii="Times New Roman" w:hAnsi="Times New Roman" w:cs="Times New Roman"/>
          <w:sz w:val="24"/>
          <w:szCs w:val="24"/>
        </w:rPr>
        <w:t>Spcification</w:t>
      </w:r>
      <w:proofErr w:type="spellEnd"/>
      <w:r w:rsidRPr="005F5991">
        <w:rPr>
          <w:rFonts w:ascii="Times New Roman" w:hAnsi="Times New Roman" w:cs="Times New Roman"/>
          <w:sz w:val="24"/>
          <w:szCs w:val="24"/>
        </w:rPr>
        <w:t xml:space="preserve">’ Available at: </w:t>
      </w:r>
      <w:hyperlink r:id="rId38" w:history="1">
        <w:r w:rsidRPr="005F5991">
          <w:rPr>
            <w:rFonts w:ascii="Times New Roman" w:hAnsi="Times New Roman" w:cs="Times New Roman"/>
            <w:color w:val="0000FF"/>
            <w:sz w:val="24"/>
            <w:szCs w:val="24"/>
          </w:rPr>
          <w:t>Integrated sexual health service specification</w:t>
        </w:r>
      </w:hyperlink>
      <w:r w:rsidRPr="005F5991">
        <w:rPr>
          <w:rFonts w:ascii="Times New Roman" w:hAnsi="Times New Roman" w:cs="Times New Roman"/>
          <w:sz w:val="24"/>
          <w:szCs w:val="24"/>
        </w:rPr>
        <w:t xml:space="preserve"> accessed on 8.2.26</w:t>
      </w:r>
    </w:p>
    <w:p w14:paraId="5BE6488C" w14:textId="77777777" w:rsidR="009E09BB" w:rsidRPr="005F5991" w:rsidRDefault="009E09BB" w:rsidP="009E09BB">
      <w:pPr>
        <w:rPr>
          <w:rFonts w:ascii="Times New Roman" w:hAnsi="Times New Roman" w:cs="Times New Roman"/>
          <w:sz w:val="24"/>
          <w:szCs w:val="24"/>
        </w:rPr>
      </w:pPr>
      <w:proofErr w:type="spellStart"/>
      <w:r w:rsidRPr="005F5991">
        <w:rPr>
          <w:rFonts w:ascii="Times New Roman" w:hAnsi="Times New Roman" w:cs="Times New Roman"/>
          <w:sz w:val="24"/>
          <w:szCs w:val="24"/>
        </w:rPr>
        <w:t>OpenAI</w:t>
      </w:r>
      <w:proofErr w:type="spellEnd"/>
      <w:r w:rsidRPr="005F5991">
        <w:rPr>
          <w:rFonts w:ascii="Times New Roman" w:hAnsi="Times New Roman" w:cs="Times New Roman"/>
          <w:sz w:val="24"/>
          <w:szCs w:val="24"/>
        </w:rPr>
        <w:t xml:space="preserve"> (2026) Figure 1- </w:t>
      </w:r>
      <w:proofErr w:type="spellStart"/>
      <w:r w:rsidRPr="005F5991">
        <w:rPr>
          <w:rFonts w:ascii="Times New Roman" w:hAnsi="Times New Roman" w:cs="Times New Roman"/>
          <w:sz w:val="24"/>
          <w:szCs w:val="24"/>
        </w:rPr>
        <w:t>ChatGPT</w:t>
      </w:r>
      <w:proofErr w:type="spellEnd"/>
      <w:r w:rsidRPr="005F5991">
        <w:rPr>
          <w:rFonts w:ascii="Times New Roman" w:hAnsi="Times New Roman" w:cs="Times New Roman"/>
          <w:sz w:val="24"/>
          <w:szCs w:val="24"/>
        </w:rPr>
        <w:t xml:space="preserve"> response to: ‘make me a flowchart of this process: Initial patient contact is managed by clerical staff via telephone or online referral forms, with patients added to a digital list. A nurse then completes a telephone clinical assessment using checklists alongside professional judgement.’ Accessed on 5.2.26</w:t>
      </w:r>
    </w:p>
    <w:p w14:paraId="2C7A0EE8" w14:textId="5C650F28" w:rsidR="009E09BB" w:rsidRPr="005F5991" w:rsidRDefault="009E09BB" w:rsidP="009E09BB">
      <w:pPr>
        <w:rPr>
          <w:rFonts w:ascii="Times New Roman" w:hAnsi="Times New Roman" w:cs="Times New Roman"/>
          <w:sz w:val="24"/>
          <w:szCs w:val="24"/>
        </w:rPr>
      </w:pPr>
      <w:proofErr w:type="spellStart"/>
      <w:r w:rsidRPr="005F5991">
        <w:rPr>
          <w:rFonts w:ascii="Times New Roman" w:hAnsi="Times New Roman" w:cs="Times New Roman"/>
          <w:sz w:val="24"/>
          <w:szCs w:val="24"/>
        </w:rPr>
        <w:t>OpenAI</w:t>
      </w:r>
      <w:proofErr w:type="spellEnd"/>
      <w:r w:rsidRPr="005F5991">
        <w:rPr>
          <w:rFonts w:ascii="Times New Roman" w:hAnsi="Times New Roman" w:cs="Times New Roman"/>
          <w:sz w:val="24"/>
          <w:szCs w:val="24"/>
        </w:rPr>
        <w:t xml:space="preserve"> (2026) Figure 2- </w:t>
      </w:r>
      <w:proofErr w:type="spellStart"/>
      <w:r w:rsidRPr="005F5991">
        <w:rPr>
          <w:rFonts w:ascii="Times New Roman" w:hAnsi="Times New Roman" w:cs="Times New Roman"/>
          <w:sz w:val="24"/>
          <w:szCs w:val="24"/>
        </w:rPr>
        <w:t>ChatGPT</w:t>
      </w:r>
      <w:proofErr w:type="spellEnd"/>
      <w:r w:rsidRPr="005F5991">
        <w:rPr>
          <w:rFonts w:ascii="Times New Roman" w:hAnsi="Times New Roman" w:cs="Times New Roman"/>
          <w:sz w:val="24"/>
          <w:szCs w:val="24"/>
        </w:rPr>
        <w:t xml:space="preserve"> response to: ‘make a flowchart image of the proposed digital triage pathway for ISH services’ accessed 5.2.26</w:t>
      </w:r>
    </w:p>
    <w:p w14:paraId="74751284" w14:textId="6CE532BB" w:rsidR="00C34E7A" w:rsidRPr="005F5991" w:rsidRDefault="00C34E7A" w:rsidP="00C34E7A">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Page, M.J.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(2021) “The PRISMA 2020 statement: an updated guideline for reporting systematic reviews,” </w:t>
      </w:r>
      <w:r w:rsidRPr="005F5991">
        <w:rPr>
          <w:rFonts w:ascii="Times New Roman" w:eastAsia="Times New Roman" w:hAnsi="Times New Roman" w:cs="Times New Roman"/>
          <w:i/>
          <w:iCs/>
          <w:sz w:val="24"/>
          <w:szCs w:val="24"/>
          <w:lang w:eastAsia="en-GB"/>
        </w:rPr>
        <w:t>BMJ</w:t>
      </w:r>
      <w:r w:rsidRPr="005F5991">
        <w:rPr>
          <w:rFonts w:ascii="Times New Roman" w:eastAsia="Times New Roman" w:hAnsi="Times New Roman" w:cs="Times New Roman"/>
          <w:sz w:val="24"/>
          <w:szCs w:val="24"/>
          <w:lang w:eastAsia="en-GB"/>
        </w:rPr>
        <w:t xml:space="preserve">, p. n71. Available at: </w:t>
      </w:r>
      <w:hyperlink r:id="rId39" w:history="1">
        <w:r w:rsidRPr="005F5991">
          <w:rPr>
            <w:rStyle w:val="Hyperlink"/>
            <w:rFonts w:ascii="Times New Roman" w:eastAsia="Times New Roman" w:hAnsi="Times New Roman" w:cs="Times New Roman"/>
            <w:sz w:val="24"/>
            <w:szCs w:val="24"/>
            <w:u w:val="none"/>
            <w:lang w:eastAsia="en-GB"/>
          </w:rPr>
          <w:t>https://doi.org/10.1136/bmj.n71</w:t>
        </w:r>
      </w:hyperlink>
      <w:r w:rsidRPr="005F5991">
        <w:rPr>
          <w:rFonts w:ascii="Times New Roman" w:eastAsia="Times New Roman" w:hAnsi="Times New Roman" w:cs="Times New Roman"/>
          <w:sz w:val="24"/>
          <w:szCs w:val="24"/>
          <w:lang w:eastAsia="en-GB"/>
        </w:rPr>
        <w:t>.</w:t>
      </w:r>
    </w:p>
    <w:p w14:paraId="1148EB0B" w14:textId="77777777" w:rsidR="00C34E7A" w:rsidRPr="005F5991" w:rsidRDefault="00C34E7A" w:rsidP="00513BCF">
      <w:pPr>
        <w:spacing w:after="0" w:line="240" w:lineRule="auto"/>
        <w:rPr>
          <w:rFonts w:ascii="Times New Roman" w:eastAsia="Times New Roman" w:hAnsi="Times New Roman" w:cs="Times New Roman"/>
          <w:sz w:val="24"/>
          <w:szCs w:val="24"/>
          <w:lang w:eastAsia="en-GB"/>
        </w:rPr>
      </w:pPr>
    </w:p>
    <w:p w14:paraId="1591256F" w14:textId="2FD81FCE"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Paule</w:t>
      </w:r>
      <w:proofErr w:type="spellEnd"/>
      <w:r w:rsidRPr="005F5991">
        <w:rPr>
          <w:rFonts w:ascii="Times New Roman" w:eastAsia="Times New Roman" w:hAnsi="Times New Roman" w:cs="Times New Roman"/>
          <w:sz w:val="24"/>
          <w:szCs w:val="24"/>
          <w:lang w:eastAsia="en-GB"/>
        </w:rPr>
        <w:t xml:space="preserve">, A.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“Patient-facing online triage tools and clinician decision-making: a systematic review,” </w:t>
      </w:r>
      <w:r w:rsidRPr="005F5991">
        <w:rPr>
          <w:rFonts w:ascii="Times New Roman" w:eastAsia="Times New Roman" w:hAnsi="Times New Roman" w:cs="Times New Roman"/>
          <w:i/>
          <w:iCs/>
          <w:sz w:val="24"/>
          <w:szCs w:val="24"/>
          <w:lang w:eastAsia="en-GB"/>
        </w:rPr>
        <w:t xml:space="preserve">BMJ </w:t>
      </w:r>
      <w:proofErr w:type="gramStart"/>
      <w:r w:rsidRPr="005F5991">
        <w:rPr>
          <w:rFonts w:ascii="Times New Roman" w:eastAsia="Times New Roman" w:hAnsi="Times New Roman" w:cs="Times New Roman"/>
          <w:i/>
          <w:iCs/>
          <w:sz w:val="24"/>
          <w:szCs w:val="24"/>
          <w:lang w:eastAsia="en-GB"/>
        </w:rPr>
        <w:t xml:space="preserve">Open </w:t>
      </w:r>
      <w:r w:rsidRPr="005F5991">
        <w:rPr>
          <w:rFonts w:ascii="Times New Roman" w:eastAsia="Times New Roman" w:hAnsi="Times New Roman" w:cs="Times New Roman"/>
          <w:sz w:val="24"/>
          <w:szCs w:val="24"/>
          <w:lang w:eastAsia="en-GB"/>
        </w:rPr>
        <w:t>,</w:t>
      </w:r>
      <w:proofErr w:type="gramEnd"/>
      <w:r w:rsidRPr="005F5991">
        <w:rPr>
          <w:rFonts w:ascii="Times New Roman" w:eastAsia="Times New Roman" w:hAnsi="Times New Roman" w:cs="Times New Roman"/>
          <w:sz w:val="24"/>
          <w:szCs w:val="24"/>
          <w:lang w:eastAsia="en-GB"/>
        </w:rPr>
        <w:t xml:space="preserve"> 15(5). Available at: </w:t>
      </w:r>
      <w:hyperlink r:id="rId40" w:history="1">
        <w:r w:rsidRPr="005F5991">
          <w:rPr>
            <w:rStyle w:val="Hyperlink"/>
            <w:rFonts w:ascii="Times New Roman" w:eastAsia="Times New Roman" w:hAnsi="Times New Roman" w:cs="Times New Roman"/>
            <w:sz w:val="24"/>
            <w:szCs w:val="24"/>
            <w:u w:val="none"/>
            <w:lang w:eastAsia="en-GB"/>
          </w:rPr>
          <w:t>https://doi.org/10.1136/BMJOPEN-2024-094068</w:t>
        </w:r>
      </w:hyperlink>
      <w:r w:rsidRPr="005F5991">
        <w:rPr>
          <w:rFonts w:ascii="Times New Roman" w:eastAsia="Times New Roman" w:hAnsi="Times New Roman" w:cs="Times New Roman"/>
          <w:sz w:val="24"/>
          <w:szCs w:val="24"/>
          <w:lang w:eastAsia="en-GB"/>
        </w:rPr>
        <w:t>.</w:t>
      </w:r>
    </w:p>
    <w:p w14:paraId="4EF4245E" w14:textId="07241081" w:rsidR="009E09BB" w:rsidRPr="005F5991" w:rsidRDefault="009E09BB" w:rsidP="00513BCF">
      <w:pPr>
        <w:spacing w:after="0" w:line="240" w:lineRule="auto"/>
        <w:rPr>
          <w:rFonts w:ascii="Times New Roman" w:eastAsia="Times New Roman" w:hAnsi="Times New Roman" w:cs="Times New Roman"/>
          <w:sz w:val="24"/>
          <w:szCs w:val="24"/>
          <w:lang w:eastAsia="en-GB"/>
        </w:rPr>
      </w:pPr>
    </w:p>
    <w:p w14:paraId="62BF8B42" w14:textId="77777777" w:rsidR="009E09BB" w:rsidRPr="005F5991" w:rsidRDefault="009E09BB" w:rsidP="009E09BB">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Pope, C., </w:t>
      </w:r>
      <w:proofErr w:type="spellStart"/>
      <w:r w:rsidRPr="005F5991">
        <w:rPr>
          <w:rFonts w:ascii="Times New Roman" w:eastAsia="Times New Roman" w:hAnsi="Times New Roman" w:cs="Times New Roman"/>
          <w:sz w:val="24"/>
          <w:szCs w:val="24"/>
          <w:lang w:eastAsia="en-GB"/>
        </w:rPr>
        <w:t>Ziebland</w:t>
      </w:r>
      <w:proofErr w:type="spellEnd"/>
      <w:r w:rsidRPr="005F5991">
        <w:rPr>
          <w:rFonts w:ascii="Times New Roman" w:eastAsia="Times New Roman" w:hAnsi="Times New Roman" w:cs="Times New Roman"/>
          <w:sz w:val="24"/>
          <w:szCs w:val="24"/>
          <w:lang w:eastAsia="en-GB"/>
        </w:rPr>
        <w:t xml:space="preserve">, S. and Mays, N. (2000) “Analysing qualitative data,” </w:t>
      </w:r>
      <w:r w:rsidRPr="005F5991">
        <w:rPr>
          <w:rFonts w:ascii="Times New Roman" w:eastAsia="Times New Roman" w:hAnsi="Times New Roman" w:cs="Times New Roman"/>
          <w:i/>
          <w:iCs/>
          <w:sz w:val="24"/>
          <w:szCs w:val="24"/>
          <w:lang w:eastAsia="en-GB"/>
        </w:rPr>
        <w:t>BMJ : British Medical Journal</w:t>
      </w:r>
      <w:r w:rsidRPr="005F5991">
        <w:rPr>
          <w:rFonts w:ascii="Times New Roman" w:eastAsia="Times New Roman" w:hAnsi="Times New Roman" w:cs="Times New Roman"/>
          <w:sz w:val="24"/>
          <w:szCs w:val="24"/>
          <w:lang w:eastAsia="en-GB"/>
        </w:rPr>
        <w:t xml:space="preserve">, 320(7227), p. 114. Available at: </w:t>
      </w:r>
      <w:hyperlink r:id="rId41" w:history="1">
        <w:r w:rsidRPr="005F5991">
          <w:rPr>
            <w:rStyle w:val="Hyperlink"/>
            <w:rFonts w:ascii="Times New Roman" w:eastAsia="Times New Roman" w:hAnsi="Times New Roman" w:cs="Times New Roman"/>
            <w:sz w:val="24"/>
            <w:szCs w:val="24"/>
            <w:u w:val="none"/>
            <w:lang w:eastAsia="en-GB"/>
          </w:rPr>
          <w:t>https://doi.org/10.1136/BMJ.320.7227.114</w:t>
        </w:r>
      </w:hyperlink>
      <w:r w:rsidRPr="005F5991">
        <w:rPr>
          <w:rFonts w:ascii="Times New Roman" w:eastAsia="Times New Roman" w:hAnsi="Times New Roman" w:cs="Times New Roman"/>
          <w:sz w:val="24"/>
          <w:szCs w:val="24"/>
          <w:lang w:eastAsia="en-GB"/>
        </w:rPr>
        <w:t>.</w:t>
      </w:r>
    </w:p>
    <w:p w14:paraId="003FCA27" w14:textId="2A3AEDA5" w:rsidR="009E09BB" w:rsidRPr="005F5991" w:rsidRDefault="009E09BB" w:rsidP="00513BCF">
      <w:pPr>
        <w:spacing w:after="0" w:line="240" w:lineRule="auto"/>
        <w:rPr>
          <w:rFonts w:ascii="Times New Roman" w:eastAsia="Times New Roman" w:hAnsi="Times New Roman" w:cs="Times New Roman"/>
          <w:sz w:val="24"/>
          <w:szCs w:val="24"/>
          <w:lang w:eastAsia="en-GB"/>
        </w:rPr>
      </w:pPr>
    </w:p>
    <w:p w14:paraId="1804D435" w14:textId="77777777" w:rsidR="009E09BB" w:rsidRPr="005F5991" w:rsidRDefault="009E09BB" w:rsidP="009E09BB">
      <w:pPr>
        <w:rPr>
          <w:rFonts w:ascii="Times New Roman" w:hAnsi="Times New Roman" w:cs="Times New Roman"/>
          <w:sz w:val="24"/>
          <w:szCs w:val="24"/>
        </w:rPr>
      </w:pPr>
      <w:proofErr w:type="spellStart"/>
      <w:r w:rsidRPr="005F5991">
        <w:rPr>
          <w:rFonts w:ascii="Times New Roman" w:hAnsi="Times New Roman" w:cs="Times New Roman"/>
          <w:sz w:val="24"/>
          <w:szCs w:val="24"/>
        </w:rPr>
        <w:lastRenderedPageBreak/>
        <w:t>QuestionPro</w:t>
      </w:r>
      <w:proofErr w:type="spellEnd"/>
      <w:r w:rsidRPr="005F5991">
        <w:rPr>
          <w:rFonts w:ascii="Times New Roman" w:hAnsi="Times New Roman" w:cs="Times New Roman"/>
          <w:sz w:val="24"/>
          <w:szCs w:val="24"/>
        </w:rPr>
        <w:t xml:space="preserve"> (2025) “10 Quantitative Data Analysis Software for Data Scientists” Available at: </w:t>
      </w:r>
      <w:hyperlink r:id="rId42" w:history="1">
        <w:r w:rsidRPr="005F5991">
          <w:rPr>
            <w:rFonts w:ascii="Times New Roman" w:hAnsi="Times New Roman" w:cs="Times New Roman"/>
            <w:color w:val="0000FF"/>
            <w:sz w:val="24"/>
            <w:szCs w:val="24"/>
          </w:rPr>
          <w:t>10 Quantitative Data Analysis Software for Data Scientists</w:t>
        </w:r>
      </w:hyperlink>
      <w:r w:rsidRPr="005F5991">
        <w:rPr>
          <w:rFonts w:ascii="Times New Roman" w:hAnsi="Times New Roman" w:cs="Times New Roman"/>
          <w:sz w:val="24"/>
          <w:szCs w:val="24"/>
        </w:rPr>
        <w:t xml:space="preserve">  Accessed on: 9.11.25</w:t>
      </w:r>
    </w:p>
    <w:p w14:paraId="1E8A8EDA" w14:textId="77777777" w:rsidR="009E09BB" w:rsidRPr="005F5991" w:rsidRDefault="009E09BB" w:rsidP="009E09BB">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Riboli-Sasco</w:t>
      </w:r>
      <w:proofErr w:type="spellEnd"/>
      <w:r w:rsidRPr="005F5991">
        <w:rPr>
          <w:rFonts w:ascii="Times New Roman" w:eastAsia="Times New Roman" w:hAnsi="Times New Roman" w:cs="Times New Roman"/>
          <w:sz w:val="24"/>
          <w:szCs w:val="24"/>
          <w:lang w:eastAsia="en-GB"/>
        </w:rPr>
        <w:t xml:space="preserve">, E.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(2023) “Triage and Diagnostic Accuracy of Online Symptom Checkers: Systematic Review,” </w:t>
      </w:r>
      <w:r w:rsidRPr="005F5991">
        <w:rPr>
          <w:rFonts w:ascii="Times New Roman" w:eastAsia="Times New Roman" w:hAnsi="Times New Roman" w:cs="Times New Roman"/>
          <w:i/>
          <w:iCs/>
          <w:sz w:val="24"/>
          <w:szCs w:val="24"/>
          <w:lang w:eastAsia="en-GB"/>
        </w:rPr>
        <w:t>Journal of Medical Internet Research</w:t>
      </w:r>
      <w:r w:rsidRPr="005F5991">
        <w:rPr>
          <w:rFonts w:ascii="Times New Roman" w:eastAsia="Times New Roman" w:hAnsi="Times New Roman" w:cs="Times New Roman"/>
          <w:sz w:val="24"/>
          <w:szCs w:val="24"/>
          <w:lang w:eastAsia="en-GB"/>
        </w:rPr>
        <w:t xml:space="preserve">, 25. Available at: </w:t>
      </w:r>
      <w:hyperlink r:id="rId43" w:history="1">
        <w:r w:rsidRPr="005F5991">
          <w:rPr>
            <w:rStyle w:val="Hyperlink"/>
            <w:rFonts w:ascii="Times New Roman" w:eastAsia="Times New Roman" w:hAnsi="Times New Roman" w:cs="Times New Roman"/>
            <w:sz w:val="24"/>
            <w:szCs w:val="24"/>
            <w:u w:val="none"/>
            <w:lang w:eastAsia="en-GB"/>
          </w:rPr>
          <w:t>https://doi.org/10.2196/43803</w:t>
        </w:r>
      </w:hyperlink>
      <w:r w:rsidRPr="005F5991">
        <w:rPr>
          <w:rFonts w:ascii="Times New Roman" w:eastAsia="Times New Roman" w:hAnsi="Times New Roman" w:cs="Times New Roman"/>
          <w:sz w:val="24"/>
          <w:szCs w:val="24"/>
          <w:lang w:eastAsia="en-GB"/>
        </w:rPr>
        <w:t>.</w:t>
      </w:r>
    </w:p>
    <w:p w14:paraId="5D1DA9B9" w14:textId="56050B60" w:rsidR="00540F9E" w:rsidRPr="005F5991" w:rsidRDefault="00540F9E" w:rsidP="00540F9E">
      <w:pPr>
        <w:spacing w:after="0" w:line="240" w:lineRule="auto"/>
        <w:rPr>
          <w:rFonts w:ascii="Times New Roman" w:eastAsia="Times New Roman" w:hAnsi="Times New Roman" w:cs="Times New Roman"/>
          <w:sz w:val="24"/>
          <w:szCs w:val="24"/>
          <w:lang w:eastAsia="en-GB"/>
        </w:rPr>
      </w:pPr>
    </w:p>
    <w:p w14:paraId="1AC788A4" w14:textId="78A21D53" w:rsidR="00540F9E" w:rsidRPr="005F5991" w:rsidRDefault="00540F9E" w:rsidP="00540F9E">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Scott, I.A., Carter, S.M. and </w:t>
      </w:r>
      <w:proofErr w:type="spellStart"/>
      <w:r w:rsidRPr="005F5991">
        <w:rPr>
          <w:rFonts w:ascii="Times New Roman" w:eastAsia="Times New Roman" w:hAnsi="Times New Roman" w:cs="Times New Roman"/>
          <w:sz w:val="24"/>
          <w:szCs w:val="24"/>
          <w:lang w:eastAsia="en-GB"/>
        </w:rPr>
        <w:t>Coiera</w:t>
      </w:r>
      <w:proofErr w:type="spellEnd"/>
      <w:r w:rsidRPr="005F5991">
        <w:rPr>
          <w:rFonts w:ascii="Times New Roman" w:eastAsia="Times New Roman" w:hAnsi="Times New Roman" w:cs="Times New Roman"/>
          <w:sz w:val="24"/>
          <w:szCs w:val="24"/>
          <w:lang w:eastAsia="en-GB"/>
        </w:rPr>
        <w:t xml:space="preserve">, E. (2021) “Exploring stakeholder attitudes towards AI in clinical practice,” </w:t>
      </w:r>
      <w:r w:rsidRPr="005F5991">
        <w:rPr>
          <w:rFonts w:ascii="Times New Roman" w:eastAsia="Times New Roman" w:hAnsi="Times New Roman" w:cs="Times New Roman"/>
          <w:i/>
          <w:iCs/>
          <w:sz w:val="24"/>
          <w:szCs w:val="24"/>
          <w:lang w:eastAsia="en-GB"/>
        </w:rPr>
        <w:t>BMJ Health &amp; Care Informatics</w:t>
      </w:r>
      <w:r w:rsidRPr="005F5991">
        <w:rPr>
          <w:rFonts w:ascii="Times New Roman" w:eastAsia="Times New Roman" w:hAnsi="Times New Roman" w:cs="Times New Roman"/>
          <w:sz w:val="24"/>
          <w:szCs w:val="24"/>
          <w:lang w:eastAsia="en-GB"/>
        </w:rPr>
        <w:t xml:space="preserve">, 28(1), p. e100450. Available at: </w:t>
      </w:r>
      <w:hyperlink r:id="rId44" w:history="1">
        <w:r w:rsidRPr="005F5991">
          <w:rPr>
            <w:rStyle w:val="Hyperlink"/>
            <w:rFonts w:ascii="Times New Roman" w:eastAsia="Times New Roman" w:hAnsi="Times New Roman" w:cs="Times New Roman"/>
            <w:sz w:val="24"/>
            <w:szCs w:val="24"/>
            <w:u w:val="none"/>
            <w:lang w:eastAsia="en-GB"/>
          </w:rPr>
          <w:t>https://doi.org/10.1136/BMJHCI-2021-100450</w:t>
        </w:r>
      </w:hyperlink>
      <w:r w:rsidRPr="005F5991">
        <w:rPr>
          <w:rFonts w:ascii="Times New Roman" w:eastAsia="Times New Roman" w:hAnsi="Times New Roman" w:cs="Times New Roman"/>
          <w:sz w:val="24"/>
          <w:szCs w:val="24"/>
          <w:lang w:eastAsia="en-GB"/>
        </w:rPr>
        <w:t>.</w:t>
      </w:r>
    </w:p>
    <w:p w14:paraId="00352427" w14:textId="080C81CE" w:rsidR="00540F9E" w:rsidRPr="005F5991" w:rsidRDefault="00540F9E" w:rsidP="008263E9">
      <w:pPr>
        <w:rPr>
          <w:rStyle w:val="Hyperlink"/>
          <w:rFonts w:ascii="Times New Roman" w:hAnsi="Times New Roman" w:cs="Times New Roman"/>
          <w:sz w:val="24"/>
          <w:szCs w:val="24"/>
          <w:u w:val="none"/>
        </w:rPr>
      </w:pPr>
    </w:p>
    <w:p w14:paraId="33384B92" w14:textId="096B78BB" w:rsidR="00540F9E" w:rsidRPr="005F5991" w:rsidRDefault="00540F9E" w:rsidP="00540F9E">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Semigran</w:t>
      </w:r>
      <w:proofErr w:type="spellEnd"/>
      <w:r w:rsidRPr="005F5991">
        <w:rPr>
          <w:rFonts w:ascii="Times New Roman" w:eastAsia="Times New Roman" w:hAnsi="Times New Roman" w:cs="Times New Roman"/>
          <w:sz w:val="24"/>
          <w:szCs w:val="24"/>
          <w:lang w:eastAsia="en-GB"/>
        </w:rPr>
        <w:t xml:space="preserve">, H.L.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(2015) “Evaluation of symptom checkers for </w:t>
      </w:r>
      <w:proofErr w:type="spellStart"/>
      <w:r w:rsidRPr="005F5991">
        <w:rPr>
          <w:rFonts w:ascii="Times New Roman" w:eastAsia="Times New Roman" w:hAnsi="Times New Roman" w:cs="Times New Roman"/>
          <w:sz w:val="24"/>
          <w:szCs w:val="24"/>
          <w:lang w:eastAsia="en-GB"/>
        </w:rPr>
        <w:t>self diagnosis</w:t>
      </w:r>
      <w:proofErr w:type="spellEnd"/>
      <w:r w:rsidRPr="005F5991">
        <w:rPr>
          <w:rFonts w:ascii="Times New Roman" w:eastAsia="Times New Roman" w:hAnsi="Times New Roman" w:cs="Times New Roman"/>
          <w:sz w:val="24"/>
          <w:szCs w:val="24"/>
          <w:lang w:eastAsia="en-GB"/>
        </w:rPr>
        <w:t xml:space="preserve"> and triage: audit study,” </w:t>
      </w:r>
      <w:r w:rsidRPr="005F5991">
        <w:rPr>
          <w:rFonts w:ascii="Times New Roman" w:eastAsia="Times New Roman" w:hAnsi="Times New Roman" w:cs="Times New Roman"/>
          <w:i/>
          <w:iCs/>
          <w:sz w:val="24"/>
          <w:szCs w:val="24"/>
          <w:lang w:eastAsia="en-GB"/>
        </w:rPr>
        <w:t>BMJ</w:t>
      </w:r>
      <w:r w:rsidRPr="005F5991">
        <w:rPr>
          <w:rFonts w:ascii="Times New Roman" w:eastAsia="Times New Roman" w:hAnsi="Times New Roman" w:cs="Times New Roman"/>
          <w:sz w:val="24"/>
          <w:szCs w:val="24"/>
          <w:lang w:eastAsia="en-GB"/>
        </w:rPr>
        <w:t xml:space="preserve">, 351. Available at: </w:t>
      </w:r>
      <w:hyperlink r:id="rId45" w:history="1">
        <w:r w:rsidRPr="005F5991">
          <w:rPr>
            <w:rStyle w:val="Hyperlink"/>
            <w:rFonts w:ascii="Times New Roman" w:eastAsia="Times New Roman" w:hAnsi="Times New Roman" w:cs="Times New Roman"/>
            <w:sz w:val="24"/>
            <w:szCs w:val="24"/>
            <w:u w:val="none"/>
            <w:lang w:eastAsia="en-GB"/>
          </w:rPr>
          <w:t>https://doi.org/10.1136/BMJ.H3480</w:t>
        </w:r>
      </w:hyperlink>
      <w:r w:rsidRPr="005F5991">
        <w:rPr>
          <w:rFonts w:ascii="Times New Roman" w:eastAsia="Times New Roman" w:hAnsi="Times New Roman" w:cs="Times New Roman"/>
          <w:sz w:val="24"/>
          <w:szCs w:val="24"/>
          <w:lang w:eastAsia="en-GB"/>
        </w:rPr>
        <w:t>.</w:t>
      </w:r>
    </w:p>
    <w:p w14:paraId="7B03603E" w14:textId="4B902136"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216F5BA9" w14:textId="79FC1DEB"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Sexton, V.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(2022) “Service use, clinical outcomes and user experience associated with urgent care services that use telephone-based digital triage: A systematic review,” </w:t>
      </w:r>
      <w:r w:rsidRPr="005F5991">
        <w:rPr>
          <w:rFonts w:ascii="Times New Roman" w:eastAsia="Times New Roman" w:hAnsi="Times New Roman" w:cs="Times New Roman"/>
          <w:i/>
          <w:iCs/>
          <w:sz w:val="24"/>
          <w:szCs w:val="24"/>
          <w:lang w:eastAsia="en-GB"/>
        </w:rPr>
        <w:t>BMJ Open</w:t>
      </w:r>
      <w:r w:rsidRPr="005F5991">
        <w:rPr>
          <w:rFonts w:ascii="Times New Roman" w:eastAsia="Times New Roman" w:hAnsi="Times New Roman" w:cs="Times New Roman"/>
          <w:sz w:val="24"/>
          <w:szCs w:val="24"/>
          <w:lang w:eastAsia="en-GB"/>
        </w:rPr>
        <w:t xml:space="preserve">, 12(1). Available at: </w:t>
      </w:r>
      <w:hyperlink r:id="rId46" w:history="1">
        <w:r w:rsidRPr="005F5991">
          <w:rPr>
            <w:rStyle w:val="Hyperlink"/>
            <w:rFonts w:ascii="Times New Roman" w:eastAsia="Times New Roman" w:hAnsi="Times New Roman" w:cs="Times New Roman"/>
            <w:sz w:val="24"/>
            <w:szCs w:val="24"/>
            <w:u w:val="none"/>
            <w:lang w:eastAsia="en-GB"/>
          </w:rPr>
          <w:t>https://doi.org/10.1136/BMJOPEN-2021-051569</w:t>
        </w:r>
      </w:hyperlink>
      <w:r w:rsidRPr="005F5991">
        <w:rPr>
          <w:rFonts w:ascii="Times New Roman" w:eastAsia="Times New Roman" w:hAnsi="Times New Roman" w:cs="Times New Roman"/>
          <w:sz w:val="24"/>
          <w:szCs w:val="24"/>
          <w:lang w:eastAsia="en-GB"/>
        </w:rPr>
        <w:t>.</w:t>
      </w:r>
    </w:p>
    <w:p w14:paraId="1992B25F" w14:textId="2E95236E"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1EB3BC2B" w14:textId="3986F4D6" w:rsidR="00513BCF" w:rsidRPr="005F5991" w:rsidRDefault="00513BCF" w:rsidP="00513BCF">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Sexton, V.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(2025) “Safety and accuracy of digitally supported primary and secondary urgent care telephone triage in England: an observational study using routine data,” </w:t>
      </w:r>
      <w:r w:rsidRPr="005F5991">
        <w:rPr>
          <w:rFonts w:ascii="Times New Roman" w:eastAsia="Times New Roman" w:hAnsi="Times New Roman" w:cs="Times New Roman"/>
          <w:i/>
          <w:iCs/>
          <w:sz w:val="24"/>
          <w:szCs w:val="24"/>
          <w:lang w:eastAsia="en-GB"/>
        </w:rPr>
        <w:t>BMC Medical Informatics and Decision Making</w:t>
      </w:r>
      <w:r w:rsidRPr="005F5991">
        <w:rPr>
          <w:rFonts w:ascii="Times New Roman" w:eastAsia="Times New Roman" w:hAnsi="Times New Roman" w:cs="Times New Roman"/>
          <w:sz w:val="24"/>
          <w:szCs w:val="24"/>
          <w:lang w:eastAsia="en-GB"/>
        </w:rPr>
        <w:t xml:space="preserve">, 25(1). Available at: </w:t>
      </w:r>
      <w:hyperlink r:id="rId47" w:history="1">
        <w:r w:rsidRPr="005F5991">
          <w:rPr>
            <w:rStyle w:val="Hyperlink"/>
            <w:rFonts w:ascii="Times New Roman" w:eastAsia="Times New Roman" w:hAnsi="Times New Roman" w:cs="Times New Roman"/>
            <w:sz w:val="24"/>
            <w:szCs w:val="24"/>
            <w:u w:val="none"/>
            <w:lang w:eastAsia="en-GB"/>
          </w:rPr>
          <w:t>https://doi.org/10.1186/S12911-025-02888-X</w:t>
        </w:r>
      </w:hyperlink>
      <w:r w:rsidRPr="005F5991">
        <w:rPr>
          <w:rFonts w:ascii="Times New Roman" w:eastAsia="Times New Roman" w:hAnsi="Times New Roman" w:cs="Times New Roman"/>
          <w:sz w:val="24"/>
          <w:szCs w:val="24"/>
          <w:lang w:eastAsia="en-GB"/>
        </w:rPr>
        <w:t>.</w:t>
      </w:r>
    </w:p>
    <w:p w14:paraId="1C381548" w14:textId="77777777"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50F8CEC7" w14:textId="7106BBB1"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Siira</w:t>
      </w:r>
      <w:proofErr w:type="spellEnd"/>
      <w:r w:rsidRPr="005F5991">
        <w:rPr>
          <w:rFonts w:ascii="Times New Roman" w:eastAsia="Times New Roman" w:hAnsi="Times New Roman" w:cs="Times New Roman"/>
          <w:sz w:val="24"/>
          <w:szCs w:val="24"/>
          <w:lang w:eastAsia="en-GB"/>
        </w:rPr>
        <w:t xml:space="preserve">, E., Johansson, H. and </w:t>
      </w:r>
      <w:proofErr w:type="spellStart"/>
      <w:r w:rsidRPr="005F5991">
        <w:rPr>
          <w:rFonts w:ascii="Times New Roman" w:eastAsia="Times New Roman" w:hAnsi="Times New Roman" w:cs="Times New Roman"/>
          <w:sz w:val="24"/>
          <w:szCs w:val="24"/>
          <w:lang w:eastAsia="en-GB"/>
        </w:rPr>
        <w:t>Nygren</w:t>
      </w:r>
      <w:proofErr w:type="spellEnd"/>
      <w:r w:rsidRPr="005F5991">
        <w:rPr>
          <w:rFonts w:ascii="Times New Roman" w:eastAsia="Times New Roman" w:hAnsi="Times New Roman" w:cs="Times New Roman"/>
          <w:sz w:val="24"/>
          <w:szCs w:val="24"/>
          <w:lang w:eastAsia="en-GB"/>
        </w:rPr>
        <w:t xml:space="preserve">, J. (2025) “Mapping and Summarizing the Research on AI Systems for Automating Medical History Taking and Triage: Scoping Review,” </w:t>
      </w:r>
      <w:r w:rsidRPr="005F5991">
        <w:rPr>
          <w:rFonts w:ascii="Times New Roman" w:eastAsia="Times New Roman" w:hAnsi="Times New Roman" w:cs="Times New Roman"/>
          <w:i/>
          <w:iCs/>
          <w:sz w:val="24"/>
          <w:szCs w:val="24"/>
          <w:lang w:eastAsia="en-GB"/>
        </w:rPr>
        <w:t>Journal of Medical Internet Research</w:t>
      </w:r>
      <w:r w:rsidRPr="005F5991">
        <w:rPr>
          <w:rFonts w:ascii="Times New Roman" w:eastAsia="Times New Roman" w:hAnsi="Times New Roman" w:cs="Times New Roman"/>
          <w:sz w:val="24"/>
          <w:szCs w:val="24"/>
          <w:lang w:eastAsia="en-GB"/>
        </w:rPr>
        <w:t xml:space="preserve">, 27. Available at: </w:t>
      </w:r>
      <w:hyperlink r:id="rId48" w:history="1">
        <w:r w:rsidRPr="005F5991">
          <w:rPr>
            <w:rStyle w:val="Hyperlink"/>
            <w:rFonts w:ascii="Times New Roman" w:eastAsia="Times New Roman" w:hAnsi="Times New Roman" w:cs="Times New Roman"/>
            <w:sz w:val="24"/>
            <w:szCs w:val="24"/>
            <w:u w:val="none"/>
            <w:lang w:eastAsia="en-GB"/>
          </w:rPr>
          <w:t>https://doi.org/10.2196/53741</w:t>
        </w:r>
      </w:hyperlink>
      <w:r w:rsidRPr="005F5991">
        <w:rPr>
          <w:rFonts w:ascii="Times New Roman" w:eastAsia="Times New Roman" w:hAnsi="Times New Roman" w:cs="Times New Roman"/>
          <w:sz w:val="24"/>
          <w:szCs w:val="24"/>
          <w:lang w:eastAsia="en-GB"/>
        </w:rPr>
        <w:t>.</w:t>
      </w:r>
    </w:p>
    <w:p w14:paraId="2A5B767B" w14:textId="11DD05DB" w:rsidR="009E09BB" w:rsidRPr="005F5991" w:rsidRDefault="009E09BB" w:rsidP="00513BCF">
      <w:pPr>
        <w:spacing w:after="0" w:line="240" w:lineRule="auto"/>
        <w:rPr>
          <w:rFonts w:ascii="Times New Roman" w:eastAsia="Times New Roman" w:hAnsi="Times New Roman" w:cs="Times New Roman"/>
          <w:sz w:val="24"/>
          <w:szCs w:val="24"/>
          <w:lang w:eastAsia="en-GB"/>
        </w:rPr>
      </w:pPr>
    </w:p>
    <w:p w14:paraId="2DF661C2" w14:textId="3D848EFC" w:rsidR="009E09BB" w:rsidRPr="005F5991" w:rsidRDefault="009E09BB" w:rsidP="009E09BB">
      <w:pPr>
        <w:spacing w:after="0" w:line="240" w:lineRule="auto"/>
        <w:rPr>
          <w:rFonts w:ascii="Times New Roman" w:hAnsi="Times New Roman" w:cs="Times New Roman"/>
          <w:sz w:val="24"/>
          <w:szCs w:val="24"/>
        </w:rPr>
      </w:pPr>
      <w:r w:rsidRPr="005F5991">
        <w:rPr>
          <w:rFonts w:ascii="Times New Roman" w:eastAsia="Times New Roman" w:hAnsi="Times New Roman" w:cs="Times New Roman"/>
          <w:sz w:val="24"/>
          <w:szCs w:val="24"/>
          <w:lang w:eastAsia="en-GB"/>
        </w:rPr>
        <w:t xml:space="preserve">Software World (2025) “Best Qualitative Data Analysis Software” Available at: </w:t>
      </w:r>
      <w:hyperlink r:id="rId49" w:history="1">
        <w:r w:rsidRPr="005F5991">
          <w:rPr>
            <w:rFonts w:ascii="Times New Roman" w:hAnsi="Times New Roman" w:cs="Times New Roman"/>
            <w:color w:val="0000FF"/>
            <w:sz w:val="24"/>
            <w:szCs w:val="24"/>
          </w:rPr>
          <w:t xml:space="preserve">List of Top Qualitative Data Analysis Software - Nov 2025 Reviews | </w:t>
        </w:r>
        <w:proofErr w:type="spellStart"/>
        <w:r w:rsidRPr="005F5991">
          <w:rPr>
            <w:rFonts w:ascii="Times New Roman" w:hAnsi="Times New Roman" w:cs="Times New Roman"/>
            <w:color w:val="0000FF"/>
            <w:sz w:val="24"/>
            <w:szCs w:val="24"/>
          </w:rPr>
          <w:t>SoftwareWorld</w:t>
        </w:r>
        <w:proofErr w:type="spellEnd"/>
      </w:hyperlink>
      <w:r w:rsidRPr="005F5991">
        <w:rPr>
          <w:rFonts w:ascii="Times New Roman" w:hAnsi="Times New Roman" w:cs="Times New Roman"/>
          <w:sz w:val="24"/>
          <w:szCs w:val="24"/>
        </w:rPr>
        <w:t xml:space="preserve">  Accessed on: 6.2.26</w:t>
      </w:r>
    </w:p>
    <w:p w14:paraId="26B9464B" w14:textId="74219516" w:rsidR="00513BCF" w:rsidRPr="005F5991" w:rsidRDefault="00513BCF" w:rsidP="00540F9E">
      <w:pPr>
        <w:spacing w:after="0" w:line="240" w:lineRule="auto"/>
        <w:rPr>
          <w:rFonts w:ascii="Times New Roman" w:eastAsia="Times New Roman" w:hAnsi="Times New Roman" w:cs="Times New Roman"/>
          <w:sz w:val="24"/>
          <w:szCs w:val="24"/>
          <w:lang w:eastAsia="en-GB"/>
        </w:rPr>
      </w:pPr>
    </w:p>
    <w:p w14:paraId="19B0A45E" w14:textId="739B274E" w:rsidR="008263E9" w:rsidRPr="005F5991" w:rsidRDefault="008263E9" w:rsidP="006B425F">
      <w:pPr>
        <w:rPr>
          <w:rFonts w:ascii="Times New Roman" w:hAnsi="Times New Roman" w:cs="Times New Roman"/>
          <w:sz w:val="24"/>
          <w:szCs w:val="24"/>
        </w:rPr>
      </w:pPr>
      <w:r w:rsidRPr="005F5991">
        <w:rPr>
          <w:rStyle w:val="Hyperlink"/>
          <w:rFonts w:ascii="Times New Roman" w:hAnsi="Times New Roman" w:cs="Times New Roman"/>
          <w:color w:val="auto"/>
          <w:sz w:val="24"/>
          <w:szCs w:val="24"/>
          <w:u w:val="none"/>
        </w:rPr>
        <w:t>Song, J; Sharp, C</w:t>
      </w:r>
      <w:r w:rsidR="005D4F84" w:rsidRPr="005F5991">
        <w:rPr>
          <w:rStyle w:val="Hyperlink"/>
          <w:rFonts w:ascii="Times New Roman" w:hAnsi="Times New Roman" w:cs="Times New Roman"/>
          <w:color w:val="auto"/>
          <w:sz w:val="24"/>
          <w:szCs w:val="24"/>
          <w:u w:val="none"/>
        </w:rPr>
        <w:t>L</w:t>
      </w:r>
      <w:r w:rsidRPr="005F5991">
        <w:rPr>
          <w:rStyle w:val="Hyperlink"/>
          <w:rFonts w:ascii="Times New Roman" w:hAnsi="Times New Roman" w:cs="Times New Roman"/>
          <w:color w:val="auto"/>
          <w:sz w:val="24"/>
          <w:szCs w:val="24"/>
          <w:u w:val="none"/>
        </w:rPr>
        <w:t xml:space="preserve">; Davies, AR (2020) </w:t>
      </w:r>
      <w:r w:rsidR="00103DFD" w:rsidRPr="005F5991">
        <w:rPr>
          <w:rStyle w:val="Hyperlink"/>
          <w:rFonts w:ascii="Times New Roman" w:hAnsi="Times New Roman" w:cs="Times New Roman"/>
          <w:color w:val="auto"/>
          <w:sz w:val="24"/>
          <w:szCs w:val="24"/>
          <w:u w:val="none"/>
        </w:rPr>
        <w:t>‘</w:t>
      </w:r>
      <w:r w:rsidRPr="005F5991">
        <w:rPr>
          <w:rStyle w:val="Hyperlink"/>
          <w:rFonts w:ascii="Times New Roman" w:hAnsi="Times New Roman" w:cs="Times New Roman"/>
          <w:color w:val="auto"/>
          <w:sz w:val="24"/>
          <w:szCs w:val="24"/>
          <w:u w:val="none"/>
        </w:rPr>
        <w:t>Population health in a digital age: Patterns in the use of social media in Wales</w:t>
      </w:r>
      <w:r w:rsidR="00F47485" w:rsidRPr="005F5991">
        <w:rPr>
          <w:rStyle w:val="Hyperlink"/>
          <w:rFonts w:ascii="Times New Roman" w:hAnsi="Times New Roman" w:cs="Times New Roman"/>
          <w:color w:val="auto"/>
          <w:sz w:val="24"/>
          <w:szCs w:val="24"/>
          <w:u w:val="none"/>
        </w:rPr>
        <w:t>’</w:t>
      </w:r>
      <w:r w:rsidRPr="005F5991">
        <w:rPr>
          <w:rStyle w:val="Hyperlink"/>
          <w:rFonts w:ascii="Times New Roman" w:hAnsi="Times New Roman" w:cs="Times New Roman"/>
          <w:color w:val="auto"/>
          <w:sz w:val="24"/>
          <w:szCs w:val="24"/>
          <w:u w:val="none"/>
        </w:rPr>
        <w:t xml:space="preserve">. Public Health Wales &amp; Bangor University. Available at: </w:t>
      </w:r>
      <w:hyperlink r:id="rId50" w:history="1">
        <w:r w:rsidRPr="005F5991">
          <w:rPr>
            <w:rFonts w:ascii="Times New Roman" w:hAnsi="Times New Roman" w:cs="Times New Roman"/>
            <w:color w:val="0000FF"/>
            <w:sz w:val="24"/>
            <w:szCs w:val="24"/>
          </w:rPr>
          <w:t>phw.nhs.wales/topics/digital-technology-and-health/population-health-in-a-digital-age1/</w:t>
        </w:r>
      </w:hyperlink>
      <w:r w:rsidR="009C4768" w:rsidRPr="005F5991">
        <w:rPr>
          <w:rFonts w:ascii="Times New Roman" w:hAnsi="Times New Roman" w:cs="Times New Roman"/>
          <w:color w:val="0000FF"/>
          <w:sz w:val="24"/>
          <w:szCs w:val="24"/>
        </w:rPr>
        <w:t xml:space="preserve">   </w:t>
      </w:r>
      <w:r w:rsidR="009C4768" w:rsidRPr="005F5991">
        <w:rPr>
          <w:rFonts w:ascii="Times New Roman" w:hAnsi="Times New Roman" w:cs="Times New Roman"/>
          <w:sz w:val="24"/>
          <w:szCs w:val="24"/>
        </w:rPr>
        <w:t>accessed on: 17.1.26</w:t>
      </w:r>
    </w:p>
    <w:p w14:paraId="223FD818" w14:textId="4F901CC5" w:rsidR="00E63EDA" w:rsidRPr="005F5991" w:rsidRDefault="00E63EDA" w:rsidP="006B425F">
      <w:pPr>
        <w:rPr>
          <w:rFonts w:ascii="Times New Roman" w:hAnsi="Times New Roman" w:cs="Times New Roman"/>
          <w:sz w:val="24"/>
          <w:szCs w:val="24"/>
        </w:rPr>
      </w:pPr>
      <w:r w:rsidRPr="005F5991">
        <w:rPr>
          <w:rFonts w:ascii="Times New Roman" w:hAnsi="Times New Roman" w:cs="Times New Roman"/>
          <w:sz w:val="24"/>
          <w:szCs w:val="24"/>
        </w:rPr>
        <w:t xml:space="preserve">The King’s Fund (2025) ‘Digital Triage in GP: enhancing access to care or increasing inequalities?’ Available at: </w:t>
      </w:r>
      <w:hyperlink r:id="rId51" w:history="1">
        <w:r w:rsidR="00027EC6" w:rsidRPr="005F5991">
          <w:rPr>
            <w:rFonts w:ascii="Times New Roman" w:hAnsi="Times New Roman" w:cs="Times New Roman"/>
            <w:color w:val="0000FF"/>
            <w:sz w:val="24"/>
            <w:szCs w:val="24"/>
          </w:rPr>
          <w:t xml:space="preserve">Digital Triage </w:t>
        </w:r>
        <w:proofErr w:type="gramStart"/>
        <w:r w:rsidR="00027EC6" w:rsidRPr="005F5991">
          <w:rPr>
            <w:rFonts w:ascii="Times New Roman" w:hAnsi="Times New Roman" w:cs="Times New Roman"/>
            <w:color w:val="0000FF"/>
            <w:sz w:val="24"/>
            <w:szCs w:val="24"/>
          </w:rPr>
          <w:t>In</w:t>
        </w:r>
        <w:proofErr w:type="gramEnd"/>
        <w:r w:rsidR="00027EC6" w:rsidRPr="005F5991">
          <w:rPr>
            <w:rFonts w:ascii="Times New Roman" w:hAnsi="Times New Roman" w:cs="Times New Roman"/>
            <w:color w:val="0000FF"/>
            <w:sz w:val="24"/>
            <w:szCs w:val="24"/>
          </w:rPr>
          <w:t xml:space="preserve"> GP: Enhancing Access To Care Or Increasing Inequalities? | The King's Fund</w:t>
        </w:r>
      </w:hyperlink>
      <w:r w:rsidR="00027EC6" w:rsidRPr="005F5991">
        <w:rPr>
          <w:rFonts w:ascii="Times New Roman" w:hAnsi="Times New Roman" w:cs="Times New Roman"/>
          <w:sz w:val="24"/>
          <w:szCs w:val="24"/>
        </w:rPr>
        <w:t xml:space="preserve"> accessed on: 8.2.26</w:t>
      </w:r>
    </w:p>
    <w:p w14:paraId="66AC9F1C" w14:textId="36347344" w:rsidR="001C2886" w:rsidRPr="005F5991" w:rsidRDefault="001C2886" w:rsidP="006B425F">
      <w:pPr>
        <w:rPr>
          <w:rFonts w:ascii="Times New Roman" w:hAnsi="Times New Roman" w:cs="Times New Roman"/>
          <w:sz w:val="24"/>
          <w:szCs w:val="24"/>
        </w:rPr>
      </w:pPr>
      <w:r w:rsidRPr="005F5991">
        <w:rPr>
          <w:rFonts w:ascii="Times New Roman" w:hAnsi="Times New Roman" w:cs="Times New Roman"/>
          <w:sz w:val="24"/>
          <w:szCs w:val="24"/>
        </w:rPr>
        <w:t xml:space="preserve">The Royal College of Paediatric &amp; Child Health (RCPCH) (2022) ‘Safeguarding Guidance for Children &amp; Young People Under 18 Accessing Early Medical Abortion Services’ Available at: </w:t>
      </w:r>
      <w:hyperlink r:id="rId52" w:history="1">
        <w:r w:rsidRPr="005F5991">
          <w:rPr>
            <w:rFonts w:ascii="Times New Roman" w:hAnsi="Times New Roman" w:cs="Times New Roman"/>
            <w:color w:val="0000FF"/>
            <w:sz w:val="24"/>
            <w:szCs w:val="24"/>
          </w:rPr>
          <w:t>Safeguarding guidance for children and young people under 18 accessing early medical abortion services - RCPCH Child Protection Portal</w:t>
        </w:r>
      </w:hyperlink>
      <w:r w:rsidRPr="005F5991">
        <w:rPr>
          <w:rFonts w:ascii="Times New Roman" w:hAnsi="Times New Roman" w:cs="Times New Roman"/>
          <w:sz w:val="24"/>
          <w:szCs w:val="24"/>
        </w:rPr>
        <w:t xml:space="preserve"> accessed on 8.2.26</w:t>
      </w:r>
    </w:p>
    <w:p w14:paraId="1A16C4C9" w14:textId="77777777" w:rsidR="009E09BB" w:rsidRPr="005F5991" w:rsidRDefault="009E09BB" w:rsidP="009E09BB">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Vandever</w:t>
      </w:r>
      <w:proofErr w:type="spellEnd"/>
      <w:r w:rsidRPr="005F5991">
        <w:rPr>
          <w:rFonts w:ascii="Times New Roman" w:eastAsia="Times New Roman" w:hAnsi="Times New Roman" w:cs="Times New Roman"/>
          <w:sz w:val="24"/>
          <w:szCs w:val="24"/>
          <w:lang w:eastAsia="en-GB"/>
        </w:rPr>
        <w:t xml:space="preserve">, C. (2020) “Introduction to Research Statistical Analysis: An Overview of the Basics,” </w:t>
      </w:r>
      <w:r w:rsidRPr="005F5991">
        <w:rPr>
          <w:rFonts w:ascii="Times New Roman" w:eastAsia="Times New Roman" w:hAnsi="Times New Roman" w:cs="Times New Roman"/>
          <w:i/>
          <w:iCs/>
          <w:sz w:val="24"/>
          <w:szCs w:val="24"/>
          <w:lang w:eastAsia="en-GB"/>
        </w:rPr>
        <w:t>HCA Healthcare Journal of Medicine</w:t>
      </w:r>
      <w:r w:rsidRPr="005F5991">
        <w:rPr>
          <w:rFonts w:ascii="Times New Roman" w:eastAsia="Times New Roman" w:hAnsi="Times New Roman" w:cs="Times New Roman"/>
          <w:sz w:val="24"/>
          <w:szCs w:val="24"/>
          <w:lang w:eastAsia="en-GB"/>
        </w:rPr>
        <w:t xml:space="preserve">, 1(2). Available at: </w:t>
      </w:r>
      <w:hyperlink r:id="rId53" w:history="1">
        <w:r w:rsidRPr="005F5991">
          <w:rPr>
            <w:rStyle w:val="Hyperlink"/>
            <w:rFonts w:ascii="Times New Roman" w:eastAsia="Times New Roman" w:hAnsi="Times New Roman" w:cs="Times New Roman"/>
            <w:sz w:val="24"/>
            <w:szCs w:val="24"/>
            <w:u w:val="none"/>
            <w:lang w:eastAsia="en-GB"/>
          </w:rPr>
          <w:t>https://doi.org/10.36518/2689-0216.1062</w:t>
        </w:r>
      </w:hyperlink>
      <w:r w:rsidRPr="005F5991">
        <w:rPr>
          <w:rFonts w:ascii="Times New Roman" w:eastAsia="Times New Roman" w:hAnsi="Times New Roman" w:cs="Times New Roman"/>
          <w:sz w:val="24"/>
          <w:szCs w:val="24"/>
          <w:lang w:eastAsia="en-GB"/>
        </w:rPr>
        <w:t>.</w:t>
      </w:r>
    </w:p>
    <w:p w14:paraId="76882596" w14:textId="77777777" w:rsidR="009E09BB" w:rsidRPr="005F5991" w:rsidRDefault="009E09BB" w:rsidP="009E09BB">
      <w:pPr>
        <w:rPr>
          <w:rFonts w:ascii="Times New Roman" w:hAnsi="Times New Roman" w:cs="Times New Roman"/>
          <w:sz w:val="24"/>
          <w:szCs w:val="24"/>
        </w:rPr>
      </w:pPr>
    </w:p>
    <w:p w14:paraId="6016F223" w14:textId="09CC2B09" w:rsidR="009E09BB" w:rsidRPr="005F5991" w:rsidRDefault="009E09BB" w:rsidP="009E09BB">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lastRenderedPageBreak/>
        <w:t>Varkey</w:t>
      </w:r>
      <w:proofErr w:type="spellEnd"/>
      <w:r w:rsidRPr="005F5991">
        <w:rPr>
          <w:rFonts w:ascii="Times New Roman" w:eastAsia="Times New Roman" w:hAnsi="Times New Roman" w:cs="Times New Roman"/>
          <w:sz w:val="24"/>
          <w:szCs w:val="24"/>
          <w:lang w:eastAsia="en-GB"/>
        </w:rPr>
        <w:t xml:space="preserve">, P., </w:t>
      </w:r>
      <w:proofErr w:type="spellStart"/>
      <w:r w:rsidRPr="005F5991">
        <w:rPr>
          <w:rFonts w:ascii="Times New Roman" w:eastAsia="Times New Roman" w:hAnsi="Times New Roman" w:cs="Times New Roman"/>
          <w:sz w:val="24"/>
          <w:szCs w:val="24"/>
          <w:lang w:eastAsia="en-GB"/>
        </w:rPr>
        <w:t>Reller</w:t>
      </w:r>
      <w:proofErr w:type="spellEnd"/>
      <w:r w:rsidRPr="005F5991">
        <w:rPr>
          <w:rFonts w:ascii="Times New Roman" w:eastAsia="Times New Roman" w:hAnsi="Times New Roman" w:cs="Times New Roman"/>
          <w:sz w:val="24"/>
          <w:szCs w:val="24"/>
          <w:lang w:eastAsia="en-GB"/>
        </w:rPr>
        <w:t xml:space="preserve">, M.K. and </w:t>
      </w:r>
      <w:proofErr w:type="spellStart"/>
      <w:r w:rsidRPr="005F5991">
        <w:rPr>
          <w:rFonts w:ascii="Times New Roman" w:eastAsia="Times New Roman" w:hAnsi="Times New Roman" w:cs="Times New Roman"/>
          <w:sz w:val="24"/>
          <w:szCs w:val="24"/>
          <w:lang w:eastAsia="en-GB"/>
        </w:rPr>
        <w:t>Resar</w:t>
      </w:r>
      <w:proofErr w:type="spellEnd"/>
      <w:r w:rsidRPr="005F5991">
        <w:rPr>
          <w:rFonts w:ascii="Times New Roman" w:eastAsia="Times New Roman" w:hAnsi="Times New Roman" w:cs="Times New Roman"/>
          <w:sz w:val="24"/>
          <w:szCs w:val="24"/>
          <w:lang w:eastAsia="en-GB"/>
        </w:rPr>
        <w:t xml:space="preserve">, R.K. (2007) “Basics of Quality Improvement in Health Care,” </w:t>
      </w:r>
      <w:r w:rsidRPr="005F5991">
        <w:rPr>
          <w:rFonts w:ascii="Times New Roman" w:eastAsia="Times New Roman" w:hAnsi="Times New Roman" w:cs="Times New Roman"/>
          <w:i/>
          <w:iCs/>
          <w:sz w:val="24"/>
          <w:szCs w:val="24"/>
          <w:lang w:eastAsia="en-GB"/>
        </w:rPr>
        <w:t>Mayo Clinic Proceedings</w:t>
      </w:r>
      <w:r w:rsidRPr="005F5991">
        <w:rPr>
          <w:rFonts w:ascii="Times New Roman" w:eastAsia="Times New Roman" w:hAnsi="Times New Roman" w:cs="Times New Roman"/>
          <w:sz w:val="24"/>
          <w:szCs w:val="24"/>
          <w:lang w:eastAsia="en-GB"/>
        </w:rPr>
        <w:t xml:space="preserve">, 82(6), pp. 735–739. Available at: </w:t>
      </w:r>
      <w:hyperlink r:id="rId54" w:history="1">
        <w:r w:rsidRPr="005F5991">
          <w:rPr>
            <w:rStyle w:val="Hyperlink"/>
            <w:rFonts w:ascii="Times New Roman" w:eastAsia="Times New Roman" w:hAnsi="Times New Roman" w:cs="Times New Roman"/>
            <w:sz w:val="24"/>
            <w:szCs w:val="24"/>
            <w:u w:val="none"/>
            <w:lang w:eastAsia="en-GB"/>
          </w:rPr>
          <w:t>https://doi.org/10.4065/82.6.735</w:t>
        </w:r>
      </w:hyperlink>
      <w:r w:rsidRPr="005F5991">
        <w:rPr>
          <w:rFonts w:ascii="Times New Roman" w:eastAsia="Times New Roman" w:hAnsi="Times New Roman" w:cs="Times New Roman"/>
          <w:sz w:val="24"/>
          <w:szCs w:val="24"/>
          <w:lang w:eastAsia="en-GB"/>
        </w:rPr>
        <w:t>.</w:t>
      </w:r>
    </w:p>
    <w:p w14:paraId="789B9F27" w14:textId="0535A5CA" w:rsidR="00027EC6" w:rsidRPr="005F5991" w:rsidRDefault="00027EC6" w:rsidP="009E09BB">
      <w:pPr>
        <w:spacing w:after="0" w:line="240" w:lineRule="auto"/>
        <w:rPr>
          <w:rFonts w:ascii="Times New Roman" w:eastAsia="Times New Roman" w:hAnsi="Times New Roman" w:cs="Times New Roman"/>
          <w:sz w:val="24"/>
          <w:szCs w:val="24"/>
          <w:lang w:eastAsia="en-GB"/>
        </w:rPr>
      </w:pPr>
    </w:p>
    <w:p w14:paraId="14316A0D" w14:textId="6FEDC4D5" w:rsidR="00027EC6" w:rsidRPr="005F5991" w:rsidRDefault="00027EC6" w:rsidP="00027EC6">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Wadham</w:t>
      </w:r>
      <w:proofErr w:type="spellEnd"/>
      <w:r w:rsidRPr="005F5991">
        <w:rPr>
          <w:rFonts w:ascii="Times New Roman" w:eastAsia="Times New Roman" w:hAnsi="Times New Roman" w:cs="Times New Roman"/>
          <w:sz w:val="24"/>
          <w:szCs w:val="24"/>
          <w:lang w:eastAsia="en-GB"/>
        </w:rPr>
        <w:t xml:space="preserve">, E.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(2019) “New digital media interventions for sexual health promotion among young people: a systematic review,” </w:t>
      </w:r>
      <w:r w:rsidRPr="005F5991">
        <w:rPr>
          <w:rFonts w:ascii="Times New Roman" w:eastAsia="Times New Roman" w:hAnsi="Times New Roman" w:cs="Times New Roman"/>
          <w:i/>
          <w:iCs/>
          <w:sz w:val="24"/>
          <w:szCs w:val="24"/>
          <w:lang w:eastAsia="en-GB"/>
        </w:rPr>
        <w:t>Sexual Health</w:t>
      </w:r>
      <w:r w:rsidRPr="005F5991">
        <w:rPr>
          <w:rFonts w:ascii="Times New Roman" w:eastAsia="Times New Roman" w:hAnsi="Times New Roman" w:cs="Times New Roman"/>
          <w:sz w:val="24"/>
          <w:szCs w:val="24"/>
          <w:lang w:eastAsia="en-GB"/>
        </w:rPr>
        <w:t xml:space="preserve">, 16(2), pp. 101–123. Available at: </w:t>
      </w:r>
      <w:hyperlink r:id="rId55" w:history="1">
        <w:r w:rsidRPr="005F5991">
          <w:rPr>
            <w:rStyle w:val="Hyperlink"/>
            <w:rFonts w:ascii="Times New Roman" w:eastAsia="Times New Roman" w:hAnsi="Times New Roman" w:cs="Times New Roman"/>
            <w:sz w:val="24"/>
            <w:szCs w:val="24"/>
            <w:u w:val="none"/>
            <w:lang w:eastAsia="en-GB"/>
          </w:rPr>
          <w:t>https://doi.org/10.1071/SH18127</w:t>
        </w:r>
      </w:hyperlink>
      <w:r w:rsidRPr="005F5991">
        <w:rPr>
          <w:rFonts w:ascii="Times New Roman" w:eastAsia="Times New Roman" w:hAnsi="Times New Roman" w:cs="Times New Roman"/>
          <w:sz w:val="24"/>
          <w:szCs w:val="24"/>
          <w:lang w:eastAsia="en-GB"/>
        </w:rPr>
        <w:t>.</w:t>
      </w:r>
    </w:p>
    <w:p w14:paraId="79379308" w14:textId="6410935D" w:rsidR="008544CF" w:rsidRPr="005F5991" w:rsidRDefault="008544CF" w:rsidP="009E09BB">
      <w:pPr>
        <w:spacing w:after="0" w:line="240" w:lineRule="auto"/>
        <w:rPr>
          <w:rFonts w:ascii="Times New Roman" w:eastAsia="Times New Roman" w:hAnsi="Times New Roman" w:cs="Times New Roman"/>
          <w:sz w:val="24"/>
          <w:szCs w:val="24"/>
          <w:lang w:eastAsia="en-GB"/>
        </w:rPr>
      </w:pPr>
    </w:p>
    <w:p w14:paraId="4095F3E0" w14:textId="752A808C" w:rsidR="008544CF" w:rsidRPr="005F5991" w:rsidRDefault="008544CF" w:rsidP="008544CF">
      <w:pPr>
        <w:rPr>
          <w:rFonts w:ascii="Times New Roman" w:hAnsi="Times New Roman" w:cs="Times New Roman"/>
          <w:sz w:val="24"/>
          <w:szCs w:val="24"/>
        </w:rPr>
      </w:pPr>
      <w:r w:rsidRPr="005F5991">
        <w:rPr>
          <w:rFonts w:ascii="Times New Roman" w:eastAsia="Times New Roman" w:hAnsi="Times New Roman" w:cs="Times New Roman"/>
          <w:sz w:val="24"/>
          <w:szCs w:val="24"/>
          <w:lang w:eastAsia="en-GB"/>
        </w:rPr>
        <w:t xml:space="preserve">Welsh Assembly Government (WAG) (2021) ‘Digital Strategy for Wales’. Available at:  </w:t>
      </w:r>
      <w:hyperlink r:id="rId56" w:history="1">
        <w:r w:rsidRPr="005F5991">
          <w:rPr>
            <w:rFonts w:ascii="Times New Roman" w:hAnsi="Times New Roman" w:cs="Times New Roman"/>
            <w:color w:val="0000FF"/>
            <w:sz w:val="24"/>
            <w:szCs w:val="24"/>
          </w:rPr>
          <w:t>Digital strategy for Wales | GOV.WALES</w:t>
        </w:r>
      </w:hyperlink>
      <w:r w:rsidRPr="005F5991">
        <w:rPr>
          <w:rFonts w:ascii="Times New Roman" w:hAnsi="Times New Roman" w:cs="Times New Roman"/>
          <w:sz w:val="24"/>
          <w:szCs w:val="24"/>
        </w:rPr>
        <w:t xml:space="preserve">  accessed on 15.1.26</w:t>
      </w:r>
    </w:p>
    <w:p w14:paraId="7A926122" w14:textId="47EE595B" w:rsidR="000F4D5C" w:rsidRPr="005F5991" w:rsidRDefault="000F4D5C" w:rsidP="008544CF">
      <w:pPr>
        <w:rPr>
          <w:rFonts w:ascii="Times New Roman" w:hAnsi="Times New Roman" w:cs="Times New Roman"/>
          <w:sz w:val="24"/>
          <w:szCs w:val="24"/>
        </w:rPr>
      </w:pPr>
      <w:r w:rsidRPr="005F5991">
        <w:rPr>
          <w:rFonts w:ascii="Times New Roman" w:eastAsia="Times New Roman" w:hAnsi="Times New Roman" w:cs="Times New Roman"/>
          <w:sz w:val="24"/>
          <w:szCs w:val="24"/>
          <w:lang w:eastAsia="en-GB"/>
        </w:rPr>
        <w:t xml:space="preserve">Welsh Assembly Government (WAG) (2022) ‘Quality Statement for Women &amp; Girls Health’ Available at: </w:t>
      </w:r>
      <w:hyperlink r:id="rId57" w:history="1">
        <w:r w:rsidRPr="005F5991">
          <w:rPr>
            <w:rFonts w:ascii="Times New Roman" w:hAnsi="Times New Roman" w:cs="Times New Roman"/>
            <w:color w:val="0000FF"/>
            <w:sz w:val="24"/>
            <w:szCs w:val="24"/>
          </w:rPr>
          <w:t>Quality statement for women and girls’ health [HTML] | GOV.WALES</w:t>
        </w:r>
      </w:hyperlink>
      <w:r w:rsidRPr="005F5991">
        <w:rPr>
          <w:rFonts w:ascii="Times New Roman" w:hAnsi="Times New Roman" w:cs="Times New Roman"/>
          <w:sz w:val="24"/>
          <w:szCs w:val="24"/>
        </w:rPr>
        <w:t xml:space="preserve"> accessed on 8.2.26</w:t>
      </w:r>
    </w:p>
    <w:p w14:paraId="78D56941" w14:textId="230AE376" w:rsidR="00027EC6" w:rsidRPr="005F5991" w:rsidRDefault="00027EC6" w:rsidP="008544CF">
      <w:pPr>
        <w:rPr>
          <w:rFonts w:ascii="Times New Roman" w:eastAsia="Times New Roman" w:hAnsi="Times New Roman" w:cs="Times New Roman"/>
          <w:sz w:val="24"/>
          <w:szCs w:val="24"/>
          <w:lang w:eastAsia="en-GB"/>
        </w:rPr>
      </w:pPr>
      <w:r w:rsidRPr="005F5991">
        <w:rPr>
          <w:rFonts w:ascii="Times New Roman" w:hAnsi="Times New Roman" w:cs="Times New Roman"/>
          <w:sz w:val="24"/>
          <w:szCs w:val="24"/>
        </w:rPr>
        <w:t>W</w:t>
      </w:r>
      <w:r w:rsidR="001C0887" w:rsidRPr="005F5991">
        <w:rPr>
          <w:rFonts w:ascii="Times New Roman" w:hAnsi="Times New Roman" w:cs="Times New Roman"/>
          <w:sz w:val="24"/>
          <w:szCs w:val="24"/>
        </w:rPr>
        <w:t xml:space="preserve">orld </w:t>
      </w:r>
      <w:r w:rsidRPr="005F5991">
        <w:rPr>
          <w:rFonts w:ascii="Times New Roman" w:hAnsi="Times New Roman" w:cs="Times New Roman"/>
          <w:sz w:val="24"/>
          <w:szCs w:val="24"/>
        </w:rPr>
        <w:t>H</w:t>
      </w:r>
      <w:r w:rsidR="001C0887" w:rsidRPr="005F5991">
        <w:rPr>
          <w:rFonts w:ascii="Times New Roman" w:hAnsi="Times New Roman" w:cs="Times New Roman"/>
          <w:sz w:val="24"/>
          <w:szCs w:val="24"/>
        </w:rPr>
        <w:t xml:space="preserve">ealth </w:t>
      </w:r>
      <w:r w:rsidRPr="005F5991">
        <w:rPr>
          <w:rFonts w:ascii="Times New Roman" w:hAnsi="Times New Roman" w:cs="Times New Roman"/>
          <w:sz w:val="24"/>
          <w:szCs w:val="24"/>
        </w:rPr>
        <w:t>O</w:t>
      </w:r>
      <w:r w:rsidR="001C0887" w:rsidRPr="005F5991">
        <w:rPr>
          <w:rFonts w:ascii="Times New Roman" w:hAnsi="Times New Roman" w:cs="Times New Roman"/>
          <w:sz w:val="24"/>
          <w:szCs w:val="24"/>
        </w:rPr>
        <w:t>rganisation (WHO)</w:t>
      </w:r>
      <w:r w:rsidRPr="005F5991">
        <w:rPr>
          <w:rFonts w:ascii="Times New Roman" w:hAnsi="Times New Roman" w:cs="Times New Roman"/>
          <w:sz w:val="24"/>
          <w:szCs w:val="24"/>
        </w:rPr>
        <w:t xml:space="preserve"> (2021) ‘Global Strategy on Digital Health 2020-2025’ Available at: </w:t>
      </w:r>
      <w:hyperlink r:id="rId58" w:history="1">
        <w:r w:rsidRPr="005F5991">
          <w:rPr>
            <w:rFonts w:ascii="Times New Roman" w:hAnsi="Times New Roman" w:cs="Times New Roman"/>
            <w:color w:val="0000FF"/>
            <w:sz w:val="24"/>
            <w:szCs w:val="24"/>
          </w:rPr>
          <w:t>content</w:t>
        </w:r>
      </w:hyperlink>
      <w:r w:rsidRPr="005F5991">
        <w:rPr>
          <w:rFonts w:ascii="Times New Roman" w:hAnsi="Times New Roman" w:cs="Times New Roman"/>
          <w:sz w:val="24"/>
          <w:szCs w:val="24"/>
        </w:rPr>
        <w:t xml:space="preserve"> accessed on 8.2.26</w:t>
      </w:r>
    </w:p>
    <w:p w14:paraId="4ABACB58" w14:textId="2F028B58" w:rsidR="00DC27E3" w:rsidRPr="005F5991" w:rsidRDefault="00DC27E3" w:rsidP="00DC27E3">
      <w:pPr>
        <w:spacing w:after="0" w:line="240" w:lineRule="auto"/>
        <w:rPr>
          <w:rFonts w:ascii="Times New Roman" w:eastAsia="Times New Roman" w:hAnsi="Times New Roman" w:cs="Times New Roman"/>
          <w:sz w:val="24"/>
          <w:szCs w:val="24"/>
          <w:lang w:eastAsia="en-GB"/>
        </w:rPr>
      </w:pPr>
      <w:r w:rsidRPr="005F5991">
        <w:rPr>
          <w:rFonts w:ascii="Times New Roman" w:eastAsia="Times New Roman" w:hAnsi="Times New Roman" w:cs="Times New Roman"/>
          <w:sz w:val="24"/>
          <w:szCs w:val="24"/>
          <w:lang w:eastAsia="en-GB"/>
        </w:rPr>
        <w:t xml:space="preserve">Yi, N., </w:t>
      </w:r>
      <w:proofErr w:type="spellStart"/>
      <w:r w:rsidRPr="005F5991">
        <w:rPr>
          <w:rFonts w:ascii="Times New Roman" w:eastAsia="Times New Roman" w:hAnsi="Times New Roman" w:cs="Times New Roman"/>
          <w:sz w:val="24"/>
          <w:szCs w:val="24"/>
          <w:lang w:eastAsia="en-GB"/>
        </w:rPr>
        <w:t>Baik</w:t>
      </w:r>
      <w:proofErr w:type="spellEnd"/>
      <w:r w:rsidRPr="005F5991">
        <w:rPr>
          <w:rFonts w:ascii="Times New Roman" w:eastAsia="Times New Roman" w:hAnsi="Times New Roman" w:cs="Times New Roman"/>
          <w:sz w:val="24"/>
          <w:szCs w:val="24"/>
          <w:lang w:eastAsia="en-GB"/>
        </w:rPr>
        <w:t xml:space="preserve">, D. and </w:t>
      </w:r>
      <w:proofErr w:type="spellStart"/>
      <w:r w:rsidRPr="005F5991">
        <w:rPr>
          <w:rFonts w:ascii="Times New Roman" w:eastAsia="Times New Roman" w:hAnsi="Times New Roman" w:cs="Times New Roman"/>
          <w:sz w:val="24"/>
          <w:szCs w:val="24"/>
          <w:lang w:eastAsia="en-GB"/>
        </w:rPr>
        <w:t>Baek</w:t>
      </w:r>
      <w:proofErr w:type="spellEnd"/>
      <w:r w:rsidRPr="005F5991">
        <w:rPr>
          <w:rFonts w:ascii="Times New Roman" w:eastAsia="Times New Roman" w:hAnsi="Times New Roman" w:cs="Times New Roman"/>
          <w:sz w:val="24"/>
          <w:szCs w:val="24"/>
          <w:lang w:eastAsia="en-GB"/>
        </w:rPr>
        <w:t xml:space="preserve">, G. (2025) “The effects of applying artificial intelligence to triage in the emergency department: A systematic review of prospective studies,” </w:t>
      </w:r>
      <w:r w:rsidRPr="005F5991">
        <w:rPr>
          <w:rFonts w:ascii="Times New Roman" w:eastAsia="Times New Roman" w:hAnsi="Times New Roman" w:cs="Times New Roman"/>
          <w:i/>
          <w:iCs/>
          <w:sz w:val="24"/>
          <w:szCs w:val="24"/>
          <w:lang w:eastAsia="en-GB"/>
        </w:rPr>
        <w:t>Journal of Nursing Scholarship</w:t>
      </w:r>
      <w:r w:rsidRPr="005F5991">
        <w:rPr>
          <w:rFonts w:ascii="Times New Roman" w:eastAsia="Times New Roman" w:hAnsi="Times New Roman" w:cs="Times New Roman"/>
          <w:sz w:val="24"/>
          <w:szCs w:val="24"/>
          <w:lang w:eastAsia="en-GB"/>
        </w:rPr>
        <w:t xml:space="preserve">, 57(1), pp. 105–118. Available at: </w:t>
      </w:r>
      <w:hyperlink r:id="rId59" w:history="1">
        <w:r w:rsidRPr="005F5991">
          <w:rPr>
            <w:rStyle w:val="Hyperlink"/>
            <w:rFonts w:ascii="Times New Roman" w:eastAsia="Times New Roman" w:hAnsi="Times New Roman" w:cs="Times New Roman"/>
            <w:sz w:val="24"/>
            <w:szCs w:val="24"/>
            <w:u w:val="none"/>
            <w:lang w:eastAsia="en-GB"/>
          </w:rPr>
          <w:t>https://doi.org/10.1111/JNU.13024</w:t>
        </w:r>
      </w:hyperlink>
      <w:r w:rsidRPr="005F5991">
        <w:rPr>
          <w:rFonts w:ascii="Times New Roman" w:eastAsia="Times New Roman" w:hAnsi="Times New Roman" w:cs="Times New Roman"/>
          <w:sz w:val="24"/>
          <w:szCs w:val="24"/>
          <w:lang w:eastAsia="en-GB"/>
        </w:rPr>
        <w:t>.</w:t>
      </w:r>
    </w:p>
    <w:p w14:paraId="39C3F8C0" w14:textId="77777777" w:rsidR="00513BCF" w:rsidRPr="005F5991" w:rsidRDefault="00513BCF" w:rsidP="00513BCF">
      <w:pPr>
        <w:spacing w:after="0" w:line="240" w:lineRule="auto"/>
        <w:rPr>
          <w:rFonts w:ascii="Times New Roman" w:eastAsia="Times New Roman" w:hAnsi="Times New Roman" w:cs="Times New Roman"/>
          <w:sz w:val="24"/>
          <w:szCs w:val="24"/>
          <w:lang w:eastAsia="en-GB"/>
        </w:rPr>
      </w:pPr>
    </w:p>
    <w:p w14:paraId="245A21A5" w14:textId="6E8D31FF" w:rsidR="00513BCF" w:rsidRPr="005F5991" w:rsidRDefault="00513BCF" w:rsidP="00513BCF">
      <w:pPr>
        <w:spacing w:after="0" w:line="240" w:lineRule="auto"/>
        <w:rPr>
          <w:rFonts w:ascii="Times New Roman" w:eastAsia="Times New Roman" w:hAnsi="Times New Roman" w:cs="Times New Roman"/>
          <w:sz w:val="24"/>
          <w:szCs w:val="24"/>
          <w:lang w:eastAsia="en-GB"/>
        </w:rPr>
      </w:pPr>
      <w:proofErr w:type="spellStart"/>
      <w:r w:rsidRPr="005F5991">
        <w:rPr>
          <w:rFonts w:ascii="Times New Roman" w:eastAsia="Times New Roman" w:hAnsi="Times New Roman" w:cs="Times New Roman"/>
          <w:sz w:val="24"/>
          <w:szCs w:val="24"/>
          <w:lang w:eastAsia="en-GB"/>
        </w:rPr>
        <w:t>Ziebart</w:t>
      </w:r>
      <w:proofErr w:type="spellEnd"/>
      <w:r w:rsidRPr="005F5991">
        <w:rPr>
          <w:rFonts w:ascii="Times New Roman" w:eastAsia="Times New Roman" w:hAnsi="Times New Roman" w:cs="Times New Roman"/>
          <w:sz w:val="24"/>
          <w:szCs w:val="24"/>
          <w:lang w:eastAsia="en-GB"/>
        </w:rPr>
        <w:t xml:space="preserve">, C. </w:t>
      </w:r>
      <w:r w:rsidRPr="005F5991">
        <w:rPr>
          <w:rFonts w:ascii="Times New Roman" w:eastAsia="Times New Roman" w:hAnsi="Times New Roman" w:cs="Times New Roman"/>
          <w:i/>
          <w:iCs/>
          <w:sz w:val="24"/>
          <w:szCs w:val="24"/>
          <w:lang w:eastAsia="en-GB"/>
        </w:rPr>
        <w:t>et al.</w:t>
      </w:r>
      <w:r w:rsidRPr="005F5991">
        <w:rPr>
          <w:rFonts w:ascii="Times New Roman" w:eastAsia="Times New Roman" w:hAnsi="Times New Roman" w:cs="Times New Roman"/>
          <w:sz w:val="24"/>
          <w:szCs w:val="24"/>
          <w:lang w:eastAsia="en-GB"/>
        </w:rPr>
        <w:t xml:space="preserve"> (2023) “A Digital-First Health Care Approach to Managing Pandemics: Scoping Review of Pandemic Self-triage Tools,” </w:t>
      </w:r>
      <w:r w:rsidRPr="005F5991">
        <w:rPr>
          <w:rFonts w:ascii="Times New Roman" w:eastAsia="Times New Roman" w:hAnsi="Times New Roman" w:cs="Times New Roman"/>
          <w:i/>
          <w:iCs/>
          <w:sz w:val="24"/>
          <w:szCs w:val="24"/>
          <w:lang w:eastAsia="en-GB"/>
        </w:rPr>
        <w:t>Journal of Medical Internet Research</w:t>
      </w:r>
      <w:r w:rsidRPr="005F5991">
        <w:rPr>
          <w:rFonts w:ascii="Times New Roman" w:eastAsia="Times New Roman" w:hAnsi="Times New Roman" w:cs="Times New Roman"/>
          <w:sz w:val="24"/>
          <w:szCs w:val="24"/>
          <w:lang w:eastAsia="en-GB"/>
        </w:rPr>
        <w:t xml:space="preserve">, 25. Available at: </w:t>
      </w:r>
      <w:hyperlink r:id="rId60" w:history="1">
        <w:r w:rsidRPr="005F5991">
          <w:rPr>
            <w:rStyle w:val="Hyperlink"/>
            <w:rFonts w:ascii="Times New Roman" w:eastAsia="Times New Roman" w:hAnsi="Times New Roman" w:cs="Times New Roman"/>
            <w:sz w:val="24"/>
            <w:szCs w:val="24"/>
            <w:u w:val="none"/>
            <w:lang w:eastAsia="en-GB"/>
          </w:rPr>
          <w:t>https://doi.org/10.2196/40983</w:t>
        </w:r>
      </w:hyperlink>
      <w:r w:rsidRPr="005F5991">
        <w:rPr>
          <w:rFonts w:ascii="Times New Roman" w:eastAsia="Times New Roman" w:hAnsi="Times New Roman" w:cs="Times New Roman"/>
          <w:sz w:val="24"/>
          <w:szCs w:val="24"/>
          <w:lang w:eastAsia="en-GB"/>
        </w:rPr>
        <w:t>.</w:t>
      </w:r>
    </w:p>
    <w:p w14:paraId="3F0AB2AC" w14:textId="77777777" w:rsidR="00513BCF" w:rsidRPr="005F5991" w:rsidRDefault="00513BCF" w:rsidP="00513BCF">
      <w:pPr>
        <w:spacing w:after="0" w:line="240" w:lineRule="auto"/>
        <w:rPr>
          <w:rFonts w:ascii="Times New Roman" w:eastAsia="Times New Roman" w:hAnsi="Times New Roman" w:cs="Times New Roman"/>
          <w:sz w:val="24"/>
          <w:szCs w:val="24"/>
          <w:lang w:eastAsia="en-GB"/>
        </w:rPr>
      </w:pPr>
    </w:p>
    <w:p w14:paraId="71D04E60" w14:textId="77777777" w:rsidR="00513BCF" w:rsidRPr="005F5991" w:rsidRDefault="00513BCF" w:rsidP="006B425F">
      <w:pPr>
        <w:rPr>
          <w:rFonts w:ascii="Times New Roman" w:hAnsi="Times New Roman" w:cs="Times New Roman"/>
          <w:sz w:val="24"/>
          <w:szCs w:val="24"/>
          <w:u w:val="single"/>
        </w:rPr>
      </w:pPr>
    </w:p>
    <w:sectPr w:rsidR="00513BCF" w:rsidRPr="005F5991" w:rsidSect="00E66B34">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A011D" w14:textId="77777777" w:rsidR="00F06040" w:rsidRDefault="00F06040" w:rsidP="00F06040">
      <w:pPr>
        <w:spacing w:after="0" w:line="240" w:lineRule="auto"/>
      </w:pPr>
      <w:r>
        <w:separator/>
      </w:r>
    </w:p>
  </w:endnote>
  <w:endnote w:type="continuationSeparator" w:id="0">
    <w:p w14:paraId="4BC43416" w14:textId="77777777" w:rsidR="00F06040" w:rsidRDefault="00F06040" w:rsidP="00F0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F0955" w14:textId="77777777" w:rsidR="00F06040" w:rsidRDefault="00F06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81062" w14:textId="77777777" w:rsidR="00F06040" w:rsidRDefault="00F06040" w:rsidP="00F06040">
      <w:pPr>
        <w:spacing w:after="0" w:line="240" w:lineRule="auto"/>
      </w:pPr>
      <w:r>
        <w:separator/>
      </w:r>
    </w:p>
  </w:footnote>
  <w:footnote w:type="continuationSeparator" w:id="0">
    <w:p w14:paraId="2F83AB1A" w14:textId="77777777" w:rsidR="00F06040" w:rsidRDefault="00F06040" w:rsidP="00F06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199E"/>
    <w:multiLevelType w:val="multilevel"/>
    <w:tmpl w:val="0E1E0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142E1"/>
    <w:multiLevelType w:val="hybridMultilevel"/>
    <w:tmpl w:val="EE7491B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 w15:restartNumberingAfterBreak="0">
    <w:nsid w:val="35053C18"/>
    <w:multiLevelType w:val="hybridMultilevel"/>
    <w:tmpl w:val="3B50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33178"/>
    <w:multiLevelType w:val="multilevel"/>
    <w:tmpl w:val="240E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2B0BB3"/>
    <w:multiLevelType w:val="multilevel"/>
    <w:tmpl w:val="24A2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000302"/>
    <w:multiLevelType w:val="multilevel"/>
    <w:tmpl w:val="0634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C372B"/>
    <w:multiLevelType w:val="hybridMultilevel"/>
    <w:tmpl w:val="4B7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40E1A"/>
    <w:multiLevelType w:val="multilevel"/>
    <w:tmpl w:val="3B1C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B0EE3"/>
    <w:multiLevelType w:val="multilevel"/>
    <w:tmpl w:val="8470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C7894"/>
    <w:multiLevelType w:val="hybridMultilevel"/>
    <w:tmpl w:val="F384C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C1190F"/>
    <w:multiLevelType w:val="multilevel"/>
    <w:tmpl w:val="36FC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679F9"/>
    <w:multiLevelType w:val="multilevel"/>
    <w:tmpl w:val="3B84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1E1F24"/>
    <w:multiLevelType w:val="multilevel"/>
    <w:tmpl w:val="BB0E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D1ECD"/>
    <w:multiLevelType w:val="multilevel"/>
    <w:tmpl w:val="CA98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973F8C"/>
    <w:multiLevelType w:val="multilevel"/>
    <w:tmpl w:val="28A6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60974"/>
    <w:multiLevelType w:val="multilevel"/>
    <w:tmpl w:val="96A0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28038F"/>
    <w:multiLevelType w:val="multilevel"/>
    <w:tmpl w:val="7EEC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5"/>
  </w:num>
  <w:num w:numId="4">
    <w:abstractNumId w:val="4"/>
  </w:num>
  <w:num w:numId="5">
    <w:abstractNumId w:val="8"/>
  </w:num>
  <w:num w:numId="6">
    <w:abstractNumId w:val="10"/>
  </w:num>
  <w:num w:numId="7">
    <w:abstractNumId w:val="11"/>
  </w:num>
  <w:num w:numId="8">
    <w:abstractNumId w:val="13"/>
  </w:num>
  <w:num w:numId="9">
    <w:abstractNumId w:val="5"/>
  </w:num>
  <w:num w:numId="10">
    <w:abstractNumId w:val="16"/>
  </w:num>
  <w:num w:numId="11">
    <w:abstractNumId w:val="12"/>
  </w:num>
  <w:num w:numId="12">
    <w:abstractNumId w:val="0"/>
  </w:num>
  <w:num w:numId="13">
    <w:abstractNumId w:val="14"/>
  </w:num>
  <w:num w:numId="14">
    <w:abstractNumId w:val="7"/>
  </w:num>
  <w:num w:numId="15">
    <w:abstractNumId w:val="2"/>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CF2"/>
    <w:rsid w:val="000034FE"/>
    <w:rsid w:val="00027EC6"/>
    <w:rsid w:val="000532C3"/>
    <w:rsid w:val="0009704E"/>
    <w:rsid w:val="000C2ACA"/>
    <w:rsid w:val="000C343E"/>
    <w:rsid w:val="000F4D5C"/>
    <w:rsid w:val="00103DFD"/>
    <w:rsid w:val="00123D43"/>
    <w:rsid w:val="0013387D"/>
    <w:rsid w:val="00155B73"/>
    <w:rsid w:val="00157084"/>
    <w:rsid w:val="001A6CAB"/>
    <w:rsid w:val="001C0887"/>
    <w:rsid w:val="001C2886"/>
    <w:rsid w:val="001F5826"/>
    <w:rsid w:val="001F7B0B"/>
    <w:rsid w:val="00200EB2"/>
    <w:rsid w:val="00234165"/>
    <w:rsid w:val="00235420"/>
    <w:rsid w:val="00243112"/>
    <w:rsid w:val="00285670"/>
    <w:rsid w:val="002C1D61"/>
    <w:rsid w:val="002C5A84"/>
    <w:rsid w:val="002F7C49"/>
    <w:rsid w:val="00323B58"/>
    <w:rsid w:val="00345479"/>
    <w:rsid w:val="00346CC1"/>
    <w:rsid w:val="00351812"/>
    <w:rsid w:val="003B469F"/>
    <w:rsid w:val="003D0618"/>
    <w:rsid w:val="003D3C55"/>
    <w:rsid w:val="003D44F6"/>
    <w:rsid w:val="003D5CE9"/>
    <w:rsid w:val="004300D1"/>
    <w:rsid w:val="004400B8"/>
    <w:rsid w:val="00444AC7"/>
    <w:rsid w:val="004A0207"/>
    <w:rsid w:val="004C3508"/>
    <w:rsid w:val="004E7EE1"/>
    <w:rsid w:val="004F2A50"/>
    <w:rsid w:val="00503D98"/>
    <w:rsid w:val="00513BCF"/>
    <w:rsid w:val="00523E7E"/>
    <w:rsid w:val="0052674D"/>
    <w:rsid w:val="00540F9E"/>
    <w:rsid w:val="00544942"/>
    <w:rsid w:val="00560A81"/>
    <w:rsid w:val="00591EEB"/>
    <w:rsid w:val="00593248"/>
    <w:rsid w:val="005966C5"/>
    <w:rsid w:val="005A01B0"/>
    <w:rsid w:val="005A47D5"/>
    <w:rsid w:val="005A6713"/>
    <w:rsid w:val="005C05C0"/>
    <w:rsid w:val="005C28B0"/>
    <w:rsid w:val="005C57D1"/>
    <w:rsid w:val="005D4F84"/>
    <w:rsid w:val="005F5991"/>
    <w:rsid w:val="00611556"/>
    <w:rsid w:val="00623A5B"/>
    <w:rsid w:val="00666A4A"/>
    <w:rsid w:val="006A7C83"/>
    <w:rsid w:val="006B425F"/>
    <w:rsid w:val="006C7744"/>
    <w:rsid w:val="006D1BFD"/>
    <w:rsid w:val="006E5182"/>
    <w:rsid w:val="006F2DD6"/>
    <w:rsid w:val="007010D6"/>
    <w:rsid w:val="007449D2"/>
    <w:rsid w:val="0074659F"/>
    <w:rsid w:val="007B3A8E"/>
    <w:rsid w:val="007B5923"/>
    <w:rsid w:val="007C262F"/>
    <w:rsid w:val="007D4CA6"/>
    <w:rsid w:val="007D5445"/>
    <w:rsid w:val="007E67E9"/>
    <w:rsid w:val="00816CF2"/>
    <w:rsid w:val="008263E9"/>
    <w:rsid w:val="00826838"/>
    <w:rsid w:val="008377ED"/>
    <w:rsid w:val="00842831"/>
    <w:rsid w:val="00847524"/>
    <w:rsid w:val="008544CF"/>
    <w:rsid w:val="00896F2B"/>
    <w:rsid w:val="008A64D8"/>
    <w:rsid w:val="008C7F05"/>
    <w:rsid w:val="008D21C1"/>
    <w:rsid w:val="00926A22"/>
    <w:rsid w:val="00967504"/>
    <w:rsid w:val="00980BA1"/>
    <w:rsid w:val="00984111"/>
    <w:rsid w:val="00984EB1"/>
    <w:rsid w:val="009C4768"/>
    <w:rsid w:val="009D4E06"/>
    <w:rsid w:val="009D54EF"/>
    <w:rsid w:val="009E09BB"/>
    <w:rsid w:val="009F5AA4"/>
    <w:rsid w:val="00A12D0F"/>
    <w:rsid w:val="00A13A24"/>
    <w:rsid w:val="00A2243C"/>
    <w:rsid w:val="00A31EA3"/>
    <w:rsid w:val="00A34654"/>
    <w:rsid w:val="00A46EA3"/>
    <w:rsid w:val="00A623C2"/>
    <w:rsid w:val="00A8277C"/>
    <w:rsid w:val="00A95849"/>
    <w:rsid w:val="00AA2781"/>
    <w:rsid w:val="00AD60F1"/>
    <w:rsid w:val="00AE1AF1"/>
    <w:rsid w:val="00B04AC5"/>
    <w:rsid w:val="00B143F1"/>
    <w:rsid w:val="00BB0E77"/>
    <w:rsid w:val="00BE0E28"/>
    <w:rsid w:val="00C25CF4"/>
    <w:rsid w:val="00C34E7A"/>
    <w:rsid w:val="00C43B52"/>
    <w:rsid w:val="00C63D68"/>
    <w:rsid w:val="00CA0092"/>
    <w:rsid w:val="00CB36EB"/>
    <w:rsid w:val="00CC69DC"/>
    <w:rsid w:val="00CD3917"/>
    <w:rsid w:val="00CE6FED"/>
    <w:rsid w:val="00D02CF1"/>
    <w:rsid w:val="00D1321E"/>
    <w:rsid w:val="00D52730"/>
    <w:rsid w:val="00D613FF"/>
    <w:rsid w:val="00D6782D"/>
    <w:rsid w:val="00D94819"/>
    <w:rsid w:val="00DA7968"/>
    <w:rsid w:val="00DB32AE"/>
    <w:rsid w:val="00DC27E3"/>
    <w:rsid w:val="00DD1709"/>
    <w:rsid w:val="00DF433B"/>
    <w:rsid w:val="00E06224"/>
    <w:rsid w:val="00E07EFF"/>
    <w:rsid w:val="00E161DC"/>
    <w:rsid w:val="00E21434"/>
    <w:rsid w:val="00E23134"/>
    <w:rsid w:val="00E2582E"/>
    <w:rsid w:val="00E34655"/>
    <w:rsid w:val="00E54786"/>
    <w:rsid w:val="00E63EDA"/>
    <w:rsid w:val="00E66B34"/>
    <w:rsid w:val="00E73C7C"/>
    <w:rsid w:val="00E87931"/>
    <w:rsid w:val="00E9591E"/>
    <w:rsid w:val="00EA0C7B"/>
    <w:rsid w:val="00EA0D6B"/>
    <w:rsid w:val="00EE5C35"/>
    <w:rsid w:val="00F06040"/>
    <w:rsid w:val="00F334CD"/>
    <w:rsid w:val="00F47485"/>
    <w:rsid w:val="00F608F5"/>
    <w:rsid w:val="00F63DAE"/>
    <w:rsid w:val="00F87479"/>
    <w:rsid w:val="00F9672E"/>
    <w:rsid w:val="00FA74D8"/>
    <w:rsid w:val="00FC361A"/>
    <w:rsid w:val="00FF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E5DD617"/>
  <w15:chartTrackingRefBased/>
  <w15:docId w15:val="{4AA91423-4FA9-4743-B742-FB8C6FDF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63E9"/>
    <w:rPr>
      <w:color w:val="0000FF"/>
      <w:u w:val="single"/>
    </w:rPr>
  </w:style>
  <w:style w:type="paragraph" w:styleId="NormalWeb">
    <w:name w:val="Normal (Web)"/>
    <w:basedOn w:val="Normal"/>
    <w:uiPriority w:val="99"/>
    <w:unhideWhenUsed/>
    <w:rsid w:val="008263E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26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6A4A"/>
    <w:pPr>
      <w:ind w:left="720"/>
      <w:contextualSpacing/>
    </w:pPr>
  </w:style>
  <w:style w:type="character" w:styleId="Strong">
    <w:name w:val="Strong"/>
    <w:basedOn w:val="DefaultParagraphFont"/>
    <w:uiPriority w:val="22"/>
    <w:qFormat/>
    <w:rsid w:val="00FF7164"/>
    <w:rPr>
      <w:b/>
      <w:bCs/>
    </w:rPr>
  </w:style>
  <w:style w:type="character" w:styleId="Emphasis">
    <w:name w:val="Emphasis"/>
    <w:basedOn w:val="DefaultParagraphFont"/>
    <w:uiPriority w:val="20"/>
    <w:qFormat/>
    <w:rsid w:val="00235420"/>
    <w:rPr>
      <w:i/>
      <w:iCs/>
    </w:rPr>
  </w:style>
  <w:style w:type="character" w:customStyle="1" w:styleId="whitespace-normal">
    <w:name w:val="whitespace-normal"/>
    <w:basedOn w:val="DefaultParagraphFont"/>
    <w:rsid w:val="00593248"/>
  </w:style>
  <w:style w:type="paragraph" w:styleId="CommentText">
    <w:name w:val="annotation text"/>
    <w:basedOn w:val="Normal"/>
    <w:link w:val="CommentTextChar"/>
    <w:uiPriority w:val="99"/>
    <w:unhideWhenUsed/>
    <w:rsid w:val="002C5A84"/>
    <w:pPr>
      <w:spacing w:line="240" w:lineRule="auto"/>
    </w:pPr>
    <w:rPr>
      <w:rFonts w:eastAsiaTheme="minorEastAsia"/>
      <w:sz w:val="20"/>
      <w:szCs w:val="20"/>
      <w:lang w:val="en-AU" w:eastAsia="zh-CN"/>
    </w:rPr>
  </w:style>
  <w:style w:type="character" w:customStyle="1" w:styleId="CommentTextChar">
    <w:name w:val="Comment Text Char"/>
    <w:basedOn w:val="DefaultParagraphFont"/>
    <w:link w:val="CommentText"/>
    <w:uiPriority w:val="99"/>
    <w:rsid w:val="002C5A84"/>
    <w:rPr>
      <w:rFonts w:eastAsiaTheme="minorEastAsia"/>
      <w:sz w:val="20"/>
      <w:szCs w:val="20"/>
      <w:lang w:val="en-AU" w:eastAsia="zh-CN"/>
    </w:rPr>
  </w:style>
  <w:style w:type="paragraph" w:customStyle="1" w:styleId="CM1">
    <w:name w:val="CM1"/>
    <w:basedOn w:val="Normal"/>
    <w:next w:val="Normal"/>
    <w:rsid w:val="002C5A84"/>
    <w:pPr>
      <w:widowControl w:val="0"/>
      <w:autoSpaceDE w:val="0"/>
      <w:autoSpaceDN w:val="0"/>
      <w:adjustRightInd w:val="0"/>
      <w:spacing w:after="0" w:line="240" w:lineRule="auto"/>
    </w:pPr>
    <w:rPr>
      <w:rFonts w:ascii="Calibri" w:eastAsia="Times New Roman" w:hAnsi="Calibri" w:cs="Times New Roman"/>
      <w:sz w:val="24"/>
      <w:szCs w:val="24"/>
      <w:lang w:val="en-CA" w:eastAsia="en-CA"/>
    </w:rPr>
  </w:style>
  <w:style w:type="paragraph" w:styleId="Header">
    <w:name w:val="header"/>
    <w:basedOn w:val="Normal"/>
    <w:link w:val="HeaderChar"/>
    <w:uiPriority w:val="99"/>
    <w:unhideWhenUsed/>
    <w:rsid w:val="00F06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040"/>
  </w:style>
  <w:style w:type="paragraph" w:styleId="Footer">
    <w:name w:val="footer"/>
    <w:basedOn w:val="Normal"/>
    <w:link w:val="FooterChar"/>
    <w:uiPriority w:val="99"/>
    <w:unhideWhenUsed/>
    <w:rsid w:val="00F06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040"/>
  </w:style>
  <w:style w:type="character" w:styleId="FollowedHyperlink">
    <w:name w:val="FollowedHyperlink"/>
    <w:basedOn w:val="DefaultParagraphFont"/>
    <w:uiPriority w:val="99"/>
    <w:semiHidden/>
    <w:unhideWhenUsed/>
    <w:rsid w:val="00980B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14751">
      <w:bodyDiv w:val="1"/>
      <w:marLeft w:val="0"/>
      <w:marRight w:val="0"/>
      <w:marTop w:val="0"/>
      <w:marBottom w:val="0"/>
      <w:divBdr>
        <w:top w:val="none" w:sz="0" w:space="0" w:color="auto"/>
        <w:left w:val="none" w:sz="0" w:space="0" w:color="auto"/>
        <w:bottom w:val="none" w:sz="0" w:space="0" w:color="auto"/>
        <w:right w:val="none" w:sz="0" w:space="0" w:color="auto"/>
      </w:divBdr>
      <w:divsChild>
        <w:div w:id="1682468114">
          <w:marLeft w:val="0"/>
          <w:marRight w:val="0"/>
          <w:marTop w:val="0"/>
          <w:marBottom w:val="0"/>
          <w:divBdr>
            <w:top w:val="none" w:sz="0" w:space="0" w:color="auto"/>
            <w:left w:val="none" w:sz="0" w:space="0" w:color="auto"/>
            <w:bottom w:val="none" w:sz="0" w:space="0" w:color="auto"/>
            <w:right w:val="none" w:sz="0" w:space="0" w:color="auto"/>
          </w:divBdr>
        </w:div>
      </w:divsChild>
    </w:div>
    <w:div w:id="82729948">
      <w:bodyDiv w:val="1"/>
      <w:marLeft w:val="0"/>
      <w:marRight w:val="0"/>
      <w:marTop w:val="0"/>
      <w:marBottom w:val="0"/>
      <w:divBdr>
        <w:top w:val="none" w:sz="0" w:space="0" w:color="auto"/>
        <w:left w:val="none" w:sz="0" w:space="0" w:color="auto"/>
        <w:bottom w:val="none" w:sz="0" w:space="0" w:color="auto"/>
        <w:right w:val="none" w:sz="0" w:space="0" w:color="auto"/>
      </w:divBdr>
      <w:divsChild>
        <w:div w:id="291833877">
          <w:marLeft w:val="0"/>
          <w:marRight w:val="0"/>
          <w:marTop w:val="0"/>
          <w:marBottom w:val="0"/>
          <w:divBdr>
            <w:top w:val="none" w:sz="0" w:space="0" w:color="auto"/>
            <w:left w:val="none" w:sz="0" w:space="0" w:color="auto"/>
            <w:bottom w:val="none" w:sz="0" w:space="0" w:color="auto"/>
            <w:right w:val="none" w:sz="0" w:space="0" w:color="auto"/>
          </w:divBdr>
        </w:div>
      </w:divsChild>
    </w:div>
    <w:div w:id="175310306">
      <w:bodyDiv w:val="1"/>
      <w:marLeft w:val="0"/>
      <w:marRight w:val="0"/>
      <w:marTop w:val="0"/>
      <w:marBottom w:val="0"/>
      <w:divBdr>
        <w:top w:val="none" w:sz="0" w:space="0" w:color="auto"/>
        <w:left w:val="none" w:sz="0" w:space="0" w:color="auto"/>
        <w:bottom w:val="none" w:sz="0" w:space="0" w:color="auto"/>
        <w:right w:val="none" w:sz="0" w:space="0" w:color="auto"/>
      </w:divBdr>
      <w:divsChild>
        <w:div w:id="1130123834">
          <w:marLeft w:val="0"/>
          <w:marRight w:val="0"/>
          <w:marTop w:val="0"/>
          <w:marBottom w:val="0"/>
          <w:divBdr>
            <w:top w:val="none" w:sz="0" w:space="0" w:color="auto"/>
            <w:left w:val="none" w:sz="0" w:space="0" w:color="auto"/>
            <w:bottom w:val="none" w:sz="0" w:space="0" w:color="auto"/>
            <w:right w:val="none" w:sz="0" w:space="0" w:color="auto"/>
          </w:divBdr>
          <w:divsChild>
            <w:div w:id="1216351895">
              <w:marLeft w:val="0"/>
              <w:marRight w:val="0"/>
              <w:marTop w:val="0"/>
              <w:marBottom w:val="0"/>
              <w:divBdr>
                <w:top w:val="none" w:sz="0" w:space="0" w:color="auto"/>
                <w:left w:val="none" w:sz="0" w:space="0" w:color="auto"/>
                <w:bottom w:val="none" w:sz="0" w:space="0" w:color="auto"/>
                <w:right w:val="none" w:sz="0" w:space="0" w:color="auto"/>
              </w:divBdr>
              <w:divsChild>
                <w:div w:id="100031670">
                  <w:marLeft w:val="0"/>
                  <w:marRight w:val="0"/>
                  <w:marTop w:val="0"/>
                  <w:marBottom w:val="0"/>
                  <w:divBdr>
                    <w:top w:val="none" w:sz="0" w:space="0" w:color="auto"/>
                    <w:left w:val="none" w:sz="0" w:space="0" w:color="auto"/>
                    <w:bottom w:val="none" w:sz="0" w:space="0" w:color="auto"/>
                    <w:right w:val="none" w:sz="0" w:space="0" w:color="auto"/>
                  </w:divBdr>
                  <w:divsChild>
                    <w:div w:id="2019968312">
                      <w:marLeft w:val="0"/>
                      <w:marRight w:val="0"/>
                      <w:marTop w:val="0"/>
                      <w:marBottom w:val="0"/>
                      <w:divBdr>
                        <w:top w:val="none" w:sz="0" w:space="0" w:color="auto"/>
                        <w:left w:val="none" w:sz="0" w:space="0" w:color="auto"/>
                        <w:bottom w:val="none" w:sz="0" w:space="0" w:color="auto"/>
                        <w:right w:val="none" w:sz="0" w:space="0" w:color="auto"/>
                      </w:divBdr>
                      <w:divsChild>
                        <w:div w:id="1855148818">
                          <w:marLeft w:val="0"/>
                          <w:marRight w:val="0"/>
                          <w:marTop w:val="0"/>
                          <w:marBottom w:val="0"/>
                          <w:divBdr>
                            <w:top w:val="none" w:sz="0" w:space="0" w:color="auto"/>
                            <w:left w:val="none" w:sz="0" w:space="0" w:color="auto"/>
                            <w:bottom w:val="none" w:sz="0" w:space="0" w:color="auto"/>
                            <w:right w:val="none" w:sz="0" w:space="0" w:color="auto"/>
                          </w:divBdr>
                          <w:divsChild>
                            <w:div w:id="500387278">
                              <w:marLeft w:val="0"/>
                              <w:marRight w:val="0"/>
                              <w:marTop w:val="0"/>
                              <w:marBottom w:val="0"/>
                              <w:divBdr>
                                <w:top w:val="none" w:sz="0" w:space="0" w:color="auto"/>
                                <w:left w:val="none" w:sz="0" w:space="0" w:color="auto"/>
                                <w:bottom w:val="none" w:sz="0" w:space="0" w:color="auto"/>
                                <w:right w:val="none" w:sz="0" w:space="0" w:color="auto"/>
                              </w:divBdr>
                              <w:divsChild>
                                <w:div w:id="14397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84428">
      <w:bodyDiv w:val="1"/>
      <w:marLeft w:val="0"/>
      <w:marRight w:val="0"/>
      <w:marTop w:val="0"/>
      <w:marBottom w:val="0"/>
      <w:divBdr>
        <w:top w:val="none" w:sz="0" w:space="0" w:color="auto"/>
        <w:left w:val="none" w:sz="0" w:space="0" w:color="auto"/>
        <w:bottom w:val="none" w:sz="0" w:space="0" w:color="auto"/>
        <w:right w:val="none" w:sz="0" w:space="0" w:color="auto"/>
      </w:divBdr>
    </w:div>
    <w:div w:id="219681308">
      <w:bodyDiv w:val="1"/>
      <w:marLeft w:val="0"/>
      <w:marRight w:val="0"/>
      <w:marTop w:val="0"/>
      <w:marBottom w:val="0"/>
      <w:divBdr>
        <w:top w:val="none" w:sz="0" w:space="0" w:color="auto"/>
        <w:left w:val="none" w:sz="0" w:space="0" w:color="auto"/>
        <w:bottom w:val="none" w:sz="0" w:space="0" w:color="auto"/>
        <w:right w:val="none" w:sz="0" w:space="0" w:color="auto"/>
      </w:divBdr>
      <w:divsChild>
        <w:div w:id="130483477">
          <w:marLeft w:val="0"/>
          <w:marRight w:val="0"/>
          <w:marTop w:val="0"/>
          <w:marBottom w:val="0"/>
          <w:divBdr>
            <w:top w:val="none" w:sz="0" w:space="0" w:color="auto"/>
            <w:left w:val="none" w:sz="0" w:space="0" w:color="auto"/>
            <w:bottom w:val="none" w:sz="0" w:space="0" w:color="auto"/>
            <w:right w:val="none" w:sz="0" w:space="0" w:color="auto"/>
          </w:divBdr>
        </w:div>
      </w:divsChild>
    </w:div>
    <w:div w:id="221988573">
      <w:bodyDiv w:val="1"/>
      <w:marLeft w:val="0"/>
      <w:marRight w:val="0"/>
      <w:marTop w:val="0"/>
      <w:marBottom w:val="0"/>
      <w:divBdr>
        <w:top w:val="none" w:sz="0" w:space="0" w:color="auto"/>
        <w:left w:val="none" w:sz="0" w:space="0" w:color="auto"/>
        <w:bottom w:val="none" w:sz="0" w:space="0" w:color="auto"/>
        <w:right w:val="none" w:sz="0" w:space="0" w:color="auto"/>
      </w:divBdr>
      <w:divsChild>
        <w:div w:id="854153723">
          <w:marLeft w:val="0"/>
          <w:marRight w:val="0"/>
          <w:marTop w:val="0"/>
          <w:marBottom w:val="0"/>
          <w:divBdr>
            <w:top w:val="none" w:sz="0" w:space="0" w:color="auto"/>
            <w:left w:val="none" w:sz="0" w:space="0" w:color="auto"/>
            <w:bottom w:val="none" w:sz="0" w:space="0" w:color="auto"/>
            <w:right w:val="none" w:sz="0" w:space="0" w:color="auto"/>
          </w:divBdr>
        </w:div>
      </w:divsChild>
    </w:div>
    <w:div w:id="246497959">
      <w:bodyDiv w:val="1"/>
      <w:marLeft w:val="0"/>
      <w:marRight w:val="0"/>
      <w:marTop w:val="0"/>
      <w:marBottom w:val="0"/>
      <w:divBdr>
        <w:top w:val="none" w:sz="0" w:space="0" w:color="auto"/>
        <w:left w:val="none" w:sz="0" w:space="0" w:color="auto"/>
        <w:bottom w:val="none" w:sz="0" w:space="0" w:color="auto"/>
        <w:right w:val="none" w:sz="0" w:space="0" w:color="auto"/>
      </w:divBdr>
      <w:divsChild>
        <w:div w:id="1019429409">
          <w:marLeft w:val="0"/>
          <w:marRight w:val="0"/>
          <w:marTop w:val="0"/>
          <w:marBottom w:val="0"/>
          <w:divBdr>
            <w:top w:val="none" w:sz="0" w:space="0" w:color="auto"/>
            <w:left w:val="none" w:sz="0" w:space="0" w:color="auto"/>
            <w:bottom w:val="none" w:sz="0" w:space="0" w:color="auto"/>
            <w:right w:val="none" w:sz="0" w:space="0" w:color="auto"/>
          </w:divBdr>
        </w:div>
      </w:divsChild>
    </w:div>
    <w:div w:id="261453125">
      <w:bodyDiv w:val="1"/>
      <w:marLeft w:val="0"/>
      <w:marRight w:val="0"/>
      <w:marTop w:val="0"/>
      <w:marBottom w:val="0"/>
      <w:divBdr>
        <w:top w:val="none" w:sz="0" w:space="0" w:color="auto"/>
        <w:left w:val="none" w:sz="0" w:space="0" w:color="auto"/>
        <w:bottom w:val="none" w:sz="0" w:space="0" w:color="auto"/>
        <w:right w:val="none" w:sz="0" w:space="0" w:color="auto"/>
      </w:divBdr>
    </w:div>
    <w:div w:id="335037872">
      <w:bodyDiv w:val="1"/>
      <w:marLeft w:val="0"/>
      <w:marRight w:val="0"/>
      <w:marTop w:val="0"/>
      <w:marBottom w:val="0"/>
      <w:divBdr>
        <w:top w:val="none" w:sz="0" w:space="0" w:color="auto"/>
        <w:left w:val="none" w:sz="0" w:space="0" w:color="auto"/>
        <w:bottom w:val="none" w:sz="0" w:space="0" w:color="auto"/>
        <w:right w:val="none" w:sz="0" w:space="0" w:color="auto"/>
      </w:divBdr>
    </w:div>
    <w:div w:id="497429545">
      <w:bodyDiv w:val="1"/>
      <w:marLeft w:val="0"/>
      <w:marRight w:val="0"/>
      <w:marTop w:val="0"/>
      <w:marBottom w:val="0"/>
      <w:divBdr>
        <w:top w:val="none" w:sz="0" w:space="0" w:color="auto"/>
        <w:left w:val="none" w:sz="0" w:space="0" w:color="auto"/>
        <w:bottom w:val="none" w:sz="0" w:space="0" w:color="auto"/>
        <w:right w:val="none" w:sz="0" w:space="0" w:color="auto"/>
      </w:divBdr>
      <w:divsChild>
        <w:div w:id="930166715">
          <w:marLeft w:val="0"/>
          <w:marRight w:val="0"/>
          <w:marTop w:val="0"/>
          <w:marBottom w:val="0"/>
          <w:divBdr>
            <w:top w:val="none" w:sz="0" w:space="0" w:color="auto"/>
            <w:left w:val="none" w:sz="0" w:space="0" w:color="auto"/>
            <w:bottom w:val="none" w:sz="0" w:space="0" w:color="auto"/>
            <w:right w:val="none" w:sz="0" w:space="0" w:color="auto"/>
          </w:divBdr>
        </w:div>
      </w:divsChild>
    </w:div>
    <w:div w:id="516506517">
      <w:bodyDiv w:val="1"/>
      <w:marLeft w:val="0"/>
      <w:marRight w:val="0"/>
      <w:marTop w:val="0"/>
      <w:marBottom w:val="0"/>
      <w:divBdr>
        <w:top w:val="none" w:sz="0" w:space="0" w:color="auto"/>
        <w:left w:val="none" w:sz="0" w:space="0" w:color="auto"/>
        <w:bottom w:val="none" w:sz="0" w:space="0" w:color="auto"/>
        <w:right w:val="none" w:sz="0" w:space="0" w:color="auto"/>
      </w:divBdr>
    </w:div>
    <w:div w:id="603340809">
      <w:bodyDiv w:val="1"/>
      <w:marLeft w:val="0"/>
      <w:marRight w:val="0"/>
      <w:marTop w:val="0"/>
      <w:marBottom w:val="0"/>
      <w:divBdr>
        <w:top w:val="none" w:sz="0" w:space="0" w:color="auto"/>
        <w:left w:val="none" w:sz="0" w:space="0" w:color="auto"/>
        <w:bottom w:val="none" w:sz="0" w:space="0" w:color="auto"/>
        <w:right w:val="none" w:sz="0" w:space="0" w:color="auto"/>
      </w:divBdr>
    </w:div>
    <w:div w:id="691995782">
      <w:bodyDiv w:val="1"/>
      <w:marLeft w:val="0"/>
      <w:marRight w:val="0"/>
      <w:marTop w:val="0"/>
      <w:marBottom w:val="0"/>
      <w:divBdr>
        <w:top w:val="none" w:sz="0" w:space="0" w:color="auto"/>
        <w:left w:val="none" w:sz="0" w:space="0" w:color="auto"/>
        <w:bottom w:val="none" w:sz="0" w:space="0" w:color="auto"/>
        <w:right w:val="none" w:sz="0" w:space="0" w:color="auto"/>
      </w:divBdr>
    </w:div>
    <w:div w:id="727073284">
      <w:bodyDiv w:val="1"/>
      <w:marLeft w:val="0"/>
      <w:marRight w:val="0"/>
      <w:marTop w:val="0"/>
      <w:marBottom w:val="0"/>
      <w:divBdr>
        <w:top w:val="none" w:sz="0" w:space="0" w:color="auto"/>
        <w:left w:val="none" w:sz="0" w:space="0" w:color="auto"/>
        <w:bottom w:val="none" w:sz="0" w:space="0" w:color="auto"/>
        <w:right w:val="none" w:sz="0" w:space="0" w:color="auto"/>
      </w:divBdr>
      <w:divsChild>
        <w:div w:id="1467511026">
          <w:marLeft w:val="0"/>
          <w:marRight w:val="0"/>
          <w:marTop w:val="0"/>
          <w:marBottom w:val="0"/>
          <w:divBdr>
            <w:top w:val="none" w:sz="0" w:space="0" w:color="auto"/>
            <w:left w:val="none" w:sz="0" w:space="0" w:color="auto"/>
            <w:bottom w:val="none" w:sz="0" w:space="0" w:color="auto"/>
            <w:right w:val="none" w:sz="0" w:space="0" w:color="auto"/>
          </w:divBdr>
        </w:div>
      </w:divsChild>
    </w:div>
    <w:div w:id="824862476">
      <w:bodyDiv w:val="1"/>
      <w:marLeft w:val="0"/>
      <w:marRight w:val="0"/>
      <w:marTop w:val="0"/>
      <w:marBottom w:val="0"/>
      <w:divBdr>
        <w:top w:val="none" w:sz="0" w:space="0" w:color="auto"/>
        <w:left w:val="none" w:sz="0" w:space="0" w:color="auto"/>
        <w:bottom w:val="none" w:sz="0" w:space="0" w:color="auto"/>
        <w:right w:val="none" w:sz="0" w:space="0" w:color="auto"/>
      </w:divBdr>
      <w:divsChild>
        <w:div w:id="411127978">
          <w:marLeft w:val="0"/>
          <w:marRight w:val="0"/>
          <w:marTop w:val="0"/>
          <w:marBottom w:val="0"/>
          <w:divBdr>
            <w:top w:val="none" w:sz="0" w:space="0" w:color="auto"/>
            <w:left w:val="none" w:sz="0" w:space="0" w:color="auto"/>
            <w:bottom w:val="none" w:sz="0" w:space="0" w:color="auto"/>
            <w:right w:val="none" w:sz="0" w:space="0" w:color="auto"/>
          </w:divBdr>
        </w:div>
      </w:divsChild>
    </w:div>
    <w:div w:id="830096204">
      <w:bodyDiv w:val="1"/>
      <w:marLeft w:val="0"/>
      <w:marRight w:val="0"/>
      <w:marTop w:val="0"/>
      <w:marBottom w:val="0"/>
      <w:divBdr>
        <w:top w:val="none" w:sz="0" w:space="0" w:color="auto"/>
        <w:left w:val="none" w:sz="0" w:space="0" w:color="auto"/>
        <w:bottom w:val="none" w:sz="0" w:space="0" w:color="auto"/>
        <w:right w:val="none" w:sz="0" w:space="0" w:color="auto"/>
      </w:divBdr>
      <w:divsChild>
        <w:div w:id="941499329">
          <w:marLeft w:val="0"/>
          <w:marRight w:val="0"/>
          <w:marTop w:val="0"/>
          <w:marBottom w:val="0"/>
          <w:divBdr>
            <w:top w:val="none" w:sz="0" w:space="0" w:color="auto"/>
            <w:left w:val="none" w:sz="0" w:space="0" w:color="auto"/>
            <w:bottom w:val="none" w:sz="0" w:space="0" w:color="auto"/>
            <w:right w:val="none" w:sz="0" w:space="0" w:color="auto"/>
          </w:divBdr>
        </w:div>
      </w:divsChild>
    </w:div>
    <w:div w:id="843975743">
      <w:bodyDiv w:val="1"/>
      <w:marLeft w:val="0"/>
      <w:marRight w:val="0"/>
      <w:marTop w:val="0"/>
      <w:marBottom w:val="0"/>
      <w:divBdr>
        <w:top w:val="none" w:sz="0" w:space="0" w:color="auto"/>
        <w:left w:val="none" w:sz="0" w:space="0" w:color="auto"/>
        <w:bottom w:val="none" w:sz="0" w:space="0" w:color="auto"/>
        <w:right w:val="none" w:sz="0" w:space="0" w:color="auto"/>
      </w:divBdr>
      <w:divsChild>
        <w:div w:id="467668047">
          <w:marLeft w:val="0"/>
          <w:marRight w:val="0"/>
          <w:marTop w:val="0"/>
          <w:marBottom w:val="0"/>
          <w:divBdr>
            <w:top w:val="none" w:sz="0" w:space="0" w:color="auto"/>
            <w:left w:val="none" w:sz="0" w:space="0" w:color="auto"/>
            <w:bottom w:val="none" w:sz="0" w:space="0" w:color="auto"/>
            <w:right w:val="none" w:sz="0" w:space="0" w:color="auto"/>
          </w:divBdr>
        </w:div>
      </w:divsChild>
    </w:div>
    <w:div w:id="885415614">
      <w:bodyDiv w:val="1"/>
      <w:marLeft w:val="0"/>
      <w:marRight w:val="0"/>
      <w:marTop w:val="0"/>
      <w:marBottom w:val="0"/>
      <w:divBdr>
        <w:top w:val="none" w:sz="0" w:space="0" w:color="auto"/>
        <w:left w:val="none" w:sz="0" w:space="0" w:color="auto"/>
        <w:bottom w:val="none" w:sz="0" w:space="0" w:color="auto"/>
        <w:right w:val="none" w:sz="0" w:space="0" w:color="auto"/>
      </w:divBdr>
    </w:div>
    <w:div w:id="903838186">
      <w:bodyDiv w:val="1"/>
      <w:marLeft w:val="0"/>
      <w:marRight w:val="0"/>
      <w:marTop w:val="0"/>
      <w:marBottom w:val="0"/>
      <w:divBdr>
        <w:top w:val="none" w:sz="0" w:space="0" w:color="auto"/>
        <w:left w:val="none" w:sz="0" w:space="0" w:color="auto"/>
        <w:bottom w:val="none" w:sz="0" w:space="0" w:color="auto"/>
        <w:right w:val="none" w:sz="0" w:space="0" w:color="auto"/>
      </w:divBdr>
    </w:div>
    <w:div w:id="915169763">
      <w:bodyDiv w:val="1"/>
      <w:marLeft w:val="0"/>
      <w:marRight w:val="0"/>
      <w:marTop w:val="0"/>
      <w:marBottom w:val="0"/>
      <w:divBdr>
        <w:top w:val="none" w:sz="0" w:space="0" w:color="auto"/>
        <w:left w:val="none" w:sz="0" w:space="0" w:color="auto"/>
        <w:bottom w:val="none" w:sz="0" w:space="0" w:color="auto"/>
        <w:right w:val="none" w:sz="0" w:space="0" w:color="auto"/>
      </w:divBdr>
      <w:divsChild>
        <w:div w:id="746072545">
          <w:marLeft w:val="0"/>
          <w:marRight w:val="0"/>
          <w:marTop w:val="0"/>
          <w:marBottom w:val="0"/>
          <w:divBdr>
            <w:top w:val="none" w:sz="0" w:space="0" w:color="auto"/>
            <w:left w:val="none" w:sz="0" w:space="0" w:color="auto"/>
            <w:bottom w:val="none" w:sz="0" w:space="0" w:color="auto"/>
            <w:right w:val="none" w:sz="0" w:space="0" w:color="auto"/>
          </w:divBdr>
        </w:div>
      </w:divsChild>
    </w:div>
    <w:div w:id="973415401">
      <w:bodyDiv w:val="1"/>
      <w:marLeft w:val="0"/>
      <w:marRight w:val="0"/>
      <w:marTop w:val="0"/>
      <w:marBottom w:val="0"/>
      <w:divBdr>
        <w:top w:val="none" w:sz="0" w:space="0" w:color="auto"/>
        <w:left w:val="none" w:sz="0" w:space="0" w:color="auto"/>
        <w:bottom w:val="none" w:sz="0" w:space="0" w:color="auto"/>
        <w:right w:val="none" w:sz="0" w:space="0" w:color="auto"/>
      </w:divBdr>
      <w:divsChild>
        <w:div w:id="2140302161">
          <w:marLeft w:val="0"/>
          <w:marRight w:val="0"/>
          <w:marTop w:val="0"/>
          <w:marBottom w:val="0"/>
          <w:divBdr>
            <w:top w:val="none" w:sz="0" w:space="0" w:color="auto"/>
            <w:left w:val="none" w:sz="0" w:space="0" w:color="auto"/>
            <w:bottom w:val="none" w:sz="0" w:space="0" w:color="auto"/>
            <w:right w:val="none" w:sz="0" w:space="0" w:color="auto"/>
          </w:divBdr>
        </w:div>
      </w:divsChild>
    </w:div>
    <w:div w:id="992830614">
      <w:bodyDiv w:val="1"/>
      <w:marLeft w:val="0"/>
      <w:marRight w:val="0"/>
      <w:marTop w:val="0"/>
      <w:marBottom w:val="0"/>
      <w:divBdr>
        <w:top w:val="none" w:sz="0" w:space="0" w:color="auto"/>
        <w:left w:val="none" w:sz="0" w:space="0" w:color="auto"/>
        <w:bottom w:val="none" w:sz="0" w:space="0" w:color="auto"/>
        <w:right w:val="none" w:sz="0" w:space="0" w:color="auto"/>
      </w:divBdr>
      <w:divsChild>
        <w:div w:id="559561897">
          <w:marLeft w:val="0"/>
          <w:marRight w:val="0"/>
          <w:marTop w:val="0"/>
          <w:marBottom w:val="0"/>
          <w:divBdr>
            <w:top w:val="none" w:sz="0" w:space="0" w:color="auto"/>
            <w:left w:val="none" w:sz="0" w:space="0" w:color="auto"/>
            <w:bottom w:val="none" w:sz="0" w:space="0" w:color="auto"/>
            <w:right w:val="none" w:sz="0" w:space="0" w:color="auto"/>
          </w:divBdr>
        </w:div>
      </w:divsChild>
    </w:div>
    <w:div w:id="1027833797">
      <w:bodyDiv w:val="1"/>
      <w:marLeft w:val="0"/>
      <w:marRight w:val="0"/>
      <w:marTop w:val="0"/>
      <w:marBottom w:val="0"/>
      <w:divBdr>
        <w:top w:val="none" w:sz="0" w:space="0" w:color="auto"/>
        <w:left w:val="none" w:sz="0" w:space="0" w:color="auto"/>
        <w:bottom w:val="none" w:sz="0" w:space="0" w:color="auto"/>
        <w:right w:val="none" w:sz="0" w:space="0" w:color="auto"/>
      </w:divBdr>
    </w:div>
    <w:div w:id="1045181999">
      <w:bodyDiv w:val="1"/>
      <w:marLeft w:val="0"/>
      <w:marRight w:val="0"/>
      <w:marTop w:val="0"/>
      <w:marBottom w:val="0"/>
      <w:divBdr>
        <w:top w:val="none" w:sz="0" w:space="0" w:color="auto"/>
        <w:left w:val="none" w:sz="0" w:space="0" w:color="auto"/>
        <w:bottom w:val="none" w:sz="0" w:space="0" w:color="auto"/>
        <w:right w:val="none" w:sz="0" w:space="0" w:color="auto"/>
      </w:divBdr>
      <w:divsChild>
        <w:div w:id="1972781546">
          <w:marLeft w:val="0"/>
          <w:marRight w:val="0"/>
          <w:marTop w:val="0"/>
          <w:marBottom w:val="0"/>
          <w:divBdr>
            <w:top w:val="none" w:sz="0" w:space="0" w:color="auto"/>
            <w:left w:val="none" w:sz="0" w:space="0" w:color="auto"/>
            <w:bottom w:val="none" w:sz="0" w:space="0" w:color="auto"/>
            <w:right w:val="none" w:sz="0" w:space="0" w:color="auto"/>
          </w:divBdr>
        </w:div>
      </w:divsChild>
    </w:div>
    <w:div w:id="1055277921">
      <w:bodyDiv w:val="1"/>
      <w:marLeft w:val="0"/>
      <w:marRight w:val="0"/>
      <w:marTop w:val="0"/>
      <w:marBottom w:val="0"/>
      <w:divBdr>
        <w:top w:val="none" w:sz="0" w:space="0" w:color="auto"/>
        <w:left w:val="none" w:sz="0" w:space="0" w:color="auto"/>
        <w:bottom w:val="none" w:sz="0" w:space="0" w:color="auto"/>
        <w:right w:val="none" w:sz="0" w:space="0" w:color="auto"/>
      </w:divBdr>
      <w:divsChild>
        <w:div w:id="2067491035">
          <w:marLeft w:val="0"/>
          <w:marRight w:val="0"/>
          <w:marTop w:val="0"/>
          <w:marBottom w:val="0"/>
          <w:divBdr>
            <w:top w:val="none" w:sz="0" w:space="0" w:color="auto"/>
            <w:left w:val="none" w:sz="0" w:space="0" w:color="auto"/>
            <w:bottom w:val="none" w:sz="0" w:space="0" w:color="auto"/>
            <w:right w:val="none" w:sz="0" w:space="0" w:color="auto"/>
          </w:divBdr>
        </w:div>
      </w:divsChild>
    </w:div>
    <w:div w:id="1114791871">
      <w:bodyDiv w:val="1"/>
      <w:marLeft w:val="0"/>
      <w:marRight w:val="0"/>
      <w:marTop w:val="0"/>
      <w:marBottom w:val="0"/>
      <w:divBdr>
        <w:top w:val="none" w:sz="0" w:space="0" w:color="auto"/>
        <w:left w:val="none" w:sz="0" w:space="0" w:color="auto"/>
        <w:bottom w:val="none" w:sz="0" w:space="0" w:color="auto"/>
        <w:right w:val="none" w:sz="0" w:space="0" w:color="auto"/>
      </w:divBdr>
    </w:div>
    <w:div w:id="1136098899">
      <w:bodyDiv w:val="1"/>
      <w:marLeft w:val="0"/>
      <w:marRight w:val="0"/>
      <w:marTop w:val="0"/>
      <w:marBottom w:val="0"/>
      <w:divBdr>
        <w:top w:val="none" w:sz="0" w:space="0" w:color="auto"/>
        <w:left w:val="none" w:sz="0" w:space="0" w:color="auto"/>
        <w:bottom w:val="none" w:sz="0" w:space="0" w:color="auto"/>
        <w:right w:val="none" w:sz="0" w:space="0" w:color="auto"/>
      </w:divBdr>
    </w:div>
    <w:div w:id="1179656432">
      <w:bodyDiv w:val="1"/>
      <w:marLeft w:val="0"/>
      <w:marRight w:val="0"/>
      <w:marTop w:val="0"/>
      <w:marBottom w:val="0"/>
      <w:divBdr>
        <w:top w:val="none" w:sz="0" w:space="0" w:color="auto"/>
        <w:left w:val="none" w:sz="0" w:space="0" w:color="auto"/>
        <w:bottom w:val="none" w:sz="0" w:space="0" w:color="auto"/>
        <w:right w:val="none" w:sz="0" w:space="0" w:color="auto"/>
      </w:divBdr>
      <w:divsChild>
        <w:div w:id="671251690">
          <w:marLeft w:val="0"/>
          <w:marRight w:val="0"/>
          <w:marTop w:val="0"/>
          <w:marBottom w:val="0"/>
          <w:divBdr>
            <w:top w:val="none" w:sz="0" w:space="0" w:color="auto"/>
            <w:left w:val="none" w:sz="0" w:space="0" w:color="auto"/>
            <w:bottom w:val="none" w:sz="0" w:space="0" w:color="auto"/>
            <w:right w:val="none" w:sz="0" w:space="0" w:color="auto"/>
          </w:divBdr>
        </w:div>
      </w:divsChild>
    </w:div>
    <w:div w:id="1220555250">
      <w:bodyDiv w:val="1"/>
      <w:marLeft w:val="0"/>
      <w:marRight w:val="0"/>
      <w:marTop w:val="0"/>
      <w:marBottom w:val="0"/>
      <w:divBdr>
        <w:top w:val="none" w:sz="0" w:space="0" w:color="auto"/>
        <w:left w:val="none" w:sz="0" w:space="0" w:color="auto"/>
        <w:bottom w:val="none" w:sz="0" w:space="0" w:color="auto"/>
        <w:right w:val="none" w:sz="0" w:space="0" w:color="auto"/>
      </w:divBdr>
    </w:div>
    <w:div w:id="1323192887">
      <w:bodyDiv w:val="1"/>
      <w:marLeft w:val="0"/>
      <w:marRight w:val="0"/>
      <w:marTop w:val="0"/>
      <w:marBottom w:val="0"/>
      <w:divBdr>
        <w:top w:val="none" w:sz="0" w:space="0" w:color="auto"/>
        <w:left w:val="none" w:sz="0" w:space="0" w:color="auto"/>
        <w:bottom w:val="none" w:sz="0" w:space="0" w:color="auto"/>
        <w:right w:val="none" w:sz="0" w:space="0" w:color="auto"/>
      </w:divBdr>
      <w:divsChild>
        <w:div w:id="878904786">
          <w:marLeft w:val="0"/>
          <w:marRight w:val="0"/>
          <w:marTop w:val="0"/>
          <w:marBottom w:val="0"/>
          <w:divBdr>
            <w:top w:val="none" w:sz="0" w:space="0" w:color="auto"/>
            <w:left w:val="none" w:sz="0" w:space="0" w:color="auto"/>
            <w:bottom w:val="none" w:sz="0" w:space="0" w:color="auto"/>
            <w:right w:val="none" w:sz="0" w:space="0" w:color="auto"/>
          </w:divBdr>
        </w:div>
      </w:divsChild>
    </w:div>
    <w:div w:id="1333337825">
      <w:bodyDiv w:val="1"/>
      <w:marLeft w:val="0"/>
      <w:marRight w:val="0"/>
      <w:marTop w:val="0"/>
      <w:marBottom w:val="0"/>
      <w:divBdr>
        <w:top w:val="none" w:sz="0" w:space="0" w:color="auto"/>
        <w:left w:val="none" w:sz="0" w:space="0" w:color="auto"/>
        <w:bottom w:val="none" w:sz="0" w:space="0" w:color="auto"/>
        <w:right w:val="none" w:sz="0" w:space="0" w:color="auto"/>
      </w:divBdr>
      <w:divsChild>
        <w:div w:id="397678372">
          <w:marLeft w:val="0"/>
          <w:marRight w:val="0"/>
          <w:marTop w:val="0"/>
          <w:marBottom w:val="0"/>
          <w:divBdr>
            <w:top w:val="none" w:sz="0" w:space="0" w:color="auto"/>
            <w:left w:val="none" w:sz="0" w:space="0" w:color="auto"/>
            <w:bottom w:val="none" w:sz="0" w:space="0" w:color="auto"/>
            <w:right w:val="none" w:sz="0" w:space="0" w:color="auto"/>
          </w:divBdr>
        </w:div>
      </w:divsChild>
    </w:div>
    <w:div w:id="1377464256">
      <w:bodyDiv w:val="1"/>
      <w:marLeft w:val="0"/>
      <w:marRight w:val="0"/>
      <w:marTop w:val="0"/>
      <w:marBottom w:val="0"/>
      <w:divBdr>
        <w:top w:val="none" w:sz="0" w:space="0" w:color="auto"/>
        <w:left w:val="none" w:sz="0" w:space="0" w:color="auto"/>
        <w:bottom w:val="none" w:sz="0" w:space="0" w:color="auto"/>
        <w:right w:val="none" w:sz="0" w:space="0" w:color="auto"/>
      </w:divBdr>
    </w:div>
    <w:div w:id="1401514166">
      <w:bodyDiv w:val="1"/>
      <w:marLeft w:val="0"/>
      <w:marRight w:val="0"/>
      <w:marTop w:val="0"/>
      <w:marBottom w:val="0"/>
      <w:divBdr>
        <w:top w:val="none" w:sz="0" w:space="0" w:color="auto"/>
        <w:left w:val="none" w:sz="0" w:space="0" w:color="auto"/>
        <w:bottom w:val="none" w:sz="0" w:space="0" w:color="auto"/>
        <w:right w:val="none" w:sz="0" w:space="0" w:color="auto"/>
      </w:divBdr>
      <w:divsChild>
        <w:div w:id="129060601">
          <w:marLeft w:val="0"/>
          <w:marRight w:val="0"/>
          <w:marTop w:val="0"/>
          <w:marBottom w:val="0"/>
          <w:divBdr>
            <w:top w:val="none" w:sz="0" w:space="0" w:color="auto"/>
            <w:left w:val="none" w:sz="0" w:space="0" w:color="auto"/>
            <w:bottom w:val="none" w:sz="0" w:space="0" w:color="auto"/>
            <w:right w:val="none" w:sz="0" w:space="0" w:color="auto"/>
          </w:divBdr>
          <w:divsChild>
            <w:div w:id="543367017">
              <w:marLeft w:val="0"/>
              <w:marRight w:val="0"/>
              <w:marTop w:val="0"/>
              <w:marBottom w:val="0"/>
              <w:divBdr>
                <w:top w:val="none" w:sz="0" w:space="0" w:color="auto"/>
                <w:left w:val="none" w:sz="0" w:space="0" w:color="auto"/>
                <w:bottom w:val="none" w:sz="0" w:space="0" w:color="auto"/>
                <w:right w:val="none" w:sz="0" w:space="0" w:color="auto"/>
              </w:divBdr>
              <w:divsChild>
                <w:div w:id="252863616">
                  <w:marLeft w:val="0"/>
                  <w:marRight w:val="0"/>
                  <w:marTop w:val="0"/>
                  <w:marBottom w:val="0"/>
                  <w:divBdr>
                    <w:top w:val="none" w:sz="0" w:space="0" w:color="auto"/>
                    <w:left w:val="none" w:sz="0" w:space="0" w:color="auto"/>
                    <w:bottom w:val="none" w:sz="0" w:space="0" w:color="auto"/>
                    <w:right w:val="none" w:sz="0" w:space="0" w:color="auto"/>
                  </w:divBdr>
                  <w:divsChild>
                    <w:div w:id="1705640764">
                      <w:marLeft w:val="0"/>
                      <w:marRight w:val="0"/>
                      <w:marTop w:val="0"/>
                      <w:marBottom w:val="0"/>
                      <w:divBdr>
                        <w:top w:val="none" w:sz="0" w:space="0" w:color="auto"/>
                        <w:left w:val="none" w:sz="0" w:space="0" w:color="auto"/>
                        <w:bottom w:val="none" w:sz="0" w:space="0" w:color="auto"/>
                        <w:right w:val="none" w:sz="0" w:space="0" w:color="auto"/>
                      </w:divBdr>
                      <w:divsChild>
                        <w:div w:id="2070224787">
                          <w:marLeft w:val="0"/>
                          <w:marRight w:val="0"/>
                          <w:marTop w:val="0"/>
                          <w:marBottom w:val="0"/>
                          <w:divBdr>
                            <w:top w:val="none" w:sz="0" w:space="0" w:color="auto"/>
                            <w:left w:val="none" w:sz="0" w:space="0" w:color="auto"/>
                            <w:bottom w:val="none" w:sz="0" w:space="0" w:color="auto"/>
                            <w:right w:val="none" w:sz="0" w:space="0" w:color="auto"/>
                          </w:divBdr>
                          <w:divsChild>
                            <w:div w:id="67719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688040">
      <w:bodyDiv w:val="1"/>
      <w:marLeft w:val="0"/>
      <w:marRight w:val="0"/>
      <w:marTop w:val="0"/>
      <w:marBottom w:val="0"/>
      <w:divBdr>
        <w:top w:val="none" w:sz="0" w:space="0" w:color="auto"/>
        <w:left w:val="none" w:sz="0" w:space="0" w:color="auto"/>
        <w:bottom w:val="none" w:sz="0" w:space="0" w:color="auto"/>
        <w:right w:val="none" w:sz="0" w:space="0" w:color="auto"/>
      </w:divBdr>
      <w:divsChild>
        <w:div w:id="1425613612">
          <w:marLeft w:val="0"/>
          <w:marRight w:val="0"/>
          <w:marTop w:val="0"/>
          <w:marBottom w:val="0"/>
          <w:divBdr>
            <w:top w:val="none" w:sz="0" w:space="0" w:color="auto"/>
            <w:left w:val="none" w:sz="0" w:space="0" w:color="auto"/>
            <w:bottom w:val="none" w:sz="0" w:space="0" w:color="auto"/>
            <w:right w:val="none" w:sz="0" w:space="0" w:color="auto"/>
          </w:divBdr>
        </w:div>
      </w:divsChild>
    </w:div>
    <w:div w:id="1535457890">
      <w:bodyDiv w:val="1"/>
      <w:marLeft w:val="0"/>
      <w:marRight w:val="0"/>
      <w:marTop w:val="0"/>
      <w:marBottom w:val="0"/>
      <w:divBdr>
        <w:top w:val="none" w:sz="0" w:space="0" w:color="auto"/>
        <w:left w:val="none" w:sz="0" w:space="0" w:color="auto"/>
        <w:bottom w:val="none" w:sz="0" w:space="0" w:color="auto"/>
        <w:right w:val="none" w:sz="0" w:space="0" w:color="auto"/>
      </w:divBdr>
      <w:divsChild>
        <w:div w:id="1113524567">
          <w:marLeft w:val="0"/>
          <w:marRight w:val="0"/>
          <w:marTop w:val="0"/>
          <w:marBottom w:val="0"/>
          <w:divBdr>
            <w:top w:val="none" w:sz="0" w:space="0" w:color="auto"/>
            <w:left w:val="none" w:sz="0" w:space="0" w:color="auto"/>
            <w:bottom w:val="none" w:sz="0" w:space="0" w:color="auto"/>
            <w:right w:val="none" w:sz="0" w:space="0" w:color="auto"/>
          </w:divBdr>
        </w:div>
      </w:divsChild>
    </w:div>
    <w:div w:id="1553233114">
      <w:bodyDiv w:val="1"/>
      <w:marLeft w:val="0"/>
      <w:marRight w:val="0"/>
      <w:marTop w:val="0"/>
      <w:marBottom w:val="0"/>
      <w:divBdr>
        <w:top w:val="none" w:sz="0" w:space="0" w:color="auto"/>
        <w:left w:val="none" w:sz="0" w:space="0" w:color="auto"/>
        <w:bottom w:val="none" w:sz="0" w:space="0" w:color="auto"/>
        <w:right w:val="none" w:sz="0" w:space="0" w:color="auto"/>
      </w:divBdr>
      <w:divsChild>
        <w:div w:id="247660683">
          <w:marLeft w:val="0"/>
          <w:marRight w:val="0"/>
          <w:marTop w:val="0"/>
          <w:marBottom w:val="0"/>
          <w:divBdr>
            <w:top w:val="none" w:sz="0" w:space="0" w:color="auto"/>
            <w:left w:val="none" w:sz="0" w:space="0" w:color="auto"/>
            <w:bottom w:val="none" w:sz="0" w:space="0" w:color="auto"/>
            <w:right w:val="none" w:sz="0" w:space="0" w:color="auto"/>
          </w:divBdr>
        </w:div>
      </w:divsChild>
    </w:div>
    <w:div w:id="1562516407">
      <w:bodyDiv w:val="1"/>
      <w:marLeft w:val="0"/>
      <w:marRight w:val="0"/>
      <w:marTop w:val="0"/>
      <w:marBottom w:val="0"/>
      <w:divBdr>
        <w:top w:val="none" w:sz="0" w:space="0" w:color="auto"/>
        <w:left w:val="none" w:sz="0" w:space="0" w:color="auto"/>
        <w:bottom w:val="none" w:sz="0" w:space="0" w:color="auto"/>
        <w:right w:val="none" w:sz="0" w:space="0" w:color="auto"/>
      </w:divBdr>
      <w:divsChild>
        <w:div w:id="273635970">
          <w:marLeft w:val="0"/>
          <w:marRight w:val="0"/>
          <w:marTop w:val="0"/>
          <w:marBottom w:val="0"/>
          <w:divBdr>
            <w:top w:val="none" w:sz="0" w:space="0" w:color="auto"/>
            <w:left w:val="none" w:sz="0" w:space="0" w:color="auto"/>
            <w:bottom w:val="none" w:sz="0" w:space="0" w:color="auto"/>
            <w:right w:val="none" w:sz="0" w:space="0" w:color="auto"/>
          </w:divBdr>
        </w:div>
      </w:divsChild>
    </w:div>
    <w:div w:id="1608931240">
      <w:bodyDiv w:val="1"/>
      <w:marLeft w:val="0"/>
      <w:marRight w:val="0"/>
      <w:marTop w:val="0"/>
      <w:marBottom w:val="0"/>
      <w:divBdr>
        <w:top w:val="none" w:sz="0" w:space="0" w:color="auto"/>
        <w:left w:val="none" w:sz="0" w:space="0" w:color="auto"/>
        <w:bottom w:val="none" w:sz="0" w:space="0" w:color="auto"/>
        <w:right w:val="none" w:sz="0" w:space="0" w:color="auto"/>
      </w:divBdr>
      <w:divsChild>
        <w:div w:id="1028945400">
          <w:marLeft w:val="0"/>
          <w:marRight w:val="0"/>
          <w:marTop w:val="0"/>
          <w:marBottom w:val="0"/>
          <w:divBdr>
            <w:top w:val="none" w:sz="0" w:space="0" w:color="auto"/>
            <w:left w:val="none" w:sz="0" w:space="0" w:color="auto"/>
            <w:bottom w:val="none" w:sz="0" w:space="0" w:color="auto"/>
            <w:right w:val="none" w:sz="0" w:space="0" w:color="auto"/>
          </w:divBdr>
        </w:div>
      </w:divsChild>
    </w:div>
    <w:div w:id="1610232279">
      <w:bodyDiv w:val="1"/>
      <w:marLeft w:val="0"/>
      <w:marRight w:val="0"/>
      <w:marTop w:val="0"/>
      <w:marBottom w:val="0"/>
      <w:divBdr>
        <w:top w:val="none" w:sz="0" w:space="0" w:color="auto"/>
        <w:left w:val="none" w:sz="0" w:space="0" w:color="auto"/>
        <w:bottom w:val="none" w:sz="0" w:space="0" w:color="auto"/>
        <w:right w:val="none" w:sz="0" w:space="0" w:color="auto"/>
      </w:divBdr>
      <w:divsChild>
        <w:div w:id="1710258297">
          <w:marLeft w:val="0"/>
          <w:marRight w:val="0"/>
          <w:marTop w:val="0"/>
          <w:marBottom w:val="0"/>
          <w:divBdr>
            <w:top w:val="none" w:sz="0" w:space="0" w:color="auto"/>
            <w:left w:val="none" w:sz="0" w:space="0" w:color="auto"/>
            <w:bottom w:val="none" w:sz="0" w:space="0" w:color="auto"/>
            <w:right w:val="none" w:sz="0" w:space="0" w:color="auto"/>
          </w:divBdr>
        </w:div>
      </w:divsChild>
    </w:div>
    <w:div w:id="1673995931">
      <w:bodyDiv w:val="1"/>
      <w:marLeft w:val="0"/>
      <w:marRight w:val="0"/>
      <w:marTop w:val="0"/>
      <w:marBottom w:val="0"/>
      <w:divBdr>
        <w:top w:val="none" w:sz="0" w:space="0" w:color="auto"/>
        <w:left w:val="none" w:sz="0" w:space="0" w:color="auto"/>
        <w:bottom w:val="none" w:sz="0" w:space="0" w:color="auto"/>
        <w:right w:val="none" w:sz="0" w:space="0" w:color="auto"/>
      </w:divBdr>
      <w:divsChild>
        <w:div w:id="102582500">
          <w:marLeft w:val="0"/>
          <w:marRight w:val="0"/>
          <w:marTop w:val="0"/>
          <w:marBottom w:val="0"/>
          <w:divBdr>
            <w:top w:val="none" w:sz="0" w:space="0" w:color="auto"/>
            <w:left w:val="none" w:sz="0" w:space="0" w:color="auto"/>
            <w:bottom w:val="none" w:sz="0" w:space="0" w:color="auto"/>
            <w:right w:val="none" w:sz="0" w:space="0" w:color="auto"/>
          </w:divBdr>
        </w:div>
      </w:divsChild>
    </w:div>
    <w:div w:id="1733262884">
      <w:bodyDiv w:val="1"/>
      <w:marLeft w:val="0"/>
      <w:marRight w:val="0"/>
      <w:marTop w:val="0"/>
      <w:marBottom w:val="0"/>
      <w:divBdr>
        <w:top w:val="none" w:sz="0" w:space="0" w:color="auto"/>
        <w:left w:val="none" w:sz="0" w:space="0" w:color="auto"/>
        <w:bottom w:val="none" w:sz="0" w:space="0" w:color="auto"/>
        <w:right w:val="none" w:sz="0" w:space="0" w:color="auto"/>
      </w:divBdr>
      <w:divsChild>
        <w:div w:id="920914000">
          <w:marLeft w:val="0"/>
          <w:marRight w:val="0"/>
          <w:marTop w:val="0"/>
          <w:marBottom w:val="0"/>
          <w:divBdr>
            <w:top w:val="none" w:sz="0" w:space="0" w:color="auto"/>
            <w:left w:val="none" w:sz="0" w:space="0" w:color="auto"/>
            <w:bottom w:val="none" w:sz="0" w:space="0" w:color="auto"/>
            <w:right w:val="none" w:sz="0" w:space="0" w:color="auto"/>
          </w:divBdr>
        </w:div>
      </w:divsChild>
    </w:div>
    <w:div w:id="1777209896">
      <w:bodyDiv w:val="1"/>
      <w:marLeft w:val="0"/>
      <w:marRight w:val="0"/>
      <w:marTop w:val="0"/>
      <w:marBottom w:val="0"/>
      <w:divBdr>
        <w:top w:val="none" w:sz="0" w:space="0" w:color="auto"/>
        <w:left w:val="none" w:sz="0" w:space="0" w:color="auto"/>
        <w:bottom w:val="none" w:sz="0" w:space="0" w:color="auto"/>
        <w:right w:val="none" w:sz="0" w:space="0" w:color="auto"/>
      </w:divBdr>
    </w:div>
    <w:div w:id="1824197337">
      <w:bodyDiv w:val="1"/>
      <w:marLeft w:val="0"/>
      <w:marRight w:val="0"/>
      <w:marTop w:val="0"/>
      <w:marBottom w:val="0"/>
      <w:divBdr>
        <w:top w:val="none" w:sz="0" w:space="0" w:color="auto"/>
        <w:left w:val="none" w:sz="0" w:space="0" w:color="auto"/>
        <w:bottom w:val="none" w:sz="0" w:space="0" w:color="auto"/>
        <w:right w:val="none" w:sz="0" w:space="0" w:color="auto"/>
      </w:divBdr>
      <w:divsChild>
        <w:div w:id="185023708">
          <w:marLeft w:val="0"/>
          <w:marRight w:val="0"/>
          <w:marTop w:val="0"/>
          <w:marBottom w:val="0"/>
          <w:divBdr>
            <w:top w:val="none" w:sz="0" w:space="0" w:color="auto"/>
            <w:left w:val="none" w:sz="0" w:space="0" w:color="auto"/>
            <w:bottom w:val="none" w:sz="0" w:space="0" w:color="auto"/>
            <w:right w:val="none" w:sz="0" w:space="0" w:color="auto"/>
          </w:divBdr>
        </w:div>
      </w:divsChild>
    </w:div>
    <w:div w:id="1863779947">
      <w:bodyDiv w:val="1"/>
      <w:marLeft w:val="0"/>
      <w:marRight w:val="0"/>
      <w:marTop w:val="0"/>
      <w:marBottom w:val="0"/>
      <w:divBdr>
        <w:top w:val="none" w:sz="0" w:space="0" w:color="auto"/>
        <w:left w:val="none" w:sz="0" w:space="0" w:color="auto"/>
        <w:bottom w:val="none" w:sz="0" w:space="0" w:color="auto"/>
        <w:right w:val="none" w:sz="0" w:space="0" w:color="auto"/>
      </w:divBdr>
      <w:divsChild>
        <w:div w:id="1617829856">
          <w:marLeft w:val="0"/>
          <w:marRight w:val="0"/>
          <w:marTop w:val="0"/>
          <w:marBottom w:val="0"/>
          <w:divBdr>
            <w:top w:val="none" w:sz="0" w:space="0" w:color="auto"/>
            <w:left w:val="none" w:sz="0" w:space="0" w:color="auto"/>
            <w:bottom w:val="none" w:sz="0" w:space="0" w:color="auto"/>
            <w:right w:val="none" w:sz="0" w:space="0" w:color="auto"/>
          </w:divBdr>
        </w:div>
      </w:divsChild>
    </w:div>
    <w:div w:id="1870215868">
      <w:bodyDiv w:val="1"/>
      <w:marLeft w:val="0"/>
      <w:marRight w:val="0"/>
      <w:marTop w:val="0"/>
      <w:marBottom w:val="0"/>
      <w:divBdr>
        <w:top w:val="none" w:sz="0" w:space="0" w:color="auto"/>
        <w:left w:val="none" w:sz="0" w:space="0" w:color="auto"/>
        <w:bottom w:val="none" w:sz="0" w:space="0" w:color="auto"/>
        <w:right w:val="none" w:sz="0" w:space="0" w:color="auto"/>
      </w:divBdr>
      <w:divsChild>
        <w:div w:id="2145855127">
          <w:marLeft w:val="0"/>
          <w:marRight w:val="0"/>
          <w:marTop w:val="0"/>
          <w:marBottom w:val="0"/>
          <w:divBdr>
            <w:top w:val="none" w:sz="0" w:space="0" w:color="auto"/>
            <w:left w:val="none" w:sz="0" w:space="0" w:color="auto"/>
            <w:bottom w:val="none" w:sz="0" w:space="0" w:color="auto"/>
            <w:right w:val="none" w:sz="0" w:space="0" w:color="auto"/>
          </w:divBdr>
        </w:div>
      </w:divsChild>
    </w:div>
    <w:div w:id="1909194956">
      <w:bodyDiv w:val="1"/>
      <w:marLeft w:val="0"/>
      <w:marRight w:val="0"/>
      <w:marTop w:val="0"/>
      <w:marBottom w:val="0"/>
      <w:divBdr>
        <w:top w:val="none" w:sz="0" w:space="0" w:color="auto"/>
        <w:left w:val="none" w:sz="0" w:space="0" w:color="auto"/>
        <w:bottom w:val="none" w:sz="0" w:space="0" w:color="auto"/>
        <w:right w:val="none" w:sz="0" w:space="0" w:color="auto"/>
      </w:divBdr>
      <w:divsChild>
        <w:div w:id="1031762621">
          <w:marLeft w:val="0"/>
          <w:marRight w:val="0"/>
          <w:marTop w:val="0"/>
          <w:marBottom w:val="0"/>
          <w:divBdr>
            <w:top w:val="none" w:sz="0" w:space="0" w:color="auto"/>
            <w:left w:val="none" w:sz="0" w:space="0" w:color="auto"/>
            <w:bottom w:val="none" w:sz="0" w:space="0" w:color="auto"/>
            <w:right w:val="none" w:sz="0" w:space="0" w:color="auto"/>
          </w:divBdr>
        </w:div>
      </w:divsChild>
    </w:div>
    <w:div w:id="1921207664">
      <w:bodyDiv w:val="1"/>
      <w:marLeft w:val="0"/>
      <w:marRight w:val="0"/>
      <w:marTop w:val="0"/>
      <w:marBottom w:val="0"/>
      <w:divBdr>
        <w:top w:val="none" w:sz="0" w:space="0" w:color="auto"/>
        <w:left w:val="none" w:sz="0" w:space="0" w:color="auto"/>
        <w:bottom w:val="none" w:sz="0" w:space="0" w:color="auto"/>
        <w:right w:val="none" w:sz="0" w:space="0" w:color="auto"/>
      </w:divBdr>
      <w:divsChild>
        <w:div w:id="1486898144">
          <w:marLeft w:val="0"/>
          <w:marRight w:val="0"/>
          <w:marTop w:val="0"/>
          <w:marBottom w:val="0"/>
          <w:divBdr>
            <w:top w:val="none" w:sz="0" w:space="0" w:color="auto"/>
            <w:left w:val="none" w:sz="0" w:space="0" w:color="auto"/>
            <w:bottom w:val="none" w:sz="0" w:space="0" w:color="auto"/>
            <w:right w:val="none" w:sz="0" w:space="0" w:color="auto"/>
          </w:divBdr>
        </w:div>
      </w:divsChild>
    </w:div>
    <w:div w:id="1946687441">
      <w:bodyDiv w:val="1"/>
      <w:marLeft w:val="0"/>
      <w:marRight w:val="0"/>
      <w:marTop w:val="0"/>
      <w:marBottom w:val="0"/>
      <w:divBdr>
        <w:top w:val="none" w:sz="0" w:space="0" w:color="auto"/>
        <w:left w:val="none" w:sz="0" w:space="0" w:color="auto"/>
        <w:bottom w:val="none" w:sz="0" w:space="0" w:color="auto"/>
        <w:right w:val="none" w:sz="0" w:space="0" w:color="auto"/>
      </w:divBdr>
    </w:div>
    <w:div w:id="1963223068">
      <w:bodyDiv w:val="1"/>
      <w:marLeft w:val="0"/>
      <w:marRight w:val="0"/>
      <w:marTop w:val="0"/>
      <w:marBottom w:val="0"/>
      <w:divBdr>
        <w:top w:val="none" w:sz="0" w:space="0" w:color="auto"/>
        <w:left w:val="none" w:sz="0" w:space="0" w:color="auto"/>
        <w:bottom w:val="none" w:sz="0" w:space="0" w:color="auto"/>
        <w:right w:val="none" w:sz="0" w:space="0" w:color="auto"/>
      </w:divBdr>
    </w:div>
    <w:div w:id="1986858813">
      <w:bodyDiv w:val="1"/>
      <w:marLeft w:val="0"/>
      <w:marRight w:val="0"/>
      <w:marTop w:val="0"/>
      <w:marBottom w:val="0"/>
      <w:divBdr>
        <w:top w:val="none" w:sz="0" w:space="0" w:color="auto"/>
        <w:left w:val="none" w:sz="0" w:space="0" w:color="auto"/>
        <w:bottom w:val="none" w:sz="0" w:space="0" w:color="auto"/>
        <w:right w:val="none" w:sz="0" w:space="0" w:color="auto"/>
      </w:divBdr>
    </w:div>
    <w:div w:id="2050953231">
      <w:bodyDiv w:val="1"/>
      <w:marLeft w:val="0"/>
      <w:marRight w:val="0"/>
      <w:marTop w:val="0"/>
      <w:marBottom w:val="0"/>
      <w:divBdr>
        <w:top w:val="none" w:sz="0" w:space="0" w:color="auto"/>
        <w:left w:val="none" w:sz="0" w:space="0" w:color="auto"/>
        <w:bottom w:val="none" w:sz="0" w:space="0" w:color="auto"/>
        <w:right w:val="none" w:sz="0" w:space="0" w:color="auto"/>
      </w:divBdr>
      <w:divsChild>
        <w:div w:id="1526210809">
          <w:marLeft w:val="0"/>
          <w:marRight w:val="0"/>
          <w:marTop w:val="0"/>
          <w:marBottom w:val="0"/>
          <w:divBdr>
            <w:top w:val="none" w:sz="0" w:space="0" w:color="auto"/>
            <w:left w:val="none" w:sz="0" w:space="0" w:color="auto"/>
            <w:bottom w:val="none" w:sz="0" w:space="0" w:color="auto"/>
            <w:right w:val="none" w:sz="0" w:space="0" w:color="auto"/>
          </w:divBdr>
        </w:div>
      </w:divsChild>
    </w:div>
    <w:div w:id="2051296602">
      <w:bodyDiv w:val="1"/>
      <w:marLeft w:val="0"/>
      <w:marRight w:val="0"/>
      <w:marTop w:val="0"/>
      <w:marBottom w:val="0"/>
      <w:divBdr>
        <w:top w:val="none" w:sz="0" w:space="0" w:color="auto"/>
        <w:left w:val="none" w:sz="0" w:space="0" w:color="auto"/>
        <w:bottom w:val="none" w:sz="0" w:space="0" w:color="auto"/>
        <w:right w:val="none" w:sz="0" w:space="0" w:color="auto"/>
      </w:divBdr>
      <w:divsChild>
        <w:div w:id="307318329">
          <w:marLeft w:val="0"/>
          <w:marRight w:val="0"/>
          <w:marTop w:val="0"/>
          <w:marBottom w:val="0"/>
          <w:divBdr>
            <w:top w:val="none" w:sz="0" w:space="0" w:color="auto"/>
            <w:left w:val="none" w:sz="0" w:space="0" w:color="auto"/>
            <w:bottom w:val="none" w:sz="0" w:space="0" w:color="auto"/>
            <w:right w:val="none" w:sz="0" w:space="0" w:color="auto"/>
          </w:divBdr>
        </w:div>
      </w:divsChild>
    </w:div>
    <w:div w:id="2060282121">
      <w:bodyDiv w:val="1"/>
      <w:marLeft w:val="0"/>
      <w:marRight w:val="0"/>
      <w:marTop w:val="0"/>
      <w:marBottom w:val="0"/>
      <w:divBdr>
        <w:top w:val="none" w:sz="0" w:space="0" w:color="auto"/>
        <w:left w:val="none" w:sz="0" w:space="0" w:color="auto"/>
        <w:bottom w:val="none" w:sz="0" w:space="0" w:color="auto"/>
        <w:right w:val="none" w:sz="0" w:space="0" w:color="auto"/>
      </w:divBdr>
    </w:div>
    <w:div w:id="2086563694">
      <w:bodyDiv w:val="1"/>
      <w:marLeft w:val="0"/>
      <w:marRight w:val="0"/>
      <w:marTop w:val="0"/>
      <w:marBottom w:val="0"/>
      <w:divBdr>
        <w:top w:val="none" w:sz="0" w:space="0" w:color="auto"/>
        <w:left w:val="none" w:sz="0" w:space="0" w:color="auto"/>
        <w:bottom w:val="none" w:sz="0" w:space="0" w:color="auto"/>
        <w:right w:val="none" w:sz="0" w:space="0" w:color="auto"/>
      </w:divBdr>
    </w:div>
    <w:div w:id="20878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sacp.org.uk/wp-content/uploads/2020/08/1.-Triage-Integration-Considerations-Methods-to-Prioritise-Vulnerable-Groups.pdf" TargetMode="External"/><Relationship Id="rId18" Type="http://schemas.openxmlformats.org/officeDocument/2006/relationships/hyperlink" Target="https://www.cqc.org.uk/what-we-do/how-we-work-people/digital-triage-health-services" TargetMode="External"/><Relationship Id="rId26" Type="http://schemas.openxmlformats.org/officeDocument/2006/relationships/hyperlink" Target="https://doi.org/10.1016/S2589-7500(24)00097-9" TargetMode="External"/><Relationship Id="rId39" Type="http://schemas.openxmlformats.org/officeDocument/2006/relationships/hyperlink" Target="https://doi.org/10.1136/bmj.n71" TargetMode="External"/><Relationship Id="rId21" Type="http://schemas.openxmlformats.org/officeDocument/2006/relationships/hyperlink" Target="https://doi.org/10.1136/BMJOPEN-2021-053566" TargetMode="External"/><Relationship Id="rId34" Type="http://schemas.openxmlformats.org/officeDocument/2006/relationships/hyperlink" Target="https://doi.org/10.1145/3744746" TargetMode="External"/><Relationship Id="rId42" Type="http://schemas.openxmlformats.org/officeDocument/2006/relationships/hyperlink" Target="https://www.questionpro.com/blog/quantitative-data-analysis-software/" TargetMode="External"/><Relationship Id="rId47" Type="http://schemas.openxmlformats.org/officeDocument/2006/relationships/hyperlink" Target="https://doi.org/10.1186/S12911-025-02888-X" TargetMode="External"/><Relationship Id="rId50" Type="http://schemas.openxmlformats.org/officeDocument/2006/relationships/hyperlink" Target="https://phw.nhs.wales/topics/digital-technology-and-health/population-health-in-a-digital-age1/" TargetMode="External"/><Relationship Id="rId55" Type="http://schemas.openxmlformats.org/officeDocument/2006/relationships/hyperlink" Target="https://doi.org/10.1071/SH18127"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09546634.2025.2555189" TargetMode="External"/><Relationship Id="rId29" Type="http://schemas.openxmlformats.org/officeDocument/2006/relationships/hyperlink" Target="https://doi.org/10.3389/FPUBH.2024.1391906" TargetMode="External"/><Relationship Id="rId11" Type="http://schemas.openxmlformats.org/officeDocument/2006/relationships/hyperlink" Target="https://doi.org/10.2196/63816" TargetMode="External"/><Relationship Id="rId24" Type="http://schemas.openxmlformats.org/officeDocument/2006/relationships/hyperlink" Target="https://performanceandimprovement.nhs.wales/functions/quality-safety-and-improvement/improvement/improvement-cymru-academy/resource-library/academy-toolkit-guides/model-for-improvement-toolkit-guide/" TargetMode="External"/><Relationship Id="rId32" Type="http://schemas.openxmlformats.org/officeDocument/2006/relationships/hyperlink" Target="https://doi.org/10.1186/1471-2458-13-790" TargetMode="External"/><Relationship Id="rId37" Type="http://schemas.openxmlformats.org/officeDocument/2006/relationships/hyperlink" Target="https://www.nice.org.uk/guidance/NG140" TargetMode="External"/><Relationship Id="rId40" Type="http://schemas.openxmlformats.org/officeDocument/2006/relationships/hyperlink" Target="https://doi.org/10.1136/BMJOPEN-2024-094068" TargetMode="External"/><Relationship Id="rId45" Type="http://schemas.openxmlformats.org/officeDocument/2006/relationships/hyperlink" Target="https://doi.org/10.1136/BMJ.H3480" TargetMode="External"/><Relationship Id="rId53" Type="http://schemas.openxmlformats.org/officeDocument/2006/relationships/hyperlink" Target="https://doi.org/10.36518/2689-0216.1062" TargetMode="External"/><Relationship Id="rId58" Type="http://schemas.openxmlformats.org/officeDocument/2006/relationships/hyperlink" Target="https://iris.who.int/server/api/core/bitstreams/1f4d4a08-b20d-4c36-9148-a59429ac3477/content"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doi.org/10.1016/J.IJMEDINF.2025.105838" TargetMode="External"/><Relationship Id="rId14" Type="http://schemas.openxmlformats.org/officeDocument/2006/relationships/hyperlink" Target="https://www.cosrh.org/Common/Uploaded%20files/documents/standards-for-online-and-remote-providers-2020.pdf" TargetMode="External"/><Relationship Id="rId22" Type="http://schemas.openxmlformats.org/officeDocument/2006/relationships/hyperlink" Target="https://doi.org/10.1186/s12911-020-01191-1" TargetMode="External"/><Relationship Id="rId27" Type="http://schemas.openxmlformats.org/officeDocument/2006/relationships/hyperlink" Target="https://doi.org/10.3389/FPUBH.2025.1701050" TargetMode="External"/><Relationship Id="rId30" Type="http://schemas.openxmlformats.org/officeDocument/2006/relationships/hyperlink" Target="https://doi.org/10.3389/FPUBH.2024.1439412" TargetMode="External"/><Relationship Id="rId35" Type="http://schemas.openxmlformats.org/officeDocument/2006/relationships/hyperlink" Target="https://www.longtermplan.nhs.uk/wp-content/uploads/2019/08/nhs-long-term-plan-version-1.2.pdf" TargetMode="External"/><Relationship Id="rId43" Type="http://schemas.openxmlformats.org/officeDocument/2006/relationships/hyperlink" Target="https://doi.org/10.2196/43803" TargetMode="External"/><Relationship Id="rId48" Type="http://schemas.openxmlformats.org/officeDocument/2006/relationships/hyperlink" Target="https://doi.org/10.2196/53741" TargetMode="External"/><Relationship Id="rId56" Type="http://schemas.openxmlformats.org/officeDocument/2006/relationships/hyperlink" Target="https://www.gov.wales/sites/default/files/pdf-versions/2022/3/4/1646322827/digital-strategy-wales.pdf" TargetMode="External"/><Relationship Id="rId8" Type="http://schemas.openxmlformats.org/officeDocument/2006/relationships/image" Target="media/image2.png"/><Relationship Id="rId51" Type="http://schemas.openxmlformats.org/officeDocument/2006/relationships/hyperlink" Target="https://www.kingsfund.org.uk/insight-and-analysis/blogs/digital-triage-gp-access-care-inequalities" TargetMode="External"/><Relationship Id="rId3" Type="http://schemas.openxmlformats.org/officeDocument/2006/relationships/settings" Target="settings.xml"/><Relationship Id="rId12" Type="http://schemas.openxmlformats.org/officeDocument/2006/relationships/hyperlink" Target="https://doi.org/10.1186/s12913-025-12232-8" TargetMode="External"/><Relationship Id="rId17" Type="http://schemas.openxmlformats.org/officeDocument/2006/relationships/hyperlink" Target="https://doi.org/10.1111/JAN.16952" TargetMode="External"/><Relationship Id="rId25" Type="http://schemas.openxmlformats.org/officeDocument/2006/relationships/hyperlink" Target="https://doi.org/10.2196/56514" TargetMode="External"/><Relationship Id="rId33" Type="http://schemas.openxmlformats.org/officeDocument/2006/relationships/hyperlink" Target="https://doi.org/10.1186/S12910-021-00687-3" TargetMode="External"/><Relationship Id="rId38" Type="http://schemas.openxmlformats.org/officeDocument/2006/relationships/hyperlink" Target="https://assets.publishing.service.gov.uk/government/uploads/system/uploads/attachment_data/file/1143246/Integrated-sexual-health-service-specification-2023.pdf" TargetMode="External"/><Relationship Id="rId46" Type="http://schemas.openxmlformats.org/officeDocument/2006/relationships/hyperlink" Target="https://doi.org/10.1136/BMJOPEN-2021-051569" TargetMode="External"/><Relationship Id="rId59" Type="http://schemas.openxmlformats.org/officeDocument/2006/relationships/hyperlink" Target="https://doi.org/10.1111/JNU.13024" TargetMode="External"/><Relationship Id="rId20" Type="http://schemas.openxmlformats.org/officeDocument/2006/relationships/hyperlink" Target="https://doi.org/10.1001/JAMADERMATOL.2021.3129" TargetMode="External"/><Relationship Id="rId41" Type="http://schemas.openxmlformats.org/officeDocument/2006/relationships/hyperlink" Target="https://doi.org/10.1136/BMJ.320.7227.114" TargetMode="External"/><Relationship Id="rId54" Type="http://schemas.openxmlformats.org/officeDocument/2006/relationships/hyperlink" Target="https://doi.org/10.4065/82.6.735"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ashh.org/resources/72/bashh_position_statement_on_the_inappropriate_use_of_multiplex_testing_platforms_and_suboptimal_antibiotic_treatment_regimens_for_bacterial_sexually_transmitted_infections" TargetMode="External"/><Relationship Id="rId23" Type="http://schemas.openxmlformats.org/officeDocument/2006/relationships/hyperlink" Target="https://doi.org/10.1371/JOURNAL.PONE.0279636" TargetMode="External"/><Relationship Id="rId28" Type="http://schemas.openxmlformats.org/officeDocument/2006/relationships/hyperlink" Target="https://doi.org/10.1016/J.AJEM.2025.04.023" TargetMode="External"/><Relationship Id="rId36" Type="http://schemas.openxmlformats.org/officeDocument/2006/relationships/hyperlink" Target="https://www.england.nhs.uk/long-read/digitally-enabled-triage/" TargetMode="External"/><Relationship Id="rId49" Type="http://schemas.openxmlformats.org/officeDocument/2006/relationships/hyperlink" Target="https://www.softwareworld.co/qualitative-data-analysis-software/" TargetMode="External"/><Relationship Id="rId57" Type="http://schemas.openxmlformats.org/officeDocument/2006/relationships/hyperlink" Target="https://www.gov.wales/quality-statement-women-and-girls-health-html" TargetMode="External"/><Relationship Id="rId10" Type="http://schemas.openxmlformats.org/officeDocument/2006/relationships/image" Target="media/image4.png"/><Relationship Id="rId31" Type="http://schemas.openxmlformats.org/officeDocument/2006/relationships/hyperlink" Target="https://doi.org/10.3390/ijerph18020826" TargetMode="External"/><Relationship Id="rId44" Type="http://schemas.openxmlformats.org/officeDocument/2006/relationships/hyperlink" Target="https://doi.org/10.1136/BMJHCI-2021-100450" TargetMode="External"/><Relationship Id="rId52" Type="http://schemas.openxmlformats.org/officeDocument/2006/relationships/hyperlink" Target="https://childprotection.rcpch.ac.uk/resources/safeguarding-guidance-for-children-and-young-people-under-18-accessing-early-medical-abortion-services/" TargetMode="External"/><Relationship Id="rId60" Type="http://schemas.openxmlformats.org/officeDocument/2006/relationships/hyperlink" Target="https://doi.org/10.2196/40983"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18</Pages>
  <Words>7829</Words>
  <Characters>44627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52352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 (Swansea Bay UHB - Integrated Sexual Health)</dc:creator>
  <cp:keywords/>
  <dc:description/>
  <cp:lastModifiedBy>Carly Williams (Swansea Bay UHB - Integrated Sexual Health)</cp:lastModifiedBy>
  <cp:revision>6</cp:revision>
  <dcterms:created xsi:type="dcterms:W3CDTF">2026-02-08T19:12:00Z</dcterms:created>
  <dcterms:modified xsi:type="dcterms:W3CDTF">2026-02-19T16:07:00Z</dcterms:modified>
</cp:coreProperties>
</file>