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6B9C2AE" w:rsidR="7908378C" w:rsidRDefault="7908378C" w:rsidP="33572C6E">
            <w:pPr>
              <w:ind w:right="237"/>
              <w:rPr>
                <w:b/>
                <w:bCs/>
                <w:color w:val="auto"/>
                <w:sz w:val="32"/>
                <w:szCs w:val="32"/>
              </w:rPr>
            </w:pPr>
            <w:r w:rsidRPr="33572C6E">
              <w:rPr>
                <w:b/>
                <w:bCs/>
                <w:color w:val="auto"/>
                <w:sz w:val="32"/>
                <w:szCs w:val="32"/>
              </w:rPr>
              <w:t xml:space="preserve">Learner name: </w:t>
            </w:r>
            <w:r w:rsidR="00320DB5">
              <w:rPr>
                <w:b/>
                <w:bCs/>
                <w:color w:val="auto"/>
                <w:sz w:val="32"/>
                <w:szCs w:val="32"/>
              </w:rPr>
              <w:t>Corby Hiscutt</w:t>
            </w:r>
          </w:p>
          <w:p w14:paraId="3A3A802D" w14:textId="77777777" w:rsidR="33572C6E" w:rsidRDefault="33572C6E" w:rsidP="33572C6E">
            <w:pPr>
              <w:ind w:right="237"/>
              <w:rPr>
                <w:b/>
                <w:bCs/>
                <w:color w:val="auto"/>
                <w:sz w:val="32"/>
                <w:szCs w:val="32"/>
              </w:rPr>
            </w:pPr>
          </w:p>
          <w:p w14:paraId="5975341D" w14:textId="1E739290" w:rsidR="00320DB5" w:rsidRDefault="7908378C" w:rsidP="00320DB5">
            <w:pPr>
              <w:pStyle w:val="Default"/>
            </w:pPr>
            <w:r w:rsidRPr="33572C6E">
              <w:rPr>
                <w:b/>
                <w:bCs/>
                <w:color w:val="auto"/>
                <w:sz w:val="32"/>
                <w:szCs w:val="32"/>
              </w:rPr>
              <w:t>Learner’s University Registration Number:</w:t>
            </w:r>
            <w:r w:rsidR="00320DB5">
              <w:rPr>
                <w:b/>
                <w:bCs/>
                <w:color w:val="auto"/>
                <w:sz w:val="32"/>
                <w:szCs w:val="32"/>
              </w:rPr>
              <w:tab/>
              <w:t>2131866</w:t>
            </w:r>
          </w:p>
          <w:p w14:paraId="5DC3CFD6" w14:textId="4FE10C23" w:rsidR="7908378C" w:rsidRDefault="7908378C" w:rsidP="00320DB5">
            <w:pPr>
              <w:tabs>
                <w:tab w:val="left" w:pos="7005"/>
              </w:tabs>
              <w:ind w:right="237"/>
              <w:rPr>
                <w:b/>
                <w:bCs/>
                <w:color w:val="auto"/>
                <w:sz w:val="32"/>
                <w:szCs w:val="32"/>
              </w:rPr>
            </w:pPr>
          </w:p>
          <w:p w14:paraId="7883A53E" w14:textId="0C89A56E"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320DB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1A2C319" w14:textId="77777777" w:rsidR="00320DB5" w:rsidRDefault="00320DB5" w:rsidP="5B843AF0">
      <w:pPr>
        <w:ind w:right="237"/>
        <w:jc w:val="both"/>
        <w:rPr>
          <w:rFonts w:eastAsia="Arial"/>
          <w:b/>
          <w:bCs/>
          <w:color w:val="000000" w:themeColor="text1"/>
          <w:sz w:val="24"/>
          <w:szCs w:val="24"/>
        </w:rPr>
      </w:pPr>
    </w:p>
    <w:p w14:paraId="4659FBC8" w14:textId="77777777" w:rsidR="00320DB5" w:rsidRDefault="00320DB5" w:rsidP="00320DB5">
      <w:r>
        <w:t xml:space="preserve">During the first six months of my probationary period of response policing, I attended a </w:t>
      </w:r>
      <w:proofErr w:type="gramStart"/>
      <w:r>
        <w:t>call in</w:t>
      </w:r>
      <w:proofErr w:type="gramEnd"/>
      <w:r>
        <w:t xml:space="preserve"> response to two young boys who had been the victim of verbal homophobic abuse, and one was also the victim of hate-related common assault from the same incident, too.</w:t>
      </w:r>
    </w:p>
    <w:p w14:paraId="051CFFC7" w14:textId="77777777" w:rsidR="00320DB5" w:rsidRDefault="00320DB5" w:rsidP="00320DB5"/>
    <w:p w14:paraId="448D19C8" w14:textId="77777777" w:rsidR="00320DB5" w:rsidRDefault="00320DB5" w:rsidP="00320DB5">
      <w:r>
        <w:t xml:space="preserve">Whilst hate crimes are based upon the perception of the victim and whether they believe the offence was hate-related or not, many bystanders can take different opinions and think that certain crimes are not hate-related and can even end up not reporting offences that take place because they do not think they are hate-related when in fact, they are. Craig and Waldo (1996), explores this issue, where many bystanders would not report such offences as they do not deem them to be hate related, despite the evidence being available that such offences were hate-related. This can lead to incidents not being reported and victims not seeking the justice they deserve, as they can often feel intimidated not to report such incidents themselves. </w:t>
      </w:r>
    </w:p>
    <w:p w14:paraId="7422F91A" w14:textId="77777777" w:rsidR="00320DB5" w:rsidRDefault="00320DB5" w:rsidP="00320DB5"/>
    <w:p w14:paraId="7CBB466A" w14:textId="77777777" w:rsidR="00320DB5" w:rsidRDefault="00320DB5" w:rsidP="00320DB5">
      <w:r>
        <w:t xml:space="preserve">Upon arriving at the boy’s residence, it was clear that both he and his boyfriend were under eighteen years old, meaning that they would both require an appropriate adult from the outset of the investigation due to their age. I spoke to the boy’s parents and explained the situation, and they both agreed to be an appropriate adult for each of the boys so they could give their victim statements there and then. </w:t>
      </w:r>
    </w:p>
    <w:p w14:paraId="378946F8" w14:textId="77777777" w:rsidR="00320DB5" w:rsidRDefault="00320DB5" w:rsidP="00320DB5"/>
    <w:p w14:paraId="287478AE" w14:textId="77777777" w:rsidR="00320DB5" w:rsidRDefault="00320DB5" w:rsidP="00320DB5">
      <w:r>
        <w:t xml:space="preserve">As seen in </w:t>
      </w:r>
      <w:r>
        <w:rPr>
          <w:color w:val="222222"/>
          <w:shd w:val="clear" w:color="auto" w:fill="FFFFFF"/>
        </w:rPr>
        <w:t>Craig, (2002)</w:t>
      </w:r>
      <w:r>
        <w:t>, a hate crime cannot be generalised to a specific amount of the population, and the perpetrators can be just as difficult to generalise as there are many reasons for hate crimes occurring and many people can suffer at the hands of criminals who commit such offences. As such, I had to go with an open mind as to what I may be dealing with.</w:t>
      </w:r>
    </w:p>
    <w:p w14:paraId="174663DC" w14:textId="77777777" w:rsidR="00320DB5" w:rsidRDefault="00320DB5" w:rsidP="00320DB5"/>
    <w:p w14:paraId="0271AEB1" w14:textId="77777777" w:rsidR="00320DB5" w:rsidRDefault="00320DB5" w:rsidP="00320DB5">
      <w:r>
        <w:t xml:space="preserve">I then gathered a basic account of what had occurred, and then I spoke to one of the victims, while my tutor took the other into a separate room to take their victim statement with their appropriate adult. Both victims were considered vulnerable due to their age. In Perry and </w:t>
      </w:r>
      <w:proofErr w:type="spellStart"/>
      <w:r>
        <w:t>Alvi</w:t>
      </w:r>
      <w:proofErr w:type="spellEnd"/>
      <w:r>
        <w:t xml:space="preserve"> (2012), hate crimes can affect the vulnerable quite badly, causing behavioural shifts and changes in social interaction. However, it can also lead to positive outcomes, such as community mobilisation, and it was important </w:t>
      </w:r>
      <w:r>
        <w:lastRenderedPageBreak/>
        <w:t>that the victims were given as much support as possible to ensure they did not suffer from any negative consequences.</w:t>
      </w:r>
    </w:p>
    <w:p w14:paraId="5E475F84" w14:textId="77777777" w:rsidR="00320DB5" w:rsidRDefault="00320DB5" w:rsidP="00320DB5"/>
    <w:p w14:paraId="73283307" w14:textId="77777777" w:rsidR="00320DB5" w:rsidRDefault="00320DB5" w:rsidP="00320DB5">
      <w:r>
        <w:t xml:space="preserve">Upon taking the victim statement, it was clear to me how much this ordeal had affected the young boy, and I could tell how upset he was by his body language and the way in which he spoke; He was very reserved, quiet, and careful with what he said and how he explained the incident.  </w:t>
      </w:r>
    </w:p>
    <w:p w14:paraId="683A8FD9" w14:textId="77777777" w:rsidR="00320DB5" w:rsidRDefault="00320DB5" w:rsidP="00320DB5"/>
    <w:p w14:paraId="29AD5EDC" w14:textId="77777777" w:rsidR="00320DB5" w:rsidRDefault="00320DB5" w:rsidP="00320DB5">
      <w:r>
        <w:t xml:space="preserve">I took my time with taking the statement, as the victim had been through such an ordeal at their young age that they deserved the time to fully explain the situation, so I could fully grasp what I was dealing with and to ensure the correct response was met with this report of homophobic verbal abuse and common assault. As discussed in </w:t>
      </w:r>
      <w:proofErr w:type="spellStart"/>
      <w:r>
        <w:rPr>
          <w:color w:val="222222"/>
          <w:shd w:val="clear" w:color="auto" w:fill="FFFFFF"/>
        </w:rPr>
        <w:t>Herek</w:t>
      </w:r>
      <w:proofErr w:type="spellEnd"/>
      <w:r>
        <w:rPr>
          <w:color w:val="222222"/>
          <w:shd w:val="clear" w:color="auto" w:fill="FFFFFF"/>
        </w:rPr>
        <w:t>, Cogan, and Gillis (2002)</w:t>
      </w:r>
      <w:r>
        <w:t xml:space="preserve">, it was important the victims felt supported so they would report any further incidents, and it was also important to ensure there was no police bias. This article also discusses how many offences occur in public, just as this did, and it is assumed this is because </w:t>
      </w:r>
      <w:proofErr w:type="spellStart"/>
      <w:r>
        <w:t>its</w:t>
      </w:r>
      <w:proofErr w:type="spellEnd"/>
      <w:r>
        <w:t xml:space="preserve"> easier for the perpetrator to escape from the scene.</w:t>
      </w:r>
    </w:p>
    <w:p w14:paraId="7B1CEE64" w14:textId="77777777" w:rsidR="00320DB5" w:rsidRDefault="00320DB5" w:rsidP="00320DB5"/>
    <w:p w14:paraId="1FF275AE" w14:textId="77777777" w:rsidR="00320DB5" w:rsidRDefault="00320DB5" w:rsidP="00320DB5">
      <w:r>
        <w:t>I took the victim statement and took precise details of the locations of which the two boys had visited as they walked home. They did not feel safe alone because of this incident, and so Public Protection Notifications and Victim Focus Referral forms were submitted for their sake, so they could speak to someone to gather third party assistance regarding mental health support, and so they could receive victim support from specially trained officers.</w:t>
      </w:r>
    </w:p>
    <w:p w14:paraId="339957B9" w14:textId="77777777" w:rsidR="00320DB5" w:rsidRDefault="00320DB5" w:rsidP="00320DB5"/>
    <w:p w14:paraId="1CC720F0" w14:textId="77777777" w:rsidR="00320DB5" w:rsidRDefault="00320DB5" w:rsidP="00320DB5">
      <w:r>
        <w:t xml:space="preserve">There was also a potential witness of the incident, however they did not wish to get involved. As seen in Rayburn, Mendoza, and Davidson et al, (2003), bystanders perceive different levels of culpability against victims and perpetrators of hate crimes versus non-hate crimes. This is interesting, as there are many reasons for bystanders to not wish to get involved in policing matters, however this article links in the perceived level of blame the bystander may feel the victim should hold themselves as to why the incident occurred, which is wholly unjustified as victims cannot be blamed for a perpetrator’s actions. </w:t>
      </w:r>
    </w:p>
    <w:p w14:paraId="1E474AAA" w14:textId="77777777" w:rsidR="00320DB5" w:rsidRDefault="00320DB5" w:rsidP="00320DB5"/>
    <w:p w14:paraId="30082D6E" w14:textId="77777777" w:rsidR="00320DB5" w:rsidRDefault="00320DB5" w:rsidP="00320DB5">
      <w:r>
        <w:t xml:space="preserve">After this, the neighbourhood Policing Team were tasked to try and recover any CCTV footage from the path taken by the two boys as they were verbally and physically abused on their way home. Luckily, two CCTV cameras captured the two young suspects. A Police Community Support Officer was able to identify the two young suspects, and there was CCTV footage captured of the physical assault taking place later that day. The suspects clothing and features were the same in both the CCTV image and video, and the victims confirmed it was them in the video being assaulted. The description of the victims matched the description of who was in the CCTV footage, too, and so it was confirmed that I had video evidence to put towards the identified suspect of the assault, and an Identification statement to also include in my evidence against the suspect to say it was them in the CCTV footage obtained. As portrayed in </w:t>
      </w:r>
      <w:proofErr w:type="spellStart"/>
      <w:r>
        <w:t>Benier</w:t>
      </w:r>
      <w:proofErr w:type="spellEnd"/>
      <w:r>
        <w:t xml:space="preserve">, (2017), a hate crime can have many knock-on effects, especially effecting the victim’s confidence, nervousness, and feelings of being unsafe and angry. Therefore, not only was a Public Protection Notice completed for the victims which makes third party agencies aware of the incident and allows them to give further support to the victims if they need it in confidence. This was important as Craig Henderson and Sloan (2003) examined the </w:t>
      </w:r>
      <w:proofErr w:type="gramStart"/>
      <w:r>
        <w:t>after effects</w:t>
      </w:r>
      <w:proofErr w:type="gramEnd"/>
      <w:r>
        <w:t xml:space="preserve"> of a hate crime, identifying the high risks of the victims suffering from long term disorders such as Post Traumatic Stress Disorder. Also, the School Liaison Officer was made aware of the issue and were asked if they could take action to ensure the victims felt safe in school, too. It was important for </w:t>
      </w:r>
    </w:p>
    <w:p w14:paraId="44C3AE5A" w14:textId="77777777" w:rsidR="00320DB5" w:rsidRDefault="00320DB5" w:rsidP="00320DB5"/>
    <w:p w14:paraId="220480EC" w14:textId="77777777" w:rsidR="00320DB5" w:rsidRDefault="00320DB5" w:rsidP="00320DB5">
      <w:r>
        <w:t xml:space="preserve">The two victims were under fourteen years old, as were the two offenders. This meant careful consideration was necessary to evaluate the best course of further action not only for the victims to seek justice, but also for the best possible outcome against the young offenders too. </w:t>
      </w:r>
    </w:p>
    <w:p w14:paraId="21D2A97D" w14:textId="77777777" w:rsidR="00320DB5" w:rsidRDefault="00320DB5" w:rsidP="00320DB5">
      <w:r>
        <w:t xml:space="preserve">Due to the offender’s age, and the ‘low-level’ of crime which took place, it was highly unlikely that the Crown Prosecution Service would seek to prosecute the young offender who assaulted and homophobically, verbally abused the victims. This is not only due to the ‘low-level’ of crime which took place, but also due to the offender’s age, as it appears that prosecution against children is seen as the last resort and for only the worst types of offences or repeat offenders. This can be a contentious topic, however, as seen in Meyer, (2010), where people of different socioeconomic backgrounds had different perceptions of the severity of different hate crimes, including that of physical violence, and therefore despite from a policing perspective it would be a </w:t>
      </w:r>
      <w:proofErr w:type="gramStart"/>
      <w:r>
        <w:t>low level</w:t>
      </w:r>
      <w:proofErr w:type="gramEnd"/>
      <w:r>
        <w:t xml:space="preserve"> crime, to the victim this could be considered the worst thing they have ever encountered. This could be due to the fact police deal with incidents of this nature every day, and by grading the incident based </w:t>
      </w:r>
      <w:proofErr w:type="gramStart"/>
      <w:r>
        <w:t>off of</w:t>
      </w:r>
      <w:proofErr w:type="gramEnd"/>
      <w:r>
        <w:t xml:space="preserve"> whether it was verbal, </w:t>
      </w:r>
      <w:r>
        <w:lastRenderedPageBreak/>
        <w:t>violent, or extremely violent, could mean for a better response to be generated by ensuring the correct departments deal with appropriate incidents.</w:t>
      </w:r>
    </w:p>
    <w:p w14:paraId="29BCEC64" w14:textId="77777777" w:rsidR="00320DB5" w:rsidRDefault="00320DB5" w:rsidP="00320DB5"/>
    <w:p w14:paraId="4FC572D9" w14:textId="77777777" w:rsidR="00320DB5" w:rsidRDefault="00320DB5" w:rsidP="00320DB5">
      <w:r>
        <w:t>Whilst the crimes were horrible and wholly unjustified, they are deemed as ‘low-level’ due to the nature of what took place as there were no visible injuries left, no physical impairments left for the victim, and there were no threats made in relation to the verbal, homophobic abuse. Despite being considered objectively ‘low-level’, it was still treated to the same standards as any other crime.</w:t>
      </w:r>
    </w:p>
    <w:p w14:paraId="64D3C359" w14:textId="77777777" w:rsidR="00320DB5" w:rsidRDefault="00320DB5" w:rsidP="00320DB5"/>
    <w:p w14:paraId="2AFA2957" w14:textId="77777777" w:rsidR="00320DB5" w:rsidRDefault="00320DB5" w:rsidP="00320DB5">
      <w:r>
        <w:t xml:space="preserve">Due to how unlikely it was that prosecution would be sought against the young offender; another option would have been to seek a ‘Youth Offender Referral’ to the Youth Offending Service. This is a way of punishing the offender by ensuring they follow a strict plan set by the Youth Offending Service/Institute which is personalised to the offender based on what crime they have committed. For example, if they have committed an offence deemed to be of a racial/religious/homophobic/transphobic nature, they may be required to complete a certain number of hours understanding how this type of abuse, whether verbal or physical, can affect a person both in the short and long term. They may also be required to complete mundane tasks, such as litter picking or cleaning graffiti and community projects. This is all in aid to not only rehabilitate the young offender, but to also ensure they give back to the community, learn the values of being a part of a functioning society/community, and to respect those around them of all backgrounds and cultures. A Youth Offending Referral to the Youth Offending Team, if accepted, is generally the best outcome in relation to crimes such as the one that took place. It is important to remember, though, that the victim </w:t>
      </w:r>
      <w:proofErr w:type="gramStart"/>
      <w:r>
        <w:t>has to</w:t>
      </w:r>
      <w:proofErr w:type="gramEnd"/>
      <w:r>
        <w:t xml:space="preserve"> agree with this out of court disposal, the offender has to show remorse and cannot deny the offence, and also has to be willing to complete this Youth Offending Programme until it can be put through to the Youth Offending Team.</w:t>
      </w:r>
    </w:p>
    <w:p w14:paraId="5A10B9AF" w14:textId="77777777" w:rsidR="00320DB5" w:rsidRDefault="00320DB5" w:rsidP="00320DB5"/>
    <w:p w14:paraId="4EB04890" w14:textId="77777777" w:rsidR="00320DB5" w:rsidRDefault="00320DB5" w:rsidP="00320DB5">
      <w:r>
        <w:t>Other outcomes could have been used could have been words of advice to the offender. This is usually done if the victim does not support prosecution and only wants the offender spoken to by police. In most cases, this is always an option however there are certain times, such as with domestic violence cases, where this cannot be undertaken. As the victim supported prosecution, this was not a viable outcome for this offence.</w:t>
      </w:r>
    </w:p>
    <w:p w14:paraId="5BDC9BEB" w14:textId="77777777" w:rsidR="00320DB5" w:rsidRDefault="00320DB5" w:rsidP="00320DB5"/>
    <w:p w14:paraId="39567DE2" w14:textId="77777777" w:rsidR="00320DB5" w:rsidRDefault="00320DB5" w:rsidP="00320DB5">
      <w:r>
        <w:t xml:space="preserve">Another outcome would have been Restorative Justice, where the victim sits and speaks to the offender, asking them questions which have been vetted by Police Officers to ensure they are suitable and reasonable, and so the offender can apologise for their actions. As the victim was intimidated by the offender, and had issues with social interaction, this out of court disposal was also not viable in relation to this offence, however it was offered to the victim amongst the other types of disposals which could have been administered </w:t>
      </w:r>
      <w:proofErr w:type="gramStart"/>
      <w:r>
        <w:t>as long as</w:t>
      </w:r>
      <w:proofErr w:type="gramEnd"/>
      <w:r>
        <w:t xml:space="preserve"> the criteria of each was met. </w:t>
      </w:r>
    </w:p>
    <w:p w14:paraId="46281613" w14:textId="77777777" w:rsidR="00320DB5" w:rsidRDefault="00320DB5" w:rsidP="00320DB5"/>
    <w:p w14:paraId="0AE3C1FA" w14:textId="77777777" w:rsidR="00320DB5" w:rsidRDefault="00320DB5" w:rsidP="00320DB5">
      <w:r>
        <w:t xml:space="preserve">At first the offender’s parents did not realise that what occurred was </w:t>
      </w:r>
      <w:proofErr w:type="gramStart"/>
      <w:r>
        <w:t>actually a</w:t>
      </w:r>
      <w:proofErr w:type="gramEnd"/>
      <w:r>
        <w:t xml:space="preserve"> hate crime, but after some discussion they understood what had actually occurred, and how a hate crime/incident is based on the victim’s perception which cannot be changed. Sun, (2006) explores the misconceptions of hate crimes, and how distorted cognition of hate crimes and the elements involved can lead to misinterpretation of the law by offenders, and as seen by this incident, those around them too. The public may think there has to be certain factors which objectively make a hate </w:t>
      </w:r>
      <w:proofErr w:type="gramStart"/>
      <w:r>
        <w:t>crime,</w:t>
      </w:r>
      <w:proofErr w:type="gramEnd"/>
      <w:r>
        <w:t xml:space="preserve"> however it is mostly down to the victim’s perception, and therefore that is what generated the hate crime and were educated appropriately.</w:t>
      </w:r>
    </w:p>
    <w:p w14:paraId="5E955CF3" w14:textId="77777777" w:rsidR="00320DB5" w:rsidRDefault="00320DB5" w:rsidP="00320DB5"/>
    <w:p w14:paraId="231BBAE8" w14:textId="77777777" w:rsidR="00320DB5" w:rsidRDefault="00320DB5" w:rsidP="00320DB5">
      <w:r>
        <w:t xml:space="preserve">It was important that the young offender, and his parents, were correctly educated on hate crimes to ensure this did not occur again, as </w:t>
      </w:r>
      <w:proofErr w:type="spellStart"/>
      <w:r>
        <w:t>Boeckmann</w:t>
      </w:r>
      <w:proofErr w:type="spellEnd"/>
      <w:r>
        <w:t xml:space="preserve"> and Turpin-</w:t>
      </w:r>
      <w:proofErr w:type="spellStart"/>
      <w:r>
        <w:t>Petrosino</w:t>
      </w:r>
      <w:proofErr w:type="spellEnd"/>
      <w:r>
        <w:t xml:space="preserve"> (2002) discusses the importance of education of the offender to understand the harm hate crimes can cause. Therefore, an emphasis was placed on the discussion for this between the offender and the police, and the Young Offender Referral would have an emphasis on ensuring the young person would have to interact with such education, too. </w:t>
      </w:r>
    </w:p>
    <w:p w14:paraId="79DE2DF2" w14:textId="77777777" w:rsidR="00320DB5" w:rsidRDefault="00320DB5" w:rsidP="00320DB5"/>
    <w:p w14:paraId="5B958AAF" w14:textId="77777777" w:rsidR="00320DB5" w:rsidRDefault="00320DB5" w:rsidP="00320DB5">
      <w:r>
        <w:t xml:space="preserve">As the offender was a child, it was important to ensure that as police, everything was put in place to ensure the possibility of re-offending was minimal. A Youth Offending Referral was deemed the best course of action after discussion with the victim, and this was completed as well as informing School Liaison Officers of what had occurred, as I had been informed by the victim that they went to the same school as the offender. I also spoke to the mother of the victim, who informed the school of what had occurred too. This was in an effort not only to safeguard the victim, but also to ensure that </w:t>
      </w:r>
      <w:r>
        <w:lastRenderedPageBreak/>
        <w:t xml:space="preserve">all relevant parties were aware of what the young offender had done, and to ensure they could focus on his behaviour. I submitted a public protection notification for the victim and the young offender too, so </w:t>
      </w:r>
      <w:proofErr w:type="gramStart"/>
      <w:r>
        <w:t>third party</w:t>
      </w:r>
      <w:proofErr w:type="gramEnd"/>
      <w:r>
        <w:t xml:space="preserve"> agencies, such as mental health teams and child services, could get in contact with the children to ensure there were no concerns for their wellbeing and they were adequately safeguarded at home. The mental health referral was mostly for the victim, and the safeguarding was for the offender, as it was to ensure he had good role models around him and that his negative behaviour was not being reinforced at home by his family, and other adults and people around him. This was all an effort to not only seek justice for the victim, but to safeguard all parties and keep the possibility of re-offending to a minimum. </w:t>
      </w:r>
    </w:p>
    <w:p w14:paraId="12F63976" w14:textId="77777777" w:rsidR="00320DB5" w:rsidRDefault="00320DB5" w:rsidP="00320DB5"/>
    <w:p w14:paraId="0B072E33" w14:textId="77777777" w:rsidR="00320DB5" w:rsidRDefault="00320DB5" w:rsidP="00320DB5">
      <w:r>
        <w:t>The Youth Offending Referral was accepted by the Youth Offending Team, and the victim got justice for the ordeal they went through. It took three months in total to investigate the crime, gather the evidence, complete the interview and to put the youth offending referral forward, as this was one of many cases I was dealing with at the time, but justice was sought eventually. Not only was a vulnerable victim given the support, both via victim support and through police investigation, but also was given the option of the wide range of different disposals available to them to ensure this offence was dealt with justly and appropriately.</w:t>
      </w:r>
    </w:p>
    <w:p w14:paraId="2D841533" w14:textId="77777777" w:rsidR="00320DB5" w:rsidRDefault="00320DB5" w:rsidP="00320DB5"/>
    <w:p w14:paraId="3F2E019F" w14:textId="77777777" w:rsidR="00320DB5" w:rsidRDefault="00320DB5" w:rsidP="00320DB5"/>
    <w:p w14:paraId="6300FE29" w14:textId="77777777" w:rsidR="00320DB5" w:rsidRDefault="00320DB5" w:rsidP="00320DB5"/>
    <w:p w14:paraId="38235D16" w14:textId="77777777" w:rsidR="00320DB5" w:rsidRDefault="00320DB5" w:rsidP="00320DB5"/>
    <w:p w14:paraId="3FB6E7F0" w14:textId="77777777" w:rsidR="00320DB5" w:rsidRDefault="00320DB5" w:rsidP="00320DB5"/>
    <w:p w14:paraId="66ECBEF2" w14:textId="77777777" w:rsidR="00320DB5" w:rsidRDefault="00320DB5" w:rsidP="00320DB5"/>
    <w:p w14:paraId="2366452C" w14:textId="77777777" w:rsidR="00320DB5" w:rsidRDefault="00320DB5" w:rsidP="00320DB5"/>
    <w:p w14:paraId="25787B1C" w14:textId="77777777" w:rsidR="00320DB5" w:rsidRDefault="00320DB5" w:rsidP="00320DB5"/>
    <w:p w14:paraId="1A1797A6" w14:textId="77777777" w:rsidR="00320DB5" w:rsidRDefault="00320DB5" w:rsidP="00320DB5"/>
    <w:p w14:paraId="162170CE" w14:textId="77777777" w:rsidR="00320DB5" w:rsidRDefault="00320DB5" w:rsidP="00320DB5"/>
    <w:p w14:paraId="1BF15CD7" w14:textId="77777777" w:rsidR="00320DB5" w:rsidRDefault="00320DB5" w:rsidP="00320DB5"/>
    <w:p w14:paraId="15835AF5" w14:textId="77777777" w:rsidR="00320DB5" w:rsidRDefault="00320DB5" w:rsidP="00320DB5"/>
    <w:p w14:paraId="6B451AFB" w14:textId="77777777" w:rsidR="00320DB5" w:rsidRDefault="00320DB5" w:rsidP="00320DB5"/>
    <w:p w14:paraId="5528EEF1" w14:textId="77777777" w:rsidR="00320DB5" w:rsidRDefault="00320DB5" w:rsidP="00320DB5"/>
    <w:p w14:paraId="1E6372C9" w14:textId="77777777" w:rsidR="00320DB5" w:rsidRDefault="00320DB5" w:rsidP="00320DB5"/>
    <w:p w14:paraId="68375DB0" w14:textId="77777777" w:rsidR="00320DB5" w:rsidRDefault="00320DB5" w:rsidP="00320DB5"/>
    <w:p w14:paraId="2F120C85" w14:textId="77777777" w:rsidR="00320DB5" w:rsidRDefault="00320DB5" w:rsidP="00320DB5"/>
    <w:p w14:paraId="62770D27" w14:textId="77777777" w:rsidR="00320DB5" w:rsidRDefault="00320DB5" w:rsidP="00320DB5"/>
    <w:p w14:paraId="0C406BE9" w14:textId="77777777" w:rsidR="00320DB5" w:rsidRDefault="00320DB5" w:rsidP="00320DB5"/>
    <w:p w14:paraId="1E787BD9" w14:textId="77777777" w:rsidR="00320DB5" w:rsidRDefault="00320DB5" w:rsidP="00320DB5"/>
    <w:p w14:paraId="0F340223" w14:textId="77777777" w:rsidR="00320DB5" w:rsidRDefault="00320DB5" w:rsidP="00320DB5"/>
    <w:p w14:paraId="5942A512" w14:textId="77777777" w:rsidR="00320DB5" w:rsidRDefault="00320DB5" w:rsidP="00320DB5"/>
    <w:p w14:paraId="6CC391C2" w14:textId="77777777" w:rsidR="00320DB5" w:rsidRDefault="00320DB5" w:rsidP="00320DB5"/>
    <w:p w14:paraId="25BBA0BC" w14:textId="77777777" w:rsidR="00320DB5" w:rsidRDefault="00320DB5" w:rsidP="00320DB5"/>
    <w:p w14:paraId="2A121D72" w14:textId="77777777" w:rsidR="00320DB5" w:rsidRDefault="00320DB5" w:rsidP="00320DB5"/>
    <w:p w14:paraId="14006D64" w14:textId="77777777" w:rsidR="00320DB5" w:rsidRDefault="00320DB5" w:rsidP="00320DB5"/>
    <w:p w14:paraId="6F715A09" w14:textId="77777777" w:rsidR="00320DB5" w:rsidRDefault="00320DB5" w:rsidP="00320DB5"/>
    <w:p w14:paraId="6A97FAC3" w14:textId="77777777" w:rsidR="00320DB5" w:rsidRDefault="00320DB5" w:rsidP="00320DB5"/>
    <w:p w14:paraId="637BEF77" w14:textId="77777777" w:rsidR="00320DB5" w:rsidRDefault="00320DB5" w:rsidP="00320DB5"/>
    <w:p w14:paraId="249EA643" w14:textId="77777777" w:rsidR="00320DB5" w:rsidRDefault="00320DB5" w:rsidP="00320DB5"/>
    <w:p w14:paraId="755D1FBE" w14:textId="77777777" w:rsidR="00320DB5" w:rsidRDefault="00320DB5" w:rsidP="00320DB5"/>
    <w:p w14:paraId="1097C033" w14:textId="77777777" w:rsidR="00320DB5" w:rsidRDefault="00320DB5" w:rsidP="00320DB5"/>
    <w:p w14:paraId="28B527E4" w14:textId="77777777" w:rsidR="00320DB5" w:rsidRDefault="00320DB5" w:rsidP="00320DB5"/>
    <w:p w14:paraId="48C8149E" w14:textId="77777777" w:rsidR="00320DB5" w:rsidRDefault="00320DB5" w:rsidP="00320DB5"/>
    <w:p w14:paraId="3ECBD37B" w14:textId="77777777" w:rsidR="00320DB5" w:rsidRDefault="00320DB5" w:rsidP="00320DB5"/>
    <w:p w14:paraId="2C7CE69C" w14:textId="77777777" w:rsidR="00320DB5" w:rsidRDefault="00320DB5" w:rsidP="00320DB5"/>
    <w:p w14:paraId="4EA7A8BE" w14:textId="77777777" w:rsidR="00320DB5" w:rsidRDefault="00320DB5" w:rsidP="00320DB5"/>
    <w:p w14:paraId="11015219" w14:textId="77777777" w:rsidR="00320DB5" w:rsidRDefault="00320DB5" w:rsidP="00320DB5"/>
    <w:p w14:paraId="7AB75116" w14:textId="77777777" w:rsidR="00320DB5" w:rsidRDefault="00320DB5" w:rsidP="00320DB5"/>
    <w:p w14:paraId="65AEA82F" w14:textId="77777777" w:rsidR="00320DB5" w:rsidRDefault="00320DB5" w:rsidP="00320DB5"/>
    <w:p w14:paraId="78770231" w14:textId="77777777" w:rsidR="00320DB5" w:rsidRDefault="00320DB5" w:rsidP="00320DB5"/>
    <w:p w14:paraId="089BF9F4" w14:textId="77777777" w:rsidR="00320DB5" w:rsidRDefault="00320DB5" w:rsidP="00320DB5"/>
    <w:p w14:paraId="3D4798AD" w14:textId="77777777" w:rsidR="00320DB5" w:rsidRDefault="00320DB5" w:rsidP="00320DB5">
      <w:pPr>
        <w:overflowPunct/>
        <w:autoSpaceDE/>
        <w:autoSpaceDN/>
        <w:adjustRightInd/>
        <w:textAlignment w:val="auto"/>
      </w:pPr>
    </w:p>
    <w:p w14:paraId="6B0989EF" w14:textId="17AC04FA" w:rsidR="00025650" w:rsidRPr="00320DB5" w:rsidRDefault="5B843AF0" w:rsidP="00320DB5">
      <w:pPr>
        <w:overflowPunct/>
        <w:autoSpaceDE/>
        <w:autoSpaceDN/>
        <w:adjustRightInd/>
        <w:jc w:val="center"/>
        <w:textAlignment w:val="auto"/>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7EB904FA" w:rsidR="0FF883D4" w:rsidRDefault="0FF883D4" w:rsidP="5CE196A1">
      <w:pPr>
        <w:jc w:val="both"/>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43D60390" w14:textId="77777777" w:rsidR="00320DB5" w:rsidRDefault="00320DB5" w:rsidP="00320DB5">
      <w:r>
        <w:t xml:space="preserve">In July 2023, I attended a domestic incident where the female reported malicious communications, harassment and stalking from her ex-partner. This incident had affected the victim severely, to the </w:t>
      </w:r>
      <w:r>
        <w:lastRenderedPageBreak/>
        <w:t xml:space="preserve">point where they only wanted to complete their victim statement at Cardiff Bay Police Station and nowhere else. </w:t>
      </w:r>
    </w:p>
    <w:p w14:paraId="04538A8D" w14:textId="77777777" w:rsidR="00320DB5" w:rsidRDefault="00320DB5" w:rsidP="00320DB5">
      <w:r>
        <w:t xml:space="preserve">As such, I took the statement from the victim, who was clearly upset and troubled from the incident that occurred over the last week, as the harassment, malicious communications and stalking were all ongoing. I spoke to the victim and ensured them that the policing response to this disclosure would be prompt and dealt with in urgency, as it was important the suspect was arrested for these crimes and dealt with appropriately. </w:t>
      </w:r>
    </w:p>
    <w:p w14:paraId="13F6F188" w14:textId="77777777" w:rsidR="00320DB5" w:rsidRDefault="00320DB5" w:rsidP="00320DB5">
      <w:r>
        <w:t>This was a challenging statement to take, as there were many offences which had occurred, and it was important to cover them all and to ensure all points to prove for each offence were written within the victim’s statement so action could be taken promptly.</w:t>
      </w:r>
    </w:p>
    <w:p w14:paraId="039CABA0" w14:textId="77777777" w:rsidR="00320DB5" w:rsidRDefault="00320DB5" w:rsidP="00320DB5">
      <w:r>
        <w:t xml:space="preserve">I spoke to the victim carefully and courteously, ensuring I was respectful in gathering an accurate account of what had occurred and to ensure I did not cause any further upset as they had been through quite the ordeal already. </w:t>
      </w:r>
    </w:p>
    <w:p w14:paraId="2C70DBF6" w14:textId="77777777" w:rsidR="00320DB5" w:rsidRDefault="00320DB5" w:rsidP="00320DB5">
      <w:r>
        <w:t>Whilst speaking to the victim, a Public Protection Notice, which is distributed to third party agencies with the victims’ details and what occurred in the incident, was also completed, and this was under the elements of Domestic Abuse, Stalking, and Harassment. The questions asked throughout this are to gather if the victim is frightened of the perpetrator, if this was a repeat incident or if they were a repeat victim, and to cover any children or dependants who may live with them. By covering all areas of this, a risk assessment can be made on the level of danger and risk posed to the victim from the perpetrator to ensure they receive the correct support from third party agencies.</w:t>
      </w:r>
    </w:p>
    <w:p w14:paraId="00B3471C" w14:textId="77777777" w:rsidR="00320DB5" w:rsidRDefault="00320DB5" w:rsidP="00320DB5">
      <w:r>
        <w:t xml:space="preserve">By speaking to the victim in this manner, I was able to extract all relevant information from them for both the Public Protection Notice and the Victim Statement, including the perpetrator’s personal details and his knowledge of the victim, so Officers could conduct arrest enquiries diligently. Submitting this information to third party agencies offers an extra level of long-term support to the victim after the case has been seen by the Crown Prosecution Service and a charging decision is made, which the police cannot offer to do themselves due to so many investigations taking place and there not being enough officers on shift at one time to be able to cover this. This can reassure the victims of not only domestic abuse, but all kinds of crime, that they are important and that whilst the police may not be able to support their mental health or physical health both during and after the investigation, the police will do what we can to ensure they see the right organisation from the referral if they wish to do this. Henning and </w:t>
      </w:r>
      <w:proofErr w:type="spellStart"/>
      <w:r>
        <w:t>Klesges</w:t>
      </w:r>
      <w:proofErr w:type="spellEnd"/>
      <w:r>
        <w:t xml:space="preserve">, (2002) supports the idea that counselling and supportive services by female victims of domestic abuse can benefit them in the long term, and therefore completing a Public Protection Notification for the victim, who is a female, could give long term benefits to their mental health to support them in the long term and is necessary with </w:t>
      </w:r>
      <w:proofErr w:type="spellStart"/>
      <w:r>
        <w:t>Hagion-Rzepka</w:t>
      </w:r>
      <w:proofErr w:type="spellEnd"/>
      <w:r>
        <w:t xml:space="preserve"> (2005) highlighting how domestic abuse can leave life-changing impacts on victims, not just physically with scars or injuries but also with mental health, such as post-traumatic stress disorder. </w:t>
      </w:r>
    </w:p>
    <w:p w14:paraId="78BBAF5F" w14:textId="77777777" w:rsidR="00320DB5" w:rsidRDefault="00320DB5" w:rsidP="00320DB5"/>
    <w:p w14:paraId="5343C42D" w14:textId="77777777" w:rsidR="00320DB5" w:rsidRDefault="00320DB5" w:rsidP="00320DB5">
      <w:r>
        <w:t xml:space="preserve">Also, </w:t>
      </w:r>
      <w:r>
        <w:rPr>
          <w:color w:val="222222"/>
          <w:shd w:val="clear" w:color="auto" w:fill="FFFFFF"/>
        </w:rPr>
        <w:t>Munro and Aitken, (2020)</w:t>
      </w:r>
      <w:r>
        <w:t xml:space="preserve"> shows that suicidality is unfortunately a major concern and risk for domestic abuse victims, and therefore the importance of submitting this information to third party agencies to support victims in the long term is just as important for safeguarding as it is to complete the investigation and work hard to achieve the best outcome for the victim. Victims themselves can often feel they need more support too, but are not always forthcoming in requesting it due to the traumatic events they have endured, as seen in </w:t>
      </w:r>
      <w:proofErr w:type="spellStart"/>
      <w:r>
        <w:rPr>
          <w:color w:val="222222"/>
          <w:shd w:val="clear" w:color="auto" w:fill="FFFFFF"/>
        </w:rPr>
        <w:t>Spruin</w:t>
      </w:r>
      <w:proofErr w:type="spellEnd"/>
      <w:r>
        <w:rPr>
          <w:color w:val="222222"/>
          <w:shd w:val="clear" w:color="auto" w:fill="FFFFFF"/>
        </w:rPr>
        <w:t xml:space="preserve">, Alleyne, and </w:t>
      </w:r>
      <w:proofErr w:type="spellStart"/>
      <w:r>
        <w:rPr>
          <w:color w:val="222222"/>
          <w:shd w:val="clear" w:color="auto" w:fill="FFFFFF"/>
        </w:rPr>
        <w:t>Papadaki</w:t>
      </w:r>
      <w:proofErr w:type="spellEnd"/>
      <w:r>
        <w:rPr>
          <w:color w:val="222222"/>
          <w:shd w:val="clear" w:color="auto" w:fill="FFFFFF"/>
        </w:rPr>
        <w:t xml:space="preserve"> (2015)</w:t>
      </w:r>
      <w:r>
        <w:t xml:space="preserve">, so by police taking the choice away from them, as it would be submitted whether they consented or not, even if they choose not to ask for the help, it will be provided anyways and can be a less harsh way of the victim’s accepting help from third party agencies. It has also been studied that women have different coping mechanisms to deal with the trauma of domestic abuse, </w:t>
      </w:r>
      <w:proofErr w:type="spellStart"/>
      <w:r>
        <w:t>Haeseler</w:t>
      </w:r>
      <w:proofErr w:type="spellEnd"/>
      <w:r>
        <w:t>, (2013), so it is important that third party agencies cover a variety of different organisations, such as mental health, talking therapies, live fear free, etc. This is so the victim has the right support offered to them based on their personal needs.</w:t>
      </w:r>
    </w:p>
    <w:p w14:paraId="69C9D0AE" w14:textId="77777777" w:rsidR="00320DB5" w:rsidRDefault="00320DB5" w:rsidP="00320DB5"/>
    <w:p w14:paraId="7E579759" w14:textId="77777777" w:rsidR="00320DB5" w:rsidRDefault="00320DB5" w:rsidP="00320DB5"/>
    <w:p w14:paraId="01562001" w14:textId="77777777" w:rsidR="00320DB5" w:rsidRDefault="00320DB5" w:rsidP="00320DB5">
      <w:r>
        <w:t xml:space="preserve">After completing this, I reassured the victim that officers would be taking proactive, positive action to ensure their report is dealt with swiftly and accurately in line with the victim’s wishes. The victim’s friend, who was unrelated to this matter and was a person the victim trusted, was asked to attend Cardiff Bay Police Station, and was met by officers and given a small debrief that they would be needed to take the victim to their home and ensure they do not contact the suspect at any point, due to the suspect allegedly living with the victim at the time. Officers then watched the victim leave and kept in contact with them throughout the night whilst arrest enquiries were being planned. </w:t>
      </w:r>
    </w:p>
    <w:p w14:paraId="601684C7" w14:textId="77777777" w:rsidR="00320DB5" w:rsidRDefault="00320DB5" w:rsidP="00320DB5"/>
    <w:p w14:paraId="5AF0ABE5" w14:textId="77777777" w:rsidR="00320DB5" w:rsidRDefault="00320DB5" w:rsidP="00320DB5">
      <w:r>
        <w:lastRenderedPageBreak/>
        <w:t xml:space="preserve">Later </w:t>
      </w:r>
      <w:proofErr w:type="gramStart"/>
      <w:r>
        <w:t>on</w:t>
      </w:r>
      <w:proofErr w:type="gramEnd"/>
      <w:r>
        <w:t xml:space="preserve"> that evening, the suspect called the police about an unrelated matter on 999, to which the next team of officers attended whilst I was completing the online paperwork in regards to this incident. I immediately recognised the address and name of the suspect, and alerted the officers in attendance that he was the suspect of this crime and would need to be arrested. I spoke to the officers with the suspect via radio communications and relayed the circumstances of the call I had been dealing with, and they made the arrest. I ensured the officers also knew to remove the house key from his possession, as he was not allowed to stay at the victim’s home anymore as he was not on the tenancy and the victim removed consent for this to officers. As such I informed the victim of the outcome, and that he no longer had a key to the property and if they wished to, they were safe to return home. Due to the complex nature of this domestic abuse incident, I immediately started working on the case file to prepare for the Crown Prosecution </w:t>
      </w:r>
      <w:proofErr w:type="gramStart"/>
      <w:r>
        <w:t>Service</w:t>
      </w:r>
      <w:proofErr w:type="gramEnd"/>
      <w:r>
        <w:t xml:space="preserve"> so it was ready for the next team to be handed on. </w:t>
      </w:r>
    </w:p>
    <w:p w14:paraId="5DFF612F" w14:textId="77777777" w:rsidR="00320DB5" w:rsidRDefault="00320DB5" w:rsidP="00320DB5"/>
    <w:p w14:paraId="29401E9E" w14:textId="77777777" w:rsidR="00320DB5" w:rsidRPr="00D3453D" w:rsidRDefault="00320DB5" w:rsidP="00320DB5">
      <w:r>
        <w:t xml:space="preserve">This was a challenging situation to deal with, as the victim was initially not supportive of giving a statement to Police due to their relationship with the suspect being difficult. The victim did not want to potentially ‘ruin’ the suspect’s future and only wished to do what was best for the suspect, but they were reminded that the suspect made his own choices and when a domestic incident is alleged, the police take the decision out of the victim’s hands and have to make an informed choice on the safest actions to protect the victim from any future harm, whether mental or physical, and to ensure our duties are carried out to the best of our ability. Victims can often have preconceived ideas of what a victim of domestic abuse may look like or have endured, as seen in </w:t>
      </w:r>
      <w:proofErr w:type="spellStart"/>
      <w:r>
        <w:rPr>
          <w:color w:val="222222"/>
          <w:shd w:val="clear" w:color="auto" w:fill="FFFFFF"/>
        </w:rPr>
        <w:t>Spruin</w:t>
      </w:r>
      <w:proofErr w:type="spellEnd"/>
      <w:r>
        <w:rPr>
          <w:color w:val="222222"/>
          <w:shd w:val="clear" w:color="auto" w:fill="FFFFFF"/>
        </w:rPr>
        <w:t>, (2017)</w:t>
      </w:r>
      <w:r>
        <w:t xml:space="preserve">, however the truth is there is no particular type of person who is a victim, and so this is often explained to victims of domestic abuse to reassure them that their voice is heard and should not think of the stigma attached to being a victim. However, it is also important to remind victims not to go back to their abusive ex-partner as </w:t>
      </w:r>
      <w:r>
        <w:rPr>
          <w:color w:val="222222"/>
          <w:shd w:val="clear" w:color="auto" w:fill="FFFFFF"/>
        </w:rPr>
        <w:t xml:space="preserve">Heron, </w:t>
      </w:r>
      <w:proofErr w:type="spellStart"/>
      <w:proofErr w:type="gramStart"/>
      <w:r>
        <w:rPr>
          <w:color w:val="222222"/>
          <w:shd w:val="clear" w:color="auto" w:fill="FFFFFF"/>
        </w:rPr>
        <w:t>Eisma</w:t>
      </w:r>
      <w:proofErr w:type="spellEnd"/>
      <w:proofErr w:type="gramEnd"/>
      <w:r>
        <w:rPr>
          <w:color w:val="222222"/>
          <w:shd w:val="clear" w:color="auto" w:fill="FFFFFF"/>
        </w:rPr>
        <w:t xml:space="preserve"> and Browne (2022) explains that it is common for domestic abuse victims to go back to their ex-partner for multiple reasons, such as pregnancy, marriage, feeling dependant on their significant other, and so on. This is a dangerous aspect of domestic incidents as it can lead to bail conditions being breached and further incidents occurring, putting the victim in further danger. </w:t>
      </w:r>
      <w:r>
        <w:t xml:space="preserve">Brandt, (2005) explains how the methodology in how victims choose to leave abusive partners, </w:t>
      </w:r>
      <w:proofErr w:type="gramStart"/>
      <w:r>
        <w:t>the majority of</w:t>
      </w:r>
      <w:proofErr w:type="gramEnd"/>
      <w:r>
        <w:t xml:space="preserve"> the time being due to their children being implicated in the matter or becoming a repeat victim, which is sadly often common with domestic incidents. By reassuring the victim that an abusive partner is often manipulative, it can help them in seeing that it is not safe to go back to their </w:t>
      </w:r>
      <w:proofErr w:type="spellStart"/>
      <w:proofErr w:type="gramStart"/>
      <w:r>
        <w:t>ex partner</w:t>
      </w:r>
      <w:proofErr w:type="spellEnd"/>
      <w:proofErr w:type="gramEnd"/>
      <w:r>
        <w:t xml:space="preserve"> and that it would be dangerous to ignore such incidents.</w:t>
      </w:r>
    </w:p>
    <w:p w14:paraId="1BE3655F" w14:textId="77777777" w:rsidR="00320DB5" w:rsidRDefault="00320DB5" w:rsidP="00320DB5"/>
    <w:p w14:paraId="7DB4BC68" w14:textId="77777777" w:rsidR="00320DB5" w:rsidRDefault="00320DB5" w:rsidP="00320DB5"/>
    <w:p w14:paraId="19ACEC40" w14:textId="77777777" w:rsidR="00320DB5" w:rsidRDefault="00320DB5" w:rsidP="00320DB5">
      <w:pPr>
        <w:rPr>
          <w:color w:val="222222"/>
          <w:shd w:val="clear" w:color="auto" w:fill="FFFFFF"/>
        </w:rPr>
      </w:pPr>
      <w:r>
        <w:t xml:space="preserve">The victim was spoken to by specialist officers on the domestic violence team, who call the victim once a statement has been given, whether positive or negative, to allow reassurance that officers will do their best to safeguard and deal with suspects appropriately and that if they support, officers will do what they can within their powers to get the best possible outcome from the investigation. A positive statement is when a victim supports prosecution and is willing to attend court, and a negative statement is when a victim does not support prosecution and is not willing to attend court. The domestic abuse team were in contact with the victim and did their best to get the victim to support police action, however it must be remembered that victim’s having to make their own decisions and not to be forced or coerced into making a choice to support or decline police action. As seen in Johnson (2007), repeat victims will often start to think legal assistance may benefit them, but in this instance, this was one of the first crimes reported by the victim, therefore this process was new to them, and they were in fear of how this could affect the suspect’s life. The victim was reassured but as seen from Johnson, it can be difficult to even come forward to police, not including the process of giving a formal statement, going to court, the long process of case file building which can inadvertently give the victim time to withdraw their statement. As such it is important to be as diligent as possible with any enquiries and case file building, however as seen in </w:t>
      </w:r>
      <w:r>
        <w:rPr>
          <w:color w:val="222222"/>
          <w:shd w:val="clear" w:color="auto" w:fill="FFFFFF"/>
        </w:rPr>
        <w:t xml:space="preserve">Day, Jenner and Weir (2018), it is difficult to know how the courts will perceive such incidents, and therefore it cannot be assumed which side the courts will favour, and this can lead to the victim not giving a statement or withdrawing in fear of not being believed by the courts. </w:t>
      </w:r>
    </w:p>
    <w:p w14:paraId="19F02081" w14:textId="77777777" w:rsidR="00320DB5" w:rsidRDefault="00320DB5" w:rsidP="00320DB5">
      <w:pPr>
        <w:rPr>
          <w:color w:val="222222"/>
          <w:shd w:val="clear" w:color="auto" w:fill="FFFFFF"/>
        </w:rPr>
      </w:pPr>
    </w:p>
    <w:p w14:paraId="2C1BB2C1" w14:textId="77777777" w:rsidR="00320DB5" w:rsidRPr="008326AA" w:rsidRDefault="00320DB5" w:rsidP="00320DB5">
      <w:pPr>
        <w:rPr>
          <w:color w:val="222222"/>
          <w:shd w:val="clear" w:color="auto" w:fill="FFFFFF"/>
        </w:rPr>
      </w:pPr>
      <w:r>
        <w:rPr>
          <w:color w:val="222222"/>
          <w:shd w:val="clear" w:color="auto" w:fill="FFFFFF"/>
        </w:rPr>
        <w:t xml:space="preserve">Domestic abuse incidents are some of the most prevalent calls which are dealt with by modern police officers, yet can be the most difficult due to the many aspects which can affect the case going to court, the case building process in supportive lines of enquiries, or even simply just getting the victim to support the case, because without this the case can be set up to not have a positive outcome from the outset. As such, officers take a calm and sensitive approach in dealing with domestic incidents, </w:t>
      </w:r>
      <w:r>
        <w:rPr>
          <w:color w:val="222222"/>
          <w:shd w:val="clear" w:color="auto" w:fill="FFFFFF"/>
        </w:rPr>
        <w:lastRenderedPageBreak/>
        <w:t xml:space="preserve">and to reassure the victim and ensure all </w:t>
      </w:r>
      <w:proofErr w:type="gramStart"/>
      <w:r>
        <w:rPr>
          <w:color w:val="222222"/>
          <w:shd w:val="clear" w:color="auto" w:fill="FFFFFF"/>
        </w:rPr>
        <w:t>short and long term</w:t>
      </w:r>
      <w:proofErr w:type="gramEnd"/>
      <w:r>
        <w:rPr>
          <w:color w:val="222222"/>
          <w:shd w:val="clear" w:color="auto" w:fill="FFFFFF"/>
        </w:rPr>
        <w:t xml:space="preserve"> safeguarding is implemented for the victim.</w:t>
      </w:r>
    </w:p>
    <w:p w14:paraId="23F970FB" w14:textId="323E9064" w:rsidR="00320DB5" w:rsidRPr="00320DB5" w:rsidRDefault="00320DB5" w:rsidP="00320DB5"/>
    <w:p w14:paraId="337013D8" w14:textId="77777777" w:rsidR="00320DB5" w:rsidRDefault="00320DB5" w:rsidP="00320DB5">
      <w:pPr>
        <w:rPr>
          <w:color w:val="222222"/>
          <w:shd w:val="clear" w:color="auto" w:fill="FFFFFF"/>
        </w:rPr>
      </w:pPr>
    </w:p>
    <w:p w14:paraId="6DB603F5" w14:textId="77777777" w:rsidR="00320DB5" w:rsidRDefault="00320DB5" w:rsidP="00320DB5">
      <w:pPr>
        <w:rPr>
          <w:color w:val="222222"/>
          <w:shd w:val="clear" w:color="auto" w:fill="FFFFFF"/>
        </w:rPr>
      </w:pPr>
    </w:p>
    <w:p w14:paraId="7AC2BA92" w14:textId="77777777" w:rsidR="00320DB5" w:rsidRDefault="00320DB5" w:rsidP="00320DB5">
      <w:pPr>
        <w:rPr>
          <w:color w:val="222222"/>
          <w:shd w:val="clear" w:color="auto" w:fill="FFFFFF"/>
        </w:rPr>
      </w:pPr>
    </w:p>
    <w:p w14:paraId="1B7C7AE3" w14:textId="77777777" w:rsidR="00320DB5" w:rsidRDefault="00320DB5" w:rsidP="00320DB5"/>
    <w:p w14:paraId="6E761A26" w14:textId="77777777" w:rsidR="00320DB5" w:rsidRPr="00E676F7" w:rsidRDefault="00320DB5"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Default="00025650" w:rsidP="0FF883D4">
      <w:pPr>
        <w:ind w:right="237"/>
        <w:jc w:val="both"/>
        <w:rPr>
          <w:color w:val="000000" w:themeColor="text1"/>
          <w:sz w:val="24"/>
          <w:szCs w:val="24"/>
        </w:rPr>
      </w:pPr>
    </w:p>
    <w:p w14:paraId="0D873408" w14:textId="77777777" w:rsidR="00320DB5" w:rsidRDefault="00320DB5" w:rsidP="0FF883D4">
      <w:pPr>
        <w:ind w:right="237"/>
        <w:jc w:val="both"/>
        <w:rPr>
          <w:color w:val="000000" w:themeColor="text1"/>
          <w:sz w:val="24"/>
          <w:szCs w:val="24"/>
        </w:rPr>
      </w:pPr>
    </w:p>
    <w:p w14:paraId="3B288B2A" w14:textId="77777777" w:rsidR="00320DB5" w:rsidRDefault="00320DB5" w:rsidP="0FF883D4">
      <w:pPr>
        <w:ind w:right="237"/>
        <w:jc w:val="both"/>
        <w:rPr>
          <w:color w:val="000000" w:themeColor="text1"/>
          <w:sz w:val="24"/>
          <w:szCs w:val="24"/>
        </w:rPr>
      </w:pPr>
    </w:p>
    <w:p w14:paraId="5C53A325" w14:textId="77777777" w:rsidR="00320DB5" w:rsidRDefault="00320DB5" w:rsidP="0FF883D4">
      <w:pPr>
        <w:ind w:right="237"/>
        <w:jc w:val="both"/>
        <w:rPr>
          <w:color w:val="000000" w:themeColor="text1"/>
          <w:sz w:val="24"/>
          <w:szCs w:val="24"/>
        </w:rPr>
      </w:pPr>
    </w:p>
    <w:p w14:paraId="071C5871" w14:textId="77777777" w:rsidR="00320DB5" w:rsidRDefault="00320DB5" w:rsidP="0FF883D4">
      <w:pPr>
        <w:ind w:right="237"/>
        <w:jc w:val="both"/>
        <w:rPr>
          <w:color w:val="000000" w:themeColor="text1"/>
          <w:sz w:val="24"/>
          <w:szCs w:val="24"/>
        </w:rPr>
      </w:pPr>
    </w:p>
    <w:p w14:paraId="0657D124" w14:textId="77777777" w:rsidR="00320DB5" w:rsidRDefault="00320DB5" w:rsidP="0FF883D4">
      <w:pPr>
        <w:ind w:right="237"/>
        <w:jc w:val="both"/>
        <w:rPr>
          <w:color w:val="000000" w:themeColor="text1"/>
          <w:sz w:val="24"/>
          <w:szCs w:val="24"/>
        </w:rPr>
      </w:pPr>
    </w:p>
    <w:p w14:paraId="5DD89D87" w14:textId="77777777" w:rsidR="00320DB5" w:rsidRDefault="00320DB5" w:rsidP="0FF883D4">
      <w:pPr>
        <w:ind w:right="237"/>
        <w:jc w:val="both"/>
        <w:rPr>
          <w:color w:val="000000" w:themeColor="text1"/>
          <w:sz w:val="24"/>
          <w:szCs w:val="24"/>
        </w:rPr>
      </w:pPr>
    </w:p>
    <w:p w14:paraId="1D217909" w14:textId="77777777" w:rsidR="00320DB5" w:rsidRDefault="00320DB5" w:rsidP="0FF883D4">
      <w:pPr>
        <w:ind w:right="237"/>
        <w:jc w:val="both"/>
        <w:rPr>
          <w:color w:val="000000" w:themeColor="text1"/>
          <w:sz w:val="24"/>
          <w:szCs w:val="24"/>
        </w:rPr>
      </w:pPr>
    </w:p>
    <w:p w14:paraId="62D3C09B" w14:textId="77777777" w:rsidR="00320DB5" w:rsidRDefault="00320DB5" w:rsidP="0FF883D4">
      <w:pPr>
        <w:ind w:right="237"/>
        <w:jc w:val="both"/>
        <w:rPr>
          <w:color w:val="000000" w:themeColor="text1"/>
          <w:sz w:val="24"/>
          <w:szCs w:val="24"/>
        </w:rPr>
      </w:pPr>
    </w:p>
    <w:p w14:paraId="03D9116C" w14:textId="77777777" w:rsidR="00320DB5" w:rsidRDefault="00320DB5" w:rsidP="0FF883D4">
      <w:pPr>
        <w:ind w:right="237"/>
        <w:jc w:val="both"/>
        <w:rPr>
          <w:color w:val="000000" w:themeColor="text1"/>
          <w:sz w:val="24"/>
          <w:szCs w:val="24"/>
        </w:rPr>
      </w:pPr>
    </w:p>
    <w:p w14:paraId="34AC051A" w14:textId="77777777" w:rsidR="00320DB5" w:rsidRDefault="00320DB5" w:rsidP="0FF883D4">
      <w:pPr>
        <w:ind w:right="237"/>
        <w:jc w:val="both"/>
        <w:rPr>
          <w:color w:val="000000" w:themeColor="text1"/>
          <w:sz w:val="24"/>
          <w:szCs w:val="24"/>
        </w:rPr>
      </w:pPr>
    </w:p>
    <w:p w14:paraId="7E098313" w14:textId="77777777" w:rsidR="00320DB5" w:rsidRDefault="00320DB5" w:rsidP="0FF883D4">
      <w:pPr>
        <w:ind w:right="237"/>
        <w:jc w:val="both"/>
        <w:rPr>
          <w:color w:val="000000" w:themeColor="text1"/>
          <w:sz w:val="24"/>
          <w:szCs w:val="24"/>
        </w:rPr>
      </w:pPr>
    </w:p>
    <w:p w14:paraId="7FE1A874" w14:textId="77777777" w:rsidR="00320DB5" w:rsidRDefault="00320DB5" w:rsidP="0FF883D4">
      <w:pPr>
        <w:ind w:right="237"/>
        <w:jc w:val="both"/>
        <w:rPr>
          <w:color w:val="000000" w:themeColor="text1"/>
          <w:sz w:val="24"/>
          <w:szCs w:val="24"/>
        </w:rPr>
      </w:pPr>
    </w:p>
    <w:p w14:paraId="4E18C3FE" w14:textId="77777777" w:rsidR="00320DB5" w:rsidRDefault="00320DB5" w:rsidP="0FF883D4">
      <w:pPr>
        <w:ind w:right="237"/>
        <w:jc w:val="both"/>
        <w:rPr>
          <w:color w:val="000000" w:themeColor="text1"/>
          <w:sz w:val="24"/>
          <w:szCs w:val="24"/>
        </w:rPr>
      </w:pPr>
    </w:p>
    <w:p w14:paraId="2246E09D" w14:textId="77777777" w:rsidR="00320DB5" w:rsidRDefault="00320DB5" w:rsidP="0FF883D4">
      <w:pPr>
        <w:ind w:right="237"/>
        <w:jc w:val="both"/>
        <w:rPr>
          <w:color w:val="000000" w:themeColor="text1"/>
          <w:sz w:val="24"/>
          <w:szCs w:val="24"/>
        </w:rPr>
      </w:pPr>
    </w:p>
    <w:p w14:paraId="37D9A382" w14:textId="77777777" w:rsidR="00320DB5" w:rsidRDefault="00320DB5" w:rsidP="0FF883D4">
      <w:pPr>
        <w:ind w:right="237"/>
        <w:jc w:val="both"/>
        <w:rPr>
          <w:color w:val="000000" w:themeColor="text1"/>
          <w:sz w:val="24"/>
          <w:szCs w:val="24"/>
        </w:rPr>
      </w:pPr>
    </w:p>
    <w:p w14:paraId="665C5D14" w14:textId="77777777" w:rsidR="00320DB5" w:rsidRDefault="00320DB5" w:rsidP="0FF883D4">
      <w:pPr>
        <w:ind w:right="237"/>
        <w:jc w:val="both"/>
        <w:rPr>
          <w:color w:val="000000" w:themeColor="text1"/>
          <w:sz w:val="24"/>
          <w:szCs w:val="24"/>
        </w:rPr>
      </w:pPr>
    </w:p>
    <w:p w14:paraId="40166ADD" w14:textId="77777777" w:rsidR="00320DB5" w:rsidRDefault="00320DB5" w:rsidP="0FF883D4">
      <w:pPr>
        <w:ind w:right="237"/>
        <w:jc w:val="both"/>
        <w:rPr>
          <w:color w:val="000000" w:themeColor="text1"/>
          <w:sz w:val="24"/>
          <w:szCs w:val="24"/>
        </w:rPr>
      </w:pPr>
    </w:p>
    <w:p w14:paraId="41059F8C" w14:textId="77777777" w:rsidR="00320DB5" w:rsidRDefault="00320DB5" w:rsidP="0FF883D4">
      <w:pPr>
        <w:ind w:right="237"/>
        <w:jc w:val="both"/>
        <w:rPr>
          <w:color w:val="000000" w:themeColor="text1"/>
          <w:sz w:val="24"/>
          <w:szCs w:val="24"/>
        </w:rPr>
      </w:pPr>
    </w:p>
    <w:p w14:paraId="4F4C4FFE" w14:textId="77777777" w:rsidR="00320DB5" w:rsidRDefault="00320DB5" w:rsidP="0FF883D4">
      <w:pPr>
        <w:ind w:right="237"/>
        <w:jc w:val="both"/>
        <w:rPr>
          <w:color w:val="000000" w:themeColor="text1"/>
          <w:sz w:val="24"/>
          <w:szCs w:val="24"/>
        </w:rPr>
      </w:pPr>
    </w:p>
    <w:p w14:paraId="188B908D" w14:textId="77777777" w:rsidR="00320DB5" w:rsidRDefault="00320DB5" w:rsidP="0FF883D4">
      <w:pPr>
        <w:ind w:right="237"/>
        <w:jc w:val="both"/>
        <w:rPr>
          <w:color w:val="000000" w:themeColor="text1"/>
          <w:sz w:val="24"/>
          <w:szCs w:val="24"/>
        </w:rPr>
      </w:pPr>
    </w:p>
    <w:p w14:paraId="3BF2EB82" w14:textId="77777777" w:rsidR="00320DB5" w:rsidRDefault="00320DB5" w:rsidP="0FF883D4">
      <w:pPr>
        <w:ind w:right="237"/>
        <w:jc w:val="both"/>
        <w:rPr>
          <w:color w:val="000000" w:themeColor="text1"/>
          <w:sz w:val="24"/>
          <w:szCs w:val="24"/>
        </w:rPr>
      </w:pPr>
    </w:p>
    <w:p w14:paraId="00D3BFC8" w14:textId="77777777" w:rsidR="00320DB5" w:rsidRDefault="00320DB5" w:rsidP="0FF883D4">
      <w:pPr>
        <w:ind w:right="237"/>
        <w:jc w:val="both"/>
        <w:rPr>
          <w:color w:val="000000" w:themeColor="text1"/>
          <w:sz w:val="24"/>
          <w:szCs w:val="24"/>
        </w:rPr>
      </w:pPr>
    </w:p>
    <w:p w14:paraId="4BF0CAEB" w14:textId="77777777" w:rsidR="00320DB5" w:rsidRDefault="00320DB5" w:rsidP="0FF883D4">
      <w:pPr>
        <w:ind w:right="237"/>
        <w:jc w:val="both"/>
        <w:rPr>
          <w:color w:val="000000" w:themeColor="text1"/>
          <w:sz w:val="24"/>
          <w:szCs w:val="24"/>
        </w:rPr>
      </w:pPr>
    </w:p>
    <w:p w14:paraId="3AAEBFDE" w14:textId="77777777" w:rsidR="00320DB5" w:rsidRDefault="00320DB5" w:rsidP="0FF883D4">
      <w:pPr>
        <w:ind w:right="237"/>
        <w:jc w:val="both"/>
        <w:rPr>
          <w:color w:val="000000" w:themeColor="text1"/>
          <w:sz w:val="24"/>
          <w:szCs w:val="24"/>
        </w:rPr>
      </w:pPr>
    </w:p>
    <w:p w14:paraId="66CB5546" w14:textId="77777777" w:rsidR="00320DB5" w:rsidRDefault="00320DB5" w:rsidP="0FF883D4">
      <w:pPr>
        <w:ind w:right="237"/>
        <w:jc w:val="both"/>
        <w:rPr>
          <w:color w:val="000000" w:themeColor="text1"/>
          <w:sz w:val="24"/>
          <w:szCs w:val="24"/>
        </w:rPr>
      </w:pPr>
    </w:p>
    <w:p w14:paraId="2CDEC752" w14:textId="77777777" w:rsidR="00320DB5" w:rsidRDefault="00320DB5" w:rsidP="0FF883D4">
      <w:pPr>
        <w:ind w:right="237"/>
        <w:jc w:val="both"/>
        <w:rPr>
          <w:color w:val="000000" w:themeColor="text1"/>
          <w:sz w:val="24"/>
          <w:szCs w:val="24"/>
        </w:rPr>
      </w:pPr>
    </w:p>
    <w:p w14:paraId="573D56FA" w14:textId="77777777" w:rsidR="00320DB5" w:rsidRDefault="00320DB5" w:rsidP="0FF883D4">
      <w:pPr>
        <w:ind w:right="237"/>
        <w:jc w:val="both"/>
        <w:rPr>
          <w:color w:val="000000" w:themeColor="text1"/>
          <w:sz w:val="24"/>
          <w:szCs w:val="24"/>
        </w:rPr>
      </w:pPr>
    </w:p>
    <w:p w14:paraId="653BC357" w14:textId="77777777" w:rsidR="00320DB5" w:rsidRDefault="00320DB5" w:rsidP="0FF883D4">
      <w:pPr>
        <w:ind w:right="237"/>
        <w:jc w:val="both"/>
        <w:rPr>
          <w:color w:val="000000" w:themeColor="text1"/>
          <w:sz w:val="24"/>
          <w:szCs w:val="24"/>
        </w:rPr>
      </w:pPr>
    </w:p>
    <w:p w14:paraId="6810FFEC" w14:textId="77777777" w:rsidR="00320DB5" w:rsidRDefault="00320DB5" w:rsidP="0FF883D4">
      <w:pPr>
        <w:ind w:right="237"/>
        <w:jc w:val="both"/>
        <w:rPr>
          <w:color w:val="000000" w:themeColor="text1"/>
          <w:sz w:val="24"/>
          <w:szCs w:val="24"/>
        </w:rPr>
      </w:pPr>
    </w:p>
    <w:p w14:paraId="29576974" w14:textId="77777777" w:rsidR="00320DB5" w:rsidRDefault="00320DB5" w:rsidP="0FF883D4">
      <w:pPr>
        <w:ind w:right="237"/>
        <w:jc w:val="both"/>
        <w:rPr>
          <w:color w:val="000000" w:themeColor="text1"/>
          <w:sz w:val="24"/>
          <w:szCs w:val="24"/>
        </w:rPr>
      </w:pPr>
    </w:p>
    <w:p w14:paraId="41B28CEF" w14:textId="77777777" w:rsidR="00320DB5" w:rsidRDefault="00320DB5" w:rsidP="0FF883D4">
      <w:pPr>
        <w:ind w:right="237"/>
        <w:jc w:val="both"/>
        <w:rPr>
          <w:color w:val="000000" w:themeColor="text1"/>
          <w:sz w:val="24"/>
          <w:szCs w:val="24"/>
        </w:rPr>
      </w:pPr>
    </w:p>
    <w:p w14:paraId="0D06D72E" w14:textId="77777777" w:rsidR="00320DB5" w:rsidRPr="00E676F7" w:rsidRDefault="00320DB5"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Default="00025650" w:rsidP="0FF883D4">
      <w:pPr>
        <w:ind w:right="237"/>
        <w:jc w:val="both"/>
        <w:rPr>
          <w:b/>
          <w:bCs/>
          <w:color w:val="000000" w:themeColor="text1"/>
          <w:sz w:val="24"/>
          <w:szCs w:val="24"/>
        </w:rPr>
      </w:pPr>
    </w:p>
    <w:p w14:paraId="081B9E4A" w14:textId="77777777" w:rsidR="00320DB5" w:rsidRDefault="00320DB5" w:rsidP="0FF883D4">
      <w:pPr>
        <w:ind w:right="237"/>
        <w:jc w:val="both"/>
        <w:rPr>
          <w:b/>
          <w:bCs/>
          <w:color w:val="000000" w:themeColor="text1"/>
          <w:sz w:val="24"/>
          <w:szCs w:val="24"/>
        </w:rPr>
      </w:pPr>
    </w:p>
    <w:p w14:paraId="1C9A5BE9" w14:textId="77777777" w:rsidR="00320DB5" w:rsidRPr="00E676F7" w:rsidRDefault="00320DB5"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AD95DE7" w:rsidR="0FF883D4" w:rsidRDefault="5CE196A1" w:rsidP="5CE196A1">
      <w:r w:rsidRPr="5CE196A1">
        <w:rPr>
          <w:rFonts w:eastAsia="Arial"/>
          <w:b/>
          <w:bCs/>
          <w:color w:val="000000" w:themeColor="text1"/>
          <w:sz w:val="24"/>
          <w:szCs w:val="24"/>
        </w:rPr>
        <w:t xml:space="preserve">Signed: </w:t>
      </w:r>
      <w:r w:rsidR="00320DB5">
        <w:rPr>
          <w:rFonts w:eastAsia="Arial"/>
          <w:b/>
          <w:bCs/>
          <w:color w:val="000000" w:themeColor="text1"/>
          <w:sz w:val="24"/>
          <w:szCs w:val="24"/>
        </w:rPr>
        <w:t>Corby Hiscutt</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2D637B5" w:rsidR="0FF883D4" w:rsidRPr="00320DB5" w:rsidRDefault="5CE196A1" w:rsidP="00320DB5">
      <w:pPr>
        <w:sectPr w:rsidR="0FF883D4" w:rsidRPr="00320DB5"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20DB5">
        <w:t xml:space="preserve"> 20/09/2023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B582240" w14:textId="77777777" w:rsidR="00320DB5" w:rsidRDefault="00320DB5" w:rsidP="00320DB5">
      <w:pPr>
        <w:rPr>
          <w:sz w:val="24"/>
          <w:szCs w:val="24"/>
        </w:rPr>
      </w:pPr>
    </w:p>
    <w:p w14:paraId="44837841" w14:textId="77777777" w:rsidR="00320DB5" w:rsidRDefault="00320DB5" w:rsidP="00320DB5">
      <w:pPr>
        <w:rPr>
          <w:color w:val="222222"/>
          <w:shd w:val="clear" w:color="auto" w:fill="FFFFFF"/>
        </w:rPr>
      </w:pPr>
    </w:p>
    <w:p w14:paraId="1F26C266" w14:textId="77777777" w:rsidR="00320DB5" w:rsidRDefault="00320DB5" w:rsidP="00320DB5">
      <w:pPr>
        <w:rPr>
          <w:color w:val="222222"/>
          <w:shd w:val="clear" w:color="auto" w:fill="FFFFFF"/>
        </w:rPr>
      </w:pPr>
      <w:proofErr w:type="spellStart"/>
      <w:r>
        <w:rPr>
          <w:color w:val="222222"/>
          <w:shd w:val="clear" w:color="auto" w:fill="FFFFFF"/>
        </w:rPr>
        <w:t>Benier</w:t>
      </w:r>
      <w:proofErr w:type="spellEnd"/>
      <w:r>
        <w:rPr>
          <w:color w:val="222222"/>
          <w:shd w:val="clear" w:color="auto" w:fill="FFFFFF"/>
        </w:rPr>
        <w:t>, Kathryn. "The harms of hate: Comparing the neighbouring practices and interactions of hate crime victims, non-hate crime victims and non-victims." </w:t>
      </w:r>
      <w:r>
        <w:rPr>
          <w:i/>
          <w:iCs/>
          <w:color w:val="222222"/>
          <w:shd w:val="clear" w:color="auto" w:fill="FFFFFF"/>
        </w:rPr>
        <w:t>International Review of Victimology</w:t>
      </w:r>
      <w:r>
        <w:rPr>
          <w:color w:val="222222"/>
          <w:shd w:val="clear" w:color="auto" w:fill="FFFFFF"/>
        </w:rPr>
        <w:t> 23.2 (2017): 179-201.</w:t>
      </w:r>
    </w:p>
    <w:p w14:paraId="2EDC0ED5" w14:textId="77777777" w:rsidR="00320DB5" w:rsidRDefault="00320DB5" w:rsidP="00320DB5">
      <w:pPr>
        <w:rPr>
          <w:color w:val="222222"/>
          <w:shd w:val="clear" w:color="auto" w:fill="FFFFFF"/>
        </w:rPr>
      </w:pPr>
    </w:p>
    <w:p w14:paraId="5C06E7C3" w14:textId="77777777" w:rsidR="00320DB5" w:rsidRDefault="00320DB5" w:rsidP="00320DB5">
      <w:pPr>
        <w:rPr>
          <w:color w:val="222222"/>
          <w:shd w:val="clear" w:color="auto" w:fill="FFFFFF"/>
        </w:rPr>
      </w:pPr>
    </w:p>
    <w:p w14:paraId="2CFC9208" w14:textId="77777777" w:rsidR="00320DB5" w:rsidRDefault="00320DB5" w:rsidP="00320DB5">
      <w:pPr>
        <w:rPr>
          <w:color w:val="222222"/>
          <w:shd w:val="clear" w:color="auto" w:fill="FFFFFF"/>
        </w:rPr>
      </w:pPr>
      <w:proofErr w:type="spellStart"/>
      <w:r>
        <w:rPr>
          <w:color w:val="222222"/>
          <w:shd w:val="clear" w:color="auto" w:fill="FFFFFF"/>
        </w:rPr>
        <w:t>Boeckmann</w:t>
      </w:r>
      <w:proofErr w:type="spellEnd"/>
      <w:r>
        <w:rPr>
          <w:color w:val="222222"/>
          <w:shd w:val="clear" w:color="auto" w:fill="FFFFFF"/>
        </w:rPr>
        <w:t>, Robert J., and Carolyn Turpin</w:t>
      </w:r>
      <w:r>
        <w:rPr>
          <w:rFonts w:ascii="Cambria Math" w:hAnsi="Cambria Math" w:cs="Cambria Math"/>
          <w:color w:val="222222"/>
          <w:shd w:val="clear" w:color="auto" w:fill="FFFFFF"/>
        </w:rPr>
        <w:t>‐</w:t>
      </w:r>
      <w:proofErr w:type="spellStart"/>
      <w:r>
        <w:rPr>
          <w:color w:val="222222"/>
          <w:shd w:val="clear" w:color="auto" w:fill="FFFFFF"/>
        </w:rPr>
        <w:t>Petrosino</w:t>
      </w:r>
      <w:proofErr w:type="spellEnd"/>
      <w:r>
        <w:rPr>
          <w:color w:val="222222"/>
          <w:shd w:val="clear" w:color="auto" w:fill="FFFFFF"/>
        </w:rPr>
        <w:t>. "Understanding the harm of hate crime." </w:t>
      </w:r>
      <w:r>
        <w:rPr>
          <w:i/>
          <w:iCs/>
          <w:color w:val="222222"/>
          <w:shd w:val="clear" w:color="auto" w:fill="FFFFFF"/>
        </w:rPr>
        <w:t>Journal of social issues</w:t>
      </w:r>
      <w:r>
        <w:rPr>
          <w:color w:val="222222"/>
          <w:shd w:val="clear" w:color="auto" w:fill="FFFFFF"/>
        </w:rPr>
        <w:t> 58.2 (2002): 207-225.</w:t>
      </w:r>
    </w:p>
    <w:p w14:paraId="50AE734C" w14:textId="77777777" w:rsidR="00320DB5" w:rsidRDefault="00320DB5" w:rsidP="00320DB5">
      <w:pPr>
        <w:rPr>
          <w:color w:val="222222"/>
          <w:shd w:val="clear" w:color="auto" w:fill="FFFFFF"/>
        </w:rPr>
      </w:pPr>
    </w:p>
    <w:p w14:paraId="61153625" w14:textId="77777777" w:rsidR="00320DB5" w:rsidRDefault="00320DB5" w:rsidP="00320DB5">
      <w:pPr>
        <w:rPr>
          <w:color w:val="222222"/>
          <w:shd w:val="clear" w:color="auto" w:fill="FFFFFF"/>
        </w:rPr>
      </w:pPr>
    </w:p>
    <w:p w14:paraId="707B019D" w14:textId="77777777" w:rsidR="00320DB5" w:rsidRDefault="00320DB5" w:rsidP="00320DB5">
      <w:pPr>
        <w:rPr>
          <w:color w:val="222222"/>
          <w:shd w:val="clear" w:color="auto" w:fill="FFFFFF"/>
        </w:rPr>
      </w:pPr>
      <w:r>
        <w:rPr>
          <w:color w:val="222222"/>
          <w:shd w:val="clear" w:color="auto" w:fill="FFFFFF"/>
        </w:rPr>
        <w:t>Brandt, Jody Elizabeth. </w:t>
      </w:r>
      <w:r>
        <w:rPr>
          <w:i/>
          <w:iCs/>
          <w:color w:val="222222"/>
          <w:shd w:val="clear" w:color="auto" w:fill="FFFFFF"/>
        </w:rPr>
        <w:t>Why she left: The psychological, relational, and contextual variables that contribute to a woman's decision to leave an abusive relationship</w:t>
      </w:r>
      <w:r>
        <w:rPr>
          <w:color w:val="222222"/>
          <w:shd w:val="clear" w:color="auto" w:fill="FFFFFF"/>
        </w:rPr>
        <w:t>. City University of New York, 2005.</w:t>
      </w:r>
    </w:p>
    <w:p w14:paraId="7D5ADBA0" w14:textId="77777777" w:rsidR="00320DB5" w:rsidRDefault="00320DB5" w:rsidP="00320DB5">
      <w:pPr>
        <w:rPr>
          <w:color w:val="222222"/>
          <w:shd w:val="clear" w:color="auto" w:fill="FFFFFF"/>
        </w:rPr>
      </w:pPr>
    </w:p>
    <w:p w14:paraId="3F634700" w14:textId="77777777" w:rsidR="00320DB5" w:rsidRDefault="00320DB5" w:rsidP="00320DB5">
      <w:pPr>
        <w:rPr>
          <w:color w:val="222222"/>
          <w:shd w:val="clear" w:color="auto" w:fill="FFFFFF"/>
        </w:rPr>
      </w:pPr>
    </w:p>
    <w:p w14:paraId="39F9D387" w14:textId="77777777" w:rsidR="00320DB5" w:rsidRDefault="00320DB5" w:rsidP="00320DB5">
      <w:pPr>
        <w:rPr>
          <w:color w:val="222222"/>
          <w:shd w:val="clear" w:color="auto" w:fill="FFFFFF"/>
        </w:rPr>
      </w:pPr>
      <w:r>
        <w:rPr>
          <w:color w:val="222222"/>
          <w:shd w:val="clear" w:color="auto" w:fill="FFFFFF"/>
        </w:rPr>
        <w:t xml:space="preserve">Craig, </w:t>
      </w:r>
      <w:proofErr w:type="spellStart"/>
      <w:r>
        <w:rPr>
          <w:color w:val="222222"/>
          <w:shd w:val="clear" w:color="auto" w:fill="FFFFFF"/>
        </w:rPr>
        <w:t>Kellina</w:t>
      </w:r>
      <w:proofErr w:type="spellEnd"/>
      <w:r>
        <w:rPr>
          <w:color w:val="222222"/>
          <w:shd w:val="clear" w:color="auto" w:fill="FFFFFF"/>
        </w:rPr>
        <w:t xml:space="preserve"> M. "Examining hate-motivated aggression: A review of the social psychological literature on hate crimes as a distinct form of aggression." </w:t>
      </w:r>
      <w:r>
        <w:rPr>
          <w:i/>
          <w:iCs/>
          <w:color w:val="222222"/>
          <w:shd w:val="clear" w:color="auto" w:fill="FFFFFF"/>
        </w:rPr>
        <w:t xml:space="preserve">Aggression and Violent </w:t>
      </w:r>
      <w:proofErr w:type="spellStart"/>
      <w:r>
        <w:rPr>
          <w:i/>
          <w:iCs/>
          <w:color w:val="222222"/>
          <w:shd w:val="clear" w:color="auto" w:fill="FFFFFF"/>
        </w:rPr>
        <w:t>Behavior</w:t>
      </w:r>
      <w:proofErr w:type="spellEnd"/>
      <w:r>
        <w:rPr>
          <w:color w:val="222222"/>
          <w:shd w:val="clear" w:color="auto" w:fill="FFFFFF"/>
        </w:rPr>
        <w:t> 7.1 (2002): 85-101.</w:t>
      </w:r>
    </w:p>
    <w:p w14:paraId="5A8C431F" w14:textId="77777777" w:rsidR="00320DB5" w:rsidRDefault="00320DB5" w:rsidP="00320DB5">
      <w:pPr>
        <w:rPr>
          <w:color w:val="222222"/>
          <w:shd w:val="clear" w:color="auto" w:fill="FFFFFF"/>
        </w:rPr>
      </w:pPr>
    </w:p>
    <w:p w14:paraId="7F59C906" w14:textId="77777777" w:rsidR="00320DB5" w:rsidRDefault="00320DB5" w:rsidP="00320DB5">
      <w:pPr>
        <w:rPr>
          <w:color w:val="222222"/>
          <w:shd w:val="clear" w:color="auto" w:fill="FFFFFF"/>
        </w:rPr>
      </w:pPr>
    </w:p>
    <w:p w14:paraId="4034C6AC" w14:textId="77777777" w:rsidR="00320DB5" w:rsidRDefault="00320DB5" w:rsidP="00320DB5">
      <w:pPr>
        <w:rPr>
          <w:color w:val="222222"/>
          <w:shd w:val="clear" w:color="auto" w:fill="FFFFFF"/>
        </w:rPr>
      </w:pPr>
      <w:r>
        <w:rPr>
          <w:color w:val="222222"/>
          <w:shd w:val="clear" w:color="auto" w:fill="FFFFFF"/>
        </w:rPr>
        <w:t xml:space="preserve">Craig, </w:t>
      </w:r>
      <w:proofErr w:type="spellStart"/>
      <w:r>
        <w:rPr>
          <w:color w:val="222222"/>
          <w:shd w:val="clear" w:color="auto" w:fill="FFFFFF"/>
        </w:rPr>
        <w:t>Kellina</w:t>
      </w:r>
      <w:proofErr w:type="spellEnd"/>
      <w:r>
        <w:rPr>
          <w:color w:val="222222"/>
          <w:shd w:val="clear" w:color="auto" w:fill="FFFFFF"/>
        </w:rPr>
        <w:t xml:space="preserve"> M., and Craig R. Waldo. "„So, what's a hate crime anyway?” young adults' perceptions of hate crimes, victims, and perpetrators." </w:t>
      </w:r>
      <w:r>
        <w:rPr>
          <w:i/>
          <w:iCs/>
          <w:color w:val="222222"/>
          <w:shd w:val="clear" w:color="auto" w:fill="FFFFFF"/>
        </w:rPr>
        <w:t xml:space="preserve">Law and Human </w:t>
      </w:r>
      <w:proofErr w:type="spellStart"/>
      <w:r>
        <w:rPr>
          <w:i/>
          <w:iCs/>
          <w:color w:val="222222"/>
          <w:shd w:val="clear" w:color="auto" w:fill="FFFFFF"/>
        </w:rPr>
        <w:t>Behavior</w:t>
      </w:r>
      <w:proofErr w:type="spellEnd"/>
      <w:r>
        <w:rPr>
          <w:color w:val="222222"/>
          <w:shd w:val="clear" w:color="auto" w:fill="FFFFFF"/>
        </w:rPr>
        <w:t> 20.2 (1996): 113-129</w:t>
      </w:r>
    </w:p>
    <w:p w14:paraId="2B171E0B" w14:textId="77777777" w:rsidR="00320DB5" w:rsidRDefault="00320DB5" w:rsidP="00320DB5"/>
    <w:p w14:paraId="722AE837" w14:textId="77777777" w:rsidR="00320DB5" w:rsidRDefault="00320DB5" w:rsidP="00320DB5"/>
    <w:p w14:paraId="43B68C27" w14:textId="77777777" w:rsidR="00320DB5" w:rsidRDefault="00320DB5" w:rsidP="00320DB5">
      <w:pPr>
        <w:rPr>
          <w:color w:val="222222"/>
          <w:shd w:val="clear" w:color="auto" w:fill="FFFFFF"/>
        </w:rPr>
      </w:pPr>
      <w:r>
        <w:rPr>
          <w:color w:val="222222"/>
          <w:shd w:val="clear" w:color="auto" w:fill="FFFFFF"/>
        </w:rPr>
        <w:t xml:space="preserve">Craig-Henderson, </w:t>
      </w:r>
      <w:proofErr w:type="spellStart"/>
      <w:r>
        <w:rPr>
          <w:color w:val="222222"/>
          <w:shd w:val="clear" w:color="auto" w:fill="FFFFFF"/>
        </w:rPr>
        <w:t>Kellina</w:t>
      </w:r>
      <w:proofErr w:type="spellEnd"/>
      <w:r>
        <w:rPr>
          <w:color w:val="222222"/>
          <w:shd w:val="clear" w:color="auto" w:fill="FFFFFF"/>
        </w:rPr>
        <w:t>, and L. Ren Sloan. "After the hate: Helping psychologists help victims of racist hate crime." </w:t>
      </w:r>
      <w:r>
        <w:rPr>
          <w:i/>
          <w:iCs/>
          <w:color w:val="222222"/>
          <w:shd w:val="clear" w:color="auto" w:fill="FFFFFF"/>
        </w:rPr>
        <w:t>Clinical Psychology: Science and Practice</w:t>
      </w:r>
      <w:r>
        <w:rPr>
          <w:color w:val="222222"/>
          <w:shd w:val="clear" w:color="auto" w:fill="FFFFFF"/>
        </w:rPr>
        <w:t> 10.4 (2003): 481.</w:t>
      </w:r>
    </w:p>
    <w:p w14:paraId="5B251C1E" w14:textId="77777777" w:rsidR="00320DB5" w:rsidRDefault="00320DB5" w:rsidP="00320DB5"/>
    <w:p w14:paraId="41A13291" w14:textId="77777777" w:rsidR="00320DB5" w:rsidRDefault="00320DB5" w:rsidP="00320DB5"/>
    <w:p w14:paraId="4D2B7B93" w14:textId="77777777" w:rsidR="00320DB5" w:rsidRDefault="00320DB5" w:rsidP="00320DB5">
      <w:pPr>
        <w:rPr>
          <w:color w:val="222222"/>
          <w:shd w:val="clear" w:color="auto" w:fill="FFFFFF"/>
        </w:rPr>
      </w:pPr>
      <w:r>
        <w:rPr>
          <w:color w:val="222222"/>
          <w:shd w:val="clear" w:color="auto" w:fill="FFFFFF"/>
        </w:rPr>
        <w:t xml:space="preserve">Day, </w:t>
      </w:r>
      <w:proofErr w:type="spellStart"/>
      <w:r>
        <w:rPr>
          <w:color w:val="222222"/>
          <w:shd w:val="clear" w:color="auto" w:fill="FFFFFF"/>
        </w:rPr>
        <w:t>Aviah</w:t>
      </w:r>
      <w:proofErr w:type="spellEnd"/>
      <w:r>
        <w:rPr>
          <w:color w:val="222222"/>
          <w:shd w:val="clear" w:color="auto" w:fill="FFFFFF"/>
        </w:rPr>
        <w:t xml:space="preserve"> Sarah, Angela Jenner, and Ruth Weir. "Domestic abuse: predicting, assessing and responding to risk in the criminal justice system and beyond." </w:t>
      </w:r>
      <w:r>
        <w:rPr>
          <w:i/>
          <w:iCs/>
          <w:color w:val="222222"/>
          <w:shd w:val="clear" w:color="auto" w:fill="FFFFFF"/>
        </w:rPr>
        <w:t>Women and the Criminal Justice System: Failing Victims and Offenders?</w:t>
      </w:r>
      <w:r>
        <w:rPr>
          <w:color w:val="222222"/>
          <w:shd w:val="clear" w:color="auto" w:fill="FFFFFF"/>
        </w:rPr>
        <w:t> (2018): 67-94.</w:t>
      </w:r>
    </w:p>
    <w:p w14:paraId="5D243A87" w14:textId="77777777" w:rsidR="00320DB5" w:rsidRDefault="00320DB5" w:rsidP="00320DB5">
      <w:pPr>
        <w:rPr>
          <w:color w:val="222222"/>
          <w:shd w:val="clear" w:color="auto" w:fill="FFFFFF"/>
        </w:rPr>
      </w:pPr>
    </w:p>
    <w:p w14:paraId="0A1D27D9" w14:textId="77777777" w:rsidR="00320DB5" w:rsidRDefault="00320DB5" w:rsidP="00320DB5">
      <w:pPr>
        <w:rPr>
          <w:color w:val="222222"/>
          <w:shd w:val="clear" w:color="auto" w:fill="FFFFFF"/>
        </w:rPr>
      </w:pPr>
    </w:p>
    <w:p w14:paraId="18309437" w14:textId="77777777" w:rsidR="00320DB5" w:rsidRDefault="00320DB5" w:rsidP="00320DB5">
      <w:pPr>
        <w:rPr>
          <w:color w:val="222222"/>
          <w:shd w:val="clear" w:color="auto" w:fill="FFFFFF"/>
        </w:rPr>
      </w:pPr>
      <w:proofErr w:type="spellStart"/>
      <w:r>
        <w:rPr>
          <w:color w:val="222222"/>
          <w:shd w:val="clear" w:color="auto" w:fill="FFFFFF"/>
        </w:rPr>
        <w:t>Haeseler</w:t>
      </w:r>
      <w:proofErr w:type="spellEnd"/>
      <w:r>
        <w:rPr>
          <w:color w:val="222222"/>
          <w:shd w:val="clear" w:color="auto" w:fill="FFFFFF"/>
        </w:rPr>
        <w:t>, Lisa Ann. "Women's coping experiences in the spectrum of domestic violence abuse." </w:t>
      </w:r>
      <w:r>
        <w:rPr>
          <w:i/>
          <w:iCs/>
          <w:color w:val="222222"/>
          <w:shd w:val="clear" w:color="auto" w:fill="FFFFFF"/>
        </w:rPr>
        <w:t>Journal of Evidence-Based Social Work</w:t>
      </w:r>
      <w:r>
        <w:rPr>
          <w:color w:val="222222"/>
          <w:shd w:val="clear" w:color="auto" w:fill="FFFFFF"/>
        </w:rPr>
        <w:t> 10.1 (2013): 33-43.</w:t>
      </w:r>
    </w:p>
    <w:p w14:paraId="6C50DF86" w14:textId="77777777" w:rsidR="00320DB5" w:rsidRDefault="00320DB5" w:rsidP="00320DB5">
      <w:pPr>
        <w:rPr>
          <w:color w:val="222222"/>
          <w:shd w:val="clear" w:color="auto" w:fill="FFFFFF"/>
        </w:rPr>
      </w:pPr>
    </w:p>
    <w:p w14:paraId="00ABE683" w14:textId="77777777" w:rsidR="00320DB5" w:rsidRDefault="00320DB5" w:rsidP="00320DB5">
      <w:pPr>
        <w:rPr>
          <w:color w:val="222222"/>
          <w:shd w:val="clear" w:color="auto" w:fill="FFFFFF"/>
        </w:rPr>
      </w:pPr>
    </w:p>
    <w:p w14:paraId="1AB2C558" w14:textId="77777777" w:rsidR="00320DB5" w:rsidRDefault="00320DB5" w:rsidP="00320DB5">
      <w:pPr>
        <w:rPr>
          <w:color w:val="222222"/>
          <w:shd w:val="clear" w:color="auto" w:fill="FFFFFF"/>
        </w:rPr>
      </w:pPr>
      <w:proofErr w:type="spellStart"/>
      <w:r>
        <w:rPr>
          <w:color w:val="222222"/>
          <w:shd w:val="clear" w:color="auto" w:fill="FFFFFF"/>
        </w:rPr>
        <w:t>Hagion-Rzepka</w:t>
      </w:r>
      <w:proofErr w:type="spellEnd"/>
      <w:r>
        <w:rPr>
          <w:color w:val="222222"/>
          <w:shd w:val="clear" w:color="auto" w:fill="FFFFFF"/>
        </w:rPr>
        <w:t>, Christine. </w:t>
      </w:r>
      <w:r>
        <w:rPr>
          <w:i/>
          <w:iCs/>
          <w:color w:val="222222"/>
          <w:shd w:val="clear" w:color="auto" w:fill="FFFFFF"/>
        </w:rPr>
        <w:t>Beyond battering: the long-term effects of domestic violence</w:t>
      </w:r>
      <w:r>
        <w:rPr>
          <w:color w:val="222222"/>
          <w:shd w:val="clear" w:color="auto" w:fill="FFFFFF"/>
        </w:rPr>
        <w:t>. San Jose State University, 2005.</w:t>
      </w:r>
    </w:p>
    <w:p w14:paraId="49017994" w14:textId="77777777" w:rsidR="00320DB5" w:rsidRDefault="00320DB5" w:rsidP="00320DB5">
      <w:pPr>
        <w:rPr>
          <w:color w:val="222222"/>
          <w:shd w:val="clear" w:color="auto" w:fill="FFFFFF"/>
        </w:rPr>
      </w:pPr>
    </w:p>
    <w:p w14:paraId="5836C58F" w14:textId="77777777" w:rsidR="00320DB5" w:rsidRDefault="00320DB5" w:rsidP="00320DB5"/>
    <w:p w14:paraId="57497FC2" w14:textId="77777777" w:rsidR="00320DB5" w:rsidRDefault="00320DB5" w:rsidP="00320DB5">
      <w:pPr>
        <w:rPr>
          <w:color w:val="222222"/>
          <w:shd w:val="clear" w:color="auto" w:fill="FFFFFF"/>
        </w:rPr>
      </w:pPr>
      <w:r>
        <w:rPr>
          <w:color w:val="222222"/>
          <w:shd w:val="clear" w:color="auto" w:fill="FFFFFF"/>
        </w:rPr>
        <w:t xml:space="preserve">Henning, Kris R., and </w:t>
      </w:r>
      <w:proofErr w:type="spellStart"/>
      <w:r>
        <w:rPr>
          <w:color w:val="222222"/>
          <w:shd w:val="clear" w:color="auto" w:fill="FFFFFF"/>
        </w:rPr>
        <w:t>Klesges</w:t>
      </w:r>
      <w:proofErr w:type="spellEnd"/>
      <w:r>
        <w:rPr>
          <w:color w:val="222222"/>
          <w:shd w:val="clear" w:color="auto" w:fill="FFFFFF"/>
        </w:rPr>
        <w:t xml:space="preserve">, Lisa M., "Utilization of </w:t>
      </w:r>
      <w:proofErr w:type="spellStart"/>
      <w:r>
        <w:rPr>
          <w:color w:val="222222"/>
          <w:shd w:val="clear" w:color="auto" w:fill="FFFFFF"/>
        </w:rPr>
        <w:t>counseling</w:t>
      </w:r>
      <w:proofErr w:type="spellEnd"/>
      <w:r>
        <w:rPr>
          <w:color w:val="222222"/>
          <w:shd w:val="clear" w:color="auto" w:fill="FFFFFF"/>
        </w:rPr>
        <w:t xml:space="preserve"> and supportive services by female victims of domestic abuse." </w:t>
      </w:r>
      <w:r>
        <w:rPr>
          <w:i/>
          <w:iCs/>
          <w:color w:val="222222"/>
          <w:shd w:val="clear" w:color="auto" w:fill="FFFFFF"/>
        </w:rPr>
        <w:t>Violence and victims</w:t>
      </w:r>
      <w:r>
        <w:rPr>
          <w:color w:val="222222"/>
          <w:shd w:val="clear" w:color="auto" w:fill="FFFFFF"/>
        </w:rPr>
        <w:t> 17.5 (2002): 623-636.</w:t>
      </w:r>
    </w:p>
    <w:p w14:paraId="3C245D56" w14:textId="77777777" w:rsidR="00320DB5" w:rsidRDefault="00320DB5" w:rsidP="00320DB5">
      <w:pPr>
        <w:rPr>
          <w:color w:val="222222"/>
          <w:shd w:val="clear" w:color="auto" w:fill="FFFFFF"/>
        </w:rPr>
      </w:pPr>
    </w:p>
    <w:p w14:paraId="3B3D3353" w14:textId="77777777" w:rsidR="00320DB5" w:rsidRDefault="00320DB5" w:rsidP="00320DB5">
      <w:pPr>
        <w:rPr>
          <w:color w:val="222222"/>
          <w:shd w:val="clear" w:color="auto" w:fill="FFFFFF"/>
        </w:rPr>
      </w:pPr>
    </w:p>
    <w:p w14:paraId="39B7178F" w14:textId="77777777" w:rsidR="00320DB5" w:rsidRDefault="00320DB5" w:rsidP="00320DB5">
      <w:pPr>
        <w:rPr>
          <w:color w:val="222222"/>
          <w:shd w:val="clear" w:color="auto" w:fill="FFFFFF"/>
        </w:rPr>
      </w:pPr>
      <w:proofErr w:type="spellStart"/>
      <w:r>
        <w:rPr>
          <w:color w:val="222222"/>
          <w:shd w:val="clear" w:color="auto" w:fill="FFFFFF"/>
        </w:rPr>
        <w:t>Herek</w:t>
      </w:r>
      <w:proofErr w:type="spellEnd"/>
      <w:r>
        <w:rPr>
          <w:color w:val="222222"/>
          <w:shd w:val="clear" w:color="auto" w:fill="FFFFFF"/>
        </w:rPr>
        <w:t>, Gregory M., Jeanine C. Cogan, and J. Roy Gillis. "Victim experiences in hate crimes based on sexual orientation." </w:t>
      </w:r>
      <w:r>
        <w:rPr>
          <w:i/>
          <w:iCs/>
          <w:color w:val="222222"/>
          <w:shd w:val="clear" w:color="auto" w:fill="FFFFFF"/>
        </w:rPr>
        <w:t>Journal of social issues</w:t>
      </w:r>
      <w:r>
        <w:rPr>
          <w:color w:val="222222"/>
          <w:shd w:val="clear" w:color="auto" w:fill="FFFFFF"/>
        </w:rPr>
        <w:t> 58.2 (2002): 319-339.</w:t>
      </w:r>
    </w:p>
    <w:p w14:paraId="733FCE31" w14:textId="77777777" w:rsidR="00320DB5" w:rsidRDefault="00320DB5" w:rsidP="00320DB5">
      <w:pPr>
        <w:rPr>
          <w:color w:val="222222"/>
          <w:shd w:val="clear" w:color="auto" w:fill="FFFFFF"/>
        </w:rPr>
      </w:pPr>
    </w:p>
    <w:p w14:paraId="3FF4D697" w14:textId="77777777" w:rsidR="00320DB5" w:rsidRDefault="00320DB5" w:rsidP="00320DB5">
      <w:pPr>
        <w:rPr>
          <w:color w:val="222222"/>
          <w:shd w:val="clear" w:color="auto" w:fill="FFFFFF"/>
        </w:rPr>
      </w:pPr>
    </w:p>
    <w:p w14:paraId="400F99DF" w14:textId="77777777" w:rsidR="00320DB5" w:rsidRDefault="00320DB5" w:rsidP="00320DB5">
      <w:pPr>
        <w:rPr>
          <w:color w:val="222222"/>
          <w:shd w:val="clear" w:color="auto" w:fill="FFFFFF"/>
        </w:rPr>
      </w:pPr>
      <w:r>
        <w:rPr>
          <w:color w:val="222222"/>
          <w:shd w:val="clear" w:color="auto" w:fill="FFFFFF"/>
        </w:rPr>
        <w:lastRenderedPageBreak/>
        <w:t xml:space="preserve">Heron, Rebecca L., Maarten </w:t>
      </w:r>
      <w:proofErr w:type="spellStart"/>
      <w:r>
        <w:rPr>
          <w:color w:val="222222"/>
          <w:shd w:val="clear" w:color="auto" w:fill="FFFFFF"/>
        </w:rPr>
        <w:t>Eisma</w:t>
      </w:r>
      <w:proofErr w:type="spellEnd"/>
      <w:r>
        <w:rPr>
          <w:color w:val="222222"/>
          <w:shd w:val="clear" w:color="auto" w:fill="FFFFFF"/>
        </w:rPr>
        <w:t>, and Kevin Browne. "Why do female domestic violence victims remain in or leave abusive relationships? A qualitative study." </w:t>
      </w:r>
      <w:r>
        <w:rPr>
          <w:i/>
          <w:iCs/>
          <w:color w:val="222222"/>
          <w:shd w:val="clear" w:color="auto" w:fill="FFFFFF"/>
        </w:rPr>
        <w:t>Journal of Aggression, Maltreatment &amp; Trauma</w:t>
      </w:r>
      <w:r>
        <w:rPr>
          <w:color w:val="222222"/>
          <w:shd w:val="clear" w:color="auto" w:fill="FFFFFF"/>
        </w:rPr>
        <w:t> 31.5 (2022): 677-694.</w:t>
      </w:r>
    </w:p>
    <w:p w14:paraId="604F4017" w14:textId="77777777" w:rsidR="00320DB5" w:rsidRDefault="00320DB5" w:rsidP="00320DB5">
      <w:pPr>
        <w:rPr>
          <w:color w:val="222222"/>
          <w:shd w:val="clear" w:color="auto" w:fill="FFFFFF"/>
        </w:rPr>
      </w:pPr>
    </w:p>
    <w:p w14:paraId="3EB249F4" w14:textId="77777777" w:rsidR="00320DB5" w:rsidRDefault="00320DB5" w:rsidP="00320DB5"/>
    <w:p w14:paraId="318EE072" w14:textId="77777777" w:rsidR="00320DB5" w:rsidRDefault="00320DB5" w:rsidP="00320DB5">
      <w:pPr>
        <w:rPr>
          <w:color w:val="222222"/>
          <w:shd w:val="clear" w:color="auto" w:fill="FFFFFF"/>
        </w:rPr>
      </w:pPr>
      <w:r>
        <w:rPr>
          <w:color w:val="222222"/>
          <w:shd w:val="clear" w:color="auto" w:fill="FFFFFF"/>
        </w:rPr>
        <w:t>Johnson, Ida M. "Victims' perceptions of police response to domestic violence incidents." </w:t>
      </w:r>
      <w:r>
        <w:rPr>
          <w:i/>
          <w:iCs/>
          <w:color w:val="222222"/>
          <w:shd w:val="clear" w:color="auto" w:fill="FFFFFF"/>
        </w:rPr>
        <w:t>Journal of criminal justice</w:t>
      </w:r>
      <w:r>
        <w:rPr>
          <w:color w:val="222222"/>
          <w:shd w:val="clear" w:color="auto" w:fill="FFFFFF"/>
        </w:rPr>
        <w:t> 35.5 (2007): 498-510.</w:t>
      </w:r>
    </w:p>
    <w:p w14:paraId="21C91DB4" w14:textId="77777777" w:rsidR="00320DB5" w:rsidRDefault="00320DB5" w:rsidP="00320DB5">
      <w:pPr>
        <w:rPr>
          <w:color w:val="222222"/>
          <w:shd w:val="clear" w:color="auto" w:fill="FFFFFF"/>
        </w:rPr>
      </w:pPr>
    </w:p>
    <w:p w14:paraId="03C8F0C9" w14:textId="77777777" w:rsidR="00320DB5" w:rsidRDefault="00320DB5" w:rsidP="00320DB5">
      <w:pPr>
        <w:rPr>
          <w:color w:val="222222"/>
          <w:shd w:val="clear" w:color="auto" w:fill="FFFFFF"/>
        </w:rPr>
      </w:pPr>
    </w:p>
    <w:p w14:paraId="5145467C" w14:textId="77777777" w:rsidR="00320DB5" w:rsidRDefault="00320DB5" w:rsidP="00320DB5">
      <w:pPr>
        <w:rPr>
          <w:color w:val="222222"/>
          <w:shd w:val="clear" w:color="auto" w:fill="FFFFFF"/>
        </w:rPr>
      </w:pPr>
      <w:r>
        <w:rPr>
          <w:color w:val="222222"/>
          <w:shd w:val="clear" w:color="auto" w:fill="FFFFFF"/>
        </w:rPr>
        <w:t>Meyer, Doug. "Evaluating the severity of hate-motivated violence: Intersectional differences among LGBT hate crime victims." </w:t>
      </w:r>
      <w:r>
        <w:rPr>
          <w:i/>
          <w:iCs/>
          <w:color w:val="222222"/>
          <w:shd w:val="clear" w:color="auto" w:fill="FFFFFF"/>
        </w:rPr>
        <w:t>Sociology</w:t>
      </w:r>
      <w:r>
        <w:rPr>
          <w:color w:val="222222"/>
          <w:shd w:val="clear" w:color="auto" w:fill="FFFFFF"/>
        </w:rPr>
        <w:t> 44.5 (2010): 980-995.</w:t>
      </w:r>
    </w:p>
    <w:p w14:paraId="36AC155D" w14:textId="77777777" w:rsidR="00320DB5" w:rsidRDefault="00320DB5" w:rsidP="00320DB5">
      <w:pPr>
        <w:rPr>
          <w:color w:val="222222"/>
          <w:shd w:val="clear" w:color="auto" w:fill="FFFFFF"/>
        </w:rPr>
      </w:pPr>
    </w:p>
    <w:p w14:paraId="0D2BBDA7" w14:textId="77777777" w:rsidR="00320DB5" w:rsidRDefault="00320DB5" w:rsidP="00320DB5">
      <w:pPr>
        <w:rPr>
          <w:color w:val="222222"/>
          <w:shd w:val="clear" w:color="auto" w:fill="FFFFFF"/>
        </w:rPr>
      </w:pPr>
    </w:p>
    <w:p w14:paraId="69ADF16A" w14:textId="77777777" w:rsidR="00320DB5" w:rsidRDefault="00320DB5" w:rsidP="00320DB5">
      <w:pPr>
        <w:rPr>
          <w:color w:val="222222"/>
          <w:shd w:val="clear" w:color="auto" w:fill="FFFFFF"/>
        </w:rPr>
      </w:pPr>
      <w:r>
        <w:rPr>
          <w:color w:val="222222"/>
          <w:shd w:val="clear" w:color="auto" w:fill="FFFFFF"/>
        </w:rPr>
        <w:t>Munro, Vanessa E., and Ruth Aitken. "From hoping to help: Identifying and responding to suicidality amongst victims of domestic abuse." </w:t>
      </w:r>
      <w:r>
        <w:rPr>
          <w:i/>
          <w:iCs/>
          <w:color w:val="222222"/>
          <w:shd w:val="clear" w:color="auto" w:fill="FFFFFF"/>
        </w:rPr>
        <w:t>International review of victimology</w:t>
      </w:r>
      <w:r>
        <w:rPr>
          <w:color w:val="222222"/>
          <w:shd w:val="clear" w:color="auto" w:fill="FFFFFF"/>
        </w:rPr>
        <w:t> 26.1 (2020): 29-49.</w:t>
      </w:r>
    </w:p>
    <w:p w14:paraId="34BC7CB2" w14:textId="77777777" w:rsidR="00320DB5" w:rsidRDefault="00320DB5" w:rsidP="00320DB5">
      <w:pPr>
        <w:rPr>
          <w:color w:val="222222"/>
          <w:shd w:val="clear" w:color="auto" w:fill="FFFFFF"/>
        </w:rPr>
      </w:pPr>
    </w:p>
    <w:p w14:paraId="69B292FD" w14:textId="77777777" w:rsidR="00320DB5" w:rsidRDefault="00320DB5" w:rsidP="00320DB5">
      <w:pPr>
        <w:rPr>
          <w:color w:val="222222"/>
          <w:shd w:val="clear" w:color="auto" w:fill="FFFFFF"/>
        </w:rPr>
      </w:pPr>
    </w:p>
    <w:p w14:paraId="51135EB3" w14:textId="77777777" w:rsidR="00320DB5" w:rsidRDefault="00320DB5" w:rsidP="00320DB5">
      <w:pPr>
        <w:rPr>
          <w:color w:val="222222"/>
          <w:shd w:val="clear" w:color="auto" w:fill="FFFFFF"/>
        </w:rPr>
      </w:pPr>
      <w:r>
        <w:rPr>
          <w:color w:val="222222"/>
          <w:shd w:val="clear" w:color="auto" w:fill="FFFFFF"/>
        </w:rPr>
        <w:t xml:space="preserve">Perry, Barbara, and Shahid </w:t>
      </w:r>
      <w:proofErr w:type="spellStart"/>
      <w:r>
        <w:rPr>
          <w:color w:val="222222"/>
          <w:shd w:val="clear" w:color="auto" w:fill="FFFFFF"/>
        </w:rPr>
        <w:t>Alvi</w:t>
      </w:r>
      <w:proofErr w:type="spellEnd"/>
      <w:r>
        <w:rPr>
          <w:color w:val="222222"/>
          <w:shd w:val="clear" w:color="auto" w:fill="FFFFFF"/>
        </w:rPr>
        <w:t>. "‘We are all vulnerable’ The in terrorem effects of hate crimes." </w:t>
      </w:r>
      <w:r>
        <w:rPr>
          <w:i/>
          <w:iCs/>
          <w:color w:val="222222"/>
          <w:shd w:val="clear" w:color="auto" w:fill="FFFFFF"/>
        </w:rPr>
        <w:t>International Review of Victimology</w:t>
      </w:r>
      <w:r>
        <w:rPr>
          <w:color w:val="222222"/>
          <w:shd w:val="clear" w:color="auto" w:fill="FFFFFF"/>
        </w:rPr>
        <w:t> 18.1 (2012): 57-71.</w:t>
      </w:r>
    </w:p>
    <w:p w14:paraId="4C75EC44" w14:textId="77777777" w:rsidR="00320DB5" w:rsidRDefault="00320DB5" w:rsidP="00320DB5">
      <w:pPr>
        <w:rPr>
          <w:color w:val="222222"/>
          <w:shd w:val="clear" w:color="auto" w:fill="FFFFFF"/>
        </w:rPr>
      </w:pPr>
    </w:p>
    <w:p w14:paraId="0BF97237" w14:textId="77777777" w:rsidR="00320DB5" w:rsidRDefault="00320DB5" w:rsidP="00320DB5">
      <w:pPr>
        <w:rPr>
          <w:color w:val="222222"/>
          <w:shd w:val="clear" w:color="auto" w:fill="FFFFFF"/>
        </w:rPr>
      </w:pPr>
    </w:p>
    <w:p w14:paraId="6F24E825" w14:textId="77777777" w:rsidR="00320DB5" w:rsidRDefault="00320DB5" w:rsidP="00320DB5">
      <w:pPr>
        <w:rPr>
          <w:color w:val="222222"/>
          <w:shd w:val="clear" w:color="auto" w:fill="FFFFFF"/>
        </w:rPr>
      </w:pPr>
      <w:r>
        <w:rPr>
          <w:color w:val="222222"/>
          <w:shd w:val="clear" w:color="auto" w:fill="FFFFFF"/>
        </w:rPr>
        <w:t>Rayburn, Nadine Recker, Margaret Mendoza, and Gerald C. Davidson. "Bystanders' perceptions of perpetrators and victims of hate crime: An investigation using the person perception paradigm." </w:t>
      </w:r>
      <w:r>
        <w:rPr>
          <w:i/>
          <w:iCs/>
          <w:color w:val="222222"/>
          <w:shd w:val="clear" w:color="auto" w:fill="FFFFFF"/>
        </w:rPr>
        <w:t>Journal of Interpersonal Violence</w:t>
      </w:r>
      <w:r>
        <w:rPr>
          <w:color w:val="222222"/>
          <w:shd w:val="clear" w:color="auto" w:fill="FFFFFF"/>
        </w:rPr>
        <w:t> 18.9 (2003): 1055-1074.</w:t>
      </w:r>
    </w:p>
    <w:p w14:paraId="2BA127E2" w14:textId="77777777" w:rsidR="00320DB5" w:rsidRDefault="00320DB5" w:rsidP="00320DB5">
      <w:pPr>
        <w:rPr>
          <w:color w:val="222222"/>
          <w:shd w:val="clear" w:color="auto" w:fill="FFFFFF"/>
        </w:rPr>
      </w:pPr>
    </w:p>
    <w:p w14:paraId="3E278EEA" w14:textId="77777777" w:rsidR="00320DB5" w:rsidRDefault="00320DB5" w:rsidP="00320DB5">
      <w:pPr>
        <w:rPr>
          <w:color w:val="222222"/>
          <w:shd w:val="clear" w:color="auto" w:fill="FFFFFF"/>
        </w:rPr>
      </w:pPr>
    </w:p>
    <w:p w14:paraId="75EABB97" w14:textId="77777777" w:rsidR="00320DB5" w:rsidRDefault="00320DB5" w:rsidP="00320DB5">
      <w:pPr>
        <w:rPr>
          <w:color w:val="222222"/>
          <w:shd w:val="clear" w:color="auto" w:fill="FFFFFF"/>
        </w:rPr>
      </w:pPr>
      <w:proofErr w:type="spellStart"/>
      <w:r>
        <w:rPr>
          <w:color w:val="222222"/>
          <w:shd w:val="clear" w:color="auto" w:fill="FFFFFF"/>
        </w:rPr>
        <w:t>Spruin</w:t>
      </w:r>
      <w:proofErr w:type="spellEnd"/>
      <w:r>
        <w:rPr>
          <w:color w:val="222222"/>
          <w:shd w:val="clear" w:color="auto" w:fill="FFFFFF"/>
        </w:rPr>
        <w:t xml:space="preserve">, Elizabeth, Emma Alleyne, and </w:t>
      </w:r>
      <w:proofErr w:type="spellStart"/>
      <w:r>
        <w:rPr>
          <w:color w:val="222222"/>
          <w:shd w:val="clear" w:color="auto" w:fill="FFFFFF"/>
        </w:rPr>
        <w:t>Ioanna</w:t>
      </w:r>
      <w:proofErr w:type="spellEnd"/>
      <w:r>
        <w:rPr>
          <w:color w:val="222222"/>
          <w:shd w:val="clear" w:color="auto" w:fill="FFFFFF"/>
        </w:rPr>
        <w:t xml:space="preserve"> </w:t>
      </w:r>
      <w:proofErr w:type="spellStart"/>
      <w:r>
        <w:rPr>
          <w:color w:val="222222"/>
          <w:shd w:val="clear" w:color="auto" w:fill="FFFFFF"/>
        </w:rPr>
        <w:t>Papadaki</w:t>
      </w:r>
      <w:proofErr w:type="spellEnd"/>
      <w:r>
        <w:rPr>
          <w:color w:val="222222"/>
          <w:shd w:val="clear" w:color="auto" w:fill="FFFFFF"/>
        </w:rPr>
        <w:t>. "Domestic abuse victims’ perceptions of abuse and support: a narrative study." </w:t>
      </w:r>
      <w:r>
        <w:rPr>
          <w:i/>
          <w:iCs/>
          <w:color w:val="222222"/>
          <w:shd w:val="clear" w:color="auto" w:fill="FFFFFF"/>
        </w:rPr>
        <w:t xml:space="preserve">Journal of Criminological Research, </w:t>
      </w:r>
      <w:proofErr w:type="gramStart"/>
      <w:r>
        <w:rPr>
          <w:i/>
          <w:iCs/>
          <w:color w:val="222222"/>
          <w:shd w:val="clear" w:color="auto" w:fill="FFFFFF"/>
        </w:rPr>
        <w:t>Policy</w:t>
      </w:r>
      <w:proofErr w:type="gramEnd"/>
      <w:r>
        <w:rPr>
          <w:i/>
          <w:iCs/>
          <w:color w:val="222222"/>
          <w:shd w:val="clear" w:color="auto" w:fill="FFFFFF"/>
        </w:rPr>
        <w:t xml:space="preserve"> and Practice</w:t>
      </w:r>
      <w:r>
        <w:rPr>
          <w:color w:val="222222"/>
          <w:shd w:val="clear" w:color="auto" w:fill="FFFFFF"/>
        </w:rPr>
        <w:t> 1.1 (2015): 19-28.</w:t>
      </w:r>
    </w:p>
    <w:p w14:paraId="09922964" w14:textId="77777777" w:rsidR="00320DB5" w:rsidRDefault="00320DB5" w:rsidP="00320DB5">
      <w:pPr>
        <w:rPr>
          <w:color w:val="222222"/>
          <w:shd w:val="clear" w:color="auto" w:fill="FFFFFF"/>
        </w:rPr>
      </w:pPr>
    </w:p>
    <w:p w14:paraId="11588A3D" w14:textId="77777777" w:rsidR="00320DB5" w:rsidRDefault="00320DB5" w:rsidP="00320DB5">
      <w:pPr>
        <w:rPr>
          <w:color w:val="222222"/>
          <w:shd w:val="clear" w:color="auto" w:fill="FFFFFF"/>
        </w:rPr>
      </w:pPr>
    </w:p>
    <w:p w14:paraId="492B7C47" w14:textId="77777777" w:rsidR="00320DB5" w:rsidRDefault="00320DB5" w:rsidP="00320DB5">
      <w:pPr>
        <w:rPr>
          <w:color w:val="222222"/>
          <w:shd w:val="clear" w:color="auto" w:fill="FFFFFF"/>
        </w:rPr>
      </w:pPr>
      <w:proofErr w:type="spellStart"/>
      <w:r>
        <w:rPr>
          <w:color w:val="222222"/>
          <w:shd w:val="clear" w:color="auto" w:fill="FFFFFF"/>
        </w:rPr>
        <w:t>Spruin</w:t>
      </w:r>
      <w:proofErr w:type="spellEnd"/>
      <w:r>
        <w:rPr>
          <w:color w:val="222222"/>
          <w:shd w:val="clear" w:color="auto" w:fill="FFFFFF"/>
        </w:rPr>
        <w:t>, Elizabeth, et al. "Exploring the belief systems of domestic abuse victims: an exploratory study." </w:t>
      </w:r>
      <w:r>
        <w:rPr>
          <w:i/>
          <w:iCs/>
          <w:color w:val="222222"/>
          <w:shd w:val="clear" w:color="auto" w:fill="FFFFFF"/>
        </w:rPr>
        <w:t xml:space="preserve">Journal of Criminological Research, </w:t>
      </w:r>
      <w:proofErr w:type="gramStart"/>
      <w:r>
        <w:rPr>
          <w:i/>
          <w:iCs/>
          <w:color w:val="222222"/>
          <w:shd w:val="clear" w:color="auto" w:fill="FFFFFF"/>
        </w:rPr>
        <w:t>Policy</w:t>
      </w:r>
      <w:proofErr w:type="gramEnd"/>
      <w:r>
        <w:rPr>
          <w:i/>
          <w:iCs/>
          <w:color w:val="222222"/>
          <w:shd w:val="clear" w:color="auto" w:fill="FFFFFF"/>
        </w:rPr>
        <w:t xml:space="preserve"> and Practice</w:t>
      </w:r>
      <w:r>
        <w:rPr>
          <w:color w:val="222222"/>
          <w:shd w:val="clear" w:color="auto" w:fill="FFFFFF"/>
        </w:rPr>
        <w:t> 3.1 (2017): 17-26.</w:t>
      </w:r>
    </w:p>
    <w:p w14:paraId="22987190" w14:textId="77777777" w:rsidR="00320DB5" w:rsidRDefault="00320DB5" w:rsidP="00320DB5">
      <w:pPr>
        <w:rPr>
          <w:color w:val="222222"/>
          <w:shd w:val="clear" w:color="auto" w:fill="FFFFFF"/>
        </w:rPr>
      </w:pPr>
    </w:p>
    <w:p w14:paraId="11971770" w14:textId="77777777" w:rsidR="00320DB5" w:rsidRDefault="00320DB5" w:rsidP="00320DB5">
      <w:pPr>
        <w:rPr>
          <w:color w:val="222222"/>
          <w:shd w:val="clear" w:color="auto" w:fill="FFFFFF"/>
        </w:rPr>
      </w:pPr>
    </w:p>
    <w:p w14:paraId="244B8357" w14:textId="77777777" w:rsidR="00320DB5" w:rsidRDefault="00320DB5" w:rsidP="00320DB5">
      <w:pPr>
        <w:rPr>
          <w:color w:val="222222"/>
          <w:shd w:val="clear" w:color="auto" w:fill="FFFFFF"/>
        </w:rPr>
      </w:pPr>
      <w:r>
        <w:rPr>
          <w:color w:val="222222"/>
          <w:shd w:val="clear" w:color="auto" w:fill="FFFFFF"/>
        </w:rPr>
        <w:t>Sun, Key. "The legal definition of hate crime and the hate offender's distorted cognitions." </w:t>
      </w:r>
      <w:r>
        <w:rPr>
          <w:i/>
          <w:iCs/>
          <w:color w:val="222222"/>
          <w:shd w:val="clear" w:color="auto" w:fill="FFFFFF"/>
        </w:rPr>
        <w:t>Issues in mental health nursing</w:t>
      </w:r>
      <w:r>
        <w:rPr>
          <w:color w:val="222222"/>
          <w:shd w:val="clear" w:color="auto" w:fill="FFFFFF"/>
        </w:rPr>
        <w:t> 27.6 (2006): 597-604.</w:t>
      </w:r>
    </w:p>
    <w:p w14:paraId="1B80B6E3" w14:textId="77777777" w:rsidR="00320DB5" w:rsidRDefault="00320DB5" w:rsidP="00320DB5">
      <w:pPr>
        <w:rPr>
          <w:color w:val="222222"/>
          <w:shd w:val="clear" w:color="auto" w:fill="FFFFFF"/>
        </w:rPr>
      </w:pPr>
    </w:p>
    <w:p w14:paraId="4CA05B32" w14:textId="77777777" w:rsidR="00320DB5" w:rsidRDefault="00320DB5" w:rsidP="00EA28F1">
      <w:pPr>
        <w:keepNext/>
        <w:spacing w:before="240" w:after="60"/>
        <w:ind w:right="237"/>
        <w:jc w:val="both"/>
      </w:pPr>
    </w:p>
    <w:sectPr w:rsidR="00320DB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1F8F" w14:textId="77777777" w:rsidR="00DF1AFF" w:rsidRDefault="00DF1A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7D69A" w14:textId="77777777" w:rsidR="00DF1AFF" w:rsidRDefault="00DF1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3E346" w14:textId="77777777" w:rsidR="00DF1AFF" w:rsidRDefault="00DF1A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DA6A" w14:textId="77777777" w:rsidR="00DF1AFF" w:rsidRDefault="00DF1A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9A8E7" w14:textId="77777777" w:rsidR="00DF1AFF" w:rsidRDefault="00DF1AF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D96473F0"/>
    <w:lvl w:ilvl="0" w:tplc="26666146">
      <w:start w:val="1"/>
      <w:numFmt w:val="decimal"/>
      <w:lvlText w:val="%1."/>
      <w:lvlJc w:val="left"/>
      <w:pPr>
        <w:ind w:left="720" w:hanging="360"/>
      </w:pPr>
    </w:lvl>
    <w:lvl w:ilvl="1" w:tplc="20943B08">
      <w:start w:val="1"/>
      <w:numFmt w:val="lowerLetter"/>
      <w:lvlText w:val="%2."/>
      <w:lvlJc w:val="left"/>
      <w:pPr>
        <w:ind w:left="1440" w:hanging="360"/>
      </w:pPr>
    </w:lvl>
    <w:lvl w:ilvl="2" w:tplc="EB3CF6CE">
      <w:start w:val="1"/>
      <w:numFmt w:val="lowerRoman"/>
      <w:lvlText w:val="%3."/>
      <w:lvlJc w:val="right"/>
      <w:pPr>
        <w:ind w:left="2160" w:hanging="180"/>
      </w:pPr>
    </w:lvl>
    <w:lvl w:ilvl="3" w:tplc="CE4AA1F8">
      <w:start w:val="1"/>
      <w:numFmt w:val="decimal"/>
      <w:lvlText w:val="%4."/>
      <w:lvlJc w:val="left"/>
      <w:pPr>
        <w:ind w:left="2880" w:hanging="360"/>
      </w:pPr>
    </w:lvl>
    <w:lvl w:ilvl="4" w:tplc="12629CD8">
      <w:start w:val="1"/>
      <w:numFmt w:val="lowerLetter"/>
      <w:lvlText w:val="%5."/>
      <w:lvlJc w:val="left"/>
      <w:pPr>
        <w:ind w:left="3600" w:hanging="360"/>
      </w:pPr>
    </w:lvl>
    <w:lvl w:ilvl="5" w:tplc="9880EFBE">
      <w:start w:val="1"/>
      <w:numFmt w:val="lowerRoman"/>
      <w:lvlText w:val="%6."/>
      <w:lvlJc w:val="right"/>
      <w:pPr>
        <w:ind w:left="4320" w:hanging="180"/>
      </w:pPr>
    </w:lvl>
    <w:lvl w:ilvl="6" w:tplc="F8465E46">
      <w:start w:val="1"/>
      <w:numFmt w:val="decimal"/>
      <w:lvlText w:val="%7."/>
      <w:lvlJc w:val="left"/>
      <w:pPr>
        <w:ind w:left="5040" w:hanging="360"/>
      </w:pPr>
    </w:lvl>
    <w:lvl w:ilvl="7" w:tplc="1004C73E">
      <w:start w:val="1"/>
      <w:numFmt w:val="lowerLetter"/>
      <w:lvlText w:val="%8."/>
      <w:lvlJc w:val="left"/>
      <w:pPr>
        <w:ind w:left="5760" w:hanging="360"/>
      </w:pPr>
    </w:lvl>
    <w:lvl w:ilvl="8" w:tplc="48925B9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C465286"/>
    <w:lvl w:ilvl="0" w:tplc="6A82745C">
      <w:start w:val="1"/>
      <w:numFmt w:val="decimal"/>
      <w:lvlText w:val="%1."/>
      <w:lvlJc w:val="left"/>
      <w:pPr>
        <w:ind w:left="720" w:hanging="360"/>
      </w:pPr>
    </w:lvl>
    <w:lvl w:ilvl="1" w:tplc="578E7924">
      <w:start w:val="1"/>
      <w:numFmt w:val="decimal"/>
      <w:lvlText w:val="%2."/>
      <w:lvlJc w:val="left"/>
      <w:pPr>
        <w:ind w:left="1440" w:hanging="360"/>
      </w:pPr>
    </w:lvl>
    <w:lvl w:ilvl="2" w:tplc="D83ADA36">
      <w:start w:val="1"/>
      <w:numFmt w:val="lowerRoman"/>
      <w:lvlText w:val="%3."/>
      <w:lvlJc w:val="right"/>
      <w:pPr>
        <w:ind w:left="2160" w:hanging="180"/>
      </w:pPr>
    </w:lvl>
    <w:lvl w:ilvl="3" w:tplc="D36C81B4">
      <w:start w:val="1"/>
      <w:numFmt w:val="decimal"/>
      <w:lvlText w:val="%4."/>
      <w:lvlJc w:val="left"/>
      <w:pPr>
        <w:ind w:left="2880" w:hanging="360"/>
      </w:pPr>
    </w:lvl>
    <w:lvl w:ilvl="4" w:tplc="3F0E4CDE">
      <w:start w:val="1"/>
      <w:numFmt w:val="lowerLetter"/>
      <w:lvlText w:val="%5."/>
      <w:lvlJc w:val="left"/>
      <w:pPr>
        <w:ind w:left="3600" w:hanging="360"/>
      </w:pPr>
    </w:lvl>
    <w:lvl w:ilvl="5" w:tplc="3CCCCC6E">
      <w:start w:val="1"/>
      <w:numFmt w:val="lowerRoman"/>
      <w:lvlText w:val="%6."/>
      <w:lvlJc w:val="right"/>
      <w:pPr>
        <w:ind w:left="4320" w:hanging="180"/>
      </w:pPr>
    </w:lvl>
    <w:lvl w:ilvl="6" w:tplc="4ACCD3FC">
      <w:start w:val="1"/>
      <w:numFmt w:val="decimal"/>
      <w:lvlText w:val="%7."/>
      <w:lvlJc w:val="left"/>
      <w:pPr>
        <w:ind w:left="5040" w:hanging="360"/>
      </w:pPr>
    </w:lvl>
    <w:lvl w:ilvl="7" w:tplc="F1B8D3EA">
      <w:start w:val="1"/>
      <w:numFmt w:val="lowerLetter"/>
      <w:lvlText w:val="%8."/>
      <w:lvlJc w:val="left"/>
      <w:pPr>
        <w:ind w:left="5760" w:hanging="360"/>
      </w:pPr>
    </w:lvl>
    <w:lvl w:ilvl="8" w:tplc="613C9CF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9246569">
    <w:abstractNumId w:val="47"/>
  </w:num>
  <w:num w:numId="2" w16cid:durableId="1412003317">
    <w:abstractNumId w:val="10"/>
  </w:num>
  <w:num w:numId="3" w16cid:durableId="369497545">
    <w:abstractNumId w:val="1"/>
    <w:lvlOverride w:ilvl="0">
      <w:lvl w:ilvl="0">
        <w:start w:val="1"/>
        <w:numFmt w:val="bullet"/>
        <w:lvlText w:val=""/>
        <w:lvlJc w:val="left"/>
        <w:pPr>
          <w:ind w:left="720" w:hanging="360"/>
        </w:pPr>
        <w:rPr>
          <w:rFonts w:ascii="Symbol" w:hAnsi="Symbol" w:hint="default"/>
        </w:rPr>
      </w:lvl>
    </w:lvlOverride>
  </w:num>
  <w:num w:numId="4" w16cid:durableId="692608151">
    <w:abstractNumId w:val="22"/>
  </w:num>
  <w:num w:numId="5" w16cid:durableId="719212231">
    <w:abstractNumId w:val="44"/>
  </w:num>
  <w:num w:numId="6" w16cid:durableId="1366251559">
    <w:abstractNumId w:val="46"/>
  </w:num>
  <w:num w:numId="7" w16cid:durableId="1740203383">
    <w:abstractNumId w:val="34"/>
  </w:num>
  <w:num w:numId="8" w16cid:durableId="772745920">
    <w:abstractNumId w:val="32"/>
  </w:num>
  <w:num w:numId="9" w16cid:durableId="2072658638">
    <w:abstractNumId w:val="29"/>
  </w:num>
  <w:num w:numId="10" w16cid:durableId="813060620">
    <w:abstractNumId w:val="30"/>
  </w:num>
  <w:num w:numId="11" w16cid:durableId="155924015">
    <w:abstractNumId w:val="9"/>
  </w:num>
  <w:num w:numId="12" w16cid:durableId="712727426">
    <w:abstractNumId w:val="33"/>
  </w:num>
  <w:num w:numId="13" w16cid:durableId="1308514139">
    <w:abstractNumId w:val="17"/>
  </w:num>
  <w:num w:numId="14" w16cid:durableId="1863125701">
    <w:abstractNumId w:val="16"/>
  </w:num>
  <w:num w:numId="15" w16cid:durableId="906843918">
    <w:abstractNumId w:val="26"/>
  </w:num>
  <w:num w:numId="16" w16cid:durableId="1984456943">
    <w:abstractNumId w:val="7"/>
  </w:num>
  <w:num w:numId="17" w16cid:durableId="729110243">
    <w:abstractNumId w:val="25"/>
  </w:num>
  <w:num w:numId="18" w16cid:durableId="2057777130">
    <w:abstractNumId w:val="15"/>
  </w:num>
  <w:num w:numId="19" w16cid:durableId="890732259">
    <w:abstractNumId w:val="13"/>
  </w:num>
  <w:num w:numId="20" w16cid:durableId="24295465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5360702">
    <w:abstractNumId w:val="23"/>
  </w:num>
  <w:num w:numId="22" w16cid:durableId="1656716515">
    <w:abstractNumId w:val="18"/>
  </w:num>
  <w:num w:numId="23" w16cid:durableId="1289700351">
    <w:abstractNumId w:val="14"/>
  </w:num>
  <w:num w:numId="24" w16cid:durableId="800922543">
    <w:abstractNumId w:val="11"/>
  </w:num>
  <w:num w:numId="25" w16cid:durableId="388382063">
    <w:abstractNumId w:val="27"/>
  </w:num>
  <w:num w:numId="26" w16cid:durableId="1997294727">
    <w:abstractNumId w:val="19"/>
  </w:num>
  <w:num w:numId="27" w16cid:durableId="1366713474">
    <w:abstractNumId w:val="40"/>
  </w:num>
  <w:num w:numId="28" w16cid:durableId="829908722">
    <w:abstractNumId w:val="35"/>
  </w:num>
  <w:num w:numId="29" w16cid:durableId="1331713998">
    <w:abstractNumId w:val="39"/>
  </w:num>
  <w:num w:numId="30" w16cid:durableId="577440712">
    <w:abstractNumId w:val="20"/>
  </w:num>
  <w:num w:numId="31" w16cid:durableId="1223558093">
    <w:abstractNumId w:val="42"/>
  </w:num>
  <w:num w:numId="32" w16cid:durableId="867063581">
    <w:abstractNumId w:val="31"/>
  </w:num>
  <w:num w:numId="33" w16cid:durableId="350424960">
    <w:abstractNumId w:val="12"/>
  </w:num>
  <w:num w:numId="34" w16cid:durableId="1694451688">
    <w:abstractNumId w:val="43"/>
  </w:num>
  <w:num w:numId="35" w16cid:durableId="1482651572">
    <w:abstractNumId w:val="38"/>
  </w:num>
  <w:num w:numId="36" w16cid:durableId="2039697562">
    <w:abstractNumId w:val="4"/>
  </w:num>
  <w:num w:numId="37" w16cid:durableId="1432045211">
    <w:abstractNumId w:val="45"/>
  </w:num>
  <w:num w:numId="38" w16cid:durableId="1878810288">
    <w:abstractNumId w:val="41"/>
  </w:num>
  <w:num w:numId="39" w16cid:durableId="1991397841">
    <w:abstractNumId w:val="36"/>
  </w:num>
  <w:num w:numId="40" w16cid:durableId="418601669">
    <w:abstractNumId w:val="37"/>
  </w:num>
  <w:num w:numId="41" w16cid:durableId="1160779800">
    <w:abstractNumId w:val="3"/>
  </w:num>
  <w:num w:numId="42" w16cid:durableId="707218226">
    <w:abstractNumId w:val="5"/>
  </w:num>
  <w:num w:numId="43" w16cid:durableId="23606112">
    <w:abstractNumId w:val="24"/>
  </w:num>
  <w:num w:numId="44" w16cid:durableId="595478983">
    <w:abstractNumId w:val="6"/>
  </w:num>
  <w:num w:numId="45" w16cid:durableId="1441993243">
    <w:abstractNumId w:val="2"/>
  </w:num>
  <w:num w:numId="46" w16cid:durableId="1400982001">
    <w:abstractNumId w:val="0"/>
  </w:num>
  <w:num w:numId="47" w16cid:durableId="376009085">
    <w:abstractNumId w:val="21"/>
  </w:num>
  <w:num w:numId="48" w16cid:durableId="1501434037">
    <w:abstractNumId w:val="28"/>
  </w:num>
  <w:num w:numId="49" w16cid:durableId="131066727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0DB5"/>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1AF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320DB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6399</Words>
  <Characters>33896</Characters>
  <Application>Microsoft Office Word</Application>
  <DocSecurity>0</DocSecurity>
  <Lines>282</Lines>
  <Paragraphs>80</Paragraphs>
  <ScaleCrop>false</ScaleCrop>
  <Company>Powys County Council</Company>
  <LinksUpToDate>false</LinksUpToDate>
  <CharactersWithSpaces>40215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Hiscutt,Corby swp8269</cp:lastModifiedBy>
  <cp:revision>2</cp:revision>
  <cp:lastPrinted>2014-08-26T08:55:00Z</cp:lastPrinted>
  <dcterms:created xsi:type="dcterms:W3CDTF">2023-09-20T19:19:00Z</dcterms:created>
  <dcterms:modified xsi:type="dcterms:W3CDTF">2023-09-20T19:19:00Z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2023-04-03T13:51:52Z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b4c34c37-5030-474a-8075-f046d23590fa</vt:lpwstr>
  </property>
  <property fmtid="{D5CDD505-2E9C-101B-9397-08002B2CF9AE}" pid="9" name="MSIP_Label_66cf8fe5-b7b7-4df7-b38d-1c61ac2f6639_ContentBits">
    <vt:lpwstr>0</vt:lpwstr>
  </property>
</Properties>
</file>