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1285111679"/>
        <w:docPartObj>
          <w:docPartGallery w:val="Cover Pages"/>
          <w:docPartUnique/>
        </w:docPartObj>
      </w:sdtPr>
      <w:sdtEndPr>
        <w:rPr>
          <w:rFonts w:ascii="Arial" w:eastAsia="Arial" w:hAnsi="Arial" w:cs="Arial"/>
          <w:b/>
          <w:bCs/>
          <w:sz w:val="24"/>
          <w:szCs w:val="24"/>
        </w:rPr>
      </w:sdtEndPr>
      <w:sdtContent>
        <w:p w14:paraId="6F7684FB" w14:textId="6257B47B" w:rsidR="007711BA" w:rsidRPr="003D4590" w:rsidRDefault="007711BA">
          <w:pPr>
            <w:rPr>
              <w:lang w:val="en-GB"/>
            </w:rPr>
          </w:pPr>
          <w:r w:rsidRPr="003D4590">
            <w:rPr>
              <w:noProof/>
              <w:lang w:val="en-GB"/>
            </w:rPr>
            <mc:AlternateContent>
              <mc:Choice Requires="wpg">
                <w:drawing>
                  <wp:anchor distT="0" distB="0" distL="114300" distR="114300" simplePos="0" relativeHeight="251659264" behindDoc="0" locked="0" layoutInCell="1" allowOverlap="1" wp14:anchorId="30D875F7" wp14:editId="7C9AA4F9">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2DAA57D" w14:textId="35613E9D" w:rsidR="007711BA" w:rsidRDefault="007711BA">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HILTON HOTEL RATIO ANALYSIS</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0B9B73" w14:textId="39445BD7" w:rsidR="007711BA" w:rsidRDefault="007711BA">
                                      <w:pPr>
                                        <w:pStyle w:val="NoSpacing"/>
                                        <w:spacing w:line="264" w:lineRule="auto"/>
                                        <w:rPr>
                                          <w:color w:val="E7E6E6" w:themeColor="background2"/>
                                          <w:spacing w:val="20"/>
                                          <w:sz w:val="40"/>
                                          <w:szCs w:val="40"/>
                                        </w:rPr>
                                      </w:pPr>
                                      <w:r>
                                        <w:rPr>
                                          <w:color w:val="E7E6E6" w:themeColor="background2"/>
                                          <w:spacing w:val="20"/>
                                          <w:sz w:val="40"/>
                                          <w:szCs w:val="40"/>
                                        </w:rPr>
                                        <w:t>FAHMINA BEGUM</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3954442" w14:textId="54A9587A" w:rsidR="007711BA" w:rsidRDefault="007711BA">
                                      <w:pPr>
                                        <w:pStyle w:val="NoSpacing"/>
                                        <w:spacing w:after="180"/>
                                        <w:rPr>
                                          <w:color w:val="E7E6E6" w:themeColor="background2"/>
                                          <w:spacing w:val="20"/>
                                          <w:sz w:val="36"/>
                                          <w:szCs w:val="36"/>
                                        </w:rPr>
                                      </w:pPr>
                                      <w:r>
                                        <w:rPr>
                                          <w:color w:val="E7E6E6" w:themeColor="background2"/>
                                          <w:spacing w:val="20"/>
                                          <w:sz w:val="36"/>
                                          <w:szCs w:val="36"/>
                                        </w:rPr>
                                        <w:t>2022594</w:t>
                                      </w:r>
                                    </w:p>
                                  </w:sdtContent>
                                </w:sdt>
                                <w:p w14:paraId="0068641C" w14:textId="0AAF607F" w:rsidR="007711BA" w:rsidRDefault="007711BA">
                                  <w:pPr>
                                    <w:pStyle w:val="NoSpacing"/>
                                    <w:rPr>
                                      <w:color w:val="E7E6E6" w:themeColor="background2"/>
                                      <w:spacing w:val="20"/>
                                      <w:sz w:val="36"/>
                                      <w:szCs w:val="36"/>
                                    </w:rPr>
                                  </w:pP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0D875F7"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2DAA57D" w14:textId="35613E9D" w:rsidR="007711BA" w:rsidRDefault="007711BA">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HILTON HOTEL RATIO ANALYSIS</w:t>
                                </w:r>
                              </w:p>
                            </w:sdtContent>
                          </w:sdt>
                          <w:bookmarkStart w:id="1"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790B9B73" w14:textId="39445BD7" w:rsidR="007711BA" w:rsidRDefault="007711BA">
                                <w:pPr>
                                  <w:pStyle w:val="NoSpacing"/>
                                  <w:spacing w:line="264" w:lineRule="auto"/>
                                  <w:rPr>
                                    <w:color w:val="E7E6E6" w:themeColor="background2"/>
                                    <w:spacing w:val="20"/>
                                    <w:sz w:val="40"/>
                                    <w:szCs w:val="40"/>
                                  </w:rPr>
                                </w:pPr>
                                <w:r>
                                  <w:rPr>
                                    <w:color w:val="E7E6E6" w:themeColor="background2"/>
                                    <w:spacing w:val="20"/>
                                    <w:sz w:val="40"/>
                                    <w:szCs w:val="40"/>
                                  </w:rPr>
                                  <w:t>FAHMINA BEGUM</w:t>
                                </w:r>
                              </w:p>
                            </w:sdtContent>
                          </w:sdt>
                          <w:bookmarkEnd w:id="1" w:displacedByCustomXml="prev"/>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3954442" w14:textId="54A9587A" w:rsidR="007711BA" w:rsidRDefault="007711BA">
                                <w:pPr>
                                  <w:pStyle w:val="NoSpacing"/>
                                  <w:spacing w:after="180"/>
                                  <w:rPr>
                                    <w:color w:val="E7E6E6" w:themeColor="background2"/>
                                    <w:spacing w:val="20"/>
                                    <w:sz w:val="36"/>
                                    <w:szCs w:val="36"/>
                                  </w:rPr>
                                </w:pPr>
                                <w:r>
                                  <w:rPr>
                                    <w:color w:val="E7E6E6" w:themeColor="background2"/>
                                    <w:spacing w:val="20"/>
                                    <w:sz w:val="36"/>
                                    <w:szCs w:val="36"/>
                                  </w:rPr>
                                  <w:t>2022594</w:t>
                                </w:r>
                              </w:p>
                            </w:sdtContent>
                          </w:sdt>
                          <w:p w14:paraId="0068641C" w14:textId="0AAF607F" w:rsidR="007711BA" w:rsidRDefault="007711BA">
                            <w:pPr>
                              <w:pStyle w:val="NoSpacing"/>
                              <w:rPr>
                                <w:color w:val="E7E6E6" w:themeColor="background2"/>
                                <w:spacing w:val="20"/>
                                <w:sz w:val="36"/>
                                <w:szCs w:val="36"/>
                              </w:rPr>
                            </w:pPr>
                          </w:p>
                        </w:txbxContent>
                      </v:textbox>
                    </v:shape>
                    <w10:wrap anchorx="page" anchory="page"/>
                  </v:group>
                </w:pict>
              </mc:Fallback>
            </mc:AlternateContent>
          </w:r>
        </w:p>
        <w:p w14:paraId="6D5AA5DA" w14:textId="0F4F137C" w:rsidR="007711BA" w:rsidRPr="003D4590" w:rsidRDefault="007711BA">
          <w:pPr>
            <w:rPr>
              <w:rFonts w:ascii="Arial" w:eastAsia="Arial" w:hAnsi="Arial" w:cs="Arial"/>
              <w:b/>
              <w:bCs/>
              <w:sz w:val="24"/>
              <w:szCs w:val="24"/>
              <w:lang w:val="en-GB"/>
            </w:rPr>
          </w:pPr>
          <w:r w:rsidRPr="003D4590">
            <w:rPr>
              <w:rFonts w:ascii="Arial" w:eastAsia="Arial" w:hAnsi="Arial" w:cs="Arial"/>
              <w:b/>
              <w:bCs/>
              <w:sz w:val="24"/>
              <w:szCs w:val="24"/>
              <w:lang w:val="en-GB"/>
            </w:rPr>
            <w:br w:type="page"/>
          </w:r>
        </w:p>
      </w:sdtContent>
    </w:sdt>
    <w:p w14:paraId="0BD86681" w14:textId="77777777" w:rsidR="007711BA" w:rsidRPr="003D4590" w:rsidRDefault="007711BA" w:rsidP="4F218F7F">
      <w:pPr>
        <w:spacing w:line="360" w:lineRule="auto"/>
        <w:jc w:val="both"/>
        <w:rPr>
          <w:rFonts w:ascii="Arial" w:eastAsia="Arial" w:hAnsi="Arial" w:cs="Arial"/>
          <w:b/>
          <w:bCs/>
          <w:sz w:val="24"/>
          <w:szCs w:val="24"/>
          <w:lang w:val="en-GB"/>
        </w:rPr>
      </w:pPr>
    </w:p>
    <w:p w14:paraId="5316BAEE" w14:textId="5AD4D8A2" w:rsidR="007711BA" w:rsidRPr="003D4590" w:rsidRDefault="009311B6" w:rsidP="009311B6">
      <w:pPr>
        <w:pStyle w:val="Heading1"/>
        <w:rPr>
          <w:rFonts w:ascii="Arial" w:eastAsia="Arial" w:hAnsi="Arial" w:cs="Arial"/>
          <w:b/>
          <w:bCs/>
          <w:color w:val="000000" w:themeColor="text1"/>
          <w:lang w:val="en-GB"/>
        </w:rPr>
      </w:pPr>
      <w:r w:rsidRPr="003D4590">
        <w:rPr>
          <w:rFonts w:ascii="Arial" w:eastAsia="Arial" w:hAnsi="Arial" w:cs="Arial"/>
          <w:b/>
          <w:bCs/>
          <w:color w:val="000000" w:themeColor="text1"/>
          <w:lang w:val="en-GB"/>
        </w:rPr>
        <w:t>EXECUTIVE SUMMARY</w:t>
      </w:r>
    </w:p>
    <w:p w14:paraId="3287AAE6" w14:textId="77777777" w:rsidR="009311B6" w:rsidRPr="003D4590" w:rsidRDefault="009311B6" w:rsidP="009311B6">
      <w:pPr>
        <w:rPr>
          <w:lang w:val="en-GB"/>
        </w:rPr>
      </w:pPr>
    </w:p>
    <w:p w14:paraId="17EFB3AF" w14:textId="49BD77DD" w:rsidR="009311B6" w:rsidRPr="003D4590" w:rsidRDefault="009311B6" w:rsidP="009311B6">
      <w:pPr>
        <w:spacing w:line="360" w:lineRule="auto"/>
        <w:jc w:val="both"/>
        <w:rPr>
          <w:rFonts w:ascii="Arial" w:eastAsia="Arial" w:hAnsi="Arial" w:cs="Arial"/>
          <w:sz w:val="24"/>
          <w:szCs w:val="24"/>
          <w:lang w:val="en-GB"/>
        </w:rPr>
      </w:pPr>
      <w:r w:rsidRPr="003D4590">
        <w:rPr>
          <w:rFonts w:ascii="Arial" w:eastAsia="Arial" w:hAnsi="Arial" w:cs="Arial"/>
          <w:sz w:val="24"/>
          <w:szCs w:val="24"/>
          <w:lang w:val="en-GB"/>
        </w:rPr>
        <w:t>The purpose of this financial report analysis is to examine the financial statistics of Hilton worldwide inc, which is a multinational hospitality firm that maintains a group and brands of hotels all around the globe. This report will be submitted to the company's chief executive in order to evaluate its performance over the 2019 and 2020 main years.</w:t>
      </w:r>
    </w:p>
    <w:p w14:paraId="22FF9951" w14:textId="4EAD930D" w:rsidR="009311B6" w:rsidRPr="003D4590" w:rsidRDefault="009311B6" w:rsidP="009311B6">
      <w:pPr>
        <w:spacing w:line="360" w:lineRule="auto"/>
        <w:jc w:val="both"/>
        <w:rPr>
          <w:rFonts w:ascii="Arial" w:eastAsia="Arial" w:hAnsi="Arial" w:cs="Arial"/>
          <w:sz w:val="24"/>
          <w:szCs w:val="24"/>
          <w:lang w:val="en-GB"/>
        </w:rPr>
      </w:pPr>
      <w:r w:rsidRPr="003D4590">
        <w:rPr>
          <w:rFonts w:ascii="Arial" w:eastAsia="Arial" w:hAnsi="Arial" w:cs="Arial"/>
          <w:sz w:val="24"/>
          <w:szCs w:val="24"/>
          <w:lang w:val="en-GB"/>
        </w:rPr>
        <w:t xml:space="preserve">The horizontal ratio analysis will be analysed in order to get insight about the overall performance of the company from last year. Following that, the P&amp;L account and balance sheet ratios will be determined. Additional ratios will be </w:t>
      </w:r>
      <w:r w:rsidR="003D4590" w:rsidRPr="003D4590">
        <w:rPr>
          <w:rFonts w:ascii="Arial" w:eastAsia="Arial" w:hAnsi="Arial" w:cs="Arial"/>
          <w:sz w:val="24"/>
          <w:szCs w:val="24"/>
          <w:lang w:val="en-GB"/>
        </w:rPr>
        <w:t>analysed</w:t>
      </w:r>
      <w:r w:rsidRPr="003D4590">
        <w:rPr>
          <w:rFonts w:ascii="Arial" w:eastAsia="Arial" w:hAnsi="Arial" w:cs="Arial"/>
          <w:sz w:val="24"/>
          <w:szCs w:val="24"/>
          <w:lang w:val="en-GB"/>
        </w:rPr>
        <w:t xml:space="preserve"> to identify the business's weak spots. And trend will be analysed to. Get the better idea of how business is doing in. numbers and percentages. Later to conclude, the findings and the conclusion of the computation, and thorough evaluation of trend will also be given. A critical examination of the ratio findings will be presented to management in the form of visual graphs. Finally, a quick explanation of the ratio will be presented for greater comprehension.</w:t>
      </w:r>
    </w:p>
    <w:p w14:paraId="797D3983" w14:textId="3C4639B7" w:rsidR="007711BA" w:rsidRDefault="003D4590" w:rsidP="003D4590">
      <w:pPr>
        <w:tabs>
          <w:tab w:val="left" w:pos="3240"/>
        </w:tabs>
        <w:spacing w:line="360" w:lineRule="auto"/>
        <w:jc w:val="both"/>
        <w:rPr>
          <w:rFonts w:ascii="Arial" w:eastAsia="Arial" w:hAnsi="Arial" w:cs="Arial"/>
          <w:b/>
          <w:bCs/>
          <w:sz w:val="24"/>
          <w:szCs w:val="24"/>
          <w:lang w:val="en-GB"/>
        </w:rPr>
      </w:pPr>
      <w:r>
        <w:rPr>
          <w:rFonts w:ascii="Arial" w:eastAsia="Arial" w:hAnsi="Arial" w:cs="Arial"/>
          <w:b/>
          <w:bCs/>
          <w:sz w:val="24"/>
          <w:szCs w:val="24"/>
          <w:lang w:val="en-GB"/>
        </w:rPr>
        <w:tab/>
      </w:r>
    </w:p>
    <w:p w14:paraId="6D20FAB8" w14:textId="253F4B7F" w:rsidR="003D4590" w:rsidRDefault="003D4590" w:rsidP="003D4590">
      <w:pPr>
        <w:tabs>
          <w:tab w:val="left" w:pos="3240"/>
        </w:tabs>
        <w:spacing w:line="360" w:lineRule="auto"/>
        <w:jc w:val="both"/>
        <w:rPr>
          <w:rFonts w:ascii="Arial" w:eastAsia="Arial" w:hAnsi="Arial" w:cs="Arial"/>
          <w:b/>
          <w:bCs/>
          <w:sz w:val="24"/>
          <w:szCs w:val="24"/>
          <w:lang w:val="en-GB"/>
        </w:rPr>
      </w:pPr>
    </w:p>
    <w:p w14:paraId="08401B49" w14:textId="1E637253" w:rsidR="003D4590" w:rsidRDefault="003D4590" w:rsidP="003D4590">
      <w:pPr>
        <w:tabs>
          <w:tab w:val="left" w:pos="3240"/>
        </w:tabs>
        <w:spacing w:line="360" w:lineRule="auto"/>
        <w:jc w:val="both"/>
        <w:rPr>
          <w:rFonts w:ascii="Arial" w:eastAsia="Arial" w:hAnsi="Arial" w:cs="Arial"/>
          <w:b/>
          <w:bCs/>
          <w:sz w:val="24"/>
          <w:szCs w:val="24"/>
          <w:lang w:val="en-GB"/>
        </w:rPr>
      </w:pPr>
    </w:p>
    <w:p w14:paraId="68259378" w14:textId="37FBA61A" w:rsidR="003D4590" w:rsidRDefault="003D4590" w:rsidP="003D4590">
      <w:pPr>
        <w:tabs>
          <w:tab w:val="left" w:pos="3240"/>
        </w:tabs>
        <w:spacing w:line="360" w:lineRule="auto"/>
        <w:jc w:val="both"/>
        <w:rPr>
          <w:rFonts w:ascii="Arial" w:eastAsia="Arial" w:hAnsi="Arial" w:cs="Arial"/>
          <w:b/>
          <w:bCs/>
          <w:sz w:val="24"/>
          <w:szCs w:val="24"/>
          <w:lang w:val="en-GB"/>
        </w:rPr>
      </w:pPr>
    </w:p>
    <w:p w14:paraId="4C20086A" w14:textId="03EFA39A" w:rsidR="009F21F7" w:rsidRDefault="009F21F7" w:rsidP="003D4590">
      <w:pPr>
        <w:tabs>
          <w:tab w:val="left" w:pos="3240"/>
        </w:tabs>
        <w:spacing w:line="360" w:lineRule="auto"/>
        <w:jc w:val="both"/>
        <w:rPr>
          <w:rFonts w:ascii="Arial" w:eastAsia="Arial" w:hAnsi="Arial" w:cs="Arial"/>
          <w:b/>
          <w:bCs/>
          <w:sz w:val="24"/>
          <w:szCs w:val="24"/>
          <w:lang w:val="en-GB"/>
        </w:rPr>
      </w:pPr>
    </w:p>
    <w:p w14:paraId="1B63FD4D" w14:textId="65F928D8" w:rsidR="009F21F7" w:rsidRDefault="009F21F7" w:rsidP="003D4590">
      <w:pPr>
        <w:tabs>
          <w:tab w:val="left" w:pos="3240"/>
        </w:tabs>
        <w:spacing w:line="360" w:lineRule="auto"/>
        <w:jc w:val="both"/>
        <w:rPr>
          <w:rFonts w:ascii="Arial" w:eastAsia="Arial" w:hAnsi="Arial" w:cs="Arial"/>
          <w:b/>
          <w:bCs/>
          <w:sz w:val="24"/>
          <w:szCs w:val="24"/>
          <w:lang w:val="en-GB"/>
        </w:rPr>
      </w:pPr>
    </w:p>
    <w:p w14:paraId="22A0D750" w14:textId="0F70E0AC" w:rsidR="009F21F7" w:rsidRDefault="009F21F7" w:rsidP="003D4590">
      <w:pPr>
        <w:tabs>
          <w:tab w:val="left" w:pos="3240"/>
        </w:tabs>
        <w:spacing w:line="360" w:lineRule="auto"/>
        <w:jc w:val="both"/>
        <w:rPr>
          <w:rFonts w:ascii="Arial" w:eastAsia="Arial" w:hAnsi="Arial" w:cs="Arial"/>
          <w:b/>
          <w:bCs/>
          <w:sz w:val="24"/>
          <w:szCs w:val="24"/>
          <w:lang w:val="en-GB"/>
        </w:rPr>
      </w:pPr>
    </w:p>
    <w:p w14:paraId="7867DA55" w14:textId="432FE364" w:rsidR="009F21F7" w:rsidRDefault="009F21F7" w:rsidP="003D4590">
      <w:pPr>
        <w:tabs>
          <w:tab w:val="left" w:pos="3240"/>
        </w:tabs>
        <w:spacing w:line="360" w:lineRule="auto"/>
        <w:jc w:val="both"/>
        <w:rPr>
          <w:rFonts w:ascii="Arial" w:eastAsia="Arial" w:hAnsi="Arial" w:cs="Arial"/>
          <w:b/>
          <w:bCs/>
          <w:sz w:val="24"/>
          <w:szCs w:val="24"/>
          <w:lang w:val="en-GB"/>
        </w:rPr>
      </w:pPr>
    </w:p>
    <w:p w14:paraId="1F335E8E" w14:textId="10BF1E4B" w:rsidR="009F21F7" w:rsidRDefault="009F21F7" w:rsidP="003D4590">
      <w:pPr>
        <w:tabs>
          <w:tab w:val="left" w:pos="3240"/>
        </w:tabs>
        <w:spacing w:line="360" w:lineRule="auto"/>
        <w:jc w:val="both"/>
        <w:rPr>
          <w:rFonts w:ascii="Arial" w:eastAsia="Arial" w:hAnsi="Arial" w:cs="Arial"/>
          <w:b/>
          <w:bCs/>
          <w:sz w:val="24"/>
          <w:szCs w:val="24"/>
          <w:lang w:val="en-GB"/>
        </w:rPr>
      </w:pPr>
    </w:p>
    <w:p w14:paraId="0EF9D946" w14:textId="2211047C" w:rsidR="009F21F7" w:rsidRDefault="009F21F7" w:rsidP="003D4590">
      <w:pPr>
        <w:tabs>
          <w:tab w:val="left" w:pos="3240"/>
        </w:tabs>
        <w:spacing w:line="360" w:lineRule="auto"/>
        <w:jc w:val="both"/>
        <w:rPr>
          <w:rFonts w:ascii="Arial" w:eastAsia="Arial" w:hAnsi="Arial" w:cs="Arial"/>
          <w:b/>
          <w:bCs/>
          <w:sz w:val="24"/>
          <w:szCs w:val="24"/>
          <w:lang w:val="en-GB"/>
        </w:rPr>
      </w:pPr>
    </w:p>
    <w:p w14:paraId="01E5C96A" w14:textId="676C9C1B" w:rsidR="009F21F7" w:rsidRDefault="009F21F7" w:rsidP="003D4590">
      <w:pPr>
        <w:tabs>
          <w:tab w:val="left" w:pos="3240"/>
        </w:tabs>
        <w:spacing w:line="360" w:lineRule="auto"/>
        <w:jc w:val="both"/>
        <w:rPr>
          <w:rFonts w:ascii="Arial" w:eastAsia="Arial" w:hAnsi="Arial" w:cs="Arial"/>
          <w:b/>
          <w:bCs/>
          <w:sz w:val="24"/>
          <w:szCs w:val="24"/>
          <w:lang w:val="en-GB"/>
        </w:rPr>
      </w:pPr>
    </w:p>
    <w:p w14:paraId="4CADA548" w14:textId="77777777" w:rsidR="009F21F7" w:rsidRDefault="009F21F7" w:rsidP="003D4590">
      <w:pPr>
        <w:tabs>
          <w:tab w:val="left" w:pos="3240"/>
        </w:tabs>
        <w:spacing w:line="360" w:lineRule="auto"/>
        <w:jc w:val="both"/>
        <w:rPr>
          <w:rFonts w:ascii="Arial" w:eastAsia="Arial" w:hAnsi="Arial" w:cs="Arial"/>
          <w:b/>
          <w:bCs/>
          <w:sz w:val="24"/>
          <w:szCs w:val="24"/>
          <w:lang w:val="en-GB"/>
        </w:rPr>
      </w:pPr>
    </w:p>
    <w:p w14:paraId="3E73E0C2" w14:textId="77777777" w:rsidR="003D4590" w:rsidRPr="003D4590" w:rsidRDefault="003D4590" w:rsidP="003D4590">
      <w:pPr>
        <w:tabs>
          <w:tab w:val="left" w:pos="3240"/>
        </w:tabs>
        <w:spacing w:line="360" w:lineRule="auto"/>
        <w:jc w:val="both"/>
        <w:rPr>
          <w:rFonts w:ascii="Arial" w:eastAsia="Arial" w:hAnsi="Arial" w:cs="Arial"/>
          <w:b/>
          <w:bCs/>
          <w:sz w:val="24"/>
          <w:szCs w:val="24"/>
          <w:lang w:val="en-GB"/>
        </w:rPr>
      </w:pPr>
    </w:p>
    <w:p w14:paraId="4D1B54A6" w14:textId="2D405795" w:rsidR="008933E3" w:rsidRPr="003D4590" w:rsidRDefault="003D4590" w:rsidP="003D4590">
      <w:pPr>
        <w:pStyle w:val="Heading1"/>
        <w:numPr>
          <w:ilvl w:val="0"/>
          <w:numId w:val="9"/>
        </w:numPr>
        <w:rPr>
          <w:rFonts w:ascii="Arial" w:eastAsia="Arial" w:hAnsi="Arial" w:cs="Arial"/>
          <w:b/>
          <w:bCs/>
          <w:color w:val="000000" w:themeColor="text1"/>
          <w:lang w:val="en-GB"/>
        </w:rPr>
      </w:pPr>
      <w:r>
        <w:rPr>
          <w:rFonts w:ascii="Arial" w:eastAsia="Arial" w:hAnsi="Arial" w:cs="Arial"/>
          <w:b/>
          <w:bCs/>
          <w:color w:val="000000" w:themeColor="text1"/>
          <w:lang w:val="en-GB"/>
        </w:rPr>
        <w:t>HILTON HORIZONTAL ANALYSIS CALCULATIONS</w:t>
      </w:r>
    </w:p>
    <w:p w14:paraId="24F495B6" w14:textId="77777777" w:rsidR="008933E3" w:rsidRPr="003D4590" w:rsidRDefault="008933E3" w:rsidP="008933E3">
      <w:pPr>
        <w:rPr>
          <w:lang w:val="en-GB"/>
        </w:rPr>
      </w:pPr>
    </w:p>
    <w:p w14:paraId="3BCEC48A" w14:textId="7AB59F9D" w:rsidR="008933E3" w:rsidRPr="003D4590" w:rsidRDefault="00F30856" w:rsidP="4F218F7F">
      <w:pPr>
        <w:spacing w:line="360" w:lineRule="auto"/>
        <w:jc w:val="both"/>
        <w:rPr>
          <w:rFonts w:ascii="Arial" w:eastAsia="Arial" w:hAnsi="Arial" w:cs="Arial"/>
          <w:sz w:val="24"/>
          <w:szCs w:val="24"/>
          <w:lang w:val="en-GB"/>
        </w:rPr>
      </w:pPr>
      <w:r w:rsidRPr="00F30856">
        <w:rPr>
          <w:rFonts w:ascii="Arial" w:eastAsia="Arial" w:hAnsi="Arial" w:cs="Arial"/>
          <w:sz w:val="24"/>
          <w:szCs w:val="24"/>
          <w:lang w:val="en-GB"/>
        </w:rPr>
        <w:t xml:space="preserve">A ratio analysis is the comparison of line items in a company's financial records. Ratio analysis is commonly used to measure a company's liquidity, operational efficiency, and profitability, among other things. This type of research is especially beneficial to analysts outside of a corporation because financial statements are their major source of information about a company. The study of the quantitative relationships between two variables is referred to as ratio analysis. Financial analysts use these measures to examine various financial accounts. Ratio analysis is less useful to corporate leaders who have greater access to extensive operational knowledge about the </w:t>
      </w:r>
      <w:r w:rsidR="002041C3" w:rsidRPr="00F30856">
        <w:rPr>
          <w:rFonts w:ascii="Arial" w:eastAsia="Arial" w:hAnsi="Arial" w:cs="Arial"/>
          <w:sz w:val="24"/>
          <w:szCs w:val="24"/>
          <w:lang w:val="en-GB"/>
        </w:rPr>
        <w:t>business.</w:t>
      </w:r>
      <w:r w:rsidR="002041C3" w:rsidRPr="003D4590">
        <w:rPr>
          <w:rFonts w:ascii="Arial" w:eastAsia="Arial" w:hAnsi="Arial" w:cs="Arial"/>
          <w:sz w:val="24"/>
          <w:szCs w:val="24"/>
          <w:lang w:val="en-GB"/>
        </w:rPr>
        <w:t xml:space="preserve"> Here</w:t>
      </w:r>
      <w:r w:rsidR="008933E3" w:rsidRPr="003D4590">
        <w:rPr>
          <w:rFonts w:ascii="Arial" w:eastAsia="Arial" w:hAnsi="Arial" w:cs="Arial"/>
          <w:sz w:val="24"/>
          <w:szCs w:val="24"/>
          <w:lang w:val="en-GB"/>
        </w:rPr>
        <w:t xml:space="preserve"> is the income statement oh Hilton Worldwide Holdings inc</w:t>
      </w:r>
    </w:p>
    <w:tbl>
      <w:tblPr>
        <w:tblW w:w="8420" w:type="dxa"/>
        <w:tblLook w:val="04A0" w:firstRow="1" w:lastRow="0" w:firstColumn="1" w:lastColumn="0" w:noHBand="0" w:noVBand="1"/>
      </w:tblPr>
      <w:tblGrid>
        <w:gridCol w:w="3100"/>
        <w:gridCol w:w="1580"/>
        <w:gridCol w:w="1620"/>
        <w:gridCol w:w="1060"/>
        <w:gridCol w:w="1060"/>
      </w:tblGrid>
      <w:tr w:rsidR="008933E3" w:rsidRPr="008933E3" w14:paraId="5B9A3B0B" w14:textId="77777777" w:rsidTr="008933E3">
        <w:trPr>
          <w:trHeight w:val="300"/>
        </w:trPr>
        <w:tc>
          <w:tcPr>
            <w:tcW w:w="3100" w:type="dxa"/>
            <w:tcBorders>
              <w:top w:val="nil"/>
              <w:left w:val="nil"/>
              <w:bottom w:val="nil"/>
              <w:right w:val="nil"/>
            </w:tcBorders>
            <w:shd w:val="clear" w:color="auto" w:fill="auto"/>
            <w:noWrap/>
            <w:vAlign w:val="bottom"/>
            <w:hideMark/>
          </w:tcPr>
          <w:p w14:paraId="19BB51E5"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Income statement2019 &amp;2020</w:t>
            </w:r>
          </w:p>
        </w:tc>
        <w:tc>
          <w:tcPr>
            <w:tcW w:w="1580" w:type="dxa"/>
            <w:tcBorders>
              <w:top w:val="nil"/>
              <w:left w:val="nil"/>
              <w:bottom w:val="nil"/>
              <w:right w:val="nil"/>
            </w:tcBorders>
            <w:shd w:val="clear" w:color="auto" w:fill="auto"/>
            <w:noWrap/>
            <w:vAlign w:val="bottom"/>
            <w:hideMark/>
          </w:tcPr>
          <w:p w14:paraId="42418DD7" w14:textId="77777777" w:rsidR="008933E3" w:rsidRPr="008933E3" w:rsidRDefault="008933E3" w:rsidP="008933E3">
            <w:pPr>
              <w:spacing w:after="0" w:line="240" w:lineRule="auto"/>
              <w:rPr>
                <w:rFonts w:ascii="Calibri" w:eastAsia="Times New Roman" w:hAnsi="Calibri" w:cs="Calibri"/>
                <w:b/>
                <w:bCs/>
                <w:color w:val="000000"/>
                <w:lang w:val="en-GB" w:eastAsia="en-GB"/>
              </w:rPr>
            </w:pPr>
          </w:p>
        </w:tc>
        <w:tc>
          <w:tcPr>
            <w:tcW w:w="1620" w:type="dxa"/>
            <w:tcBorders>
              <w:top w:val="nil"/>
              <w:left w:val="nil"/>
              <w:bottom w:val="nil"/>
              <w:right w:val="nil"/>
            </w:tcBorders>
            <w:shd w:val="clear" w:color="auto" w:fill="auto"/>
            <w:noWrap/>
            <w:vAlign w:val="bottom"/>
            <w:hideMark/>
          </w:tcPr>
          <w:p w14:paraId="67EB4E2A"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49229206"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4E48D82E"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r>
      <w:tr w:rsidR="008933E3" w:rsidRPr="008933E3" w14:paraId="7655D526" w14:textId="77777777" w:rsidTr="008933E3">
        <w:trPr>
          <w:trHeight w:val="300"/>
        </w:trPr>
        <w:tc>
          <w:tcPr>
            <w:tcW w:w="3100" w:type="dxa"/>
            <w:tcBorders>
              <w:top w:val="nil"/>
              <w:left w:val="nil"/>
              <w:bottom w:val="nil"/>
              <w:right w:val="nil"/>
            </w:tcBorders>
            <w:shd w:val="clear" w:color="auto" w:fill="auto"/>
            <w:noWrap/>
            <w:vAlign w:val="bottom"/>
            <w:hideMark/>
          </w:tcPr>
          <w:p w14:paraId="46D80923"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580" w:type="dxa"/>
            <w:tcBorders>
              <w:top w:val="nil"/>
              <w:left w:val="nil"/>
              <w:bottom w:val="nil"/>
              <w:right w:val="nil"/>
            </w:tcBorders>
            <w:shd w:val="clear" w:color="auto" w:fill="auto"/>
            <w:noWrap/>
            <w:vAlign w:val="bottom"/>
            <w:hideMark/>
          </w:tcPr>
          <w:p w14:paraId="68E34C05"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620" w:type="dxa"/>
            <w:tcBorders>
              <w:top w:val="nil"/>
              <w:left w:val="nil"/>
              <w:bottom w:val="nil"/>
              <w:right w:val="nil"/>
            </w:tcBorders>
            <w:shd w:val="clear" w:color="auto" w:fill="auto"/>
            <w:noWrap/>
            <w:vAlign w:val="bottom"/>
            <w:hideMark/>
          </w:tcPr>
          <w:p w14:paraId="72E84084"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53000CF3"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43FDB000"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r>
      <w:tr w:rsidR="008933E3" w:rsidRPr="008933E3" w14:paraId="69C17C1F" w14:textId="77777777" w:rsidTr="008933E3">
        <w:trPr>
          <w:trHeight w:val="300"/>
        </w:trPr>
        <w:tc>
          <w:tcPr>
            <w:tcW w:w="4680" w:type="dxa"/>
            <w:gridSpan w:val="2"/>
            <w:tcBorders>
              <w:top w:val="nil"/>
              <w:left w:val="nil"/>
              <w:bottom w:val="nil"/>
              <w:right w:val="nil"/>
            </w:tcBorders>
            <w:shd w:val="clear" w:color="auto" w:fill="auto"/>
            <w:noWrap/>
            <w:vAlign w:val="bottom"/>
            <w:hideMark/>
          </w:tcPr>
          <w:p w14:paraId="55DF1B40"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 xml:space="preserve">Hilton worldwide Holdings </w:t>
            </w:r>
            <w:proofErr w:type="gramStart"/>
            <w:r w:rsidRPr="008933E3">
              <w:rPr>
                <w:rFonts w:ascii="Calibri" w:eastAsia="Times New Roman" w:hAnsi="Calibri" w:cs="Calibri"/>
                <w:b/>
                <w:bCs/>
                <w:color w:val="000000"/>
                <w:lang w:val="en-GB" w:eastAsia="en-GB"/>
              </w:rPr>
              <w:t>inc.(</w:t>
            </w:r>
            <w:proofErr w:type="gramEnd"/>
            <w:r w:rsidRPr="008933E3">
              <w:rPr>
                <w:rFonts w:ascii="Calibri" w:eastAsia="Times New Roman" w:hAnsi="Calibri" w:cs="Calibri"/>
                <w:b/>
                <w:bCs/>
                <w:color w:val="000000"/>
                <w:lang w:val="en-GB" w:eastAsia="en-GB"/>
              </w:rPr>
              <w:t>HLT)</w:t>
            </w:r>
          </w:p>
        </w:tc>
        <w:tc>
          <w:tcPr>
            <w:tcW w:w="1620" w:type="dxa"/>
            <w:tcBorders>
              <w:top w:val="nil"/>
              <w:left w:val="nil"/>
              <w:bottom w:val="nil"/>
              <w:right w:val="nil"/>
            </w:tcBorders>
            <w:shd w:val="clear" w:color="auto" w:fill="auto"/>
            <w:noWrap/>
            <w:vAlign w:val="bottom"/>
            <w:hideMark/>
          </w:tcPr>
          <w:p w14:paraId="6B25373F" w14:textId="77777777" w:rsidR="008933E3" w:rsidRPr="008933E3" w:rsidRDefault="008933E3" w:rsidP="008933E3">
            <w:pPr>
              <w:spacing w:after="0" w:line="240" w:lineRule="auto"/>
              <w:rPr>
                <w:rFonts w:ascii="Calibri" w:eastAsia="Times New Roman" w:hAnsi="Calibri" w:cs="Calibri"/>
                <w:b/>
                <w:bCs/>
                <w:color w:val="000000"/>
                <w:lang w:val="en-GB" w:eastAsia="en-GB"/>
              </w:rPr>
            </w:pPr>
          </w:p>
        </w:tc>
        <w:tc>
          <w:tcPr>
            <w:tcW w:w="1060" w:type="dxa"/>
            <w:tcBorders>
              <w:top w:val="nil"/>
              <w:left w:val="nil"/>
              <w:bottom w:val="nil"/>
              <w:right w:val="nil"/>
            </w:tcBorders>
            <w:shd w:val="clear" w:color="auto" w:fill="auto"/>
            <w:noWrap/>
            <w:vAlign w:val="bottom"/>
            <w:hideMark/>
          </w:tcPr>
          <w:p w14:paraId="0DC5534B"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66190AD5"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r>
      <w:tr w:rsidR="008933E3" w:rsidRPr="008933E3" w14:paraId="758F71B2" w14:textId="77777777" w:rsidTr="008933E3">
        <w:trPr>
          <w:trHeight w:val="300"/>
        </w:trPr>
        <w:tc>
          <w:tcPr>
            <w:tcW w:w="3100" w:type="dxa"/>
            <w:tcBorders>
              <w:top w:val="nil"/>
              <w:left w:val="nil"/>
              <w:bottom w:val="nil"/>
              <w:right w:val="nil"/>
            </w:tcBorders>
            <w:shd w:val="clear" w:color="auto" w:fill="auto"/>
            <w:noWrap/>
            <w:vAlign w:val="bottom"/>
            <w:hideMark/>
          </w:tcPr>
          <w:p w14:paraId="3EC39CEF"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580" w:type="dxa"/>
            <w:tcBorders>
              <w:top w:val="nil"/>
              <w:left w:val="nil"/>
              <w:bottom w:val="nil"/>
              <w:right w:val="nil"/>
            </w:tcBorders>
            <w:shd w:val="clear" w:color="auto" w:fill="auto"/>
            <w:noWrap/>
            <w:vAlign w:val="bottom"/>
            <w:hideMark/>
          </w:tcPr>
          <w:p w14:paraId="71685756"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620" w:type="dxa"/>
            <w:tcBorders>
              <w:top w:val="nil"/>
              <w:left w:val="nil"/>
              <w:bottom w:val="nil"/>
              <w:right w:val="nil"/>
            </w:tcBorders>
            <w:shd w:val="clear" w:color="auto" w:fill="auto"/>
            <w:noWrap/>
            <w:vAlign w:val="bottom"/>
            <w:hideMark/>
          </w:tcPr>
          <w:p w14:paraId="4AEB6844"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440BD371"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14BB6E9E"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r>
      <w:tr w:rsidR="008933E3" w:rsidRPr="008933E3" w14:paraId="5ECD3B6A" w14:textId="77777777" w:rsidTr="008933E3">
        <w:trPr>
          <w:trHeight w:val="300"/>
        </w:trPr>
        <w:tc>
          <w:tcPr>
            <w:tcW w:w="3100" w:type="dxa"/>
            <w:tcBorders>
              <w:top w:val="nil"/>
              <w:left w:val="nil"/>
              <w:bottom w:val="nil"/>
              <w:right w:val="nil"/>
            </w:tcBorders>
            <w:shd w:val="clear" w:color="auto" w:fill="auto"/>
            <w:noWrap/>
            <w:vAlign w:val="bottom"/>
            <w:hideMark/>
          </w:tcPr>
          <w:p w14:paraId="1B09B2C0"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Income Statement</w:t>
            </w:r>
          </w:p>
        </w:tc>
        <w:tc>
          <w:tcPr>
            <w:tcW w:w="1580" w:type="dxa"/>
            <w:tcBorders>
              <w:top w:val="nil"/>
              <w:left w:val="nil"/>
              <w:bottom w:val="nil"/>
              <w:right w:val="nil"/>
            </w:tcBorders>
            <w:shd w:val="clear" w:color="auto" w:fill="auto"/>
            <w:noWrap/>
            <w:vAlign w:val="bottom"/>
            <w:hideMark/>
          </w:tcPr>
          <w:p w14:paraId="5E1B379B" w14:textId="77777777" w:rsidR="008933E3" w:rsidRPr="008933E3" w:rsidRDefault="008933E3" w:rsidP="008933E3">
            <w:pPr>
              <w:spacing w:after="0" w:line="240" w:lineRule="auto"/>
              <w:rPr>
                <w:rFonts w:ascii="Calibri" w:eastAsia="Times New Roman" w:hAnsi="Calibri" w:cs="Calibri"/>
                <w:b/>
                <w:bCs/>
                <w:color w:val="000000"/>
                <w:lang w:val="en-GB" w:eastAsia="en-GB"/>
              </w:rPr>
            </w:pPr>
          </w:p>
        </w:tc>
        <w:tc>
          <w:tcPr>
            <w:tcW w:w="1620" w:type="dxa"/>
            <w:tcBorders>
              <w:top w:val="nil"/>
              <w:left w:val="nil"/>
              <w:bottom w:val="nil"/>
              <w:right w:val="nil"/>
            </w:tcBorders>
            <w:shd w:val="clear" w:color="auto" w:fill="auto"/>
            <w:noWrap/>
            <w:vAlign w:val="bottom"/>
            <w:hideMark/>
          </w:tcPr>
          <w:p w14:paraId="55311691"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573B89AC"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221D72E3"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r>
      <w:tr w:rsidR="008933E3" w:rsidRPr="008933E3" w14:paraId="7DA459BA" w14:textId="77777777" w:rsidTr="008933E3">
        <w:trPr>
          <w:trHeight w:val="300"/>
        </w:trPr>
        <w:tc>
          <w:tcPr>
            <w:tcW w:w="3100" w:type="dxa"/>
            <w:tcBorders>
              <w:top w:val="nil"/>
              <w:left w:val="nil"/>
              <w:bottom w:val="nil"/>
              <w:right w:val="nil"/>
            </w:tcBorders>
            <w:shd w:val="clear" w:color="auto" w:fill="auto"/>
            <w:noWrap/>
            <w:vAlign w:val="bottom"/>
            <w:hideMark/>
          </w:tcPr>
          <w:p w14:paraId="026D4042"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580" w:type="dxa"/>
            <w:tcBorders>
              <w:top w:val="nil"/>
              <w:left w:val="nil"/>
              <w:bottom w:val="nil"/>
              <w:right w:val="nil"/>
            </w:tcBorders>
            <w:shd w:val="clear" w:color="auto" w:fill="auto"/>
            <w:noWrap/>
            <w:vAlign w:val="bottom"/>
            <w:hideMark/>
          </w:tcPr>
          <w:p w14:paraId="3446C2EC" w14:textId="77777777" w:rsidR="008933E3" w:rsidRPr="008933E3" w:rsidRDefault="008933E3" w:rsidP="008933E3">
            <w:pPr>
              <w:spacing w:after="0" w:line="240" w:lineRule="auto"/>
              <w:jc w:val="right"/>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2020</w:t>
            </w:r>
          </w:p>
        </w:tc>
        <w:tc>
          <w:tcPr>
            <w:tcW w:w="1620" w:type="dxa"/>
            <w:tcBorders>
              <w:top w:val="nil"/>
              <w:left w:val="nil"/>
              <w:bottom w:val="nil"/>
              <w:right w:val="nil"/>
            </w:tcBorders>
            <w:shd w:val="clear" w:color="auto" w:fill="auto"/>
            <w:noWrap/>
            <w:vAlign w:val="bottom"/>
            <w:hideMark/>
          </w:tcPr>
          <w:p w14:paraId="19B0B241" w14:textId="77777777" w:rsidR="008933E3" w:rsidRPr="008933E3" w:rsidRDefault="008933E3" w:rsidP="008933E3">
            <w:pPr>
              <w:spacing w:after="0" w:line="240" w:lineRule="auto"/>
              <w:jc w:val="right"/>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2019</w:t>
            </w:r>
          </w:p>
        </w:tc>
        <w:tc>
          <w:tcPr>
            <w:tcW w:w="1060" w:type="dxa"/>
            <w:tcBorders>
              <w:top w:val="nil"/>
              <w:left w:val="nil"/>
              <w:bottom w:val="nil"/>
              <w:right w:val="nil"/>
            </w:tcBorders>
            <w:shd w:val="clear" w:color="auto" w:fill="auto"/>
            <w:noWrap/>
            <w:vAlign w:val="bottom"/>
            <w:hideMark/>
          </w:tcPr>
          <w:p w14:paraId="2AB31BEA"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Change</w:t>
            </w:r>
          </w:p>
        </w:tc>
        <w:tc>
          <w:tcPr>
            <w:tcW w:w="1060" w:type="dxa"/>
            <w:tcBorders>
              <w:top w:val="nil"/>
              <w:left w:val="nil"/>
              <w:bottom w:val="nil"/>
              <w:right w:val="nil"/>
            </w:tcBorders>
            <w:shd w:val="clear" w:color="auto" w:fill="auto"/>
            <w:noWrap/>
            <w:vAlign w:val="bottom"/>
            <w:hideMark/>
          </w:tcPr>
          <w:p w14:paraId="3442B19B"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 Change</w:t>
            </w:r>
          </w:p>
        </w:tc>
      </w:tr>
      <w:tr w:rsidR="008933E3" w:rsidRPr="008933E3" w14:paraId="0AB4C0F8" w14:textId="77777777" w:rsidTr="008933E3">
        <w:trPr>
          <w:trHeight w:val="300"/>
        </w:trPr>
        <w:tc>
          <w:tcPr>
            <w:tcW w:w="3100" w:type="dxa"/>
            <w:tcBorders>
              <w:top w:val="nil"/>
              <w:left w:val="nil"/>
              <w:bottom w:val="nil"/>
              <w:right w:val="nil"/>
            </w:tcBorders>
            <w:shd w:val="clear" w:color="auto" w:fill="auto"/>
            <w:noWrap/>
            <w:vAlign w:val="bottom"/>
            <w:hideMark/>
          </w:tcPr>
          <w:p w14:paraId="25132D48"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Fiscal Year Ends</w:t>
            </w:r>
          </w:p>
        </w:tc>
        <w:tc>
          <w:tcPr>
            <w:tcW w:w="1580" w:type="dxa"/>
            <w:tcBorders>
              <w:top w:val="nil"/>
              <w:left w:val="nil"/>
              <w:bottom w:val="nil"/>
              <w:right w:val="nil"/>
            </w:tcBorders>
            <w:shd w:val="clear" w:color="auto" w:fill="auto"/>
            <w:noWrap/>
            <w:vAlign w:val="bottom"/>
            <w:hideMark/>
          </w:tcPr>
          <w:p w14:paraId="6BBCEE9B" w14:textId="77777777" w:rsidR="008933E3" w:rsidRPr="008933E3" w:rsidRDefault="008933E3" w:rsidP="008933E3">
            <w:pPr>
              <w:spacing w:after="0" w:line="240" w:lineRule="auto"/>
              <w:jc w:val="right"/>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31.12.2021</w:t>
            </w:r>
          </w:p>
        </w:tc>
        <w:tc>
          <w:tcPr>
            <w:tcW w:w="1620" w:type="dxa"/>
            <w:tcBorders>
              <w:top w:val="nil"/>
              <w:left w:val="nil"/>
              <w:bottom w:val="nil"/>
              <w:right w:val="nil"/>
            </w:tcBorders>
            <w:shd w:val="clear" w:color="auto" w:fill="auto"/>
            <w:noWrap/>
            <w:vAlign w:val="bottom"/>
            <w:hideMark/>
          </w:tcPr>
          <w:p w14:paraId="4A1AAD24" w14:textId="77777777" w:rsidR="008933E3" w:rsidRPr="008933E3" w:rsidRDefault="008933E3" w:rsidP="008933E3">
            <w:pPr>
              <w:spacing w:after="0" w:line="240" w:lineRule="auto"/>
              <w:jc w:val="right"/>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31.12.2020</w:t>
            </w:r>
          </w:p>
        </w:tc>
        <w:tc>
          <w:tcPr>
            <w:tcW w:w="1060" w:type="dxa"/>
            <w:tcBorders>
              <w:top w:val="nil"/>
              <w:left w:val="nil"/>
              <w:bottom w:val="nil"/>
              <w:right w:val="nil"/>
            </w:tcBorders>
            <w:shd w:val="clear" w:color="auto" w:fill="auto"/>
            <w:noWrap/>
            <w:vAlign w:val="bottom"/>
            <w:hideMark/>
          </w:tcPr>
          <w:p w14:paraId="7C71093A" w14:textId="77777777" w:rsidR="008933E3" w:rsidRPr="008933E3" w:rsidRDefault="008933E3" w:rsidP="008933E3">
            <w:pPr>
              <w:spacing w:after="0" w:line="240" w:lineRule="auto"/>
              <w:jc w:val="right"/>
              <w:rPr>
                <w:rFonts w:ascii="Calibri" w:eastAsia="Times New Roman" w:hAnsi="Calibri" w:cs="Calibri"/>
                <w:b/>
                <w:bCs/>
                <w:color w:val="000000"/>
                <w:lang w:val="en-GB" w:eastAsia="en-GB"/>
              </w:rPr>
            </w:pPr>
          </w:p>
        </w:tc>
        <w:tc>
          <w:tcPr>
            <w:tcW w:w="1060" w:type="dxa"/>
            <w:tcBorders>
              <w:top w:val="nil"/>
              <w:left w:val="nil"/>
              <w:bottom w:val="nil"/>
              <w:right w:val="nil"/>
            </w:tcBorders>
            <w:shd w:val="clear" w:color="auto" w:fill="auto"/>
            <w:noWrap/>
            <w:vAlign w:val="bottom"/>
            <w:hideMark/>
          </w:tcPr>
          <w:p w14:paraId="177BFD65"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r>
      <w:tr w:rsidR="008933E3" w:rsidRPr="008933E3" w14:paraId="3215A727" w14:textId="77777777" w:rsidTr="008933E3">
        <w:trPr>
          <w:trHeight w:val="300"/>
        </w:trPr>
        <w:tc>
          <w:tcPr>
            <w:tcW w:w="3100" w:type="dxa"/>
            <w:tcBorders>
              <w:top w:val="nil"/>
              <w:left w:val="nil"/>
              <w:bottom w:val="nil"/>
              <w:right w:val="nil"/>
            </w:tcBorders>
            <w:shd w:val="clear" w:color="auto" w:fill="auto"/>
            <w:noWrap/>
            <w:vAlign w:val="bottom"/>
            <w:hideMark/>
          </w:tcPr>
          <w:p w14:paraId="535BA330"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Sales</w:t>
            </w:r>
          </w:p>
        </w:tc>
        <w:tc>
          <w:tcPr>
            <w:tcW w:w="1580" w:type="dxa"/>
            <w:tcBorders>
              <w:top w:val="nil"/>
              <w:left w:val="nil"/>
              <w:bottom w:val="nil"/>
              <w:right w:val="nil"/>
            </w:tcBorders>
            <w:shd w:val="clear" w:color="auto" w:fill="auto"/>
            <w:noWrap/>
            <w:vAlign w:val="bottom"/>
            <w:hideMark/>
          </w:tcPr>
          <w:p w14:paraId="7D905202"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4.307.000</w:t>
            </w:r>
          </w:p>
        </w:tc>
        <w:tc>
          <w:tcPr>
            <w:tcW w:w="1620" w:type="dxa"/>
            <w:tcBorders>
              <w:top w:val="nil"/>
              <w:left w:val="nil"/>
              <w:bottom w:val="nil"/>
              <w:right w:val="nil"/>
            </w:tcBorders>
            <w:shd w:val="clear" w:color="auto" w:fill="auto"/>
            <w:noWrap/>
            <w:vAlign w:val="bottom"/>
            <w:hideMark/>
          </w:tcPr>
          <w:p w14:paraId="24A7144F"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9.452.000</w:t>
            </w:r>
          </w:p>
        </w:tc>
        <w:tc>
          <w:tcPr>
            <w:tcW w:w="1060" w:type="dxa"/>
            <w:tcBorders>
              <w:top w:val="nil"/>
              <w:left w:val="nil"/>
              <w:bottom w:val="nil"/>
              <w:right w:val="nil"/>
            </w:tcBorders>
            <w:shd w:val="clear" w:color="auto" w:fill="auto"/>
            <w:noWrap/>
            <w:vAlign w:val="bottom"/>
            <w:hideMark/>
          </w:tcPr>
          <w:p w14:paraId="38C2DEA9"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-5145000</w:t>
            </w:r>
          </w:p>
        </w:tc>
        <w:tc>
          <w:tcPr>
            <w:tcW w:w="1060" w:type="dxa"/>
            <w:tcBorders>
              <w:top w:val="nil"/>
              <w:left w:val="nil"/>
              <w:bottom w:val="nil"/>
              <w:right w:val="nil"/>
            </w:tcBorders>
            <w:shd w:val="clear" w:color="auto" w:fill="auto"/>
            <w:noWrap/>
            <w:vAlign w:val="bottom"/>
            <w:hideMark/>
          </w:tcPr>
          <w:p w14:paraId="26E4C992"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-0,5</w:t>
            </w:r>
          </w:p>
        </w:tc>
      </w:tr>
      <w:tr w:rsidR="008933E3" w:rsidRPr="008933E3" w14:paraId="0EFEE240" w14:textId="77777777" w:rsidTr="008933E3">
        <w:trPr>
          <w:trHeight w:val="300"/>
        </w:trPr>
        <w:tc>
          <w:tcPr>
            <w:tcW w:w="3100" w:type="dxa"/>
            <w:tcBorders>
              <w:top w:val="nil"/>
              <w:left w:val="nil"/>
              <w:bottom w:val="nil"/>
              <w:right w:val="nil"/>
            </w:tcBorders>
            <w:shd w:val="clear" w:color="auto" w:fill="auto"/>
            <w:noWrap/>
            <w:vAlign w:val="bottom"/>
            <w:hideMark/>
          </w:tcPr>
          <w:p w14:paraId="03BA5717"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Cost of goods sold</w:t>
            </w:r>
          </w:p>
        </w:tc>
        <w:tc>
          <w:tcPr>
            <w:tcW w:w="1580" w:type="dxa"/>
            <w:tcBorders>
              <w:top w:val="nil"/>
              <w:left w:val="nil"/>
              <w:bottom w:val="nil"/>
              <w:right w:val="nil"/>
            </w:tcBorders>
            <w:shd w:val="clear" w:color="auto" w:fill="auto"/>
            <w:noWrap/>
            <w:vAlign w:val="bottom"/>
            <w:hideMark/>
          </w:tcPr>
          <w:p w14:paraId="1EABD19E"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3.724.000</w:t>
            </w:r>
          </w:p>
        </w:tc>
        <w:tc>
          <w:tcPr>
            <w:tcW w:w="1620" w:type="dxa"/>
            <w:tcBorders>
              <w:top w:val="nil"/>
              <w:left w:val="nil"/>
              <w:bottom w:val="nil"/>
              <w:right w:val="nil"/>
            </w:tcBorders>
            <w:shd w:val="clear" w:color="auto" w:fill="auto"/>
            <w:noWrap/>
            <w:vAlign w:val="bottom"/>
            <w:hideMark/>
          </w:tcPr>
          <w:p w14:paraId="40956015"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7.017.000</w:t>
            </w:r>
          </w:p>
        </w:tc>
        <w:tc>
          <w:tcPr>
            <w:tcW w:w="1060" w:type="dxa"/>
            <w:tcBorders>
              <w:top w:val="nil"/>
              <w:left w:val="nil"/>
              <w:bottom w:val="nil"/>
              <w:right w:val="nil"/>
            </w:tcBorders>
            <w:shd w:val="clear" w:color="auto" w:fill="auto"/>
            <w:noWrap/>
            <w:vAlign w:val="bottom"/>
            <w:hideMark/>
          </w:tcPr>
          <w:p w14:paraId="3D93DC9F"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-3293000</w:t>
            </w:r>
          </w:p>
        </w:tc>
        <w:tc>
          <w:tcPr>
            <w:tcW w:w="1060" w:type="dxa"/>
            <w:tcBorders>
              <w:top w:val="nil"/>
              <w:left w:val="nil"/>
              <w:bottom w:val="nil"/>
              <w:right w:val="nil"/>
            </w:tcBorders>
            <w:shd w:val="clear" w:color="auto" w:fill="auto"/>
            <w:noWrap/>
            <w:vAlign w:val="bottom"/>
            <w:hideMark/>
          </w:tcPr>
          <w:p w14:paraId="6C83952D"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-0,4</w:t>
            </w:r>
          </w:p>
        </w:tc>
      </w:tr>
      <w:tr w:rsidR="008933E3" w:rsidRPr="008933E3" w14:paraId="4FEBCC7C" w14:textId="77777777" w:rsidTr="008933E3">
        <w:trPr>
          <w:trHeight w:val="300"/>
        </w:trPr>
        <w:tc>
          <w:tcPr>
            <w:tcW w:w="3100" w:type="dxa"/>
            <w:tcBorders>
              <w:top w:val="nil"/>
              <w:left w:val="nil"/>
              <w:bottom w:val="nil"/>
              <w:right w:val="nil"/>
            </w:tcBorders>
            <w:shd w:val="clear" w:color="auto" w:fill="auto"/>
            <w:noWrap/>
            <w:vAlign w:val="bottom"/>
            <w:hideMark/>
          </w:tcPr>
          <w:p w14:paraId="633A7150"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Gross profit</w:t>
            </w:r>
          </w:p>
        </w:tc>
        <w:tc>
          <w:tcPr>
            <w:tcW w:w="1580" w:type="dxa"/>
            <w:tcBorders>
              <w:top w:val="nil"/>
              <w:left w:val="nil"/>
              <w:bottom w:val="nil"/>
              <w:right w:val="nil"/>
            </w:tcBorders>
            <w:shd w:val="clear" w:color="auto" w:fill="auto"/>
            <w:noWrap/>
            <w:vAlign w:val="bottom"/>
            <w:hideMark/>
          </w:tcPr>
          <w:p w14:paraId="5419EF84"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583.000</w:t>
            </w:r>
          </w:p>
        </w:tc>
        <w:tc>
          <w:tcPr>
            <w:tcW w:w="1620" w:type="dxa"/>
            <w:tcBorders>
              <w:top w:val="nil"/>
              <w:left w:val="nil"/>
              <w:bottom w:val="nil"/>
              <w:right w:val="nil"/>
            </w:tcBorders>
            <w:shd w:val="clear" w:color="auto" w:fill="auto"/>
            <w:noWrap/>
            <w:vAlign w:val="bottom"/>
            <w:hideMark/>
          </w:tcPr>
          <w:p w14:paraId="0206728C"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2.435.000</w:t>
            </w:r>
          </w:p>
        </w:tc>
        <w:tc>
          <w:tcPr>
            <w:tcW w:w="1060" w:type="dxa"/>
            <w:tcBorders>
              <w:top w:val="nil"/>
              <w:left w:val="nil"/>
              <w:bottom w:val="nil"/>
              <w:right w:val="nil"/>
            </w:tcBorders>
            <w:shd w:val="clear" w:color="auto" w:fill="auto"/>
            <w:noWrap/>
            <w:vAlign w:val="bottom"/>
            <w:hideMark/>
          </w:tcPr>
          <w:p w14:paraId="4C65254C"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-2382000</w:t>
            </w:r>
          </w:p>
        </w:tc>
        <w:tc>
          <w:tcPr>
            <w:tcW w:w="1060" w:type="dxa"/>
            <w:tcBorders>
              <w:top w:val="nil"/>
              <w:left w:val="nil"/>
              <w:bottom w:val="nil"/>
              <w:right w:val="nil"/>
            </w:tcBorders>
            <w:shd w:val="clear" w:color="auto" w:fill="auto"/>
            <w:noWrap/>
            <w:vAlign w:val="bottom"/>
            <w:hideMark/>
          </w:tcPr>
          <w:p w14:paraId="5F54B68B"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-0,1</w:t>
            </w:r>
          </w:p>
        </w:tc>
      </w:tr>
      <w:tr w:rsidR="008933E3" w:rsidRPr="008933E3" w14:paraId="36B75CF4" w14:textId="77777777" w:rsidTr="008933E3">
        <w:trPr>
          <w:trHeight w:val="300"/>
        </w:trPr>
        <w:tc>
          <w:tcPr>
            <w:tcW w:w="3100" w:type="dxa"/>
            <w:tcBorders>
              <w:top w:val="nil"/>
              <w:left w:val="nil"/>
              <w:bottom w:val="nil"/>
              <w:right w:val="nil"/>
            </w:tcBorders>
            <w:shd w:val="clear" w:color="auto" w:fill="auto"/>
            <w:noWrap/>
            <w:vAlign w:val="bottom"/>
            <w:hideMark/>
          </w:tcPr>
          <w:p w14:paraId="241090A8"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Operating Expenses</w:t>
            </w:r>
          </w:p>
        </w:tc>
        <w:tc>
          <w:tcPr>
            <w:tcW w:w="1580" w:type="dxa"/>
            <w:tcBorders>
              <w:top w:val="nil"/>
              <w:left w:val="nil"/>
              <w:bottom w:val="nil"/>
              <w:right w:val="nil"/>
            </w:tcBorders>
            <w:shd w:val="clear" w:color="auto" w:fill="auto"/>
            <w:noWrap/>
            <w:vAlign w:val="bottom"/>
            <w:hideMark/>
          </w:tcPr>
          <w:p w14:paraId="2A8A4E2E"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702.000</w:t>
            </w:r>
          </w:p>
        </w:tc>
        <w:tc>
          <w:tcPr>
            <w:tcW w:w="1620" w:type="dxa"/>
            <w:tcBorders>
              <w:top w:val="nil"/>
              <w:left w:val="nil"/>
              <w:bottom w:val="nil"/>
              <w:right w:val="nil"/>
            </w:tcBorders>
            <w:shd w:val="clear" w:color="auto" w:fill="auto"/>
            <w:noWrap/>
            <w:vAlign w:val="bottom"/>
            <w:hideMark/>
          </w:tcPr>
          <w:p w14:paraId="16E609B0"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859.000</w:t>
            </w:r>
          </w:p>
        </w:tc>
        <w:tc>
          <w:tcPr>
            <w:tcW w:w="1060" w:type="dxa"/>
            <w:tcBorders>
              <w:top w:val="nil"/>
              <w:left w:val="nil"/>
              <w:bottom w:val="nil"/>
              <w:right w:val="nil"/>
            </w:tcBorders>
            <w:shd w:val="clear" w:color="auto" w:fill="auto"/>
            <w:noWrap/>
            <w:vAlign w:val="bottom"/>
            <w:hideMark/>
          </w:tcPr>
          <w:p w14:paraId="120E69A6"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-157000</w:t>
            </w:r>
          </w:p>
        </w:tc>
        <w:tc>
          <w:tcPr>
            <w:tcW w:w="1060" w:type="dxa"/>
            <w:tcBorders>
              <w:top w:val="nil"/>
              <w:left w:val="nil"/>
              <w:bottom w:val="nil"/>
              <w:right w:val="nil"/>
            </w:tcBorders>
            <w:shd w:val="clear" w:color="auto" w:fill="auto"/>
            <w:noWrap/>
            <w:vAlign w:val="bottom"/>
            <w:hideMark/>
          </w:tcPr>
          <w:p w14:paraId="4DF7CE6F"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-0,2</w:t>
            </w:r>
          </w:p>
        </w:tc>
      </w:tr>
      <w:tr w:rsidR="008933E3" w:rsidRPr="008933E3" w14:paraId="59FA4496" w14:textId="77777777" w:rsidTr="008933E3">
        <w:trPr>
          <w:trHeight w:val="300"/>
        </w:trPr>
        <w:tc>
          <w:tcPr>
            <w:tcW w:w="3100" w:type="dxa"/>
            <w:tcBorders>
              <w:top w:val="nil"/>
              <w:left w:val="nil"/>
              <w:bottom w:val="nil"/>
              <w:right w:val="nil"/>
            </w:tcBorders>
            <w:shd w:val="clear" w:color="auto" w:fill="auto"/>
            <w:noWrap/>
            <w:vAlign w:val="bottom"/>
            <w:hideMark/>
          </w:tcPr>
          <w:p w14:paraId="3375D44F"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Operating income</w:t>
            </w:r>
          </w:p>
        </w:tc>
        <w:tc>
          <w:tcPr>
            <w:tcW w:w="1580" w:type="dxa"/>
            <w:tcBorders>
              <w:top w:val="nil"/>
              <w:left w:val="nil"/>
              <w:bottom w:val="nil"/>
              <w:right w:val="nil"/>
            </w:tcBorders>
            <w:shd w:val="clear" w:color="auto" w:fill="auto"/>
            <w:noWrap/>
            <w:vAlign w:val="bottom"/>
            <w:hideMark/>
          </w:tcPr>
          <w:p w14:paraId="4A5EA21B"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-119.000</w:t>
            </w:r>
          </w:p>
        </w:tc>
        <w:tc>
          <w:tcPr>
            <w:tcW w:w="1620" w:type="dxa"/>
            <w:tcBorders>
              <w:top w:val="nil"/>
              <w:left w:val="nil"/>
              <w:bottom w:val="nil"/>
              <w:right w:val="nil"/>
            </w:tcBorders>
            <w:shd w:val="clear" w:color="auto" w:fill="auto"/>
            <w:noWrap/>
            <w:vAlign w:val="bottom"/>
            <w:hideMark/>
          </w:tcPr>
          <w:p w14:paraId="2B7DC39F"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1.576.000</w:t>
            </w:r>
          </w:p>
        </w:tc>
        <w:tc>
          <w:tcPr>
            <w:tcW w:w="1060" w:type="dxa"/>
            <w:tcBorders>
              <w:top w:val="nil"/>
              <w:left w:val="nil"/>
              <w:bottom w:val="nil"/>
              <w:right w:val="nil"/>
            </w:tcBorders>
            <w:shd w:val="clear" w:color="auto" w:fill="auto"/>
            <w:noWrap/>
            <w:vAlign w:val="bottom"/>
            <w:hideMark/>
          </w:tcPr>
          <w:p w14:paraId="12C66E20"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-1695000</w:t>
            </w:r>
          </w:p>
        </w:tc>
        <w:tc>
          <w:tcPr>
            <w:tcW w:w="1060" w:type="dxa"/>
            <w:tcBorders>
              <w:top w:val="nil"/>
              <w:left w:val="nil"/>
              <w:bottom w:val="nil"/>
              <w:right w:val="nil"/>
            </w:tcBorders>
            <w:shd w:val="clear" w:color="auto" w:fill="auto"/>
            <w:noWrap/>
            <w:vAlign w:val="bottom"/>
            <w:hideMark/>
          </w:tcPr>
          <w:p w14:paraId="617B806A"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-1</w:t>
            </w:r>
          </w:p>
        </w:tc>
      </w:tr>
      <w:tr w:rsidR="008933E3" w:rsidRPr="008933E3" w14:paraId="72C4DDDE" w14:textId="77777777" w:rsidTr="008933E3">
        <w:trPr>
          <w:trHeight w:val="300"/>
        </w:trPr>
        <w:tc>
          <w:tcPr>
            <w:tcW w:w="3100" w:type="dxa"/>
            <w:tcBorders>
              <w:top w:val="nil"/>
              <w:left w:val="nil"/>
              <w:bottom w:val="nil"/>
              <w:right w:val="nil"/>
            </w:tcBorders>
            <w:shd w:val="clear" w:color="auto" w:fill="auto"/>
            <w:noWrap/>
            <w:vAlign w:val="bottom"/>
            <w:hideMark/>
          </w:tcPr>
          <w:p w14:paraId="712625C6"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Interest Expense</w:t>
            </w:r>
          </w:p>
        </w:tc>
        <w:tc>
          <w:tcPr>
            <w:tcW w:w="1580" w:type="dxa"/>
            <w:tcBorders>
              <w:top w:val="nil"/>
              <w:left w:val="nil"/>
              <w:bottom w:val="nil"/>
              <w:right w:val="nil"/>
            </w:tcBorders>
            <w:shd w:val="clear" w:color="auto" w:fill="auto"/>
            <w:noWrap/>
            <w:vAlign w:val="bottom"/>
            <w:hideMark/>
          </w:tcPr>
          <w:p w14:paraId="5F8423B9"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429.000</w:t>
            </w:r>
          </w:p>
        </w:tc>
        <w:tc>
          <w:tcPr>
            <w:tcW w:w="1620" w:type="dxa"/>
            <w:tcBorders>
              <w:top w:val="nil"/>
              <w:left w:val="nil"/>
              <w:bottom w:val="nil"/>
              <w:right w:val="nil"/>
            </w:tcBorders>
            <w:shd w:val="clear" w:color="auto" w:fill="auto"/>
            <w:noWrap/>
            <w:vAlign w:val="bottom"/>
            <w:hideMark/>
          </w:tcPr>
          <w:p w14:paraId="6B5B67B7"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414.000</w:t>
            </w:r>
          </w:p>
        </w:tc>
        <w:tc>
          <w:tcPr>
            <w:tcW w:w="1060" w:type="dxa"/>
            <w:tcBorders>
              <w:top w:val="nil"/>
              <w:left w:val="nil"/>
              <w:bottom w:val="nil"/>
              <w:right w:val="nil"/>
            </w:tcBorders>
            <w:shd w:val="clear" w:color="auto" w:fill="auto"/>
            <w:noWrap/>
            <w:vAlign w:val="bottom"/>
            <w:hideMark/>
          </w:tcPr>
          <w:p w14:paraId="2CA6CCD2"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-372000</w:t>
            </w:r>
          </w:p>
        </w:tc>
        <w:tc>
          <w:tcPr>
            <w:tcW w:w="1060" w:type="dxa"/>
            <w:tcBorders>
              <w:top w:val="nil"/>
              <w:left w:val="nil"/>
              <w:bottom w:val="nil"/>
              <w:right w:val="nil"/>
            </w:tcBorders>
            <w:shd w:val="clear" w:color="auto" w:fill="auto"/>
            <w:noWrap/>
            <w:vAlign w:val="bottom"/>
            <w:hideMark/>
          </w:tcPr>
          <w:p w14:paraId="160C5927"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-0,9</w:t>
            </w:r>
          </w:p>
        </w:tc>
      </w:tr>
      <w:tr w:rsidR="008933E3" w:rsidRPr="008933E3" w14:paraId="45ED1A03" w14:textId="77777777" w:rsidTr="008933E3">
        <w:trPr>
          <w:trHeight w:val="300"/>
        </w:trPr>
        <w:tc>
          <w:tcPr>
            <w:tcW w:w="3100" w:type="dxa"/>
            <w:tcBorders>
              <w:top w:val="nil"/>
              <w:left w:val="nil"/>
              <w:bottom w:val="nil"/>
              <w:right w:val="nil"/>
            </w:tcBorders>
            <w:shd w:val="clear" w:color="auto" w:fill="auto"/>
            <w:noWrap/>
            <w:vAlign w:val="bottom"/>
            <w:hideMark/>
          </w:tcPr>
          <w:p w14:paraId="05809067"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 xml:space="preserve">Total other income/expenses </w:t>
            </w:r>
          </w:p>
        </w:tc>
        <w:tc>
          <w:tcPr>
            <w:tcW w:w="1580" w:type="dxa"/>
            <w:tcBorders>
              <w:top w:val="nil"/>
              <w:left w:val="nil"/>
              <w:bottom w:val="nil"/>
              <w:right w:val="nil"/>
            </w:tcBorders>
            <w:shd w:val="clear" w:color="auto" w:fill="auto"/>
            <w:noWrap/>
            <w:vAlign w:val="bottom"/>
            <w:hideMark/>
          </w:tcPr>
          <w:p w14:paraId="3030718C" w14:textId="77777777" w:rsidR="008933E3" w:rsidRPr="008933E3" w:rsidRDefault="008933E3" w:rsidP="008933E3">
            <w:pPr>
              <w:spacing w:after="0" w:line="240" w:lineRule="auto"/>
              <w:rPr>
                <w:rFonts w:ascii="Calibri" w:eastAsia="Times New Roman" w:hAnsi="Calibri" w:cs="Calibri"/>
                <w:b/>
                <w:bCs/>
                <w:color w:val="000000"/>
                <w:lang w:val="en-GB" w:eastAsia="en-GB"/>
              </w:rPr>
            </w:pPr>
          </w:p>
        </w:tc>
        <w:tc>
          <w:tcPr>
            <w:tcW w:w="1620" w:type="dxa"/>
            <w:tcBorders>
              <w:top w:val="nil"/>
              <w:left w:val="nil"/>
              <w:bottom w:val="nil"/>
              <w:right w:val="nil"/>
            </w:tcBorders>
            <w:shd w:val="clear" w:color="auto" w:fill="auto"/>
            <w:noWrap/>
            <w:vAlign w:val="bottom"/>
            <w:hideMark/>
          </w:tcPr>
          <w:p w14:paraId="4D80CF31"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619961A4"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5443BE6C"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r>
      <w:tr w:rsidR="008933E3" w:rsidRPr="008933E3" w14:paraId="46ED87A7" w14:textId="77777777" w:rsidTr="008933E3">
        <w:trPr>
          <w:trHeight w:val="300"/>
        </w:trPr>
        <w:tc>
          <w:tcPr>
            <w:tcW w:w="3100" w:type="dxa"/>
            <w:tcBorders>
              <w:top w:val="nil"/>
              <w:left w:val="nil"/>
              <w:bottom w:val="nil"/>
              <w:right w:val="nil"/>
            </w:tcBorders>
            <w:shd w:val="clear" w:color="auto" w:fill="auto"/>
            <w:noWrap/>
            <w:vAlign w:val="bottom"/>
            <w:hideMark/>
          </w:tcPr>
          <w:p w14:paraId="340BCAB2"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net</w:t>
            </w:r>
          </w:p>
        </w:tc>
        <w:tc>
          <w:tcPr>
            <w:tcW w:w="1580" w:type="dxa"/>
            <w:tcBorders>
              <w:top w:val="nil"/>
              <w:left w:val="nil"/>
              <w:bottom w:val="nil"/>
              <w:right w:val="nil"/>
            </w:tcBorders>
            <w:shd w:val="clear" w:color="auto" w:fill="auto"/>
            <w:noWrap/>
            <w:vAlign w:val="bottom"/>
            <w:hideMark/>
          </w:tcPr>
          <w:p w14:paraId="436BCDD4"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-376.000</w:t>
            </w:r>
          </w:p>
        </w:tc>
        <w:tc>
          <w:tcPr>
            <w:tcW w:w="1620" w:type="dxa"/>
            <w:tcBorders>
              <w:top w:val="nil"/>
              <w:left w:val="nil"/>
              <w:bottom w:val="nil"/>
              <w:right w:val="nil"/>
            </w:tcBorders>
            <w:shd w:val="clear" w:color="auto" w:fill="auto"/>
            <w:noWrap/>
            <w:vAlign w:val="bottom"/>
            <w:hideMark/>
          </w:tcPr>
          <w:p w14:paraId="19C41C94"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82.000</w:t>
            </w:r>
          </w:p>
        </w:tc>
        <w:tc>
          <w:tcPr>
            <w:tcW w:w="1060" w:type="dxa"/>
            <w:tcBorders>
              <w:top w:val="nil"/>
              <w:left w:val="nil"/>
              <w:bottom w:val="nil"/>
              <w:right w:val="nil"/>
            </w:tcBorders>
            <w:shd w:val="clear" w:color="auto" w:fill="auto"/>
            <w:noWrap/>
            <w:vAlign w:val="bottom"/>
            <w:hideMark/>
          </w:tcPr>
          <w:p w14:paraId="13891616"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-458000</w:t>
            </w:r>
          </w:p>
        </w:tc>
        <w:tc>
          <w:tcPr>
            <w:tcW w:w="1060" w:type="dxa"/>
            <w:tcBorders>
              <w:top w:val="nil"/>
              <w:left w:val="nil"/>
              <w:bottom w:val="nil"/>
              <w:right w:val="nil"/>
            </w:tcBorders>
            <w:shd w:val="clear" w:color="auto" w:fill="auto"/>
            <w:noWrap/>
            <w:vAlign w:val="bottom"/>
            <w:hideMark/>
          </w:tcPr>
          <w:p w14:paraId="0D2105F0"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-5,5</w:t>
            </w:r>
          </w:p>
        </w:tc>
      </w:tr>
      <w:tr w:rsidR="008933E3" w:rsidRPr="008933E3" w14:paraId="31C854B6" w14:textId="77777777" w:rsidTr="008933E3">
        <w:trPr>
          <w:trHeight w:val="300"/>
        </w:trPr>
        <w:tc>
          <w:tcPr>
            <w:tcW w:w="3100" w:type="dxa"/>
            <w:tcBorders>
              <w:top w:val="nil"/>
              <w:left w:val="nil"/>
              <w:bottom w:val="nil"/>
              <w:right w:val="nil"/>
            </w:tcBorders>
            <w:shd w:val="clear" w:color="auto" w:fill="auto"/>
            <w:noWrap/>
            <w:vAlign w:val="bottom"/>
            <w:hideMark/>
          </w:tcPr>
          <w:p w14:paraId="2179E5BD"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Income before taxes</w:t>
            </w:r>
          </w:p>
        </w:tc>
        <w:tc>
          <w:tcPr>
            <w:tcW w:w="1580" w:type="dxa"/>
            <w:tcBorders>
              <w:top w:val="nil"/>
              <w:left w:val="nil"/>
              <w:bottom w:val="nil"/>
              <w:right w:val="nil"/>
            </w:tcBorders>
            <w:shd w:val="clear" w:color="auto" w:fill="auto"/>
            <w:noWrap/>
            <w:vAlign w:val="bottom"/>
            <w:hideMark/>
          </w:tcPr>
          <w:p w14:paraId="5C6F55DB"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-924.000</w:t>
            </w:r>
          </w:p>
        </w:tc>
        <w:tc>
          <w:tcPr>
            <w:tcW w:w="1620" w:type="dxa"/>
            <w:tcBorders>
              <w:top w:val="nil"/>
              <w:left w:val="nil"/>
              <w:bottom w:val="nil"/>
              <w:right w:val="nil"/>
            </w:tcBorders>
            <w:shd w:val="clear" w:color="auto" w:fill="auto"/>
            <w:noWrap/>
            <w:vAlign w:val="bottom"/>
            <w:hideMark/>
          </w:tcPr>
          <w:p w14:paraId="363D965D"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1.244.000</w:t>
            </w:r>
          </w:p>
        </w:tc>
        <w:tc>
          <w:tcPr>
            <w:tcW w:w="1060" w:type="dxa"/>
            <w:tcBorders>
              <w:top w:val="nil"/>
              <w:left w:val="nil"/>
              <w:bottom w:val="nil"/>
              <w:right w:val="nil"/>
            </w:tcBorders>
            <w:shd w:val="clear" w:color="auto" w:fill="auto"/>
            <w:noWrap/>
            <w:vAlign w:val="bottom"/>
            <w:hideMark/>
          </w:tcPr>
          <w:p w14:paraId="73BE4586"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-2168000</w:t>
            </w:r>
          </w:p>
        </w:tc>
        <w:tc>
          <w:tcPr>
            <w:tcW w:w="1060" w:type="dxa"/>
            <w:tcBorders>
              <w:top w:val="nil"/>
              <w:left w:val="nil"/>
              <w:bottom w:val="nil"/>
              <w:right w:val="nil"/>
            </w:tcBorders>
            <w:shd w:val="clear" w:color="auto" w:fill="auto"/>
            <w:noWrap/>
            <w:vAlign w:val="bottom"/>
            <w:hideMark/>
          </w:tcPr>
          <w:p w14:paraId="657E1A6B"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-2</w:t>
            </w:r>
          </w:p>
        </w:tc>
      </w:tr>
      <w:tr w:rsidR="008933E3" w:rsidRPr="008933E3" w14:paraId="5B117E38" w14:textId="77777777" w:rsidTr="008933E3">
        <w:trPr>
          <w:trHeight w:val="300"/>
        </w:trPr>
        <w:tc>
          <w:tcPr>
            <w:tcW w:w="3100" w:type="dxa"/>
            <w:tcBorders>
              <w:top w:val="nil"/>
              <w:left w:val="nil"/>
              <w:bottom w:val="nil"/>
              <w:right w:val="nil"/>
            </w:tcBorders>
            <w:shd w:val="clear" w:color="auto" w:fill="auto"/>
            <w:noWrap/>
            <w:vAlign w:val="bottom"/>
            <w:hideMark/>
          </w:tcPr>
          <w:p w14:paraId="6D669BC9" w14:textId="77777777" w:rsidR="008933E3" w:rsidRPr="008933E3" w:rsidRDefault="008933E3" w:rsidP="008933E3">
            <w:pPr>
              <w:spacing w:after="0" w:line="240" w:lineRule="auto"/>
              <w:rPr>
                <w:rFonts w:ascii="Calibri" w:eastAsia="Times New Roman" w:hAnsi="Calibri" w:cs="Calibri"/>
                <w:b/>
                <w:bCs/>
                <w:color w:val="000000"/>
                <w:lang w:val="en-GB" w:eastAsia="en-GB"/>
              </w:rPr>
            </w:pPr>
            <w:r w:rsidRPr="008933E3">
              <w:rPr>
                <w:rFonts w:ascii="Calibri" w:eastAsia="Times New Roman" w:hAnsi="Calibri" w:cs="Calibri"/>
                <w:b/>
                <w:bCs/>
                <w:color w:val="000000"/>
                <w:lang w:val="en-GB" w:eastAsia="en-GB"/>
              </w:rPr>
              <w:t>Net Income</w:t>
            </w:r>
          </w:p>
        </w:tc>
        <w:tc>
          <w:tcPr>
            <w:tcW w:w="1580" w:type="dxa"/>
            <w:tcBorders>
              <w:top w:val="nil"/>
              <w:left w:val="nil"/>
              <w:bottom w:val="nil"/>
              <w:right w:val="nil"/>
            </w:tcBorders>
            <w:shd w:val="clear" w:color="auto" w:fill="auto"/>
            <w:noWrap/>
            <w:vAlign w:val="bottom"/>
            <w:hideMark/>
          </w:tcPr>
          <w:p w14:paraId="14736DC6"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-715.000</w:t>
            </w:r>
          </w:p>
        </w:tc>
        <w:tc>
          <w:tcPr>
            <w:tcW w:w="1620" w:type="dxa"/>
            <w:tcBorders>
              <w:top w:val="nil"/>
              <w:left w:val="nil"/>
              <w:bottom w:val="nil"/>
              <w:right w:val="nil"/>
            </w:tcBorders>
            <w:shd w:val="clear" w:color="auto" w:fill="auto"/>
            <w:noWrap/>
            <w:vAlign w:val="bottom"/>
            <w:hideMark/>
          </w:tcPr>
          <w:p w14:paraId="2B47133B"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881.000</w:t>
            </w:r>
          </w:p>
        </w:tc>
        <w:tc>
          <w:tcPr>
            <w:tcW w:w="1060" w:type="dxa"/>
            <w:tcBorders>
              <w:top w:val="nil"/>
              <w:left w:val="nil"/>
              <w:bottom w:val="nil"/>
              <w:right w:val="nil"/>
            </w:tcBorders>
            <w:shd w:val="clear" w:color="auto" w:fill="auto"/>
            <w:noWrap/>
            <w:vAlign w:val="bottom"/>
            <w:hideMark/>
          </w:tcPr>
          <w:p w14:paraId="60B99127"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-1596000</w:t>
            </w:r>
          </w:p>
        </w:tc>
        <w:tc>
          <w:tcPr>
            <w:tcW w:w="1060" w:type="dxa"/>
            <w:tcBorders>
              <w:top w:val="nil"/>
              <w:left w:val="nil"/>
              <w:bottom w:val="nil"/>
              <w:right w:val="nil"/>
            </w:tcBorders>
            <w:shd w:val="clear" w:color="auto" w:fill="auto"/>
            <w:noWrap/>
            <w:vAlign w:val="bottom"/>
            <w:hideMark/>
          </w:tcPr>
          <w:p w14:paraId="4A027363"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r w:rsidRPr="008933E3">
              <w:rPr>
                <w:rFonts w:ascii="Calibri" w:eastAsia="Times New Roman" w:hAnsi="Calibri" w:cs="Calibri"/>
                <w:color w:val="000000"/>
                <w:lang w:val="en-GB" w:eastAsia="en-GB"/>
              </w:rPr>
              <w:t>-2</w:t>
            </w:r>
          </w:p>
        </w:tc>
      </w:tr>
      <w:tr w:rsidR="008933E3" w:rsidRPr="008933E3" w14:paraId="3B1B51A8" w14:textId="77777777" w:rsidTr="008933E3">
        <w:trPr>
          <w:trHeight w:val="300"/>
        </w:trPr>
        <w:tc>
          <w:tcPr>
            <w:tcW w:w="3100" w:type="dxa"/>
            <w:tcBorders>
              <w:top w:val="nil"/>
              <w:left w:val="nil"/>
              <w:bottom w:val="nil"/>
              <w:right w:val="nil"/>
            </w:tcBorders>
            <w:shd w:val="clear" w:color="auto" w:fill="auto"/>
            <w:noWrap/>
            <w:vAlign w:val="bottom"/>
            <w:hideMark/>
          </w:tcPr>
          <w:p w14:paraId="492421B4" w14:textId="77777777" w:rsidR="008933E3" w:rsidRPr="008933E3" w:rsidRDefault="008933E3" w:rsidP="008933E3">
            <w:pPr>
              <w:spacing w:after="0" w:line="240" w:lineRule="auto"/>
              <w:jc w:val="right"/>
              <w:rPr>
                <w:rFonts w:ascii="Calibri" w:eastAsia="Times New Roman" w:hAnsi="Calibri" w:cs="Calibri"/>
                <w:color w:val="000000"/>
                <w:lang w:val="en-GB" w:eastAsia="en-GB"/>
              </w:rPr>
            </w:pPr>
          </w:p>
        </w:tc>
        <w:tc>
          <w:tcPr>
            <w:tcW w:w="1580" w:type="dxa"/>
            <w:tcBorders>
              <w:top w:val="nil"/>
              <w:left w:val="nil"/>
              <w:bottom w:val="nil"/>
              <w:right w:val="nil"/>
            </w:tcBorders>
            <w:shd w:val="clear" w:color="auto" w:fill="auto"/>
            <w:noWrap/>
            <w:vAlign w:val="bottom"/>
            <w:hideMark/>
          </w:tcPr>
          <w:p w14:paraId="0A2DDDCC"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620" w:type="dxa"/>
            <w:tcBorders>
              <w:top w:val="nil"/>
              <w:left w:val="nil"/>
              <w:bottom w:val="nil"/>
              <w:right w:val="nil"/>
            </w:tcBorders>
            <w:shd w:val="clear" w:color="auto" w:fill="auto"/>
            <w:noWrap/>
            <w:vAlign w:val="bottom"/>
            <w:hideMark/>
          </w:tcPr>
          <w:p w14:paraId="1CA281B3"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21567869"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c>
          <w:tcPr>
            <w:tcW w:w="1060" w:type="dxa"/>
            <w:tcBorders>
              <w:top w:val="nil"/>
              <w:left w:val="nil"/>
              <w:bottom w:val="nil"/>
              <w:right w:val="nil"/>
            </w:tcBorders>
            <w:shd w:val="clear" w:color="auto" w:fill="auto"/>
            <w:noWrap/>
            <w:vAlign w:val="bottom"/>
            <w:hideMark/>
          </w:tcPr>
          <w:p w14:paraId="0D561975" w14:textId="77777777" w:rsidR="008933E3" w:rsidRPr="008933E3" w:rsidRDefault="008933E3" w:rsidP="008933E3">
            <w:pPr>
              <w:spacing w:after="0" w:line="240" w:lineRule="auto"/>
              <w:rPr>
                <w:rFonts w:ascii="Times New Roman" w:eastAsia="Times New Roman" w:hAnsi="Times New Roman" w:cs="Times New Roman"/>
                <w:sz w:val="20"/>
                <w:szCs w:val="20"/>
                <w:lang w:val="en-GB" w:eastAsia="en-GB"/>
              </w:rPr>
            </w:pPr>
          </w:p>
        </w:tc>
      </w:tr>
    </w:tbl>
    <w:p w14:paraId="6760CC0F" w14:textId="2F28A710" w:rsidR="008933E3" w:rsidRPr="003D4590" w:rsidRDefault="008933E3" w:rsidP="4F218F7F">
      <w:pPr>
        <w:spacing w:line="360" w:lineRule="auto"/>
        <w:jc w:val="both"/>
        <w:rPr>
          <w:rFonts w:ascii="Arial" w:eastAsia="Arial" w:hAnsi="Arial" w:cs="Arial"/>
          <w:b/>
          <w:bCs/>
          <w:sz w:val="24"/>
          <w:szCs w:val="24"/>
          <w:lang w:val="en-GB"/>
        </w:rPr>
      </w:pPr>
    </w:p>
    <w:p w14:paraId="459DD79F" w14:textId="27D92ED6" w:rsidR="008933E3" w:rsidRPr="003D4590" w:rsidRDefault="008933E3" w:rsidP="4F218F7F">
      <w:pPr>
        <w:spacing w:line="360" w:lineRule="auto"/>
        <w:jc w:val="both"/>
        <w:rPr>
          <w:rFonts w:ascii="Arial" w:eastAsia="Arial" w:hAnsi="Arial" w:cs="Arial"/>
          <w:sz w:val="24"/>
          <w:szCs w:val="24"/>
          <w:lang w:val="en-GB"/>
        </w:rPr>
      </w:pPr>
      <w:r w:rsidRPr="003D4590">
        <w:rPr>
          <w:rFonts w:ascii="Arial" w:eastAsia="Arial" w:hAnsi="Arial" w:cs="Arial"/>
          <w:sz w:val="24"/>
          <w:szCs w:val="24"/>
          <w:lang w:val="en-GB"/>
        </w:rPr>
        <w:t xml:space="preserve">As you can see in the income statement the sales have </w:t>
      </w:r>
      <w:r w:rsidR="003D4590" w:rsidRPr="003D4590">
        <w:rPr>
          <w:rFonts w:ascii="Arial" w:eastAsia="Arial" w:hAnsi="Arial" w:cs="Arial"/>
          <w:sz w:val="24"/>
          <w:szCs w:val="24"/>
          <w:lang w:val="en-GB"/>
        </w:rPr>
        <w:t>greatly</w:t>
      </w:r>
      <w:r w:rsidRPr="003D4590">
        <w:rPr>
          <w:rFonts w:ascii="Arial" w:eastAsia="Arial" w:hAnsi="Arial" w:cs="Arial"/>
          <w:sz w:val="24"/>
          <w:szCs w:val="24"/>
          <w:lang w:val="en-GB"/>
        </w:rPr>
        <w:t xml:space="preserve"> decreased. Which in short is bad for business. It is indeed in result of Covid 19 the worldwide pandemic that was suffered all around the world and no doubt has </w:t>
      </w:r>
      <w:r w:rsidR="003D4590" w:rsidRPr="003D4590">
        <w:rPr>
          <w:rFonts w:ascii="Arial" w:eastAsia="Arial" w:hAnsi="Arial" w:cs="Arial"/>
          <w:sz w:val="24"/>
          <w:szCs w:val="24"/>
          <w:lang w:val="en-GB"/>
        </w:rPr>
        <w:t>a</w:t>
      </w:r>
      <w:r w:rsidRPr="003D4590">
        <w:rPr>
          <w:rFonts w:ascii="Arial" w:eastAsia="Arial" w:hAnsi="Arial" w:cs="Arial"/>
          <w:sz w:val="24"/>
          <w:szCs w:val="24"/>
          <w:lang w:val="en-GB"/>
        </w:rPr>
        <w:t>ffected the sales of Hilton.</w:t>
      </w:r>
    </w:p>
    <w:p w14:paraId="4CFB9417" w14:textId="229FD5B2" w:rsidR="008933E3" w:rsidRPr="003D4590" w:rsidRDefault="003D4590" w:rsidP="003D4590">
      <w:pPr>
        <w:spacing w:line="360" w:lineRule="auto"/>
        <w:jc w:val="center"/>
        <w:rPr>
          <w:rFonts w:ascii="Arial" w:eastAsia="Arial" w:hAnsi="Arial" w:cs="Arial"/>
          <w:b/>
          <w:bCs/>
          <w:sz w:val="24"/>
          <w:szCs w:val="24"/>
          <w:lang w:val="en-GB"/>
        </w:rPr>
      </w:pPr>
      <w:r w:rsidRPr="003D4590">
        <w:rPr>
          <w:noProof/>
          <w:lang w:val="en-GB"/>
        </w:rPr>
        <w:drawing>
          <wp:inline distT="0" distB="0" distL="0" distR="0" wp14:anchorId="68D5D0CC" wp14:editId="4CD6190E">
            <wp:extent cx="3938155" cy="2150918"/>
            <wp:effectExtent l="0" t="0" r="12065" b="8255"/>
            <wp:docPr id="1" name="Chart 1">
              <a:extLst xmlns:a="http://schemas.openxmlformats.org/drawingml/2006/main">
                <a:ext uri="{FF2B5EF4-FFF2-40B4-BE49-F238E27FC236}">
                  <a16:creationId xmlns:a16="http://schemas.microsoft.com/office/drawing/2014/main" id="{7FF0F83E-427C-6D4D-9952-B596091D83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0A98726" w14:textId="77777777" w:rsidR="003D4590" w:rsidRPr="003D4590" w:rsidRDefault="003D4590" w:rsidP="008933E3">
      <w:pPr>
        <w:pStyle w:val="Heading1"/>
        <w:rPr>
          <w:rFonts w:ascii="Arial" w:eastAsia="Arial" w:hAnsi="Arial" w:cs="Arial"/>
          <w:b/>
          <w:bCs/>
          <w:color w:val="000000" w:themeColor="text1"/>
          <w:lang w:val="en-GB"/>
        </w:rPr>
      </w:pPr>
    </w:p>
    <w:p w14:paraId="6BDC207C" w14:textId="766241C5" w:rsidR="003D4590" w:rsidRDefault="003D4590" w:rsidP="008933E3">
      <w:pPr>
        <w:pStyle w:val="Heading1"/>
        <w:rPr>
          <w:rFonts w:ascii="Arial" w:eastAsia="Arial" w:hAnsi="Arial" w:cs="Arial"/>
          <w:color w:val="000000" w:themeColor="text1"/>
          <w:sz w:val="24"/>
          <w:szCs w:val="24"/>
          <w:lang w:val="en-GB"/>
        </w:rPr>
      </w:pPr>
      <w:r w:rsidRPr="003D4590">
        <w:rPr>
          <w:rFonts w:ascii="Arial" w:eastAsia="Arial" w:hAnsi="Arial" w:cs="Arial"/>
          <w:color w:val="000000" w:themeColor="text1"/>
          <w:sz w:val="24"/>
          <w:szCs w:val="24"/>
          <w:lang w:val="en-GB"/>
        </w:rPr>
        <w:t>What</w:t>
      </w:r>
      <w:r>
        <w:rPr>
          <w:rFonts w:ascii="Arial" w:eastAsia="Arial" w:hAnsi="Arial" w:cs="Arial"/>
          <w:color w:val="000000" w:themeColor="text1"/>
          <w:sz w:val="24"/>
          <w:szCs w:val="24"/>
          <w:lang w:val="en-GB"/>
        </w:rPr>
        <w:t xml:space="preserve"> </w:t>
      </w:r>
      <w:r w:rsidRPr="003D4590">
        <w:rPr>
          <w:rFonts w:ascii="Arial" w:eastAsia="Arial" w:hAnsi="Arial" w:cs="Arial"/>
          <w:color w:val="000000" w:themeColor="text1"/>
          <w:sz w:val="24"/>
          <w:szCs w:val="24"/>
          <w:lang w:val="en-GB"/>
        </w:rPr>
        <w:t>is interesting to see is that</w:t>
      </w:r>
      <w:r w:rsidR="00A16EA2">
        <w:rPr>
          <w:rFonts w:ascii="Arial" w:eastAsia="Arial" w:hAnsi="Arial" w:cs="Arial"/>
          <w:color w:val="000000" w:themeColor="text1"/>
          <w:sz w:val="24"/>
          <w:szCs w:val="24"/>
          <w:lang w:val="en-GB"/>
        </w:rPr>
        <w:t xml:space="preserve"> operating expenses </w:t>
      </w:r>
      <w:r w:rsidR="00E8472C">
        <w:rPr>
          <w:rFonts w:ascii="Arial" w:eastAsia="Arial" w:hAnsi="Arial" w:cs="Arial"/>
          <w:color w:val="000000" w:themeColor="text1"/>
          <w:sz w:val="24"/>
          <w:szCs w:val="24"/>
          <w:lang w:val="en-GB"/>
        </w:rPr>
        <w:t>fo</w:t>
      </w:r>
      <w:r w:rsidR="00A16EA2">
        <w:rPr>
          <w:rFonts w:ascii="Arial" w:eastAsia="Arial" w:hAnsi="Arial" w:cs="Arial"/>
          <w:color w:val="000000" w:themeColor="text1"/>
          <w:sz w:val="24"/>
          <w:szCs w:val="24"/>
          <w:lang w:val="en-GB"/>
        </w:rPr>
        <w:t>r both years are almost same but cost of the good sold decrease by</w:t>
      </w:r>
      <w:r w:rsidR="00E8472C">
        <w:rPr>
          <w:rFonts w:ascii="Arial" w:eastAsia="Arial" w:hAnsi="Arial" w:cs="Arial"/>
          <w:color w:val="000000" w:themeColor="text1"/>
          <w:sz w:val="24"/>
          <w:szCs w:val="24"/>
          <w:lang w:val="en-GB"/>
        </w:rPr>
        <w:t xml:space="preserve"> 0.4% which in result decrease the net profit for year 2020.</w:t>
      </w:r>
    </w:p>
    <w:p w14:paraId="291CFA7A" w14:textId="32820A45" w:rsidR="00A16EA2" w:rsidRDefault="00A16EA2" w:rsidP="00A16EA2">
      <w:pPr>
        <w:jc w:val="center"/>
        <w:rPr>
          <w:lang w:val="en-GB"/>
        </w:rPr>
      </w:pPr>
      <w:r>
        <w:rPr>
          <w:noProof/>
        </w:rPr>
        <w:drawing>
          <wp:inline distT="0" distB="0" distL="0" distR="0" wp14:anchorId="7FF08820" wp14:editId="49A33B78">
            <wp:extent cx="4572000" cy="2743200"/>
            <wp:effectExtent l="0" t="0" r="12700" b="12700"/>
            <wp:docPr id="3" name="Chart 3">
              <a:extLst xmlns:a="http://schemas.openxmlformats.org/drawingml/2006/main">
                <a:ext uri="{FF2B5EF4-FFF2-40B4-BE49-F238E27FC236}">
                  <a16:creationId xmlns:a16="http://schemas.microsoft.com/office/drawing/2014/main" id="{0194527E-5C0E-2046-8688-EEBDB7E620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33CB0C9" w14:textId="77777777" w:rsidR="00E8472C" w:rsidRDefault="00E8472C" w:rsidP="00A16EA2">
      <w:pPr>
        <w:jc w:val="center"/>
        <w:rPr>
          <w:lang w:val="en-GB"/>
        </w:rPr>
      </w:pPr>
    </w:p>
    <w:p w14:paraId="0EA9A5B7" w14:textId="77777777" w:rsidR="00E8472C" w:rsidRDefault="00E8472C" w:rsidP="00A16EA2">
      <w:pPr>
        <w:jc w:val="center"/>
        <w:rPr>
          <w:lang w:val="en-GB"/>
        </w:rPr>
      </w:pPr>
    </w:p>
    <w:p w14:paraId="4BFD662F" w14:textId="77777777" w:rsidR="00E8472C" w:rsidRDefault="00E8472C" w:rsidP="00A16EA2">
      <w:pPr>
        <w:jc w:val="center"/>
        <w:rPr>
          <w:lang w:val="en-GB"/>
        </w:rPr>
      </w:pPr>
    </w:p>
    <w:p w14:paraId="3B5FC562" w14:textId="77777777" w:rsidR="00E8472C" w:rsidRDefault="00E8472C" w:rsidP="00A16EA2">
      <w:pPr>
        <w:jc w:val="center"/>
        <w:rPr>
          <w:lang w:val="en-GB"/>
        </w:rPr>
      </w:pPr>
    </w:p>
    <w:p w14:paraId="553FF371" w14:textId="77777777" w:rsidR="00E8472C" w:rsidRDefault="00E8472C" w:rsidP="00A16EA2">
      <w:pPr>
        <w:jc w:val="center"/>
        <w:rPr>
          <w:lang w:val="en-GB"/>
        </w:rPr>
      </w:pPr>
    </w:p>
    <w:p w14:paraId="5441C482" w14:textId="77777777" w:rsidR="00E8472C" w:rsidRDefault="00E8472C" w:rsidP="00A16EA2">
      <w:pPr>
        <w:jc w:val="center"/>
        <w:rPr>
          <w:lang w:val="en-GB"/>
        </w:rPr>
      </w:pPr>
    </w:p>
    <w:p w14:paraId="32F14C4A" w14:textId="77777777" w:rsidR="00E8472C" w:rsidRDefault="00E8472C" w:rsidP="00A16EA2">
      <w:pPr>
        <w:jc w:val="center"/>
        <w:rPr>
          <w:lang w:val="en-GB"/>
        </w:rPr>
      </w:pPr>
    </w:p>
    <w:p w14:paraId="41D0BB87" w14:textId="6E088647" w:rsidR="00E8472C" w:rsidRDefault="00E8472C" w:rsidP="00A16EA2">
      <w:pPr>
        <w:jc w:val="center"/>
        <w:rPr>
          <w:lang w:val="en-GB"/>
        </w:rPr>
      </w:pPr>
      <w:r>
        <w:rPr>
          <w:lang w:val="en-GB"/>
        </w:rPr>
        <w:t>Overall, it seems the company make loss for year 2020. Let’s have. A look at balance sheet.</w:t>
      </w:r>
    </w:p>
    <w:tbl>
      <w:tblPr>
        <w:tblW w:w="8788" w:type="dxa"/>
        <w:tblLook w:val="04A0" w:firstRow="1" w:lastRow="0" w:firstColumn="1" w:lastColumn="0" w:noHBand="0" w:noVBand="1"/>
      </w:tblPr>
      <w:tblGrid>
        <w:gridCol w:w="3800"/>
        <w:gridCol w:w="1320"/>
        <w:gridCol w:w="1280"/>
        <w:gridCol w:w="1280"/>
        <w:gridCol w:w="1108"/>
      </w:tblGrid>
      <w:tr w:rsidR="00E8472C" w:rsidRPr="00E8472C" w14:paraId="6CFE5F43" w14:textId="77777777" w:rsidTr="006434E6">
        <w:trPr>
          <w:trHeight w:val="300"/>
        </w:trPr>
        <w:tc>
          <w:tcPr>
            <w:tcW w:w="3800" w:type="dxa"/>
            <w:tcBorders>
              <w:top w:val="nil"/>
              <w:left w:val="nil"/>
              <w:bottom w:val="nil"/>
              <w:right w:val="nil"/>
            </w:tcBorders>
            <w:shd w:val="clear" w:color="auto" w:fill="auto"/>
            <w:noWrap/>
            <w:vAlign w:val="bottom"/>
            <w:hideMark/>
          </w:tcPr>
          <w:p w14:paraId="0FABA433" w14:textId="77777777" w:rsidR="00E8472C" w:rsidRPr="00E8472C" w:rsidRDefault="00E8472C" w:rsidP="00E8472C">
            <w:pPr>
              <w:spacing w:after="0" w:line="240" w:lineRule="auto"/>
              <w:rPr>
                <w:rFonts w:ascii="Times New Roman" w:eastAsia="Times New Roman" w:hAnsi="Times New Roman" w:cs="Times New Roman"/>
                <w:sz w:val="24"/>
                <w:szCs w:val="24"/>
                <w:lang w:val="en-TR" w:eastAsia="en-GB"/>
              </w:rPr>
            </w:pPr>
          </w:p>
        </w:tc>
        <w:tc>
          <w:tcPr>
            <w:tcW w:w="1320" w:type="dxa"/>
            <w:tcBorders>
              <w:top w:val="nil"/>
              <w:left w:val="nil"/>
              <w:bottom w:val="nil"/>
              <w:right w:val="nil"/>
            </w:tcBorders>
            <w:shd w:val="clear" w:color="auto" w:fill="auto"/>
            <w:noWrap/>
            <w:vAlign w:val="bottom"/>
            <w:hideMark/>
          </w:tcPr>
          <w:p w14:paraId="46C6FB97"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5AAE9922"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77359FEA"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108" w:type="dxa"/>
            <w:tcBorders>
              <w:top w:val="nil"/>
              <w:left w:val="nil"/>
              <w:bottom w:val="nil"/>
              <w:right w:val="nil"/>
            </w:tcBorders>
            <w:shd w:val="clear" w:color="auto" w:fill="auto"/>
            <w:noWrap/>
            <w:vAlign w:val="bottom"/>
            <w:hideMark/>
          </w:tcPr>
          <w:p w14:paraId="5F44C9CB"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r>
      <w:tr w:rsidR="00E8472C" w:rsidRPr="00E8472C" w14:paraId="781D5A76" w14:textId="77777777" w:rsidTr="006434E6">
        <w:trPr>
          <w:trHeight w:val="300"/>
        </w:trPr>
        <w:tc>
          <w:tcPr>
            <w:tcW w:w="3800" w:type="dxa"/>
            <w:tcBorders>
              <w:top w:val="nil"/>
              <w:left w:val="nil"/>
              <w:bottom w:val="nil"/>
              <w:right w:val="nil"/>
            </w:tcBorders>
            <w:shd w:val="clear" w:color="auto" w:fill="auto"/>
            <w:noWrap/>
            <w:vAlign w:val="bottom"/>
            <w:hideMark/>
          </w:tcPr>
          <w:p w14:paraId="75998A78" w14:textId="77777777" w:rsidR="00E8472C" w:rsidRPr="00E8472C" w:rsidRDefault="00E8472C" w:rsidP="00E8472C">
            <w:pPr>
              <w:spacing w:after="0" w:line="240" w:lineRule="auto"/>
              <w:rPr>
                <w:rFonts w:ascii="Calibri" w:eastAsia="Times New Roman" w:hAnsi="Calibri" w:cs="Calibri"/>
                <w:b/>
                <w:bCs/>
                <w:color w:val="000000"/>
                <w:lang w:val="en-TR" w:eastAsia="en-GB"/>
              </w:rPr>
            </w:pPr>
            <w:r w:rsidRPr="00E8472C">
              <w:rPr>
                <w:rFonts w:ascii="Calibri" w:eastAsia="Times New Roman" w:hAnsi="Calibri" w:cs="Calibri"/>
                <w:b/>
                <w:bCs/>
                <w:color w:val="000000"/>
                <w:lang w:val="en-TR" w:eastAsia="en-GB"/>
              </w:rPr>
              <w:t>Balance Sheet 2019 &amp; 202</w:t>
            </w:r>
          </w:p>
        </w:tc>
        <w:tc>
          <w:tcPr>
            <w:tcW w:w="1320" w:type="dxa"/>
            <w:tcBorders>
              <w:top w:val="nil"/>
              <w:left w:val="nil"/>
              <w:bottom w:val="nil"/>
              <w:right w:val="nil"/>
            </w:tcBorders>
            <w:shd w:val="clear" w:color="auto" w:fill="auto"/>
            <w:noWrap/>
            <w:vAlign w:val="bottom"/>
            <w:hideMark/>
          </w:tcPr>
          <w:p w14:paraId="1E62049F" w14:textId="77777777" w:rsidR="00E8472C" w:rsidRPr="00E8472C" w:rsidRDefault="00E8472C" w:rsidP="00E8472C">
            <w:pPr>
              <w:spacing w:after="0" w:line="240" w:lineRule="auto"/>
              <w:rPr>
                <w:rFonts w:ascii="Calibri" w:eastAsia="Times New Roman" w:hAnsi="Calibri" w:cs="Calibri"/>
                <w:b/>
                <w:bCs/>
                <w:color w:val="000000"/>
                <w:lang w:val="en-TR" w:eastAsia="en-GB"/>
              </w:rPr>
            </w:pPr>
          </w:p>
        </w:tc>
        <w:tc>
          <w:tcPr>
            <w:tcW w:w="1280" w:type="dxa"/>
            <w:tcBorders>
              <w:top w:val="nil"/>
              <w:left w:val="nil"/>
              <w:bottom w:val="nil"/>
              <w:right w:val="nil"/>
            </w:tcBorders>
            <w:shd w:val="clear" w:color="auto" w:fill="auto"/>
            <w:noWrap/>
            <w:vAlign w:val="bottom"/>
            <w:hideMark/>
          </w:tcPr>
          <w:p w14:paraId="31581850"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1BA972A8"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108" w:type="dxa"/>
            <w:tcBorders>
              <w:top w:val="nil"/>
              <w:left w:val="nil"/>
              <w:bottom w:val="nil"/>
              <w:right w:val="nil"/>
            </w:tcBorders>
            <w:shd w:val="clear" w:color="auto" w:fill="auto"/>
            <w:noWrap/>
            <w:vAlign w:val="bottom"/>
            <w:hideMark/>
          </w:tcPr>
          <w:p w14:paraId="4EA05658"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r>
      <w:tr w:rsidR="00E8472C" w:rsidRPr="00E8472C" w14:paraId="3161F94A" w14:textId="77777777" w:rsidTr="006434E6">
        <w:trPr>
          <w:trHeight w:val="300"/>
        </w:trPr>
        <w:tc>
          <w:tcPr>
            <w:tcW w:w="3800" w:type="dxa"/>
            <w:tcBorders>
              <w:top w:val="nil"/>
              <w:left w:val="nil"/>
              <w:bottom w:val="nil"/>
              <w:right w:val="nil"/>
            </w:tcBorders>
            <w:shd w:val="clear" w:color="auto" w:fill="auto"/>
            <w:noWrap/>
            <w:vAlign w:val="bottom"/>
            <w:hideMark/>
          </w:tcPr>
          <w:p w14:paraId="192461AC"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320" w:type="dxa"/>
            <w:tcBorders>
              <w:top w:val="nil"/>
              <w:left w:val="nil"/>
              <w:bottom w:val="nil"/>
              <w:right w:val="nil"/>
            </w:tcBorders>
            <w:shd w:val="clear" w:color="auto" w:fill="auto"/>
            <w:noWrap/>
            <w:vAlign w:val="bottom"/>
            <w:hideMark/>
          </w:tcPr>
          <w:p w14:paraId="23C3C041"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27B33D01"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22381C77"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108" w:type="dxa"/>
            <w:tcBorders>
              <w:top w:val="nil"/>
              <w:left w:val="nil"/>
              <w:bottom w:val="nil"/>
              <w:right w:val="nil"/>
            </w:tcBorders>
            <w:shd w:val="clear" w:color="auto" w:fill="auto"/>
            <w:noWrap/>
            <w:vAlign w:val="bottom"/>
            <w:hideMark/>
          </w:tcPr>
          <w:p w14:paraId="5DA8D78C"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r>
      <w:tr w:rsidR="00E8472C" w:rsidRPr="00E8472C" w14:paraId="4786D45E" w14:textId="77777777" w:rsidTr="006434E6">
        <w:trPr>
          <w:trHeight w:val="300"/>
        </w:trPr>
        <w:tc>
          <w:tcPr>
            <w:tcW w:w="3800" w:type="dxa"/>
            <w:tcBorders>
              <w:top w:val="nil"/>
              <w:left w:val="nil"/>
              <w:bottom w:val="nil"/>
              <w:right w:val="nil"/>
            </w:tcBorders>
            <w:shd w:val="clear" w:color="auto" w:fill="auto"/>
            <w:noWrap/>
            <w:vAlign w:val="bottom"/>
            <w:hideMark/>
          </w:tcPr>
          <w:p w14:paraId="16A56726" w14:textId="77777777" w:rsidR="00E8472C" w:rsidRPr="00E8472C" w:rsidRDefault="00E8472C" w:rsidP="00E8472C">
            <w:pPr>
              <w:spacing w:after="0" w:line="240" w:lineRule="auto"/>
              <w:rPr>
                <w:rFonts w:ascii="Calibri" w:eastAsia="Times New Roman" w:hAnsi="Calibri" w:cs="Calibri"/>
                <w:b/>
                <w:bCs/>
                <w:color w:val="000000"/>
                <w:lang w:val="en-TR" w:eastAsia="en-GB"/>
              </w:rPr>
            </w:pPr>
            <w:r w:rsidRPr="00E8472C">
              <w:rPr>
                <w:rFonts w:ascii="Calibri" w:eastAsia="Times New Roman" w:hAnsi="Calibri" w:cs="Calibri"/>
                <w:b/>
                <w:bCs/>
                <w:color w:val="000000"/>
                <w:lang w:val="en-TR" w:eastAsia="en-GB"/>
              </w:rPr>
              <w:t>Hilton worldwide Holdings inc. (HLT)</w:t>
            </w:r>
          </w:p>
        </w:tc>
        <w:tc>
          <w:tcPr>
            <w:tcW w:w="1320" w:type="dxa"/>
            <w:tcBorders>
              <w:top w:val="nil"/>
              <w:left w:val="nil"/>
              <w:bottom w:val="nil"/>
              <w:right w:val="nil"/>
            </w:tcBorders>
            <w:shd w:val="clear" w:color="auto" w:fill="auto"/>
            <w:noWrap/>
            <w:vAlign w:val="bottom"/>
            <w:hideMark/>
          </w:tcPr>
          <w:p w14:paraId="6272D96B" w14:textId="77777777" w:rsidR="00E8472C" w:rsidRPr="00E8472C" w:rsidRDefault="00E8472C" w:rsidP="00E8472C">
            <w:pPr>
              <w:spacing w:after="0" w:line="240" w:lineRule="auto"/>
              <w:rPr>
                <w:rFonts w:ascii="Calibri" w:eastAsia="Times New Roman" w:hAnsi="Calibri" w:cs="Calibri"/>
                <w:b/>
                <w:bCs/>
                <w:color w:val="000000"/>
                <w:lang w:val="en-TR" w:eastAsia="en-GB"/>
              </w:rPr>
            </w:pPr>
          </w:p>
        </w:tc>
        <w:tc>
          <w:tcPr>
            <w:tcW w:w="1280" w:type="dxa"/>
            <w:tcBorders>
              <w:top w:val="nil"/>
              <w:left w:val="nil"/>
              <w:bottom w:val="nil"/>
              <w:right w:val="nil"/>
            </w:tcBorders>
            <w:shd w:val="clear" w:color="auto" w:fill="auto"/>
            <w:noWrap/>
            <w:vAlign w:val="bottom"/>
            <w:hideMark/>
          </w:tcPr>
          <w:p w14:paraId="6B0BDC0C"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4105B411"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108" w:type="dxa"/>
            <w:tcBorders>
              <w:top w:val="nil"/>
              <w:left w:val="nil"/>
              <w:bottom w:val="nil"/>
              <w:right w:val="nil"/>
            </w:tcBorders>
            <w:shd w:val="clear" w:color="auto" w:fill="auto"/>
            <w:noWrap/>
            <w:vAlign w:val="bottom"/>
            <w:hideMark/>
          </w:tcPr>
          <w:p w14:paraId="12D9C5D2"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r>
      <w:tr w:rsidR="00E8472C" w:rsidRPr="00E8472C" w14:paraId="55B7280A" w14:textId="77777777" w:rsidTr="006434E6">
        <w:trPr>
          <w:trHeight w:val="300"/>
        </w:trPr>
        <w:tc>
          <w:tcPr>
            <w:tcW w:w="3800" w:type="dxa"/>
            <w:tcBorders>
              <w:top w:val="nil"/>
              <w:left w:val="nil"/>
              <w:bottom w:val="nil"/>
              <w:right w:val="nil"/>
            </w:tcBorders>
            <w:shd w:val="clear" w:color="auto" w:fill="auto"/>
            <w:noWrap/>
            <w:vAlign w:val="bottom"/>
            <w:hideMark/>
          </w:tcPr>
          <w:p w14:paraId="1A8DF424"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320" w:type="dxa"/>
            <w:tcBorders>
              <w:top w:val="nil"/>
              <w:left w:val="nil"/>
              <w:bottom w:val="nil"/>
              <w:right w:val="nil"/>
            </w:tcBorders>
            <w:shd w:val="clear" w:color="auto" w:fill="auto"/>
            <w:noWrap/>
            <w:vAlign w:val="bottom"/>
            <w:hideMark/>
          </w:tcPr>
          <w:p w14:paraId="52DBC253" w14:textId="77777777" w:rsidR="00E8472C" w:rsidRPr="00E8472C" w:rsidRDefault="00E8472C" w:rsidP="00E8472C">
            <w:pPr>
              <w:spacing w:after="0" w:line="240" w:lineRule="auto"/>
              <w:jc w:val="right"/>
              <w:rPr>
                <w:rFonts w:ascii="Calibri" w:eastAsia="Times New Roman" w:hAnsi="Calibri" w:cs="Calibri"/>
                <w:b/>
                <w:bCs/>
                <w:color w:val="000000"/>
                <w:lang w:val="en-TR" w:eastAsia="en-GB"/>
              </w:rPr>
            </w:pPr>
            <w:r w:rsidRPr="00E8472C">
              <w:rPr>
                <w:rFonts w:ascii="Calibri" w:eastAsia="Times New Roman" w:hAnsi="Calibri" w:cs="Calibri"/>
                <w:b/>
                <w:bCs/>
                <w:color w:val="000000"/>
                <w:lang w:val="en-TR" w:eastAsia="en-GB"/>
              </w:rPr>
              <w:t>2020</w:t>
            </w:r>
          </w:p>
        </w:tc>
        <w:tc>
          <w:tcPr>
            <w:tcW w:w="1280" w:type="dxa"/>
            <w:tcBorders>
              <w:top w:val="nil"/>
              <w:left w:val="nil"/>
              <w:bottom w:val="nil"/>
              <w:right w:val="nil"/>
            </w:tcBorders>
            <w:shd w:val="clear" w:color="auto" w:fill="auto"/>
            <w:noWrap/>
            <w:vAlign w:val="bottom"/>
            <w:hideMark/>
          </w:tcPr>
          <w:p w14:paraId="53BABB4C" w14:textId="77777777" w:rsidR="00E8472C" w:rsidRPr="00E8472C" w:rsidRDefault="00E8472C" w:rsidP="00E8472C">
            <w:pPr>
              <w:spacing w:after="0" w:line="240" w:lineRule="auto"/>
              <w:jc w:val="right"/>
              <w:rPr>
                <w:rFonts w:ascii="Calibri" w:eastAsia="Times New Roman" w:hAnsi="Calibri" w:cs="Calibri"/>
                <w:b/>
                <w:bCs/>
                <w:color w:val="000000"/>
                <w:lang w:val="en-TR" w:eastAsia="en-GB"/>
              </w:rPr>
            </w:pPr>
            <w:r w:rsidRPr="00E8472C">
              <w:rPr>
                <w:rFonts w:ascii="Calibri" w:eastAsia="Times New Roman" w:hAnsi="Calibri" w:cs="Calibri"/>
                <w:b/>
                <w:bCs/>
                <w:color w:val="000000"/>
                <w:lang w:val="en-TR" w:eastAsia="en-GB"/>
              </w:rPr>
              <w:t>2019</w:t>
            </w:r>
          </w:p>
        </w:tc>
        <w:tc>
          <w:tcPr>
            <w:tcW w:w="1280" w:type="dxa"/>
            <w:tcBorders>
              <w:top w:val="nil"/>
              <w:left w:val="nil"/>
              <w:bottom w:val="nil"/>
              <w:right w:val="nil"/>
            </w:tcBorders>
            <w:shd w:val="clear" w:color="auto" w:fill="auto"/>
            <w:noWrap/>
            <w:vAlign w:val="bottom"/>
            <w:hideMark/>
          </w:tcPr>
          <w:p w14:paraId="3DB047F3" w14:textId="77777777" w:rsidR="00E8472C" w:rsidRPr="00E8472C" w:rsidRDefault="00E8472C" w:rsidP="00E8472C">
            <w:pPr>
              <w:spacing w:after="0" w:line="240" w:lineRule="auto"/>
              <w:rPr>
                <w:rFonts w:ascii="Calibri" w:eastAsia="Times New Roman" w:hAnsi="Calibri" w:cs="Calibri"/>
                <w:b/>
                <w:bCs/>
                <w:color w:val="000000"/>
                <w:lang w:val="en-TR" w:eastAsia="en-GB"/>
              </w:rPr>
            </w:pPr>
            <w:r w:rsidRPr="00E8472C">
              <w:rPr>
                <w:rFonts w:ascii="Calibri" w:eastAsia="Times New Roman" w:hAnsi="Calibri" w:cs="Calibri"/>
                <w:b/>
                <w:bCs/>
                <w:color w:val="000000"/>
                <w:lang w:val="en-TR" w:eastAsia="en-GB"/>
              </w:rPr>
              <w:t>Change</w:t>
            </w:r>
          </w:p>
        </w:tc>
        <w:tc>
          <w:tcPr>
            <w:tcW w:w="1108" w:type="dxa"/>
            <w:tcBorders>
              <w:top w:val="nil"/>
              <w:left w:val="nil"/>
              <w:bottom w:val="nil"/>
              <w:right w:val="nil"/>
            </w:tcBorders>
            <w:shd w:val="clear" w:color="auto" w:fill="auto"/>
            <w:noWrap/>
            <w:vAlign w:val="bottom"/>
            <w:hideMark/>
          </w:tcPr>
          <w:p w14:paraId="2EC4F9FD" w14:textId="77777777" w:rsidR="00E8472C" w:rsidRPr="00E8472C" w:rsidRDefault="00E8472C" w:rsidP="00E8472C">
            <w:pPr>
              <w:spacing w:after="0" w:line="240" w:lineRule="auto"/>
              <w:rPr>
                <w:rFonts w:ascii="Calibri" w:eastAsia="Times New Roman" w:hAnsi="Calibri" w:cs="Calibri"/>
                <w:b/>
                <w:bCs/>
                <w:color w:val="000000"/>
                <w:lang w:val="en-TR" w:eastAsia="en-GB"/>
              </w:rPr>
            </w:pPr>
            <w:r w:rsidRPr="00E8472C">
              <w:rPr>
                <w:rFonts w:ascii="Calibri" w:eastAsia="Times New Roman" w:hAnsi="Calibri" w:cs="Calibri"/>
                <w:b/>
                <w:bCs/>
                <w:color w:val="000000"/>
                <w:lang w:val="en-TR" w:eastAsia="en-GB"/>
              </w:rPr>
              <w:t>% Change</w:t>
            </w:r>
          </w:p>
        </w:tc>
      </w:tr>
      <w:tr w:rsidR="00E8472C" w:rsidRPr="00E8472C" w14:paraId="225F3ADA" w14:textId="77777777" w:rsidTr="006434E6">
        <w:trPr>
          <w:trHeight w:val="300"/>
        </w:trPr>
        <w:tc>
          <w:tcPr>
            <w:tcW w:w="3800" w:type="dxa"/>
            <w:tcBorders>
              <w:top w:val="nil"/>
              <w:left w:val="nil"/>
              <w:bottom w:val="nil"/>
              <w:right w:val="nil"/>
            </w:tcBorders>
            <w:shd w:val="clear" w:color="auto" w:fill="auto"/>
            <w:noWrap/>
            <w:vAlign w:val="bottom"/>
            <w:hideMark/>
          </w:tcPr>
          <w:p w14:paraId="6E87EC42" w14:textId="77777777" w:rsidR="00E8472C" w:rsidRPr="00E8472C" w:rsidRDefault="00E8472C" w:rsidP="00E8472C">
            <w:pPr>
              <w:spacing w:after="0" w:line="240" w:lineRule="auto"/>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Current assets</w:t>
            </w:r>
          </w:p>
        </w:tc>
        <w:tc>
          <w:tcPr>
            <w:tcW w:w="1320" w:type="dxa"/>
            <w:tcBorders>
              <w:top w:val="nil"/>
              <w:left w:val="nil"/>
              <w:bottom w:val="nil"/>
              <w:right w:val="nil"/>
            </w:tcBorders>
            <w:shd w:val="clear" w:color="auto" w:fill="auto"/>
            <w:noWrap/>
            <w:vAlign w:val="bottom"/>
            <w:hideMark/>
          </w:tcPr>
          <w:p w14:paraId="6F7F9E01"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4.202.000</w:t>
            </w:r>
          </w:p>
        </w:tc>
        <w:tc>
          <w:tcPr>
            <w:tcW w:w="1280" w:type="dxa"/>
            <w:tcBorders>
              <w:top w:val="nil"/>
              <w:left w:val="nil"/>
              <w:bottom w:val="nil"/>
              <w:right w:val="nil"/>
            </w:tcBorders>
            <w:shd w:val="clear" w:color="auto" w:fill="auto"/>
            <w:noWrap/>
            <w:vAlign w:val="bottom"/>
            <w:hideMark/>
          </w:tcPr>
          <w:p w14:paraId="0DDD7A49"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2.093.000</w:t>
            </w:r>
          </w:p>
        </w:tc>
        <w:tc>
          <w:tcPr>
            <w:tcW w:w="1280" w:type="dxa"/>
            <w:tcBorders>
              <w:top w:val="nil"/>
              <w:left w:val="nil"/>
              <w:bottom w:val="nil"/>
              <w:right w:val="nil"/>
            </w:tcBorders>
            <w:shd w:val="clear" w:color="auto" w:fill="auto"/>
            <w:noWrap/>
            <w:vAlign w:val="bottom"/>
            <w:hideMark/>
          </w:tcPr>
          <w:p w14:paraId="04A907FB"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29.03.7674</w:t>
            </w:r>
          </w:p>
        </w:tc>
        <w:tc>
          <w:tcPr>
            <w:tcW w:w="1108" w:type="dxa"/>
            <w:tcBorders>
              <w:top w:val="nil"/>
              <w:left w:val="nil"/>
              <w:bottom w:val="nil"/>
              <w:right w:val="nil"/>
            </w:tcBorders>
            <w:shd w:val="clear" w:color="auto" w:fill="auto"/>
            <w:noWrap/>
            <w:vAlign w:val="bottom"/>
            <w:hideMark/>
          </w:tcPr>
          <w:p w14:paraId="63A3EA45"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1.01.1900</w:t>
            </w:r>
          </w:p>
        </w:tc>
      </w:tr>
      <w:tr w:rsidR="00E8472C" w:rsidRPr="00E8472C" w14:paraId="299B1147" w14:textId="77777777" w:rsidTr="006434E6">
        <w:trPr>
          <w:trHeight w:val="300"/>
        </w:trPr>
        <w:tc>
          <w:tcPr>
            <w:tcW w:w="3800" w:type="dxa"/>
            <w:tcBorders>
              <w:top w:val="nil"/>
              <w:left w:val="nil"/>
              <w:bottom w:val="nil"/>
              <w:right w:val="nil"/>
            </w:tcBorders>
            <w:shd w:val="clear" w:color="auto" w:fill="auto"/>
            <w:noWrap/>
            <w:vAlign w:val="bottom"/>
            <w:hideMark/>
          </w:tcPr>
          <w:p w14:paraId="3A61723F" w14:textId="77777777" w:rsidR="00E8472C" w:rsidRPr="00E8472C" w:rsidRDefault="00E8472C" w:rsidP="00E8472C">
            <w:pPr>
              <w:spacing w:after="0" w:line="240" w:lineRule="auto"/>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Non Current Asset</w:t>
            </w:r>
          </w:p>
        </w:tc>
        <w:tc>
          <w:tcPr>
            <w:tcW w:w="1320" w:type="dxa"/>
            <w:tcBorders>
              <w:top w:val="nil"/>
              <w:left w:val="nil"/>
              <w:bottom w:val="nil"/>
              <w:right w:val="nil"/>
            </w:tcBorders>
            <w:shd w:val="clear" w:color="auto" w:fill="auto"/>
            <w:noWrap/>
            <w:vAlign w:val="bottom"/>
            <w:hideMark/>
          </w:tcPr>
          <w:p w14:paraId="4768A571"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15.810.000</w:t>
            </w:r>
          </w:p>
        </w:tc>
        <w:tc>
          <w:tcPr>
            <w:tcW w:w="1280" w:type="dxa"/>
            <w:tcBorders>
              <w:top w:val="nil"/>
              <w:left w:val="nil"/>
              <w:bottom w:val="nil"/>
              <w:right w:val="nil"/>
            </w:tcBorders>
            <w:shd w:val="clear" w:color="auto" w:fill="auto"/>
            <w:noWrap/>
            <w:vAlign w:val="bottom"/>
            <w:hideMark/>
          </w:tcPr>
          <w:p w14:paraId="149FAFA1"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12.558.000</w:t>
            </w:r>
          </w:p>
        </w:tc>
        <w:tc>
          <w:tcPr>
            <w:tcW w:w="1280" w:type="dxa"/>
            <w:tcBorders>
              <w:top w:val="nil"/>
              <w:left w:val="nil"/>
              <w:bottom w:val="nil"/>
              <w:right w:val="nil"/>
            </w:tcBorders>
            <w:shd w:val="clear" w:color="auto" w:fill="auto"/>
            <w:noWrap/>
            <w:vAlign w:val="bottom"/>
            <w:hideMark/>
          </w:tcPr>
          <w:p w14:paraId="4D216338"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3252000</w:t>
            </w:r>
          </w:p>
        </w:tc>
        <w:tc>
          <w:tcPr>
            <w:tcW w:w="1108" w:type="dxa"/>
            <w:tcBorders>
              <w:top w:val="nil"/>
              <w:left w:val="nil"/>
              <w:bottom w:val="nil"/>
              <w:right w:val="nil"/>
            </w:tcBorders>
            <w:shd w:val="clear" w:color="auto" w:fill="auto"/>
            <w:noWrap/>
            <w:vAlign w:val="bottom"/>
            <w:hideMark/>
          </w:tcPr>
          <w:p w14:paraId="14E829DF"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0,25</w:t>
            </w:r>
          </w:p>
        </w:tc>
      </w:tr>
      <w:tr w:rsidR="00E8472C" w:rsidRPr="00E8472C" w14:paraId="11A70BE0" w14:textId="77777777" w:rsidTr="006434E6">
        <w:trPr>
          <w:trHeight w:val="300"/>
        </w:trPr>
        <w:tc>
          <w:tcPr>
            <w:tcW w:w="3800" w:type="dxa"/>
            <w:tcBorders>
              <w:top w:val="nil"/>
              <w:left w:val="nil"/>
              <w:bottom w:val="nil"/>
              <w:right w:val="nil"/>
            </w:tcBorders>
            <w:shd w:val="clear" w:color="auto" w:fill="auto"/>
            <w:noWrap/>
            <w:vAlign w:val="bottom"/>
            <w:hideMark/>
          </w:tcPr>
          <w:p w14:paraId="3CF28C49" w14:textId="77777777" w:rsidR="00E8472C" w:rsidRPr="00E8472C" w:rsidRDefault="00E8472C" w:rsidP="00E8472C">
            <w:pPr>
              <w:spacing w:after="0" w:line="240" w:lineRule="auto"/>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 xml:space="preserve">Total assets </w:t>
            </w:r>
          </w:p>
        </w:tc>
        <w:tc>
          <w:tcPr>
            <w:tcW w:w="1320" w:type="dxa"/>
            <w:tcBorders>
              <w:top w:val="nil"/>
              <w:left w:val="nil"/>
              <w:bottom w:val="nil"/>
              <w:right w:val="nil"/>
            </w:tcBorders>
            <w:shd w:val="clear" w:color="auto" w:fill="auto"/>
            <w:noWrap/>
            <w:vAlign w:val="bottom"/>
            <w:hideMark/>
          </w:tcPr>
          <w:p w14:paraId="3FFCAEE7"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16.775.000</w:t>
            </w:r>
          </w:p>
        </w:tc>
        <w:tc>
          <w:tcPr>
            <w:tcW w:w="1280" w:type="dxa"/>
            <w:tcBorders>
              <w:top w:val="nil"/>
              <w:left w:val="nil"/>
              <w:bottom w:val="nil"/>
              <w:right w:val="nil"/>
            </w:tcBorders>
            <w:shd w:val="clear" w:color="auto" w:fill="auto"/>
            <w:noWrap/>
            <w:vAlign w:val="bottom"/>
            <w:hideMark/>
          </w:tcPr>
          <w:p w14:paraId="5BCE9A59"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14.957.000</w:t>
            </w:r>
          </w:p>
        </w:tc>
        <w:tc>
          <w:tcPr>
            <w:tcW w:w="1280" w:type="dxa"/>
            <w:tcBorders>
              <w:top w:val="nil"/>
              <w:left w:val="nil"/>
              <w:bottom w:val="nil"/>
              <w:right w:val="nil"/>
            </w:tcBorders>
            <w:shd w:val="clear" w:color="auto" w:fill="auto"/>
            <w:noWrap/>
            <w:vAlign w:val="bottom"/>
            <w:hideMark/>
          </w:tcPr>
          <w:p w14:paraId="20043EA5"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1818000</w:t>
            </w:r>
          </w:p>
        </w:tc>
        <w:tc>
          <w:tcPr>
            <w:tcW w:w="1108" w:type="dxa"/>
            <w:tcBorders>
              <w:top w:val="nil"/>
              <w:left w:val="nil"/>
              <w:bottom w:val="nil"/>
              <w:right w:val="nil"/>
            </w:tcBorders>
            <w:shd w:val="clear" w:color="auto" w:fill="auto"/>
            <w:noWrap/>
            <w:vAlign w:val="bottom"/>
            <w:hideMark/>
          </w:tcPr>
          <w:p w14:paraId="5DE41283"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0,1</w:t>
            </w:r>
          </w:p>
        </w:tc>
      </w:tr>
      <w:tr w:rsidR="00E8472C" w:rsidRPr="00E8472C" w14:paraId="6CAA7D45" w14:textId="77777777" w:rsidTr="006434E6">
        <w:trPr>
          <w:trHeight w:val="300"/>
        </w:trPr>
        <w:tc>
          <w:tcPr>
            <w:tcW w:w="3800" w:type="dxa"/>
            <w:tcBorders>
              <w:top w:val="nil"/>
              <w:left w:val="nil"/>
              <w:bottom w:val="nil"/>
              <w:right w:val="nil"/>
            </w:tcBorders>
            <w:shd w:val="clear" w:color="auto" w:fill="auto"/>
            <w:noWrap/>
            <w:vAlign w:val="bottom"/>
            <w:hideMark/>
          </w:tcPr>
          <w:p w14:paraId="507F5383"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p>
        </w:tc>
        <w:tc>
          <w:tcPr>
            <w:tcW w:w="1320" w:type="dxa"/>
            <w:tcBorders>
              <w:top w:val="nil"/>
              <w:left w:val="nil"/>
              <w:bottom w:val="nil"/>
              <w:right w:val="nil"/>
            </w:tcBorders>
            <w:shd w:val="clear" w:color="auto" w:fill="auto"/>
            <w:noWrap/>
            <w:vAlign w:val="bottom"/>
            <w:hideMark/>
          </w:tcPr>
          <w:p w14:paraId="3FB398D7"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67FB382F"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2BA7593D"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108" w:type="dxa"/>
            <w:tcBorders>
              <w:top w:val="nil"/>
              <w:left w:val="nil"/>
              <w:bottom w:val="nil"/>
              <w:right w:val="nil"/>
            </w:tcBorders>
            <w:shd w:val="clear" w:color="auto" w:fill="auto"/>
            <w:noWrap/>
            <w:vAlign w:val="bottom"/>
            <w:hideMark/>
          </w:tcPr>
          <w:p w14:paraId="4E173DCB"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r>
      <w:tr w:rsidR="00E8472C" w:rsidRPr="00E8472C" w14:paraId="076481E9" w14:textId="77777777" w:rsidTr="006434E6">
        <w:trPr>
          <w:trHeight w:val="300"/>
        </w:trPr>
        <w:tc>
          <w:tcPr>
            <w:tcW w:w="3800" w:type="dxa"/>
            <w:tcBorders>
              <w:top w:val="nil"/>
              <w:left w:val="nil"/>
              <w:bottom w:val="nil"/>
              <w:right w:val="nil"/>
            </w:tcBorders>
            <w:shd w:val="clear" w:color="auto" w:fill="auto"/>
            <w:noWrap/>
            <w:vAlign w:val="bottom"/>
            <w:hideMark/>
          </w:tcPr>
          <w:p w14:paraId="6394A8D0" w14:textId="77777777" w:rsidR="00E8472C" w:rsidRPr="00E8472C" w:rsidRDefault="00E8472C" w:rsidP="00E8472C">
            <w:pPr>
              <w:spacing w:after="0" w:line="240" w:lineRule="auto"/>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 xml:space="preserve">Current Liabilities </w:t>
            </w:r>
          </w:p>
        </w:tc>
        <w:tc>
          <w:tcPr>
            <w:tcW w:w="1320" w:type="dxa"/>
            <w:tcBorders>
              <w:top w:val="nil"/>
              <w:left w:val="nil"/>
              <w:bottom w:val="nil"/>
              <w:right w:val="nil"/>
            </w:tcBorders>
            <w:shd w:val="clear" w:color="auto" w:fill="auto"/>
            <w:noWrap/>
            <w:vAlign w:val="bottom"/>
            <w:hideMark/>
          </w:tcPr>
          <w:p w14:paraId="591D315E"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2.431.000</w:t>
            </w:r>
          </w:p>
        </w:tc>
        <w:tc>
          <w:tcPr>
            <w:tcW w:w="1280" w:type="dxa"/>
            <w:tcBorders>
              <w:top w:val="nil"/>
              <w:left w:val="nil"/>
              <w:bottom w:val="nil"/>
              <w:right w:val="nil"/>
            </w:tcBorders>
            <w:shd w:val="clear" w:color="auto" w:fill="auto"/>
            <w:noWrap/>
            <w:vAlign w:val="bottom"/>
            <w:hideMark/>
          </w:tcPr>
          <w:p w14:paraId="4FFBBC03"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2.871.000</w:t>
            </w:r>
          </w:p>
        </w:tc>
        <w:tc>
          <w:tcPr>
            <w:tcW w:w="1280" w:type="dxa"/>
            <w:tcBorders>
              <w:top w:val="nil"/>
              <w:left w:val="nil"/>
              <w:bottom w:val="nil"/>
              <w:right w:val="nil"/>
            </w:tcBorders>
            <w:shd w:val="clear" w:color="auto" w:fill="auto"/>
            <w:noWrap/>
            <w:vAlign w:val="bottom"/>
            <w:hideMark/>
          </w:tcPr>
          <w:p w14:paraId="0768A944"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-440000</w:t>
            </w:r>
          </w:p>
        </w:tc>
        <w:tc>
          <w:tcPr>
            <w:tcW w:w="1108" w:type="dxa"/>
            <w:tcBorders>
              <w:top w:val="nil"/>
              <w:left w:val="nil"/>
              <w:bottom w:val="nil"/>
              <w:right w:val="nil"/>
            </w:tcBorders>
            <w:shd w:val="clear" w:color="auto" w:fill="auto"/>
            <w:noWrap/>
            <w:vAlign w:val="bottom"/>
            <w:hideMark/>
          </w:tcPr>
          <w:p w14:paraId="553257F0"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-0,15</w:t>
            </w:r>
          </w:p>
        </w:tc>
      </w:tr>
      <w:tr w:rsidR="00E8472C" w:rsidRPr="00E8472C" w14:paraId="13B57209" w14:textId="77777777" w:rsidTr="006434E6">
        <w:trPr>
          <w:trHeight w:val="300"/>
        </w:trPr>
        <w:tc>
          <w:tcPr>
            <w:tcW w:w="3800" w:type="dxa"/>
            <w:tcBorders>
              <w:top w:val="nil"/>
              <w:left w:val="nil"/>
              <w:bottom w:val="nil"/>
              <w:right w:val="nil"/>
            </w:tcBorders>
            <w:shd w:val="clear" w:color="auto" w:fill="auto"/>
            <w:noWrap/>
            <w:vAlign w:val="bottom"/>
            <w:hideMark/>
          </w:tcPr>
          <w:p w14:paraId="35D87474" w14:textId="77777777" w:rsidR="00E8472C" w:rsidRPr="00E8472C" w:rsidRDefault="00E8472C" w:rsidP="00E8472C">
            <w:pPr>
              <w:spacing w:after="0" w:line="240" w:lineRule="auto"/>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Non current Liabilities</w:t>
            </w:r>
          </w:p>
        </w:tc>
        <w:tc>
          <w:tcPr>
            <w:tcW w:w="1320" w:type="dxa"/>
            <w:tcBorders>
              <w:top w:val="nil"/>
              <w:left w:val="nil"/>
              <w:bottom w:val="nil"/>
              <w:right w:val="nil"/>
            </w:tcBorders>
            <w:shd w:val="clear" w:color="auto" w:fill="auto"/>
            <w:noWrap/>
            <w:vAlign w:val="bottom"/>
            <w:hideMark/>
          </w:tcPr>
          <w:p w14:paraId="4BF85171"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15.810.000</w:t>
            </w:r>
          </w:p>
        </w:tc>
        <w:tc>
          <w:tcPr>
            <w:tcW w:w="1280" w:type="dxa"/>
            <w:tcBorders>
              <w:top w:val="nil"/>
              <w:left w:val="nil"/>
              <w:bottom w:val="nil"/>
              <w:right w:val="nil"/>
            </w:tcBorders>
            <w:shd w:val="clear" w:color="auto" w:fill="auto"/>
            <w:noWrap/>
            <w:vAlign w:val="bottom"/>
            <w:hideMark/>
          </w:tcPr>
          <w:p w14:paraId="10594AF3"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12.558.000</w:t>
            </w:r>
          </w:p>
        </w:tc>
        <w:tc>
          <w:tcPr>
            <w:tcW w:w="1280" w:type="dxa"/>
            <w:tcBorders>
              <w:top w:val="nil"/>
              <w:left w:val="nil"/>
              <w:bottom w:val="nil"/>
              <w:right w:val="nil"/>
            </w:tcBorders>
            <w:shd w:val="clear" w:color="auto" w:fill="auto"/>
            <w:noWrap/>
            <w:vAlign w:val="bottom"/>
            <w:hideMark/>
          </w:tcPr>
          <w:p w14:paraId="4C9CF929"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3252000</w:t>
            </w:r>
          </w:p>
        </w:tc>
        <w:tc>
          <w:tcPr>
            <w:tcW w:w="1108" w:type="dxa"/>
            <w:tcBorders>
              <w:top w:val="nil"/>
              <w:left w:val="nil"/>
              <w:bottom w:val="nil"/>
              <w:right w:val="nil"/>
            </w:tcBorders>
            <w:shd w:val="clear" w:color="auto" w:fill="auto"/>
            <w:noWrap/>
            <w:vAlign w:val="bottom"/>
            <w:hideMark/>
          </w:tcPr>
          <w:p w14:paraId="3D0F6C2B"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0,25</w:t>
            </w:r>
          </w:p>
        </w:tc>
      </w:tr>
      <w:tr w:rsidR="00E8472C" w:rsidRPr="00E8472C" w14:paraId="7F75B2BD" w14:textId="77777777" w:rsidTr="006434E6">
        <w:trPr>
          <w:trHeight w:val="300"/>
        </w:trPr>
        <w:tc>
          <w:tcPr>
            <w:tcW w:w="3800" w:type="dxa"/>
            <w:tcBorders>
              <w:top w:val="nil"/>
              <w:left w:val="nil"/>
              <w:bottom w:val="nil"/>
              <w:right w:val="nil"/>
            </w:tcBorders>
            <w:shd w:val="clear" w:color="auto" w:fill="auto"/>
            <w:noWrap/>
            <w:vAlign w:val="bottom"/>
            <w:hideMark/>
          </w:tcPr>
          <w:p w14:paraId="32E47087" w14:textId="77777777" w:rsidR="00E8472C" w:rsidRPr="00E8472C" w:rsidRDefault="00E8472C" w:rsidP="00E8472C">
            <w:pPr>
              <w:spacing w:after="0" w:line="240" w:lineRule="auto"/>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Total Liabilities</w:t>
            </w:r>
          </w:p>
        </w:tc>
        <w:tc>
          <w:tcPr>
            <w:tcW w:w="1320" w:type="dxa"/>
            <w:tcBorders>
              <w:top w:val="nil"/>
              <w:left w:val="nil"/>
              <w:bottom w:val="nil"/>
              <w:right w:val="nil"/>
            </w:tcBorders>
            <w:shd w:val="clear" w:color="auto" w:fill="auto"/>
            <w:noWrap/>
            <w:vAlign w:val="bottom"/>
            <w:hideMark/>
          </w:tcPr>
          <w:p w14:paraId="00BDB9CC"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18.241.000</w:t>
            </w:r>
          </w:p>
        </w:tc>
        <w:tc>
          <w:tcPr>
            <w:tcW w:w="1280" w:type="dxa"/>
            <w:tcBorders>
              <w:top w:val="nil"/>
              <w:left w:val="nil"/>
              <w:bottom w:val="nil"/>
              <w:right w:val="nil"/>
            </w:tcBorders>
            <w:shd w:val="clear" w:color="auto" w:fill="auto"/>
            <w:noWrap/>
            <w:vAlign w:val="bottom"/>
            <w:hideMark/>
          </w:tcPr>
          <w:p w14:paraId="098D76EB"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15.429.000</w:t>
            </w:r>
          </w:p>
        </w:tc>
        <w:tc>
          <w:tcPr>
            <w:tcW w:w="1280" w:type="dxa"/>
            <w:tcBorders>
              <w:top w:val="nil"/>
              <w:left w:val="nil"/>
              <w:bottom w:val="nil"/>
              <w:right w:val="nil"/>
            </w:tcBorders>
            <w:shd w:val="clear" w:color="auto" w:fill="auto"/>
            <w:noWrap/>
            <w:vAlign w:val="bottom"/>
            <w:hideMark/>
          </w:tcPr>
          <w:p w14:paraId="1317C481"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2812000</w:t>
            </w:r>
          </w:p>
        </w:tc>
        <w:tc>
          <w:tcPr>
            <w:tcW w:w="1108" w:type="dxa"/>
            <w:tcBorders>
              <w:top w:val="nil"/>
              <w:left w:val="nil"/>
              <w:bottom w:val="nil"/>
              <w:right w:val="nil"/>
            </w:tcBorders>
            <w:shd w:val="clear" w:color="auto" w:fill="auto"/>
            <w:noWrap/>
            <w:vAlign w:val="bottom"/>
            <w:hideMark/>
          </w:tcPr>
          <w:p w14:paraId="11DA5182"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0,2</w:t>
            </w:r>
          </w:p>
        </w:tc>
      </w:tr>
      <w:tr w:rsidR="00E8472C" w:rsidRPr="00E8472C" w14:paraId="5C12B801" w14:textId="77777777" w:rsidTr="006434E6">
        <w:trPr>
          <w:trHeight w:val="300"/>
        </w:trPr>
        <w:tc>
          <w:tcPr>
            <w:tcW w:w="3800" w:type="dxa"/>
            <w:tcBorders>
              <w:top w:val="nil"/>
              <w:left w:val="nil"/>
              <w:bottom w:val="nil"/>
              <w:right w:val="nil"/>
            </w:tcBorders>
            <w:shd w:val="clear" w:color="auto" w:fill="auto"/>
            <w:noWrap/>
            <w:vAlign w:val="bottom"/>
            <w:hideMark/>
          </w:tcPr>
          <w:p w14:paraId="6157024B" w14:textId="77777777" w:rsidR="00E8472C" w:rsidRPr="00E8472C" w:rsidRDefault="00E8472C" w:rsidP="00E8472C">
            <w:pPr>
              <w:spacing w:after="0" w:line="240" w:lineRule="auto"/>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Common stock</w:t>
            </w:r>
          </w:p>
        </w:tc>
        <w:tc>
          <w:tcPr>
            <w:tcW w:w="1320" w:type="dxa"/>
            <w:tcBorders>
              <w:top w:val="nil"/>
              <w:left w:val="nil"/>
              <w:bottom w:val="nil"/>
              <w:right w:val="nil"/>
            </w:tcBorders>
            <w:shd w:val="clear" w:color="auto" w:fill="auto"/>
            <w:noWrap/>
            <w:vAlign w:val="bottom"/>
            <w:hideMark/>
          </w:tcPr>
          <w:p w14:paraId="61FFE29E"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3.000</w:t>
            </w:r>
          </w:p>
        </w:tc>
        <w:tc>
          <w:tcPr>
            <w:tcW w:w="1280" w:type="dxa"/>
            <w:tcBorders>
              <w:top w:val="nil"/>
              <w:left w:val="nil"/>
              <w:bottom w:val="nil"/>
              <w:right w:val="nil"/>
            </w:tcBorders>
            <w:shd w:val="clear" w:color="auto" w:fill="auto"/>
            <w:noWrap/>
            <w:vAlign w:val="bottom"/>
            <w:hideMark/>
          </w:tcPr>
          <w:p w14:paraId="30A5AC67"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3.000</w:t>
            </w:r>
          </w:p>
        </w:tc>
        <w:tc>
          <w:tcPr>
            <w:tcW w:w="1280" w:type="dxa"/>
            <w:tcBorders>
              <w:top w:val="nil"/>
              <w:left w:val="nil"/>
              <w:bottom w:val="nil"/>
              <w:right w:val="nil"/>
            </w:tcBorders>
            <w:shd w:val="clear" w:color="auto" w:fill="auto"/>
            <w:noWrap/>
            <w:vAlign w:val="bottom"/>
            <w:hideMark/>
          </w:tcPr>
          <w:p w14:paraId="5ED3BF90"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0</w:t>
            </w:r>
          </w:p>
        </w:tc>
        <w:tc>
          <w:tcPr>
            <w:tcW w:w="1108" w:type="dxa"/>
            <w:tcBorders>
              <w:top w:val="nil"/>
              <w:left w:val="nil"/>
              <w:bottom w:val="nil"/>
              <w:right w:val="nil"/>
            </w:tcBorders>
            <w:shd w:val="clear" w:color="auto" w:fill="auto"/>
            <w:noWrap/>
            <w:vAlign w:val="bottom"/>
            <w:hideMark/>
          </w:tcPr>
          <w:p w14:paraId="7C68D079"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0</w:t>
            </w:r>
          </w:p>
        </w:tc>
      </w:tr>
      <w:tr w:rsidR="00E8472C" w:rsidRPr="00E8472C" w14:paraId="5E734CF2" w14:textId="77777777" w:rsidTr="006434E6">
        <w:trPr>
          <w:trHeight w:val="300"/>
        </w:trPr>
        <w:tc>
          <w:tcPr>
            <w:tcW w:w="3800" w:type="dxa"/>
            <w:tcBorders>
              <w:top w:val="nil"/>
              <w:left w:val="nil"/>
              <w:bottom w:val="nil"/>
              <w:right w:val="nil"/>
            </w:tcBorders>
            <w:shd w:val="clear" w:color="auto" w:fill="auto"/>
            <w:noWrap/>
            <w:vAlign w:val="bottom"/>
            <w:hideMark/>
          </w:tcPr>
          <w:p w14:paraId="5529D68E" w14:textId="77777777" w:rsidR="00E8472C" w:rsidRPr="00E8472C" w:rsidRDefault="00E8472C" w:rsidP="00E8472C">
            <w:pPr>
              <w:spacing w:after="0" w:line="240" w:lineRule="auto"/>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Retained Earnings</w:t>
            </w:r>
          </w:p>
        </w:tc>
        <w:tc>
          <w:tcPr>
            <w:tcW w:w="1320" w:type="dxa"/>
            <w:tcBorders>
              <w:top w:val="nil"/>
              <w:left w:val="nil"/>
              <w:bottom w:val="nil"/>
              <w:right w:val="nil"/>
            </w:tcBorders>
            <w:shd w:val="clear" w:color="auto" w:fill="auto"/>
            <w:noWrap/>
            <w:vAlign w:val="bottom"/>
            <w:hideMark/>
          </w:tcPr>
          <w:p w14:paraId="4118D768"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-6.732.000</w:t>
            </w:r>
          </w:p>
        </w:tc>
        <w:tc>
          <w:tcPr>
            <w:tcW w:w="1280" w:type="dxa"/>
            <w:tcBorders>
              <w:top w:val="nil"/>
              <w:left w:val="nil"/>
              <w:bottom w:val="nil"/>
              <w:right w:val="nil"/>
            </w:tcBorders>
            <w:shd w:val="clear" w:color="auto" w:fill="auto"/>
            <w:noWrap/>
            <w:vAlign w:val="bottom"/>
            <w:hideMark/>
          </w:tcPr>
          <w:p w14:paraId="710C981B"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-5.965.000</w:t>
            </w:r>
          </w:p>
        </w:tc>
        <w:tc>
          <w:tcPr>
            <w:tcW w:w="1280" w:type="dxa"/>
            <w:tcBorders>
              <w:top w:val="nil"/>
              <w:left w:val="nil"/>
              <w:bottom w:val="nil"/>
              <w:right w:val="nil"/>
            </w:tcBorders>
            <w:shd w:val="clear" w:color="auto" w:fill="auto"/>
            <w:noWrap/>
            <w:vAlign w:val="bottom"/>
            <w:hideMark/>
          </w:tcPr>
          <w:p w14:paraId="0B343029"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-767000</w:t>
            </w:r>
          </w:p>
        </w:tc>
        <w:tc>
          <w:tcPr>
            <w:tcW w:w="1108" w:type="dxa"/>
            <w:tcBorders>
              <w:top w:val="nil"/>
              <w:left w:val="nil"/>
              <w:bottom w:val="nil"/>
              <w:right w:val="nil"/>
            </w:tcBorders>
            <w:shd w:val="clear" w:color="auto" w:fill="auto"/>
            <w:noWrap/>
            <w:vAlign w:val="bottom"/>
            <w:hideMark/>
          </w:tcPr>
          <w:p w14:paraId="6C283B2E"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-0,1</w:t>
            </w:r>
          </w:p>
        </w:tc>
      </w:tr>
      <w:tr w:rsidR="00E8472C" w:rsidRPr="00E8472C" w14:paraId="0419118D" w14:textId="77777777" w:rsidTr="006434E6">
        <w:trPr>
          <w:trHeight w:val="300"/>
        </w:trPr>
        <w:tc>
          <w:tcPr>
            <w:tcW w:w="3800" w:type="dxa"/>
            <w:tcBorders>
              <w:top w:val="nil"/>
              <w:left w:val="nil"/>
              <w:bottom w:val="nil"/>
              <w:right w:val="nil"/>
            </w:tcBorders>
            <w:shd w:val="clear" w:color="auto" w:fill="auto"/>
            <w:noWrap/>
            <w:vAlign w:val="bottom"/>
            <w:hideMark/>
          </w:tcPr>
          <w:p w14:paraId="085BB5DC" w14:textId="77777777" w:rsidR="00E8472C" w:rsidRPr="00E8472C" w:rsidRDefault="00E8472C" w:rsidP="00E8472C">
            <w:pPr>
              <w:spacing w:after="0" w:line="240" w:lineRule="auto"/>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Total stockholders equity</w:t>
            </w:r>
          </w:p>
        </w:tc>
        <w:tc>
          <w:tcPr>
            <w:tcW w:w="1320" w:type="dxa"/>
            <w:tcBorders>
              <w:top w:val="nil"/>
              <w:left w:val="nil"/>
              <w:bottom w:val="nil"/>
              <w:right w:val="nil"/>
            </w:tcBorders>
            <w:shd w:val="clear" w:color="auto" w:fill="auto"/>
            <w:noWrap/>
            <w:vAlign w:val="bottom"/>
            <w:hideMark/>
          </w:tcPr>
          <w:p w14:paraId="415C7983"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-1.490.000</w:t>
            </w:r>
          </w:p>
        </w:tc>
        <w:tc>
          <w:tcPr>
            <w:tcW w:w="1280" w:type="dxa"/>
            <w:tcBorders>
              <w:top w:val="nil"/>
              <w:left w:val="nil"/>
              <w:bottom w:val="nil"/>
              <w:right w:val="nil"/>
            </w:tcBorders>
            <w:shd w:val="clear" w:color="auto" w:fill="auto"/>
            <w:noWrap/>
            <w:vAlign w:val="bottom"/>
            <w:hideMark/>
          </w:tcPr>
          <w:p w14:paraId="13AE6019"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-482.000</w:t>
            </w:r>
          </w:p>
        </w:tc>
        <w:tc>
          <w:tcPr>
            <w:tcW w:w="1280" w:type="dxa"/>
            <w:tcBorders>
              <w:top w:val="nil"/>
              <w:left w:val="nil"/>
              <w:bottom w:val="nil"/>
              <w:right w:val="nil"/>
            </w:tcBorders>
            <w:shd w:val="clear" w:color="auto" w:fill="auto"/>
            <w:noWrap/>
            <w:vAlign w:val="bottom"/>
            <w:hideMark/>
          </w:tcPr>
          <w:p w14:paraId="23A959D4"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-1008000</w:t>
            </w:r>
          </w:p>
        </w:tc>
        <w:tc>
          <w:tcPr>
            <w:tcW w:w="1108" w:type="dxa"/>
            <w:tcBorders>
              <w:top w:val="nil"/>
              <w:left w:val="nil"/>
              <w:bottom w:val="nil"/>
              <w:right w:val="nil"/>
            </w:tcBorders>
            <w:shd w:val="clear" w:color="auto" w:fill="auto"/>
            <w:noWrap/>
            <w:vAlign w:val="bottom"/>
            <w:hideMark/>
          </w:tcPr>
          <w:p w14:paraId="32E7DD14"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-2</w:t>
            </w:r>
          </w:p>
        </w:tc>
      </w:tr>
      <w:tr w:rsidR="00E8472C" w:rsidRPr="00E8472C" w14:paraId="791A6ABE" w14:textId="77777777" w:rsidTr="006434E6">
        <w:trPr>
          <w:trHeight w:val="300"/>
        </w:trPr>
        <w:tc>
          <w:tcPr>
            <w:tcW w:w="3800" w:type="dxa"/>
            <w:tcBorders>
              <w:top w:val="nil"/>
              <w:left w:val="nil"/>
              <w:bottom w:val="nil"/>
              <w:right w:val="nil"/>
            </w:tcBorders>
            <w:shd w:val="clear" w:color="auto" w:fill="auto"/>
            <w:noWrap/>
            <w:vAlign w:val="bottom"/>
            <w:hideMark/>
          </w:tcPr>
          <w:p w14:paraId="50C2F410" w14:textId="77777777" w:rsidR="00E8472C" w:rsidRPr="00E8472C" w:rsidRDefault="00E8472C" w:rsidP="00E8472C">
            <w:pPr>
              <w:spacing w:after="0" w:line="240" w:lineRule="auto"/>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Total Liabilities and Stockholders</w:t>
            </w:r>
          </w:p>
        </w:tc>
        <w:tc>
          <w:tcPr>
            <w:tcW w:w="1320" w:type="dxa"/>
            <w:tcBorders>
              <w:top w:val="nil"/>
              <w:left w:val="nil"/>
              <w:bottom w:val="nil"/>
              <w:right w:val="nil"/>
            </w:tcBorders>
            <w:shd w:val="clear" w:color="auto" w:fill="auto"/>
            <w:noWrap/>
            <w:vAlign w:val="bottom"/>
            <w:hideMark/>
          </w:tcPr>
          <w:p w14:paraId="6219D93C"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16.755.000</w:t>
            </w:r>
          </w:p>
        </w:tc>
        <w:tc>
          <w:tcPr>
            <w:tcW w:w="1280" w:type="dxa"/>
            <w:tcBorders>
              <w:top w:val="nil"/>
              <w:left w:val="nil"/>
              <w:bottom w:val="nil"/>
              <w:right w:val="nil"/>
            </w:tcBorders>
            <w:shd w:val="clear" w:color="auto" w:fill="auto"/>
            <w:noWrap/>
            <w:vAlign w:val="bottom"/>
            <w:hideMark/>
          </w:tcPr>
          <w:p w14:paraId="14AFC152"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14.957.000</w:t>
            </w:r>
          </w:p>
        </w:tc>
        <w:tc>
          <w:tcPr>
            <w:tcW w:w="1280" w:type="dxa"/>
            <w:tcBorders>
              <w:top w:val="nil"/>
              <w:left w:val="nil"/>
              <w:bottom w:val="nil"/>
              <w:right w:val="nil"/>
            </w:tcBorders>
            <w:shd w:val="clear" w:color="auto" w:fill="auto"/>
            <w:noWrap/>
            <w:vAlign w:val="bottom"/>
            <w:hideMark/>
          </w:tcPr>
          <w:p w14:paraId="35981732"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1818000</w:t>
            </w:r>
          </w:p>
        </w:tc>
        <w:tc>
          <w:tcPr>
            <w:tcW w:w="1108" w:type="dxa"/>
            <w:tcBorders>
              <w:top w:val="nil"/>
              <w:left w:val="nil"/>
              <w:bottom w:val="nil"/>
              <w:right w:val="nil"/>
            </w:tcBorders>
            <w:shd w:val="clear" w:color="auto" w:fill="auto"/>
            <w:noWrap/>
            <w:vAlign w:val="bottom"/>
            <w:hideMark/>
          </w:tcPr>
          <w:p w14:paraId="26BE99AE"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r w:rsidRPr="00E8472C">
              <w:rPr>
                <w:rFonts w:ascii="Calibri" w:eastAsia="Times New Roman" w:hAnsi="Calibri" w:cs="Calibri"/>
                <w:color w:val="000000"/>
                <w:lang w:val="en-TR" w:eastAsia="en-GB"/>
              </w:rPr>
              <w:t>0,1</w:t>
            </w:r>
          </w:p>
        </w:tc>
      </w:tr>
      <w:tr w:rsidR="00E8472C" w:rsidRPr="00E8472C" w14:paraId="7640B2D8" w14:textId="77777777" w:rsidTr="006434E6">
        <w:trPr>
          <w:trHeight w:val="300"/>
        </w:trPr>
        <w:tc>
          <w:tcPr>
            <w:tcW w:w="3800" w:type="dxa"/>
            <w:tcBorders>
              <w:top w:val="nil"/>
              <w:left w:val="nil"/>
              <w:bottom w:val="nil"/>
              <w:right w:val="nil"/>
            </w:tcBorders>
            <w:shd w:val="clear" w:color="auto" w:fill="auto"/>
            <w:noWrap/>
            <w:vAlign w:val="bottom"/>
            <w:hideMark/>
          </w:tcPr>
          <w:p w14:paraId="057E069E" w14:textId="77777777" w:rsidR="00E8472C" w:rsidRPr="00E8472C" w:rsidRDefault="00E8472C" w:rsidP="00E8472C">
            <w:pPr>
              <w:spacing w:after="0" w:line="240" w:lineRule="auto"/>
              <w:jc w:val="right"/>
              <w:rPr>
                <w:rFonts w:ascii="Calibri" w:eastAsia="Times New Roman" w:hAnsi="Calibri" w:cs="Calibri"/>
                <w:color w:val="000000"/>
                <w:lang w:val="en-TR" w:eastAsia="en-GB"/>
              </w:rPr>
            </w:pPr>
          </w:p>
        </w:tc>
        <w:tc>
          <w:tcPr>
            <w:tcW w:w="1320" w:type="dxa"/>
            <w:tcBorders>
              <w:top w:val="nil"/>
              <w:left w:val="nil"/>
              <w:bottom w:val="nil"/>
              <w:right w:val="nil"/>
            </w:tcBorders>
            <w:shd w:val="clear" w:color="auto" w:fill="auto"/>
            <w:noWrap/>
            <w:vAlign w:val="bottom"/>
            <w:hideMark/>
          </w:tcPr>
          <w:p w14:paraId="4ED09E29"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34505EAA"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0A4C7C73"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108" w:type="dxa"/>
            <w:tcBorders>
              <w:top w:val="nil"/>
              <w:left w:val="nil"/>
              <w:bottom w:val="nil"/>
              <w:right w:val="nil"/>
            </w:tcBorders>
            <w:shd w:val="clear" w:color="auto" w:fill="auto"/>
            <w:noWrap/>
            <w:vAlign w:val="bottom"/>
            <w:hideMark/>
          </w:tcPr>
          <w:p w14:paraId="334EEF57"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r>
      <w:tr w:rsidR="00E8472C" w:rsidRPr="00E8472C" w14:paraId="66F920B3" w14:textId="77777777" w:rsidTr="006434E6">
        <w:trPr>
          <w:trHeight w:val="300"/>
        </w:trPr>
        <w:tc>
          <w:tcPr>
            <w:tcW w:w="3800" w:type="dxa"/>
            <w:tcBorders>
              <w:top w:val="nil"/>
              <w:left w:val="nil"/>
              <w:bottom w:val="nil"/>
              <w:right w:val="nil"/>
            </w:tcBorders>
            <w:shd w:val="clear" w:color="auto" w:fill="auto"/>
            <w:noWrap/>
            <w:vAlign w:val="bottom"/>
            <w:hideMark/>
          </w:tcPr>
          <w:p w14:paraId="2B1A0B4C"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320" w:type="dxa"/>
            <w:tcBorders>
              <w:top w:val="nil"/>
              <w:left w:val="nil"/>
              <w:bottom w:val="nil"/>
              <w:right w:val="nil"/>
            </w:tcBorders>
            <w:shd w:val="clear" w:color="auto" w:fill="auto"/>
            <w:noWrap/>
            <w:vAlign w:val="bottom"/>
            <w:hideMark/>
          </w:tcPr>
          <w:p w14:paraId="21301BC8"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4DA691D6"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280" w:type="dxa"/>
            <w:tcBorders>
              <w:top w:val="nil"/>
              <w:left w:val="nil"/>
              <w:bottom w:val="nil"/>
              <w:right w:val="nil"/>
            </w:tcBorders>
            <w:shd w:val="clear" w:color="auto" w:fill="auto"/>
            <w:noWrap/>
            <w:vAlign w:val="bottom"/>
            <w:hideMark/>
          </w:tcPr>
          <w:p w14:paraId="0A3591D7"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c>
          <w:tcPr>
            <w:tcW w:w="1108" w:type="dxa"/>
            <w:tcBorders>
              <w:top w:val="nil"/>
              <w:left w:val="nil"/>
              <w:bottom w:val="nil"/>
              <w:right w:val="nil"/>
            </w:tcBorders>
            <w:shd w:val="clear" w:color="auto" w:fill="auto"/>
            <w:noWrap/>
            <w:vAlign w:val="bottom"/>
            <w:hideMark/>
          </w:tcPr>
          <w:p w14:paraId="4428A971" w14:textId="77777777" w:rsidR="00E8472C" w:rsidRPr="00E8472C" w:rsidRDefault="00E8472C" w:rsidP="00E8472C">
            <w:pPr>
              <w:spacing w:after="0" w:line="240" w:lineRule="auto"/>
              <w:rPr>
                <w:rFonts w:ascii="Times New Roman" w:eastAsia="Times New Roman" w:hAnsi="Times New Roman" w:cs="Times New Roman"/>
                <w:sz w:val="20"/>
                <w:szCs w:val="20"/>
                <w:lang w:val="en-TR" w:eastAsia="en-GB"/>
              </w:rPr>
            </w:pPr>
          </w:p>
        </w:tc>
      </w:tr>
    </w:tbl>
    <w:p w14:paraId="2D6D74F5" w14:textId="6E008CD0" w:rsidR="006434E6" w:rsidRPr="006434E6" w:rsidRDefault="006434E6" w:rsidP="006434E6">
      <w:pPr>
        <w:jc w:val="both"/>
        <w:rPr>
          <w:rFonts w:ascii="Arial" w:eastAsia="Arial" w:hAnsi="Arial" w:cs="Arial"/>
          <w:color w:val="000000" w:themeColor="text1"/>
          <w:sz w:val="24"/>
          <w:szCs w:val="24"/>
          <w:lang w:val="en-GB"/>
        </w:rPr>
      </w:pPr>
      <w:r w:rsidRPr="006434E6">
        <w:rPr>
          <w:rFonts w:ascii="Arial" w:eastAsia="Arial" w:hAnsi="Arial" w:cs="Arial"/>
          <w:color w:val="000000" w:themeColor="text1"/>
          <w:sz w:val="24"/>
          <w:szCs w:val="24"/>
          <w:lang w:val="en-GB"/>
        </w:rPr>
        <w:t xml:space="preserve">In horizontal analysis, statements for </w:t>
      </w:r>
      <w:r>
        <w:rPr>
          <w:rFonts w:ascii="Arial" w:eastAsia="Arial" w:hAnsi="Arial" w:cs="Arial"/>
          <w:color w:val="000000" w:themeColor="text1"/>
          <w:sz w:val="24"/>
          <w:szCs w:val="24"/>
          <w:lang w:val="en-GB"/>
        </w:rPr>
        <w:t>two year</w:t>
      </w:r>
      <w:r w:rsidR="002B2695">
        <w:rPr>
          <w:rFonts w:ascii="Arial" w:eastAsia="Arial" w:hAnsi="Arial" w:cs="Arial"/>
          <w:color w:val="000000" w:themeColor="text1"/>
          <w:sz w:val="24"/>
          <w:szCs w:val="24"/>
          <w:lang w:val="en-GB"/>
        </w:rPr>
        <w:t>s such as</w:t>
      </w:r>
      <w:r>
        <w:rPr>
          <w:rFonts w:ascii="Arial" w:eastAsia="Arial" w:hAnsi="Arial" w:cs="Arial"/>
          <w:color w:val="000000" w:themeColor="text1"/>
          <w:sz w:val="24"/>
          <w:szCs w:val="24"/>
          <w:lang w:val="en-GB"/>
        </w:rPr>
        <w:t xml:space="preserve"> 2019 and 2020</w:t>
      </w:r>
      <w:r w:rsidRPr="006434E6">
        <w:rPr>
          <w:rFonts w:ascii="Arial" w:eastAsia="Arial" w:hAnsi="Arial" w:cs="Arial"/>
          <w:color w:val="000000" w:themeColor="text1"/>
          <w:sz w:val="24"/>
          <w:szCs w:val="24"/>
          <w:lang w:val="en-GB"/>
        </w:rPr>
        <w:t xml:space="preserve"> periods are employed. The oldest period is commonly chosen as the basis period, and all subsequent periods' assertions are compared to the base period's claims. Changes are often represented in both dollars and percentages.</w:t>
      </w:r>
    </w:p>
    <w:p w14:paraId="4BA37A05" w14:textId="60CAF151" w:rsidR="00E8472C" w:rsidRDefault="002B2695" w:rsidP="002B2695">
      <w:pPr>
        <w:rPr>
          <w:rFonts w:ascii="Arial" w:eastAsia="Arial" w:hAnsi="Arial" w:cs="Arial"/>
          <w:color w:val="000000" w:themeColor="text1"/>
          <w:sz w:val="24"/>
          <w:szCs w:val="24"/>
          <w:lang w:val="en-GB"/>
        </w:rPr>
      </w:pPr>
      <w:r>
        <w:rPr>
          <w:lang w:val="en-GB"/>
        </w:rPr>
        <w:t xml:space="preserve">  </w:t>
      </w:r>
      <w:r w:rsidR="006434E6" w:rsidRPr="002B2695">
        <w:rPr>
          <w:rFonts w:ascii="Arial" w:eastAsia="Arial" w:hAnsi="Arial" w:cs="Arial"/>
          <w:color w:val="000000" w:themeColor="text1"/>
          <w:sz w:val="24"/>
          <w:szCs w:val="24"/>
          <w:lang w:val="en-GB"/>
        </w:rPr>
        <w:t>The formulae are used to calculate dollar and percentage changes</w:t>
      </w:r>
      <w:r>
        <w:rPr>
          <w:rFonts w:ascii="Arial" w:eastAsia="Arial" w:hAnsi="Arial" w:cs="Arial"/>
          <w:color w:val="000000" w:themeColor="text1"/>
          <w:sz w:val="24"/>
          <w:szCs w:val="24"/>
          <w:lang w:val="en-GB"/>
        </w:rPr>
        <w:t>.</w:t>
      </w:r>
    </w:p>
    <w:p w14:paraId="43F2D6A9" w14:textId="77777777" w:rsidR="002B2695" w:rsidRDefault="002B2695" w:rsidP="002B2695">
      <w:pPr>
        <w:rPr>
          <w:rFonts w:ascii="Arial" w:eastAsia="Arial" w:hAnsi="Arial" w:cs="Arial"/>
          <w:color w:val="000000" w:themeColor="text1"/>
          <w:sz w:val="24"/>
          <w:szCs w:val="24"/>
          <w:lang w:val="en-GB"/>
        </w:rPr>
      </w:pPr>
    </w:p>
    <w:p w14:paraId="397987C2" w14:textId="19CFE12D" w:rsidR="002B2695" w:rsidRPr="002B2695" w:rsidRDefault="002B2695" w:rsidP="002B2695">
      <w:pPr>
        <w:jc w:val="center"/>
        <w:rPr>
          <w:rFonts w:ascii="Arial" w:eastAsia="Arial" w:hAnsi="Arial" w:cs="Arial"/>
          <w:color w:val="000000" w:themeColor="text1"/>
          <w:sz w:val="24"/>
          <w:szCs w:val="24"/>
          <w:lang w:val="en-GB"/>
        </w:rPr>
      </w:pPr>
    </w:p>
    <w:p w14:paraId="5556D720" w14:textId="5621E89C" w:rsidR="00E8472C" w:rsidRDefault="00E8472C" w:rsidP="00A16EA2">
      <w:pPr>
        <w:jc w:val="center"/>
        <w:rPr>
          <w:lang w:val="en-GB"/>
        </w:rPr>
      </w:pPr>
      <w:r>
        <w:rPr>
          <w:noProof/>
        </w:rPr>
        <w:lastRenderedPageBreak/>
        <w:drawing>
          <wp:inline distT="0" distB="0" distL="0" distR="0" wp14:anchorId="6FA979D1" wp14:editId="53B3404F">
            <wp:extent cx="4572000" cy="2743200"/>
            <wp:effectExtent l="0" t="0" r="12700" b="12700"/>
            <wp:docPr id="4" name="Chart 4">
              <a:extLst xmlns:a="http://schemas.openxmlformats.org/drawingml/2006/main">
                <a:ext uri="{FF2B5EF4-FFF2-40B4-BE49-F238E27FC236}">
                  <a16:creationId xmlns:a16="http://schemas.microsoft.com/office/drawing/2014/main" id="{5F122619-5DAA-7D46-AB41-F6F31634F3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321C1A" w14:textId="5C669B37" w:rsidR="002B2695" w:rsidRPr="002B2695" w:rsidRDefault="002B2695" w:rsidP="002B2695">
      <w:pPr>
        <w:jc w:val="both"/>
        <w:rPr>
          <w:rFonts w:ascii="Arial" w:eastAsia="Arial" w:hAnsi="Arial" w:cs="Arial"/>
          <w:sz w:val="24"/>
          <w:szCs w:val="24"/>
          <w:lang w:val="en-GB"/>
        </w:rPr>
      </w:pPr>
      <w:r w:rsidRPr="002B2695">
        <w:rPr>
          <w:rFonts w:ascii="Arial" w:eastAsia="Arial" w:hAnsi="Arial" w:cs="Arial"/>
          <w:sz w:val="24"/>
          <w:szCs w:val="24"/>
          <w:lang w:val="en-GB"/>
        </w:rPr>
        <w:t>The base year in the preceding analysis is 20</w:t>
      </w:r>
      <w:r>
        <w:rPr>
          <w:rFonts w:ascii="Arial" w:eastAsia="Arial" w:hAnsi="Arial" w:cs="Arial"/>
          <w:sz w:val="24"/>
          <w:szCs w:val="24"/>
          <w:lang w:val="en-GB"/>
        </w:rPr>
        <w:t>20</w:t>
      </w:r>
      <w:r w:rsidRPr="002B2695">
        <w:rPr>
          <w:rFonts w:ascii="Arial" w:eastAsia="Arial" w:hAnsi="Arial" w:cs="Arial"/>
          <w:sz w:val="24"/>
          <w:szCs w:val="24"/>
          <w:lang w:val="en-GB"/>
        </w:rPr>
        <w:t>, and the comparative year is 20</w:t>
      </w:r>
      <w:r>
        <w:rPr>
          <w:rFonts w:ascii="Arial" w:eastAsia="Arial" w:hAnsi="Arial" w:cs="Arial"/>
          <w:sz w:val="24"/>
          <w:szCs w:val="24"/>
          <w:lang w:val="en-GB"/>
        </w:rPr>
        <w:t>19</w:t>
      </w:r>
      <w:r w:rsidRPr="002B2695">
        <w:rPr>
          <w:rFonts w:ascii="Arial" w:eastAsia="Arial" w:hAnsi="Arial" w:cs="Arial"/>
          <w:sz w:val="24"/>
          <w:szCs w:val="24"/>
          <w:lang w:val="en-GB"/>
        </w:rPr>
        <w:t>. All balance sheet and income statement items for the year 20</w:t>
      </w:r>
      <w:r>
        <w:rPr>
          <w:rFonts w:ascii="Arial" w:eastAsia="Arial" w:hAnsi="Arial" w:cs="Arial"/>
          <w:sz w:val="24"/>
          <w:szCs w:val="24"/>
          <w:lang w:val="en-GB"/>
        </w:rPr>
        <w:t>20</w:t>
      </w:r>
      <w:r w:rsidRPr="002B2695">
        <w:rPr>
          <w:rFonts w:ascii="Arial" w:eastAsia="Arial" w:hAnsi="Arial" w:cs="Arial"/>
          <w:sz w:val="24"/>
          <w:szCs w:val="24"/>
          <w:lang w:val="en-GB"/>
        </w:rPr>
        <w:t xml:space="preserve"> were compared to balance sheet and income statement items for the year 20</w:t>
      </w:r>
      <w:r>
        <w:rPr>
          <w:rFonts w:ascii="Arial" w:eastAsia="Arial" w:hAnsi="Arial" w:cs="Arial"/>
          <w:sz w:val="24"/>
          <w:szCs w:val="24"/>
          <w:lang w:val="en-GB"/>
        </w:rPr>
        <w:t>19</w:t>
      </w:r>
      <w:r w:rsidRPr="002B2695">
        <w:rPr>
          <w:rFonts w:ascii="Arial" w:eastAsia="Arial" w:hAnsi="Arial" w:cs="Arial"/>
          <w:sz w:val="24"/>
          <w:szCs w:val="24"/>
          <w:lang w:val="en-GB"/>
        </w:rPr>
        <w:t>.</w:t>
      </w:r>
    </w:p>
    <w:p w14:paraId="6DE592FE" w14:textId="1CCE3F54" w:rsidR="002B2695" w:rsidRPr="002B2695" w:rsidRDefault="002B2695" w:rsidP="002B2695">
      <w:pPr>
        <w:jc w:val="both"/>
        <w:rPr>
          <w:rFonts w:ascii="Arial" w:eastAsia="Arial" w:hAnsi="Arial" w:cs="Arial"/>
          <w:sz w:val="24"/>
          <w:szCs w:val="24"/>
          <w:lang w:val="en-GB"/>
        </w:rPr>
      </w:pPr>
      <w:r w:rsidRPr="002B2695">
        <w:rPr>
          <w:rFonts w:ascii="Arial" w:eastAsia="Arial" w:hAnsi="Arial" w:cs="Arial"/>
          <w:sz w:val="24"/>
          <w:szCs w:val="24"/>
          <w:lang w:val="en-GB"/>
        </w:rPr>
        <w:t>Items' actual changes are contrasted to the predicted changes. For</w:t>
      </w:r>
      <w:r>
        <w:rPr>
          <w:rFonts w:ascii="Arial" w:eastAsia="Arial" w:hAnsi="Arial" w:cs="Arial"/>
          <w:sz w:val="24"/>
          <w:szCs w:val="24"/>
          <w:lang w:val="en-GB"/>
        </w:rPr>
        <w:t xml:space="preserve"> Hilton</w:t>
      </w:r>
      <w:r w:rsidRPr="002B2695">
        <w:rPr>
          <w:rFonts w:ascii="Arial" w:eastAsia="Arial" w:hAnsi="Arial" w:cs="Arial"/>
          <w:sz w:val="24"/>
          <w:szCs w:val="24"/>
          <w:lang w:val="en-GB"/>
        </w:rPr>
        <w:t xml:space="preserve">, if management anticipates a 30% rise in sales </w:t>
      </w:r>
      <w:r>
        <w:rPr>
          <w:rFonts w:ascii="Arial" w:eastAsia="Arial" w:hAnsi="Arial" w:cs="Arial"/>
          <w:sz w:val="24"/>
          <w:szCs w:val="24"/>
          <w:lang w:val="en-GB"/>
        </w:rPr>
        <w:t>and profit</w:t>
      </w:r>
      <w:r w:rsidRPr="002B2695">
        <w:rPr>
          <w:rFonts w:ascii="Arial" w:eastAsia="Arial" w:hAnsi="Arial" w:cs="Arial"/>
          <w:sz w:val="24"/>
          <w:szCs w:val="24"/>
          <w:lang w:val="en-GB"/>
        </w:rPr>
        <w:t xml:space="preserve"> but only sees a </w:t>
      </w:r>
      <w:r>
        <w:rPr>
          <w:rFonts w:ascii="Arial" w:eastAsia="Arial" w:hAnsi="Arial" w:cs="Arial"/>
          <w:sz w:val="24"/>
          <w:szCs w:val="24"/>
          <w:lang w:val="en-GB"/>
        </w:rPr>
        <w:t>-0.1</w:t>
      </w:r>
      <w:r w:rsidRPr="002B2695">
        <w:rPr>
          <w:rFonts w:ascii="Arial" w:eastAsia="Arial" w:hAnsi="Arial" w:cs="Arial"/>
          <w:sz w:val="24"/>
          <w:szCs w:val="24"/>
          <w:lang w:val="en-GB"/>
        </w:rPr>
        <w:t xml:space="preserve">% </w:t>
      </w:r>
      <w:r>
        <w:rPr>
          <w:rFonts w:ascii="Arial" w:eastAsia="Arial" w:hAnsi="Arial" w:cs="Arial"/>
          <w:sz w:val="24"/>
          <w:szCs w:val="24"/>
          <w:lang w:val="en-GB"/>
        </w:rPr>
        <w:t xml:space="preserve"> and -0.5% sale de</w:t>
      </w:r>
      <w:r w:rsidRPr="002B2695">
        <w:rPr>
          <w:rFonts w:ascii="Arial" w:eastAsia="Arial" w:hAnsi="Arial" w:cs="Arial"/>
          <w:sz w:val="24"/>
          <w:szCs w:val="24"/>
          <w:lang w:val="en-GB"/>
        </w:rPr>
        <w:t>crease,</w:t>
      </w:r>
      <w:r>
        <w:rPr>
          <w:rFonts w:ascii="Arial" w:eastAsia="Arial" w:hAnsi="Arial" w:cs="Arial"/>
          <w:sz w:val="24"/>
          <w:szCs w:val="24"/>
          <w:lang w:val="en-GB"/>
        </w:rPr>
        <w:t xml:space="preserve"> </w:t>
      </w:r>
      <w:r w:rsidRPr="002B2695">
        <w:rPr>
          <w:rFonts w:ascii="Arial" w:eastAsia="Arial" w:hAnsi="Arial" w:cs="Arial"/>
          <w:sz w:val="24"/>
          <w:szCs w:val="24"/>
          <w:lang w:val="en-GB"/>
        </w:rPr>
        <w:t xml:space="preserve"> the situation must be explored.</w:t>
      </w:r>
      <w:r>
        <w:rPr>
          <w:rFonts w:ascii="Arial" w:eastAsia="Arial" w:hAnsi="Arial" w:cs="Arial"/>
          <w:sz w:val="24"/>
          <w:szCs w:val="24"/>
          <w:lang w:val="en-GB"/>
        </w:rPr>
        <w:t xml:space="preserve"> </w:t>
      </w:r>
    </w:p>
    <w:p w14:paraId="3930D0F1" w14:textId="7F3F27D1" w:rsidR="4F218F7F" w:rsidRPr="003D4590" w:rsidRDefault="003D4590" w:rsidP="003D4590">
      <w:pPr>
        <w:pStyle w:val="Heading1"/>
        <w:numPr>
          <w:ilvl w:val="0"/>
          <w:numId w:val="9"/>
        </w:numPr>
        <w:rPr>
          <w:rFonts w:ascii="Arial" w:eastAsia="Arial" w:hAnsi="Arial" w:cs="Arial"/>
          <w:b/>
          <w:bCs/>
          <w:color w:val="000000" w:themeColor="text1"/>
          <w:lang w:val="en-GB"/>
        </w:rPr>
      </w:pPr>
      <w:r>
        <w:rPr>
          <w:rFonts w:ascii="Arial" w:eastAsia="Arial" w:hAnsi="Arial" w:cs="Arial"/>
          <w:b/>
          <w:bCs/>
          <w:color w:val="000000" w:themeColor="text1"/>
          <w:lang w:val="en-GB"/>
        </w:rPr>
        <w:t>I</w:t>
      </w:r>
      <w:r w:rsidRPr="003D4590">
        <w:rPr>
          <w:rFonts w:ascii="Arial" w:eastAsia="Arial" w:hAnsi="Arial" w:cs="Arial"/>
          <w:b/>
          <w:bCs/>
          <w:color w:val="000000" w:themeColor="text1"/>
          <w:lang w:val="en-GB"/>
        </w:rPr>
        <w:t>mportance of using ratio analysis for decision making</w:t>
      </w:r>
    </w:p>
    <w:p w14:paraId="28BD29FD" w14:textId="77777777" w:rsidR="008933E3" w:rsidRPr="003D4590" w:rsidRDefault="008933E3" w:rsidP="008933E3">
      <w:pPr>
        <w:rPr>
          <w:lang w:val="en-GB"/>
        </w:rPr>
      </w:pPr>
    </w:p>
    <w:p w14:paraId="067EF35E" w14:textId="77777777" w:rsidR="00F30856" w:rsidRDefault="00F30856" w:rsidP="00F30856">
      <w:pPr>
        <w:spacing w:line="360" w:lineRule="auto"/>
        <w:jc w:val="both"/>
        <w:rPr>
          <w:rFonts w:ascii="Arial" w:eastAsia="Arial" w:hAnsi="Arial" w:cs="Arial"/>
          <w:sz w:val="24"/>
          <w:szCs w:val="24"/>
          <w:lang w:val="en-GB"/>
        </w:rPr>
      </w:pPr>
      <w:r w:rsidRPr="00F30856">
        <w:rPr>
          <w:rFonts w:ascii="Arial" w:eastAsia="Arial" w:hAnsi="Arial" w:cs="Arial"/>
          <w:sz w:val="24"/>
          <w:szCs w:val="24"/>
          <w:lang w:val="en-GB"/>
        </w:rPr>
        <w:t>The purpose of the analysis determines the sort of ratios to be computed. Typically, all of the inputs or information used to calculate these ratios may be found in an organization's financial statements (Buffett, W., 1984). Several figures must be computed before they can be input. Some of the most typical types of ratios that we compute and apply include liquidity ratios, profitability ratios, solvency ratios, efficiency ratios, coverage ratios, and market prospect ratios (Damitio, J., Dennington, L. &amp; Schmidgall, R). Consider the importance of these particular ratio groupings and their analysis.</w:t>
      </w:r>
    </w:p>
    <w:p w14:paraId="6908C25D" w14:textId="1A719E1B" w:rsidR="4F218F7F" w:rsidRPr="002041C3" w:rsidRDefault="4F218F7F" w:rsidP="002041C3">
      <w:pPr>
        <w:pStyle w:val="ListParagraph"/>
        <w:numPr>
          <w:ilvl w:val="0"/>
          <w:numId w:val="10"/>
        </w:numPr>
        <w:spacing w:line="360" w:lineRule="auto"/>
        <w:jc w:val="both"/>
        <w:rPr>
          <w:rFonts w:ascii="Arial" w:eastAsia="Arial" w:hAnsi="Arial" w:cs="Arial"/>
          <w:b/>
          <w:bCs/>
          <w:sz w:val="24"/>
          <w:szCs w:val="24"/>
          <w:lang w:val="en-GB"/>
        </w:rPr>
      </w:pPr>
      <w:r w:rsidRPr="002041C3">
        <w:rPr>
          <w:rFonts w:ascii="Arial" w:eastAsia="Arial" w:hAnsi="Arial" w:cs="Arial"/>
          <w:b/>
          <w:bCs/>
          <w:sz w:val="24"/>
          <w:szCs w:val="24"/>
          <w:lang w:val="en-GB"/>
        </w:rPr>
        <w:t>Analysis of financial statements</w:t>
      </w:r>
    </w:p>
    <w:p w14:paraId="34D388DA" w14:textId="77777777" w:rsidR="00F30856" w:rsidRPr="00F30856" w:rsidRDefault="00F30856" w:rsidP="00F30856">
      <w:pPr>
        <w:spacing w:line="360" w:lineRule="auto"/>
        <w:jc w:val="both"/>
        <w:rPr>
          <w:rFonts w:ascii="Arial" w:eastAsia="Arial" w:hAnsi="Arial" w:cs="Arial"/>
          <w:sz w:val="24"/>
          <w:szCs w:val="24"/>
          <w:lang w:val="en-GB"/>
        </w:rPr>
      </w:pPr>
      <w:r w:rsidRPr="00F30856">
        <w:rPr>
          <w:rFonts w:ascii="Arial" w:eastAsia="Arial" w:hAnsi="Arial" w:cs="Arial"/>
          <w:sz w:val="24"/>
          <w:szCs w:val="24"/>
          <w:lang w:val="en-GB"/>
        </w:rPr>
        <w:t xml:space="preserve">All internal and external stakeholders of the company need to be able to interpret financial statements and data. The statistics from the balance sheet and income statements are interpreted with the use of ratio analysis. Whenever it comes to the financial outcome, </w:t>
      </w:r>
      <w:r w:rsidRPr="00F30856">
        <w:rPr>
          <w:rFonts w:ascii="Arial" w:eastAsia="Arial" w:hAnsi="Arial" w:cs="Arial"/>
          <w:sz w:val="24"/>
          <w:szCs w:val="24"/>
          <w:lang w:val="en-GB"/>
        </w:rPr>
        <w:lastRenderedPageBreak/>
        <w:t xml:space="preserve">each stakeholder has various interests. The expansion of dividend payments and the organization's earnings potential in the long run are more important to stock investors. </w:t>
      </w:r>
    </w:p>
    <w:p w14:paraId="3235F26E" w14:textId="71A5487F" w:rsidR="00F30856" w:rsidRPr="002041C3" w:rsidRDefault="00F30856" w:rsidP="002041C3">
      <w:pPr>
        <w:pStyle w:val="ListParagraph"/>
        <w:numPr>
          <w:ilvl w:val="0"/>
          <w:numId w:val="10"/>
        </w:numPr>
        <w:spacing w:line="360" w:lineRule="auto"/>
        <w:jc w:val="both"/>
        <w:rPr>
          <w:rFonts w:ascii="Arial" w:eastAsia="Arial" w:hAnsi="Arial" w:cs="Arial"/>
          <w:b/>
          <w:bCs/>
          <w:sz w:val="24"/>
          <w:szCs w:val="24"/>
          <w:lang w:val="en-GB"/>
        </w:rPr>
      </w:pPr>
      <w:r w:rsidRPr="002041C3">
        <w:rPr>
          <w:rFonts w:ascii="Arial" w:eastAsia="Arial" w:hAnsi="Arial" w:cs="Arial"/>
          <w:b/>
          <w:bCs/>
          <w:sz w:val="24"/>
          <w:szCs w:val="24"/>
          <w:lang w:val="en-GB"/>
        </w:rPr>
        <w:t>Measuring financial solvency</w:t>
      </w:r>
    </w:p>
    <w:p w14:paraId="2A4B7360" w14:textId="77777777" w:rsidR="00F30856" w:rsidRDefault="00F30856" w:rsidP="00F30856">
      <w:pPr>
        <w:spacing w:line="360" w:lineRule="auto"/>
        <w:jc w:val="both"/>
        <w:rPr>
          <w:rFonts w:ascii="Arial" w:eastAsia="Arial" w:hAnsi="Arial" w:cs="Arial"/>
          <w:sz w:val="24"/>
          <w:szCs w:val="24"/>
          <w:lang w:val="en-GB"/>
        </w:rPr>
      </w:pPr>
      <w:r w:rsidRPr="00F30856">
        <w:rPr>
          <w:rFonts w:ascii="Arial" w:eastAsia="Arial" w:hAnsi="Arial" w:cs="Arial"/>
          <w:sz w:val="24"/>
          <w:szCs w:val="24"/>
          <w:lang w:val="en-GB"/>
        </w:rPr>
        <w:t xml:space="preserve">Ratio analysis is a valuable method for determining the financial solvency or soundness of a corporation. Stakeholders will be able to assess the outcomes and make well-informed financial decisions as a consequence. They can compare current and historical period ratios to see if the firm is performing better than it was in previous quarters or years. Comparing ratios with other firms in the same industry or sector is also possible. This will assist users in comprehending the company's genuine financial situation. </w:t>
      </w:r>
    </w:p>
    <w:p w14:paraId="07DB1913" w14:textId="20E3BDC9" w:rsidR="00F30856" w:rsidRDefault="00F30856" w:rsidP="00F30856">
      <w:pPr>
        <w:spacing w:line="360" w:lineRule="auto"/>
        <w:jc w:val="both"/>
        <w:rPr>
          <w:rFonts w:ascii="Arial" w:eastAsia="Arial" w:hAnsi="Arial" w:cs="Arial"/>
          <w:sz w:val="24"/>
          <w:szCs w:val="24"/>
          <w:lang w:val="en-GB"/>
        </w:rPr>
      </w:pPr>
      <w:r w:rsidRPr="00F30856">
        <w:rPr>
          <w:rFonts w:ascii="Arial" w:eastAsia="Arial" w:hAnsi="Arial" w:cs="Arial"/>
          <w:sz w:val="24"/>
          <w:szCs w:val="24"/>
          <w:lang w:val="en-GB"/>
        </w:rPr>
        <w:t xml:space="preserve">They might </w:t>
      </w:r>
      <w:r w:rsidR="002041C3" w:rsidRPr="00F30856">
        <w:rPr>
          <w:rFonts w:ascii="Arial" w:eastAsia="Arial" w:hAnsi="Arial" w:cs="Arial"/>
          <w:sz w:val="24"/>
          <w:szCs w:val="24"/>
          <w:lang w:val="en-GB"/>
        </w:rPr>
        <w:t>analyse</w:t>
      </w:r>
      <w:r w:rsidRPr="00F30856">
        <w:rPr>
          <w:rFonts w:ascii="Arial" w:eastAsia="Arial" w:hAnsi="Arial" w:cs="Arial"/>
          <w:sz w:val="24"/>
          <w:szCs w:val="24"/>
          <w:lang w:val="en-GB"/>
        </w:rPr>
        <w:t xml:space="preserve"> current and past period ratios to assess if the business is outperforming previous quarters or years. It is also feasible to compare ratios with other companies in the same industry or sector. This will let people understand the company's true financial status. Shareholders can use the P/E ratio, also known as the dividend </w:t>
      </w:r>
      <w:r w:rsidR="002041C3" w:rsidRPr="00F30856">
        <w:rPr>
          <w:rFonts w:ascii="Arial" w:eastAsia="Arial" w:hAnsi="Arial" w:cs="Arial"/>
          <w:sz w:val="24"/>
          <w:szCs w:val="24"/>
          <w:lang w:val="en-GB"/>
        </w:rPr>
        <w:t>pay-out</w:t>
      </w:r>
      <w:r w:rsidRPr="00F30856">
        <w:rPr>
          <w:rFonts w:ascii="Arial" w:eastAsia="Arial" w:hAnsi="Arial" w:cs="Arial"/>
          <w:sz w:val="24"/>
          <w:szCs w:val="24"/>
          <w:lang w:val="en-GB"/>
        </w:rPr>
        <w:t xml:space="preserve"> ratio or the earnings per share ratio, to evaluate a company's financial performance. The debt-to-equity ratio helps creditors assess a company's debt in relation to its equity, as well as the company's ability to make timely interest and principal payments on its debt.</w:t>
      </w:r>
    </w:p>
    <w:p w14:paraId="65352863" w14:textId="22701A63" w:rsidR="4F218F7F" w:rsidRPr="002041C3" w:rsidRDefault="4F218F7F" w:rsidP="002041C3">
      <w:pPr>
        <w:pStyle w:val="ListParagraph"/>
        <w:numPr>
          <w:ilvl w:val="0"/>
          <w:numId w:val="10"/>
        </w:numPr>
        <w:spacing w:line="360" w:lineRule="auto"/>
        <w:jc w:val="both"/>
        <w:rPr>
          <w:rFonts w:ascii="Arial" w:eastAsia="Arial" w:hAnsi="Arial" w:cs="Arial"/>
          <w:b/>
          <w:bCs/>
          <w:sz w:val="24"/>
          <w:szCs w:val="24"/>
          <w:lang w:val="en-GB"/>
        </w:rPr>
      </w:pPr>
      <w:r w:rsidRPr="002041C3">
        <w:rPr>
          <w:rFonts w:ascii="Arial" w:eastAsia="Arial" w:hAnsi="Arial" w:cs="Arial"/>
          <w:b/>
          <w:bCs/>
          <w:sz w:val="24"/>
          <w:szCs w:val="24"/>
          <w:lang w:val="en-GB"/>
        </w:rPr>
        <w:t>Making Comparisons and Making Decisions</w:t>
      </w:r>
    </w:p>
    <w:p w14:paraId="369CCFEF" w14:textId="77777777" w:rsidR="00F30856" w:rsidRDefault="00F30856" w:rsidP="00F30856">
      <w:pPr>
        <w:spacing w:line="360" w:lineRule="auto"/>
        <w:jc w:val="both"/>
        <w:rPr>
          <w:rFonts w:ascii="Arial" w:eastAsia="Arial" w:hAnsi="Arial" w:cs="Arial"/>
          <w:sz w:val="24"/>
          <w:szCs w:val="24"/>
          <w:lang w:val="en-GB"/>
        </w:rPr>
      </w:pPr>
      <w:r w:rsidRPr="00F30856">
        <w:rPr>
          <w:rFonts w:ascii="Arial" w:eastAsia="Arial" w:hAnsi="Arial" w:cs="Arial"/>
          <w:sz w:val="24"/>
          <w:szCs w:val="24"/>
          <w:lang w:val="en-GB"/>
        </w:rPr>
        <w:t>Ratio analysis enables stakeholders to swiftly understand a company's financial situation. They can swiftly compare companies in the same field or business. Stakeholders can evaluate their organization's performance. Ratio analysis reveals a company's true status by providing context for comparison rather than just statistics. For example, knowing a company's gross margin of $5000 is worthless knowledge. It would only be useful as a gross margin-to-sales ratio. Ratio analysis also aids management decision-making. Management will be able to rapidly assess which sections of the business are weak and which demand immediate attention by examining various ratios.</w:t>
      </w:r>
    </w:p>
    <w:p w14:paraId="1A982DDF" w14:textId="138977C7" w:rsidR="4F218F7F" w:rsidRPr="002041C3" w:rsidRDefault="4F218F7F" w:rsidP="002041C3">
      <w:pPr>
        <w:pStyle w:val="ListParagraph"/>
        <w:numPr>
          <w:ilvl w:val="0"/>
          <w:numId w:val="10"/>
        </w:numPr>
        <w:spacing w:line="360" w:lineRule="auto"/>
        <w:jc w:val="both"/>
        <w:rPr>
          <w:rFonts w:ascii="Arial" w:eastAsia="Arial" w:hAnsi="Arial" w:cs="Arial"/>
          <w:b/>
          <w:bCs/>
          <w:sz w:val="24"/>
          <w:szCs w:val="24"/>
          <w:lang w:val="en-GB"/>
        </w:rPr>
      </w:pPr>
      <w:r w:rsidRPr="002041C3">
        <w:rPr>
          <w:rFonts w:ascii="Arial" w:eastAsia="Arial" w:hAnsi="Arial" w:cs="Arial"/>
          <w:b/>
          <w:bCs/>
          <w:sz w:val="24"/>
          <w:szCs w:val="24"/>
          <w:lang w:val="en-GB"/>
        </w:rPr>
        <w:t>Measure of business risk</w:t>
      </w:r>
    </w:p>
    <w:p w14:paraId="44D95BC4" w14:textId="6533CCA4" w:rsidR="00F30856" w:rsidRPr="00F30856" w:rsidRDefault="00F30856" w:rsidP="00F30856">
      <w:pPr>
        <w:spacing w:line="360" w:lineRule="auto"/>
        <w:jc w:val="both"/>
        <w:rPr>
          <w:rFonts w:ascii="Arial" w:eastAsia="Arial" w:hAnsi="Arial" w:cs="Arial"/>
          <w:sz w:val="24"/>
          <w:szCs w:val="24"/>
          <w:lang w:val="en-GB"/>
        </w:rPr>
      </w:pPr>
      <w:r w:rsidRPr="00F30856">
        <w:rPr>
          <w:rFonts w:ascii="Arial" w:eastAsia="Arial" w:hAnsi="Arial" w:cs="Arial"/>
          <w:sz w:val="24"/>
          <w:szCs w:val="24"/>
          <w:lang w:val="en-GB"/>
        </w:rPr>
        <w:lastRenderedPageBreak/>
        <w:t>Ratio analysis helps identify a company's risks and management's response to them. Financial and operational leverage ratios, for example, are used to help people comprehend the risk levels of any firm that is reliant on external debt. A user may rapidly discover how much money the corporation has borrowed to support its assets or how far a company's operating income can be stretched by evaluating these ratios. Ratio analysis also helps us evaluate the company's capacity to support interest payments and debt repayment. As a result, the chance of credit failure is reduced. Please bear in mind that equivalent ratios such as the debt-equity ratio, the interest coverage ratio, and the debt payment coverage ratio are also useful.</w:t>
      </w:r>
      <w:r>
        <w:rPr>
          <w:rFonts w:ascii="Arial" w:eastAsia="Arial" w:hAnsi="Arial" w:cs="Arial"/>
          <w:sz w:val="24"/>
          <w:szCs w:val="24"/>
          <w:lang w:val="en-GB"/>
        </w:rPr>
        <w:t xml:space="preserve"> A</w:t>
      </w:r>
      <w:r w:rsidRPr="00F30856">
        <w:rPr>
          <w:rFonts w:ascii="Arial" w:eastAsia="Arial" w:hAnsi="Arial" w:cs="Arial"/>
          <w:sz w:val="24"/>
          <w:szCs w:val="24"/>
          <w:lang w:val="en-GB"/>
        </w:rPr>
        <w:t>s well as certain other measures, are used to assess financial soundness and credit risk.</w:t>
      </w:r>
    </w:p>
    <w:p w14:paraId="61A25407" w14:textId="3C53E985" w:rsidR="00F30856" w:rsidRPr="002041C3" w:rsidRDefault="00F30856" w:rsidP="002041C3">
      <w:pPr>
        <w:pStyle w:val="ListParagraph"/>
        <w:numPr>
          <w:ilvl w:val="0"/>
          <w:numId w:val="10"/>
        </w:numPr>
        <w:spacing w:line="360" w:lineRule="auto"/>
        <w:jc w:val="both"/>
        <w:rPr>
          <w:rFonts w:ascii="Arial" w:eastAsia="Arial" w:hAnsi="Arial" w:cs="Arial"/>
          <w:b/>
          <w:bCs/>
          <w:sz w:val="24"/>
          <w:szCs w:val="24"/>
          <w:lang w:val="en-GB"/>
        </w:rPr>
      </w:pPr>
      <w:r w:rsidRPr="002041C3">
        <w:rPr>
          <w:rFonts w:ascii="Arial" w:eastAsia="Arial" w:hAnsi="Arial" w:cs="Arial"/>
          <w:b/>
          <w:bCs/>
          <w:sz w:val="24"/>
          <w:szCs w:val="24"/>
          <w:lang w:val="en-GB"/>
        </w:rPr>
        <w:t>Coordination and planning that works</w:t>
      </w:r>
    </w:p>
    <w:p w14:paraId="19602CCE" w14:textId="77777777" w:rsidR="00F30856" w:rsidRDefault="00F30856" w:rsidP="00F30856">
      <w:pPr>
        <w:spacing w:line="360" w:lineRule="auto"/>
        <w:jc w:val="both"/>
        <w:rPr>
          <w:rFonts w:ascii="Arial" w:eastAsia="Arial" w:hAnsi="Arial" w:cs="Arial"/>
          <w:sz w:val="24"/>
          <w:szCs w:val="24"/>
          <w:lang w:val="en-GB"/>
        </w:rPr>
      </w:pPr>
      <w:r w:rsidRPr="00F30856">
        <w:rPr>
          <w:rFonts w:ascii="Arial" w:eastAsia="Arial" w:hAnsi="Arial" w:cs="Arial"/>
          <w:sz w:val="24"/>
          <w:szCs w:val="24"/>
          <w:lang w:val="en-GB"/>
        </w:rPr>
        <w:t>Ratio analysis is also necessary for internal management in any firm. It delivers detailed data on important indicators and the success of the firm. It assists management in reviewing results, identifying the causes of budget variances, and successfully preparing for the future. They help in the controlling function by giving management with a clear view of the disparity between planned and actual financials. It also aids management in generating realistic and achievable budgets and predictions. Budgeted value variations at all levels, as well as achievement level ratios, all illustrate where the organization thrived and where it failed, and why.</w:t>
      </w:r>
    </w:p>
    <w:p w14:paraId="364BEB90" w14:textId="3F21F763" w:rsidR="4F218F7F" w:rsidRPr="002041C3" w:rsidRDefault="4F218F7F" w:rsidP="002041C3">
      <w:pPr>
        <w:pStyle w:val="ListParagraph"/>
        <w:numPr>
          <w:ilvl w:val="0"/>
          <w:numId w:val="10"/>
        </w:numPr>
        <w:spacing w:line="360" w:lineRule="auto"/>
        <w:jc w:val="both"/>
        <w:rPr>
          <w:rFonts w:ascii="Arial" w:eastAsia="Arial" w:hAnsi="Arial" w:cs="Arial"/>
          <w:b/>
          <w:bCs/>
          <w:sz w:val="24"/>
          <w:szCs w:val="24"/>
          <w:lang w:val="en-GB"/>
        </w:rPr>
      </w:pPr>
      <w:r w:rsidRPr="002041C3">
        <w:rPr>
          <w:rFonts w:ascii="Arial" w:eastAsia="Arial" w:hAnsi="Arial" w:cs="Arial"/>
          <w:b/>
          <w:bCs/>
          <w:sz w:val="24"/>
          <w:szCs w:val="24"/>
          <w:lang w:val="en-GB"/>
        </w:rPr>
        <w:t>Measure of business risk</w:t>
      </w:r>
    </w:p>
    <w:p w14:paraId="66A20A50" w14:textId="77777777" w:rsidR="002041C3" w:rsidRDefault="002041C3" w:rsidP="4F218F7F">
      <w:pPr>
        <w:spacing w:line="360" w:lineRule="auto"/>
        <w:jc w:val="both"/>
        <w:rPr>
          <w:rFonts w:ascii="Arial" w:eastAsia="Arial" w:hAnsi="Arial" w:cs="Arial"/>
          <w:sz w:val="24"/>
          <w:szCs w:val="24"/>
          <w:lang w:val="en-GB"/>
        </w:rPr>
      </w:pPr>
      <w:r w:rsidRPr="002041C3">
        <w:rPr>
          <w:rFonts w:ascii="Arial" w:eastAsia="Arial" w:hAnsi="Arial" w:cs="Arial"/>
          <w:sz w:val="24"/>
          <w:szCs w:val="24"/>
          <w:lang w:val="en-GB"/>
        </w:rPr>
        <w:t>Ratio analysis may help us discover company risks and how management controls them. The computation of leverage ratios such as financial leverage and operational leverage helps users comprehend the risk levels associated with any firm's external debt. A user may rapidly discover how much money the corporation has borrowed to support its assets or how far a company's operating income can be stretched by evaluating these ratios. Ratio analysis also helps us evaluate the company's capacity to support interest payments and debt repayment. As a consequence, the danger of credit default is minimized.</w:t>
      </w:r>
    </w:p>
    <w:p w14:paraId="462264E3" w14:textId="34F7B71A" w:rsidR="4F218F7F" w:rsidRPr="003D4590" w:rsidRDefault="4F218F7F" w:rsidP="4F218F7F">
      <w:pPr>
        <w:spacing w:line="360" w:lineRule="auto"/>
        <w:jc w:val="both"/>
        <w:rPr>
          <w:rFonts w:ascii="Arial" w:eastAsia="Arial" w:hAnsi="Arial" w:cs="Arial"/>
          <w:sz w:val="24"/>
          <w:szCs w:val="24"/>
          <w:lang w:val="en-GB"/>
        </w:rPr>
      </w:pPr>
      <w:r w:rsidRPr="003D4590">
        <w:rPr>
          <w:rFonts w:ascii="Arial" w:eastAsia="Arial" w:hAnsi="Arial" w:cs="Arial"/>
          <w:sz w:val="24"/>
          <w:szCs w:val="24"/>
          <w:lang w:val="en-GB"/>
        </w:rPr>
        <w:lastRenderedPageBreak/>
        <w:t xml:space="preserve">Ratio analysis identifies both the good and bad elements of the business. The management team can clearly identify the company's strengths and problems. They can identify </w:t>
      </w:r>
      <w:r w:rsidR="002041C3" w:rsidRPr="003D4590">
        <w:rPr>
          <w:rFonts w:ascii="Arial" w:eastAsia="Arial" w:hAnsi="Arial" w:cs="Arial"/>
          <w:sz w:val="24"/>
          <w:szCs w:val="24"/>
          <w:lang w:val="en-GB"/>
        </w:rPr>
        <w:t>unfavourable</w:t>
      </w:r>
      <w:r w:rsidRPr="003D4590">
        <w:rPr>
          <w:rFonts w:ascii="Arial" w:eastAsia="Arial" w:hAnsi="Arial" w:cs="Arial"/>
          <w:sz w:val="24"/>
          <w:szCs w:val="24"/>
          <w:lang w:val="en-GB"/>
        </w:rPr>
        <w:t xml:space="preserve"> elements, attempt to improve them, and eventually remove them. Stakeholders should, however, not depend on ratio analysis naively and should use caution when applying the findings. The statistics in the financial statements can occasionally be manipulated by management to make these ratios appear better. When it comes to selecting components or inputs for computations, there is no set structure or procedure. </w:t>
      </w:r>
    </w:p>
    <w:p w14:paraId="58D0DAE6" w14:textId="1B45B73F" w:rsidR="4F218F7F" w:rsidRPr="003D4590" w:rsidRDefault="4F218F7F" w:rsidP="4F218F7F">
      <w:pPr>
        <w:spacing w:line="360" w:lineRule="auto"/>
        <w:jc w:val="both"/>
        <w:rPr>
          <w:rFonts w:ascii="Arial" w:eastAsia="Arial" w:hAnsi="Arial" w:cs="Arial"/>
          <w:b/>
          <w:bCs/>
          <w:sz w:val="24"/>
          <w:szCs w:val="24"/>
          <w:lang w:val="en-GB"/>
        </w:rPr>
      </w:pPr>
      <w:r w:rsidRPr="003D4590">
        <w:rPr>
          <w:rFonts w:ascii="Arial" w:eastAsia="Arial" w:hAnsi="Arial" w:cs="Arial"/>
          <w:b/>
          <w:bCs/>
          <w:sz w:val="24"/>
          <w:szCs w:val="24"/>
          <w:lang w:val="en-GB"/>
        </w:rPr>
        <w:t>(C)</w:t>
      </w:r>
    </w:p>
    <w:p w14:paraId="506B5DC3" w14:textId="5133CCC8" w:rsidR="4F218F7F" w:rsidRPr="003D4590" w:rsidRDefault="4F218F7F" w:rsidP="4F218F7F">
      <w:pPr>
        <w:spacing w:line="360" w:lineRule="auto"/>
        <w:jc w:val="both"/>
        <w:rPr>
          <w:rFonts w:ascii="Arial" w:eastAsia="Arial" w:hAnsi="Arial" w:cs="Arial"/>
          <w:sz w:val="24"/>
          <w:szCs w:val="24"/>
          <w:lang w:val="en-GB"/>
        </w:rPr>
      </w:pPr>
      <w:r w:rsidRPr="003D4590">
        <w:rPr>
          <w:rFonts w:ascii="Arial" w:eastAsia="Arial" w:hAnsi="Arial" w:cs="Arial"/>
          <w:sz w:val="24"/>
          <w:szCs w:val="24"/>
          <w:lang w:val="en-GB"/>
        </w:rPr>
        <w:t>Ratio analysis is a popular method of evaluating a company's performance. It is used by the firm's management to determine where the company stands in contrast to its rivals. Likewise, before investing in a firm, investors employ ratio analysis to make an educated decision. As a result, it's important to be aware of the limits of ratio analysis. Limitations of ratio analysis are:</w:t>
      </w:r>
    </w:p>
    <w:p w14:paraId="1972D102" w14:textId="53289250" w:rsidR="4F218F7F" w:rsidRPr="003D4590" w:rsidRDefault="4F218F7F" w:rsidP="4F218F7F">
      <w:pPr>
        <w:spacing w:line="360" w:lineRule="auto"/>
        <w:jc w:val="both"/>
        <w:rPr>
          <w:rFonts w:ascii="Arial" w:eastAsia="Arial" w:hAnsi="Arial" w:cs="Arial"/>
          <w:sz w:val="24"/>
          <w:szCs w:val="24"/>
          <w:lang w:val="en-GB"/>
        </w:rPr>
      </w:pPr>
      <w:r w:rsidRPr="003D4590">
        <w:rPr>
          <w:rFonts w:ascii="Arial" w:eastAsia="Arial" w:hAnsi="Arial" w:cs="Arial"/>
          <w:b/>
          <w:bCs/>
          <w:sz w:val="24"/>
          <w:szCs w:val="24"/>
          <w:lang w:val="en-GB"/>
        </w:rPr>
        <w:t>Quality of Earnings</w:t>
      </w:r>
    </w:p>
    <w:p w14:paraId="0FE9933E" w14:textId="5AF6C8B5" w:rsidR="4F218F7F" w:rsidRPr="003D4590" w:rsidRDefault="4F218F7F" w:rsidP="4F218F7F">
      <w:pPr>
        <w:spacing w:line="360" w:lineRule="auto"/>
        <w:jc w:val="both"/>
        <w:rPr>
          <w:rFonts w:ascii="Arial" w:eastAsia="Arial" w:hAnsi="Arial" w:cs="Arial"/>
          <w:sz w:val="24"/>
          <w:szCs w:val="24"/>
          <w:lang w:val="en-GB"/>
        </w:rPr>
      </w:pPr>
      <w:r w:rsidRPr="003D4590">
        <w:rPr>
          <w:rFonts w:ascii="Arial" w:eastAsia="Arial" w:hAnsi="Arial" w:cs="Arial"/>
          <w:sz w:val="24"/>
          <w:szCs w:val="24"/>
          <w:lang w:val="en-GB"/>
        </w:rPr>
        <w:t>Even though a company's financials show large profits, its operations cash flows may be negative. Management uses such tactics to boost the market value of their company's stock. There are a number of approaches that may be used to indicate increased profitability.</w:t>
      </w:r>
    </w:p>
    <w:p w14:paraId="2392C9F7" w14:textId="77777777" w:rsidR="002041C3" w:rsidRPr="002041C3" w:rsidRDefault="002041C3" w:rsidP="002041C3">
      <w:pPr>
        <w:spacing w:line="360" w:lineRule="auto"/>
        <w:jc w:val="both"/>
        <w:rPr>
          <w:rFonts w:ascii="Arial" w:eastAsia="Arial" w:hAnsi="Arial" w:cs="Arial"/>
          <w:b/>
          <w:bCs/>
          <w:sz w:val="24"/>
          <w:szCs w:val="24"/>
          <w:lang w:val="en-GB"/>
        </w:rPr>
      </w:pPr>
      <w:r w:rsidRPr="002041C3">
        <w:rPr>
          <w:rFonts w:ascii="Arial" w:eastAsia="Arial" w:hAnsi="Arial" w:cs="Arial"/>
          <w:b/>
          <w:bCs/>
          <w:sz w:val="24"/>
          <w:szCs w:val="24"/>
          <w:lang w:val="en-GB"/>
        </w:rPr>
        <w:t>Accounting Procedures Vary</w:t>
      </w:r>
    </w:p>
    <w:p w14:paraId="515ACDD0" w14:textId="77777777" w:rsidR="002041C3" w:rsidRPr="002041C3" w:rsidRDefault="002041C3" w:rsidP="002041C3">
      <w:pPr>
        <w:spacing w:line="360" w:lineRule="auto"/>
        <w:jc w:val="both"/>
        <w:rPr>
          <w:rFonts w:ascii="Arial" w:eastAsia="Arial" w:hAnsi="Arial" w:cs="Arial"/>
          <w:sz w:val="24"/>
          <w:szCs w:val="24"/>
          <w:lang w:val="en-GB"/>
        </w:rPr>
      </w:pPr>
      <w:r w:rsidRPr="002041C3">
        <w:rPr>
          <w:rFonts w:ascii="Arial" w:eastAsia="Arial" w:hAnsi="Arial" w:cs="Arial"/>
          <w:sz w:val="24"/>
          <w:szCs w:val="24"/>
          <w:lang w:val="en-GB"/>
        </w:rPr>
        <w:t>Different firms may utilize various accounting techniques. Methodologies for depreciation and inventory value may differ. As a result, comparing the ratios of such companies may not provide a whole picture.</w:t>
      </w:r>
    </w:p>
    <w:p w14:paraId="23969089" w14:textId="77777777" w:rsidR="002041C3" w:rsidRPr="002041C3" w:rsidRDefault="002041C3" w:rsidP="002041C3">
      <w:pPr>
        <w:spacing w:line="360" w:lineRule="auto"/>
        <w:jc w:val="both"/>
        <w:rPr>
          <w:rFonts w:ascii="Arial" w:eastAsia="Arial" w:hAnsi="Arial" w:cs="Arial"/>
          <w:b/>
          <w:bCs/>
          <w:sz w:val="24"/>
          <w:szCs w:val="24"/>
          <w:lang w:val="en-GB"/>
        </w:rPr>
      </w:pPr>
      <w:r w:rsidRPr="002041C3">
        <w:rPr>
          <w:rFonts w:ascii="Arial" w:eastAsia="Arial" w:hAnsi="Arial" w:cs="Arial"/>
          <w:b/>
          <w:bCs/>
          <w:sz w:val="24"/>
          <w:szCs w:val="24"/>
          <w:lang w:val="en-GB"/>
        </w:rPr>
        <w:t>Window Dressing</w:t>
      </w:r>
    </w:p>
    <w:p w14:paraId="3BE6FCAF" w14:textId="77777777" w:rsidR="002041C3" w:rsidRPr="002041C3" w:rsidRDefault="002041C3" w:rsidP="002041C3">
      <w:pPr>
        <w:spacing w:line="360" w:lineRule="auto"/>
        <w:jc w:val="both"/>
        <w:rPr>
          <w:rFonts w:ascii="Arial" w:eastAsia="Arial" w:hAnsi="Arial" w:cs="Arial"/>
          <w:sz w:val="24"/>
          <w:szCs w:val="24"/>
          <w:lang w:val="en-GB"/>
        </w:rPr>
      </w:pPr>
      <w:r w:rsidRPr="002041C3">
        <w:rPr>
          <w:rFonts w:ascii="Arial" w:eastAsia="Arial" w:hAnsi="Arial" w:cs="Arial"/>
          <w:sz w:val="24"/>
          <w:szCs w:val="24"/>
          <w:lang w:val="en-GB"/>
        </w:rPr>
        <w:t xml:space="preserve">The financial papers of a corporation are utilized to do ratio analysis. Management may easily manipulate or window dress financial numbers to conceal or distort reality. Ratio analysis is incapable of detecting this. Studying a balance sheet or income statement will </w:t>
      </w:r>
      <w:r w:rsidRPr="002041C3">
        <w:rPr>
          <w:rFonts w:ascii="Arial" w:eastAsia="Arial" w:hAnsi="Arial" w:cs="Arial"/>
          <w:sz w:val="24"/>
          <w:szCs w:val="24"/>
          <w:lang w:val="en-GB"/>
        </w:rPr>
        <w:lastRenderedPageBreak/>
        <w:t>only lead to wrong conclusions. Although window dressing is not a widespread strategy, it is used by numerous firms to fool their investors.</w:t>
      </w:r>
    </w:p>
    <w:p w14:paraId="424C0A6A" w14:textId="72B8F048" w:rsidR="4F218F7F" w:rsidRPr="003D4590" w:rsidRDefault="4F218F7F" w:rsidP="002041C3">
      <w:pPr>
        <w:spacing w:line="360" w:lineRule="auto"/>
        <w:jc w:val="both"/>
        <w:rPr>
          <w:rFonts w:ascii="Arial" w:eastAsia="Arial" w:hAnsi="Arial" w:cs="Arial"/>
          <w:b/>
          <w:bCs/>
          <w:sz w:val="24"/>
          <w:szCs w:val="24"/>
          <w:lang w:val="en-GB"/>
        </w:rPr>
      </w:pPr>
      <w:r w:rsidRPr="003D4590">
        <w:rPr>
          <w:rFonts w:ascii="Arial" w:eastAsia="Arial" w:hAnsi="Arial" w:cs="Arial"/>
          <w:b/>
          <w:bCs/>
          <w:sz w:val="24"/>
          <w:szCs w:val="24"/>
          <w:lang w:val="en-GB"/>
        </w:rPr>
        <w:t xml:space="preserve">Comparisons between companies in different industries are not possible </w:t>
      </w:r>
    </w:p>
    <w:p w14:paraId="6B15D5D9" w14:textId="40D56EF8" w:rsidR="4F218F7F" w:rsidRPr="003D4590" w:rsidRDefault="4F218F7F" w:rsidP="4F218F7F">
      <w:pPr>
        <w:spacing w:line="360" w:lineRule="auto"/>
        <w:jc w:val="both"/>
        <w:rPr>
          <w:rFonts w:ascii="Arial" w:eastAsia="Arial" w:hAnsi="Arial" w:cs="Arial"/>
          <w:sz w:val="24"/>
          <w:szCs w:val="24"/>
          <w:lang w:val="en-GB"/>
        </w:rPr>
      </w:pPr>
      <w:r w:rsidRPr="003D4590">
        <w:rPr>
          <w:rFonts w:ascii="Arial" w:eastAsia="Arial" w:hAnsi="Arial" w:cs="Arial"/>
          <w:sz w:val="24"/>
          <w:szCs w:val="24"/>
          <w:lang w:val="en-GB"/>
        </w:rPr>
        <w:t>Users can be fighting a losing battle if they examine the ratios of organizations in different industries. Markets, gestation times, capital structures, and other factors vary by industry. To make ratio analysis meaningful, it is very important to compare firms that are in the same industry.</w:t>
      </w:r>
    </w:p>
    <w:p w14:paraId="59A5C904" w14:textId="77777777" w:rsidR="002041C3" w:rsidRPr="002041C3" w:rsidRDefault="002041C3" w:rsidP="002041C3">
      <w:pPr>
        <w:spacing w:line="360" w:lineRule="auto"/>
        <w:jc w:val="both"/>
        <w:rPr>
          <w:rFonts w:ascii="Arial" w:eastAsia="Arial" w:hAnsi="Arial" w:cs="Arial"/>
          <w:b/>
          <w:bCs/>
          <w:sz w:val="24"/>
          <w:szCs w:val="24"/>
          <w:lang w:val="en-GB"/>
        </w:rPr>
      </w:pPr>
      <w:r w:rsidRPr="002041C3">
        <w:rPr>
          <w:rFonts w:ascii="Arial" w:eastAsia="Arial" w:hAnsi="Arial" w:cs="Arial"/>
          <w:b/>
          <w:bCs/>
          <w:sz w:val="24"/>
          <w:szCs w:val="24"/>
          <w:lang w:val="en-GB"/>
        </w:rPr>
        <w:t>It is a quantitative rather than qualitative metric.</w:t>
      </w:r>
    </w:p>
    <w:p w14:paraId="5B9BA661" w14:textId="24F8048E" w:rsidR="002041C3" w:rsidRPr="002041C3" w:rsidRDefault="002041C3" w:rsidP="002041C3">
      <w:pPr>
        <w:spacing w:line="360" w:lineRule="auto"/>
        <w:jc w:val="both"/>
        <w:rPr>
          <w:rFonts w:ascii="Arial" w:eastAsia="Arial" w:hAnsi="Arial" w:cs="Arial"/>
          <w:sz w:val="24"/>
          <w:szCs w:val="24"/>
          <w:lang w:val="en-GB"/>
        </w:rPr>
      </w:pPr>
      <w:r w:rsidRPr="002041C3">
        <w:rPr>
          <w:rFonts w:ascii="Arial" w:eastAsia="Arial" w:hAnsi="Arial" w:cs="Arial"/>
          <w:sz w:val="24"/>
          <w:szCs w:val="24"/>
          <w:lang w:val="en-GB"/>
        </w:rPr>
        <w:t>A quantitative measure is ratio analysis; at most, the financial statistics can be made sense of. If anything is lacking, it cannot identify a cause or justification for the disease, nor can it recommend how to treat it. Without delving into the ratios, performing ratio analysis makes little sense. Profitability ratios, for example, may show that competitors are more profitable. This will not help determine what is causing the problem or what measures can be done to resolve it. Lower profit might be the result of a defective pricing structure, a marketing team that is not performing its job, poor production quality, and so on.</w:t>
      </w:r>
      <w:r>
        <w:rPr>
          <w:rFonts w:ascii="Arial" w:eastAsia="Arial" w:hAnsi="Arial" w:cs="Arial"/>
          <w:sz w:val="24"/>
          <w:szCs w:val="24"/>
          <w:lang w:val="en-GB"/>
        </w:rPr>
        <w:t xml:space="preserve"> </w:t>
      </w:r>
      <w:r w:rsidRPr="002041C3">
        <w:rPr>
          <w:rFonts w:ascii="Arial" w:eastAsia="Arial" w:hAnsi="Arial" w:cs="Arial"/>
          <w:sz w:val="24"/>
          <w:szCs w:val="24"/>
          <w:lang w:val="en-GB"/>
        </w:rPr>
        <w:t>To get to the bottom of the situation, one needs look into the ratios. A basic ratio analysis may not be sufficient.</w:t>
      </w:r>
    </w:p>
    <w:p w14:paraId="7D4AB532" w14:textId="5FC3C27E" w:rsidR="002041C3" w:rsidRPr="002041C3" w:rsidRDefault="002041C3" w:rsidP="002041C3">
      <w:pPr>
        <w:spacing w:line="360" w:lineRule="auto"/>
        <w:jc w:val="both"/>
        <w:rPr>
          <w:rFonts w:ascii="Arial" w:eastAsia="Arial" w:hAnsi="Arial" w:cs="Arial"/>
          <w:b/>
          <w:bCs/>
          <w:sz w:val="24"/>
          <w:szCs w:val="24"/>
          <w:lang w:val="en-GB"/>
        </w:rPr>
      </w:pPr>
      <w:r w:rsidRPr="002041C3">
        <w:rPr>
          <w:rFonts w:ascii="Arial" w:eastAsia="Arial" w:hAnsi="Arial" w:cs="Arial"/>
          <w:b/>
          <w:bCs/>
          <w:sz w:val="24"/>
          <w:szCs w:val="24"/>
          <w:lang w:val="en-GB"/>
        </w:rPr>
        <w:t>CONCLUSIONS:</w:t>
      </w:r>
    </w:p>
    <w:p w14:paraId="33436CBD" w14:textId="4F26958B" w:rsidR="4F218F7F" w:rsidRDefault="002041C3" w:rsidP="002041C3">
      <w:pPr>
        <w:spacing w:line="360" w:lineRule="auto"/>
        <w:jc w:val="both"/>
        <w:rPr>
          <w:rFonts w:ascii="Arial" w:eastAsia="Arial" w:hAnsi="Arial" w:cs="Arial"/>
          <w:sz w:val="24"/>
          <w:szCs w:val="24"/>
          <w:lang w:val="en-GB"/>
        </w:rPr>
      </w:pPr>
      <w:r w:rsidRPr="002041C3">
        <w:rPr>
          <w:rFonts w:ascii="Arial" w:eastAsia="Arial" w:hAnsi="Arial" w:cs="Arial"/>
          <w:sz w:val="24"/>
          <w:szCs w:val="24"/>
          <w:lang w:val="en-GB"/>
        </w:rPr>
        <w:t>The hospitality sector is a vast subset of the service business that includes smaller subcategories such as hotels and lodging, event planning, theme parks, transportation, and other tourism-related areas. Because the hotel industry is so diverse, it's critical to develop a set of financial criteria that can be used to evaluate enterprises of all sizes, regardless of their operations. Because the hotel sector is so reliant on fixed and physical assets, a highly specialized set of financial measures is required in order to adequately analyse industry and individual company performance.</w:t>
      </w:r>
    </w:p>
    <w:p w14:paraId="1643E1EC" w14:textId="453EC7D7" w:rsidR="00227B97" w:rsidRDefault="00227B97" w:rsidP="002041C3">
      <w:pPr>
        <w:spacing w:line="360" w:lineRule="auto"/>
        <w:jc w:val="both"/>
        <w:rPr>
          <w:rFonts w:ascii="Arial" w:eastAsia="Arial" w:hAnsi="Arial" w:cs="Arial"/>
          <w:sz w:val="24"/>
          <w:szCs w:val="24"/>
          <w:lang w:val="en-GB"/>
        </w:rPr>
      </w:pPr>
    </w:p>
    <w:p w14:paraId="14856A49" w14:textId="5D4B2A90" w:rsidR="00227B97" w:rsidRDefault="00227B97" w:rsidP="002041C3">
      <w:pPr>
        <w:spacing w:line="360" w:lineRule="auto"/>
        <w:jc w:val="both"/>
        <w:rPr>
          <w:rFonts w:ascii="Arial" w:eastAsia="Arial" w:hAnsi="Arial" w:cs="Arial"/>
          <w:sz w:val="24"/>
          <w:szCs w:val="24"/>
          <w:lang w:val="en-GB"/>
        </w:rPr>
      </w:pPr>
    </w:p>
    <w:p w14:paraId="27ACD16C" w14:textId="77777777" w:rsidR="00227B97" w:rsidRPr="003D4590" w:rsidRDefault="00227B97" w:rsidP="002041C3">
      <w:pPr>
        <w:spacing w:line="360" w:lineRule="auto"/>
        <w:jc w:val="both"/>
        <w:rPr>
          <w:rFonts w:ascii="Arial" w:eastAsia="Arial" w:hAnsi="Arial" w:cs="Arial"/>
          <w:sz w:val="24"/>
          <w:szCs w:val="24"/>
          <w:lang w:val="en-GB"/>
        </w:rPr>
      </w:pPr>
    </w:p>
    <w:p w14:paraId="730006A8" w14:textId="4FCADDA1" w:rsidR="4F218F7F" w:rsidRPr="003D4590" w:rsidRDefault="4F218F7F" w:rsidP="4F218F7F">
      <w:pPr>
        <w:spacing w:line="360" w:lineRule="auto"/>
        <w:jc w:val="both"/>
        <w:rPr>
          <w:rFonts w:ascii="Arial" w:eastAsia="Arial" w:hAnsi="Arial" w:cs="Arial"/>
          <w:sz w:val="24"/>
          <w:szCs w:val="24"/>
          <w:lang w:val="en-GB"/>
        </w:rPr>
      </w:pPr>
      <w:r w:rsidRPr="003D4590">
        <w:rPr>
          <w:rFonts w:ascii="Arial" w:eastAsia="Arial" w:hAnsi="Arial" w:cs="Arial"/>
          <w:b/>
          <w:bCs/>
          <w:sz w:val="24"/>
          <w:szCs w:val="24"/>
          <w:lang w:val="en-GB"/>
        </w:rPr>
        <w:lastRenderedPageBreak/>
        <w:t xml:space="preserve">References: </w:t>
      </w:r>
    </w:p>
    <w:p w14:paraId="62084330" w14:textId="09D78FCD" w:rsidR="4F218F7F" w:rsidRPr="003D4590" w:rsidRDefault="4F218F7F" w:rsidP="4F218F7F">
      <w:pPr>
        <w:pStyle w:val="ListParagraph"/>
        <w:numPr>
          <w:ilvl w:val="0"/>
          <w:numId w:val="1"/>
        </w:numPr>
        <w:spacing w:line="360" w:lineRule="auto"/>
        <w:jc w:val="both"/>
        <w:rPr>
          <w:rFonts w:ascii="Arial" w:eastAsia="Arial" w:hAnsi="Arial" w:cs="Arial"/>
          <w:color w:val="2A313E"/>
          <w:sz w:val="24"/>
          <w:szCs w:val="24"/>
          <w:lang w:val="en-GB"/>
        </w:rPr>
      </w:pPr>
      <w:r w:rsidRPr="003D4590">
        <w:rPr>
          <w:rFonts w:ascii="Arial" w:eastAsia="Arial" w:hAnsi="Arial" w:cs="Arial"/>
          <w:color w:val="2A313E"/>
          <w:sz w:val="24"/>
          <w:szCs w:val="24"/>
          <w:lang w:val="en-GB"/>
        </w:rPr>
        <w:t>Altman, E. I., 1968. Financial Ratios, Discriminant Analysis and the Prediction of Corporate Bankruptcy. The Journal of Finance, XXIII (4), pp. 589-609. [Accessed 30 May 2022]</w:t>
      </w:r>
    </w:p>
    <w:p w14:paraId="746E5C13" w14:textId="2974FC77" w:rsidR="4F218F7F" w:rsidRPr="003D4590" w:rsidRDefault="4F218F7F" w:rsidP="4F218F7F">
      <w:pPr>
        <w:pStyle w:val="ListParagraph"/>
        <w:numPr>
          <w:ilvl w:val="0"/>
          <w:numId w:val="1"/>
        </w:numPr>
        <w:spacing w:line="360" w:lineRule="auto"/>
        <w:jc w:val="both"/>
        <w:rPr>
          <w:rFonts w:ascii="Arial" w:eastAsia="Arial" w:hAnsi="Arial" w:cs="Arial"/>
          <w:color w:val="2A313E"/>
          <w:sz w:val="24"/>
          <w:szCs w:val="24"/>
          <w:lang w:val="en-GB"/>
        </w:rPr>
      </w:pPr>
      <w:r w:rsidRPr="003D4590">
        <w:rPr>
          <w:rFonts w:ascii="Arial" w:eastAsia="Arial" w:hAnsi="Arial" w:cs="Arial"/>
          <w:color w:val="2A313E"/>
          <w:sz w:val="24"/>
          <w:szCs w:val="24"/>
          <w:lang w:val="en-GB"/>
        </w:rPr>
        <w:t>Andrew, W. P. &amp; Schmidgall, R. S., 1993. Financial management for the hospitality industry. 1st ed. MI: Educational Institute of the American Hotel. [Accessed 30 May 2022]</w:t>
      </w:r>
    </w:p>
    <w:p w14:paraId="53CB96F5" w14:textId="4ED8ED4A" w:rsidR="4F218F7F" w:rsidRPr="003D4590" w:rsidRDefault="4F218F7F" w:rsidP="4F218F7F">
      <w:pPr>
        <w:pStyle w:val="ListParagraph"/>
        <w:numPr>
          <w:ilvl w:val="0"/>
          <w:numId w:val="1"/>
        </w:numPr>
        <w:spacing w:line="360" w:lineRule="auto"/>
        <w:jc w:val="both"/>
        <w:rPr>
          <w:rFonts w:ascii="Arial" w:eastAsia="Arial" w:hAnsi="Arial" w:cs="Arial"/>
          <w:color w:val="2A313E"/>
          <w:sz w:val="24"/>
          <w:szCs w:val="24"/>
          <w:lang w:val="en-GB"/>
        </w:rPr>
      </w:pPr>
      <w:r w:rsidRPr="003D4590">
        <w:rPr>
          <w:rFonts w:ascii="Arial" w:eastAsia="Arial" w:hAnsi="Arial" w:cs="Arial"/>
          <w:color w:val="2A313E"/>
          <w:sz w:val="24"/>
          <w:szCs w:val="24"/>
          <w:lang w:val="en-GB"/>
        </w:rPr>
        <w:t>Buffett, W., 1984. The Superinvestors of Graham-and-Doddsville. Hermes: the Columbia Business School Magazine, Issue Fall, pp. 4-15. [Accessed 30 May 2022]</w:t>
      </w:r>
    </w:p>
    <w:p w14:paraId="786D43A0" w14:textId="65083C97" w:rsidR="4F218F7F" w:rsidRPr="003D4590" w:rsidRDefault="4F218F7F" w:rsidP="4F218F7F">
      <w:pPr>
        <w:pStyle w:val="ListParagraph"/>
        <w:numPr>
          <w:ilvl w:val="0"/>
          <w:numId w:val="1"/>
        </w:numPr>
        <w:spacing w:line="360" w:lineRule="auto"/>
        <w:jc w:val="both"/>
        <w:rPr>
          <w:rFonts w:ascii="Arial" w:eastAsia="Arial" w:hAnsi="Arial" w:cs="Arial"/>
          <w:color w:val="2A313E"/>
          <w:sz w:val="24"/>
          <w:szCs w:val="24"/>
          <w:lang w:val="en-GB"/>
        </w:rPr>
      </w:pPr>
      <w:r w:rsidRPr="003D4590">
        <w:rPr>
          <w:rFonts w:ascii="Arial" w:eastAsia="Arial" w:hAnsi="Arial" w:cs="Arial"/>
          <w:color w:val="2A313E"/>
          <w:sz w:val="24"/>
          <w:szCs w:val="24"/>
          <w:lang w:val="en-GB"/>
        </w:rPr>
        <w:t>Damitio, J., Dennington, L. &amp; Schmidgall, R., 1995. Financial Statement Analysis. The Bottom Line, 10(6), pp. 10-23. [Accessed 30 May 2022]</w:t>
      </w:r>
    </w:p>
    <w:p w14:paraId="73F32DFA" w14:textId="712E7906" w:rsidR="4F218F7F" w:rsidRPr="003D4590" w:rsidRDefault="4F218F7F" w:rsidP="4F218F7F">
      <w:pPr>
        <w:pStyle w:val="ListParagraph"/>
        <w:numPr>
          <w:ilvl w:val="0"/>
          <w:numId w:val="1"/>
        </w:numPr>
        <w:spacing w:line="360" w:lineRule="auto"/>
        <w:jc w:val="both"/>
        <w:rPr>
          <w:rFonts w:ascii="Arial" w:eastAsia="Arial" w:hAnsi="Arial" w:cs="Arial"/>
          <w:color w:val="2A313E"/>
          <w:sz w:val="24"/>
          <w:szCs w:val="24"/>
          <w:lang w:val="en-GB"/>
        </w:rPr>
      </w:pPr>
      <w:r w:rsidRPr="003D4590">
        <w:rPr>
          <w:rFonts w:ascii="Arial" w:eastAsia="Arial" w:hAnsi="Arial" w:cs="Arial"/>
          <w:color w:val="2A313E"/>
          <w:sz w:val="24"/>
          <w:szCs w:val="24"/>
          <w:lang w:val="en-GB"/>
        </w:rPr>
        <w:t>Gardiner, M., 1995. Financial ratio definitions reviewed. Management Accounting, 73(8), pp. 32-33. [Accessed 30 May 2022]</w:t>
      </w:r>
    </w:p>
    <w:p w14:paraId="597C59C7" w14:textId="43675708" w:rsidR="4F218F7F" w:rsidRPr="003D4590" w:rsidRDefault="4F218F7F" w:rsidP="4F218F7F">
      <w:pPr>
        <w:pStyle w:val="ListParagraph"/>
        <w:numPr>
          <w:ilvl w:val="0"/>
          <w:numId w:val="1"/>
        </w:numPr>
        <w:spacing w:line="360" w:lineRule="auto"/>
        <w:jc w:val="both"/>
        <w:rPr>
          <w:rFonts w:ascii="Arial" w:eastAsia="Arial" w:hAnsi="Arial" w:cs="Arial"/>
          <w:color w:val="2A313E"/>
          <w:sz w:val="24"/>
          <w:szCs w:val="24"/>
          <w:lang w:val="en-GB"/>
        </w:rPr>
      </w:pPr>
      <w:r w:rsidRPr="003D4590">
        <w:rPr>
          <w:rFonts w:ascii="Arial" w:eastAsia="Arial" w:hAnsi="Arial" w:cs="Arial"/>
          <w:color w:val="2A313E"/>
          <w:sz w:val="24"/>
          <w:szCs w:val="24"/>
          <w:lang w:val="en-GB"/>
        </w:rPr>
        <w:t>Graham, B. &amp; Dodd, D. L., 1934. Security Analysis. 1st ed. New York: Whittlesey House. [Accessed 30 May 2022]</w:t>
      </w:r>
    </w:p>
    <w:p w14:paraId="022DBD17" w14:textId="183402D4" w:rsidR="4F218F7F" w:rsidRPr="003D4590" w:rsidRDefault="4F218F7F" w:rsidP="4F218F7F">
      <w:pPr>
        <w:pStyle w:val="ListParagraph"/>
        <w:numPr>
          <w:ilvl w:val="0"/>
          <w:numId w:val="1"/>
        </w:numPr>
        <w:spacing w:line="360" w:lineRule="auto"/>
        <w:jc w:val="both"/>
        <w:rPr>
          <w:rFonts w:ascii="Arial" w:eastAsia="Arial" w:hAnsi="Arial" w:cs="Arial"/>
          <w:color w:val="2A313E"/>
          <w:sz w:val="24"/>
          <w:szCs w:val="24"/>
          <w:lang w:val="en-GB"/>
        </w:rPr>
      </w:pPr>
      <w:r w:rsidRPr="003D4590">
        <w:rPr>
          <w:rFonts w:ascii="Arial" w:eastAsia="Arial" w:hAnsi="Arial" w:cs="Arial"/>
          <w:color w:val="2A313E"/>
          <w:sz w:val="24"/>
          <w:szCs w:val="24"/>
          <w:lang w:val="en-GB"/>
        </w:rPr>
        <w:t>Gunduz, L. &amp; Tatoglu, E., 2003. A comparison of the financial characteristics of group affiliated and independent finns in Turkey. European Business Review, 15(1), pp. 48- 54. [Accessed 30 May 2022]</w:t>
      </w:r>
    </w:p>
    <w:p w14:paraId="39C134E5" w14:textId="708A10BA" w:rsidR="4F218F7F" w:rsidRPr="003D4590" w:rsidRDefault="4F218F7F" w:rsidP="4F218F7F">
      <w:pPr>
        <w:pStyle w:val="ListParagraph"/>
        <w:numPr>
          <w:ilvl w:val="0"/>
          <w:numId w:val="1"/>
        </w:numPr>
        <w:spacing w:line="360" w:lineRule="auto"/>
        <w:jc w:val="both"/>
        <w:rPr>
          <w:rFonts w:ascii="Arial" w:eastAsia="Arial" w:hAnsi="Arial" w:cs="Arial"/>
          <w:color w:val="2A313E"/>
          <w:sz w:val="24"/>
          <w:szCs w:val="24"/>
          <w:lang w:val="en-GB"/>
        </w:rPr>
      </w:pPr>
      <w:r w:rsidRPr="003D4590">
        <w:rPr>
          <w:rFonts w:ascii="Arial" w:eastAsia="Arial" w:hAnsi="Arial" w:cs="Arial"/>
          <w:color w:val="2A313E"/>
          <w:sz w:val="24"/>
          <w:szCs w:val="24"/>
          <w:lang w:val="en-GB"/>
        </w:rPr>
        <w:t>Kim, W. G. &amp; Ayoun, B., 2006. Ratio Analysis for the Hospitality Industry: A cross Sector Comparison of Financial Trends in the Lodging, Restaurant, Airline and Amusement Sectors. Journal of Hospitality Financial Management, 13(1), pp. 1-33. [Accessed 30 May 2022]</w:t>
      </w:r>
    </w:p>
    <w:p w14:paraId="31BB218E" w14:textId="067E591E" w:rsidR="4F218F7F" w:rsidRPr="003D4590" w:rsidRDefault="4F218F7F" w:rsidP="4F218F7F">
      <w:pPr>
        <w:pStyle w:val="ListParagraph"/>
        <w:numPr>
          <w:ilvl w:val="0"/>
          <w:numId w:val="1"/>
        </w:numPr>
        <w:spacing w:line="360" w:lineRule="auto"/>
        <w:jc w:val="both"/>
        <w:rPr>
          <w:rFonts w:ascii="Arial" w:eastAsia="Arial" w:hAnsi="Arial" w:cs="Arial"/>
          <w:color w:val="2A313E"/>
          <w:sz w:val="24"/>
          <w:szCs w:val="24"/>
          <w:lang w:val="en-GB"/>
        </w:rPr>
      </w:pPr>
      <w:r w:rsidRPr="003D4590">
        <w:rPr>
          <w:rFonts w:ascii="Arial" w:eastAsia="Arial" w:hAnsi="Arial" w:cs="Arial"/>
          <w:color w:val="2A313E"/>
          <w:sz w:val="24"/>
          <w:szCs w:val="24"/>
          <w:lang w:val="en-GB"/>
        </w:rPr>
        <w:t>Nunes, C. R. &amp; Vieira Machado, M. J. C., 2012. Financial Assessment of Performance in Hotel Industry. European Journal of Tourism, Hospitality, and Recreation, 3(Special Issue ITC’11), pp. 97-109. [Accessed 30 May 2022]</w:t>
      </w:r>
    </w:p>
    <w:p w14:paraId="375844C9" w14:textId="6CA1C5CF" w:rsidR="4F218F7F" w:rsidRPr="003D4590" w:rsidRDefault="4F218F7F" w:rsidP="4F218F7F">
      <w:pPr>
        <w:pStyle w:val="ListParagraph"/>
        <w:numPr>
          <w:ilvl w:val="0"/>
          <w:numId w:val="1"/>
        </w:numPr>
        <w:spacing w:line="360" w:lineRule="auto"/>
        <w:jc w:val="both"/>
        <w:rPr>
          <w:rFonts w:ascii="Arial" w:eastAsia="Arial" w:hAnsi="Arial" w:cs="Arial"/>
          <w:color w:val="2A313E"/>
          <w:sz w:val="24"/>
          <w:szCs w:val="24"/>
          <w:lang w:val="en-GB"/>
        </w:rPr>
      </w:pPr>
      <w:r w:rsidRPr="003D4590">
        <w:rPr>
          <w:rFonts w:ascii="Arial" w:eastAsia="Arial" w:hAnsi="Arial" w:cs="Arial"/>
          <w:color w:val="2A313E"/>
          <w:sz w:val="24"/>
          <w:szCs w:val="24"/>
          <w:lang w:val="en-GB"/>
        </w:rPr>
        <w:t>Zeller, T. L., Stanko, B. B. &amp; Cleverley, W. O., 1997. A new perspective on hospital financial ratio analysis. Healthcare Financial Management, 51(11), pp. 62-66. [Accessed 30 May 2022]</w:t>
      </w:r>
    </w:p>
    <w:sectPr w:rsidR="4F218F7F" w:rsidRPr="003D4590" w:rsidSect="007711B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tic1eGSylDaUqK" int2:id="Ga6lhMge">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C2BB4"/>
    <w:multiLevelType w:val="hybridMultilevel"/>
    <w:tmpl w:val="C17EA166"/>
    <w:lvl w:ilvl="0" w:tplc="454037EC">
      <w:start w:val="1"/>
      <w:numFmt w:val="decimal"/>
      <w:lvlText w:val="%1."/>
      <w:lvlJc w:val="left"/>
      <w:pPr>
        <w:ind w:left="720" w:hanging="360"/>
      </w:pPr>
    </w:lvl>
    <w:lvl w:ilvl="1" w:tplc="CD0602CC">
      <w:start w:val="1"/>
      <w:numFmt w:val="lowerLetter"/>
      <w:lvlText w:val="%2."/>
      <w:lvlJc w:val="left"/>
      <w:pPr>
        <w:ind w:left="1440" w:hanging="360"/>
      </w:pPr>
    </w:lvl>
    <w:lvl w:ilvl="2" w:tplc="B05AF512">
      <w:start w:val="1"/>
      <w:numFmt w:val="lowerRoman"/>
      <w:lvlText w:val="%3."/>
      <w:lvlJc w:val="right"/>
      <w:pPr>
        <w:ind w:left="2160" w:hanging="180"/>
      </w:pPr>
    </w:lvl>
    <w:lvl w:ilvl="3" w:tplc="4288B420">
      <w:start w:val="1"/>
      <w:numFmt w:val="decimal"/>
      <w:lvlText w:val="%4."/>
      <w:lvlJc w:val="left"/>
      <w:pPr>
        <w:ind w:left="2880" w:hanging="360"/>
      </w:pPr>
    </w:lvl>
    <w:lvl w:ilvl="4" w:tplc="C2860910">
      <w:start w:val="1"/>
      <w:numFmt w:val="lowerLetter"/>
      <w:lvlText w:val="%5."/>
      <w:lvlJc w:val="left"/>
      <w:pPr>
        <w:ind w:left="3600" w:hanging="360"/>
      </w:pPr>
    </w:lvl>
    <w:lvl w:ilvl="5" w:tplc="0D5E24FE">
      <w:start w:val="1"/>
      <w:numFmt w:val="lowerRoman"/>
      <w:lvlText w:val="%6."/>
      <w:lvlJc w:val="right"/>
      <w:pPr>
        <w:ind w:left="4320" w:hanging="180"/>
      </w:pPr>
    </w:lvl>
    <w:lvl w:ilvl="6" w:tplc="8934F348">
      <w:start w:val="1"/>
      <w:numFmt w:val="decimal"/>
      <w:lvlText w:val="%7."/>
      <w:lvlJc w:val="left"/>
      <w:pPr>
        <w:ind w:left="5040" w:hanging="360"/>
      </w:pPr>
    </w:lvl>
    <w:lvl w:ilvl="7" w:tplc="AF0E3CF0">
      <w:start w:val="1"/>
      <w:numFmt w:val="lowerLetter"/>
      <w:lvlText w:val="%8."/>
      <w:lvlJc w:val="left"/>
      <w:pPr>
        <w:ind w:left="5760" w:hanging="360"/>
      </w:pPr>
    </w:lvl>
    <w:lvl w:ilvl="8" w:tplc="4F747296">
      <w:start w:val="1"/>
      <w:numFmt w:val="lowerRoman"/>
      <w:lvlText w:val="%9."/>
      <w:lvlJc w:val="right"/>
      <w:pPr>
        <w:ind w:left="6480" w:hanging="180"/>
      </w:pPr>
    </w:lvl>
  </w:abstractNum>
  <w:abstractNum w:abstractNumId="1" w15:restartNumberingAfterBreak="0">
    <w:nsid w:val="0B7371D1"/>
    <w:multiLevelType w:val="hybridMultilevel"/>
    <w:tmpl w:val="C576F726"/>
    <w:lvl w:ilvl="0" w:tplc="BCF20F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A70F4E"/>
    <w:multiLevelType w:val="hybridMultilevel"/>
    <w:tmpl w:val="C3E8194A"/>
    <w:lvl w:ilvl="0" w:tplc="6B38C894">
      <w:start w:val="1"/>
      <w:numFmt w:val="decimal"/>
      <w:lvlText w:val="%1."/>
      <w:lvlJc w:val="left"/>
      <w:pPr>
        <w:ind w:left="720" w:hanging="360"/>
      </w:pPr>
    </w:lvl>
    <w:lvl w:ilvl="1" w:tplc="4BA2FAFE">
      <w:start w:val="1"/>
      <w:numFmt w:val="lowerLetter"/>
      <w:lvlText w:val="%2."/>
      <w:lvlJc w:val="left"/>
      <w:pPr>
        <w:ind w:left="1440" w:hanging="360"/>
      </w:pPr>
    </w:lvl>
    <w:lvl w:ilvl="2" w:tplc="8B221842">
      <w:start w:val="1"/>
      <w:numFmt w:val="lowerRoman"/>
      <w:lvlText w:val="%3."/>
      <w:lvlJc w:val="right"/>
      <w:pPr>
        <w:ind w:left="2160" w:hanging="180"/>
      </w:pPr>
    </w:lvl>
    <w:lvl w:ilvl="3" w:tplc="F190A414">
      <w:start w:val="1"/>
      <w:numFmt w:val="decimal"/>
      <w:lvlText w:val="%4."/>
      <w:lvlJc w:val="left"/>
      <w:pPr>
        <w:ind w:left="2880" w:hanging="360"/>
      </w:pPr>
    </w:lvl>
    <w:lvl w:ilvl="4" w:tplc="296C717A">
      <w:start w:val="1"/>
      <w:numFmt w:val="lowerLetter"/>
      <w:lvlText w:val="%5."/>
      <w:lvlJc w:val="left"/>
      <w:pPr>
        <w:ind w:left="3600" w:hanging="360"/>
      </w:pPr>
    </w:lvl>
    <w:lvl w:ilvl="5" w:tplc="F482BFC0">
      <w:start w:val="1"/>
      <w:numFmt w:val="lowerRoman"/>
      <w:lvlText w:val="%6."/>
      <w:lvlJc w:val="right"/>
      <w:pPr>
        <w:ind w:left="4320" w:hanging="180"/>
      </w:pPr>
    </w:lvl>
    <w:lvl w:ilvl="6" w:tplc="C6DC6056">
      <w:start w:val="1"/>
      <w:numFmt w:val="decimal"/>
      <w:lvlText w:val="%7."/>
      <w:lvlJc w:val="left"/>
      <w:pPr>
        <w:ind w:left="5040" w:hanging="360"/>
      </w:pPr>
    </w:lvl>
    <w:lvl w:ilvl="7" w:tplc="3E6C17E6">
      <w:start w:val="1"/>
      <w:numFmt w:val="lowerLetter"/>
      <w:lvlText w:val="%8."/>
      <w:lvlJc w:val="left"/>
      <w:pPr>
        <w:ind w:left="5760" w:hanging="360"/>
      </w:pPr>
    </w:lvl>
    <w:lvl w:ilvl="8" w:tplc="111499AE">
      <w:start w:val="1"/>
      <w:numFmt w:val="lowerRoman"/>
      <w:lvlText w:val="%9."/>
      <w:lvlJc w:val="right"/>
      <w:pPr>
        <w:ind w:left="6480" w:hanging="180"/>
      </w:pPr>
    </w:lvl>
  </w:abstractNum>
  <w:abstractNum w:abstractNumId="3" w15:restartNumberingAfterBreak="0">
    <w:nsid w:val="30102111"/>
    <w:multiLevelType w:val="hybridMultilevel"/>
    <w:tmpl w:val="69B0214C"/>
    <w:lvl w:ilvl="0" w:tplc="D4569DC0">
      <w:start w:val="1"/>
      <w:numFmt w:val="decimal"/>
      <w:lvlText w:val="%1."/>
      <w:lvlJc w:val="left"/>
      <w:pPr>
        <w:ind w:left="720" w:hanging="360"/>
      </w:pPr>
    </w:lvl>
    <w:lvl w:ilvl="1" w:tplc="3A6A6038">
      <w:start w:val="1"/>
      <w:numFmt w:val="lowerLetter"/>
      <w:lvlText w:val="%2."/>
      <w:lvlJc w:val="left"/>
      <w:pPr>
        <w:ind w:left="1440" w:hanging="360"/>
      </w:pPr>
    </w:lvl>
    <w:lvl w:ilvl="2" w:tplc="E29E496A">
      <w:start w:val="1"/>
      <w:numFmt w:val="lowerRoman"/>
      <w:lvlText w:val="%3."/>
      <w:lvlJc w:val="right"/>
      <w:pPr>
        <w:ind w:left="2160" w:hanging="180"/>
      </w:pPr>
    </w:lvl>
    <w:lvl w:ilvl="3" w:tplc="CC4ACDFA">
      <w:start w:val="1"/>
      <w:numFmt w:val="decimal"/>
      <w:lvlText w:val="%4."/>
      <w:lvlJc w:val="left"/>
      <w:pPr>
        <w:ind w:left="2880" w:hanging="360"/>
      </w:pPr>
    </w:lvl>
    <w:lvl w:ilvl="4" w:tplc="8744B384">
      <w:start w:val="1"/>
      <w:numFmt w:val="lowerLetter"/>
      <w:lvlText w:val="%5."/>
      <w:lvlJc w:val="left"/>
      <w:pPr>
        <w:ind w:left="3600" w:hanging="360"/>
      </w:pPr>
    </w:lvl>
    <w:lvl w:ilvl="5" w:tplc="3D487FAA">
      <w:start w:val="1"/>
      <w:numFmt w:val="lowerRoman"/>
      <w:lvlText w:val="%6."/>
      <w:lvlJc w:val="right"/>
      <w:pPr>
        <w:ind w:left="4320" w:hanging="180"/>
      </w:pPr>
    </w:lvl>
    <w:lvl w:ilvl="6" w:tplc="1A44F570">
      <w:start w:val="1"/>
      <w:numFmt w:val="decimal"/>
      <w:lvlText w:val="%7."/>
      <w:lvlJc w:val="left"/>
      <w:pPr>
        <w:ind w:left="5040" w:hanging="360"/>
      </w:pPr>
    </w:lvl>
    <w:lvl w:ilvl="7" w:tplc="6900AF58">
      <w:start w:val="1"/>
      <w:numFmt w:val="lowerLetter"/>
      <w:lvlText w:val="%8."/>
      <w:lvlJc w:val="left"/>
      <w:pPr>
        <w:ind w:left="5760" w:hanging="360"/>
      </w:pPr>
    </w:lvl>
    <w:lvl w:ilvl="8" w:tplc="6B4E0960">
      <w:start w:val="1"/>
      <w:numFmt w:val="lowerRoman"/>
      <w:lvlText w:val="%9."/>
      <w:lvlJc w:val="right"/>
      <w:pPr>
        <w:ind w:left="6480" w:hanging="180"/>
      </w:pPr>
    </w:lvl>
  </w:abstractNum>
  <w:abstractNum w:abstractNumId="4" w15:restartNumberingAfterBreak="0">
    <w:nsid w:val="3B404ECF"/>
    <w:multiLevelType w:val="hybridMultilevel"/>
    <w:tmpl w:val="37BA54C6"/>
    <w:lvl w:ilvl="0" w:tplc="BA2EF71E">
      <w:start w:val="1"/>
      <w:numFmt w:val="decimal"/>
      <w:lvlText w:val="%1."/>
      <w:lvlJc w:val="left"/>
      <w:pPr>
        <w:ind w:left="720" w:hanging="360"/>
      </w:pPr>
    </w:lvl>
    <w:lvl w:ilvl="1" w:tplc="EC54F20E">
      <w:start w:val="1"/>
      <w:numFmt w:val="lowerLetter"/>
      <w:lvlText w:val="%2."/>
      <w:lvlJc w:val="left"/>
      <w:pPr>
        <w:ind w:left="1440" w:hanging="360"/>
      </w:pPr>
    </w:lvl>
    <w:lvl w:ilvl="2" w:tplc="C92E86B2">
      <w:start w:val="1"/>
      <w:numFmt w:val="lowerRoman"/>
      <w:lvlText w:val="%3."/>
      <w:lvlJc w:val="right"/>
      <w:pPr>
        <w:ind w:left="2160" w:hanging="180"/>
      </w:pPr>
    </w:lvl>
    <w:lvl w:ilvl="3" w:tplc="DBDE6CCA">
      <w:start w:val="1"/>
      <w:numFmt w:val="decimal"/>
      <w:lvlText w:val="%4."/>
      <w:lvlJc w:val="left"/>
      <w:pPr>
        <w:ind w:left="2880" w:hanging="360"/>
      </w:pPr>
    </w:lvl>
    <w:lvl w:ilvl="4" w:tplc="0580424C">
      <w:start w:val="1"/>
      <w:numFmt w:val="lowerLetter"/>
      <w:lvlText w:val="%5."/>
      <w:lvlJc w:val="left"/>
      <w:pPr>
        <w:ind w:left="3600" w:hanging="360"/>
      </w:pPr>
    </w:lvl>
    <w:lvl w:ilvl="5" w:tplc="D0282EF0">
      <w:start w:val="1"/>
      <w:numFmt w:val="lowerRoman"/>
      <w:lvlText w:val="%6."/>
      <w:lvlJc w:val="right"/>
      <w:pPr>
        <w:ind w:left="4320" w:hanging="180"/>
      </w:pPr>
    </w:lvl>
    <w:lvl w:ilvl="6" w:tplc="F93062F0">
      <w:start w:val="1"/>
      <w:numFmt w:val="decimal"/>
      <w:lvlText w:val="%7."/>
      <w:lvlJc w:val="left"/>
      <w:pPr>
        <w:ind w:left="5040" w:hanging="360"/>
      </w:pPr>
    </w:lvl>
    <w:lvl w:ilvl="7" w:tplc="ED9C1F4A">
      <w:start w:val="1"/>
      <w:numFmt w:val="lowerLetter"/>
      <w:lvlText w:val="%8."/>
      <w:lvlJc w:val="left"/>
      <w:pPr>
        <w:ind w:left="5760" w:hanging="360"/>
      </w:pPr>
    </w:lvl>
    <w:lvl w:ilvl="8" w:tplc="BDCCB278">
      <w:start w:val="1"/>
      <w:numFmt w:val="lowerRoman"/>
      <w:lvlText w:val="%9."/>
      <w:lvlJc w:val="right"/>
      <w:pPr>
        <w:ind w:left="6480" w:hanging="180"/>
      </w:pPr>
    </w:lvl>
  </w:abstractNum>
  <w:abstractNum w:abstractNumId="5" w15:restartNumberingAfterBreak="0">
    <w:nsid w:val="4EC5332D"/>
    <w:multiLevelType w:val="multilevel"/>
    <w:tmpl w:val="E32813EE"/>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606B2A96"/>
    <w:multiLevelType w:val="hybridMultilevel"/>
    <w:tmpl w:val="73667872"/>
    <w:lvl w:ilvl="0" w:tplc="2F54FC2A">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E57931"/>
    <w:multiLevelType w:val="hybridMultilevel"/>
    <w:tmpl w:val="4FB43E5E"/>
    <w:lvl w:ilvl="0" w:tplc="2F5E7746">
      <w:start w:val="1"/>
      <w:numFmt w:val="decimal"/>
      <w:lvlText w:val="%1."/>
      <w:lvlJc w:val="left"/>
      <w:pPr>
        <w:ind w:left="720" w:hanging="360"/>
      </w:pPr>
    </w:lvl>
    <w:lvl w:ilvl="1" w:tplc="3FCA8C74">
      <w:start w:val="1"/>
      <w:numFmt w:val="lowerLetter"/>
      <w:lvlText w:val="%2."/>
      <w:lvlJc w:val="left"/>
      <w:pPr>
        <w:ind w:left="1440" w:hanging="360"/>
      </w:pPr>
    </w:lvl>
    <w:lvl w:ilvl="2" w:tplc="DDD4B5BE">
      <w:start w:val="1"/>
      <w:numFmt w:val="lowerRoman"/>
      <w:lvlText w:val="%3."/>
      <w:lvlJc w:val="right"/>
      <w:pPr>
        <w:ind w:left="2160" w:hanging="180"/>
      </w:pPr>
    </w:lvl>
    <w:lvl w:ilvl="3" w:tplc="B1B8638E">
      <w:start w:val="1"/>
      <w:numFmt w:val="decimal"/>
      <w:lvlText w:val="%4."/>
      <w:lvlJc w:val="left"/>
      <w:pPr>
        <w:ind w:left="2880" w:hanging="360"/>
      </w:pPr>
    </w:lvl>
    <w:lvl w:ilvl="4" w:tplc="A75628EA">
      <w:start w:val="1"/>
      <w:numFmt w:val="lowerLetter"/>
      <w:lvlText w:val="%5."/>
      <w:lvlJc w:val="left"/>
      <w:pPr>
        <w:ind w:left="3600" w:hanging="360"/>
      </w:pPr>
    </w:lvl>
    <w:lvl w:ilvl="5" w:tplc="06900BCC">
      <w:start w:val="1"/>
      <w:numFmt w:val="lowerRoman"/>
      <w:lvlText w:val="%6."/>
      <w:lvlJc w:val="right"/>
      <w:pPr>
        <w:ind w:left="4320" w:hanging="180"/>
      </w:pPr>
    </w:lvl>
    <w:lvl w:ilvl="6" w:tplc="0582A066">
      <w:start w:val="1"/>
      <w:numFmt w:val="decimal"/>
      <w:lvlText w:val="%7."/>
      <w:lvlJc w:val="left"/>
      <w:pPr>
        <w:ind w:left="5040" w:hanging="360"/>
      </w:pPr>
    </w:lvl>
    <w:lvl w:ilvl="7" w:tplc="0D98C2D4">
      <w:start w:val="1"/>
      <w:numFmt w:val="lowerLetter"/>
      <w:lvlText w:val="%8."/>
      <w:lvlJc w:val="left"/>
      <w:pPr>
        <w:ind w:left="5760" w:hanging="360"/>
      </w:pPr>
    </w:lvl>
    <w:lvl w:ilvl="8" w:tplc="F7E24A26">
      <w:start w:val="1"/>
      <w:numFmt w:val="lowerRoman"/>
      <w:lvlText w:val="%9."/>
      <w:lvlJc w:val="right"/>
      <w:pPr>
        <w:ind w:left="6480" w:hanging="180"/>
      </w:pPr>
    </w:lvl>
  </w:abstractNum>
  <w:abstractNum w:abstractNumId="8" w15:restartNumberingAfterBreak="0">
    <w:nsid w:val="6A0E61EC"/>
    <w:multiLevelType w:val="hybridMultilevel"/>
    <w:tmpl w:val="EF145C98"/>
    <w:lvl w:ilvl="0" w:tplc="CC32349C">
      <w:start w:val="1"/>
      <w:numFmt w:val="decimal"/>
      <w:lvlText w:val="%1."/>
      <w:lvlJc w:val="left"/>
      <w:pPr>
        <w:ind w:left="720" w:hanging="360"/>
      </w:pPr>
    </w:lvl>
    <w:lvl w:ilvl="1" w:tplc="D3AACE18">
      <w:start w:val="1"/>
      <w:numFmt w:val="lowerLetter"/>
      <w:lvlText w:val="%2."/>
      <w:lvlJc w:val="left"/>
      <w:pPr>
        <w:ind w:left="1440" w:hanging="360"/>
      </w:pPr>
    </w:lvl>
    <w:lvl w:ilvl="2" w:tplc="0900A8A4">
      <w:start w:val="1"/>
      <w:numFmt w:val="lowerRoman"/>
      <w:lvlText w:val="%3."/>
      <w:lvlJc w:val="right"/>
      <w:pPr>
        <w:ind w:left="2160" w:hanging="180"/>
      </w:pPr>
    </w:lvl>
    <w:lvl w:ilvl="3" w:tplc="504AAE86">
      <w:start w:val="1"/>
      <w:numFmt w:val="decimal"/>
      <w:lvlText w:val="%4."/>
      <w:lvlJc w:val="left"/>
      <w:pPr>
        <w:ind w:left="2880" w:hanging="360"/>
      </w:pPr>
    </w:lvl>
    <w:lvl w:ilvl="4" w:tplc="F790005C">
      <w:start w:val="1"/>
      <w:numFmt w:val="lowerLetter"/>
      <w:lvlText w:val="%5."/>
      <w:lvlJc w:val="left"/>
      <w:pPr>
        <w:ind w:left="3600" w:hanging="360"/>
      </w:pPr>
    </w:lvl>
    <w:lvl w:ilvl="5" w:tplc="3DFEB02E">
      <w:start w:val="1"/>
      <w:numFmt w:val="lowerRoman"/>
      <w:lvlText w:val="%6."/>
      <w:lvlJc w:val="right"/>
      <w:pPr>
        <w:ind w:left="4320" w:hanging="180"/>
      </w:pPr>
    </w:lvl>
    <w:lvl w:ilvl="6" w:tplc="854896E8">
      <w:start w:val="1"/>
      <w:numFmt w:val="decimal"/>
      <w:lvlText w:val="%7."/>
      <w:lvlJc w:val="left"/>
      <w:pPr>
        <w:ind w:left="5040" w:hanging="360"/>
      </w:pPr>
    </w:lvl>
    <w:lvl w:ilvl="7" w:tplc="A5E848A0">
      <w:start w:val="1"/>
      <w:numFmt w:val="lowerLetter"/>
      <w:lvlText w:val="%8."/>
      <w:lvlJc w:val="left"/>
      <w:pPr>
        <w:ind w:left="5760" w:hanging="360"/>
      </w:pPr>
    </w:lvl>
    <w:lvl w:ilvl="8" w:tplc="AFB8D034">
      <w:start w:val="1"/>
      <w:numFmt w:val="lowerRoman"/>
      <w:lvlText w:val="%9."/>
      <w:lvlJc w:val="right"/>
      <w:pPr>
        <w:ind w:left="6480" w:hanging="180"/>
      </w:pPr>
    </w:lvl>
  </w:abstractNum>
  <w:abstractNum w:abstractNumId="9" w15:restartNumberingAfterBreak="0">
    <w:nsid w:val="6DB868F5"/>
    <w:multiLevelType w:val="hybridMultilevel"/>
    <w:tmpl w:val="A6F6AC4E"/>
    <w:lvl w:ilvl="0" w:tplc="DB0AC858">
      <w:start w:val="1"/>
      <w:numFmt w:val="decimal"/>
      <w:lvlText w:val="%1."/>
      <w:lvlJc w:val="left"/>
      <w:pPr>
        <w:ind w:left="720" w:hanging="360"/>
      </w:pPr>
    </w:lvl>
    <w:lvl w:ilvl="1" w:tplc="91701862">
      <w:start w:val="1"/>
      <w:numFmt w:val="lowerLetter"/>
      <w:lvlText w:val="%2."/>
      <w:lvlJc w:val="left"/>
      <w:pPr>
        <w:ind w:left="1440" w:hanging="360"/>
      </w:pPr>
    </w:lvl>
    <w:lvl w:ilvl="2" w:tplc="C890BA6E">
      <w:start w:val="1"/>
      <w:numFmt w:val="lowerRoman"/>
      <w:lvlText w:val="%3."/>
      <w:lvlJc w:val="right"/>
      <w:pPr>
        <w:ind w:left="2160" w:hanging="180"/>
      </w:pPr>
    </w:lvl>
    <w:lvl w:ilvl="3" w:tplc="8B98D4D6">
      <w:start w:val="1"/>
      <w:numFmt w:val="decimal"/>
      <w:lvlText w:val="%4."/>
      <w:lvlJc w:val="left"/>
      <w:pPr>
        <w:ind w:left="2880" w:hanging="360"/>
      </w:pPr>
    </w:lvl>
    <w:lvl w:ilvl="4" w:tplc="918AC290">
      <w:start w:val="1"/>
      <w:numFmt w:val="lowerLetter"/>
      <w:lvlText w:val="%5."/>
      <w:lvlJc w:val="left"/>
      <w:pPr>
        <w:ind w:left="3600" w:hanging="360"/>
      </w:pPr>
    </w:lvl>
    <w:lvl w:ilvl="5" w:tplc="9C8C5576">
      <w:start w:val="1"/>
      <w:numFmt w:val="lowerRoman"/>
      <w:lvlText w:val="%6."/>
      <w:lvlJc w:val="right"/>
      <w:pPr>
        <w:ind w:left="4320" w:hanging="180"/>
      </w:pPr>
    </w:lvl>
    <w:lvl w:ilvl="6" w:tplc="0EC4EC64">
      <w:start w:val="1"/>
      <w:numFmt w:val="decimal"/>
      <w:lvlText w:val="%7."/>
      <w:lvlJc w:val="left"/>
      <w:pPr>
        <w:ind w:left="5040" w:hanging="360"/>
      </w:pPr>
    </w:lvl>
    <w:lvl w:ilvl="7" w:tplc="40D81714">
      <w:start w:val="1"/>
      <w:numFmt w:val="lowerLetter"/>
      <w:lvlText w:val="%8."/>
      <w:lvlJc w:val="left"/>
      <w:pPr>
        <w:ind w:left="5760" w:hanging="360"/>
      </w:pPr>
    </w:lvl>
    <w:lvl w:ilvl="8" w:tplc="9774C432">
      <w:start w:val="1"/>
      <w:numFmt w:val="lowerRoman"/>
      <w:lvlText w:val="%9."/>
      <w:lvlJc w:val="right"/>
      <w:pPr>
        <w:ind w:left="6480" w:hanging="180"/>
      </w:pPr>
    </w:lvl>
  </w:abstractNum>
  <w:num w:numId="1" w16cid:durableId="426771118">
    <w:abstractNumId w:val="3"/>
  </w:num>
  <w:num w:numId="2" w16cid:durableId="1907228895">
    <w:abstractNumId w:val="4"/>
  </w:num>
  <w:num w:numId="3" w16cid:durableId="1304384793">
    <w:abstractNumId w:val="8"/>
  </w:num>
  <w:num w:numId="4" w16cid:durableId="400907521">
    <w:abstractNumId w:val="5"/>
  </w:num>
  <w:num w:numId="5" w16cid:durableId="1428768642">
    <w:abstractNumId w:val="7"/>
  </w:num>
  <w:num w:numId="6" w16cid:durableId="1816100047">
    <w:abstractNumId w:val="2"/>
  </w:num>
  <w:num w:numId="7" w16cid:durableId="36586932">
    <w:abstractNumId w:val="9"/>
  </w:num>
  <w:num w:numId="8" w16cid:durableId="1629891015">
    <w:abstractNumId w:val="0"/>
  </w:num>
  <w:num w:numId="9" w16cid:durableId="183174034">
    <w:abstractNumId w:val="6"/>
  </w:num>
  <w:num w:numId="10" w16cid:durableId="20464407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C909DE"/>
    <w:rsid w:val="002041C3"/>
    <w:rsid w:val="00227B97"/>
    <w:rsid w:val="002B2695"/>
    <w:rsid w:val="003D4590"/>
    <w:rsid w:val="00450091"/>
    <w:rsid w:val="006434E6"/>
    <w:rsid w:val="007711BA"/>
    <w:rsid w:val="008933E3"/>
    <w:rsid w:val="009311B6"/>
    <w:rsid w:val="009F21F7"/>
    <w:rsid w:val="00A16EA2"/>
    <w:rsid w:val="00E8472C"/>
    <w:rsid w:val="00F30856"/>
    <w:rsid w:val="4F218F7F"/>
    <w:rsid w:val="76C909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909DE"/>
  <w15:chartTrackingRefBased/>
  <w15:docId w15:val="{A58C3D59-3054-4950-A8D1-ECB69E97E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1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7711BA"/>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7711BA"/>
    <w:rPr>
      <w:rFonts w:eastAsiaTheme="minorEastAsia"/>
      <w:lang w:eastAsia="zh-CN"/>
    </w:rPr>
  </w:style>
  <w:style w:type="character" w:customStyle="1" w:styleId="Heading1Char">
    <w:name w:val="Heading 1 Char"/>
    <w:basedOn w:val="DefaultParagraphFont"/>
    <w:link w:val="Heading1"/>
    <w:uiPriority w:val="9"/>
    <w:rsid w:val="009311B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604240">
      <w:bodyDiv w:val="1"/>
      <w:marLeft w:val="0"/>
      <w:marRight w:val="0"/>
      <w:marTop w:val="0"/>
      <w:marBottom w:val="0"/>
      <w:divBdr>
        <w:top w:val="none" w:sz="0" w:space="0" w:color="auto"/>
        <w:left w:val="none" w:sz="0" w:space="0" w:color="auto"/>
        <w:bottom w:val="none" w:sz="0" w:space="0" w:color="auto"/>
        <w:right w:val="none" w:sz="0" w:space="0" w:color="auto"/>
      </w:divBdr>
    </w:div>
    <w:div w:id="1689746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Users/mac/Downloads/Horizontal%20Calculations-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ac/Downloads/Horizontal%20Calculations-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ac/Downloads/Horizontal%20Calculations-2.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 for year 2019-2020 for Hilton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TR"/>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'Task 1'!$C$5</c:f>
              <c:strCache>
                <c:ptCount val="1"/>
                <c:pt idx="0">
                  <c:v>Fiscal Year Ends</c:v>
                </c:pt>
              </c:strCache>
            </c:strRef>
          </c:tx>
          <c:spPr>
            <a:solidFill>
              <a:schemeClr val="accent1"/>
            </a:solidFill>
            <a:ln>
              <a:noFill/>
            </a:ln>
            <a:effectLst/>
            <a:sp3d/>
          </c:spPr>
          <c:invertIfNegative val="0"/>
          <c:cat>
            <c:strRef>
              <c:f>'Task 1'!$B$6:$E$7</c:f>
              <c:strCache>
                <c:ptCount val="4"/>
                <c:pt idx="0">
                  <c:v>2020</c:v>
                </c:pt>
                <c:pt idx="1">
                  <c:v>2019</c:v>
                </c:pt>
                <c:pt idx="2">
                  <c:v>Change</c:v>
                </c:pt>
                <c:pt idx="3">
                  <c:v>% Change</c:v>
                </c:pt>
              </c:strCache>
            </c:strRef>
          </c:cat>
          <c:val>
            <c:numRef>
              <c:f>'Task 1'!$B$8:$E$8</c:f>
              <c:numCache>
                <c:formatCode>General</c:formatCode>
                <c:ptCount val="4"/>
              </c:numCache>
            </c:numRef>
          </c:val>
          <c:extLst>
            <c:ext xmlns:c16="http://schemas.microsoft.com/office/drawing/2014/chart" uri="{C3380CC4-5D6E-409C-BE32-E72D297353CC}">
              <c16:uniqueId val="{00000000-A56E-E840-AB2E-66B4478F8DA9}"/>
            </c:ext>
          </c:extLst>
        </c:ser>
        <c:ser>
          <c:idx val="1"/>
          <c:order val="1"/>
          <c:tx>
            <c:strRef>
              <c:f>'Task 1'!$A$9</c:f>
              <c:strCache>
                <c:ptCount val="1"/>
                <c:pt idx="0">
                  <c:v>Sales</c:v>
                </c:pt>
              </c:strCache>
            </c:strRef>
          </c:tx>
          <c:spPr>
            <a:solidFill>
              <a:schemeClr val="accent2"/>
            </a:solidFill>
            <a:ln>
              <a:noFill/>
            </a:ln>
            <a:effectLst/>
            <a:sp3d/>
          </c:spPr>
          <c:invertIfNegative val="0"/>
          <c:cat>
            <c:strRef>
              <c:f>'Task 1'!$B$6:$E$7</c:f>
              <c:strCache>
                <c:ptCount val="4"/>
                <c:pt idx="0">
                  <c:v>2020</c:v>
                </c:pt>
                <c:pt idx="1">
                  <c:v>2019</c:v>
                </c:pt>
                <c:pt idx="2">
                  <c:v>Change</c:v>
                </c:pt>
                <c:pt idx="3">
                  <c:v>% Change</c:v>
                </c:pt>
              </c:strCache>
            </c:strRef>
          </c:cat>
          <c:val>
            <c:numRef>
              <c:f>'Task 1'!$B$9:$E$9</c:f>
              <c:numCache>
                <c:formatCode>#,##0</c:formatCode>
                <c:ptCount val="4"/>
                <c:pt idx="0">
                  <c:v>4307000</c:v>
                </c:pt>
                <c:pt idx="1">
                  <c:v>9452000</c:v>
                </c:pt>
                <c:pt idx="2" formatCode="General">
                  <c:v>-5145000</c:v>
                </c:pt>
                <c:pt idx="3" formatCode="General">
                  <c:v>-0.5</c:v>
                </c:pt>
              </c:numCache>
            </c:numRef>
          </c:val>
          <c:extLst>
            <c:ext xmlns:c16="http://schemas.microsoft.com/office/drawing/2014/chart" uri="{C3380CC4-5D6E-409C-BE32-E72D297353CC}">
              <c16:uniqueId val="{00000001-A56E-E840-AB2E-66B4478F8DA9}"/>
            </c:ext>
          </c:extLst>
        </c:ser>
        <c:dLbls>
          <c:showLegendKey val="0"/>
          <c:showVal val="0"/>
          <c:showCatName val="0"/>
          <c:showSerName val="0"/>
          <c:showPercent val="0"/>
          <c:showBubbleSize val="0"/>
        </c:dLbls>
        <c:gapWidth val="150"/>
        <c:shape val="box"/>
        <c:axId val="1423572463"/>
        <c:axId val="1451400719"/>
        <c:axId val="0"/>
      </c:bar3DChart>
      <c:catAx>
        <c:axId val="142357246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TR"/>
          </a:p>
        </c:txPr>
        <c:crossAx val="1451400719"/>
        <c:crosses val="autoZero"/>
        <c:auto val="1"/>
        <c:lblAlgn val="ctr"/>
        <c:lblOffset val="100"/>
        <c:noMultiLvlLbl val="0"/>
      </c:catAx>
      <c:valAx>
        <c:axId val="14514007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TR"/>
          </a:p>
        </c:txPr>
        <c:crossAx val="14235724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T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TR"/>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INCOME STATEMENT FOR HILTON</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TR"/>
        </a:p>
      </c:txPr>
    </c:title>
    <c:autoTitleDeleted val="0"/>
    <c:plotArea>
      <c:layout/>
      <c:lineChart>
        <c:grouping val="standard"/>
        <c:varyColors val="0"/>
        <c:ser>
          <c:idx val="0"/>
          <c:order val="0"/>
          <c:tx>
            <c:strRef>
              <c:f>'Task 1'!$B$7:$B$8</c:f>
              <c:strCache>
                <c:ptCount val="2"/>
                <c:pt idx="0">
                  <c:v>2020</c:v>
                </c:pt>
              </c:strCache>
            </c:strRef>
          </c:tx>
          <c:spPr>
            <a:ln w="22225" cap="rnd">
              <a:solidFill>
                <a:schemeClr val="accent1"/>
              </a:solidFill>
            </a:ln>
            <a:effectLst>
              <a:glow rad="139700">
                <a:schemeClr val="accent1">
                  <a:satMod val="175000"/>
                  <a:alpha val="14000"/>
                </a:schemeClr>
              </a:glow>
            </a:effectLst>
          </c:spPr>
          <c:marker>
            <c:symbol val="none"/>
          </c:marker>
          <c:cat>
            <c:strRef>
              <c:f>'Task 1'!$A$9:$A$13</c:f>
              <c:strCache>
                <c:ptCount val="5"/>
                <c:pt idx="0">
                  <c:v>Sales</c:v>
                </c:pt>
                <c:pt idx="1">
                  <c:v>Cost of goods sold</c:v>
                </c:pt>
                <c:pt idx="2">
                  <c:v>Gross profit</c:v>
                </c:pt>
                <c:pt idx="3">
                  <c:v>Operating Expenses</c:v>
                </c:pt>
                <c:pt idx="4">
                  <c:v>Operating income</c:v>
                </c:pt>
              </c:strCache>
            </c:strRef>
          </c:cat>
          <c:val>
            <c:numRef>
              <c:f>'Task 1'!$B$9:$B$13</c:f>
              <c:numCache>
                <c:formatCode>#,##0</c:formatCode>
                <c:ptCount val="5"/>
                <c:pt idx="0">
                  <c:v>4307000</c:v>
                </c:pt>
                <c:pt idx="1">
                  <c:v>3724000</c:v>
                </c:pt>
                <c:pt idx="2">
                  <c:v>583000</c:v>
                </c:pt>
                <c:pt idx="3">
                  <c:v>702000</c:v>
                </c:pt>
                <c:pt idx="4">
                  <c:v>-119000</c:v>
                </c:pt>
              </c:numCache>
            </c:numRef>
          </c:val>
          <c:smooth val="0"/>
          <c:extLst>
            <c:ext xmlns:c16="http://schemas.microsoft.com/office/drawing/2014/chart" uri="{C3380CC4-5D6E-409C-BE32-E72D297353CC}">
              <c16:uniqueId val="{00000000-CFAC-B840-88E9-0D974752A5F4}"/>
            </c:ext>
          </c:extLst>
        </c:ser>
        <c:ser>
          <c:idx val="1"/>
          <c:order val="1"/>
          <c:tx>
            <c:strRef>
              <c:f>'Task 1'!$C$7:$C$8</c:f>
              <c:strCache>
                <c:ptCount val="2"/>
                <c:pt idx="0">
                  <c:v>2019</c:v>
                </c:pt>
              </c:strCache>
            </c:strRef>
          </c:tx>
          <c:spPr>
            <a:ln w="22225" cap="rnd">
              <a:solidFill>
                <a:schemeClr val="accent2"/>
              </a:solidFill>
            </a:ln>
            <a:effectLst>
              <a:glow rad="139700">
                <a:schemeClr val="accent2">
                  <a:satMod val="175000"/>
                  <a:alpha val="14000"/>
                </a:schemeClr>
              </a:glow>
            </a:effectLst>
          </c:spPr>
          <c:marker>
            <c:symbol val="none"/>
          </c:marker>
          <c:cat>
            <c:strRef>
              <c:f>'Task 1'!$A$9:$A$13</c:f>
              <c:strCache>
                <c:ptCount val="5"/>
                <c:pt idx="0">
                  <c:v>Sales</c:v>
                </c:pt>
                <c:pt idx="1">
                  <c:v>Cost of goods sold</c:v>
                </c:pt>
                <c:pt idx="2">
                  <c:v>Gross profit</c:v>
                </c:pt>
                <c:pt idx="3">
                  <c:v>Operating Expenses</c:v>
                </c:pt>
                <c:pt idx="4">
                  <c:v>Operating income</c:v>
                </c:pt>
              </c:strCache>
            </c:strRef>
          </c:cat>
          <c:val>
            <c:numRef>
              <c:f>'Task 1'!$C$9:$C$13</c:f>
              <c:numCache>
                <c:formatCode>#,##0</c:formatCode>
                <c:ptCount val="5"/>
                <c:pt idx="0">
                  <c:v>9452000</c:v>
                </c:pt>
                <c:pt idx="1">
                  <c:v>7017000</c:v>
                </c:pt>
                <c:pt idx="2">
                  <c:v>2435000</c:v>
                </c:pt>
                <c:pt idx="3">
                  <c:v>859000</c:v>
                </c:pt>
                <c:pt idx="4">
                  <c:v>1576000</c:v>
                </c:pt>
              </c:numCache>
            </c:numRef>
          </c:val>
          <c:smooth val="0"/>
          <c:extLst>
            <c:ext xmlns:c16="http://schemas.microsoft.com/office/drawing/2014/chart" uri="{C3380CC4-5D6E-409C-BE32-E72D297353CC}">
              <c16:uniqueId val="{00000001-CFAC-B840-88E9-0D974752A5F4}"/>
            </c:ext>
          </c:extLst>
        </c:ser>
        <c:dLbls>
          <c:showLegendKey val="0"/>
          <c:showVal val="0"/>
          <c:showCatName val="0"/>
          <c:showSerName val="0"/>
          <c:showPercent val="0"/>
          <c:showBubbleSize val="0"/>
        </c:dLbls>
        <c:smooth val="0"/>
        <c:axId val="1451784879"/>
        <c:axId val="1451786527"/>
      </c:lineChart>
      <c:catAx>
        <c:axId val="1451784879"/>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TR"/>
          </a:p>
        </c:txPr>
        <c:crossAx val="1451786527"/>
        <c:crosses val="autoZero"/>
        <c:auto val="1"/>
        <c:lblAlgn val="ctr"/>
        <c:lblOffset val="100"/>
        <c:noMultiLvlLbl val="0"/>
      </c:catAx>
      <c:valAx>
        <c:axId val="1451786527"/>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TR"/>
          </a:p>
        </c:txPr>
        <c:crossAx val="145178487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TR"/>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TR"/>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Balance</a:t>
            </a:r>
            <a:r>
              <a:rPr lang="en-GB" baseline="0"/>
              <a:t> sheet</a:t>
            </a:r>
            <a:endParaRPr lang="en-GB"/>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TR"/>
        </a:p>
      </c:txPr>
    </c:title>
    <c:autoTitleDeleted val="0"/>
    <c:plotArea>
      <c:layout/>
      <c:barChart>
        <c:barDir val="col"/>
        <c:grouping val="clustered"/>
        <c:varyColors val="0"/>
        <c:ser>
          <c:idx val="0"/>
          <c:order val="0"/>
          <c:tx>
            <c:strRef>
              <c:f>'Task 2'!$B$4:$B$8</c:f>
              <c:strCache>
                <c:ptCount val="5"/>
                <c:pt idx="1">
                  <c:v>Balance Sheet 2019 &amp; 202</c:v>
                </c:pt>
                <c:pt idx="3">
                  <c:v>Hilton worldwide Holdings inc. (HLT)</c:v>
                </c:pt>
                <c:pt idx="4">
                  <c:v>2020</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T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'Task 2'!$A$9:$A$12</c:f>
              <c:strCache>
                <c:ptCount val="3"/>
                <c:pt idx="0">
                  <c:v>Current assets</c:v>
                </c:pt>
                <c:pt idx="1">
                  <c:v>Non Current Asset</c:v>
                </c:pt>
                <c:pt idx="2">
                  <c:v>Total assets </c:v>
                </c:pt>
              </c:strCache>
            </c:strRef>
          </c:cat>
          <c:val>
            <c:numRef>
              <c:f>'Task 2'!$B$9:$B$12</c:f>
              <c:numCache>
                <c:formatCode>#,##0</c:formatCode>
                <c:ptCount val="4"/>
                <c:pt idx="0">
                  <c:v>4202000</c:v>
                </c:pt>
                <c:pt idx="1">
                  <c:v>15810000</c:v>
                </c:pt>
                <c:pt idx="2">
                  <c:v>16775000</c:v>
                </c:pt>
              </c:numCache>
            </c:numRef>
          </c:val>
          <c:extLst>
            <c:ext xmlns:c16="http://schemas.microsoft.com/office/drawing/2014/chart" uri="{C3380CC4-5D6E-409C-BE32-E72D297353CC}">
              <c16:uniqueId val="{00000000-5D63-C744-8A2B-122E775CBAFC}"/>
            </c:ext>
          </c:extLst>
        </c:ser>
        <c:ser>
          <c:idx val="1"/>
          <c:order val="1"/>
          <c:tx>
            <c:strRef>
              <c:f>'Task 2'!$C$4:$C$8</c:f>
              <c:strCache>
                <c:ptCount val="5"/>
                <c:pt idx="1">
                  <c:v>Balance Sheet 2019 &amp; 202</c:v>
                </c:pt>
                <c:pt idx="3">
                  <c:v>Hilton worldwide Holdings inc. (HLT)</c:v>
                </c:pt>
                <c:pt idx="4">
                  <c:v>2019</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TR"/>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'Task 2'!$A$9:$A$12</c:f>
              <c:strCache>
                <c:ptCount val="3"/>
                <c:pt idx="0">
                  <c:v>Current assets</c:v>
                </c:pt>
                <c:pt idx="1">
                  <c:v>Non Current Asset</c:v>
                </c:pt>
                <c:pt idx="2">
                  <c:v>Total assets </c:v>
                </c:pt>
              </c:strCache>
            </c:strRef>
          </c:cat>
          <c:val>
            <c:numRef>
              <c:f>'Task 2'!$C$9:$C$12</c:f>
              <c:numCache>
                <c:formatCode>#,##0</c:formatCode>
                <c:ptCount val="4"/>
                <c:pt idx="0">
                  <c:v>2093000</c:v>
                </c:pt>
                <c:pt idx="1">
                  <c:v>12558000</c:v>
                </c:pt>
                <c:pt idx="2">
                  <c:v>14957000</c:v>
                </c:pt>
              </c:numCache>
            </c:numRef>
          </c:val>
          <c:extLst>
            <c:ext xmlns:c16="http://schemas.microsoft.com/office/drawing/2014/chart" uri="{C3380CC4-5D6E-409C-BE32-E72D297353CC}">
              <c16:uniqueId val="{00000001-5D63-C744-8A2B-122E775CBAFC}"/>
            </c:ext>
          </c:extLst>
        </c:ser>
        <c:dLbls>
          <c:dLblPos val="inEnd"/>
          <c:showLegendKey val="0"/>
          <c:showVal val="1"/>
          <c:showCatName val="0"/>
          <c:showSerName val="0"/>
          <c:showPercent val="0"/>
          <c:showBubbleSize val="0"/>
        </c:dLbls>
        <c:gapWidth val="199"/>
        <c:axId val="1426052303"/>
        <c:axId val="1425277007"/>
      </c:barChart>
      <c:catAx>
        <c:axId val="1426052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TR"/>
          </a:p>
        </c:txPr>
        <c:crossAx val="1425277007"/>
        <c:crosses val="autoZero"/>
        <c:auto val="1"/>
        <c:lblAlgn val="ctr"/>
        <c:lblOffset val="100"/>
        <c:noMultiLvlLbl val="0"/>
      </c:catAx>
      <c:valAx>
        <c:axId val="142527700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TR"/>
          </a:p>
        </c:txPr>
        <c:crossAx val="142605230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T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TR"/>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11</Pages>
  <Words>2266</Words>
  <Characters>12918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HILTON HOTEL RATIO ANALYSIS</vt:lpstr>
    </vt:vector>
  </TitlesOfParts>
  <Company/>
  <LinksUpToDate>false</LinksUpToDate>
  <CharactersWithSpaces>15154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HOTEL RATIO ANALYSIS</dc:title>
  <dc:subject>FAHMINA BEGUM</dc:subject>
  <dc:creator>2022594</dc:creator>
  <cp:keywords/>
  <dc:description/>
  <cp:lastModifiedBy>Microsoft Office User</cp:lastModifiedBy>
  <cp:revision>6</cp:revision>
  <dcterms:created xsi:type="dcterms:W3CDTF">2022-05-29T19:42:00Z</dcterms:created>
  <dcterms:modified xsi:type="dcterms:W3CDTF">2022-05-31T02:34:00Z</dcterms:modified>
</cp:coreProperties>
</file>