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1377FB"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Student number: 2224284</w:t>
      </w:r>
    </w:p>
    <w:p w14:paraId="62EE9313" w14:textId="77777777" w:rsidR="00AB3178" w:rsidRPr="00C4206E" w:rsidRDefault="00AB3178" w:rsidP="009B3C1D">
      <w:pPr>
        <w:spacing w:line="360" w:lineRule="auto"/>
        <w:jc w:val="center"/>
        <w:rPr>
          <w:rFonts w:ascii="Times New Roman" w:hAnsi="Times New Roman" w:cs="Times New Roman"/>
          <w:sz w:val="32"/>
          <w:szCs w:val="32"/>
        </w:rPr>
      </w:pPr>
    </w:p>
    <w:p w14:paraId="758D3743"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Student name: Liviu-Marius Postelnicu</w:t>
      </w:r>
    </w:p>
    <w:p w14:paraId="458DF834" w14:textId="77777777" w:rsidR="00AB3178" w:rsidRPr="00C4206E" w:rsidRDefault="00AB3178" w:rsidP="009B3C1D">
      <w:pPr>
        <w:spacing w:line="360" w:lineRule="auto"/>
        <w:jc w:val="center"/>
        <w:rPr>
          <w:rFonts w:ascii="Times New Roman" w:hAnsi="Times New Roman" w:cs="Times New Roman"/>
          <w:sz w:val="32"/>
          <w:szCs w:val="32"/>
        </w:rPr>
      </w:pPr>
    </w:p>
    <w:p w14:paraId="7277CE43"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Module title: Management &amp; Organisational Behaviour</w:t>
      </w:r>
    </w:p>
    <w:p w14:paraId="7930C557" w14:textId="77777777" w:rsidR="00AB3178" w:rsidRPr="00C4206E" w:rsidRDefault="00AB3178" w:rsidP="009B3C1D">
      <w:pPr>
        <w:spacing w:line="360" w:lineRule="auto"/>
        <w:jc w:val="center"/>
        <w:rPr>
          <w:rFonts w:ascii="Times New Roman" w:hAnsi="Times New Roman" w:cs="Times New Roman"/>
          <w:sz w:val="32"/>
          <w:szCs w:val="32"/>
        </w:rPr>
      </w:pPr>
    </w:p>
    <w:p w14:paraId="5F0F951D"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Module code : BMIH5004</w:t>
      </w:r>
    </w:p>
    <w:p w14:paraId="73D852C6" w14:textId="77777777" w:rsidR="00AB3178" w:rsidRPr="00C4206E" w:rsidRDefault="00AB3178" w:rsidP="009B3C1D">
      <w:pPr>
        <w:spacing w:line="360" w:lineRule="auto"/>
        <w:jc w:val="center"/>
        <w:rPr>
          <w:rFonts w:ascii="Times New Roman" w:hAnsi="Times New Roman" w:cs="Times New Roman"/>
          <w:sz w:val="32"/>
          <w:szCs w:val="32"/>
        </w:rPr>
      </w:pPr>
    </w:p>
    <w:p w14:paraId="4CEC5C95" w14:textId="77777777"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Lecturer: Jessica Newport</w:t>
      </w:r>
    </w:p>
    <w:p w14:paraId="22A89447" w14:textId="77777777" w:rsidR="00AB3178" w:rsidRPr="00C4206E" w:rsidRDefault="00AB3178" w:rsidP="009B3C1D">
      <w:pPr>
        <w:spacing w:line="360" w:lineRule="auto"/>
        <w:jc w:val="center"/>
        <w:rPr>
          <w:rFonts w:ascii="Times New Roman" w:hAnsi="Times New Roman" w:cs="Times New Roman"/>
          <w:sz w:val="32"/>
          <w:szCs w:val="32"/>
        </w:rPr>
      </w:pPr>
    </w:p>
    <w:p w14:paraId="384D1A98" w14:textId="42459B32" w:rsidR="00AB3178" w:rsidRPr="00C4206E" w:rsidRDefault="00AB3178" w:rsidP="009B3C1D">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 xml:space="preserve">Word count: </w:t>
      </w:r>
      <w:r w:rsidR="009B3C1D" w:rsidRPr="00C4206E">
        <w:rPr>
          <w:rFonts w:ascii="Times New Roman" w:hAnsi="Times New Roman" w:cs="Times New Roman"/>
          <w:sz w:val="32"/>
          <w:szCs w:val="32"/>
        </w:rPr>
        <w:t>2154</w:t>
      </w:r>
    </w:p>
    <w:p w14:paraId="767167EB" w14:textId="77777777" w:rsidR="00F5093C" w:rsidRPr="00C4206E" w:rsidRDefault="00F5093C" w:rsidP="009B3C1D">
      <w:pPr>
        <w:spacing w:line="360" w:lineRule="auto"/>
        <w:jc w:val="center"/>
        <w:rPr>
          <w:rFonts w:ascii="Times New Roman" w:hAnsi="Times New Roman" w:cs="Times New Roman"/>
          <w:sz w:val="32"/>
          <w:szCs w:val="32"/>
        </w:rPr>
      </w:pPr>
    </w:p>
    <w:p w14:paraId="3D61BE19" w14:textId="77777777" w:rsidR="009B3C1D" w:rsidRPr="00C4206E" w:rsidRDefault="009B3C1D" w:rsidP="00447FA0">
      <w:pPr>
        <w:spacing w:line="360" w:lineRule="auto"/>
        <w:rPr>
          <w:rFonts w:ascii="Times New Roman" w:hAnsi="Times New Roman" w:cs="Times New Roman"/>
          <w:sz w:val="32"/>
          <w:szCs w:val="32"/>
        </w:rPr>
      </w:pPr>
    </w:p>
    <w:p w14:paraId="050AA70E" w14:textId="77777777" w:rsidR="009B3C1D" w:rsidRPr="00C4206E" w:rsidRDefault="009B3C1D" w:rsidP="009B3C1D">
      <w:pPr>
        <w:spacing w:line="360" w:lineRule="auto"/>
        <w:jc w:val="center"/>
        <w:rPr>
          <w:rFonts w:ascii="Times New Roman" w:hAnsi="Times New Roman" w:cs="Times New Roman"/>
          <w:sz w:val="32"/>
          <w:szCs w:val="32"/>
        </w:rPr>
      </w:pPr>
    </w:p>
    <w:p w14:paraId="5261D6D6" w14:textId="33B8C31A" w:rsidR="009B3C1D" w:rsidRDefault="009B3C1D" w:rsidP="00C4206E">
      <w:pPr>
        <w:spacing w:line="360" w:lineRule="auto"/>
        <w:jc w:val="center"/>
        <w:rPr>
          <w:rFonts w:ascii="Times New Roman" w:hAnsi="Times New Roman" w:cs="Times New Roman"/>
          <w:sz w:val="32"/>
          <w:szCs w:val="32"/>
        </w:rPr>
      </w:pPr>
      <w:r w:rsidRPr="00C4206E">
        <w:rPr>
          <w:rFonts w:ascii="Times New Roman" w:hAnsi="Times New Roman" w:cs="Times New Roman"/>
          <w:sz w:val="32"/>
          <w:szCs w:val="32"/>
        </w:rPr>
        <w:t xml:space="preserve">Report : </w:t>
      </w:r>
      <w:r w:rsidRPr="009B3C1D">
        <w:rPr>
          <w:rFonts w:ascii="Times New Roman" w:hAnsi="Times New Roman" w:cs="Times New Roman"/>
          <w:sz w:val="32"/>
          <w:szCs w:val="32"/>
        </w:rPr>
        <w:t>Hyatt Hotels Corporation</w:t>
      </w:r>
    </w:p>
    <w:p w14:paraId="6DEB3C0D" w14:textId="77777777" w:rsidR="00C4206E" w:rsidRPr="00C4206E" w:rsidRDefault="00C4206E" w:rsidP="00C4206E">
      <w:pPr>
        <w:spacing w:line="360" w:lineRule="auto"/>
        <w:jc w:val="center"/>
        <w:rPr>
          <w:rFonts w:ascii="Times New Roman" w:hAnsi="Times New Roman" w:cs="Times New Roman"/>
          <w:sz w:val="32"/>
          <w:szCs w:val="32"/>
        </w:rPr>
      </w:pPr>
    </w:p>
    <w:p w14:paraId="21640E90" w14:textId="77777777" w:rsidR="009B3C1D" w:rsidRPr="00C4206E" w:rsidRDefault="009B3C1D" w:rsidP="009B3C1D">
      <w:pPr>
        <w:spacing w:line="360" w:lineRule="auto"/>
        <w:jc w:val="both"/>
        <w:rPr>
          <w:rFonts w:ascii="Times New Roman" w:hAnsi="Times New Roman" w:cs="Times New Roman"/>
        </w:rPr>
      </w:pPr>
    </w:p>
    <w:p w14:paraId="22A85D95" w14:textId="77777777" w:rsidR="009B3C1D" w:rsidRDefault="009B3C1D" w:rsidP="009B3C1D">
      <w:pPr>
        <w:spacing w:line="360" w:lineRule="auto"/>
        <w:jc w:val="both"/>
        <w:rPr>
          <w:rFonts w:ascii="Times New Roman" w:hAnsi="Times New Roman" w:cs="Times New Roman"/>
        </w:rPr>
      </w:pPr>
    </w:p>
    <w:p w14:paraId="4A49D27C" w14:textId="77777777" w:rsidR="00447FA0" w:rsidRDefault="00447FA0" w:rsidP="00447FA0">
      <w:pPr>
        <w:spacing w:line="360" w:lineRule="auto"/>
        <w:jc w:val="both"/>
        <w:rPr>
          <w:rFonts w:ascii="Times New Roman" w:hAnsi="Times New Roman" w:cs="Times New Roman"/>
        </w:rPr>
      </w:pPr>
    </w:p>
    <w:p w14:paraId="208C1E0C" w14:textId="77777777" w:rsidR="00447FA0" w:rsidRDefault="00447FA0" w:rsidP="00447FA0">
      <w:pPr>
        <w:spacing w:line="360" w:lineRule="auto"/>
        <w:jc w:val="both"/>
        <w:rPr>
          <w:rFonts w:ascii="Times New Roman" w:hAnsi="Times New Roman" w:cs="Times New Roman"/>
        </w:rPr>
      </w:pPr>
    </w:p>
    <w:p w14:paraId="0099D1A0" w14:textId="0D1CAFAC" w:rsidR="00447FA0" w:rsidRPr="00C4206E" w:rsidRDefault="00447FA0" w:rsidP="00447FA0">
      <w:pPr>
        <w:spacing w:line="360" w:lineRule="auto"/>
        <w:jc w:val="both"/>
        <w:rPr>
          <w:rFonts w:ascii="Times New Roman" w:hAnsi="Times New Roman" w:cs="Times New Roman"/>
        </w:rPr>
      </w:pPr>
      <w:r w:rsidRPr="00C4206E">
        <w:rPr>
          <w:rFonts w:ascii="Times New Roman" w:hAnsi="Times New Roman" w:cs="Times New Roman"/>
        </w:rPr>
        <w:lastRenderedPageBreak/>
        <w:t xml:space="preserve">I acknowledge the use of Grammarly App and Microsoft Word Editor (https://www.grammarly.com/) on 8th November 2024 to check my assessment. </w:t>
      </w:r>
    </w:p>
    <w:p w14:paraId="280BA77D" w14:textId="77777777" w:rsidR="00447FA0" w:rsidRPr="009B3C1D" w:rsidRDefault="00447FA0" w:rsidP="00447FA0">
      <w:pPr>
        <w:spacing w:line="360" w:lineRule="auto"/>
        <w:jc w:val="both"/>
        <w:rPr>
          <w:rFonts w:ascii="Times New Roman" w:hAnsi="Times New Roman" w:cs="Times New Roman"/>
        </w:rPr>
      </w:pPr>
      <w:r w:rsidRPr="00C4206E">
        <w:rPr>
          <w:rFonts w:ascii="Times New Roman" w:hAnsi="Times New Roman" w:cs="Times New Roman"/>
        </w:rPr>
        <w:t>I confirm that I have not presented any Al generated text as my own work. I confirm I have copies of my drafts, notes, and other resources I used before, and after the use of Al tools which I may be asked to provide in evidence.</w:t>
      </w:r>
    </w:p>
    <w:p w14:paraId="76784FC9" w14:textId="77777777" w:rsidR="00447FA0" w:rsidRPr="00C4206E" w:rsidRDefault="00447FA0" w:rsidP="009B3C1D">
      <w:pPr>
        <w:spacing w:line="360" w:lineRule="auto"/>
        <w:jc w:val="both"/>
        <w:rPr>
          <w:rFonts w:ascii="Times New Roman" w:hAnsi="Times New Roman" w:cs="Times New Roman"/>
        </w:rPr>
      </w:pPr>
    </w:p>
    <w:p w14:paraId="7B2CB000" w14:textId="77777777" w:rsidR="00C4206E" w:rsidRDefault="00C4206E" w:rsidP="009B3C1D">
      <w:pPr>
        <w:spacing w:line="360" w:lineRule="auto"/>
        <w:jc w:val="both"/>
        <w:rPr>
          <w:rFonts w:ascii="Times New Roman" w:hAnsi="Times New Roman" w:cs="Times New Roman"/>
          <w:b/>
          <w:bCs/>
        </w:rPr>
      </w:pPr>
    </w:p>
    <w:p w14:paraId="799CA717" w14:textId="77777777" w:rsidR="00447FA0" w:rsidRDefault="00447FA0" w:rsidP="009B3C1D">
      <w:pPr>
        <w:spacing w:line="360" w:lineRule="auto"/>
        <w:jc w:val="both"/>
        <w:rPr>
          <w:rFonts w:ascii="Times New Roman" w:hAnsi="Times New Roman" w:cs="Times New Roman"/>
          <w:b/>
          <w:bCs/>
        </w:rPr>
      </w:pPr>
    </w:p>
    <w:p w14:paraId="1CE1ADAB" w14:textId="77777777" w:rsidR="00447FA0" w:rsidRDefault="00447FA0" w:rsidP="009B3C1D">
      <w:pPr>
        <w:spacing w:line="360" w:lineRule="auto"/>
        <w:jc w:val="both"/>
        <w:rPr>
          <w:rFonts w:ascii="Times New Roman" w:hAnsi="Times New Roman" w:cs="Times New Roman"/>
          <w:b/>
          <w:bCs/>
        </w:rPr>
      </w:pPr>
    </w:p>
    <w:p w14:paraId="06514F7D" w14:textId="77777777" w:rsidR="00447FA0" w:rsidRDefault="00447FA0" w:rsidP="009B3C1D">
      <w:pPr>
        <w:spacing w:line="360" w:lineRule="auto"/>
        <w:jc w:val="both"/>
        <w:rPr>
          <w:rFonts w:ascii="Times New Roman" w:hAnsi="Times New Roman" w:cs="Times New Roman"/>
          <w:b/>
          <w:bCs/>
        </w:rPr>
      </w:pPr>
    </w:p>
    <w:p w14:paraId="0F51250B" w14:textId="77777777" w:rsidR="00447FA0" w:rsidRDefault="00447FA0" w:rsidP="009B3C1D">
      <w:pPr>
        <w:spacing w:line="360" w:lineRule="auto"/>
        <w:jc w:val="both"/>
        <w:rPr>
          <w:rFonts w:ascii="Times New Roman" w:hAnsi="Times New Roman" w:cs="Times New Roman"/>
          <w:b/>
          <w:bCs/>
        </w:rPr>
      </w:pPr>
    </w:p>
    <w:p w14:paraId="1C304302" w14:textId="77777777" w:rsidR="00447FA0" w:rsidRDefault="00447FA0" w:rsidP="009B3C1D">
      <w:pPr>
        <w:spacing w:line="360" w:lineRule="auto"/>
        <w:jc w:val="both"/>
        <w:rPr>
          <w:rFonts w:ascii="Times New Roman" w:hAnsi="Times New Roman" w:cs="Times New Roman"/>
          <w:b/>
          <w:bCs/>
        </w:rPr>
      </w:pPr>
    </w:p>
    <w:p w14:paraId="2025D52A" w14:textId="77777777" w:rsidR="00447FA0" w:rsidRDefault="00447FA0" w:rsidP="009B3C1D">
      <w:pPr>
        <w:spacing w:line="360" w:lineRule="auto"/>
        <w:jc w:val="both"/>
        <w:rPr>
          <w:rFonts w:ascii="Times New Roman" w:hAnsi="Times New Roman" w:cs="Times New Roman"/>
          <w:b/>
          <w:bCs/>
        </w:rPr>
      </w:pPr>
    </w:p>
    <w:p w14:paraId="5C19FC8E" w14:textId="77777777" w:rsidR="00447FA0" w:rsidRDefault="00447FA0" w:rsidP="009B3C1D">
      <w:pPr>
        <w:spacing w:line="360" w:lineRule="auto"/>
        <w:jc w:val="both"/>
        <w:rPr>
          <w:rFonts w:ascii="Times New Roman" w:hAnsi="Times New Roman" w:cs="Times New Roman"/>
          <w:b/>
          <w:bCs/>
        </w:rPr>
      </w:pPr>
    </w:p>
    <w:p w14:paraId="0ABC61B2" w14:textId="77777777" w:rsidR="00447FA0" w:rsidRDefault="00447FA0" w:rsidP="009B3C1D">
      <w:pPr>
        <w:spacing w:line="360" w:lineRule="auto"/>
        <w:jc w:val="both"/>
        <w:rPr>
          <w:rFonts w:ascii="Times New Roman" w:hAnsi="Times New Roman" w:cs="Times New Roman"/>
          <w:b/>
          <w:bCs/>
        </w:rPr>
      </w:pPr>
    </w:p>
    <w:p w14:paraId="3222345F" w14:textId="77777777" w:rsidR="00447FA0" w:rsidRDefault="00447FA0" w:rsidP="009B3C1D">
      <w:pPr>
        <w:spacing w:line="360" w:lineRule="auto"/>
        <w:jc w:val="both"/>
        <w:rPr>
          <w:rFonts w:ascii="Times New Roman" w:hAnsi="Times New Roman" w:cs="Times New Roman"/>
          <w:b/>
          <w:bCs/>
        </w:rPr>
      </w:pPr>
    </w:p>
    <w:p w14:paraId="5FCDBEE3" w14:textId="77777777" w:rsidR="00447FA0" w:rsidRDefault="00447FA0" w:rsidP="009B3C1D">
      <w:pPr>
        <w:spacing w:line="360" w:lineRule="auto"/>
        <w:jc w:val="both"/>
        <w:rPr>
          <w:rFonts w:ascii="Times New Roman" w:hAnsi="Times New Roman" w:cs="Times New Roman"/>
          <w:b/>
          <w:bCs/>
        </w:rPr>
      </w:pPr>
    </w:p>
    <w:p w14:paraId="51D77F81" w14:textId="77777777" w:rsidR="00447FA0" w:rsidRDefault="00447FA0" w:rsidP="009B3C1D">
      <w:pPr>
        <w:spacing w:line="360" w:lineRule="auto"/>
        <w:jc w:val="both"/>
        <w:rPr>
          <w:rFonts w:ascii="Times New Roman" w:hAnsi="Times New Roman" w:cs="Times New Roman"/>
          <w:b/>
          <w:bCs/>
        </w:rPr>
      </w:pPr>
    </w:p>
    <w:p w14:paraId="5A572467" w14:textId="77777777" w:rsidR="00447FA0" w:rsidRDefault="00447FA0" w:rsidP="009B3C1D">
      <w:pPr>
        <w:spacing w:line="360" w:lineRule="auto"/>
        <w:jc w:val="both"/>
        <w:rPr>
          <w:rFonts w:ascii="Times New Roman" w:hAnsi="Times New Roman" w:cs="Times New Roman"/>
          <w:b/>
          <w:bCs/>
        </w:rPr>
      </w:pPr>
    </w:p>
    <w:p w14:paraId="4AFE12F0" w14:textId="77777777" w:rsidR="00447FA0" w:rsidRDefault="00447FA0" w:rsidP="009B3C1D">
      <w:pPr>
        <w:spacing w:line="360" w:lineRule="auto"/>
        <w:jc w:val="both"/>
        <w:rPr>
          <w:rFonts w:ascii="Times New Roman" w:hAnsi="Times New Roman" w:cs="Times New Roman"/>
          <w:b/>
          <w:bCs/>
        </w:rPr>
      </w:pPr>
    </w:p>
    <w:p w14:paraId="1BBE826D" w14:textId="77777777" w:rsidR="00447FA0" w:rsidRDefault="00447FA0" w:rsidP="009B3C1D">
      <w:pPr>
        <w:spacing w:line="360" w:lineRule="auto"/>
        <w:jc w:val="both"/>
        <w:rPr>
          <w:rFonts w:ascii="Times New Roman" w:hAnsi="Times New Roman" w:cs="Times New Roman"/>
          <w:b/>
          <w:bCs/>
        </w:rPr>
      </w:pPr>
    </w:p>
    <w:p w14:paraId="33FB197C" w14:textId="77777777" w:rsidR="00447FA0" w:rsidRDefault="00447FA0" w:rsidP="009B3C1D">
      <w:pPr>
        <w:spacing w:line="360" w:lineRule="auto"/>
        <w:jc w:val="both"/>
        <w:rPr>
          <w:rFonts w:ascii="Times New Roman" w:hAnsi="Times New Roman" w:cs="Times New Roman"/>
          <w:b/>
          <w:bCs/>
        </w:rPr>
      </w:pPr>
    </w:p>
    <w:p w14:paraId="76BD81D3" w14:textId="77777777" w:rsidR="00447FA0" w:rsidRDefault="00447FA0" w:rsidP="009B3C1D">
      <w:pPr>
        <w:spacing w:line="360" w:lineRule="auto"/>
        <w:jc w:val="both"/>
        <w:rPr>
          <w:rFonts w:ascii="Times New Roman" w:hAnsi="Times New Roman" w:cs="Times New Roman"/>
          <w:b/>
          <w:bCs/>
        </w:rPr>
      </w:pPr>
    </w:p>
    <w:p w14:paraId="7CE106AA" w14:textId="77777777" w:rsidR="00447FA0" w:rsidRDefault="00447FA0" w:rsidP="009B3C1D">
      <w:pPr>
        <w:spacing w:line="360" w:lineRule="auto"/>
        <w:jc w:val="both"/>
        <w:rPr>
          <w:rFonts w:ascii="Times New Roman" w:hAnsi="Times New Roman" w:cs="Times New Roman"/>
          <w:b/>
          <w:bCs/>
        </w:rPr>
      </w:pPr>
    </w:p>
    <w:p w14:paraId="6F13CFB2" w14:textId="77777777" w:rsidR="00447FA0" w:rsidRDefault="00447FA0" w:rsidP="009B3C1D">
      <w:pPr>
        <w:spacing w:line="360" w:lineRule="auto"/>
        <w:jc w:val="both"/>
        <w:rPr>
          <w:rFonts w:ascii="Times New Roman" w:hAnsi="Times New Roman" w:cs="Times New Roman"/>
          <w:b/>
          <w:bCs/>
        </w:rPr>
      </w:pPr>
    </w:p>
    <w:p w14:paraId="6913475F" w14:textId="329090E8"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lastRenderedPageBreak/>
        <w:t>Executive Summary</w:t>
      </w:r>
    </w:p>
    <w:p w14:paraId="23A5F822" w14:textId="77777777" w:rsidR="009B3C1D" w:rsidRPr="009B3C1D" w:rsidRDefault="009B3C1D" w:rsidP="007D1F38">
      <w:pPr>
        <w:spacing w:line="360" w:lineRule="auto"/>
        <w:rPr>
          <w:rFonts w:ascii="Times New Roman" w:hAnsi="Times New Roman" w:cs="Times New Roman"/>
        </w:rPr>
      </w:pPr>
      <w:r w:rsidRPr="009B3C1D">
        <w:rPr>
          <w:rFonts w:ascii="Times New Roman" w:hAnsi="Times New Roman" w:cs="Times New Roman"/>
        </w:rPr>
        <w:t>Hyatt Hotels Corporation, established in 1957, is a notable global hospitality entity with more than 1,150 properties under brands such as Park Hyatt, Grand Hyatt, and Hyatt Regency. This report offers an in-depth examination of Hyatt's organisational framework, cultural dynamics, recent transformation efforts, and strategic direction. Hyatt integrates centralised corporate governance with localised autonomy, facilitating uniformity in global operations while remaining responsive to regional needs. The organisational culture prioritises systematic leadership and adaptability, cultivating a guest-centric atmosphere.</w:t>
      </w:r>
      <w:r w:rsidRPr="009B3C1D">
        <w:rPr>
          <w:rFonts w:ascii="Times New Roman" w:hAnsi="Times New Roman" w:cs="Times New Roman"/>
        </w:rPr>
        <w:br/>
        <w:t>Recent initiatives demonstrate Hyatt's dedication to sustainability, digital innovation, and Corporate Social Responsibility (CSR), examined here via Kotter's change model. Despite its efficacy, change management could improve through increased transparency and employee involvement. Hyatt's strategy aligns with Mintzberg's 5 Ps, focussing on sustainable growth and customer-centricity, and is further reinforced by Porter's Five Forces and SWOT analysis.</w:t>
      </w:r>
    </w:p>
    <w:p w14:paraId="312CE40E"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Recommendations include fortifying change management, promoting environmental and technological practices, and implementing a purpose-driven strategy to improve employee and customer engagement.</w:t>
      </w:r>
    </w:p>
    <w:p w14:paraId="2235AD4D" w14:textId="77777777" w:rsidR="009B3C1D" w:rsidRPr="009B3C1D" w:rsidRDefault="009B3C1D" w:rsidP="009B3C1D">
      <w:pPr>
        <w:spacing w:line="360" w:lineRule="auto"/>
        <w:jc w:val="both"/>
        <w:rPr>
          <w:rFonts w:ascii="Times New Roman" w:hAnsi="Times New Roman" w:cs="Times New Roman"/>
          <w:b/>
          <w:bCs/>
        </w:rPr>
      </w:pPr>
    </w:p>
    <w:p w14:paraId="07C9D88B" w14:textId="77777777" w:rsidR="009B3C1D" w:rsidRPr="00C4206E" w:rsidRDefault="009B3C1D" w:rsidP="009B3C1D">
      <w:pPr>
        <w:spacing w:line="360" w:lineRule="auto"/>
        <w:jc w:val="both"/>
        <w:rPr>
          <w:rFonts w:ascii="Times New Roman" w:hAnsi="Times New Roman" w:cs="Times New Roman"/>
          <w:b/>
          <w:bCs/>
        </w:rPr>
      </w:pPr>
    </w:p>
    <w:p w14:paraId="385D1C26" w14:textId="77777777" w:rsidR="009B3C1D" w:rsidRPr="00C4206E" w:rsidRDefault="009B3C1D" w:rsidP="009B3C1D">
      <w:pPr>
        <w:spacing w:line="360" w:lineRule="auto"/>
        <w:jc w:val="both"/>
        <w:rPr>
          <w:rFonts w:ascii="Times New Roman" w:hAnsi="Times New Roman" w:cs="Times New Roman"/>
        </w:rPr>
      </w:pPr>
    </w:p>
    <w:p w14:paraId="62856760" w14:textId="77777777" w:rsidR="009B3C1D" w:rsidRDefault="009B3C1D" w:rsidP="009B3C1D">
      <w:pPr>
        <w:spacing w:line="360" w:lineRule="auto"/>
        <w:jc w:val="both"/>
        <w:rPr>
          <w:rFonts w:ascii="Times New Roman" w:hAnsi="Times New Roman" w:cs="Times New Roman"/>
        </w:rPr>
      </w:pPr>
    </w:p>
    <w:p w14:paraId="2C728066" w14:textId="77777777" w:rsidR="006C52E9" w:rsidRDefault="006C52E9" w:rsidP="009B3C1D">
      <w:pPr>
        <w:spacing w:line="360" w:lineRule="auto"/>
        <w:jc w:val="both"/>
        <w:rPr>
          <w:rFonts w:ascii="Times New Roman" w:hAnsi="Times New Roman" w:cs="Times New Roman"/>
        </w:rPr>
      </w:pPr>
    </w:p>
    <w:p w14:paraId="0C9E221D" w14:textId="77777777" w:rsidR="006C52E9" w:rsidRDefault="006C52E9" w:rsidP="009B3C1D">
      <w:pPr>
        <w:spacing w:line="360" w:lineRule="auto"/>
        <w:jc w:val="both"/>
        <w:rPr>
          <w:rFonts w:ascii="Times New Roman" w:hAnsi="Times New Roman" w:cs="Times New Roman"/>
        </w:rPr>
      </w:pPr>
    </w:p>
    <w:p w14:paraId="7CDC17AC" w14:textId="77777777" w:rsidR="006C52E9" w:rsidRDefault="006C52E9" w:rsidP="009B3C1D">
      <w:pPr>
        <w:spacing w:line="360" w:lineRule="auto"/>
        <w:jc w:val="both"/>
        <w:rPr>
          <w:rFonts w:ascii="Times New Roman" w:hAnsi="Times New Roman" w:cs="Times New Roman"/>
        </w:rPr>
      </w:pPr>
    </w:p>
    <w:p w14:paraId="68D1AA07" w14:textId="77777777" w:rsidR="006C52E9" w:rsidRPr="009B3C1D" w:rsidRDefault="006C52E9" w:rsidP="009B3C1D">
      <w:pPr>
        <w:spacing w:line="360" w:lineRule="auto"/>
        <w:jc w:val="both"/>
        <w:rPr>
          <w:rFonts w:ascii="Times New Roman" w:hAnsi="Times New Roman" w:cs="Times New Roman"/>
          <w:b/>
          <w:bCs/>
        </w:rPr>
      </w:pPr>
    </w:p>
    <w:p w14:paraId="19A05F78" w14:textId="77777777" w:rsidR="009B3C1D" w:rsidRPr="009B3C1D" w:rsidRDefault="009B3C1D" w:rsidP="009B3C1D">
      <w:pPr>
        <w:spacing w:line="360" w:lineRule="auto"/>
        <w:jc w:val="both"/>
        <w:rPr>
          <w:rFonts w:ascii="Times New Roman" w:hAnsi="Times New Roman" w:cs="Times New Roman"/>
          <w:b/>
          <w:bCs/>
        </w:rPr>
      </w:pPr>
    </w:p>
    <w:p w14:paraId="387B31D8" w14:textId="77777777" w:rsidR="009B3C1D" w:rsidRPr="009B3C1D" w:rsidRDefault="009B3C1D" w:rsidP="009B3C1D">
      <w:pPr>
        <w:spacing w:line="360" w:lineRule="auto"/>
        <w:jc w:val="both"/>
        <w:rPr>
          <w:rFonts w:ascii="Times New Roman" w:hAnsi="Times New Roman" w:cs="Times New Roman"/>
          <w:b/>
          <w:bCs/>
        </w:rPr>
      </w:pPr>
    </w:p>
    <w:p w14:paraId="673AD963" w14:textId="77777777" w:rsidR="00C4206E" w:rsidRDefault="00C4206E" w:rsidP="009B3C1D">
      <w:pPr>
        <w:spacing w:line="360" w:lineRule="auto"/>
        <w:jc w:val="both"/>
        <w:rPr>
          <w:rFonts w:ascii="Times New Roman" w:hAnsi="Times New Roman" w:cs="Times New Roman"/>
          <w:b/>
          <w:bCs/>
        </w:rPr>
      </w:pPr>
    </w:p>
    <w:p w14:paraId="12AE544C" w14:textId="77777777" w:rsidR="007D1F38" w:rsidRDefault="007D1F38" w:rsidP="009B3C1D">
      <w:pPr>
        <w:spacing w:line="360" w:lineRule="auto"/>
        <w:jc w:val="both"/>
        <w:rPr>
          <w:rFonts w:ascii="Times New Roman" w:hAnsi="Times New Roman" w:cs="Times New Roman"/>
          <w:b/>
          <w:bCs/>
        </w:rPr>
      </w:pPr>
    </w:p>
    <w:p w14:paraId="69340E99" w14:textId="2E1FBD4F"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lastRenderedPageBreak/>
        <w:t>Table of Contents</w:t>
      </w:r>
    </w:p>
    <w:p w14:paraId="0D20E957"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Introduction</w:t>
      </w:r>
    </w:p>
    <w:p w14:paraId="42A45558"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Organizational Structure, Culture, and Goals</w:t>
      </w:r>
    </w:p>
    <w:p w14:paraId="356AE74A"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Organisational Structure</w:t>
      </w:r>
    </w:p>
    <w:p w14:paraId="6137BEF3"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Organisational Culture</w:t>
      </w:r>
    </w:p>
    <w:p w14:paraId="32A54B8B"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Corporate and Unit Goals</w:t>
      </w:r>
    </w:p>
    <w:p w14:paraId="0A4FD01E"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Recent Change Initiatives</w:t>
      </w:r>
    </w:p>
    <w:p w14:paraId="32EFC05A"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Overview of Sustainability, Technology, and CSR Initiatives</w:t>
      </w:r>
    </w:p>
    <w:p w14:paraId="32B3120A"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Impact Analysis Using Kotter’s Model</w:t>
      </w:r>
    </w:p>
    <w:p w14:paraId="1AC7DF34"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Evaluation of Change Management and Resistance Factors</w:t>
      </w:r>
    </w:p>
    <w:p w14:paraId="00CA9201"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Strategic Direction</w:t>
      </w:r>
    </w:p>
    <w:p w14:paraId="764FE81B"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Current Strategic Approach and Mintzberg’s 5 Ps</w:t>
      </w:r>
    </w:p>
    <w:p w14:paraId="72885967"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Strategic Tools: Porter’s Five Forces and SWOT</w:t>
      </w:r>
    </w:p>
    <w:p w14:paraId="73DACB10"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Long-term goals and Vision Alignment</w:t>
      </w:r>
    </w:p>
    <w:p w14:paraId="2BAD0E63"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Recommendations</w:t>
      </w:r>
    </w:p>
    <w:p w14:paraId="290DC342"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Improvement in Change Management Practices</w:t>
      </w:r>
    </w:p>
    <w:p w14:paraId="100885E8"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Strategic Enhancements in Sustainability and Technology</w:t>
      </w:r>
    </w:p>
    <w:p w14:paraId="3205E156"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Purpose-driven strategy for Employee and Customer Engagement</w:t>
      </w:r>
    </w:p>
    <w:p w14:paraId="26A261BB" w14:textId="77777777" w:rsidR="009B3C1D" w:rsidRPr="009B3C1D" w:rsidRDefault="009B3C1D" w:rsidP="009B3C1D">
      <w:pPr>
        <w:numPr>
          <w:ilvl w:val="1"/>
          <w:numId w:val="3"/>
        </w:numPr>
        <w:spacing w:line="360" w:lineRule="auto"/>
        <w:jc w:val="both"/>
        <w:rPr>
          <w:rFonts w:ascii="Times New Roman" w:hAnsi="Times New Roman" w:cs="Times New Roman"/>
        </w:rPr>
      </w:pPr>
      <w:r w:rsidRPr="009B3C1D">
        <w:rPr>
          <w:rFonts w:ascii="Times New Roman" w:hAnsi="Times New Roman" w:cs="Times New Roman"/>
        </w:rPr>
        <w:t>Implementation Plan</w:t>
      </w:r>
    </w:p>
    <w:p w14:paraId="3E8C1355"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Conclusion</w:t>
      </w:r>
    </w:p>
    <w:p w14:paraId="1ECE79E6" w14:textId="77777777" w:rsidR="009B3C1D" w:rsidRPr="009B3C1D" w:rsidRDefault="009B3C1D" w:rsidP="009B3C1D">
      <w:pPr>
        <w:numPr>
          <w:ilvl w:val="0"/>
          <w:numId w:val="3"/>
        </w:numPr>
        <w:spacing w:line="360" w:lineRule="auto"/>
        <w:jc w:val="both"/>
        <w:rPr>
          <w:rFonts w:ascii="Times New Roman" w:hAnsi="Times New Roman" w:cs="Times New Roman"/>
          <w:b/>
          <w:bCs/>
        </w:rPr>
      </w:pPr>
      <w:r w:rsidRPr="009B3C1D">
        <w:rPr>
          <w:rFonts w:ascii="Times New Roman" w:hAnsi="Times New Roman" w:cs="Times New Roman"/>
          <w:b/>
          <w:bCs/>
        </w:rPr>
        <w:t>References</w:t>
      </w:r>
    </w:p>
    <w:p w14:paraId="7227341C" w14:textId="77777777" w:rsidR="009B3C1D" w:rsidRPr="009B3C1D" w:rsidRDefault="009B3C1D" w:rsidP="009B3C1D">
      <w:pPr>
        <w:spacing w:line="360" w:lineRule="auto"/>
        <w:jc w:val="both"/>
        <w:rPr>
          <w:rFonts w:ascii="Times New Roman" w:hAnsi="Times New Roman" w:cs="Times New Roman"/>
          <w:b/>
          <w:bCs/>
        </w:rPr>
      </w:pPr>
    </w:p>
    <w:p w14:paraId="397E7C31" w14:textId="77777777" w:rsidR="009B3C1D" w:rsidRPr="00C4206E" w:rsidRDefault="009B3C1D" w:rsidP="009B3C1D">
      <w:pPr>
        <w:spacing w:line="360" w:lineRule="auto"/>
        <w:jc w:val="both"/>
        <w:rPr>
          <w:rFonts w:ascii="Times New Roman" w:hAnsi="Times New Roman" w:cs="Times New Roman"/>
          <w:b/>
          <w:bCs/>
        </w:rPr>
      </w:pPr>
    </w:p>
    <w:p w14:paraId="6C6027EC" w14:textId="77777777" w:rsidR="002C714D" w:rsidRDefault="002C714D" w:rsidP="009B3C1D">
      <w:pPr>
        <w:spacing w:line="360" w:lineRule="auto"/>
        <w:jc w:val="both"/>
        <w:rPr>
          <w:rFonts w:ascii="Times New Roman" w:hAnsi="Times New Roman" w:cs="Times New Roman"/>
          <w:b/>
          <w:bCs/>
        </w:rPr>
      </w:pPr>
    </w:p>
    <w:p w14:paraId="650701EB" w14:textId="5B6C7F65"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lastRenderedPageBreak/>
        <w:t xml:space="preserve">Introduction </w:t>
      </w:r>
      <w:r w:rsidRPr="009B3C1D">
        <w:rPr>
          <w:rFonts w:ascii="Times New Roman" w:hAnsi="Times New Roman" w:cs="Times New Roman"/>
        </w:rPr>
        <w:br/>
        <w:t xml:space="preserve">Established in 1957, Hyatt Hotels Corporation has evolved into a globally recognised brand within the hospitality sector, renowned for its priority on luxury accommodations and outstanding guest experiences. Hyatt operates over 1,150 properties globally, serving a broad customer base, including leisure and corporate travellers, under various brands such as Park Hyatt, Grand Hyatt, and Hyatt Regency (Hyatt, 2023). This report seeks to thoroughly evaluate Hyatt's organisational structure, culture, recent change initiatives, and strategic direction. </w:t>
      </w:r>
    </w:p>
    <w:p w14:paraId="58E17600"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The analysis will examine Hyatt's organisational structure, examining the balance between centralised and localised management to address global and regional requirements. Additionally, it will examine recent change initiatives, covering sustainability and technological innovation, which are essential to Hyatt’s adaptive strategy. The report will end with strategic recommendations to strengthen Hyatt's competitive positioning and dedication to sustained growth in the hospitality sector.</w:t>
      </w:r>
    </w:p>
    <w:p w14:paraId="5C78D1D6"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br/>
        <w:t>Organisation Structure, Culture, and Goals</w:t>
      </w:r>
    </w:p>
    <w:p w14:paraId="2216F7E7" w14:textId="77777777" w:rsidR="009B3C1D" w:rsidRPr="009B3C1D" w:rsidRDefault="009B3C1D" w:rsidP="009B3C1D">
      <w:pPr>
        <w:numPr>
          <w:ilvl w:val="0"/>
          <w:numId w:val="5"/>
        </w:numPr>
        <w:spacing w:line="360" w:lineRule="auto"/>
        <w:jc w:val="both"/>
        <w:rPr>
          <w:rFonts w:ascii="Times New Roman" w:hAnsi="Times New Roman" w:cs="Times New Roman"/>
        </w:rPr>
      </w:pPr>
      <w:r w:rsidRPr="009B3C1D">
        <w:rPr>
          <w:rFonts w:ascii="Times New Roman" w:hAnsi="Times New Roman" w:cs="Times New Roman"/>
          <w:b/>
          <w:bCs/>
        </w:rPr>
        <w:t xml:space="preserve">Organisational Structure </w:t>
      </w:r>
    </w:p>
    <w:p w14:paraId="663127BE"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rPr>
        <w:t xml:space="preserve">The organisational structure of Hyatt Hotels varies by region and hotel size, maintaining a balance between localised autonomy for individual hotels and centralised corporate functions (Organimi, 2024; Hotel Business, 2024; Hyatt Hotels Corporation, 2018). Hyatt prefers centralisation at the corporate level, particularly in strategic decision-making and financial oversight, which corresponds to Mintzberg’s structural components that draw attention to the significance of a "strategic apex" (Mintzberg, 1979). Research indicates that centralisation in decision-making, mainly regarding financial matters, promotes consistency across global operations (Kosová and Perrigot, 2010). To adapt locally and retain flexibility, Hyatt permits a degree of decentralisation, granting on-site managers the autonomy to meet customer needs, which aligns with Mullins' notion of an "operational core" (Mullins, 2005). </w:t>
      </w:r>
      <w:r w:rsidRPr="009B3C1D">
        <w:rPr>
          <w:rFonts w:ascii="Times New Roman" w:hAnsi="Times New Roman" w:cs="Times New Roman"/>
        </w:rPr>
        <w:br/>
        <w:t xml:space="preserve">Decentralised decision-making, especially in performance management, improves responsiveness and customer satisfaction, as demonstrated by Thai hotels, where managers' application of performance metrics facilitates successful outcomes (Bangchokdee and Mia, 2016). This structural integration aligns Hyatt's corporate objectives with regional market requirements; however, decentralisation may present challenges in sustaining uniformity, especially concerning operational risks that may necessitate stricter controls (Monteiro et al., </w:t>
      </w:r>
      <w:r w:rsidRPr="009B3C1D">
        <w:rPr>
          <w:rFonts w:ascii="Times New Roman" w:hAnsi="Times New Roman" w:cs="Times New Roman"/>
        </w:rPr>
        <w:lastRenderedPageBreak/>
        <w:t>2020). This dual approach affords Hyatt the flexibility to effectively meet both global and local market demands, helping to improve its competitive advantage.</w:t>
      </w:r>
    </w:p>
    <w:p w14:paraId="06CE812A" w14:textId="77777777" w:rsidR="009B3C1D" w:rsidRPr="009B3C1D" w:rsidRDefault="009B3C1D" w:rsidP="009B3C1D">
      <w:pPr>
        <w:numPr>
          <w:ilvl w:val="0"/>
          <w:numId w:val="5"/>
        </w:numPr>
        <w:spacing w:line="360" w:lineRule="auto"/>
        <w:jc w:val="both"/>
        <w:rPr>
          <w:rFonts w:ascii="Times New Roman" w:hAnsi="Times New Roman" w:cs="Times New Roman"/>
        </w:rPr>
      </w:pPr>
      <w:r w:rsidRPr="009B3C1D">
        <w:rPr>
          <w:rFonts w:ascii="Times New Roman" w:hAnsi="Times New Roman" w:cs="Times New Roman"/>
          <w:b/>
          <w:bCs/>
        </w:rPr>
        <w:t xml:space="preserve">Organisational Culture </w:t>
      </w:r>
    </w:p>
    <w:p w14:paraId="3B3DD344"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Schein's model, which divides culture into artefacts, proclaimed values, and basic assumptions, influenced Hyatt's organisational culture, which encourages structured leadership and flexibility (Hyatt, 2023). Hyatt's observable elements, such as its guest-oriented service practices, embody fundamental values of hospitality and respect, consistent with the service culture common to the hotel industry (Simović et al., 2023). Handy's cultural model provides clarity: Hyatt's corporate structure may exemplify a “role culture,” characterised by defined roles and explicit responsibilities, while individual hotels frequently reflect a “task culture,” focussing on collaboration and situational flexibility to fulfil guest expectations (Handy, 1985; Tutor2u, 2018).</w:t>
      </w:r>
    </w:p>
    <w:p w14:paraId="4DDEBB95"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In contrast, Google’s collaborative, high-trust culture encourages sociability and autonomy, potentially serving as a model for Hyatt to cultivate a more dynamic work environment that empowers employees to innovate without strict oversight (DeeJayCallawavy, 2018). Hyatt's systematic methodology may mitigate the disadvantages of a highly decentralised culture, including inconsistencies in service standards across properties. Hyatt's culture fosters a balance between corporate guidance and local adaptability, which is essential for employee satisfaction and outstanding customer service (Kim et al., 2013).</w:t>
      </w:r>
    </w:p>
    <w:p w14:paraId="74CF21D6" w14:textId="77777777" w:rsidR="009B3C1D" w:rsidRPr="009B3C1D" w:rsidRDefault="009B3C1D" w:rsidP="009B3C1D">
      <w:pPr>
        <w:numPr>
          <w:ilvl w:val="0"/>
          <w:numId w:val="5"/>
        </w:numPr>
        <w:spacing w:line="360" w:lineRule="auto"/>
        <w:jc w:val="both"/>
        <w:rPr>
          <w:rFonts w:ascii="Times New Roman" w:hAnsi="Times New Roman" w:cs="Times New Roman"/>
        </w:rPr>
      </w:pPr>
      <w:r w:rsidRPr="009B3C1D">
        <w:rPr>
          <w:rFonts w:ascii="Times New Roman" w:hAnsi="Times New Roman" w:cs="Times New Roman"/>
          <w:b/>
          <w:bCs/>
        </w:rPr>
        <w:t xml:space="preserve">Goals at Corporate and Unit Levels </w:t>
      </w:r>
    </w:p>
    <w:p w14:paraId="4951FF5C"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Hyatt's corporate strategy highlights expansive growth, digital innovation, and environmental sustainability, aligning with the growing consumer demand for responsible business practices. These objectives are fundamental to Hyatt's vision for global impact, as demonstrated by strategic management principles that prioritise sustainability and competitive positioning in a swiftly changing industry (Hemerling, 2016). This strategy reflects frameworks that promote resilience through adaptability, as Hyatt conforms to global environmental standards to appeal to eco-conscious consumers. </w:t>
      </w:r>
      <w:r w:rsidRPr="009B3C1D">
        <w:rPr>
          <w:rFonts w:ascii="Times New Roman" w:hAnsi="Times New Roman" w:cs="Times New Roman"/>
        </w:rPr>
        <w:br/>
        <w:t xml:space="preserve">Hyatt's unit-specific objectives prioritise customer satisfaction and higher service standards customised to local market preferences. Operational objectives at hotel properties include consistent, personalised guest experiences, reinforcing Hyatt's brand at a foundational level. This dual strategy for corporate and operational goal-setting contributes to Hyatt’s resilience and market adaptability by offering the hotels to carry out localised initiatives within a </w:t>
      </w:r>
      <w:r w:rsidRPr="009B3C1D">
        <w:rPr>
          <w:rFonts w:ascii="Times New Roman" w:hAnsi="Times New Roman" w:cs="Times New Roman"/>
        </w:rPr>
        <w:lastRenderedPageBreak/>
        <w:t>comprehensive strategic framework (Arya et al., 2015). Strategic management allows Hyatt to efficiently align these multifaceted objectives, building a solid basis for sustained growth and competitive superiority (Simplicity Consultancy, 2022).</w:t>
      </w:r>
    </w:p>
    <w:p w14:paraId="69BE468F" w14:textId="77777777" w:rsidR="009B3C1D" w:rsidRPr="009B3C1D" w:rsidRDefault="009B3C1D" w:rsidP="009B3C1D">
      <w:pPr>
        <w:spacing w:line="360" w:lineRule="auto"/>
        <w:jc w:val="both"/>
        <w:rPr>
          <w:rFonts w:ascii="Times New Roman" w:hAnsi="Times New Roman" w:cs="Times New Roman"/>
        </w:rPr>
      </w:pPr>
    </w:p>
    <w:p w14:paraId="43A5C97F"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t>Recent Change Initiatives</w:t>
      </w:r>
    </w:p>
    <w:p w14:paraId="4A2FD60B" w14:textId="77777777" w:rsidR="009B3C1D" w:rsidRPr="009B3C1D" w:rsidRDefault="009B3C1D" w:rsidP="009B3C1D">
      <w:pPr>
        <w:numPr>
          <w:ilvl w:val="0"/>
          <w:numId w:val="6"/>
        </w:numPr>
        <w:spacing w:line="360" w:lineRule="auto"/>
        <w:jc w:val="both"/>
        <w:rPr>
          <w:rFonts w:ascii="Times New Roman" w:hAnsi="Times New Roman" w:cs="Times New Roman"/>
        </w:rPr>
      </w:pPr>
      <w:r w:rsidRPr="009B3C1D">
        <w:rPr>
          <w:rFonts w:ascii="Times New Roman" w:hAnsi="Times New Roman" w:cs="Times New Roman"/>
          <w:b/>
          <w:bCs/>
        </w:rPr>
        <w:t>Overview of Change Initiatives</w:t>
      </w:r>
    </w:p>
    <w:p w14:paraId="283333B9"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Hyatt Hotels has undertaken multiple change initiatives in recent years, including restructuring, technological advancements, and Corporate Social Responsibility (Hyatt, 2021). Hyatt's dedication to sustainability is exemplified by its adoption of eco-friendly practices, such as energy-efficient systems and waste reduction, a common trend in the hospitality industry (Karvounidi et al., 2024). This transition corresponds with international standards for sustainable tourism, as travellers increasingly favour environmentally conscious lodgings (Casais and Ferreira, 2023). Hyatt has invested in Internet of Things (IoT) technology, incorporating intelligent systems to optimise energy consumption and boost guest experiences, encouraging sustainability while improving operational efficiency (Eskerod et al., 2019). </w:t>
      </w:r>
    </w:p>
    <w:p w14:paraId="4F53FDDF"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rPr>
        <w:t>Jim Hemerling’s notion of perpetual transformation—where organisations must continuously adapt to sustain relevance—is especially pertinent for Hyatt. The competitive environment of the hospitality industry, combined with continuous global changes such as the COVID-19 pandemic, underscores the necessity for ongoing adaptation in operational procedures and customer engagement strategies (Hemerling, 2016). Hyatt's proactive approach in these domains demonstrates its commitment to maintaining resilience and competitiveness while addressing changing consumer expectations and regulatory demands.</w:t>
      </w:r>
    </w:p>
    <w:p w14:paraId="643F40A8" w14:textId="77777777" w:rsidR="009B3C1D" w:rsidRPr="009B3C1D" w:rsidRDefault="009B3C1D" w:rsidP="009B3C1D">
      <w:pPr>
        <w:numPr>
          <w:ilvl w:val="0"/>
          <w:numId w:val="6"/>
        </w:numPr>
        <w:spacing w:line="360" w:lineRule="auto"/>
        <w:jc w:val="both"/>
        <w:rPr>
          <w:rFonts w:ascii="Times New Roman" w:hAnsi="Times New Roman" w:cs="Times New Roman"/>
        </w:rPr>
      </w:pPr>
      <w:r w:rsidRPr="009B3C1D">
        <w:rPr>
          <w:rFonts w:ascii="Times New Roman" w:hAnsi="Times New Roman" w:cs="Times New Roman"/>
          <w:b/>
          <w:bCs/>
        </w:rPr>
        <w:t xml:space="preserve">Impact Analysis </w:t>
      </w:r>
    </w:p>
    <w:p w14:paraId="69A05567"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Analysing Hyatt's change initiatives through the lens of Kotter’s change management model uncovers advantages and obstacles. Hyatt effectively generates urgency regarding sustainability and digitalisation, two domains increasingly desired by stakeholders (Adams et al., 2022). Nevertheless, establishing a guiding coalition poses a challenge in an industry characterised by a high turnover rate, which can impede the forward progression of change initiatives (Francis and Baum, 2018). Kotter’s model underscores the importance of employee empowerment, a domain in which Hyatt excels by investing in skill development to equip staff for new roles in digitally optimised settings, similar to the strategies employed by </w:t>
      </w:r>
      <w:r w:rsidRPr="009B3C1D">
        <w:rPr>
          <w:rFonts w:ascii="Times New Roman" w:hAnsi="Times New Roman" w:cs="Times New Roman"/>
        </w:rPr>
        <w:lastRenderedPageBreak/>
        <w:t xml:space="preserve">companies such as Chronos (Hemerling, 2016). </w:t>
      </w:r>
      <w:r w:rsidRPr="009B3C1D">
        <w:rPr>
          <w:rFonts w:ascii="Times New Roman" w:hAnsi="Times New Roman" w:cs="Times New Roman"/>
        </w:rPr>
        <w:br/>
        <w:t xml:space="preserve">Employee apprehension regarding job security or alterations in conventional duties frequently engenders resistance to change, particularly during organisational restructurings (Raza and Khan, 2022). Mitigating these concerns through transparent communication and solid support systems, as exemplified by proficient change leaders, may decrease resistance and increase employee engagement in transformation initiatives. </w:t>
      </w:r>
    </w:p>
    <w:p w14:paraId="46F95198" w14:textId="77777777" w:rsidR="009B3C1D" w:rsidRPr="009B3C1D" w:rsidRDefault="009B3C1D" w:rsidP="009B3C1D">
      <w:pPr>
        <w:numPr>
          <w:ilvl w:val="0"/>
          <w:numId w:val="6"/>
        </w:numPr>
        <w:spacing w:line="360" w:lineRule="auto"/>
        <w:jc w:val="both"/>
        <w:rPr>
          <w:rFonts w:ascii="Times New Roman" w:hAnsi="Times New Roman" w:cs="Times New Roman"/>
        </w:rPr>
      </w:pPr>
      <w:r w:rsidRPr="009B3C1D">
        <w:rPr>
          <w:rFonts w:ascii="Times New Roman" w:hAnsi="Times New Roman" w:cs="Times New Roman"/>
          <w:b/>
          <w:bCs/>
        </w:rPr>
        <w:t xml:space="preserve">Evaluation of Change Management </w:t>
      </w:r>
    </w:p>
    <w:p w14:paraId="65BC13C0"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The results of Hyatt's change management strategy, which combines managerial and leadership techniques, must be more consistent. Effective change initiatives frequently necessitate collaboration, a clear vision, and robust support systems to facilitate the navigation of transitional obstacles (Chou, 2014). Hyatt's implementation of a people-first strategy, as Hemerling advocates, could augment these initiatives by fostering inclusivity and providing support for employees during transitions (Hemerling, 2016). Focussing on employee engagement permits seamless transitions and cultivates a sense of purpose that aligns individual contributions with organisational objectives. </w:t>
      </w:r>
      <w:r w:rsidRPr="009B3C1D">
        <w:rPr>
          <w:rFonts w:ascii="Times New Roman" w:hAnsi="Times New Roman" w:cs="Times New Roman"/>
        </w:rPr>
        <w:br/>
        <w:t xml:space="preserve">Although Hyatt's sustainability initiatives and technological advancements demonstrate favourable results, the complete actualisation of its potential necessitates ongoing employee engagement. By harmonising leadership-oriented vision with employee-focused strategies, Hyatt can optimise the efficacy of its change initiatives, establishing itself as an exemplar of adaptability in the hospitality sector. </w:t>
      </w:r>
    </w:p>
    <w:p w14:paraId="7B4E9D4A" w14:textId="77777777" w:rsidR="009B3C1D" w:rsidRPr="009B3C1D" w:rsidRDefault="009B3C1D" w:rsidP="009B3C1D">
      <w:pPr>
        <w:spacing w:line="360" w:lineRule="auto"/>
        <w:jc w:val="both"/>
        <w:rPr>
          <w:rFonts w:ascii="Times New Roman" w:hAnsi="Times New Roman" w:cs="Times New Roman"/>
        </w:rPr>
      </w:pPr>
    </w:p>
    <w:p w14:paraId="11F51958"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t>Strategic Direction</w:t>
      </w:r>
    </w:p>
    <w:p w14:paraId="02DA0962" w14:textId="77777777" w:rsidR="009B3C1D" w:rsidRPr="009B3C1D" w:rsidRDefault="009B3C1D" w:rsidP="009B3C1D">
      <w:pPr>
        <w:numPr>
          <w:ilvl w:val="0"/>
          <w:numId w:val="7"/>
        </w:numPr>
        <w:spacing w:line="360" w:lineRule="auto"/>
        <w:jc w:val="both"/>
        <w:rPr>
          <w:rFonts w:ascii="Times New Roman" w:hAnsi="Times New Roman" w:cs="Times New Roman"/>
        </w:rPr>
      </w:pPr>
      <w:r w:rsidRPr="009B3C1D">
        <w:rPr>
          <w:rFonts w:ascii="Times New Roman" w:hAnsi="Times New Roman" w:cs="Times New Roman"/>
          <w:b/>
          <w:bCs/>
        </w:rPr>
        <w:t xml:space="preserve">Current Strategic Direction </w:t>
      </w:r>
    </w:p>
    <w:p w14:paraId="01A6A1DD"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The strategic approach of Hyatt Hotels can be thoroughly analysed through Mintzberg’s 5 Ps framework: Plan, Ploy, Pattern, Position, and Perspective (Mintzberg, 1987). Hyatt's strategy focuses on sustainable growth, digital transformation, and customer-centricity, which aligns with broader industry trends (Okumus et al., 2010). Hyatt employs loyalty programs to improve customer retention and distinguish itself in a competitive market. Recent patterns indicate a constant commitment to innovation and quality service, evidenced by strategic acquisitions and expansion in high-demand markets (Qi, 2023). The position signifies Hyatt's objective to position itself as a premium, internationally recognised brand, explicitly focusing on the </w:t>
      </w:r>
      <w:r w:rsidRPr="009B3C1D">
        <w:rPr>
          <w:rFonts w:ascii="Times New Roman" w:hAnsi="Times New Roman" w:cs="Times New Roman"/>
        </w:rPr>
        <w:lastRenderedPageBreak/>
        <w:t xml:space="preserve">business and luxury sectors. Hyatt’s Perspective prioritises stakeholder satisfaction and corporate responsibility, particularly environmental and community involvement (Azaddin, 2022). </w:t>
      </w:r>
    </w:p>
    <w:p w14:paraId="709C43AC"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 The strategic management process clarifies Hyatt’s objectives through four essential steps: establishing strategic intent, performing SWOT analysis, executing strategy, and ongoing evaluation (Hemerling, 2016). Hyatt aims for profitability and market dominance, underpinned by regular SWOT analyses to inform growth strategies (Panteleiev, 2023). This systematic methodology allows Hyatt to remain flexible, implementing data-informed modifications by changing industry trends and competitive environments. </w:t>
      </w:r>
    </w:p>
    <w:p w14:paraId="35DD0AA6" w14:textId="77777777" w:rsidR="009B3C1D" w:rsidRPr="009B3C1D" w:rsidRDefault="009B3C1D" w:rsidP="009B3C1D">
      <w:pPr>
        <w:spacing w:line="360" w:lineRule="auto"/>
        <w:jc w:val="both"/>
        <w:rPr>
          <w:rFonts w:ascii="Times New Roman" w:hAnsi="Times New Roman" w:cs="Times New Roman"/>
        </w:rPr>
      </w:pPr>
    </w:p>
    <w:p w14:paraId="7BEE61FC" w14:textId="77777777" w:rsidR="009B3C1D" w:rsidRPr="009B3C1D" w:rsidRDefault="009B3C1D" w:rsidP="009B3C1D">
      <w:pPr>
        <w:spacing w:line="360" w:lineRule="auto"/>
        <w:jc w:val="both"/>
        <w:rPr>
          <w:rFonts w:ascii="Times New Roman" w:hAnsi="Times New Roman" w:cs="Times New Roman"/>
        </w:rPr>
      </w:pPr>
    </w:p>
    <w:p w14:paraId="0331FF08" w14:textId="77777777" w:rsidR="009B3C1D" w:rsidRPr="009B3C1D" w:rsidRDefault="009B3C1D" w:rsidP="009B3C1D">
      <w:pPr>
        <w:numPr>
          <w:ilvl w:val="0"/>
          <w:numId w:val="7"/>
        </w:numPr>
        <w:spacing w:line="360" w:lineRule="auto"/>
        <w:jc w:val="both"/>
        <w:rPr>
          <w:rFonts w:ascii="Times New Roman" w:hAnsi="Times New Roman" w:cs="Times New Roman"/>
        </w:rPr>
      </w:pPr>
      <w:r w:rsidRPr="009B3C1D">
        <w:rPr>
          <w:rFonts w:ascii="Times New Roman" w:hAnsi="Times New Roman" w:cs="Times New Roman"/>
          <w:b/>
          <w:bCs/>
        </w:rPr>
        <w:t xml:space="preserve">Strategic Tools and Analysis </w:t>
      </w:r>
    </w:p>
    <w:p w14:paraId="30117A66"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Utilising Porter’s Five Forces to analyse Hyatt uncovers essential insights into its competitive landscape. The threat of new entrants is moderate due to substantial capital requirements and established brand loyalty in the hotel sector (Martin and Isozaki, 2013). Competition across established firms is intense, especially from prominent rivals such as Marriott and Hilton. The bargaining power of suppliers is minimal, as hotels can procure from numerous vendors. In contrast, customer power is substantial due to the abundance of accommodation choices and the impact of online travel agencies (Birru et al., 2022). </w:t>
      </w:r>
      <w:r w:rsidRPr="009B3C1D">
        <w:rPr>
          <w:rFonts w:ascii="Times New Roman" w:hAnsi="Times New Roman" w:cs="Times New Roman"/>
        </w:rPr>
        <w:br/>
        <w:t>Strategic management practices have become essential for sustained success, especially in the hospitality industry's unpredictable environment. Hyatt's implementation of explicit, consistent objectives, including operational efficiency and customer satisfaction, highlights its resilience. This strategy reflects the broader industry trend of synchronising corporate actions with profitability and sustainability objectives, establishing a dual emphasis that supports immediate performance and future adaptability (Simplicity Consultancy, 2022).</w:t>
      </w:r>
    </w:p>
    <w:p w14:paraId="29916025" w14:textId="77777777" w:rsidR="009B3C1D" w:rsidRPr="009B3C1D" w:rsidRDefault="009B3C1D" w:rsidP="009B3C1D">
      <w:pPr>
        <w:numPr>
          <w:ilvl w:val="0"/>
          <w:numId w:val="7"/>
        </w:numPr>
        <w:spacing w:line="360" w:lineRule="auto"/>
        <w:jc w:val="both"/>
        <w:rPr>
          <w:rFonts w:ascii="Times New Roman" w:hAnsi="Times New Roman" w:cs="Times New Roman"/>
        </w:rPr>
      </w:pPr>
      <w:r w:rsidRPr="009B3C1D">
        <w:rPr>
          <w:rFonts w:ascii="Times New Roman" w:hAnsi="Times New Roman" w:cs="Times New Roman"/>
          <w:b/>
          <w:bCs/>
        </w:rPr>
        <w:t xml:space="preserve">Long-Term Goals </w:t>
      </w:r>
    </w:p>
    <w:p w14:paraId="492221B0"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Hyatt's mission and vision statements underscore a commitment to exceptional guest service, community engagement, and sustainable development. These objectives correspond with general trends in the hospitality industry, including digital innovation and sustainable practices (Okumus et al., 2010). Hyatt's commitment to sustainability is evident in its energy-efficient structures and waste reduction programs, appealing to an increasingly eco-conscious </w:t>
      </w:r>
      <w:r w:rsidRPr="009B3C1D">
        <w:rPr>
          <w:rFonts w:ascii="Times New Roman" w:hAnsi="Times New Roman" w:cs="Times New Roman"/>
        </w:rPr>
        <w:lastRenderedPageBreak/>
        <w:t xml:space="preserve">clientele (Casais and Ferreira, 2023). </w:t>
      </w:r>
      <w:r w:rsidRPr="009B3C1D">
        <w:rPr>
          <w:rFonts w:ascii="Times New Roman" w:hAnsi="Times New Roman" w:cs="Times New Roman"/>
        </w:rPr>
        <w:br/>
        <w:t xml:space="preserve">Jim Hemerling’s people-first model, as demonstrated by LEGO’s purpose-driven strategy, provides significant insights for Hyatt. By integrating a robust purpose into its strategic framework, such as a dedication to guest experience and environmental sustainability, Hyatt can cultivate a culture that inspires employees and strengthens customer loyalty (Hemerling, 2016). This alignment between purpose and action establishes a basis for sustained success, positioning Hyatt as a socially responsible brand that profoundly engages with its stakeholders rather than merely a service provider. </w:t>
      </w:r>
    </w:p>
    <w:p w14:paraId="3D734A42" w14:textId="77777777" w:rsidR="009B3C1D" w:rsidRPr="009B3C1D" w:rsidRDefault="009B3C1D" w:rsidP="009B3C1D">
      <w:pPr>
        <w:spacing w:line="360" w:lineRule="auto"/>
        <w:jc w:val="both"/>
        <w:rPr>
          <w:rFonts w:ascii="Times New Roman" w:hAnsi="Times New Roman" w:cs="Times New Roman"/>
        </w:rPr>
      </w:pPr>
    </w:p>
    <w:p w14:paraId="0AF4A058"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t>Conclusion</w:t>
      </w:r>
    </w:p>
    <w:p w14:paraId="65B805B1" w14:textId="77777777" w:rsidR="009B3C1D" w:rsidRPr="009B3C1D" w:rsidRDefault="009B3C1D" w:rsidP="00750861">
      <w:pPr>
        <w:spacing w:line="360" w:lineRule="auto"/>
        <w:rPr>
          <w:rFonts w:ascii="Times New Roman" w:hAnsi="Times New Roman" w:cs="Times New Roman"/>
        </w:rPr>
      </w:pPr>
      <w:r w:rsidRPr="009B3C1D">
        <w:rPr>
          <w:rFonts w:ascii="Times New Roman" w:hAnsi="Times New Roman" w:cs="Times New Roman"/>
        </w:rPr>
        <w:t xml:space="preserve">The analysis of Hyatt Hotels Corporation demonstrates a solid yet adaptable organisational framework, incorporating both centralised and decentralised elements to address varied global and local requirements (Organimi, 2024; Bangchokdee and Mia, 2016). Hyatt's culture, informed by established corporate values, fosters role clarity and task flexibility, enabling individual hotels to adjust to situational demands (Simović et al., 2023; DeeJayCallawavy, 2018). The organisation's dedication to strategic and sustainable objectives is apparent, conforming to contemporary industry standards and consumer tendencies for responsible tourism (Hyatt, 2023; López‐Gamero et al., 2016). </w:t>
      </w:r>
      <w:r w:rsidRPr="009B3C1D">
        <w:rPr>
          <w:rFonts w:ascii="Times New Roman" w:hAnsi="Times New Roman" w:cs="Times New Roman"/>
        </w:rPr>
        <w:br/>
        <w:t>Hyatt's recent change initiatives, driven by "always-on" transformation principles, demonstrate adaptability to technological advancements and sustainability demands (Hemerling, 2016). Hyatt strategically upholds a definitive direction with intentional long-term goals guaranteeing resilience in a competitive landscape. This systematic expansion and flexible operations equilibrium establishes Hyatt as a frontrunner in the global hospitality sector.</w:t>
      </w:r>
    </w:p>
    <w:p w14:paraId="5FBF3A34" w14:textId="77777777" w:rsidR="009B3C1D" w:rsidRPr="009B3C1D" w:rsidRDefault="009B3C1D" w:rsidP="009B3C1D">
      <w:pPr>
        <w:spacing w:line="360" w:lineRule="auto"/>
        <w:jc w:val="both"/>
        <w:rPr>
          <w:rFonts w:ascii="Times New Roman" w:hAnsi="Times New Roman" w:cs="Times New Roman"/>
          <w:b/>
          <w:bCs/>
        </w:rPr>
      </w:pPr>
    </w:p>
    <w:p w14:paraId="4628D41A"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t>Recommendations for Hyatt Hotels</w:t>
      </w:r>
    </w:p>
    <w:p w14:paraId="275DC2E9" w14:textId="77777777" w:rsidR="009B3C1D" w:rsidRPr="009B3C1D" w:rsidRDefault="009B3C1D" w:rsidP="009B3C1D">
      <w:pPr>
        <w:numPr>
          <w:ilvl w:val="0"/>
          <w:numId w:val="1"/>
        </w:numPr>
        <w:spacing w:line="360" w:lineRule="auto"/>
        <w:jc w:val="both"/>
        <w:rPr>
          <w:rFonts w:ascii="Times New Roman" w:hAnsi="Times New Roman" w:cs="Times New Roman"/>
        </w:rPr>
      </w:pPr>
      <w:r w:rsidRPr="009B3C1D">
        <w:rPr>
          <w:rFonts w:ascii="Times New Roman" w:hAnsi="Times New Roman" w:cs="Times New Roman"/>
          <w:b/>
          <w:bCs/>
        </w:rPr>
        <w:t>Enhancement in Change Management</w:t>
      </w:r>
    </w:p>
    <w:p w14:paraId="530B39D6"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Hyatt might significantly improve its change management practices to mitigate employee resistance and increase acceptance. Research indicates that transparent communication and proactive employee involvement are essential for successful change implementation, as employees are more adept at adapting to change when they comprehend the reasons behind it </w:t>
      </w:r>
      <w:r w:rsidRPr="009B3C1D">
        <w:rPr>
          <w:rFonts w:ascii="Times New Roman" w:hAnsi="Times New Roman" w:cs="Times New Roman"/>
        </w:rPr>
        <w:lastRenderedPageBreak/>
        <w:t>and the procedure (Rotich and Deya, 2021). Implementing Jim Hemerling’s "people-first" methodology in change management could increase employee motivation and diminish resistance by engaging personnel in planning and feedback processes (Hemerling, 2016). This can be facilitated by establishing continuous, transparent communication channels to synchronise employee expectations with corporate objectives, which promotes trust and collaboration.</w:t>
      </w:r>
    </w:p>
    <w:p w14:paraId="70B6B4BC" w14:textId="77777777" w:rsidR="009B3C1D" w:rsidRPr="009B3C1D" w:rsidRDefault="009B3C1D" w:rsidP="009B3C1D">
      <w:pPr>
        <w:spacing w:line="360" w:lineRule="auto"/>
        <w:jc w:val="both"/>
        <w:rPr>
          <w:rFonts w:ascii="Times New Roman" w:hAnsi="Times New Roman" w:cs="Times New Roman"/>
        </w:rPr>
      </w:pPr>
    </w:p>
    <w:p w14:paraId="2C408303" w14:textId="77777777" w:rsidR="009B3C1D" w:rsidRPr="009B3C1D" w:rsidRDefault="009B3C1D" w:rsidP="009B3C1D">
      <w:pPr>
        <w:numPr>
          <w:ilvl w:val="0"/>
          <w:numId w:val="1"/>
        </w:numPr>
        <w:spacing w:line="360" w:lineRule="auto"/>
        <w:jc w:val="both"/>
        <w:rPr>
          <w:rFonts w:ascii="Times New Roman" w:hAnsi="Times New Roman" w:cs="Times New Roman"/>
        </w:rPr>
      </w:pPr>
      <w:r w:rsidRPr="009B3C1D">
        <w:rPr>
          <w:rFonts w:ascii="Times New Roman" w:hAnsi="Times New Roman" w:cs="Times New Roman"/>
          <w:b/>
          <w:bCs/>
        </w:rPr>
        <w:t>Strategic Improvement in Environmental and Technological Adaptations</w:t>
      </w:r>
    </w:p>
    <w:p w14:paraId="41EEE787"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 xml:space="preserve">To meet contemporary sustainability standards in the hospitality industry, Hyatt should improve its emphasis on environmentally responsible human resource practices. Green HR initiatives, encompassing employee training in sustainable behaviours and integrating eco-friendly practices into operational strategies, have improved hotels' environmental performance (Ahmed et al., 2021; Irani et al., 2022). Ongoing learning programs could support these initiatives, drawing inspiration from Microsoft’s adaptive transformation under Satya Nadella, which prioritised improving competencies and cultivating a growth mindset (Hemerling, 2021). Conducting training on energy management, waste reduction, and sustainable operations would equip employees to effectively support Hyatt’s environmental objectives (Kodden and Sebastiaan, 2020). </w:t>
      </w:r>
    </w:p>
    <w:p w14:paraId="0534ECEE" w14:textId="77777777" w:rsidR="009B3C1D" w:rsidRPr="009B3C1D" w:rsidRDefault="009B3C1D" w:rsidP="009B3C1D">
      <w:pPr>
        <w:numPr>
          <w:ilvl w:val="0"/>
          <w:numId w:val="1"/>
        </w:numPr>
        <w:spacing w:line="360" w:lineRule="auto"/>
        <w:jc w:val="both"/>
        <w:rPr>
          <w:rFonts w:ascii="Times New Roman" w:hAnsi="Times New Roman" w:cs="Times New Roman"/>
        </w:rPr>
      </w:pPr>
      <w:r w:rsidRPr="009B3C1D">
        <w:rPr>
          <w:rFonts w:ascii="Times New Roman" w:hAnsi="Times New Roman" w:cs="Times New Roman"/>
          <w:b/>
          <w:bCs/>
        </w:rPr>
        <w:t>Purpose-Driven Strategy to Enhance Employee and Customer Engagement</w:t>
      </w:r>
    </w:p>
    <w:p w14:paraId="5A72137E"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rPr>
        <w:t>In alignment with LEGO's strategy of purpose-driven growth, Hyatt might strengthen brand loyalty and employee motivation by explicitly linking its core values to broader societal missions, including environmental stewardship and community support (Hemerling, 2021). By integrating sustainability and social impact into its long-term objectives, Hyatt could inspire employees to align personal and corporate goals, cultivating a culture of significant engagement that resonates with both staff and customers. This strategy may also improve customer perception of Hyatt as a purpose-driven brand dedicated to positive societal contributions.</w:t>
      </w:r>
    </w:p>
    <w:p w14:paraId="6562A8FB" w14:textId="77777777" w:rsidR="009B3C1D" w:rsidRPr="009B3C1D" w:rsidRDefault="009B3C1D" w:rsidP="009B3C1D">
      <w:pPr>
        <w:spacing w:line="360" w:lineRule="auto"/>
        <w:jc w:val="both"/>
        <w:rPr>
          <w:rFonts w:ascii="Times New Roman" w:hAnsi="Times New Roman" w:cs="Times New Roman"/>
        </w:rPr>
      </w:pPr>
      <w:r w:rsidRPr="009B3C1D">
        <w:rPr>
          <w:rFonts w:ascii="Times New Roman" w:hAnsi="Times New Roman" w:cs="Times New Roman"/>
          <w:b/>
          <w:bCs/>
        </w:rPr>
        <w:t>Implementation Plan</w:t>
      </w:r>
    </w:p>
    <w:p w14:paraId="14F987B8" w14:textId="77777777" w:rsidR="009B3C1D" w:rsidRPr="009B3C1D" w:rsidRDefault="009B3C1D" w:rsidP="009B3C1D">
      <w:pPr>
        <w:numPr>
          <w:ilvl w:val="0"/>
          <w:numId w:val="2"/>
        </w:numPr>
        <w:spacing w:line="360" w:lineRule="auto"/>
        <w:jc w:val="both"/>
        <w:rPr>
          <w:rFonts w:ascii="Times New Roman" w:hAnsi="Times New Roman" w:cs="Times New Roman"/>
        </w:rPr>
      </w:pPr>
      <w:r w:rsidRPr="009B3C1D">
        <w:rPr>
          <w:rFonts w:ascii="Times New Roman" w:hAnsi="Times New Roman" w:cs="Times New Roman"/>
          <w:b/>
          <w:bCs/>
        </w:rPr>
        <w:t>Who</w:t>
      </w:r>
      <w:r w:rsidRPr="009B3C1D">
        <w:rPr>
          <w:rFonts w:ascii="Times New Roman" w:hAnsi="Times New Roman" w:cs="Times New Roman"/>
        </w:rPr>
        <w:t>: Change leaders and department heads at Hyatt, supported by a collaborative task force involving HR, sustainability, and operations departments.</w:t>
      </w:r>
    </w:p>
    <w:p w14:paraId="43D84BDA" w14:textId="77777777" w:rsidR="009B3C1D" w:rsidRPr="009B3C1D" w:rsidRDefault="009B3C1D" w:rsidP="009B3C1D">
      <w:pPr>
        <w:numPr>
          <w:ilvl w:val="0"/>
          <w:numId w:val="2"/>
        </w:numPr>
        <w:spacing w:line="360" w:lineRule="auto"/>
        <w:jc w:val="both"/>
        <w:rPr>
          <w:rFonts w:ascii="Times New Roman" w:hAnsi="Times New Roman" w:cs="Times New Roman"/>
        </w:rPr>
      </w:pPr>
      <w:r w:rsidRPr="009B3C1D">
        <w:rPr>
          <w:rFonts w:ascii="Times New Roman" w:hAnsi="Times New Roman" w:cs="Times New Roman"/>
          <w:b/>
          <w:bCs/>
        </w:rPr>
        <w:lastRenderedPageBreak/>
        <w:t>When</w:t>
      </w:r>
      <w:r w:rsidRPr="009B3C1D">
        <w:rPr>
          <w:rFonts w:ascii="Times New Roman" w:hAnsi="Times New Roman" w:cs="Times New Roman"/>
        </w:rPr>
        <w:t>: The initial phases focus on training and communication improvements over the next 12-18 months.</w:t>
      </w:r>
    </w:p>
    <w:p w14:paraId="5BE2B1E6" w14:textId="77777777" w:rsidR="009B3C1D" w:rsidRPr="009B3C1D" w:rsidRDefault="009B3C1D" w:rsidP="009B3C1D">
      <w:pPr>
        <w:numPr>
          <w:ilvl w:val="0"/>
          <w:numId w:val="2"/>
        </w:numPr>
        <w:spacing w:line="360" w:lineRule="auto"/>
        <w:jc w:val="both"/>
        <w:rPr>
          <w:rFonts w:ascii="Times New Roman" w:hAnsi="Times New Roman" w:cs="Times New Roman"/>
        </w:rPr>
      </w:pPr>
      <w:r w:rsidRPr="009B3C1D">
        <w:rPr>
          <w:rFonts w:ascii="Times New Roman" w:hAnsi="Times New Roman" w:cs="Times New Roman"/>
          <w:b/>
          <w:bCs/>
        </w:rPr>
        <w:t>How</w:t>
      </w:r>
      <w:r w:rsidRPr="009B3C1D">
        <w:rPr>
          <w:rFonts w:ascii="Times New Roman" w:hAnsi="Times New Roman" w:cs="Times New Roman"/>
        </w:rPr>
        <w:t>: Initiate pilot programs in designated locations, gradually expanding based on feedback and outcomes, utilising markers from exemplary practices in sustainability and human-centric transformations.</w:t>
      </w:r>
    </w:p>
    <w:p w14:paraId="22CFBE3E" w14:textId="77777777" w:rsidR="009B3C1D" w:rsidRPr="009B3C1D" w:rsidRDefault="009B3C1D" w:rsidP="009B3C1D">
      <w:pPr>
        <w:spacing w:line="360" w:lineRule="auto"/>
        <w:jc w:val="both"/>
        <w:rPr>
          <w:rFonts w:ascii="Times New Roman" w:hAnsi="Times New Roman" w:cs="Times New Roman"/>
        </w:rPr>
      </w:pPr>
    </w:p>
    <w:p w14:paraId="16C20367" w14:textId="77777777" w:rsidR="009B3C1D" w:rsidRPr="009B3C1D" w:rsidRDefault="009B3C1D" w:rsidP="009B3C1D">
      <w:pPr>
        <w:spacing w:line="360" w:lineRule="auto"/>
        <w:jc w:val="both"/>
        <w:rPr>
          <w:rFonts w:ascii="Times New Roman" w:hAnsi="Times New Roman" w:cs="Times New Roman"/>
        </w:rPr>
      </w:pPr>
    </w:p>
    <w:p w14:paraId="2C0946B5" w14:textId="77777777" w:rsidR="009B3C1D" w:rsidRPr="009B3C1D" w:rsidRDefault="009B3C1D" w:rsidP="009B3C1D">
      <w:pPr>
        <w:spacing w:line="360" w:lineRule="auto"/>
        <w:jc w:val="both"/>
        <w:rPr>
          <w:rFonts w:ascii="Times New Roman" w:hAnsi="Times New Roman" w:cs="Times New Roman"/>
        </w:rPr>
      </w:pPr>
    </w:p>
    <w:p w14:paraId="7AEA61BF" w14:textId="77777777" w:rsidR="009B3C1D" w:rsidRPr="009B3C1D" w:rsidRDefault="009B3C1D" w:rsidP="009B3C1D">
      <w:pPr>
        <w:spacing w:line="360" w:lineRule="auto"/>
        <w:jc w:val="both"/>
        <w:rPr>
          <w:rFonts w:ascii="Times New Roman" w:hAnsi="Times New Roman" w:cs="Times New Roman"/>
        </w:rPr>
      </w:pPr>
    </w:p>
    <w:p w14:paraId="0CB4CDFB" w14:textId="77777777" w:rsidR="009B3C1D" w:rsidRPr="009B3C1D" w:rsidRDefault="009B3C1D" w:rsidP="009B3C1D">
      <w:pPr>
        <w:spacing w:line="360" w:lineRule="auto"/>
        <w:jc w:val="both"/>
        <w:rPr>
          <w:rFonts w:ascii="Times New Roman" w:hAnsi="Times New Roman" w:cs="Times New Roman"/>
        </w:rPr>
      </w:pPr>
    </w:p>
    <w:p w14:paraId="0F4ED7C0" w14:textId="77777777" w:rsidR="009B3C1D" w:rsidRPr="009B3C1D" w:rsidRDefault="009B3C1D" w:rsidP="009B3C1D">
      <w:pPr>
        <w:spacing w:line="360" w:lineRule="auto"/>
        <w:jc w:val="both"/>
        <w:rPr>
          <w:rFonts w:ascii="Times New Roman" w:hAnsi="Times New Roman" w:cs="Times New Roman"/>
        </w:rPr>
      </w:pPr>
    </w:p>
    <w:p w14:paraId="5EB791C0" w14:textId="77777777" w:rsidR="009B3C1D" w:rsidRPr="009B3C1D" w:rsidRDefault="009B3C1D" w:rsidP="009B3C1D">
      <w:pPr>
        <w:spacing w:line="360" w:lineRule="auto"/>
        <w:jc w:val="both"/>
        <w:rPr>
          <w:rFonts w:ascii="Times New Roman" w:hAnsi="Times New Roman" w:cs="Times New Roman"/>
        </w:rPr>
      </w:pPr>
    </w:p>
    <w:p w14:paraId="435F6B03" w14:textId="77777777" w:rsidR="009B3C1D" w:rsidRPr="009B3C1D" w:rsidRDefault="009B3C1D" w:rsidP="009B3C1D">
      <w:pPr>
        <w:spacing w:line="360" w:lineRule="auto"/>
        <w:jc w:val="both"/>
        <w:rPr>
          <w:rFonts w:ascii="Times New Roman" w:hAnsi="Times New Roman" w:cs="Times New Roman"/>
        </w:rPr>
      </w:pPr>
    </w:p>
    <w:p w14:paraId="3E991A05" w14:textId="77777777" w:rsidR="009B3C1D" w:rsidRPr="009B3C1D" w:rsidRDefault="009B3C1D" w:rsidP="009B3C1D">
      <w:pPr>
        <w:spacing w:line="360" w:lineRule="auto"/>
        <w:jc w:val="both"/>
        <w:rPr>
          <w:rFonts w:ascii="Times New Roman" w:hAnsi="Times New Roman" w:cs="Times New Roman"/>
        </w:rPr>
      </w:pPr>
    </w:p>
    <w:p w14:paraId="12881A0B" w14:textId="77777777" w:rsidR="009B3C1D" w:rsidRPr="009B3C1D" w:rsidRDefault="009B3C1D" w:rsidP="009B3C1D">
      <w:pPr>
        <w:spacing w:line="360" w:lineRule="auto"/>
        <w:jc w:val="both"/>
        <w:rPr>
          <w:rFonts w:ascii="Times New Roman" w:hAnsi="Times New Roman" w:cs="Times New Roman"/>
        </w:rPr>
      </w:pPr>
    </w:p>
    <w:p w14:paraId="0A5BE4E0" w14:textId="77777777" w:rsidR="009B3C1D" w:rsidRPr="009B3C1D" w:rsidRDefault="009B3C1D" w:rsidP="009B3C1D">
      <w:pPr>
        <w:spacing w:line="360" w:lineRule="auto"/>
        <w:jc w:val="both"/>
        <w:rPr>
          <w:rFonts w:ascii="Times New Roman" w:hAnsi="Times New Roman" w:cs="Times New Roman"/>
        </w:rPr>
      </w:pPr>
    </w:p>
    <w:p w14:paraId="026826CB" w14:textId="77777777" w:rsidR="009B3C1D" w:rsidRPr="009B3C1D" w:rsidRDefault="009B3C1D" w:rsidP="009B3C1D">
      <w:pPr>
        <w:spacing w:line="360" w:lineRule="auto"/>
        <w:jc w:val="both"/>
        <w:rPr>
          <w:rFonts w:ascii="Times New Roman" w:hAnsi="Times New Roman" w:cs="Times New Roman"/>
        </w:rPr>
      </w:pPr>
    </w:p>
    <w:p w14:paraId="70A4DCCF" w14:textId="77777777" w:rsidR="009B3C1D" w:rsidRPr="009B3C1D" w:rsidRDefault="009B3C1D" w:rsidP="009B3C1D">
      <w:pPr>
        <w:spacing w:line="360" w:lineRule="auto"/>
        <w:jc w:val="both"/>
        <w:rPr>
          <w:rFonts w:ascii="Times New Roman" w:hAnsi="Times New Roman" w:cs="Times New Roman"/>
        </w:rPr>
      </w:pPr>
    </w:p>
    <w:p w14:paraId="7FB7F1B3" w14:textId="77777777" w:rsidR="009B3C1D" w:rsidRPr="009B3C1D" w:rsidRDefault="009B3C1D" w:rsidP="009B3C1D">
      <w:pPr>
        <w:spacing w:line="360" w:lineRule="auto"/>
        <w:jc w:val="both"/>
        <w:rPr>
          <w:rFonts w:ascii="Times New Roman" w:hAnsi="Times New Roman" w:cs="Times New Roman"/>
        </w:rPr>
      </w:pPr>
    </w:p>
    <w:p w14:paraId="4EC06493" w14:textId="77777777" w:rsidR="009B3C1D" w:rsidRPr="009B3C1D" w:rsidRDefault="009B3C1D" w:rsidP="009B3C1D">
      <w:pPr>
        <w:spacing w:line="360" w:lineRule="auto"/>
        <w:jc w:val="both"/>
        <w:rPr>
          <w:rFonts w:ascii="Times New Roman" w:hAnsi="Times New Roman" w:cs="Times New Roman"/>
        </w:rPr>
      </w:pPr>
    </w:p>
    <w:p w14:paraId="45DF41AE" w14:textId="77777777" w:rsidR="009B3C1D" w:rsidRPr="009B3C1D" w:rsidRDefault="009B3C1D" w:rsidP="009B3C1D">
      <w:pPr>
        <w:spacing w:line="360" w:lineRule="auto"/>
        <w:jc w:val="both"/>
        <w:rPr>
          <w:rFonts w:ascii="Times New Roman" w:hAnsi="Times New Roman" w:cs="Times New Roman"/>
        </w:rPr>
      </w:pPr>
    </w:p>
    <w:p w14:paraId="20E787BB" w14:textId="77777777" w:rsidR="009B3C1D" w:rsidRPr="009B3C1D" w:rsidRDefault="009B3C1D" w:rsidP="009B3C1D">
      <w:pPr>
        <w:spacing w:line="360" w:lineRule="auto"/>
        <w:jc w:val="both"/>
        <w:rPr>
          <w:rFonts w:ascii="Times New Roman" w:hAnsi="Times New Roman" w:cs="Times New Roman"/>
        </w:rPr>
      </w:pPr>
    </w:p>
    <w:p w14:paraId="6D4ECA67" w14:textId="77777777" w:rsidR="009B3C1D" w:rsidRPr="009B3C1D" w:rsidRDefault="009B3C1D" w:rsidP="009B3C1D">
      <w:pPr>
        <w:spacing w:line="360" w:lineRule="auto"/>
        <w:jc w:val="both"/>
        <w:rPr>
          <w:rFonts w:ascii="Times New Roman" w:hAnsi="Times New Roman" w:cs="Times New Roman"/>
        </w:rPr>
      </w:pPr>
    </w:p>
    <w:p w14:paraId="02B7B779" w14:textId="77777777" w:rsidR="009B3C1D" w:rsidRPr="009B3C1D" w:rsidRDefault="009B3C1D" w:rsidP="009B3C1D">
      <w:pPr>
        <w:spacing w:line="360" w:lineRule="auto"/>
        <w:jc w:val="both"/>
        <w:rPr>
          <w:rFonts w:ascii="Times New Roman" w:hAnsi="Times New Roman" w:cs="Times New Roman"/>
        </w:rPr>
      </w:pPr>
    </w:p>
    <w:p w14:paraId="5D065FB7" w14:textId="77777777" w:rsidR="009B3C1D" w:rsidRPr="009B3C1D" w:rsidRDefault="009B3C1D" w:rsidP="009B3C1D">
      <w:pPr>
        <w:spacing w:line="360" w:lineRule="auto"/>
        <w:jc w:val="both"/>
        <w:rPr>
          <w:rFonts w:ascii="Times New Roman" w:hAnsi="Times New Roman" w:cs="Times New Roman"/>
        </w:rPr>
      </w:pPr>
    </w:p>
    <w:p w14:paraId="5892E99D" w14:textId="77777777" w:rsidR="009B3C1D" w:rsidRPr="009B3C1D" w:rsidRDefault="009B3C1D" w:rsidP="009B3C1D">
      <w:pPr>
        <w:spacing w:line="360" w:lineRule="auto"/>
        <w:jc w:val="both"/>
        <w:rPr>
          <w:rFonts w:ascii="Times New Roman" w:hAnsi="Times New Roman" w:cs="Times New Roman"/>
          <w:b/>
          <w:bCs/>
        </w:rPr>
      </w:pPr>
      <w:r w:rsidRPr="009B3C1D">
        <w:rPr>
          <w:rFonts w:ascii="Times New Roman" w:hAnsi="Times New Roman" w:cs="Times New Roman"/>
          <w:b/>
          <w:bCs/>
        </w:rPr>
        <w:lastRenderedPageBreak/>
        <w:t>Reference List</w:t>
      </w:r>
    </w:p>
    <w:p w14:paraId="17191FBA" w14:textId="79B437A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Hemerling, J., </w:t>
      </w:r>
      <w:r w:rsidR="00A55885">
        <w:rPr>
          <w:rFonts w:ascii="Times New Roman" w:hAnsi="Times New Roman" w:cs="Times New Roman"/>
        </w:rPr>
        <w:t>(</w:t>
      </w:r>
      <w:r w:rsidRPr="009B3C1D">
        <w:rPr>
          <w:rFonts w:ascii="Times New Roman" w:hAnsi="Times New Roman" w:cs="Times New Roman"/>
        </w:rPr>
        <w:t>2016</w:t>
      </w:r>
      <w:r w:rsidR="00A55885">
        <w:rPr>
          <w:rFonts w:ascii="Times New Roman" w:hAnsi="Times New Roman" w:cs="Times New Roman"/>
        </w:rPr>
        <w:t>)</w:t>
      </w:r>
      <w:r w:rsidRPr="009B3C1D">
        <w:rPr>
          <w:rFonts w:ascii="Times New Roman" w:hAnsi="Times New Roman" w:cs="Times New Roman"/>
        </w:rPr>
        <w:t xml:space="preserve">. 5 Ways to Lead in an Era of Constant Change. YouTube. </w:t>
      </w:r>
      <w:hyperlink r:id="rId5" w:history="1">
        <w:r w:rsidRPr="009B3C1D">
          <w:rPr>
            <w:rStyle w:val="Hyperlink"/>
            <w:rFonts w:ascii="Times New Roman" w:hAnsi="Times New Roman" w:cs="Times New Roman"/>
          </w:rPr>
          <w:t>https://www.youtube.com/watch?v=urntcMUJR9M</w:t>
        </w:r>
      </w:hyperlink>
      <w:r w:rsidRPr="009B3C1D">
        <w:rPr>
          <w:rFonts w:ascii="Times New Roman" w:hAnsi="Times New Roman" w:cs="Times New Roman"/>
        </w:rPr>
        <w:t xml:space="preserve"> </w:t>
      </w:r>
    </w:p>
    <w:p w14:paraId="39E2E76E" w14:textId="3FFFA524" w:rsidR="009B3C1D" w:rsidRPr="009B3C1D" w:rsidRDefault="009B3C1D" w:rsidP="00AA75D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Simplicity Consultancy, </w:t>
      </w:r>
      <w:r w:rsidR="00A55885">
        <w:rPr>
          <w:rFonts w:ascii="Times New Roman" w:hAnsi="Times New Roman" w:cs="Times New Roman"/>
        </w:rPr>
        <w:t>(</w:t>
      </w:r>
      <w:r w:rsidRPr="009B3C1D">
        <w:rPr>
          <w:rFonts w:ascii="Times New Roman" w:hAnsi="Times New Roman" w:cs="Times New Roman"/>
        </w:rPr>
        <w:t>2022</w:t>
      </w:r>
      <w:r w:rsidR="00A55885">
        <w:rPr>
          <w:rFonts w:ascii="Times New Roman" w:hAnsi="Times New Roman" w:cs="Times New Roman"/>
        </w:rPr>
        <w:t>)</w:t>
      </w:r>
      <w:r w:rsidRPr="009B3C1D">
        <w:rPr>
          <w:rFonts w:ascii="Times New Roman" w:hAnsi="Times New Roman" w:cs="Times New Roman"/>
        </w:rPr>
        <w:t xml:space="preserve">. What is STRATEGIC MANAGEMENT, and WHY is it IMPORTANT? YouTube.  </w:t>
      </w:r>
      <w:hyperlink r:id="rId6" w:history="1">
        <w:r w:rsidRPr="009B3C1D">
          <w:rPr>
            <w:rStyle w:val="Hyperlink"/>
            <w:rFonts w:ascii="Times New Roman" w:hAnsi="Times New Roman" w:cs="Times New Roman"/>
          </w:rPr>
          <w:t>https://www.youtube.com/watch?v=KnAAvWfJscg</w:t>
        </w:r>
      </w:hyperlink>
      <w:r w:rsidRPr="009B3C1D">
        <w:rPr>
          <w:rFonts w:ascii="Times New Roman" w:hAnsi="Times New Roman" w:cs="Times New Roman"/>
        </w:rPr>
        <w:t xml:space="preserve"> </w:t>
      </w:r>
    </w:p>
    <w:p w14:paraId="50D53E07" w14:textId="34BDAE2B"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Adams, S., Kageyama, Y., and Barreda, A., </w:t>
      </w:r>
      <w:r w:rsidR="00A55885">
        <w:rPr>
          <w:rFonts w:ascii="Times New Roman" w:hAnsi="Times New Roman" w:cs="Times New Roman"/>
        </w:rPr>
        <w:t>(</w:t>
      </w:r>
      <w:r w:rsidRPr="009B3C1D">
        <w:rPr>
          <w:rFonts w:ascii="Times New Roman" w:hAnsi="Times New Roman" w:cs="Times New Roman"/>
        </w:rPr>
        <w:t>2022</w:t>
      </w:r>
      <w:r w:rsidR="00AA75D1">
        <w:rPr>
          <w:rFonts w:ascii="Times New Roman" w:hAnsi="Times New Roman" w:cs="Times New Roman"/>
        </w:rPr>
        <w:t>)</w:t>
      </w:r>
      <w:r w:rsidRPr="009B3C1D">
        <w:rPr>
          <w:rFonts w:ascii="Times New Roman" w:hAnsi="Times New Roman" w:cs="Times New Roman"/>
        </w:rPr>
        <w:t xml:space="preserve">. Sustainability Efforts in the Hotel Industry: A Systematic Literature Review. Journal of Tourism Management Research. </w:t>
      </w:r>
      <w:hyperlink r:id="rId7" w:history="1">
        <w:r w:rsidRPr="009B3C1D">
          <w:rPr>
            <w:rStyle w:val="Hyperlink"/>
            <w:rFonts w:ascii="Times New Roman" w:hAnsi="Times New Roman" w:cs="Times New Roman"/>
          </w:rPr>
          <w:t>https://doi.org/10.18488/31.v9i1.2921</w:t>
        </w:r>
      </w:hyperlink>
      <w:r w:rsidRPr="009B3C1D">
        <w:rPr>
          <w:rFonts w:ascii="Times New Roman" w:hAnsi="Times New Roman" w:cs="Times New Roman"/>
        </w:rPr>
        <w:t xml:space="preserve">. </w:t>
      </w:r>
    </w:p>
    <w:p w14:paraId="1FB96EEF" w14:textId="0EEC087B"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Ahmed, M., Guo, Q., Qureshi, M., Raza, S., Khan, K., and Salam, J., </w:t>
      </w:r>
      <w:r w:rsidR="00AA75D1">
        <w:rPr>
          <w:rFonts w:ascii="Times New Roman" w:hAnsi="Times New Roman" w:cs="Times New Roman"/>
        </w:rPr>
        <w:t>(</w:t>
      </w:r>
      <w:r w:rsidRPr="009B3C1D">
        <w:rPr>
          <w:rFonts w:ascii="Times New Roman" w:hAnsi="Times New Roman" w:cs="Times New Roman"/>
        </w:rPr>
        <w:t>2021</w:t>
      </w:r>
      <w:r w:rsidR="00AA75D1">
        <w:rPr>
          <w:rFonts w:ascii="Times New Roman" w:hAnsi="Times New Roman" w:cs="Times New Roman"/>
        </w:rPr>
        <w:t>)</w:t>
      </w:r>
      <w:r w:rsidRPr="009B3C1D">
        <w:rPr>
          <w:rFonts w:ascii="Times New Roman" w:hAnsi="Times New Roman" w:cs="Times New Roman"/>
        </w:rPr>
        <w:t xml:space="preserve">. Do green HR practices enhance green motivation and proactive environmental management maturity in hotel industry?. International Journal of Hospitality Management, 94, pp. 102852. </w:t>
      </w:r>
      <w:hyperlink r:id="rId8" w:history="1">
        <w:r w:rsidRPr="009B3C1D">
          <w:rPr>
            <w:rStyle w:val="Hyperlink"/>
            <w:rFonts w:ascii="Times New Roman" w:hAnsi="Times New Roman" w:cs="Times New Roman"/>
          </w:rPr>
          <w:t>https://doi.org/10.1016/J.IJHM.2020.102852</w:t>
        </w:r>
      </w:hyperlink>
      <w:r w:rsidRPr="009B3C1D">
        <w:rPr>
          <w:rFonts w:ascii="Times New Roman" w:hAnsi="Times New Roman" w:cs="Times New Roman"/>
        </w:rPr>
        <w:t xml:space="preserve">. </w:t>
      </w:r>
    </w:p>
    <w:p w14:paraId="27E178E1" w14:textId="03AEAF55"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Arya, A., Frimor, H., and Mittendorf, B., </w:t>
      </w:r>
      <w:r w:rsidR="00AA75D1">
        <w:rPr>
          <w:rFonts w:ascii="Times New Roman" w:hAnsi="Times New Roman" w:cs="Times New Roman"/>
        </w:rPr>
        <w:t>(</w:t>
      </w:r>
      <w:r w:rsidRPr="009B3C1D">
        <w:rPr>
          <w:rFonts w:ascii="Times New Roman" w:hAnsi="Times New Roman" w:cs="Times New Roman"/>
        </w:rPr>
        <w:t>2015</w:t>
      </w:r>
      <w:r w:rsidR="00AA75D1">
        <w:rPr>
          <w:rFonts w:ascii="Times New Roman" w:hAnsi="Times New Roman" w:cs="Times New Roman"/>
        </w:rPr>
        <w:t>)</w:t>
      </w:r>
      <w:r w:rsidRPr="009B3C1D">
        <w:rPr>
          <w:rFonts w:ascii="Times New Roman" w:hAnsi="Times New Roman" w:cs="Times New Roman"/>
        </w:rPr>
        <w:t xml:space="preserve">. Decentralized Procurement in Light of Strategic Inventories. Manag. Sci., 61, pp. 578-585. </w:t>
      </w:r>
      <w:hyperlink r:id="rId9" w:history="1">
        <w:r w:rsidRPr="009B3C1D">
          <w:rPr>
            <w:rStyle w:val="Hyperlink"/>
            <w:rFonts w:ascii="Times New Roman" w:hAnsi="Times New Roman" w:cs="Times New Roman"/>
          </w:rPr>
          <w:t>https://doi.org/10.1287/mnsc.2014.1908</w:t>
        </w:r>
      </w:hyperlink>
      <w:r w:rsidRPr="009B3C1D">
        <w:rPr>
          <w:rFonts w:ascii="Times New Roman" w:hAnsi="Times New Roman" w:cs="Times New Roman"/>
        </w:rPr>
        <w:t xml:space="preserve">. </w:t>
      </w:r>
    </w:p>
    <w:p w14:paraId="0FE7101B" w14:textId="25B752B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BANGCHOKDEE, S. and MIA, L., </w:t>
      </w:r>
      <w:r w:rsidR="00AA75D1">
        <w:rPr>
          <w:rFonts w:ascii="Times New Roman" w:hAnsi="Times New Roman" w:cs="Times New Roman"/>
        </w:rPr>
        <w:t>(</w:t>
      </w:r>
      <w:r w:rsidRPr="009B3C1D">
        <w:rPr>
          <w:rFonts w:ascii="Times New Roman" w:hAnsi="Times New Roman" w:cs="Times New Roman"/>
        </w:rPr>
        <w:t>2016</w:t>
      </w:r>
      <w:r w:rsidR="00AA75D1">
        <w:rPr>
          <w:rFonts w:ascii="Times New Roman" w:hAnsi="Times New Roman" w:cs="Times New Roman"/>
        </w:rPr>
        <w:t>)</w:t>
      </w:r>
      <w:r w:rsidRPr="009B3C1D">
        <w:rPr>
          <w:rFonts w:ascii="Times New Roman" w:hAnsi="Times New Roman" w:cs="Times New Roman"/>
        </w:rPr>
        <w:t xml:space="preserve">. The role of senior managers’ use of performance measures in the relationship between decentralization and organizational performance. Journal of Accounting &amp; Organizational Change, 12(2), pp. 129-151. </w:t>
      </w:r>
      <w:hyperlink r:id="rId10" w:history="1">
        <w:r w:rsidRPr="009B3C1D">
          <w:rPr>
            <w:rStyle w:val="Hyperlink"/>
            <w:rFonts w:ascii="Times New Roman" w:hAnsi="Times New Roman" w:cs="Times New Roman"/>
          </w:rPr>
          <w:t>https://www.proquest.com/scholarly-journals/role-senior-managers-use-performance-measures/docview/1826443311/se-2?accountid=130472</w:t>
        </w:r>
      </w:hyperlink>
      <w:r w:rsidRPr="009B3C1D">
        <w:rPr>
          <w:rFonts w:ascii="Times New Roman" w:hAnsi="Times New Roman" w:cs="Times New Roman"/>
        </w:rPr>
        <w:t xml:space="preserve"> </w:t>
      </w:r>
    </w:p>
    <w:p w14:paraId="2E619069" w14:textId="7CC8367F"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FRANCIS, H. and BAUM, T., </w:t>
      </w:r>
      <w:r w:rsidR="00CD4E82">
        <w:rPr>
          <w:rFonts w:ascii="Times New Roman" w:hAnsi="Times New Roman" w:cs="Times New Roman"/>
        </w:rPr>
        <w:t>(</w:t>
      </w:r>
      <w:r w:rsidRPr="009B3C1D">
        <w:rPr>
          <w:rFonts w:ascii="Times New Roman" w:hAnsi="Times New Roman" w:cs="Times New Roman"/>
        </w:rPr>
        <w:t>2018</w:t>
      </w:r>
      <w:r w:rsidR="00CD4E82">
        <w:rPr>
          <w:rFonts w:ascii="Times New Roman" w:hAnsi="Times New Roman" w:cs="Times New Roman"/>
        </w:rPr>
        <w:t>)</w:t>
      </w:r>
      <w:r w:rsidRPr="009B3C1D">
        <w:rPr>
          <w:rFonts w:ascii="Times New Roman" w:hAnsi="Times New Roman" w:cs="Times New Roman"/>
        </w:rPr>
        <w:t xml:space="preserve">. HR transformation within the hotel industry: building capacity for change. Worldwide Hospitality and Tourism Themes, 10(1), pp. 86-100. </w:t>
      </w:r>
      <w:hyperlink r:id="rId11" w:history="1">
        <w:r w:rsidRPr="009B3C1D">
          <w:rPr>
            <w:rStyle w:val="Hyperlink"/>
            <w:rFonts w:ascii="Times New Roman" w:hAnsi="Times New Roman" w:cs="Times New Roman"/>
          </w:rPr>
          <w:t>https://www.proquest.com/scholarly-journals/hr-transformation-within-hotel-industry-building/docview/2025804158/se-2?accountid=130472</w:t>
        </w:r>
      </w:hyperlink>
      <w:r w:rsidRPr="009B3C1D">
        <w:rPr>
          <w:rFonts w:ascii="Times New Roman" w:hAnsi="Times New Roman" w:cs="Times New Roman"/>
        </w:rPr>
        <w:t xml:space="preserve"> </w:t>
      </w:r>
    </w:p>
    <w:p w14:paraId="6FEDD340" w14:textId="4853BC7E"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Birru, A., Sudarmiatin, S., and Hermawan, A., </w:t>
      </w:r>
      <w:r w:rsidR="00CD4E82">
        <w:rPr>
          <w:rFonts w:ascii="Times New Roman" w:hAnsi="Times New Roman" w:cs="Times New Roman"/>
        </w:rPr>
        <w:t>(</w:t>
      </w:r>
      <w:r w:rsidRPr="009B3C1D">
        <w:rPr>
          <w:rFonts w:ascii="Times New Roman" w:hAnsi="Times New Roman" w:cs="Times New Roman"/>
        </w:rPr>
        <w:t>2022</w:t>
      </w:r>
      <w:r w:rsidR="00CD4E82">
        <w:rPr>
          <w:rFonts w:ascii="Times New Roman" w:hAnsi="Times New Roman" w:cs="Times New Roman"/>
        </w:rPr>
        <w:t>)</w:t>
      </w:r>
      <w:r w:rsidRPr="009B3C1D">
        <w:rPr>
          <w:rFonts w:ascii="Times New Roman" w:hAnsi="Times New Roman" w:cs="Times New Roman"/>
        </w:rPr>
        <w:t xml:space="preserve">. Competitive Strategies in The Lodging Service Sector : Five Porter Analyses And Case Study SWOT Analysis. Journal of Business and Management Review. </w:t>
      </w:r>
      <w:hyperlink r:id="rId12" w:history="1">
        <w:r w:rsidRPr="009B3C1D">
          <w:rPr>
            <w:rStyle w:val="Hyperlink"/>
            <w:rFonts w:ascii="Times New Roman" w:hAnsi="Times New Roman" w:cs="Times New Roman"/>
          </w:rPr>
          <w:t>https://doi.org/10.47153/jbmr31.2732022</w:t>
        </w:r>
      </w:hyperlink>
      <w:r w:rsidRPr="009B3C1D">
        <w:rPr>
          <w:rFonts w:ascii="Times New Roman" w:hAnsi="Times New Roman" w:cs="Times New Roman"/>
        </w:rPr>
        <w:t xml:space="preserve">. </w:t>
      </w:r>
    </w:p>
    <w:p w14:paraId="11CE268E" w14:textId="0B5C7F2F"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lastRenderedPageBreak/>
        <w:t xml:space="preserve">CASAIS, B. and FERREIRA, L., </w:t>
      </w:r>
      <w:r w:rsidR="00CD4E82">
        <w:rPr>
          <w:rFonts w:ascii="Times New Roman" w:hAnsi="Times New Roman" w:cs="Times New Roman"/>
        </w:rPr>
        <w:t>(</w:t>
      </w:r>
      <w:r w:rsidRPr="009B3C1D">
        <w:rPr>
          <w:rFonts w:ascii="Times New Roman" w:hAnsi="Times New Roman" w:cs="Times New Roman"/>
        </w:rPr>
        <w:t>2023</w:t>
      </w:r>
      <w:r w:rsidR="00CD4E82">
        <w:rPr>
          <w:rFonts w:ascii="Times New Roman" w:hAnsi="Times New Roman" w:cs="Times New Roman"/>
        </w:rPr>
        <w:t>)</w:t>
      </w:r>
      <w:r w:rsidRPr="009B3C1D">
        <w:rPr>
          <w:rFonts w:ascii="Times New Roman" w:hAnsi="Times New Roman" w:cs="Times New Roman"/>
        </w:rPr>
        <w:t xml:space="preserve">. Smart and sustainable hotels: Tourism Agenda 2030 perspective article. Tourism Review of AIEST - International Association of Scientific Experts in Tourism, 78(2), pp. 344-351. </w:t>
      </w:r>
      <w:hyperlink r:id="rId13" w:history="1">
        <w:r w:rsidRPr="009B3C1D">
          <w:rPr>
            <w:rStyle w:val="Hyperlink"/>
            <w:rFonts w:ascii="Times New Roman" w:hAnsi="Times New Roman" w:cs="Times New Roman"/>
          </w:rPr>
          <w:t>https://www.proquest.com/scholarly-journals/smart-sustainable-hotels-tourism-agenda-2030/docview/2795217512/se-2?accountid=130472</w:t>
        </w:r>
      </w:hyperlink>
      <w:r w:rsidRPr="009B3C1D">
        <w:rPr>
          <w:rFonts w:ascii="Times New Roman" w:hAnsi="Times New Roman" w:cs="Times New Roman"/>
        </w:rPr>
        <w:t xml:space="preserve"> </w:t>
      </w:r>
    </w:p>
    <w:p w14:paraId="2CA9C312" w14:textId="2EEECA8C"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Chou, C., </w:t>
      </w:r>
      <w:r w:rsidR="008B2C55">
        <w:rPr>
          <w:rFonts w:ascii="Times New Roman" w:hAnsi="Times New Roman" w:cs="Times New Roman"/>
        </w:rPr>
        <w:t>(</w:t>
      </w:r>
      <w:r w:rsidRPr="009B3C1D">
        <w:rPr>
          <w:rFonts w:ascii="Times New Roman" w:hAnsi="Times New Roman" w:cs="Times New Roman"/>
        </w:rPr>
        <w:t>2014</w:t>
      </w:r>
      <w:r w:rsidR="008B2C55">
        <w:rPr>
          <w:rFonts w:ascii="Times New Roman" w:hAnsi="Times New Roman" w:cs="Times New Roman"/>
        </w:rPr>
        <w:t>)</w:t>
      </w:r>
      <w:r w:rsidRPr="009B3C1D">
        <w:rPr>
          <w:rFonts w:ascii="Times New Roman" w:hAnsi="Times New Roman" w:cs="Times New Roman"/>
        </w:rPr>
        <w:t xml:space="preserve">. Hotels' environmental policies and employee personal environmental beliefs: Interactions and outcomes. Tourism Management, 40, pp. 436-446. </w:t>
      </w:r>
      <w:hyperlink r:id="rId14" w:history="1">
        <w:r w:rsidRPr="009B3C1D">
          <w:rPr>
            <w:rStyle w:val="Hyperlink"/>
            <w:rFonts w:ascii="Times New Roman" w:hAnsi="Times New Roman" w:cs="Times New Roman"/>
          </w:rPr>
          <w:t>https://doi.org/10.1016/J.TOURMAN.2013.08.001</w:t>
        </w:r>
      </w:hyperlink>
      <w:r w:rsidRPr="009B3C1D">
        <w:rPr>
          <w:rFonts w:ascii="Times New Roman" w:hAnsi="Times New Roman" w:cs="Times New Roman"/>
        </w:rPr>
        <w:t xml:space="preserve">. </w:t>
      </w:r>
    </w:p>
    <w:p w14:paraId="07AD46D6" w14:textId="0FE3FEE1" w:rsidR="009B3C1D" w:rsidRPr="009B3C1D" w:rsidRDefault="009B3C1D" w:rsidP="008B2C55">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Eskerod, P., Hollensen, S., Morales-Contreras, M., and Arteaga-Ortiz, J., </w:t>
      </w:r>
      <w:r w:rsidR="008B2C55">
        <w:rPr>
          <w:rFonts w:ascii="Times New Roman" w:hAnsi="Times New Roman" w:cs="Times New Roman"/>
        </w:rPr>
        <w:t>(</w:t>
      </w:r>
      <w:r w:rsidRPr="009B3C1D">
        <w:rPr>
          <w:rFonts w:ascii="Times New Roman" w:hAnsi="Times New Roman" w:cs="Times New Roman"/>
        </w:rPr>
        <w:t>2019</w:t>
      </w:r>
      <w:r w:rsidR="008B2C55">
        <w:rPr>
          <w:rFonts w:ascii="Times New Roman" w:hAnsi="Times New Roman" w:cs="Times New Roman"/>
        </w:rPr>
        <w:t>)</w:t>
      </w:r>
      <w:r w:rsidRPr="009B3C1D">
        <w:rPr>
          <w:rFonts w:ascii="Times New Roman" w:hAnsi="Times New Roman" w:cs="Times New Roman"/>
        </w:rPr>
        <w:t xml:space="preserve">. Drivers for Pursuing Sustainability through IoT Technology within High-End Hotels—An Exploratory Study. Sustainability. </w:t>
      </w:r>
      <w:hyperlink r:id="rId15" w:history="1">
        <w:r w:rsidRPr="009B3C1D">
          <w:rPr>
            <w:rStyle w:val="Hyperlink"/>
            <w:rFonts w:ascii="Times New Roman" w:hAnsi="Times New Roman" w:cs="Times New Roman"/>
          </w:rPr>
          <w:t>https://doi.org/10.3390/su11195372</w:t>
        </w:r>
      </w:hyperlink>
      <w:r w:rsidRPr="009B3C1D">
        <w:rPr>
          <w:rFonts w:ascii="Times New Roman" w:hAnsi="Times New Roman" w:cs="Times New Roman"/>
        </w:rPr>
        <w:t xml:space="preserve">. </w:t>
      </w:r>
    </w:p>
    <w:p w14:paraId="1D832330" w14:textId="563D8610"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Okumus, F., Altinay, L. and Chathoth, P., </w:t>
      </w:r>
      <w:r w:rsidR="008B2C55">
        <w:rPr>
          <w:rFonts w:ascii="Times New Roman" w:hAnsi="Times New Roman" w:cs="Times New Roman"/>
        </w:rPr>
        <w:t>(</w:t>
      </w:r>
      <w:r w:rsidRPr="009B3C1D">
        <w:rPr>
          <w:rFonts w:ascii="Times New Roman" w:hAnsi="Times New Roman" w:cs="Times New Roman"/>
        </w:rPr>
        <w:t>2010</w:t>
      </w:r>
      <w:r w:rsidR="008B2C55">
        <w:rPr>
          <w:rFonts w:ascii="Times New Roman" w:hAnsi="Times New Roman" w:cs="Times New Roman"/>
        </w:rPr>
        <w:t>)</w:t>
      </w:r>
      <w:r w:rsidRPr="009B3C1D">
        <w:rPr>
          <w:rFonts w:ascii="Times New Roman" w:hAnsi="Times New Roman" w:cs="Times New Roman"/>
        </w:rPr>
        <w:t xml:space="preserve">. Strategic management for hospitality and tourism. 1st ed. Amsterdam ; Butterworth-Heinemann. </w:t>
      </w:r>
      <w:hyperlink r:id="rId16" w:history="1">
        <w:r w:rsidRPr="009B3C1D">
          <w:rPr>
            <w:rStyle w:val="Hyperlink"/>
            <w:rFonts w:ascii="Times New Roman" w:hAnsi="Times New Roman" w:cs="Times New Roman"/>
          </w:rPr>
          <w:t>https://librarysearch.uwtsd.ac.uk/permalink/44WHELF_UWTSD/upgrip/alma99100270159502421</w:t>
        </w:r>
      </w:hyperlink>
      <w:r w:rsidRPr="009B3C1D">
        <w:rPr>
          <w:rFonts w:ascii="Times New Roman" w:hAnsi="Times New Roman" w:cs="Times New Roman"/>
        </w:rPr>
        <w:t xml:space="preserve"> </w:t>
      </w:r>
    </w:p>
    <w:p w14:paraId="4AE998B1" w14:textId="4E03FFD3"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DeeJayCallawavy, </w:t>
      </w:r>
      <w:r w:rsidR="008B2C55">
        <w:rPr>
          <w:rFonts w:ascii="Times New Roman" w:hAnsi="Times New Roman" w:cs="Times New Roman"/>
        </w:rPr>
        <w:t>(</w:t>
      </w:r>
      <w:r w:rsidRPr="009B3C1D">
        <w:rPr>
          <w:rFonts w:ascii="Times New Roman" w:hAnsi="Times New Roman" w:cs="Times New Roman"/>
        </w:rPr>
        <w:t>2018</w:t>
      </w:r>
      <w:r w:rsidR="008B2C55">
        <w:rPr>
          <w:rFonts w:ascii="Times New Roman" w:hAnsi="Times New Roman" w:cs="Times New Roman"/>
        </w:rPr>
        <w:t>)</w:t>
      </w:r>
      <w:r w:rsidRPr="009B3C1D">
        <w:rPr>
          <w:rFonts w:ascii="Times New Roman" w:hAnsi="Times New Roman" w:cs="Times New Roman"/>
        </w:rPr>
        <w:t xml:space="preserve">. Managing organizational Behaviour. Google Documentary .YouTube. </w:t>
      </w:r>
      <w:hyperlink r:id="rId17" w:history="1">
        <w:r w:rsidRPr="009B3C1D">
          <w:rPr>
            <w:rStyle w:val="Hyperlink"/>
            <w:rFonts w:ascii="Times New Roman" w:hAnsi="Times New Roman" w:cs="Times New Roman"/>
          </w:rPr>
          <w:t>https://www.youtube.com/watch?v=fUylP0r7QxY</w:t>
        </w:r>
      </w:hyperlink>
      <w:r w:rsidRPr="009B3C1D">
        <w:rPr>
          <w:rFonts w:ascii="Times New Roman" w:hAnsi="Times New Roman" w:cs="Times New Roman"/>
        </w:rPr>
        <w:t xml:space="preserve">  </w:t>
      </w:r>
    </w:p>
    <w:p w14:paraId="7E93973D" w14:textId="72FEBF2B" w:rsidR="009B3C1D" w:rsidRPr="009B3C1D" w:rsidRDefault="009B3C1D" w:rsidP="009B3C1D">
      <w:pPr>
        <w:numPr>
          <w:ilvl w:val="0"/>
          <w:numId w:val="4"/>
        </w:numPr>
        <w:spacing w:line="360" w:lineRule="auto"/>
        <w:jc w:val="both"/>
        <w:rPr>
          <w:rFonts w:ascii="Times New Roman" w:hAnsi="Times New Roman" w:cs="Times New Roman"/>
        </w:rPr>
      </w:pPr>
      <w:r w:rsidRPr="006C52E9">
        <w:rPr>
          <w:rFonts w:ascii="Times New Roman" w:hAnsi="Times New Roman" w:cs="Times New Roman"/>
          <w:lang w:val="nl-NL"/>
        </w:rPr>
        <w:t xml:space="preserve">Kodden, B., Sebastiaan F.G.P., </w:t>
      </w:r>
      <w:r w:rsidR="008B2C55" w:rsidRPr="006C52E9">
        <w:rPr>
          <w:rFonts w:ascii="Times New Roman" w:hAnsi="Times New Roman" w:cs="Times New Roman"/>
          <w:lang w:val="nl-NL"/>
        </w:rPr>
        <w:t>(</w:t>
      </w:r>
      <w:r w:rsidRPr="006C52E9">
        <w:rPr>
          <w:rFonts w:ascii="Times New Roman" w:hAnsi="Times New Roman" w:cs="Times New Roman"/>
          <w:lang w:val="nl-NL"/>
        </w:rPr>
        <w:t>2020</w:t>
      </w:r>
      <w:r w:rsidR="008B2C55" w:rsidRPr="006C52E9">
        <w:rPr>
          <w:rFonts w:ascii="Times New Roman" w:hAnsi="Times New Roman" w:cs="Times New Roman"/>
          <w:lang w:val="nl-NL"/>
        </w:rPr>
        <w:t>)</w:t>
      </w:r>
      <w:r w:rsidR="00323423" w:rsidRPr="006C52E9">
        <w:rPr>
          <w:rFonts w:ascii="Times New Roman" w:hAnsi="Times New Roman" w:cs="Times New Roman"/>
          <w:lang w:val="nl-NL"/>
        </w:rPr>
        <w:t>.</w:t>
      </w:r>
      <w:r w:rsidRPr="006C52E9">
        <w:rPr>
          <w:rFonts w:ascii="Times New Roman" w:hAnsi="Times New Roman" w:cs="Times New Roman"/>
          <w:lang w:val="nl-NL"/>
        </w:rPr>
        <w:t> </w:t>
      </w:r>
      <w:r w:rsidRPr="009B3C1D">
        <w:rPr>
          <w:rFonts w:ascii="Times New Roman" w:hAnsi="Times New Roman" w:cs="Times New Roman"/>
        </w:rPr>
        <w:t xml:space="preserve">The Art of Sustainable Performance : A Recruiting, Selection, and Professional Development Model. 1st ed. 2020. Cham: Springer Nature. </w:t>
      </w:r>
      <w:hyperlink r:id="rId18" w:history="1">
        <w:r w:rsidRPr="009B3C1D">
          <w:rPr>
            <w:rStyle w:val="Hyperlink"/>
            <w:rFonts w:ascii="Times New Roman" w:hAnsi="Times New Roman" w:cs="Times New Roman"/>
          </w:rPr>
          <w:t>https://doi.org/10.1007/978-3-030-46463-9</w:t>
        </w:r>
      </w:hyperlink>
      <w:r w:rsidRPr="009B3C1D">
        <w:rPr>
          <w:rFonts w:ascii="Times New Roman" w:hAnsi="Times New Roman" w:cs="Times New Roman"/>
        </w:rPr>
        <w:t xml:space="preserve">. </w:t>
      </w:r>
    </w:p>
    <w:p w14:paraId="7F1DF04C" w14:textId="546CC113"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Tutor2u, </w:t>
      </w:r>
      <w:r w:rsidR="00E639D8">
        <w:rPr>
          <w:rFonts w:ascii="Times New Roman" w:hAnsi="Times New Roman" w:cs="Times New Roman"/>
        </w:rPr>
        <w:t>(</w:t>
      </w:r>
      <w:r w:rsidRPr="009B3C1D">
        <w:rPr>
          <w:rFonts w:ascii="Times New Roman" w:hAnsi="Times New Roman" w:cs="Times New Roman"/>
        </w:rPr>
        <w:t>2018</w:t>
      </w:r>
      <w:r w:rsidR="00E639D8">
        <w:rPr>
          <w:rFonts w:ascii="Times New Roman" w:hAnsi="Times New Roman" w:cs="Times New Roman"/>
        </w:rPr>
        <w:t>)</w:t>
      </w:r>
      <w:r w:rsidRPr="009B3C1D">
        <w:rPr>
          <w:rFonts w:ascii="Times New Roman" w:hAnsi="Times New Roman" w:cs="Times New Roman"/>
        </w:rPr>
        <w:t xml:space="preserve">. Handy’s Model of Organisational Culture. Youtube.  </w:t>
      </w:r>
      <w:hyperlink r:id="rId19" w:history="1">
        <w:r w:rsidRPr="009B3C1D">
          <w:rPr>
            <w:rStyle w:val="Hyperlink"/>
            <w:rFonts w:ascii="Times New Roman" w:hAnsi="Times New Roman" w:cs="Times New Roman"/>
          </w:rPr>
          <w:t>https://www.youtube.com/watch?v=kRIc0W48qYY</w:t>
        </w:r>
      </w:hyperlink>
      <w:r w:rsidRPr="009B3C1D">
        <w:rPr>
          <w:rFonts w:ascii="Times New Roman" w:hAnsi="Times New Roman" w:cs="Times New Roman"/>
        </w:rPr>
        <w:t xml:space="preserve"> </w:t>
      </w:r>
    </w:p>
    <w:p w14:paraId="3A989E9A" w14:textId="59DB5EA8"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Hotel Business, </w:t>
      </w:r>
      <w:r w:rsidR="00E639D8">
        <w:rPr>
          <w:rFonts w:ascii="Times New Roman" w:hAnsi="Times New Roman" w:cs="Times New Roman"/>
        </w:rPr>
        <w:t>(</w:t>
      </w:r>
      <w:r w:rsidRPr="009B3C1D">
        <w:rPr>
          <w:rFonts w:ascii="Times New Roman" w:hAnsi="Times New Roman" w:cs="Times New Roman"/>
        </w:rPr>
        <w:t>2024</w:t>
      </w:r>
      <w:r w:rsidR="00E639D8">
        <w:rPr>
          <w:rFonts w:ascii="Times New Roman" w:hAnsi="Times New Roman" w:cs="Times New Roman"/>
        </w:rPr>
        <w:t>)</w:t>
      </w:r>
      <w:r w:rsidRPr="009B3C1D">
        <w:rPr>
          <w:rFonts w:ascii="Times New Roman" w:hAnsi="Times New Roman" w:cs="Times New Roman"/>
        </w:rPr>
        <w:t xml:space="preserve">. </w:t>
      </w:r>
      <w:r w:rsidRPr="009B3C1D">
        <w:rPr>
          <w:rFonts w:ascii="Times New Roman" w:hAnsi="Times New Roman" w:cs="Times New Roman"/>
          <w:i/>
          <w:iCs/>
        </w:rPr>
        <w:t>Hyatt reveals new Americas organizational structure</w:t>
      </w:r>
      <w:r w:rsidRPr="009B3C1D">
        <w:rPr>
          <w:rFonts w:ascii="Times New Roman" w:hAnsi="Times New Roman" w:cs="Times New Roman"/>
        </w:rPr>
        <w:t xml:space="preserve"> </w:t>
      </w:r>
      <w:hyperlink r:id="rId20" w:tgtFrame="_new" w:history="1">
        <w:r w:rsidRPr="009B3C1D">
          <w:rPr>
            <w:rStyle w:val="Hyperlink"/>
            <w:rFonts w:ascii="Times New Roman" w:hAnsi="Times New Roman" w:cs="Times New Roman"/>
          </w:rPr>
          <w:t>https://hotelbusiness.com/hyatt-reveals-new-americas-organizational-structure/</w:t>
        </w:r>
      </w:hyperlink>
      <w:r w:rsidRPr="009B3C1D">
        <w:rPr>
          <w:rFonts w:ascii="Times New Roman" w:hAnsi="Times New Roman" w:cs="Times New Roman"/>
        </w:rPr>
        <w:t>.</w:t>
      </w:r>
    </w:p>
    <w:p w14:paraId="0C0951B1" w14:textId="41BBAAB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Hyatt Hotels Corporation, </w:t>
      </w:r>
      <w:r w:rsidR="00E639D8">
        <w:rPr>
          <w:rFonts w:ascii="Times New Roman" w:hAnsi="Times New Roman" w:cs="Times New Roman"/>
        </w:rPr>
        <w:t>(</w:t>
      </w:r>
      <w:r w:rsidRPr="009B3C1D">
        <w:rPr>
          <w:rFonts w:ascii="Times New Roman" w:hAnsi="Times New Roman" w:cs="Times New Roman"/>
        </w:rPr>
        <w:t>2018</w:t>
      </w:r>
      <w:r w:rsidR="00E639D8">
        <w:rPr>
          <w:rFonts w:ascii="Times New Roman" w:hAnsi="Times New Roman" w:cs="Times New Roman"/>
        </w:rPr>
        <w:t>)</w:t>
      </w:r>
      <w:r w:rsidRPr="009B3C1D">
        <w:rPr>
          <w:rFonts w:ascii="Times New Roman" w:hAnsi="Times New Roman" w:cs="Times New Roman"/>
        </w:rPr>
        <w:t xml:space="preserve">. </w:t>
      </w:r>
      <w:r w:rsidRPr="009B3C1D">
        <w:rPr>
          <w:rFonts w:ascii="Times New Roman" w:hAnsi="Times New Roman" w:cs="Times New Roman"/>
          <w:i/>
          <w:iCs/>
        </w:rPr>
        <w:t>Hyatt Configures Organization to Accelerate Growth.</w:t>
      </w:r>
      <w:r w:rsidRPr="009B3C1D">
        <w:rPr>
          <w:rFonts w:ascii="Times New Roman" w:hAnsi="Times New Roman" w:cs="Times New Roman"/>
        </w:rPr>
        <w:t xml:space="preserve">  </w:t>
      </w:r>
      <w:hyperlink r:id="rId21" w:tgtFrame="_new" w:history="1">
        <w:r w:rsidRPr="009B3C1D">
          <w:rPr>
            <w:rStyle w:val="Hyperlink"/>
            <w:rFonts w:ascii="Times New Roman" w:hAnsi="Times New Roman" w:cs="Times New Roman"/>
          </w:rPr>
          <w:t>https://investors.hyatt.com</w:t>
        </w:r>
      </w:hyperlink>
    </w:p>
    <w:p w14:paraId="5C8F9B50" w14:textId="743229DA"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Hyatt, </w:t>
      </w:r>
      <w:r w:rsidR="00E639D8">
        <w:rPr>
          <w:rFonts w:ascii="Times New Roman" w:hAnsi="Times New Roman" w:cs="Times New Roman"/>
        </w:rPr>
        <w:t>(</w:t>
      </w:r>
      <w:r w:rsidRPr="009B3C1D">
        <w:rPr>
          <w:rFonts w:ascii="Times New Roman" w:hAnsi="Times New Roman" w:cs="Times New Roman"/>
        </w:rPr>
        <w:t>2021</w:t>
      </w:r>
      <w:r w:rsidR="00E639D8">
        <w:rPr>
          <w:rFonts w:ascii="Times New Roman" w:hAnsi="Times New Roman" w:cs="Times New Roman"/>
        </w:rPr>
        <w:t>)</w:t>
      </w:r>
      <w:r w:rsidRPr="009B3C1D">
        <w:rPr>
          <w:rFonts w:ascii="Times New Roman" w:hAnsi="Times New Roman" w:cs="Times New Roman"/>
        </w:rPr>
        <w:t xml:space="preserve">. Hyatt Launches 'World of Care' with New Commitments to Advance Diversity, Equity, and Inclusion and Responsible Business Practices. </w:t>
      </w:r>
      <w:hyperlink r:id="rId22" w:history="1">
        <w:r w:rsidRPr="009B3C1D">
          <w:rPr>
            <w:rStyle w:val="Hyperlink"/>
            <w:rFonts w:ascii="Times New Roman" w:hAnsi="Times New Roman" w:cs="Times New Roman"/>
          </w:rPr>
          <w:t>https://investors.hyatt.com/news/investor-news/news-details/2021/Hyatt-</w:t>
        </w:r>
        <w:r w:rsidRPr="009B3C1D">
          <w:rPr>
            <w:rStyle w:val="Hyperlink"/>
            <w:rFonts w:ascii="Times New Roman" w:hAnsi="Times New Roman" w:cs="Times New Roman"/>
          </w:rPr>
          <w:lastRenderedPageBreak/>
          <w:t>Launches-World-of-Care-with-New-Commitments-to-Advance-Diversity-Equity-and-Inclusion-and-Responsible-Business-Practices-07-14-2021/default.aspx</w:t>
        </w:r>
      </w:hyperlink>
      <w:r w:rsidRPr="009B3C1D">
        <w:rPr>
          <w:rFonts w:ascii="Times New Roman" w:hAnsi="Times New Roman" w:cs="Times New Roman"/>
        </w:rPr>
        <w:t xml:space="preserve"> </w:t>
      </w:r>
    </w:p>
    <w:p w14:paraId="0C4625C1" w14:textId="1B1E7D6D"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Hyatt, </w:t>
      </w:r>
      <w:r w:rsidR="00E639D8">
        <w:rPr>
          <w:rFonts w:ascii="Times New Roman" w:hAnsi="Times New Roman" w:cs="Times New Roman"/>
        </w:rPr>
        <w:t>(</w:t>
      </w:r>
      <w:r w:rsidRPr="009B3C1D">
        <w:rPr>
          <w:rFonts w:ascii="Times New Roman" w:hAnsi="Times New Roman" w:cs="Times New Roman"/>
        </w:rPr>
        <w:t>2023</w:t>
      </w:r>
      <w:r w:rsidR="00E639D8">
        <w:rPr>
          <w:rFonts w:ascii="Times New Roman" w:hAnsi="Times New Roman" w:cs="Times New Roman"/>
        </w:rPr>
        <w:t>)</w:t>
      </w:r>
      <w:r w:rsidRPr="009B3C1D">
        <w:rPr>
          <w:rFonts w:ascii="Times New Roman" w:hAnsi="Times New Roman" w:cs="Times New Roman"/>
        </w:rPr>
        <w:t xml:space="preserve">. About Hyatt: World of Care. </w:t>
      </w:r>
      <w:hyperlink r:id="rId23" w:tgtFrame="_new" w:history="1">
        <w:r w:rsidRPr="009B3C1D">
          <w:rPr>
            <w:rStyle w:val="Hyperlink"/>
            <w:rFonts w:ascii="Times New Roman" w:hAnsi="Times New Roman" w:cs="Times New Roman"/>
          </w:rPr>
          <w:t>https://about.hyatt.com</w:t>
        </w:r>
      </w:hyperlink>
    </w:p>
    <w:p w14:paraId="7A2320D8" w14:textId="57D70A49"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Irani, F., Kilic, H., and Adeshola, I., </w:t>
      </w:r>
      <w:r w:rsidR="00E639D8">
        <w:rPr>
          <w:rFonts w:ascii="Times New Roman" w:hAnsi="Times New Roman" w:cs="Times New Roman"/>
        </w:rPr>
        <w:t>(</w:t>
      </w:r>
      <w:r w:rsidRPr="009B3C1D">
        <w:rPr>
          <w:rFonts w:ascii="Times New Roman" w:hAnsi="Times New Roman" w:cs="Times New Roman"/>
        </w:rPr>
        <w:t>2022</w:t>
      </w:r>
      <w:r w:rsidR="00E639D8">
        <w:rPr>
          <w:rFonts w:ascii="Times New Roman" w:hAnsi="Times New Roman" w:cs="Times New Roman"/>
        </w:rPr>
        <w:t>)</w:t>
      </w:r>
      <w:r w:rsidRPr="009B3C1D">
        <w:rPr>
          <w:rFonts w:ascii="Times New Roman" w:hAnsi="Times New Roman" w:cs="Times New Roman"/>
        </w:rPr>
        <w:t xml:space="preserve">. Impact of green human resource management practices on the environmental performance of green hotels. Journal of Hospitality Marketing &amp; Management, 31, pp. 570 - 600. </w:t>
      </w:r>
      <w:hyperlink r:id="rId24" w:history="1">
        <w:r w:rsidRPr="009B3C1D">
          <w:rPr>
            <w:rStyle w:val="Hyperlink"/>
            <w:rFonts w:ascii="Times New Roman" w:hAnsi="Times New Roman" w:cs="Times New Roman"/>
          </w:rPr>
          <w:t>https://doi.org/10.1080/19368623.2022.2022554</w:t>
        </w:r>
      </w:hyperlink>
      <w:r w:rsidRPr="009B3C1D">
        <w:rPr>
          <w:rFonts w:ascii="Times New Roman" w:hAnsi="Times New Roman" w:cs="Times New Roman"/>
        </w:rPr>
        <w:t xml:space="preserve">. </w:t>
      </w:r>
    </w:p>
    <w:p w14:paraId="30B00677" w14:textId="752BD759"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Azaddin, S.K., </w:t>
      </w:r>
      <w:r w:rsidR="003A1C79">
        <w:rPr>
          <w:rFonts w:ascii="Times New Roman" w:hAnsi="Times New Roman" w:cs="Times New Roman"/>
        </w:rPr>
        <w:t>(</w:t>
      </w:r>
      <w:r w:rsidRPr="009B3C1D">
        <w:rPr>
          <w:rFonts w:ascii="Times New Roman" w:hAnsi="Times New Roman" w:cs="Times New Roman"/>
        </w:rPr>
        <w:t>2023</w:t>
      </w:r>
      <w:r w:rsidR="003A1C79">
        <w:rPr>
          <w:rFonts w:ascii="Times New Roman" w:hAnsi="Times New Roman" w:cs="Times New Roman"/>
        </w:rPr>
        <w:t>)</w:t>
      </w:r>
      <w:r w:rsidRPr="009B3C1D">
        <w:rPr>
          <w:rFonts w:ascii="Times New Roman" w:hAnsi="Times New Roman" w:cs="Times New Roman"/>
        </w:rPr>
        <w:t xml:space="preserve">. Contesting Mintzberg's five Ps for strategy: it is time for a product recall. Journal of Strategy and Management, 16(1), pp. 112-127. </w:t>
      </w:r>
      <w:hyperlink r:id="rId25" w:history="1">
        <w:r w:rsidRPr="009B3C1D">
          <w:rPr>
            <w:rStyle w:val="Hyperlink"/>
            <w:rFonts w:ascii="Times New Roman" w:hAnsi="Times New Roman" w:cs="Times New Roman"/>
          </w:rPr>
          <w:t>https://www.proquest.com/scholarly-journals/contesting-mintzbergs-five-ps-strategy-is-time/docview/2773486865/se-2?accountid=130472</w:t>
        </w:r>
      </w:hyperlink>
      <w:r w:rsidRPr="009B3C1D">
        <w:rPr>
          <w:rFonts w:ascii="Times New Roman" w:hAnsi="Times New Roman" w:cs="Times New Roman"/>
        </w:rPr>
        <w:t xml:space="preserve"> </w:t>
      </w:r>
    </w:p>
    <w:p w14:paraId="6BF4D0C7" w14:textId="2019837D"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Karvounidi, M.D., Alexandropoulou, A.P. and Fousteris, A.E., </w:t>
      </w:r>
      <w:r w:rsidR="003A1C79">
        <w:rPr>
          <w:rFonts w:ascii="Times New Roman" w:hAnsi="Times New Roman" w:cs="Times New Roman"/>
        </w:rPr>
        <w:t>(</w:t>
      </w:r>
      <w:r w:rsidRPr="009B3C1D">
        <w:rPr>
          <w:rFonts w:ascii="Times New Roman" w:hAnsi="Times New Roman" w:cs="Times New Roman"/>
        </w:rPr>
        <w:t>2024</w:t>
      </w:r>
      <w:r w:rsidR="003A1C79">
        <w:rPr>
          <w:rFonts w:ascii="Times New Roman" w:hAnsi="Times New Roman" w:cs="Times New Roman"/>
        </w:rPr>
        <w:t>)</w:t>
      </w:r>
      <w:r w:rsidRPr="009B3C1D">
        <w:rPr>
          <w:rFonts w:ascii="Times New Roman" w:hAnsi="Times New Roman" w:cs="Times New Roman"/>
        </w:rPr>
        <w:t xml:space="preserve">. Towards Sustainable Hospitality: Enhancing Energy Efficiency in Hotels. International Research Journal of Economics and Management Studies IRJEMS, 3(6). </w:t>
      </w:r>
      <w:hyperlink r:id="rId26" w:history="1">
        <w:r w:rsidRPr="009B3C1D">
          <w:rPr>
            <w:rStyle w:val="Hyperlink"/>
            <w:rFonts w:ascii="Times New Roman" w:hAnsi="Times New Roman" w:cs="Times New Roman"/>
          </w:rPr>
          <w:t>https://irjems.org/Volume-3-Issue-6/IRJEMS-V3I6P145.pdf</w:t>
        </w:r>
      </w:hyperlink>
      <w:r w:rsidRPr="009B3C1D">
        <w:rPr>
          <w:rFonts w:ascii="Times New Roman" w:hAnsi="Times New Roman" w:cs="Times New Roman"/>
        </w:rPr>
        <w:t xml:space="preserve">    </w:t>
      </w:r>
    </w:p>
    <w:p w14:paraId="29FA626C" w14:textId="6802B7BF"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Kosová, R., Lafontaine, F. and Perrigot, R., </w:t>
      </w:r>
      <w:r w:rsidR="003A1C79">
        <w:rPr>
          <w:rFonts w:ascii="Times New Roman" w:hAnsi="Times New Roman" w:cs="Times New Roman"/>
        </w:rPr>
        <w:t>(</w:t>
      </w:r>
      <w:r w:rsidRPr="009B3C1D">
        <w:rPr>
          <w:rFonts w:ascii="Times New Roman" w:hAnsi="Times New Roman" w:cs="Times New Roman"/>
        </w:rPr>
        <w:t>2013</w:t>
      </w:r>
      <w:r w:rsidR="003A1C79">
        <w:rPr>
          <w:rFonts w:ascii="Times New Roman" w:hAnsi="Times New Roman" w:cs="Times New Roman"/>
        </w:rPr>
        <w:t>)</w:t>
      </w:r>
      <w:r w:rsidRPr="009B3C1D">
        <w:rPr>
          <w:rFonts w:ascii="Times New Roman" w:hAnsi="Times New Roman" w:cs="Times New Roman"/>
        </w:rPr>
        <w:t xml:space="preserve">. ‘ORGANIZATIONAL FORM AND PERFORMANCE: EVIDENCE FROM THE HOTEL INDUSTRY’, The review of economics and statistics, 95(4), pp. 1303–1323. </w:t>
      </w:r>
      <w:hyperlink r:id="rId27" w:history="1">
        <w:r w:rsidRPr="009B3C1D">
          <w:rPr>
            <w:rStyle w:val="Hyperlink"/>
            <w:rFonts w:ascii="Times New Roman" w:hAnsi="Times New Roman" w:cs="Times New Roman"/>
          </w:rPr>
          <w:t>https://www.jstor.org/stable/43554829</w:t>
        </w:r>
      </w:hyperlink>
      <w:r w:rsidRPr="009B3C1D">
        <w:rPr>
          <w:rFonts w:ascii="Times New Roman" w:hAnsi="Times New Roman" w:cs="Times New Roman"/>
        </w:rPr>
        <w:t xml:space="preserve">.  </w:t>
      </w:r>
    </w:p>
    <w:p w14:paraId="059E9417" w14:textId="5686F929"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Lopez-Gamero, M.D., Pertusa-Ortega, E.M., Molina-Azorin, J.F., Tari-Guillo, J.J. and Pereira-Moliner, J., </w:t>
      </w:r>
      <w:r w:rsidR="003A1C79">
        <w:rPr>
          <w:rFonts w:ascii="Times New Roman" w:hAnsi="Times New Roman" w:cs="Times New Roman"/>
        </w:rPr>
        <w:t>(</w:t>
      </w:r>
      <w:r w:rsidRPr="009B3C1D">
        <w:rPr>
          <w:rFonts w:ascii="Times New Roman" w:hAnsi="Times New Roman" w:cs="Times New Roman"/>
        </w:rPr>
        <w:t>2016</w:t>
      </w:r>
      <w:r w:rsidR="003A1C79">
        <w:rPr>
          <w:rFonts w:ascii="Times New Roman" w:hAnsi="Times New Roman" w:cs="Times New Roman"/>
        </w:rPr>
        <w:t>)</w:t>
      </w:r>
      <w:r w:rsidRPr="009B3C1D">
        <w:rPr>
          <w:rFonts w:ascii="Times New Roman" w:hAnsi="Times New Roman" w:cs="Times New Roman"/>
        </w:rPr>
        <w:t xml:space="preserve">. Organizational antecedents and competitive consequences of environmental proactivity in the hotel industry. Journal of Sustainable Tourism, 24(7), pp.949-970.  </w:t>
      </w:r>
      <w:hyperlink r:id="rId28" w:history="1">
        <w:r w:rsidRPr="009B3C1D">
          <w:rPr>
            <w:rStyle w:val="Hyperlink"/>
            <w:rFonts w:ascii="Times New Roman" w:hAnsi="Times New Roman" w:cs="Times New Roman"/>
          </w:rPr>
          <w:t>https://doi-org.ezproxy.uwtsd.ac.uk/10.1080/09669582.2015.1101124</w:t>
        </w:r>
      </w:hyperlink>
      <w:r w:rsidRPr="009B3C1D">
        <w:rPr>
          <w:rFonts w:ascii="Times New Roman" w:hAnsi="Times New Roman" w:cs="Times New Roman"/>
        </w:rPr>
        <w:t xml:space="preserve"> </w:t>
      </w:r>
    </w:p>
    <w:p w14:paraId="2FA3FB71" w14:textId="23A53607"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Martin, D., and Isozaki, M., </w:t>
      </w:r>
      <w:r w:rsidR="003A1C79">
        <w:rPr>
          <w:rFonts w:ascii="Times New Roman" w:hAnsi="Times New Roman" w:cs="Times New Roman"/>
        </w:rPr>
        <w:t>(</w:t>
      </w:r>
      <w:r w:rsidRPr="009B3C1D">
        <w:rPr>
          <w:rFonts w:ascii="Times New Roman" w:hAnsi="Times New Roman" w:cs="Times New Roman"/>
        </w:rPr>
        <w:t>2013</w:t>
      </w:r>
      <w:r w:rsidR="003A1C79">
        <w:rPr>
          <w:rFonts w:ascii="Times New Roman" w:hAnsi="Times New Roman" w:cs="Times New Roman"/>
        </w:rPr>
        <w:t>)</w:t>
      </w:r>
      <w:r w:rsidRPr="009B3C1D">
        <w:rPr>
          <w:rFonts w:ascii="Times New Roman" w:hAnsi="Times New Roman" w:cs="Times New Roman"/>
        </w:rPr>
        <w:t xml:space="preserve">. Hotel marketing strategies in turbulent times: Path analysis of strategic decisions. Journal of Business Research, 66, pp. 1544-1549. </w:t>
      </w:r>
      <w:hyperlink r:id="rId29" w:history="1">
        <w:r w:rsidRPr="009B3C1D">
          <w:rPr>
            <w:rStyle w:val="Hyperlink"/>
            <w:rFonts w:ascii="Times New Roman" w:hAnsi="Times New Roman" w:cs="Times New Roman"/>
          </w:rPr>
          <w:t>https://doi.org/10.1016/J.JBUSRES.2012.09.017</w:t>
        </w:r>
      </w:hyperlink>
      <w:r w:rsidRPr="009B3C1D">
        <w:rPr>
          <w:rFonts w:ascii="Times New Roman" w:hAnsi="Times New Roman" w:cs="Times New Roman"/>
        </w:rPr>
        <w:t xml:space="preserve">. </w:t>
      </w:r>
    </w:p>
    <w:p w14:paraId="40F1E3A9" w14:textId="370B052F" w:rsidR="009B3C1D" w:rsidRPr="009B3C1D" w:rsidRDefault="009B3C1D" w:rsidP="00722B1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Monteiro, G., Hopkins, A., and Melo, P., </w:t>
      </w:r>
      <w:r w:rsidR="00722B11">
        <w:rPr>
          <w:rFonts w:ascii="Times New Roman" w:hAnsi="Times New Roman" w:cs="Times New Roman"/>
        </w:rPr>
        <w:t>(</w:t>
      </w:r>
      <w:r w:rsidRPr="009B3C1D">
        <w:rPr>
          <w:rFonts w:ascii="Times New Roman" w:hAnsi="Times New Roman" w:cs="Times New Roman"/>
        </w:rPr>
        <w:t>2020</w:t>
      </w:r>
      <w:r w:rsidR="00722B11">
        <w:rPr>
          <w:rFonts w:ascii="Times New Roman" w:hAnsi="Times New Roman" w:cs="Times New Roman"/>
        </w:rPr>
        <w:t>)</w:t>
      </w:r>
      <w:r w:rsidRPr="009B3C1D">
        <w:rPr>
          <w:rFonts w:ascii="Times New Roman" w:hAnsi="Times New Roman" w:cs="Times New Roman"/>
        </w:rPr>
        <w:t xml:space="preserve">. How do organizational structures impact operational safety? Part 1 – Understanding the dangers of </w:t>
      </w:r>
      <w:r w:rsidRPr="009B3C1D">
        <w:rPr>
          <w:rFonts w:ascii="Times New Roman" w:hAnsi="Times New Roman" w:cs="Times New Roman"/>
        </w:rPr>
        <w:lastRenderedPageBreak/>
        <w:t xml:space="preserve">decentralization. Safety Science, 123, pp. 104568. </w:t>
      </w:r>
      <w:hyperlink r:id="rId30" w:history="1">
        <w:r w:rsidRPr="009B3C1D">
          <w:rPr>
            <w:rStyle w:val="Hyperlink"/>
            <w:rFonts w:ascii="Times New Roman" w:hAnsi="Times New Roman" w:cs="Times New Roman"/>
          </w:rPr>
          <w:t>https://doi.org/10.1016/j.ssci.2019.104568</w:t>
        </w:r>
      </w:hyperlink>
      <w:r w:rsidRPr="009B3C1D">
        <w:rPr>
          <w:rFonts w:ascii="Times New Roman" w:hAnsi="Times New Roman" w:cs="Times New Roman"/>
        </w:rPr>
        <w:t xml:space="preserve">. </w:t>
      </w:r>
    </w:p>
    <w:p w14:paraId="1AB79A6C" w14:textId="77410A37" w:rsidR="009B3C1D" w:rsidRPr="009B3C1D" w:rsidRDefault="009B3C1D" w:rsidP="00722B1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Organimi, </w:t>
      </w:r>
      <w:r w:rsidR="00722B11">
        <w:rPr>
          <w:rFonts w:ascii="Times New Roman" w:hAnsi="Times New Roman" w:cs="Times New Roman"/>
        </w:rPr>
        <w:t>(</w:t>
      </w:r>
      <w:r w:rsidRPr="009B3C1D">
        <w:rPr>
          <w:rFonts w:ascii="Times New Roman" w:hAnsi="Times New Roman" w:cs="Times New Roman"/>
        </w:rPr>
        <w:t>2024</w:t>
      </w:r>
      <w:r w:rsidR="00722B11">
        <w:rPr>
          <w:rFonts w:ascii="Times New Roman" w:hAnsi="Times New Roman" w:cs="Times New Roman"/>
        </w:rPr>
        <w:t>)</w:t>
      </w:r>
      <w:r w:rsidRPr="009B3C1D">
        <w:rPr>
          <w:rFonts w:ascii="Times New Roman" w:hAnsi="Times New Roman" w:cs="Times New Roman"/>
        </w:rPr>
        <w:t xml:space="preserve">. </w:t>
      </w:r>
      <w:r w:rsidRPr="009B3C1D">
        <w:rPr>
          <w:rFonts w:ascii="Times New Roman" w:hAnsi="Times New Roman" w:cs="Times New Roman"/>
          <w:i/>
          <w:iCs/>
        </w:rPr>
        <w:t>Hyatt Hotels’ Organizational Structure.</w:t>
      </w:r>
      <w:r w:rsidRPr="009B3C1D">
        <w:rPr>
          <w:rFonts w:ascii="Times New Roman" w:hAnsi="Times New Roman" w:cs="Times New Roman"/>
        </w:rPr>
        <w:t xml:space="preserve"> </w:t>
      </w:r>
      <w:hyperlink r:id="rId31" w:tgtFrame="_new" w:history="1">
        <w:r w:rsidRPr="009B3C1D">
          <w:rPr>
            <w:rStyle w:val="Hyperlink"/>
            <w:rFonts w:ascii="Times New Roman" w:hAnsi="Times New Roman" w:cs="Times New Roman"/>
          </w:rPr>
          <w:t>https://www.organimi.com/organizational-structures/hyatt-hotels/</w:t>
        </w:r>
      </w:hyperlink>
      <w:r w:rsidRPr="009B3C1D">
        <w:rPr>
          <w:rFonts w:ascii="Times New Roman" w:hAnsi="Times New Roman" w:cs="Times New Roman"/>
        </w:rPr>
        <w:t>.</w:t>
      </w:r>
    </w:p>
    <w:p w14:paraId="10ABD46A" w14:textId="72C0BBC1"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Panteleiev, V., </w:t>
      </w:r>
      <w:r w:rsidR="00722B11">
        <w:rPr>
          <w:rFonts w:ascii="Times New Roman" w:hAnsi="Times New Roman" w:cs="Times New Roman"/>
        </w:rPr>
        <w:t>(</w:t>
      </w:r>
      <w:r w:rsidRPr="009B3C1D">
        <w:rPr>
          <w:rFonts w:ascii="Times New Roman" w:hAnsi="Times New Roman" w:cs="Times New Roman"/>
        </w:rPr>
        <w:t>2023</w:t>
      </w:r>
      <w:r w:rsidR="00722B11">
        <w:rPr>
          <w:rFonts w:ascii="Times New Roman" w:hAnsi="Times New Roman" w:cs="Times New Roman"/>
        </w:rPr>
        <w:t>)</w:t>
      </w:r>
      <w:r w:rsidRPr="009B3C1D">
        <w:rPr>
          <w:rFonts w:ascii="Times New Roman" w:hAnsi="Times New Roman" w:cs="Times New Roman"/>
        </w:rPr>
        <w:t xml:space="preserve">. Application of SWOT analysis to justify the strategy of hotel business enterprises. Technology audit and production reserves. </w:t>
      </w:r>
      <w:hyperlink r:id="rId32" w:history="1">
        <w:r w:rsidRPr="009B3C1D">
          <w:rPr>
            <w:rStyle w:val="Hyperlink"/>
            <w:rFonts w:ascii="Times New Roman" w:hAnsi="Times New Roman" w:cs="Times New Roman"/>
          </w:rPr>
          <w:t>https://doi.org/10.15587/2706-5448.2023.274918</w:t>
        </w:r>
      </w:hyperlink>
      <w:r w:rsidRPr="009B3C1D">
        <w:rPr>
          <w:rFonts w:ascii="Times New Roman" w:hAnsi="Times New Roman" w:cs="Times New Roman"/>
        </w:rPr>
        <w:t xml:space="preserve">. </w:t>
      </w:r>
    </w:p>
    <w:p w14:paraId="2B009C4F" w14:textId="35723CD2"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Qi, Y., </w:t>
      </w:r>
      <w:r w:rsidR="00722B11">
        <w:rPr>
          <w:rFonts w:ascii="Times New Roman" w:hAnsi="Times New Roman" w:cs="Times New Roman"/>
        </w:rPr>
        <w:t>(</w:t>
      </w:r>
      <w:r w:rsidRPr="009B3C1D">
        <w:rPr>
          <w:rFonts w:ascii="Times New Roman" w:hAnsi="Times New Roman" w:cs="Times New Roman"/>
        </w:rPr>
        <w:t>2023</w:t>
      </w:r>
      <w:r w:rsidR="00722B11">
        <w:rPr>
          <w:rFonts w:ascii="Times New Roman" w:hAnsi="Times New Roman" w:cs="Times New Roman"/>
        </w:rPr>
        <w:t>)</w:t>
      </w:r>
      <w:r w:rsidRPr="009B3C1D">
        <w:rPr>
          <w:rFonts w:ascii="Times New Roman" w:hAnsi="Times New Roman" w:cs="Times New Roman"/>
        </w:rPr>
        <w:t xml:space="preserve">. Financial Analysis of Hyatt Hotels Corporation. Highlights in Business, Economics and Management. </w:t>
      </w:r>
      <w:hyperlink r:id="rId33" w:history="1">
        <w:r w:rsidRPr="009B3C1D">
          <w:rPr>
            <w:rStyle w:val="Hyperlink"/>
            <w:rFonts w:ascii="Times New Roman" w:hAnsi="Times New Roman" w:cs="Times New Roman"/>
          </w:rPr>
          <w:t>https://doi.org/10.54097/hbem.v15i.9325</w:t>
        </w:r>
      </w:hyperlink>
      <w:r w:rsidRPr="009B3C1D">
        <w:rPr>
          <w:rFonts w:ascii="Times New Roman" w:hAnsi="Times New Roman" w:cs="Times New Roman"/>
        </w:rPr>
        <w:t xml:space="preserve">. </w:t>
      </w:r>
    </w:p>
    <w:p w14:paraId="51794635" w14:textId="204EBE69" w:rsidR="009B3C1D" w:rsidRPr="009B3C1D" w:rsidRDefault="009B3C1D" w:rsidP="00722B11">
      <w:pPr>
        <w:numPr>
          <w:ilvl w:val="0"/>
          <w:numId w:val="4"/>
        </w:numPr>
        <w:spacing w:line="360" w:lineRule="auto"/>
        <w:rPr>
          <w:rFonts w:ascii="Times New Roman" w:hAnsi="Times New Roman" w:cs="Times New Roman"/>
        </w:rPr>
      </w:pPr>
      <w:r w:rsidRPr="009B3C1D">
        <w:rPr>
          <w:rFonts w:ascii="Times New Roman" w:hAnsi="Times New Roman" w:cs="Times New Roman"/>
        </w:rPr>
        <w:t xml:space="preserve">SYED, A.R. and KHAN, K.A., </w:t>
      </w:r>
      <w:r w:rsidR="00722B11">
        <w:rPr>
          <w:rFonts w:ascii="Times New Roman" w:hAnsi="Times New Roman" w:cs="Times New Roman"/>
        </w:rPr>
        <w:t>(</w:t>
      </w:r>
      <w:r w:rsidRPr="009B3C1D">
        <w:rPr>
          <w:rFonts w:ascii="Times New Roman" w:hAnsi="Times New Roman" w:cs="Times New Roman"/>
        </w:rPr>
        <w:t>2022</w:t>
      </w:r>
      <w:r w:rsidR="00722B11">
        <w:rPr>
          <w:rFonts w:ascii="Times New Roman" w:hAnsi="Times New Roman" w:cs="Times New Roman"/>
        </w:rPr>
        <w:t>)</w:t>
      </w:r>
      <w:r w:rsidRPr="009B3C1D">
        <w:rPr>
          <w:rFonts w:ascii="Times New Roman" w:hAnsi="Times New Roman" w:cs="Times New Roman"/>
        </w:rPr>
        <w:t xml:space="preserve">. Impact of green human resource practices on hotel environmental performance: the moderating effect of environmental knowledge and individual green values. International Journal of Contemporary Hospitality Management, 34(6), pp. 2154-2175. </w:t>
      </w:r>
      <w:hyperlink r:id="rId34" w:history="1">
        <w:r w:rsidRPr="009B3C1D">
          <w:rPr>
            <w:rStyle w:val="Hyperlink"/>
            <w:rFonts w:ascii="Times New Roman" w:hAnsi="Times New Roman" w:cs="Times New Roman"/>
          </w:rPr>
          <w:t>https://www.proquest.com/scholarly-journals/impact-green-human-resource-practices-on-hotel/docview/2666486740/se-2?accountid=130472</w:t>
        </w:r>
      </w:hyperlink>
      <w:r w:rsidRPr="009B3C1D">
        <w:rPr>
          <w:rFonts w:ascii="Times New Roman" w:hAnsi="Times New Roman" w:cs="Times New Roman"/>
        </w:rPr>
        <w:t xml:space="preserve"> </w:t>
      </w:r>
    </w:p>
    <w:p w14:paraId="34875258" w14:textId="181722B2"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Rotich, N., and Deya, J., </w:t>
      </w:r>
      <w:r w:rsidR="00722B11">
        <w:rPr>
          <w:rFonts w:ascii="Times New Roman" w:hAnsi="Times New Roman" w:cs="Times New Roman"/>
        </w:rPr>
        <w:t>(</w:t>
      </w:r>
      <w:r w:rsidRPr="009B3C1D">
        <w:rPr>
          <w:rFonts w:ascii="Times New Roman" w:hAnsi="Times New Roman" w:cs="Times New Roman"/>
        </w:rPr>
        <w:t>2021</w:t>
      </w:r>
      <w:r w:rsidR="00722B11">
        <w:rPr>
          <w:rFonts w:ascii="Times New Roman" w:hAnsi="Times New Roman" w:cs="Times New Roman"/>
        </w:rPr>
        <w:t>)</w:t>
      </w:r>
      <w:r w:rsidRPr="009B3C1D">
        <w:rPr>
          <w:rFonts w:ascii="Times New Roman" w:hAnsi="Times New Roman" w:cs="Times New Roman"/>
        </w:rPr>
        <w:t xml:space="preserve">. Influence of Change Management Pratices on Performance of Hotels in Nairobi County, Kenya. International Journal of Academic Research in Business and Social Sciences. </w:t>
      </w:r>
      <w:hyperlink r:id="rId35" w:history="1">
        <w:r w:rsidRPr="009B3C1D">
          <w:rPr>
            <w:rStyle w:val="Hyperlink"/>
            <w:rFonts w:ascii="Times New Roman" w:hAnsi="Times New Roman" w:cs="Times New Roman"/>
          </w:rPr>
          <w:t>https://doi.org/10.6007/ijarbss/v11-i7/10669</w:t>
        </w:r>
      </w:hyperlink>
      <w:r w:rsidRPr="009B3C1D">
        <w:rPr>
          <w:rFonts w:ascii="Times New Roman" w:hAnsi="Times New Roman" w:cs="Times New Roman"/>
        </w:rPr>
        <w:t xml:space="preserve">. </w:t>
      </w:r>
    </w:p>
    <w:p w14:paraId="466ED3CF" w14:textId="3F4DFE40" w:rsidR="009B3C1D" w:rsidRPr="009B3C1D" w:rsidRDefault="009B3C1D" w:rsidP="009B3C1D">
      <w:pPr>
        <w:numPr>
          <w:ilvl w:val="0"/>
          <w:numId w:val="4"/>
        </w:numPr>
        <w:spacing w:line="360" w:lineRule="auto"/>
        <w:jc w:val="both"/>
        <w:rPr>
          <w:rFonts w:ascii="Times New Roman" w:hAnsi="Times New Roman" w:cs="Times New Roman"/>
        </w:rPr>
      </w:pPr>
      <w:r w:rsidRPr="009B3C1D">
        <w:rPr>
          <w:rFonts w:ascii="Times New Roman" w:hAnsi="Times New Roman" w:cs="Times New Roman"/>
        </w:rPr>
        <w:t xml:space="preserve">Simovic, O., Lesjak, M., Perović, Đ. and Podovšovnik, E., </w:t>
      </w:r>
      <w:r w:rsidR="00722B11">
        <w:rPr>
          <w:rFonts w:ascii="Times New Roman" w:hAnsi="Times New Roman" w:cs="Times New Roman"/>
        </w:rPr>
        <w:t>(</w:t>
      </w:r>
      <w:r w:rsidRPr="009B3C1D">
        <w:rPr>
          <w:rFonts w:ascii="Times New Roman" w:hAnsi="Times New Roman" w:cs="Times New Roman"/>
        </w:rPr>
        <w:t>2023</w:t>
      </w:r>
      <w:r w:rsidR="00722B11">
        <w:rPr>
          <w:rFonts w:ascii="Times New Roman" w:hAnsi="Times New Roman" w:cs="Times New Roman"/>
        </w:rPr>
        <w:t>)</w:t>
      </w:r>
      <w:r w:rsidRPr="009B3C1D">
        <w:rPr>
          <w:rFonts w:ascii="Times New Roman" w:hAnsi="Times New Roman" w:cs="Times New Roman"/>
        </w:rPr>
        <w:t xml:space="preserve">. Measuring Organizational Culture in Hotels, Restaurants and Travel Agencies in Montenegro. Sustainability, 15(3), p.2715. </w:t>
      </w:r>
      <w:hyperlink r:id="rId36" w:history="1">
        <w:r w:rsidRPr="009B3C1D">
          <w:rPr>
            <w:rStyle w:val="Hyperlink"/>
            <w:rFonts w:ascii="Times New Roman" w:hAnsi="Times New Roman" w:cs="Times New Roman"/>
          </w:rPr>
          <w:t>https://doi.org/10.3390/su15032715</w:t>
        </w:r>
      </w:hyperlink>
      <w:r w:rsidR="007D1F38">
        <w:rPr>
          <w:rFonts w:ascii="Times New Roman" w:hAnsi="Times New Roman" w:cs="Times New Roman"/>
        </w:rPr>
        <w:t>.</w:t>
      </w:r>
    </w:p>
    <w:p w14:paraId="17F37EB1" w14:textId="77777777" w:rsidR="009B3C1D" w:rsidRPr="00C4206E" w:rsidRDefault="009B3C1D" w:rsidP="009B3C1D">
      <w:pPr>
        <w:spacing w:line="360" w:lineRule="auto"/>
        <w:jc w:val="both"/>
        <w:rPr>
          <w:rFonts w:ascii="Times New Roman" w:hAnsi="Times New Roman" w:cs="Times New Roman"/>
          <w:lang w:val="en-US"/>
        </w:rPr>
      </w:pPr>
    </w:p>
    <w:sectPr w:rsidR="009B3C1D" w:rsidRPr="00C420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557280"/>
    <w:multiLevelType w:val="hybridMultilevel"/>
    <w:tmpl w:val="FFFFFFFF"/>
    <w:lvl w:ilvl="0" w:tplc="0409000F">
      <w:start w:val="1"/>
      <w:numFmt w:val="decimal"/>
      <w:lvlText w:val="%1."/>
      <w:lvlJc w:val="left"/>
      <w:pPr>
        <w:ind w:left="1080" w:hanging="360"/>
      </w:pPr>
      <w:rPr>
        <w:rFonts w:cs="Times New Roman"/>
      </w:rPr>
    </w:lvl>
    <w:lvl w:ilvl="1" w:tplc="08090019" w:tentative="1">
      <w:start w:val="1"/>
      <w:numFmt w:val="lowerLetter"/>
      <w:lvlText w:val="%2."/>
      <w:lvlJc w:val="left"/>
      <w:pPr>
        <w:ind w:left="1800" w:hanging="360"/>
      </w:pPr>
      <w:rPr>
        <w:rFonts w:cs="Times New Roman"/>
      </w:rPr>
    </w:lvl>
    <w:lvl w:ilvl="2" w:tplc="0809001B" w:tentative="1">
      <w:start w:val="1"/>
      <w:numFmt w:val="lowerRoman"/>
      <w:lvlText w:val="%3."/>
      <w:lvlJc w:val="right"/>
      <w:pPr>
        <w:ind w:left="2520" w:hanging="180"/>
      </w:pPr>
      <w:rPr>
        <w:rFonts w:cs="Times New Roman"/>
      </w:rPr>
    </w:lvl>
    <w:lvl w:ilvl="3" w:tplc="0809000F" w:tentative="1">
      <w:start w:val="1"/>
      <w:numFmt w:val="decimal"/>
      <w:lvlText w:val="%4."/>
      <w:lvlJc w:val="left"/>
      <w:pPr>
        <w:ind w:left="3240" w:hanging="360"/>
      </w:pPr>
      <w:rPr>
        <w:rFonts w:cs="Times New Roman"/>
      </w:rPr>
    </w:lvl>
    <w:lvl w:ilvl="4" w:tplc="08090019" w:tentative="1">
      <w:start w:val="1"/>
      <w:numFmt w:val="lowerLetter"/>
      <w:lvlText w:val="%5."/>
      <w:lvlJc w:val="left"/>
      <w:pPr>
        <w:ind w:left="3960" w:hanging="360"/>
      </w:pPr>
      <w:rPr>
        <w:rFonts w:cs="Times New Roman"/>
      </w:rPr>
    </w:lvl>
    <w:lvl w:ilvl="5" w:tplc="0809001B" w:tentative="1">
      <w:start w:val="1"/>
      <w:numFmt w:val="lowerRoman"/>
      <w:lvlText w:val="%6."/>
      <w:lvlJc w:val="right"/>
      <w:pPr>
        <w:ind w:left="4680" w:hanging="180"/>
      </w:pPr>
      <w:rPr>
        <w:rFonts w:cs="Times New Roman"/>
      </w:rPr>
    </w:lvl>
    <w:lvl w:ilvl="6" w:tplc="0809000F" w:tentative="1">
      <w:start w:val="1"/>
      <w:numFmt w:val="decimal"/>
      <w:lvlText w:val="%7."/>
      <w:lvlJc w:val="left"/>
      <w:pPr>
        <w:ind w:left="5400" w:hanging="360"/>
      </w:pPr>
      <w:rPr>
        <w:rFonts w:cs="Times New Roman"/>
      </w:rPr>
    </w:lvl>
    <w:lvl w:ilvl="7" w:tplc="08090019" w:tentative="1">
      <w:start w:val="1"/>
      <w:numFmt w:val="lowerLetter"/>
      <w:lvlText w:val="%8."/>
      <w:lvlJc w:val="left"/>
      <w:pPr>
        <w:ind w:left="6120" w:hanging="360"/>
      </w:pPr>
      <w:rPr>
        <w:rFonts w:cs="Times New Roman"/>
      </w:rPr>
    </w:lvl>
    <w:lvl w:ilvl="8" w:tplc="0809001B" w:tentative="1">
      <w:start w:val="1"/>
      <w:numFmt w:val="lowerRoman"/>
      <w:lvlText w:val="%9."/>
      <w:lvlJc w:val="right"/>
      <w:pPr>
        <w:ind w:left="6840" w:hanging="180"/>
      </w:pPr>
      <w:rPr>
        <w:rFonts w:cs="Times New Roman"/>
      </w:rPr>
    </w:lvl>
  </w:abstractNum>
  <w:abstractNum w:abstractNumId="1" w15:restartNumberingAfterBreak="0">
    <w:nsid w:val="35680B4F"/>
    <w:multiLevelType w:val="hybridMultilevel"/>
    <w:tmpl w:val="FFFFFFFF"/>
    <w:lvl w:ilvl="0" w:tplc="CBC01FEC">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 w15:restartNumberingAfterBreak="0">
    <w:nsid w:val="442323AF"/>
    <w:multiLevelType w:val="multilevel"/>
    <w:tmpl w:val="FFFFFFFF"/>
    <w:lvl w:ilvl="0">
      <w:start w:val="1"/>
      <w:numFmt w:val="decimal"/>
      <w:lvlText w:val="%1."/>
      <w:lvlJc w:val="left"/>
      <w:pPr>
        <w:tabs>
          <w:tab w:val="num" w:pos="720"/>
        </w:tabs>
        <w:ind w:left="720" w:hanging="360"/>
      </w:pPr>
      <w:rPr>
        <w:rFonts w:cs="Times New Roman"/>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3" w15:restartNumberingAfterBreak="0">
    <w:nsid w:val="466C5CB4"/>
    <w:multiLevelType w:val="hybridMultilevel"/>
    <w:tmpl w:val="FFFFFFFF"/>
    <w:lvl w:ilvl="0" w:tplc="A83471AC">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4" w15:restartNumberingAfterBreak="0">
    <w:nsid w:val="48CB4592"/>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8F446E"/>
    <w:multiLevelType w:val="multilevel"/>
    <w:tmpl w:val="FFFFFFFF"/>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6" w15:restartNumberingAfterBreak="0">
    <w:nsid w:val="6A5F1DCA"/>
    <w:multiLevelType w:val="hybridMultilevel"/>
    <w:tmpl w:val="FFFFFFFF"/>
    <w:lvl w:ilvl="0" w:tplc="8E0CD45C">
      <w:start w:val="1"/>
      <w:numFmt w:val="decimal"/>
      <w:lvlText w:val="%1."/>
      <w:lvlJc w:val="left"/>
      <w:pPr>
        <w:ind w:left="720" w:hanging="360"/>
      </w:pPr>
      <w:rPr>
        <w:rFonts w:cs="Times New Roman" w:hint="default"/>
        <w:b/>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16cid:durableId="1663050000">
    <w:abstractNumId w:val="5"/>
  </w:num>
  <w:num w:numId="2" w16cid:durableId="196622873">
    <w:abstractNumId w:val="4"/>
  </w:num>
  <w:num w:numId="3" w16cid:durableId="334958005">
    <w:abstractNumId w:val="2"/>
  </w:num>
  <w:num w:numId="4" w16cid:durableId="2043895928">
    <w:abstractNumId w:val="0"/>
  </w:num>
  <w:num w:numId="5" w16cid:durableId="641008207">
    <w:abstractNumId w:val="1"/>
  </w:num>
  <w:num w:numId="6" w16cid:durableId="955407463">
    <w:abstractNumId w:val="3"/>
  </w:num>
  <w:num w:numId="7" w16cid:durableId="81587638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093C"/>
    <w:rsid w:val="002753FE"/>
    <w:rsid w:val="002C714D"/>
    <w:rsid w:val="00323423"/>
    <w:rsid w:val="003A1C79"/>
    <w:rsid w:val="00447FA0"/>
    <w:rsid w:val="00480DB3"/>
    <w:rsid w:val="006C52E9"/>
    <w:rsid w:val="006D005C"/>
    <w:rsid w:val="00722B11"/>
    <w:rsid w:val="00750861"/>
    <w:rsid w:val="007D1F38"/>
    <w:rsid w:val="008B2C55"/>
    <w:rsid w:val="008F6D50"/>
    <w:rsid w:val="009B3C1D"/>
    <w:rsid w:val="00A55885"/>
    <w:rsid w:val="00AA75D1"/>
    <w:rsid w:val="00AB3178"/>
    <w:rsid w:val="00C4206E"/>
    <w:rsid w:val="00C91FDF"/>
    <w:rsid w:val="00CD4E82"/>
    <w:rsid w:val="00CE38AA"/>
    <w:rsid w:val="00E639D8"/>
    <w:rsid w:val="00F5093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3E4FA6"/>
  <w15:chartTrackingRefBased/>
  <w15:docId w15:val="{7CFB13FE-2764-425F-B0C8-F5D40809D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93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5093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5093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5093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5093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5093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5093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5093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5093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093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5093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5093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5093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5093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5093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5093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5093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5093C"/>
    <w:rPr>
      <w:rFonts w:eastAsiaTheme="majorEastAsia" w:cstheme="majorBidi"/>
      <w:color w:val="272727" w:themeColor="text1" w:themeTint="D8"/>
    </w:rPr>
  </w:style>
  <w:style w:type="paragraph" w:styleId="Title">
    <w:name w:val="Title"/>
    <w:basedOn w:val="Normal"/>
    <w:next w:val="Normal"/>
    <w:link w:val="TitleChar"/>
    <w:uiPriority w:val="10"/>
    <w:qFormat/>
    <w:rsid w:val="00F5093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5093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5093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5093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5093C"/>
    <w:pPr>
      <w:spacing w:before="160"/>
      <w:jc w:val="center"/>
    </w:pPr>
    <w:rPr>
      <w:i/>
      <w:iCs/>
      <w:color w:val="404040" w:themeColor="text1" w:themeTint="BF"/>
    </w:rPr>
  </w:style>
  <w:style w:type="character" w:customStyle="1" w:styleId="QuoteChar">
    <w:name w:val="Quote Char"/>
    <w:basedOn w:val="DefaultParagraphFont"/>
    <w:link w:val="Quote"/>
    <w:uiPriority w:val="29"/>
    <w:rsid w:val="00F5093C"/>
    <w:rPr>
      <w:i/>
      <w:iCs/>
      <w:color w:val="404040" w:themeColor="text1" w:themeTint="BF"/>
    </w:rPr>
  </w:style>
  <w:style w:type="paragraph" w:styleId="ListParagraph">
    <w:name w:val="List Paragraph"/>
    <w:basedOn w:val="Normal"/>
    <w:uiPriority w:val="34"/>
    <w:qFormat/>
    <w:rsid w:val="00F5093C"/>
    <w:pPr>
      <w:ind w:left="720"/>
      <w:contextualSpacing/>
    </w:pPr>
  </w:style>
  <w:style w:type="character" w:styleId="IntenseEmphasis">
    <w:name w:val="Intense Emphasis"/>
    <w:basedOn w:val="DefaultParagraphFont"/>
    <w:uiPriority w:val="21"/>
    <w:qFormat/>
    <w:rsid w:val="00F5093C"/>
    <w:rPr>
      <w:i/>
      <w:iCs/>
      <w:color w:val="0F4761" w:themeColor="accent1" w:themeShade="BF"/>
    </w:rPr>
  </w:style>
  <w:style w:type="paragraph" w:styleId="IntenseQuote">
    <w:name w:val="Intense Quote"/>
    <w:basedOn w:val="Normal"/>
    <w:next w:val="Normal"/>
    <w:link w:val="IntenseQuoteChar"/>
    <w:uiPriority w:val="30"/>
    <w:qFormat/>
    <w:rsid w:val="00F5093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5093C"/>
    <w:rPr>
      <w:i/>
      <w:iCs/>
      <w:color w:val="0F4761" w:themeColor="accent1" w:themeShade="BF"/>
    </w:rPr>
  </w:style>
  <w:style w:type="character" w:styleId="IntenseReference">
    <w:name w:val="Intense Reference"/>
    <w:basedOn w:val="DefaultParagraphFont"/>
    <w:uiPriority w:val="32"/>
    <w:qFormat/>
    <w:rsid w:val="00F5093C"/>
    <w:rPr>
      <w:b/>
      <w:bCs/>
      <w:smallCaps/>
      <w:color w:val="0F4761" w:themeColor="accent1" w:themeShade="BF"/>
      <w:spacing w:val="5"/>
    </w:rPr>
  </w:style>
  <w:style w:type="character" w:styleId="Hyperlink">
    <w:name w:val="Hyperlink"/>
    <w:basedOn w:val="DefaultParagraphFont"/>
    <w:uiPriority w:val="99"/>
    <w:unhideWhenUsed/>
    <w:rsid w:val="009B3C1D"/>
    <w:rPr>
      <w:color w:val="467886" w:themeColor="hyperlink"/>
      <w:u w:val="single"/>
    </w:rPr>
  </w:style>
  <w:style w:type="character" w:styleId="UnresolvedMention">
    <w:name w:val="Unresolved Mention"/>
    <w:basedOn w:val="DefaultParagraphFont"/>
    <w:uiPriority w:val="99"/>
    <w:semiHidden/>
    <w:unhideWhenUsed/>
    <w:rsid w:val="009B3C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88727053">
      <w:bodyDiv w:val="1"/>
      <w:marLeft w:val="0"/>
      <w:marRight w:val="0"/>
      <w:marTop w:val="0"/>
      <w:marBottom w:val="0"/>
      <w:divBdr>
        <w:top w:val="none" w:sz="0" w:space="0" w:color="auto"/>
        <w:left w:val="none" w:sz="0" w:space="0" w:color="auto"/>
        <w:bottom w:val="none" w:sz="0" w:space="0" w:color="auto"/>
        <w:right w:val="none" w:sz="0" w:space="0" w:color="auto"/>
      </w:divBdr>
    </w:div>
    <w:div w:id="1793136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scholarly-journals/smart-sustainable-hotels-tourism-agenda-2030/docview/2795217512/se-2?accountid=130472" TargetMode="External"/><Relationship Id="rId18" Type="http://schemas.openxmlformats.org/officeDocument/2006/relationships/hyperlink" Target="https://doi.org/10.1007/978-3-030-46463-9" TargetMode="External"/><Relationship Id="rId26" Type="http://schemas.openxmlformats.org/officeDocument/2006/relationships/hyperlink" Target="https://irjems.org/Volume-3-Issue-6/IRJEMS-V3I6P145.pdf" TargetMode="External"/><Relationship Id="rId21" Type="http://schemas.openxmlformats.org/officeDocument/2006/relationships/hyperlink" Target="https://investors.hyatt.com" TargetMode="External"/><Relationship Id="rId34" Type="http://schemas.openxmlformats.org/officeDocument/2006/relationships/hyperlink" Target="https://www.proquest.com/scholarly-journals/impact-green-human-resource-practices-on-hotel/docview/2666486740/se-2?accountid=130472" TargetMode="External"/><Relationship Id="rId7" Type="http://schemas.openxmlformats.org/officeDocument/2006/relationships/hyperlink" Target="https://doi.org/10.18488/31.v9i1.2921" TargetMode="External"/><Relationship Id="rId12" Type="http://schemas.openxmlformats.org/officeDocument/2006/relationships/hyperlink" Target="https://doi.org/10.47153/jbmr31.2732022" TargetMode="External"/><Relationship Id="rId17" Type="http://schemas.openxmlformats.org/officeDocument/2006/relationships/hyperlink" Target="https://www.youtube.com/watch?v=fUylP0r7QxY" TargetMode="External"/><Relationship Id="rId25" Type="http://schemas.openxmlformats.org/officeDocument/2006/relationships/hyperlink" Target="https://www.proquest.com/scholarly-journals/contesting-mintzbergs-five-ps-strategy-is-time/docview/2773486865/se-2?accountid=130472" TargetMode="External"/><Relationship Id="rId33" Type="http://schemas.openxmlformats.org/officeDocument/2006/relationships/hyperlink" Target="https://doi.org/10.54097/hbem.v15i.9325"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librarysearch.uwtsd.ac.uk/permalink/44WHELF_UWTSD/upgrip/alma99100270159502421" TargetMode="External"/><Relationship Id="rId20" Type="http://schemas.openxmlformats.org/officeDocument/2006/relationships/hyperlink" Target="https://hotelbusiness.com/hyatt-reveals-new-americas-organizational-structure/" TargetMode="External"/><Relationship Id="rId29" Type="http://schemas.openxmlformats.org/officeDocument/2006/relationships/hyperlink" Target="https://doi.org/10.1016/J.JBUSRES.2012.09.017" TargetMode="External"/><Relationship Id="rId1" Type="http://schemas.openxmlformats.org/officeDocument/2006/relationships/numbering" Target="numbering.xml"/><Relationship Id="rId6" Type="http://schemas.openxmlformats.org/officeDocument/2006/relationships/hyperlink" Target="https://www.youtube.com/watch?v=KnAAvWfJscg" TargetMode="External"/><Relationship Id="rId11" Type="http://schemas.openxmlformats.org/officeDocument/2006/relationships/hyperlink" Target="https://www.proquest.com/scholarly-journals/hr-transformation-within-hotel-industry-building/docview/2025804158/se-2?accountid=130472" TargetMode="External"/><Relationship Id="rId24" Type="http://schemas.openxmlformats.org/officeDocument/2006/relationships/hyperlink" Target="https://doi.org/10.1080/19368623.2022.2022554" TargetMode="External"/><Relationship Id="rId32" Type="http://schemas.openxmlformats.org/officeDocument/2006/relationships/hyperlink" Target="https://doi.org/10.15587/2706-5448.2023.274918" TargetMode="External"/><Relationship Id="rId37" Type="http://schemas.openxmlformats.org/officeDocument/2006/relationships/fontTable" Target="fontTable.xml"/><Relationship Id="rId5" Type="http://schemas.openxmlformats.org/officeDocument/2006/relationships/hyperlink" Target="https://www.youtube.com/watch?v=urntcMUJR9M" TargetMode="External"/><Relationship Id="rId15" Type="http://schemas.openxmlformats.org/officeDocument/2006/relationships/hyperlink" Target="https://doi.org/10.3390/su11195372" TargetMode="External"/><Relationship Id="rId23" Type="http://schemas.openxmlformats.org/officeDocument/2006/relationships/hyperlink" Target="https://about.hyatt.com" TargetMode="External"/><Relationship Id="rId28" Type="http://schemas.openxmlformats.org/officeDocument/2006/relationships/hyperlink" Target="https://doi-org.ezproxy.uwtsd.ac.uk/10.1080/09669582.2015.1101124" TargetMode="External"/><Relationship Id="rId36" Type="http://schemas.openxmlformats.org/officeDocument/2006/relationships/hyperlink" Target="https://doi.org/10.3390/su15032715" TargetMode="External"/><Relationship Id="rId10" Type="http://schemas.openxmlformats.org/officeDocument/2006/relationships/hyperlink" Target="https://www.proquest.com/scholarly-journals/role-senior-managers-use-performance-measures/docview/1826443311/se-2?accountid=130472" TargetMode="External"/><Relationship Id="rId19" Type="http://schemas.openxmlformats.org/officeDocument/2006/relationships/hyperlink" Target="https://www.youtube.com/watch?v=kRIc0W48qYY" TargetMode="External"/><Relationship Id="rId31" Type="http://schemas.openxmlformats.org/officeDocument/2006/relationships/hyperlink" Target="https://www.organimi.com/organizational-structures/hyatt-hotels/" TargetMode="External"/><Relationship Id="rId4" Type="http://schemas.openxmlformats.org/officeDocument/2006/relationships/webSettings" Target="webSettings.xml"/><Relationship Id="rId9" Type="http://schemas.openxmlformats.org/officeDocument/2006/relationships/hyperlink" Target="https://doi.org/10.1287/mnsc.2014.1908" TargetMode="External"/><Relationship Id="rId14" Type="http://schemas.openxmlformats.org/officeDocument/2006/relationships/hyperlink" Target="https://doi.org/10.1016/J.TOURMAN.2013.08.001" TargetMode="External"/><Relationship Id="rId22" Type="http://schemas.openxmlformats.org/officeDocument/2006/relationships/hyperlink" Target="https://investors.hyatt.com/news/investor-news/news-details/2021/Hyatt-Launches-World-of-Care-with-New-Commitments-to-Advance-Diversity-Equity-and-Inclusion-and-Responsible-Business-Practices-07-14-2021/default.aspx" TargetMode="External"/><Relationship Id="rId27" Type="http://schemas.openxmlformats.org/officeDocument/2006/relationships/hyperlink" Target="https://www.jstor.org/stable/43554829" TargetMode="External"/><Relationship Id="rId30" Type="http://schemas.openxmlformats.org/officeDocument/2006/relationships/hyperlink" Target="https://doi.org/10.1016/j.ssci.2019.104568" TargetMode="External"/><Relationship Id="rId35" Type="http://schemas.openxmlformats.org/officeDocument/2006/relationships/hyperlink" Target="https://doi.org/10.6007/ijarbss/v11-i7/10669" TargetMode="External"/><Relationship Id="rId8" Type="http://schemas.openxmlformats.org/officeDocument/2006/relationships/hyperlink" Target="https://doi.org/10.1016/J.IJHM.2020.102852"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4432</Words>
  <Characters>25265</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Liviu Postelnicu (2224284)</dc:creator>
  <cp:keywords/>
  <dc:description/>
  <cp:lastModifiedBy>Liviu Postelnicu (2224284)</cp:lastModifiedBy>
  <cp:revision>19</cp:revision>
  <dcterms:created xsi:type="dcterms:W3CDTF">2024-11-08T21:42:00Z</dcterms:created>
  <dcterms:modified xsi:type="dcterms:W3CDTF">2024-11-08T23:18:00Z</dcterms:modified>
</cp:coreProperties>
</file>