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B99D42" w14:textId="3ED2CEE9" w:rsidR="007709DC" w:rsidRDefault="007709DC" w:rsidP="007709DC">
      <w:pPr>
        <w:spacing w:line="360" w:lineRule="auto"/>
        <w:jc w:val="center"/>
        <w:rPr>
          <w:b/>
          <w:sz w:val="42"/>
          <w:szCs w:val="24"/>
        </w:rPr>
      </w:pPr>
      <w:r>
        <w:rPr>
          <w:rFonts w:ascii="Helvetica" w:hAnsi="Helvetica" w:cs="Helvetica"/>
          <w:noProof/>
          <w:sz w:val="24"/>
          <w:szCs w:val="24"/>
          <w:lang w:val="en-US"/>
        </w:rPr>
        <w:drawing>
          <wp:anchor distT="0" distB="0" distL="114300" distR="114300" simplePos="0" relativeHeight="251661312" behindDoc="0" locked="0" layoutInCell="1" allowOverlap="1" wp14:anchorId="385883B5" wp14:editId="36C18009">
            <wp:simplePos x="0" y="0"/>
            <wp:positionH relativeFrom="column">
              <wp:posOffset>0</wp:posOffset>
            </wp:positionH>
            <wp:positionV relativeFrom="paragraph">
              <wp:posOffset>590550</wp:posOffset>
            </wp:positionV>
            <wp:extent cx="4000500" cy="1485900"/>
            <wp:effectExtent l="0" t="0" r="0" b="0"/>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000500" cy="1485900"/>
                    </a:xfrm>
                    <a:prstGeom prst="rect">
                      <a:avLst/>
                    </a:prstGeom>
                    <a:noFill/>
                    <a:ln>
                      <a:noFill/>
                    </a:ln>
                  </pic:spPr>
                </pic:pic>
              </a:graphicData>
            </a:graphic>
          </wp:anchor>
        </w:drawing>
      </w:r>
    </w:p>
    <w:p w14:paraId="622DE261" w14:textId="77777777" w:rsidR="007709DC" w:rsidRDefault="007709DC" w:rsidP="007709DC">
      <w:pPr>
        <w:spacing w:line="360" w:lineRule="auto"/>
        <w:jc w:val="center"/>
        <w:rPr>
          <w:b/>
          <w:sz w:val="42"/>
          <w:szCs w:val="24"/>
        </w:rPr>
      </w:pPr>
    </w:p>
    <w:p w14:paraId="1BAE963F" w14:textId="77777777" w:rsidR="007709DC" w:rsidRDefault="007709DC" w:rsidP="007709DC">
      <w:pPr>
        <w:spacing w:line="360" w:lineRule="auto"/>
        <w:jc w:val="center"/>
        <w:rPr>
          <w:b/>
          <w:sz w:val="42"/>
          <w:szCs w:val="24"/>
        </w:rPr>
      </w:pPr>
    </w:p>
    <w:p w14:paraId="4843C4F4" w14:textId="77777777" w:rsidR="007709DC" w:rsidRDefault="007709DC" w:rsidP="007709DC">
      <w:pPr>
        <w:spacing w:line="360" w:lineRule="auto"/>
        <w:jc w:val="center"/>
        <w:rPr>
          <w:b/>
          <w:sz w:val="42"/>
          <w:szCs w:val="24"/>
        </w:rPr>
      </w:pPr>
    </w:p>
    <w:p w14:paraId="23E4FEC3" w14:textId="3F644B11" w:rsidR="007709DC" w:rsidRPr="00B012E9" w:rsidRDefault="00524F76" w:rsidP="007709DC">
      <w:pPr>
        <w:spacing w:line="360" w:lineRule="auto"/>
        <w:jc w:val="center"/>
        <w:rPr>
          <w:b/>
          <w:sz w:val="40"/>
        </w:rPr>
      </w:pPr>
      <w:bookmarkStart w:id="0" w:name="_Hlk78005790"/>
      <w:r>
        <w:rPr>
          <w:b/>
          <w:sz w:val="42"/>
          <w:szCs w:val="24"/>
        </w:rPr>
        <w:t>Organisation’s</w:t>
      </w:r>
      <w:r w:rsidR="007709DC">
        <w:rPr>
          <w:b/>
          <w:sz w:val="42"/>
          <w:szCs w:val="24"/>
        </w:rPr>
        <w:t xml:space="preserve"> Quality Systems and Customer Relationship Management</w:t>
      </w:r>
    </w:p>
    <w:p w14:paraId="230E5383" w14:textId="60CBCB84" w:rsidR="007709DC" w:rsidRPr="00B012E9" w:rsidRDefault="007709DC" w:rsidP="007709DC">
      <w:pPr>
        <w:tabs>
          <w:tab w:val="center" w:pos="4513"/>
          <w:tab w:val="right" w:pos="9026"/>
        </w:tabs>
        <w:spacing w:line="360" w:lineRule="auto"/>
        <w:rPr>
          <w:b/>
          <w:sz w:val="26"/>
        </w:rPr>
      </w:pPr>
      <w:r w:rsidRPr="00B012E9">
        <w:rPr>
          <w:b/>
          <w:sz w:val="28"/>
          <w:szCs w:val="24"/>
        </w:rPr>
        <w:tab/>
        <w:t>BMS</w:t>
      </w:r>
      <w:r>
        <w:rPr>
          <w:b/>
          <w:sz w:val="28"/>
          <w:szCs w:val="24"/>
        </w:rPr>
        <w:t>W5103</w:t>
      </w:r>
      <w:r w:rsidRPr="00B012E9">
        <w:rPr>
          <w:b/>
          <w:sz w:val="28"/>
          <w:szCs w:val="24"/>
        </w:rPr>
        <w:tab/>
      </w:r>
    </w:p>
    <w:p w14:paraId="77A685CE" w14:textId="77777777" w:rsidR="007709DC" w:rsidRPr="00B012E9" w:rsidRDefault="007709DC" w:rsidP="007709DC">
      <w:pPr>
        <w:spacing w:line="360" w:lineRule="auto"/>
        <w:jc w:val="center"/>
        <w:rPr>
          <w:b/>
          <w:sz w:val="28"/>
        </w:rPr>
      </w:pPr>
      <w:r w:rsidRPr="00B012E9">
        <w:rPr>
          <w:b/>
          <w:bCs/>
          <w:sz w:val="30"/>
          <w:szCs w:val="24"/>
        </w:rPr>
        <w:t xml:space="preserve">Submitted by:  </w:t>
      </w:r>
      <w:r w:rsidRPr="00B012E9">
        <w:rPr>
          <w:b/>
          <w:sz w:val="30"/>
          <w:szCs w:val="24"/>
        </w:rPr>
        <w:t>Dapaah Kwame Williams</w:t>
      </w:r>
    </w:p>
    <w:p w14:paraId="4A681909" w14:textId="77777777" w:rsidR="007709DC" w:rsidRPr="00480CBE" w:rsidRDefault="007709DC" w:rsidP="007709DC">
      <w:pPr>
        <w:spacing w:line="360" w:lineRule="auto"/>
        <w:jc w:val="center"/>
        <w:rPr>
          <w:color w:val="FF0000"/>
        </w:rPr>
      </w:pPr>
      <w:r w:rsidRPr="00B012E9">
        <w:rPr>
          <w:b/>
          <w:bCs/>
          <w:sz w:val="24"/>
          <w:szCs w:val="24"/>
        </w:rPr>
        <w:t xml:space="preserve">Student No: </w:t>
      </w:r>
      <w:r w:rsidRPr="00B012E9">
        <w:rPr>
          <w:sz w:val="24"/>
          <w:szCs w:val="24"/>
        </w:rPr>
        <w:t>1916221</w:t>
      </w:r>
    </w:p>
    <w:p w14:paraId="16954903" w14:textId="0094A1BB" w:rsidR="007709DC" w:rsidRPr="00070C66" w:rsidRDefault="007709DC" w:rsidP="007709DC">
      <w:pPr>
        <w:spacing w:line="360" w:lineRule="auto"/>
        <w:jc w:val="center"/>
        <w:rPr>
          <w:b/>
          <w:bCs/>
        </w:rPr>
      </w:pPr>
      <w:r w:rsidRPr="00070C66">
        <w:rPr>
          <w:b/>
          <w:bCs/>
          <w:sz w:val="24"/>
          <w:szCs w:val="24"/>
        </w:rPr>
        <w:t>Submitted to:</w:t>
      </w:r>
      <w:r>
        <w:rPr>
          <w:b/>
          <w:bCs/>
          <w:sz w:val="24"/>
          <w:szCs w:val="24"/>
        </w:rPr>
        <w:t xml:space="preserve"> </w:t>
      </w:r>
      <w:r w:rsidR="00524F76">
        <w:rPr>
          <w:b/>
          <w:bCs/>
          <w:sz w:val="24"/>
          <w:szCs w:val="24"/>
        </w:rPr>
        <w:t>Nandish Patel</w:t>
      </w:r>
    </w:p>
    <w:p w14:paraId="781EAA4A" w14:textId="77777777" w:rsidR="007709DC" w:rsidRDefault="007709DC" w:rsidP="007709DC">
      <w:pPr>
        <w:spacing w:line="360" w:lineRule="auto"/>
        <w:rPr>
          <w:b/>
          <w:bCs/>
          <w:sz w:val="24"/>
          <w:szCs w:val="24"/>
        </w:rPr>
      </w:pPr>
    </w:p>
    <w:p w14:paraId="1970BEBA" w14:textId="7B57B177" w:rsidR="00524F76" w:rsidRPr="00524F76" w:rsidRDefault="00524F76" w:rsidP="00524F76">
      <w:pPr>
        <w:spacing w:line="360" w:lineRule="auto"/>
        <w:jc w:val="both"/>
        <w:rPr>
          <w:rFonts w:ascii="Arial" w:hAnsi="Arial" w:cs="Arial"/>
          <w:color w:val="FF0000"/>
        </w:rPr>
      </w:pPr>
      <w:r w:rsidRPr="009A286A">
        <w:rPr>
          <w:rFonts w:ascii="Arial" w:hAnsi="Arial" w:cs="Arial"/>
          <w:b/>
          <w:bCs/>
        </w:rPr>
        <w:t xml:space="preserve">TABLE OF CONTENT                          </w:t>
      </w:r>
      <w:r w:rsidRPr="009A286A">
        <w:rPr>
          <w:rFonts w:ascii="Arial" w:hAnsi="Arial" w:cs="Arial"/>
          <w:b/>
          <w:bCs/>
        </w:rPr>
        <w:tab/>
      </w:r>
      <w:r w:rsidRPr="009A286A">
        <w:rPr>
          <w:rFonts w:ascii="Arial" w:hAnsi="Arial" w:cs="Arial"/>
          <w:b/>
          <w:bCs/>
        </w:rPr>
        <w:tab/>
      </w:r>
      <w:r w:rsidRPr="009A286A">
        <w:rPr>
          <w:rFonts w:ascii="Arial" w:hAnsi="Arial" w:cs="Arial"/>
          <w:b/>
          <w:bCs/>
        </w:rPr>
        <w:tab/>
      </w:r>
      <w:r w:rsidRPr="009A286A">
        <w:rPr>
          <w:rFonts w:ascii="Arial" w:hAnsi="Arial" w:cs="Arial"/>
          <w:b/>
          <w:bCs/>
        </w:rPr>
        <w:tab/>
        <w:t xml:space="preserve">Page  </w:t>
      </w:r>
    </w:p>
    <w:bookmarkEnd w:id="0"/>
    <w:p w14:paraId="1551B572" w14:textId="6E400BA7" w:rsidR="00524F76" w:rsidRPr="009A286A" w:rsidRDefault="00524F76" w:rsidP="00524F76">
      <w:pPr>
        <w:pStyle w:val="ListParagraph"/>
        <w:numPr>
          <w:ilvl w:val="0"/>
          <w:numId w:val="1"/>
        </w:numPr>
        <w:spacing w:before="100" w:beforeAutospacing="1" w:after="100" w:afterAutospacing="1" w:line="360" w:lineRule="auto"/>
        <w:jc w:val="both"/>
        <w:rPr>
          <w:rFonts w:ascii="Arial" w:eastAsia="Times New Roman" w:hAnsi="Arial" w:cs="Arial"/>
          <w:lang w:eastAsia="en-GB"/>
        </w:rPr>
      </w:pPr>
      <w:r w:rsidRPr="009A286A">
        <w:rPr>
          <w:rFonts w:ascii="Arial" w:eastAsia="Times New Roman" w:hAnsi="Arial" w:cs="Arial"/>
          <w:lang w:eastAsia="en-GB"/>
        </w:rPr>
        <w:t xml:space="preserve">Introduction                       </w:t>
      </w:r>
      <w:r w:rsidRPr="009A286A">
        <w:rPr>
          <w:rFonts w:ascii="Arial" w:eastAsia="Times New Roman" w:hAnsi="Arial" w:cs="Arial"/>
          <w:lang w:eastAsia="en-GB"/>
        </w:rPr>
        <w:tab/>
      </w:r>
      <w:r w:rsidRPr="009A286A">
        <w:rPr>
          <w:rFonts w:ascii="Arial" w:eastAsia="Times New Roman" w:hAnsi="Arial" w:cs="Arial"/>
          <w:lang w:eastAsia="en-GB"/>
        </w:rPr>
        <w:tab/>
      </w:r>
      <w:r w:rsidRPr="009A286A">
        <w:rPr>
          <w:rFonts w:ascii="Arial" w:eastAsia="Times New Roman" w:hAnsi="Arial" w:cs="Arial"/>
          <w:lang w:eastAsia="en-GB"/>
        </w:rPr>
        <w:tab/>
      </w:r>
      <w:r w:rsidRPr="009A286A">
        <w:rPr>
          <w:rFonts w:ascii="Arial" w:eastAsia="Times New Roman" w:hAnsi="Arial" w:cs="Arial"/>
          <w:lang w:eastAsia="en-GB"/>
        </w:rPr>
        <w:tab/>
      </w:r>
    </w:p>
    <w:p w14:paraId="4F30EBF3" w14:textId="1516A986" w:rsidR="00524F76" w:rsidRDefault="00524F76" w:rsidP="00524F76">
      <w:pPr>
        <w:rPr>
          <w:rFonts w:ascii="Arial" w:hAnsi="Arial" w:cs="Arial"/>
        </w:rPr>
      </w:pPr>
      <w:r>
        <w:rPr>
          <w:rFonts w:ascii="Arial" w:hAnsi="Arial" w:cs="Arial"/>
        </w:rPr>
        <w:t xml:space="preserve">     </w:t>
      </w:r>
      <w:r w:rsidRPr="009A286A">
        <w:rPr>
          <w:rFonts w:ascii="Arial" w:hAnsi="Arial" w:cs="Arial"/>
        </w:rPr>
        <w:t xml:space="preserve">  </w:t>
      </w:r>
    </w:p>
    <w:p w14:paraId="24F75019" w14:textId="2E53AD77" w:rsidR="00524F76" w:rsidRPr="00C97434" w:rsidRDefault="00524F76" w:rsidP="00C97434">
      <w:pPr>
        <w:spacing w:line="360" w:lineRule="auto"/>
        <w:jc w:val="both"/>
        <w:rPr>
          <w:rFonts w:ascii="Arial" w:hAnsi="Arial" w:cs="Arial"/>
        </w:rPr>
      </w:pPr>
      <w:r w:rsidRPr="00C97434">
        <w:rPr>
          <w:rFonts w:ascii="Arial" w:hAnsi="Arial" w:cs="Arial"/>
        </w:rPr>
        <w:t>Introduction</w:t>
      </w:r>
    </w:p>
    <w:p w14:paraId="6485B0E3" w14:textId="5DFA29F9" w:rsidR="00C97434" w:rsidRPr="00C97434" w:rsidRDefault="00C97434" w:rsidP="00C97434">
      <w:pPr>
        <w:pStyle w:val="NormalWeb"/>
        <w:spacing w:before="240" w:beforeAutospacing="0" w:after="150" w:afterAutospacing="0" w:line="360" w:lineRule="auto"/>
        <w:jc w:val="both"/>
        <w:rPr>
          <w:rFonts w:ascii="Arial" w:hAnsi="Arial" w:cs="Arial"/>
          <w:sz w:val="22"/>
          <w:szCs w:val="22"/>
        </w:rPr>
      </w:pPr>
      <w:r w:rsidRPr="00C97434">
        <w:rPr>
          <w:rFonts w:ascii="Arial" w:hAnsi="Arial" w:cs="Arial"/>
          <w:sz w:val="22"/>
          <w:szCs w:val="22"/>
        </w:rPr>
        <w:t>DHL is a leading logistics/courier service company in the world today with about 400,000 working staffs in over 220 countries (</w:t>
      </w:r>
      <w:r w:rsidRPr="00C97434">
        <w:rPr>
          <w:rFonts w:ascii="Arial" w:hAnsi="Arial" w:cs="Arial"/>
          <w:color w:val="222222"/>
          <w:sz w:val="22"/>
          <w:szCs w:val="22"/>
          <w:shd w:val="clear" w:color="auto" w:fill="FFFFFF"/>
        </w:rPr>
        <w:t>Dhir, S., 2019)</w:t>
      </w:r>
      <w:r w:rsidRPr="00C97434">
        <w:rPr>
          <w:rFonts w:ascii="Arial" w:hAnsi="Arial" w:cs="Arial"/>
          <w:sz w:val="22"/>
          <w:szCs w:val="22"/>
        </w:rPr>
        <w:t xml:space="preserve">.  DHL express UK provides a wide range of logistics and delivery services within UK and other international courier services, it </w:t>
      </w:r>
      <w:r w:rsidR="00D23D89">
        <w:rPr>
          <w:rFonts w:ascii="Arial" w:hAnsi="Arial" w:cs="Arial"/>
          <w:sz w:val="22"/>
          <w:szCs w:val="22"/>
        </w:rPr>
        <w:t xml:space="preserve">is </w:t>
      </w:r>
      <w:r w:rsidRPr="00C97434">
        <w:rPr>
          <w:rFonts w:ascii="Arial" w:hAnsi="Arial" w:cs="Arial"/>
          <w:sz w:val="22"/>
          <w:szCs w:val="22"/>
        </w:rPr>
        <w:t>obvious how the organization engage and understand the needs of customers. The complex nature of global delivery network such as air-freight delivery, international parcel services, mail services and DHL supply chain (</w:t>
      </w:r>
      <w:r w:rsidRPr="00C97434">
        <w:rPr>
          <w:rFonts w:ascii="Arial" w:hAnsi="Arial" w:cs="Arial"/>
          <w:color w:val="222222"/>
          <w:sz w:val="22"/>
          <w:szCs w:val="22"/>
          <w:shd w:val="clear" w:color="auto" w:fill="FFFFFF"/>
        </w:rPr>
        <w:t>Dhir, S., 2019)</w:t>
      </w:r>
      <w:r w:rsidRPr="00C97434">
        <w:rPr>
          <w:rFonts w:ascii="Arial" w:hAnsi="Arial" w:cs="Arial"/>
          <w:sz w:val="22"/>
          <w:szCs w:val="22"/>
        </w:rPr>
        <w:t xml:space="preserve">. </w:t>
      </w:r>
    </w:p>
    <w:p w14:paraId="77DFF03E" w14:textId="763F9C60" w:rsidR="00C97434" w:rsidRPr="00C97434" w:rsidRDefault="00C97434" w:rsidP="00C97434">
      <w:pPr>
        <w:pStyle w:val="NormalWeb"/>
        <w:spacing w:before="0" w:beforeAutospacing="0" w:after="150" w:afterAutospacing="0" w:line="360" w:lineRule="auto"/>
        <w:jc w:val="both"/>
        <w:rPr>
          <w:rFonts w:ascii="Arial" w:hAnsi="Arial" w:cs="Arial"/>
          <w:sz w:val="22"/>
          <w:szCs w:val="22"/>
        </w:rPr>
      </w:pPr>
      <w:r w:rsidRPr="00C97434">
        <w:rPr>
          <w:rFonts w:ascii="Arial" w:hAnsi="Arial" w:cs="Arial"/>
          <w:sz w:val="22"/>
          <w:szCs w:val="22"/>
        </w:rPr>
        <w:lastRenderedPageBreak/>
        <w:t xml:space="preserve">One of the competent </w:t>
      </w:r>
      <w:r w:rsidR="00D23D89" w:rsidRPr="00C97434">
        <w:rPr>
          <w:rFonts w:ascii="Arial" w:hAnsi="Arial" w:cs="Arial"/>
          <w:sz w:val="22"/>
          <w:szCs w:val="22"/>
        </w:rPr>
        <w:t>strengths</w:t>
      </w:r>
      <w:r w:rsidRPr="00C97434">
        <w:rPr>
          <w:rFonts w:ascii="Arial" w:hAnsi="Arial" w:cs="Arial"/>
          <w:sz w:val="22"/>
          <w:szCs w:val="22"/>
        </w:rPr>
        <w:t xml:space="preserve"> of DHL UK is the shipping embargoes they have over other countries unlike other delivery companies such as UPS and FedEx. They </w:t>
      </w:r>
      <w:proofErr w:type="gramStart"/>
      <w:r w:rsidRPr="00C97434">
        <w:rPr>
          <w:rFonts w:ascii="Arial" w:hAnsi="Arial" w:cs="Arial"/>
          <w:sz w:val="22"/>
          <w:szCs w:val="22"/>
        </w:rPr>
        <w:t>are able to</w:t>
      </w:r>
      <w:proofErr w:type="gramEnd"/>
      <w:r w:rsidRPr="00C97434">
        <w:rPr>
          <w:rFonts w:ascii="Arial" w:hAnsi="Arial" w:cs="Arial"/>
          <w:sz w:val="22"/>
          <w:szCs w:val="22"/>
        </w:rPr>
        <w:t xml:space="preserve"> reach countries such as Cuba, North Korea, Afghanistan, Myanmar, etc. DHL even has a strong delivery network among the European Union regardless the political interferences. For the past years the organization has had a very good customer retention and relations with its clients due to the quality systems and controls initiated by DHL (Tran, 2019). </w:t>
      </w:r>
    </w:p>
    <w:p w14:paraId="65107D6C" w14:textId="11B782A2" w:rsidR="00C97434" w:rsidRPr="00C97434" w:rsidRDefault="00C97434" w:rsidP="00C97434">
      <w:pPr>
        <w:pStyle w:val="NormalWeb"/>
        <w:spacing w:before="0" w:beforeAutospacing="0" w:after="150" w:afterAutospacing="0" w:line="360" w:lineRule="auto"/>
        <w:jc w:val="both"/>
        <w:rPr>
          <w:rFonts w:ascii="Arial" w:hAnsi="Arial" w:cs="Arial"/>
          <w:sz w:val="22"/>
          <w:szCs w:val="22"/>
        </w:rPr>
      </w:pPr>
      <w:r w:rsidRPr="00C97434">
        <w:rPr>
          <w:rFonts w:ascii="Arial" w:hAnsi="Arial" w:cs="Arial"/>
          <w:sz w:val="22"/>
          <w:szCs w:val="22"/>
        </w:rPr>
        <w:t xml:space="preserve">Notwithstanding, the internal and external factors involve in the daily activities of DHL, they </w:t>
      </w:r>
      <w:proofErr w:type="gramStart"/>
      <w:r w:rsidRPr="00C97434">
        <w:rPr>
          <w:rFonts w:ascii="Arial" w:hAnsi="Arial" w:cs="Arial"/>
          <w:sz w:val="22"/>
          <w:szCs w:val="22"/>
        </w:rPr>
        <w:t>are able to</w:t>
      </w:r>
      <w:proofErr w:type="gramEnd"/>
      <w:r w:rsidRPr="00C97434">
        <w:rPr>
          <w:rFonts w:ascii="Arial" w:hAnsi="Arial" w:cs="Arial"/>
          <w:sz w:val="22"/>
          <w:szCs w:val="22"/>
        </w:rPr>
        <w:t xml:space="preserve"> achieve the company’s objective. Internal factors </w:t>
      </w:r>
      <w:r w:rsidR="00D23D89" w:rsidRPr="00C97434">
        <w:rPr>
          <w:rFonts w:ascii="Arial" w:hAnsi="Arial" w:cs="Arial"/>
          <w:sz w:val="22"/>
          <w:szCs w:val="22"/>
        </w:rPr>
        <w:t>refer</w:t>
      </w:r>
      <w:r w:rsidRPr="00C97434">
        <w:rPr>
          <w:rFonts w:ascii="Arial" w:hAnsi="Arial" w:cs="Arial"/>
          <w:sz w:val="22"/>
          <w:szCs w:val="22"/>
        </w:rPr>
        <w:t xml:space="preserve"> to anything within the company that affects business activities both positive and negative whether tangible or intangible. These factors are grouped into strength, weaknesses, opportunities</w:t>
      </w:r>
      <w:r w:rsidR="00D23D89">
        <w:rPr>
          <w:rFonts w:ascii="Arial" w:hAnsi="Arial" w:cs="Arial"/>
          <w:sz w:val="22"/>
          <w:szCs w:val="22"/>
        </w:rPr>
        <w:t>,</w:t>
      </w:r>
      <w:r w:rsidRPr="00C97434">
        <w:rPr>
          <w:rFonts w:ascii="Arial" w:hAnsi="Arial" w:cs="Arial"/>
          <w:sz w:val="22"/>
          <w:szCs w:val="22"/>
        </w:rPr>
        <w:t xml:space="preserve"> and threats. External factors on the contrary are the environmental factors that affect the organizations business, this is very useful in identifying available collaboration partners to gain competitive advantage for the organization. Example of External analysis are the political, economic, social, technology, environmental, international collaboration, demographics, environment and legal. </w:t>
      </w:r>
    </w:p>
    <w:p w14:paraId="44A87EA9" w14:textId="77777777" w:rsidR="00C97434" w:rsidRPr="00C97434" w:rsidRDefault="00C97434" w:rsidP="00C97434">
      <w:pPr>
        <w:pStyle w:val="NormalWeb"/>
        <w:spacing w:before="0" w:beforeAutospacing="0" w:after="150" w:afterAutospacing="0" w:line="360" w:lineRule="auto"/>
        <w:jc w:val="both"/>
        <w:rPr>
          <w:rFonts w:ascii="Arial" w:hAnsi="Arial" w:cs="Arial"/>
          <w:sz w:val="22"/>
          <w:szCs w:val="22"/>
        </w:rPr>
      </w:pPr>
      <w:proofErr w:type="gramStart"/>
      <w:r w:rsidRPr="00C97434">
        <w:rPr>
          <w:rFonts w:ascii="Arial" w:hAnsi="Arial" w:cs="Arial"/>
          <w:sz w:val="22"/>
          <w:szCs w:val="22"/>
        </w:rPr>
        <w:t>In order to</w:t>
      </w:r>
      <w:proofErr w:type="gramEnd"/>
      <w:r w:rsidRPr="00C97434">
        <w:rPr>
          <w:rFonts w:ascii="Arial" w:hAnsi="Arial" w:cs="Arial"/>
          <w:sz w:val="22"/>
          <w:szCs w:val="22"/>
        </w:rPr>
        <w:t xml:space="preserve"> effectively undertake both the internal and external analysis at DHL UK, there are a number of key steps to be established to gain a strategic position especially during this pandemic era (COVID-19). Further discussions will elaborate more on the two factors.  </w:t>
      </w:r>
    </w:p>
    <w:p w14:paraId="0F0FFEDA" w14:textId="77777777" w:rsidR="00C97434" w:rsidRPr="00C97434" w:rsidRDefault="00C97434" w:rsidP="00C97434">
      <w:pPr>
        <w:pStyle w:val="NormalWeb"/>
        <w:spacing w:before="0" w:beforeAutospacing="0" w:after="150" w:afterAutospacing="0" w:line="360" w:lineRule="auto"/>
        <w:jc w:val="both"/>
        <w:rPr>
          <w:rFonts w:ascii="Arial" w:hAnsi="Arial" w:cs="Arial"/>
          <w:sz w:val="22"/>
          <w:szCs w:val="22"/>
        </w:rPr>
      </w:pPr>
    </w:p>
    <w:p w14:paraId="73B0A26C" w14:textId="77777777" w:rsidR="00C97434" w:rsidRPr="00C97434" w:rsidRDefault="00C97434" w:rsidP="00C97434">
      <w:pPr>
        <w:pStyle w:val="NormalWeb"/>
        <w:spacing w:before="0" w:beforeAutospacing="0" w:after="150" w:afterAutospacing="0" w:line="360" w:lineRule="auto"/>
        <w:jc w:val="both"/>
        <w:rPr>
          <w:rFonts w:ascii="Arial" w:hAnsi="Arial" w:cs="Arial"/>
          <w:sz w:val="22"/>
          <w:szCs w:val="22"/>
        </w:rPr>
      </w:pPr>
    </w:p>
    <w:p w14:paraId="5A53F009" w14:textId="77777777" w:rsidR="00C97434" w:rsidRPr="00C97434" w:rsidRDefault="00C97434" w:rsidP="00C97434">
      <w:pPr>
        <w:pStyle w:val="NormalWeb"/>
        <w:spacing w:before="0" w:beforeAutospacing="0" w:after="150" w:afterAutospacing="0" w:line="360" w:lineRule="auto"/>
        <w:jc w:val="both"/>
        <w:rPr>
          <w:rFonts w:ascii="Arial" w:hAnsi="Arial" w:cs="Arial"/>
          <w:sz w:val="22"/>
          <w:szCs w:val="22"/>
        </w:rPr>
      </w:pPr>
      <w:r w:rsidRPr="00C97434">
        <w:rPr>
          <w:rFonts w:ascii="Arial" w:hAnsi="Arial" w:cs="Arial"/>
          <w:sz w:val="22"/>
          <w:szCs w:val="22"/>
        </w:rPr>
        <w:t>REFERENCES</w:t>
      </w:r>
    </w:p>
    <w:p w14:paraId="612C6B33" w14:textId="77777777" w:rsidR="00C97434" w:rsidRPr="00C97434" w:rsidRDefault="00C97434" w:rsidP="00C97434">
      <w:pPr>
        <w:pStyle w:val="NormalWeb"/>
        <w:spacing w:before="0" w:beforeAutospacing="0" w:after="150" w:afterAutospacing="0" w:line="360" w:lineRule="auto"/>
        <w:jc w:val="both"/>
        <w:rPr>
          <w:rFonts w:ascii="Arial" w:hAnsi="Arial" w:cs="Arial"/>
          <w:sz w:val="22"/>
          <w:szCs w:val="22"/>
        </w:rPr>
      </w:pPr>
      <w:r w:rsidRPr="00C97434">
        <w:rPr>
          <w:rFonts w:ascii="Arial" w:hAnsi="Arial" w:cs="Arial"/>
          <w:color w:val="222222"/>
          <w:sz w:val="22"/>
          <w:szCs w:val="22"/>
          <w:shd w:val="clear" w:color="auto" w:fill="FFFFFF"/>
        </w:rPr>
        <w:t>Dhir, S., 2019. DHL. In </w:t>
      </w:r>
      <w:r w:rsidRPr="00C97434">
        <w:rPr>
          <w:rFonts w:ascii="Arial" w:hAnsi="Arial" w:cs="Arial"/>
          <w:i/>
          <w:iCs/>
          <w:color w:val="222222"/>
          <w:sz w:val="22"/>
          <w:szCs w:val="22"/>
          <w:shd w:val="clear" w:color="auto" w:fill="FFFFFF"/>
        </w:rPr>
        <w:t>Cases in Strategic Management</w:t>
      </w:r>
      <w:r w:rsidRPr="00C97434">
        <w:rPr>
          <w:rFonts w:ascii="Arial" w:hAnsi="Arial" w:cs="Arial"/>
          <w:color w:val="222222"/>
          <w:sz w:val="22"/>
          <w:szCs w:val="22"/>
          <w:shd w:val="clear" w:color="auto" w:fill="FFFFFF"/>
        </w:rPr>
        <w:t> (pp. 55-72). Springer, Singapore.</w:t>
      </w:r>
      <w:r w:rsidRPr="00C97434">
        <w:rPr>
          <w:rFonts w:ascii="Arial" w:hAnsi="Arial" w:cs="Arial"/>
          <w:sz w:val="22"/>
          <w:szCs w:val="22"/>
        </w:rPr>
        <w:t xml:space="preserve">    </w:t>
      </w:r>
    </w:p>
    <w:p w14:paraId="00196CE1" w14:textId="1207EB61" w:rsidR="00C97434" w:rsidRPr="00C97434" w:rsidRDefault="00C97434" w:rsidP="00C97434">
      <w:pPr>
        <w:pStyle w:val="NormalWeb"/>
        <w:spacing w:before="0" w:beforeAutospacing="0" w:after="150" w:afterAutospacing="0" w:line="360" w:lineRule="auto"/>
        <w:jc w:val="both"/>
        <w:rPr>
          <w:rFonts w:ascii="Arial" w:hAnsi="Arial" w:cs="Arial"/>
          <w:sz w:val="22"/>
          <w:szCs w:val="22"/>
        </w:rPr>
      </w:pPr>
      <w:r w:rsidRPr="00C97434">
        <w:rPr>
          <w:rFonts w:ascii="Arial" w:hAnsi="Arial" w:cs="Arial"/>
          <w:color w:val="222222"/>
          <w:sz w:val="22"/>
          <w:szCs w:val="22"/>
          <w:shd w:val="clear" w:color="auto" w:fill="FFFFFF"/>
        </w:rPr>
        <w:t>Tran, D.T., Wong, W.K., Moslehpour, M. and Xuan, Q.L.H., 2019. Speculating environmental sustainability strategy for logistics service providers based on DHL experiences. </w:t>
      </w:r>
      <w:r w:rsidRPr="00C97434">
        <w:rPr>
          <w:rFonts w:ascii="Arial" w:hAnsi="Arial" w:cs="Arial"/>
          <w:i/>
          <w:iCs/>
          <w:color w:val="222222"/>
          <w:sz w:val="22"/>
          <w:szCs w:val="22"/>
          <w:shd w:val="clear" w:color="auto" w:fill="FFFFFF"/>
        </w:rPr>
        <w:t>Journal of Management Information and Decision Sciences</w:t>
      </w:r>
      <w:r w:rsidRPr="00C97434">
        <w:rPr>
          <w:rFonts w:ascii="Arial" w:hAnsi="Arial" w:cs="Arial"/>
          <w:color w:val="222222"/>
          <w:sz w:val="22"/>
          <w:szCs w:val="22"/>
          <w:shd w:val="clear" w:color="auto" w:fill="FFFFFF"/>
        </w:rPr>
        <w:t>, </w:t>
      </w:r>
      <w:r w:rsidRPr="00C97434">
        <w:rPr>
          <w:rFonts w:ascii="Arial" w:hAnsi="Arial" w:cs="Arial"/>
          <w:i/>
          <w:iCs/>
          <w:color w:val="222222"/>
          <w:sz w:val="22"/>
          <w:szCs w:val="22"/>
          <w:shd w:val="clear" w:color="auto" w:fill="FFFFFF"/>
        </w:rPr>
        <w:t>22</w:t>
      </w:r>
      <w:r w:rsidRPr="00C97434">
        <w:rPr>
          <w:rFonts w:ascii="Arial" w:hAnsi="Arial" w:cs="Arial"/>
          <w:color w:val="222222"/>
          <w:sz w:val="22"/>
          <w:szCs w:val="22"/>
          <w:shd w:val="clear" w:color="auto" w:fill="FFFFFF"/>
        </w:rPr>
        <w:t>(4), pp.415-443.</w:t>
      </w:r>
    </w:p>
    <w:p w14:paraId="74A1B142" w14:textId="317963DF" w:rsidR="001958D1" w:rsidRPr="00C97434" w:rsidRDefault="00524F76" w:rsidP="00C97434">
      <w:pPr>
        <w:spacing w:line="360" w:lineRule="auto"/>
        <w:jc w:val="both"/>
        <w:rPr>
          <w:rFonts w:ascii="Arial" w:hAnsi="Arial" w:cs="Arial"/>
        </w:rPr>
      </w:pPr>
      <w:r w:rsidRPr="00C97434">
        <w:rPr>
          <w:rFonts w:ascii="Arial" w:hAnsi="Arial" w:cs="Arial"/>
        </w:rPr>
        <w:t xml:space="preserve"> </w:t>
      </w:r>
    </w:p>
    <w:sectPr w:rsidR="001958D1" w:rsidRPr="00C9743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D316C6"/>
    <w:multiLevelType w:val="hybridMultilevel"/>
    <w:tmpl w:val="A6FE11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8D1"/>
    <w:rsid w:val="00114C5A"/>
    <w:rsid w:val="001958D1"/>
    <w:rsid w:val="0044203F"/>
    <w:rsid w:val="00524F76"/>
    <w:rsid w:val="00572942"/>
    <w:rsid w:val="00707167"/>
    <w:rsid w:val="00737F06"/>
    <w:rsid w:val="007709DC"/>
    <w:rsid w:val="00983C77"/>
    <w:rsid w:val="00BC3CFE"/>
    <w:rsid w:val="00C97434"/>
    <w:rsid w:val="00D23D89"/>
    <w:rsid w:val="00D61F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5DA27"/>
  <w15:chartTrackingRefBased/>
  <w15:docId w15:val="{12F21FF6-34CE-4C42-9889-319231FE8B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09D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4F76"/>
    <w:pPr>
      <w:ind w:left="720"/>
      <w:contextualSpacing/>
    </w:pPr>
  </w:style>
  <w:style w:type="paragraph" w:styleId="NormalWeb">
    <w:name w:val="Normal (Web)"/>
    <w:basedOn w:val="Normal"/>
    <w:uiPriority w:val="99"/>
    <w:unhideWhenUsed/>
    <w:rsid w:val="00707167"/>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2</Pages>
  <Words>402</Words>
  <Characters>2294</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Kwame Dapaah (1916221)</dc:creator>
  <cp:keywords/>
  <dc:description/>
  <cp:lastModifiedBy>Williams Kwame Dapaah (1916221)</cp:lastModifiedBy>
  <cp:revision>10</cp:revision>
  <dcterms:created xsi:type="dcterms:W3CDTF">2021-07-15T12:32:00Z</dcterms:created>
  <dcterms:modified xsi:type="dcterms:W3CDTF">2021-07-25T08:06:00Z</dcterms:modified>
</cp:coreProperties>
</file>