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F7BA7" w14:textId="77777777" w:rsidR="00EC6CF3" w:rsidRPr="00EC6CF3" w:rsidRDefault="00EC6CF3" w:rsidP="00EC6CF3">
      <w:pPr>
        <w:spacing w:before="100" w:beforeAutospacing="1" w:after="100" w:afterAutospacing="1" w:line="360" w:lineRule="auto"/>
        <w:outlineLvl w:val="2"/>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Research Proposal: Systematic Review of the Impact of Telemedicine and Digital Platforms on Hypertension Management Among the Elderly in the UK</w:t>
      </w:r>
    </w:p>
    <w:p w14:paraId="28C7A9E2" w14:textId="77777777" w:rsidR="00EC6CF3" w:rsidRPr="00EC6CF3" w:rsidRDefault="00EC6CF3" w:rsidP="00EC6CF3">
      <w:pPr>
        <w:spacing w:before="100" w:beforeAutospacing="1" w:after="100" w:afterAutospacing="1" w:line="360" w:lineRule="auto"/>
        <w:outlineLvl w:val="3"/>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1. Introduction</w:t>
      </w:r>
    </w:p>
    <w:p w14:paraId="0ECD1274"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Hypertension, or high blood pressure, is a leading health issue among the elderly in the UK, with a prevalence rate of approximately 58% among those aged 65 and above (Kaplan &amp; Victor, 2010; National Institute for Health and Care Excellence, 2019). Chronic hypertension significantly increases the risk of cardiovascular diseases, requiring consistent monitoring and management to mitigate complications (Aronow, 2014). However, traditional in-person healthcare approaches present challenges for elderly patients, often due to limited mobility, transportation issues, and other accessibility barriers (Rechel et al., 2009).</w:t>
      </w:r>
    </w:p>
    <w:p w14:paraId="6C49AD53"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Telemedicine and digital health platforms have emerged as potential solutions to these challenges, providing accessible means for remote monitoring, timely interventions, and continuous engagement with healthcare providers. Studies suggest that telemedicine can improve treatment adherence and health outcomes among patients with chronic conditions (Dorsey &amp; Topol, 2020). However, the specific benefits, limitations, and impacts of telemedicine on hypertension management in elderly populations, particularly in the UK, require a more comprehensive and systematic review. This proposal outlines a plan to systematically review existing literature to evaluate the efficacy, challenges, and overall impact of telemedicine on hypertension management for elderly individuals in the UK.</w:t>
      </w:r>
    </w:p>
    <w:p w14:paraId="618B4A67" w14:textId="77777777" w:rsidR="00EC6CF3" w:rsidRPr="00EC6CF3" w:rsidRDefault="00EC6CF3" w:rsidP="00EC6CF3">
      <w:pPr>
        <w:spacing w:before="100" w:beforeAutospacing="1" w:after="100" w:afterAutospacing="1" w:line="360" w:lineRule="auto"/>
        <w:outlineLvl w:val="3"/>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2. Rationale</w:t>
      </w:r>
    </w:p>
    <w:p w14:paraId="37B237FF"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The rationale for this systematic review includes several factors. Firstly, while hypertension management is critical for preventing severe health complications in the elderly, traditional healthcare models may not adequately serve this population due to accessibility challenges (Aronow, 2014). Telemedicine has shown promise in addressing similar issues in other chronic diseases, such as diabetes and chronic obstructive pulmonary disease (COPD) (Kruse &amp; Beane, 2018), yet its application specifically for hypertension management in elderly UK residents has not been thoroughly investigated.</w:t>
      </w:r>
    </w:p>
    <w:p w14:paraId="4B1AFEAA"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Furthermore, the UK’s aging population, projected to grow by 32% by 2030, will likely increase the demand for scalable and accessible chronic disease management solutions (Office for National Statistics, 2021). Evaluating the role of telemedicine for hypertension in this demographic is essential for informing healthcare policy and optimizing resources. Finally, by conducting a systematic review, this study aims to address gaps in the existing </w:t>
      </w:r>
      <w:r w:rsidRPr="00EC6CF3">
        <w:rPr>
          <w:rFonts w:ascii="Arial" w:eastAsia="Times New Roman" w:hAnsi="Arial" w:cs="Arial"/>
          <w:szCs w:val="22"/>
          <w:lang w:eastAsia="en-IN" w:bidi="gu-IN"/>
        </w:rPr>
        <w:lastRenderedPageBreak/>
        <w:t>literature and provide evidence-based recommendations for integrating telemedicine into hypertension management protocols for the elderly.</w:t>
      </w:r>
    </w:p>
    <w:p w14:paraId="65A88F1B" w14:textId="77777777" w:rsidR="00EC6CF3" w:rsidRPr="00EC6CF3" w:rsidRDefault="00EC6CF3" w:rsidP="00EC6CF3">
      <w:pPr>
        <w:spacing w:before="100" w:beforeAutospacing="1" w:after="100" w:afterAutospacing="1" w:line="360" w:lineRule="auto"/>
        <w:outlineLvl w:val="3"/>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3. Research Aim and Objectives</w:t>
      </w:r>
    </w:p>
    <w:p w14:paraId="0E86E65D"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Aim</w:t>
      </w:r>
      <w:r w:rsidRPr="00EC6CF3">
        <w:rPr>
          <w:rFonts w:ascii="Arial" w:eastAsia="Times New Roman" w:hAnsi="Arial" w:cs="Arial"/>
          <w:szCs w:val="22"/>
          <w:lang w:eastAsia="en-IN" w:bidi="gu-IN"/>
        </w:rPr>
        <w:br/>
        <w:t>To systematically review the impact of telemedicine and digital health platforms on the management of hypertension among elderly individuals in the UK.</w:t>
      </w:r>
    </w:p>
    <w:p w14:paraId="6840324F"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Objectives</w:t>
      </w:r>
    </w:p>
    <w:p w14:paraId="01D6E735" w14:textId="77777777" w:rsidR="00EC6CF3" w:rsidRPr="00EC6CF3" w:rsidRDefault="00EC6CF3" w:rsidP="00EC6CF3">
      <w:pPr>
        <w:numPr>
          <w:ilvl w:val="0"/>
          <w:numId w:val="1"/>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To evaluate the efficacy of telemedicine in improving blood pressure control and reducing complications associated with hypertension in elderly UK populations.</w:t>
      </w:r>
    </w:p>
    <w:p w14:paraId="2C707BF3" w14:textId="77777777" w:rsidR="00EC6CF3" w:rsidRPr="00EC6CF3" w:rsidRDefault="00EC6CF3" w:rsidP="00EC6CF3">
      <w:pPr>
        <w:numPr>
          <w:ilvl w:val="0"/>
          <w:numId w:val="1"/>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To identify common barriers and facilitators to telemedicine adoption and sustained use among elderly patients.</w:t>
      </w:r>
    </w:p>
    <w:p w14:paraId="724FECBF" w14:textId="77777777" w:rsidR="00EC6CF3" w:rsidRPr="00EC6CF3" w:rsidRDefault="00EC6CF3" w:rsidP="00EC6CF3">
      <w:pPr>
        <w:numPr>
          <w:ilvl w:val="0"/>
          <w:numId w:val="1"/>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To assess the economic implications and cost-effectiveness of telemedicine for hypertension management compared to traditional care models.</w:t>
      </w:r>
    </w:p>
    <w:p w14:paraId="7F3A5990" w14:textId="77777777" w:rsidR="00EC6CF3" w:rsidRPr="00EC6CF3" w:rsidRDefault="00EC6CF3" w:rsidP="00EC6CF3">
      <w:pPr>
        <w:numPr>
          <w:ilvl w:val="0"/>
          <w:numId w:val="1"/>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To provide evidence-based recommendations for optimizing telemedicine use for elderly patients with hypertension in the UK.</w:t>
      </w:r>
    </w:p>
    <w:p w14:paraId="7C8AE504" w14:textId="77777777" w:rsidR="00EC6CF3" w:rsidRPr="00EC6CF3" w:rsidRDefault="00EC6CF3" w:rsidP="00EC6CF3">
      <w:pPr>
        <w:spacing w:before="100" w:beforeAutospacing="1" w:after="100" w:afterAutospacing="1" w:line="360" w:lineRule="auto"/>
        <w:outlineLvl w:val="3"/>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4. Methodology</w:t>
      </w:r>
    </w:p>
    <w:p w14:paraId="7780C675"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Study Design</w:t>
      </w:r>
      <w:r w:rsidRPr="00EC6CF3">
        <w:rPr>
          <w:rFonts w:ascii="Arial" w:eastAsia="Times New Roman" w:hAnsi="Arial" w:cs="Arial"/>
          <w:szCs w:val="22"/>
          <w:lang w:eastAsia="en-IN" w:bidi="gu-IN"/>
        </w:rPr>
        <w:br/>
        <w:t>This study will employ a systematic review methodology following PRISMA (Preferred Reporting Items for Systematic Reviews and Meta-Analyses) guidelines to ensure rigorous analysis and reporting standards (Moher et al., 2009).</w:t>
      </w:r>
    </w:p>
    <w:p w14:paraId="224A6806"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Inclusion Criteria</w:t>
      </w:r>
    </w:p>
    <w:p w14:paraId="1B8568DA" w14:textId="77777777" w:rsidR="00EC6CF3" w:rsidRPr="00EC6CF3" w:rsidRDefault="00EC6CF3" w:rsidP="00EC6CF3">
      <w:pPr>
        <w:numPr>
          <w:ilvl w:val="0"/>
          <w:numId w:val="2"/>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Studies published in English from 2000 onward.</w:t>
      </w:r>
    </w:p>
    <w:p w14:paraId="68142F49" w14:textId="77777777" w:rsidR="00EC6CF3" w:rsidRPr="00EC6CF3" w:rsidRDefault="00EC6CF3" w:rsidP="00EC6CF3">
      <w:pPr>
        <w:numPr>
          <w:ilvl w:val="0"/>
          <w:numId w:val="2"/>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Studies focused on telemedicine, digital health, or remote monitoring interventions for hypertension management among elderly populations (aged 65+) in the UK.</w:t>
      </w:r>
    </w:p>
    <w:p w14:paraId="6966F748" w14:textId="77777777" w:rsidR="00EC6CF3" w:rsidRPr="00EC6CF3" w:rsidRDefault="00EC6CF3" w:rsidP="00EC6CF3">
      <w:pPr>
        <w:numPr>
          <w:ilvl w:val="0"/>
          <w:numId w:val="2"/>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Randomized controlled trials (RCTs), cohort studies, and observational studies providing quantitative or qualitative data on patient outcomes, treatment adherence, and healthcare costs.</w:t>
      </w:r>
    </w:p>
    <w:p w14:paraId="2E297759"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Exclusion Criteria</w:t>
      </w:r>
    </w:p>
    <w:p w14:paraId="07D46448" w14:textId="77777777" w:rsidR="00EC6CF3" w:rsidRPr="00EC6CF3" w:rsidRDefault="00EC6CF3" w:rsidP="00EC6CF3">
      <w:pPr>
        <w:numPr>
          <w:ilvl w:val="0"/>
          <w:numId w:val="3"/>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Studies not specific to the UK or elderly populations.</w:t>
      </w:r>
    </w:p>
    <w:p w14:paraId="7A17D48D" w14:textId="77777777" w:rsidR="00EC6CF3" w:rsidRPr="00EC6CF3" w:rsidRDefault="00EC6CF3" w:rsidP="00EC6CF3">
      <w:pPr>
        <w:numPr>
          <w:ilvl w:val="0"/>
          <w:numId w:val="3"/>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lastRenderedPageBreak/>
        <w:t>Studies without full-text availability.</w:t>
      </w:r>
    </w:p>
    <w:p w14:paraId="7F42207A" w14:textId="77777777" w:rsidR="00EC6CF3" w:rsidRPr="00EC6CF3" w:rsidRDefault="00EC6CF3" w:rsidP="00EC6CF3">
      <w:pPr>
        <w:numPr>
          <w:ilvl w:val="0"/>
          <w:numId w:val="3"/>
        </w:num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Studies primarily focused on non-hypertension conditions.</w:t>
      </w:r>
    </w:p>
    <w:p w14:paraId="26E4E0E2"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Data Sources</w:t>
      </w:r>
      <w:r w:rsidRPr="00EC6CF3">
        <w:rPr>
          <w:rFonts w:ascii="Arial" w:eastAsia="Times New Roman" w:hAnsi="Arial" w:cs="Arial"/>
          <w:szCs w:val="22"/>
          <w:lang w:eastAsia="en-IN" w:bidi="gu-IN"/>
        </w:rPr>
        <w:br/>
        <w:t>The following electronic databases will be systematically searched: PubMed, MEDLINE, Cochrane Library, CINAHL, and Scopus. Keywords and Medical Subject Headings (</w:t>
      </w:r>
      <w:proofErr w:type="spellStart"/>
      <w:r w:rsidRPr="00EC6CF3">
        <w:rPr>
          <w:rFonts w:ascii="Arial" w:eastAsia="Times New Roman" w:hAnsi="Arial" w:cs="Arial"/>
          <w:szCs w:val="22"/>
          <w:lang w:eastAsia="en-IN" w:bidi="gu-IN"/>
        </w:rPr>
        <w:t>MeSH</w:t>
      </w:r>
      <w:proofErr w:type="spellEnd"/>
      <w:r w:rsidRPr="00EC6CF3">
        <w:rPr>
          <w:rFonts w:ascii="Arial" w:eastAsia="Times New Roman" w:hAnsi="Arial" w:cs="Arial"/>
          <w:szCs w:val="22"/>
          <w:lang w:eastAsia="en-IN" w:bidi="gu-IN"/>
        </w:rPr>
        <w:t>) terms will include “hypertension,” “telemedicine,” “digital health,” “remote monitoring,” “elderly,” and “UK.”</w:t>
      </w:r>
    </w:p>
    <w:p w14:paraId="3593FB9E"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Data Extraction and Quality Assessment</w:t>
      </w:r>
      <w:r w:rsidRPr="00EC6CF3">
        <w:rPr>
          <w:rFonts w:ascii="Arial" w:eastAsia="Times New Roman" w:hAnsi="Arial" w:cs="Arial"/>
          <w:szCs w:val="22"/>
          <w:lang w:eastAsia="en-IN" w:bidi="gu-IN"/>
        </w:rPr>
        <w:br/>
        <w:t>Two independent reviewers will screen titles, abstracts, and full texts for eligibility. A standardized data extraction form will be used to collect information on study characteristics, participant demographics, telemedicine interventions, outcomes, and limitations. The methodological quality of studies will be assessed using the Cochrane Risk of Bias Tool for RCTs and the Newcastle-Ottawa Scale for cohort and observational studies (Higgins et al., 2011).</w:t>
      </w:r>
    </w:p>
    <w:p w14:paraId="0928BB1D"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b/>
          <w:bCs/>
          <w:szCs w:val="22"/>
          <w:lang w:eastAsia="en-IN" w:bidi="gu-IN"/>
        </w:rPr>
        <w:t>Data Analysis</w:t>
      </w:r>
      <w:r w:rsidRPr="00EC6CF3">
        <w:rPr>
          <w:rFonts w:ascii="Arial" w:eastAsia="Times New Roman" w:hAnsi="Arial" w:cs="Arial"/>
          <w:szCs w:val="22"/>
          <w:lang w:eastAsia="en-IN" w:bidi="gu-IN"/>
        </w:rPr>
        <w:br/>
        <w:t>A narrative synthesis will be conducted to describe key findings, including the impact of telemedicine on blood pressure control, hospitalization rates, and cost-effectiveness. Where appropriate, meta-analysis will be performed to quantify pooled effects, with subgroup analyses to explore differences based on intervention type, duration, and patient characteristics.</w:t>
      </w:r>
    </w:p>
    <w:p w14:paraId="7A9EEB6C" w14:textId="77777777" w:rsidR="00EC6CF3" w:rsidRPr="00EC6CF3" w:rsidRDefault="00EC6CF3" w:rsidP="00EC6CF3">
      <w:pPr>
        <w:spacing w:before="100" w:beforeAutospacing="1" w:after="100" w:afterAutospacing="1" w:line="360" w:lineRule="auto"/>
        <w:outlineLvl w:val="3"/>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5. Significance of the Study</w:t>
      </w:r>
    </w:p>
    <w:p w14:paraId="3DBA8EA9"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This systematic review will provide valuable insights into the effectiveness and feasibility of telemedicine for hypertension management among elderly populations in the UK. The findings will have implications for healthcare policy, highlighting potential benefits and limitations of digital interventions in reducing healthcare disparities among the elderly. Moreover, the study aims to contribute evidence-based recommendations to support the integration of telemedicine in managing chronic conditions among aging populations, ultimately aiding in resource optimization for the National Health Service (NHS) (Dixon &amp; </w:t>
      </w:r>
      <w:proofErr w:type="spellStart"/>
      <w:r w:rsidRPr="00EC6CF3">
        <w:rPr>
          <w:rFonts w:ascii="Arial" w:eastAsia="Times New Roman" w:hAnsi="Arial" w:cs="Arial"/>
          <w:szCs w:val="22"/>
          <w:lang w:eastAsia="en-IN" w:bidi="gu-IN"/>
        </w:rPr>
        <w:t>Mossialos</w:t>
      </w:r>
      <w:proofErr w:type="spellEnd"/>
      <w:r w:rsidRPr="00EC6CF3">
        <w:rPr>
          <w:rFonts w:ascii="Arial" w:eastAsia="Times New Roman" w:hAnsi="Arial" w:cs="Arial"/>
          <w:szCs w:val="22"/>
          <w:lang w:eastAsia="en-IN" w:bidi="gu-IN"/>
        </w:rPr>
        <w:t>, 2002).</w:t>
      </w:r>
    </w:p>
    <w:p w14:paraId="38FFD01F" w14:textId="77777777" w:rsidR="00EC6CF3" w:rsidRPr="00EC6CF3" w:rsidRDefault="00EC6CF3" w:rsidP="00EC6CF3">
      <w:pPr>
        <w:spacing w:before="100" w:beforeAutospacing="1" w:after="100" w:afterAutospacing="1" w:line="360" w:lineRule="auto"/>
        <w:outlineLvl w:val="3"/>
        <w:rPr>
          <w:rFonts w:ascii="Arial" w:eastAsia="Times New Roman" w:hAnsi="Arial" w:cs="Arial"/>
          <w:b/>
          <w:bCs/>
          <w:szCs w:val="22"/>
          <w:lang w:eastAsia="en-IN" w:bidi="gu-IN"/>
        </w:rPr>
      </w:pPr>
      <w:r w:rsidRPr="00EC6CF3">
        <w:rPr>
          <w:rFonts w:ascii="Arial" w:eastAsia="Times New Roman" w:hAnsi="Arial" w:cs="Arial"/>
          <w:b/>
          <w:bCs/>
          <w:szCs w:val="22"/>
          <w:lang w:eastAsia="en-IN" w:bidi="gu-IN"/>
        </w:rPr>
        <w:t>References</w:t>
      </w:r>
    </w:p>
    <w:p w14:paraId="48E01039"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Aronow, W.S., 2014. </w:t>
      </w:r>
      <w:r w:rsidRPr="00EC6CF3">
        <w:rPr>
          <w:rFonts w:ascii="Arial" w:eastAsia="Times New Roman" w:hAnsi="Arial" w:cs="Arial"/>
          <w:i/>
          <w:iCs/>
          <w:szCs w:val="22"/>
          <w:lang w:eastAsia="en-IN" w:bidi="gu-IN"/>
        </w:rPr>
        <w:t>Cardiovascular Disease in the Elderly</w:t>
      </w:r>
      <w:r w:rsidRPr="00EC6CF3">
        <w:rPr>
          <w:rFonts w:ascii="Arial" w:eastAsia="Times New Roman" w:hAnsi="Arial" w:cs="Arial"/>
          <w:szCs w:val="22"/>
          <w:lang w:eastAsia="en-IN" w:bidi="gu-IN"/>
        </w:rPr>
        <w:t>. Informa Healthcare.</w:t>
      </w:r>
    </w:p>
    <w:p w14:paraId="56DB482D"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lastRenderedPageBreak/>
        <w:t xml:space="preserve">Dixon, A. and </w:t>
      </w:r>
      <w:proofErr w:type="spellStart"/>
      <w:r w:rsidRPr="00EC6CF3">
        <w:rPr>
          <w:rFonts w:ascii="Arial" w:eastAsia="Times New Roman" w:hAnsi="Arial" w:cs="Arial"/>
          <w:szCs w:val="22"/>
          <w:lang w:eastAsia="en-IN" w:bidi="gu-IN"/>
        </w:rPr>
        <w:t>Mossialos</w:t>
      </w:r>
      <w:proofErr w:type="spellEnd"/>
      <w:r w:rsidRPr="00EC6CF3">
        <w:rPr>
          <w:rFonts w:ascii="Arial" w:eastAsia="Times New Roman" w:hAnsi="Arial" w:cs="Arial"/>
          <w:szCs w:val="22"/>
          <w:lang w:eastAsia="en-IN" w:bidi="gu-IN"/>
        </w:rPr>
        <w:t xml:space="preserve">, E., 2002. </w:t>
      </w:r>
      <w:r w:rsidRPr="00EC6CF3">
        <w:rPr>
          <w:rFonts w:ascii="Arial" w:eastAsia="Times New Roman" w:hAnsi="Arial" w:cs="Arial"/>
          <w:i/>
          <w:iCs/>
          <w:szCs w:val="22"/>
          <w:lang w:eastAsia="en-IN" w:bidi="gu-IN"/>
        </w:rPr>
        <w:t>Health Care Systems in Eight Countries: Trends and Challenges</w:t>
      </w:r>
      <w:r w:rsidRPr="00EC6CF3">
        <w:rPr>
          <w:rFonts w:ascii="Arial" w:eastAsia="Times New Roman" w:hAnsi="Arial" w:cs="Arial"/>
          <w:szCs w:val="22"/>
          <w:lang w:eastAsia="en-IN" w:bidi="gu-IN"/>
        </w:rPr>
        <w:t>. European Observatory on Health Systems and Policies.</w:t>
      </w:r>
    </w:p>
    <w:p w14:paraId="356CCEA6"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Dorsey, E.R. and Topol, E.J., 2020. </w:t>
      </w:r>
      <w:r w:rsidRPr="00EC6CF3">
        <w:rPr>
          <w:rFonts w:ascii="Arial" w:eastAsia="Times New Roman" w:hAnsi="Arial" w:cs="Arial"/>
          <w:i/>
          <w:iCs/>
          <w:szCs w:val="22"/>
          <w:lang w:eastAsia="en-IN" w:bidi="gu-IN"/>
        </w:rPr>
        <w:t>Telemedicine: A Practical Guide for Incorporating Telecommunications Technology into Clinical Practice</w:t>
      </w:r>
      <w:r w:rsidRPr="00EC6CF3">
        <w:rPr>
          <w:rFonts w:ascii="Arial" w:eastAsia="Times New Roman" w:hAnsi="Arial" w:cs="Arial"/>
          <w:szCs w:val="22"/>
          <w:lang w:eastAsia="en-IN" w:bidi="gu-IN"/>
        </w:rPr>
        <w:t>. American Academy of Neurology.</w:t>
      </w:r>
    </w:p>
    <w:p w14:paraId="2A408A27"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Higgins, J.P.T., Altman, D.G., Gøtzsche, P.C., </w:t>
      </w:r>
      <w:proofErr w:type="spellStart"/>
      <w:r w:rsidRPr="00EC6CF3">
        <w:rPr>
          <w:rFonts w:ascii="Arial" w:eastAsia="Times New Roman" w:hAnsi="Arial" w:cs="Arial"/>
          <w:szCs w:val="22"/>
          <w:lang w:eastAsia="en-IN" w:bidi="gu-IN"/>
        </w:rPr>
        <w:t>Jüni</w:t>
      </w:r>
      <w:proofErr w:type="spellEnd"/>
      <w:r w:rsidRPr="00EC6CF3">
        <w:rPr>
          <w:rFonts w:ascii="Arial" w:eastAsia="Times New Roman" w:hAnsi="Arial" w:cs="Arial"/>
          <w:szCs w:val="22"/>
          <w:lang w:eastAsia="en-IN" w:bidi="gu-IN"/>
        </w:rPr>
        <w:t xml:space="preserve">, P., Moher, D., Oxman, A.D., Savović, J., Schulz, K.F., Weeks, L. and Sterne, J.A.C., 2011. </w:t>
      </w:r>
      <w:r w:rsidRPr="00EC6CF3">
        <w:rPr>
          <w:rFonts w:ascii="Arial" w:eastAsia="Times New Roman" w:hAnsi="Arial" w:cs="Arial"/>
          <w:i/>
          <w:iCs/>
          <w:szCs w:val="22"/>
          <w:lang w:eastAsia="en-IN" w:bidi="gu-IN"/>
        </w:rPr>
        <w:t>The Cochrane Collaboration’s Tool for Assessing Risk of Bias in Randomised Trials</w:t>
      </w:r>
      <w:r w:rsidRPr="00EC6CF3">
        <w:rPr>
          <w:rFonts w:ascii="Arial" w:eastAsia="Times New Roman" w:hAnsi="Arial" w:cs="Arial"/>
          <w:szCs w:val="22"/>
          <w:lang w:eastAsia="en-IN" w:bidi="gu-IN"/>
        </w:rPr>
        <w:t>. The Cochrane Collaboration.</w:t>
      </w:r>
    </w:p>
    <w:p w14:paraId="0900B777"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Kaplan, N.M. and Victor, R.G., 2010. </w:t>
      </w:r>
      <w:r w:rsidRPr="00EC6CF3">
        <w:rPr>
          <w:rFonts w:ascii="Arial" w:eastAsia="Times New Roman" w:hAnsi="Arial" w:cs="Arial"/>
          <w:i/>
          <w:iCs/>
          <w:szCs w:val="22"/>
          <w:lang w:eastAsia="en-IN" w:bidi="gu-IN"/>
        </w:rPr>
        <w:t>Kaplan’s Clinical Hypertension</w:t>
      </w:r>
      <w:r w:rsidRPr="00EC6CF3">
        <w:rPr>
          <w:rFonts w:ascii="Arial" w:eastAsia="Times New Roman" w:hAnsi="Arial" w:cs="Arial"/>
          <w:szCs w:val="22"/>
          <w:lang w:eastAsia="en-IN" w:bidi="gu-IN"/>
        </w:rPr>
        <w:t>. 10th ed. Lippincott Williams &amp; Wilkins.</w:t>
      </w:r>
    </w:p>
    <w:p w14:paraId="7B8AF3AB"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Kruse, C.S. and Beane, A., 2018. </w:t>
      </w:r>
      <w:r w:rsidRPr="00EC6CF3">
        <w:rPr>
          <w:rFonts w:ascii="Arial" w:eastAsia="Times New Roman" w:hAnsi="Arial" w:cs="Arial"/>
          <w:i/>
          <w:iCs/>
          <w:szCs w:val="22"/>
          <w:lang w:eastAsia="en-IN" w:bidi="gu-IN"/>
        </w:rPr>
        <w:t>Health Informatics: An Interprofessional Approach</w:t>
      </w:r>
      <w:r w:rsidRPr="00EC6CF3">
        <w:rPr>
          <w:rFonts w:ascii="Arial" w:eastAsia="Times New Roman" w:hAnsi="Arial" w:cs="Arial"/>
          <w:szCs w:val="22"/>
          <w:lang w:eastAsia="en-IN" w:bidi="gu-IN"/>
        </w:rPr>
        <w:t>. Elsevier.</w:t>
      </w:r>
    </w:p>
    <w:p w14:paraId="1CB2E41B"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Moher, D., Liberati, A., Tetzlaff, J., Altman, D.G. and The PRISMA Group, 2009. </w:t>
      </w:r>
      <w:r w:rsidRPr="00EC6CF3">
        <w:rPr>
          <w:rFonts w:ascii="Arial" w:eastAsia="Times New Roman" w:hAnsi="Arial" w:cs="Arial"/>
          <w:i/>
          <w:iCs/>
          <w:szCs w:val="22"/>
          <w:lang w:eastAsia="en-IN" w:bidi="gu-IN"/>
        </w:rPr>
        <w:t>Preferred Reporting Items for Systematic Reviews and Meta-Analyses: The PRISMA Statement</w:t>
      </w:r>
      <w:r w:rsidRPr="00EC6CF3">
        <w:rPr>
          <w:rFonts w:ascii="Arial" w:eastAsia="Times New Roman" w:hAnsi="Arial" w:cs="Arial"/>
          <w:szCs w:val="22"/>
          <w:lang w:eastAsia="en-IN" w:bidi="gu-IN"/>
        </w:rPr>
        <w:t>. PLoS Med.</w:t>
      </w:r>
    </w:p>
    <w:p w14:paraId="15E59263"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National Institute for Health and Care Excellence (NICE), 2019. </w:t>
      </w:r>
      <w:r w:rsidRPr="00EC6CF3">
        <w:rPr>
          <w:rFonts w:ascii="Arial" w:eastAsia="Times New Roman" w:hAnsi="Arial" w:cs="Arial"/>
          <w:i/>
          <w:iCs/>
          <w:szCs w:val="22"/>
          <w:lang w:eastAsia="en-IN" w:bidi="gu-IN"/>
        </w:rPr>
        <w:t>Hypertension in Adults: Diagnosis and Management</w:t>
      </w:r>
      <w:r w:rsidRPr="00EC6CF3">
        <w:rPr>
          <w:rFonts w:ascii="Arial" w:eastAsia="Times New Roman" w:hAnsi="Arial" w:cs="Arial"/>
          <w:szCs w:val="22"/>
          <w:lang w:eastAsia="en-IN" w:bidi="gu-IN"/>
        </w:rPr>
        <w:t xml:space="preserve"> [NG136]. Available at: https://www.nice.org.uk/guidance/ng136 [Accessed 27 October 2024].</w:t>
      </w:r>
    </w:p>
    <w:p w14:paraId="232DAABF"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Office for National Statistics, 2021. </w:t>
      </w:r>
      <w:r w:rsidRPr="00EC6CF3">
        <w:rPr>
          <w:rFonts w:ascii="Arial" w:eastAsia="Times New Roman" w:hAnsi="Arial" w:cs="Arial"/>
          <w:i/>
          <w:iCs/>
          <w:szCs w:val="22"/>
          <w:lang w:eastAsia="en-IN" w:bidi="gu-IN"/>
        </w:rPr>
        <w:t>National Population Projections: 2020-based Interim</w:t>
      </w:r>
      <w:r w:rsidRPr="00EC6CF3">
        <w:rPr>
          <w:rFonts w:ascii="Arial" w:eastAsia="Times New Roman" w:hAnsi="Arial" w:cs="Arial"/>
          <w:szCs w:val="22"/>
          <w:lang w:eastAsia="en-IN" w:bidi="gu-IN"/>
        </w:rPr>
        <w:t xml:space="preserve">. Available at: </w:t>
      </w:r>
      <w:hyperlink r:id="rId5" w:tgtFrame="_new" w:history="1">
        <w:r w:rsidRPr="00EC6CF3">
          <w:rPr>
            <w:rFonts w:ascii="Arial" w:eastAsia="Times New Roman" w:hAnsi="Arial" w:cs="Arial"/>
            <w:color w:val="0000FF"/>
            <w:szCs w:val="22"/>
            <w:u w:val="single"/>
            <w:lang w:eastAsia="en-IN" w:bidi="gu-IN"/>
          </w:rPr>
          <w:t>https://www.ons.gov.uk</w:t>
        </w:r>
      </w:hyperlink>
      <w:r w:rsidRPr="00EC6CF3">
        <w:rPr>
          <w:rFonts w:ascii="Arial" w:eastAsia="Times New Roman" w:hAnsi="Arial" w:cs="Arial"/>
          <w:szCs w:val="22"/>
          <w:lang w:eastAsia="en-IN" w:bidi="gu-IN"/>
        </w:rPr>
        <w:t xml:space="preserve"> [Accessed 27 October 2024].</w:t>
      </w:r>
    </w:p>
    <w:p w14:paraId="29FC1F81" w14:textId="77777777" w:rsidR="00EC6CF3" w:rsidRPr="00EC6CF3" w:rsidRDefault="00EC6CF3" w:rsidP="00EC6CF3">
      <w:pPr>
        <w:spacing w:before="100" w:beforeAutospacing="1" w:after="100" w:afterAutospacing="1" w:line="360" w:lineRule="auto"/>
        <w:rPr>
          <w:rFonts w:ascii="Arial" w:eastAsia="Times New Roman" w:hAnsi="Arial" w:cs="Arial"/>
          <w:szCs w:val="22"/>
          <w:lang w:eastAsia="en-IN" w:bidi="gu-IN"/>
        </w:rPr>
      </w:pPr>
      <w:r w:rsidRPr="00EC6CF3">
        <w:rPr>
          <w:rFonts w:ascii="Arial" w:eastAsia="Times New Roman" w:hAnsi="Arial" w:cs="Arial"/>
          <w:szCs w:val="22"/>
          <w:lang w:eastAsia="en-IN" w:bidi="gu-IN"/>
        </w:rPr>
        <w:t xml:space="preserve">Rechel, B., Doyle, Y., Grundy, E. and McKee, M., 2009. </w:t>
      </w:r>
      <w:r w:rsidRPr="00EC6CF3">
        <w:rPr>
          <w:rFonts w:ascii="Arial" w:eastAsia="Times New Roman" w:hAnsi="Arial" w:cs="Arial"/>
          <w:i/>
          <w:iCs/>
          <w:szCs w:val="22"/>
          <w:lang w:eastAsia="en-IN" w:bidi="gu-IN"/>
        </w:rPr>
        <w:t>How Can Health Systems Respond to Population Ageing?</w:t>
      </w:r>
      <w:r w:rsidRPr="00EC6CF3">
        <w:rPr>
          <w:rFonts w:ascii="Arial" w:eastAsia="Times New Roman" w:hAnsi="Arial" w:cs="Arial"/>
          <w:szCs w:val="22"/>
          <w:lang w:eastAsia="en-IN" w:bidi="gu-IN"/>
        </w:rPr>
        <w:t xml:space="preserve"> European Observatory on Health Systems and Policies</w:t>
      </w:r>
    </w:p>
    <w:p w14:paraId="517EF277" w14:textId="3B4303FF" w:rsidR="0042321C" w:rsidRPr="00EC6CF3" w:rsidRDefault="0042321C" w:rsidP="00EC6CF3">
      <w:pPr>
        <w:spacing w:line="360" w:lineRule="auto"/>
        <w:rPr>
          <w:rFonts w:ascii="Arial" w:hAnsi="Arial" w:cs="Arial"/>
          <w:szCs w:val="22"/>
        </w:rPr>
      </w:pPr>
    </w:p>
    <w:sectPr w:rsidR="0042321C" w:rsidRPr="00EC6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D2B4D"/>
    <w:multiLevelType w:val="multilevel"/>
    <w:tmpl w:val="D08AF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F96EA2"/>
    <w:multiLevelType w:val="multilevel"/>
    <w:tmpl w:val="02920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1C08E7"/>
    <w:multiLevelType w:val="multilevel"/>
    <w:tmpl w:val="7430C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21C"/>
    <w:rsid w:val="002E043A"/>
    <w:rsid w:val="0042321C"/>
    <w:rsid w:val="005229E7"/>
    <w:rsid w:val="00BA3952"/>
    <w:rsid w:val="00EC6CF3"/>
    <w:rsid w:val="00EE5F21"/>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518E4"/>
  <w15:chartTrackingRefBased/>
  <w15:docId w15:val="{CEB6AEC6-23E7-4E93-AB64-F6ED32BA9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3">
    <w:name w:val="heading 3"/>
    <w:basedOn w:val="Normal"/>
    <w:link w:val="Heading3Char"/>
    <w:uiPriority w:val="9"/>
    <w:qFormat/>
    <w:rsid w:val="00EC6CF3"/>
    <w:pPr>
      <w:spacing w:before="100" w:beforeAutospacing="1" w:after="100" w:afterAutospacing="1" w:line="240" w:lineRule="auto"/>
      <w:outlineLvl w:val="2"/>
    </w:pPr>
    <w:rPr>
      <w:rFonts w:ascii="Times New Roman" w:eastAsia="Times New Roman" w:hAnsi="Times New Roman" w:cs="Times New Roman"/>
      <w:b/>
      <w:bCs/>
      <w:sz w:val="27"/>
      <w:szCs w:val="27"/>
      <w:lang w:eastAsia="en-IN" w:bidi="gu-IN"/>
    </w:rPr>
  </w:style>
  <w:style w:type="paragraph" w:styleId="Heading4">
    <w:name w:val="heading 4"/>
    <w:basedOn w:val="Normal"/>
    <w:link w:val="Heading4Char"/>
    <w:uiPriority w:val="9"/>
    <w:qFormat/>
    <w:rsid w:val="00EC6CF3"/>
    <w:pPr>
      <w:spacing w:before="100" w:beforeAutospacing="1" w:after="100" w:afterAutospacing="1" w:line="240" w:lineRule="auto"/>
      <w:outlineLvl w:val="3"/>
    </w:pPr>
    <w:rPr>
      <w:rFonts w:ascii="Times New Roman" w:eastAsia="Times New Roman" w:hAnsi="Times New Roman" w:cs="Times New Roman"/>
      <w:b/>
      <w:bCs/>
      <w:sz w:val="24"/>
      <w:szCs w:val="24"/>
      <w:lang w:eastAsia="en-IN" w:bidi="gu-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C6CF3"/>
    <w:rPr>
      <w:rFonts w:ascii="Times New Roman" w:eastAsia="Times New Roman" w:hAnsi="Times New Roman" w:cs="Times New Roman"/>
      <w:b/>
      <w:bCs/>
      <w:sz w:val="27"/>
      <w:szCs w:val="27"/>
      <w:lang w:eastAsia="en-IN" w:bidi="gu-IN"/>
    </w:rPr>
  </w:style>
  <w:style w:type="character" w:customStyle="1" w:styleId="Heading4Char">
    <w:name w:val="Heading 4 Char"/>
    <w:basedOn w:val="DefaultParagraphFont"/>
    <w:link w:val="Heading4"/>
    <w:uiPriority w:val="9"/>
    <w:rsid w:val="00EC6CF3"/>
    <w:rPr>
      <w:rFonts w:ascii="Times New Roman" w:eastAsia="Times New Roman" w:hAnsi="Times New Roman" w:cs="Times New Roman"/>
      <w:b/>
      <w:bCs/>
      <w:sz w:val="24"/>
      <w:szCs w:val="24"/>
      <w:lang w:eastAsia="en-IN" w:bidi="gu-IN"/>
    </w:rPr>
  </w:style>
  <w:style w:type="paragraph" w:styleId="NormalWeb">
    <w:name w:val="Normal (Web)"/>
    <w:basedOn w:val="Normal"/>
    <w:uiPriority w:val="99"/>
    <w:semiHidden/>
    <w:unhideWhenUsed/>
    <w:rsid w:val="00EC6CF3"/>
    <w:pPr>
      <w:spacing w:before="100" w:beforeAutospacing="1" w:after="100" w:afterAutospacing="1" w:line="240" w:lineRule="auto"/>
    </w:pPr>
    <w:rPr>
      <w:rFonts w:ascii="Times New Roman" w:eastAsia="Times New Roman" w:hAnsi="Times New Roman" w:cs="Times New Roman"/>
      <w:sz w:val="24"/>
      <w:szCs w:val="24"/>
      <w:lang w:eastAsia="en-IN" w:bidi="gu-IN"/>
    </w:rPr>
  </w:style>
  <w:style w:type="character" w:styleId="Strong">
    <w:name w:val="Strong"/>
    <w:basedOn w:val="DefaultParagraphFont"/>
    <w:uiPriority w:val="22"/>
    <w:qFormat/>
    <w:rsid w:val="00EC6CF3"/>
    <w:rPr>
      <w:b/>
      <w:bCs/>
    </w:rPr>
  </w:style>
  <w:style w:type="character" w:styleId="Emphasis">
    <w:name w:val="Emphasis"/>
    <w:basedOn w:val="DefaultParagraphFont"/>
    <w:uiPriority w:val="20"/>
    <w:qFormat/>
    <w:rsid w:val="00EC6CF3"/>
    <w:rPr>
      <w:i/>
      <w:iCs/>
    </w:rPr>
  </w:style>
  <w:style w:type="character" w:styleId="Hyperlink">
    <w:name w:val="Hyperlink"/>
    <w:basedOn w:val="DefaultParagraphFont"/>
    <w:uiPriority w:val="99"/>
    <w:semiHidden/>
    <w:unhideWhenUsed/>
    <w:rsid w:val="00EC6CF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3706610">
      <w:bodyDiv w:val="1"/>
      <w:marLeft w:val="0"/>
      <w:marRight w:val="0"/>
      <w:marTop w:val="0"/>
      <w:marBottom w:val="0"/>
      <w:divBdr>
        <w:top w:val="none" w:sz="0" w:space="0" w:color="auto"/>
        <w:left w:val="none" w:sz="0" w:space="0" w:color="auto"/>
        <w:bottom w:val="none" w:sz="0" w:space="0" w:color="auto"/>
        <w:right w:val="none" w:sz="0" w:space="0" w:color="auto"/>
      </w:divBdr>
    </w:div>
    <w:div w:id="1866360706">
      <w:bodyDiv w:val="1"/>
      <w:marLeft w:val="0"/>
      <w:marRight w:val="0"/>
      <w:marTop w:val="0"/>
      <w:marBottom w:val="0"/>
      <w:divBdr>
        <w:top w:val="none" w:sz="0" w:space="0" w:color="auto"/>
        <w:left w:val="none" w:sz="0" w:space="0" w:color="auto"/>
        <w:bottom w:val="none" w:sz="0" w:space="0" w:color="auto"/>
        <w:right w:val="none" w:sz="0" w:space="0" w:color="auto"/>
      </w:divBdr>
    </w:div>
    <w:div w:id="191099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ns.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1415</TotalTime>
  <Pages>4</Pages>
  <Words>1163</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Vaibhavi Chaudhari</dc:creator>
  <cp:keywords/>
  <dc:description/>
  <cp:lastModifiedBy>Vaibhavi Chaudhari</cp:lastModifiedBy>
  <cp:revision>4</cp:revision>
  <dcterms:created xsi:type="dcterms:W3CDTF">2024-10-27T20:53:00Z</dcterms:created>
  <dcterms:modified xsi:type="dcterms:W3CDTF">2024-10-31T00:08:00Z</dcterms:modified>
</cp:coreProperties>
</file>