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8F71D" w14:textId="77777777" w:rsidR="000E527B" w:rsidRDefault="000E527B" w:rsidP="00D43C10">
      <w:pPr>
        <w:spacing w:before="240" w:line="360" w:lineRule="auto"/>
        <w:jc w:val="center"/>
        <w:rPr>
          <w:rFonts w:ascii="Arial" w:hAnsi="Arial" w:cs="Arial"/>
          <w:b/>
          <w:bCs/>
          <w:sz w:val="30"/>
          <w:szCs w:val="30"/>
          <w:lang w:val="en-GB"/>
        </w:rPr>
      </w:pPr>
    </w:p>
    <w:p w14:paraId="4E7B2AC1" w14:textId="77777777" w:rsidR="00935CA4" w:rsidRPr="008A5491" w:rsidRDefault="00935CA4" w:rsidP="00D43C10">
      <w:pPr>
        <w:spacing w:before="240" w:line="360" w:lineRule="auto"/>
        <w:jc w:val="center"/>
        <w:rPr>
          <w:rFonts w:ascii="Arial" w:hAnsi="Arial" w:cs="Arial"/>
          <w:b/>
          <w:bCs/>
          <w:sz w:val="30"/>
          <w:szCs w:val="30"/>
          <w:lang w:val="en-GB"/>
        </w:rPr>
      </w:pPr>
    </w:p>
    <w:p w14:paraId="1BCFA758" w14:textId="77777777" w:rsidR="00FB2C1B" w:rsidRDefault="00FB2C1B" w:rsidP="00D43C10">
      <w:pPr>
        <w:spacing w:before="240" w:line="360" w:lineRule="auto"/>
        <w:jc w:val="center"/>
        <w:rPr>
          <w:rFonts w:ascii="Arial" w:hAnsi="Arial" w:cs="Arial"/>
          <w:b/>
          <w:bCs/>
          <w:sz w:val="32"/>
          <w:szCs w:val="32"/>
          <w:lang w:val="en-GB"/>
        </w:rPr>
      </w:pPr>
    </w:p>
    <w:p w14:paraId="0B835AF3" w14:textId="77777777" w:rsidR="00FB2C1B" w:rsidRDefault="00FB2C1B" w:rsidP="00D43C10">
      <w:pPr>
        <w:spacing w:before="240" w:line="360" w:lineRule="auto"/>
        <w:jc w:val="center"/>
        <w:rPr>
          <w:rFonts w:ascii="Arial" w:hAnsi="Arial" w:cs="Arial"/>
          <w:b/>
          <w:bCs/>
          <w:sz w:val="32"/>
          <w:szCs w:val="32"/>
          <w:lang w:val="en-GB"/>
        </w:rPr>
      </w:pPr>
    </w:p>
    <w:p w14:paraId="63CCC2AE" w14:textId="0853A23B" w:rsidR="000E527B" w:rsidRPr="00853DBD" w:rsidRDefault="000E527B" w:rsidP="00D43C10">
      <w:pPr>
        <w:spacing w:before="240" w:line="360" w:lineRule="auto"/>
        <w:jc w:val="center"/>
        <w:rPr>
          <w:rFonts w:ascii="Arial" w:hAnsi="Arial" w:cs="Arial"/>
          <w:b/>
          <w:bCs/>
          <w:sz w:val="32"/>
          <w:szCs w:val="32"/>
          <w:lang w:val="en-GB"/>
        </w:rPr>
      </w:pPr>
      <w:r w:rsidRPr="00853DBD">
        <w:rPr>
          <w:rFonts w:ascii="Arial" w:hAnsi="Arial" w:cs="Arial"/>
          <w:b/>
          <w:bCs/>
          <w:sz w:val="32"/>
          <w:szCs w:val="32"/>
          <w:lang w:val="en-GB"/>
        </w:rPr>
        <w:t>BSc Health and Social Care</w:t>
      </w:r>
    </w:p>
    <w:p w14:paraId="23B6FC69" w14:textId="521A39E9" w:rsidR="00D43C10" w:rsidRPr="00F04C2F" w:rsidRDefault="000E527B" w:rsidP="00D43C10">
      <w:pPr>
        <w:spacing w:before="240" w:line="360" w:lineRule="auto"/>
        <w:jc w:val="center"/>
        <w:rPr>
          <w:rFonts w:ascii="Arial" w:hAnsi="Arial" w:cs="Arial"/>
          <w:b/>
          <w:bCs/>
          <w:sz w:val="48"/>
          <w:szCs w:val="48"/>
          <w:lang w:val="en-GB"/>
        </w:rPr>
      </w:pPr>
      <w:r w:rsidRPr="00F04C2F">
        <w:rPr>
          <w:rFonts w:ascii="Arial" w:hAnsi="Arial" w:cs="Arial"/>
          <w:b/>
          <w:bCs/>
          <w:sz w:val="48"/>
          <w:szCs w:val="48"/>
          <w:lang w:val="en-GB"/>
        </w:rPr>
        <w:t>Component 2 – Written Report</w:t>
      </w:r>
    </w:p>
    <w:p w14:paraId="475D7495" w14:textId="77777777" w:rsidR="00D43C10" w:rsidRPr="008A5491" w:rsidRDefault="00D43C10" w:rsidP="00D43C10">
      <w:pPr>
        <w:spacing w:before="240" w:line="360" w:lineRule="auto"/>
        <w:jc w:val="center"/>
        <w:rPr>
          <w:rFonts w:ascii="Arial" w:hAnsi="Arial" w:cs="Arial"/>
          <w:b/>
          <w:bCs/>
          <w:sz w:val="30"/>
          <w:szCs w:val="30"/>
          <w:lang w:val="en-GB"/>
        </w:rPr>
      </w:pPr>
    </w:p>
    <w:p w14:paraId="578050AC" w14:textId="532C74C3" w:rsidR="00D43C10" w:rsidRPr="008A5491" w:rsidRDefault="00D43C10" w:rsidP="00D43C10">
      <w:pPr>
        <w:spacing w:before="240" w:line="360" w:lineRule="auto"/>
        <w:jc w:val="center"/>
        <w:rPr>
          <w:rFonts w:ascii="Arial" w:hAnsi="Arial" w:cs="Arial"/>
          <w:b/>
          <w:bCs/>
          <w:sz w:val="30"/>
          <w:szCs w:val="30"/>
          <w:lang w:val="en-GB"/>
        </w:rPr>
      </w:pPr>
      <w:r w:rsidRPr="008A5491">
        <w:rPr>
          <w:rFonts w:ascii="Arial" w:hAnsi="Arial" w:cs="Arial"/>
          <w:b/>
          <w:bCs/>
          <w:noProof/>
          <w:sz w:val="30"/>
          <w:szCs w:val="30"/>
          <w:lang w:val="en-GB"/>
        </w:rPr>
        <w:drawing>
          <wp:inline distT="0" distB="0" distL="0" distR="0" wp14:anchorId="0E1F9596" wp14:editId="61ED5375">
            <wp:extent cx="2501900" cy="819084"/>
            <wp:effectExtent l="0" t="0" r="0" b="635"/>
            <wp:docPr id="119359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98926" name="Picture 1193598926"/>
                    <pic:cNvPicPr/>
                  </pic:nvPicPr>
                  <pic:blipFill rotWithShape="1">
                    <a:blip r:embed="rId8">
                      <a:extLst>
                        <a:ext uri="{28A0092B-C50C-407E-A947-70E740481C1C}">
                          <a14:useLocalDpi xmlns:a14="http://schemas.microsoft.com/office/drawing/2010/main" val="0"/>
                        </a:ext>
                      </a:extLst>
                    </a:blip>
                    <a:srcRect t="16261" b="15895"/>
                    <a:stretch/>
                  </pic:blipFill>
                  <pic:spPr bwMode="auto">
                    <a:xfrm>
                      <a:off x="0" y="0"/>
                      <a:ext cx="2520766" cy="825260"/>
                    </a:xfrm>
                    <a:prstGeom prst="rect">
                      <a:avLst/>
                    </a:prstGeom>
                    <a:ln>
                      <a:noFill/>
                    </a:ln>
                    <a:extLst>
                      <a:ext uri="{53640926-AAD7-44D8-BBD7-CCE9431645EC}">
                        <a14:shadowObscured xmlns:a14="http://schemas.microsoft.com/office/drawing/2010/main"/>
                      </a:ext>
                    </a:extLst>
                  </pic:spPr>
                </pic:pic>
              </a:graphicData>
            </a:graphic>
          </wp:inline>
        </w:drawing>
      </w:r>
    </w:p>
    <w:p w14:paraId="3610208C" w14:textId="77777777" w:rsidR="006E3B7F" w:rsidRDefault="006E3B7F" w:rsidP="00DD2F92">
      <w:pPr>
        <w:spacing w:before="240" w:line="360" w:lineRule="auto"/>
        <w:rPr>
          <w:rFonts w:ascii="Arial" w:hAnsi="Arial" w:cs="Arial"/>
          <w:b/>
          <w:bCs/>
          <w:lang w:val="en-GB"/>
        </w:rPr>
      </w:pPr>
    </w:p>
    <w:p w14:paraId="6F794687" w14:textId="1EACA1F5" w:rsidR="006E3B7F" w:rsidRPr="00E35109" w:rsidRDefault="006E3B7F" w:rsidP="004E0540">
      <w:pPr>
        <w:spacing w:before="240" w:line="276" w:lineRule="auto"/>
        <w:jc w:val="center"/>
        <w:rPr>
          <w:rFonts w:ascii="Arial" w:hAnsi="Arial" w:cs="Arial"/>
          <w:b/>
          <w:bCs/>
          <w:sz w:val="24"/>
          <w:szCs w:val="24"/>
          <w:lang w:val="en-GB"/>
        </w:rPr>
      </w:pPr>
      <w:r w:rsidRPr="00E35109">
        <w:rPr>
          <w:rFonts w:ascii="Arial" w:hAnsi="Arial" w:cs="Arial"/>
          <w:b/>
          <w:bCs/>
          <w:sz w:val="24"/>
          <w:szCs w:val="24"/>
          <w:lang w:val="en-GB"/>
        </w:rPr>
        <w:t>Student Name:</w:t>
      </w:r>
      <w:r w:rsidR="00513FE4">
        <w:rPr>
          <w:rFonts w:ascii="Arial" w:hAnsi="Arial" w:cs="Arial"/>
          <w:b/>
          <w:bCs/>
          <w:sz w:val="24"/>
          <w:szCs w:val="24"/>
          <w:lang w:val="en-GB"/>
        </w:rPr>
        <w:t xml:space="preserve"> Shahida Yasmin</w:t>
      </w:r>
    </w:p>
    <w:p w14:paraId="32B1F10D" w14:textId="0E2DEBAB" w:rsidR="006E3B7F" w:rsidRPr="00E35109" w:rsidRDefault="006E3B7F" w:rsidP="004E0540">
      <w:pPr>
        <w:spacing w:before="240" w:line="276" w:lineRule="auto"/>
        <w:jc w:val="center"/>
        <w:rPr>
          <w:rFonts w:ascii="Arial" w:hAnsi="Arial" w:cs="Arial"/>
          <w:b/>
          <w:bCs/>
          <w:sz w:val="24"/>
          <w:szCs w:val="24"/>
          <w:lang w:val="en-GB"/>
        </w:rPr>
      </w:pPr>
      <w:r w:rsidRPr="00E35109">
        <w:rPr>
          <w:rFonts w:ascii="Arial" w:hAnsi="Arial" w:cs="Arial"/>
          <w:b/>
          <w:bCs/>
          <w:sz w:val="24"/>
          <w:szCs w:val="24"/>
          <w:lang w:val="en-GB"/>
        </w:rPr>
        <w:t>Student ID:</w:t>
      </w:r>
      <w:r w:rsidR="00513FE4">
        <w:rPr>
          <w:rFonts w:ascii="Arial" w:hAnsi="Arial" w:cs="Arial"/>
          <w:b/>
          <w:bCs/>
          <w:sz w:val="24"/>
          <w:szCs w:val="24"/>
          <w:lang w:val="en-GB"/>
        </w:rPr>
        <w:t xml:space="preserve"> 1813926</w:t>
      </w:r>
    </w:p>
    <w:p w14:paraId="3786B84F" w14:textId="23BD5D53" w:rsidR="000E527B" w:rsidRPr="00E35109" w:rsidRDefault="000E527B" w:rsidP="004E0540">
      <w:pPr>
        <w:spacing w:before="240" w:line="276" w:lineRule="auto"/>
        <w:jc w:val="center"/>
        <w:rPr>
          <w:rFonts w:ascii="Arial" w:hAnsi="Arial" w:cs="Arial"/>
          <w:b/>
          <w:bCs/>
          <w:sz w:val="24"/>
          <w:szCs w:val="24"/>
          <w:lang w:val="en-GB"/>
        </w:rPr>
      </w:pPr>
      <w:r w:rsidRPr="00E35109">
        <w:rPr>
          <w:rFonts w:ascii="Arial" w:hAnsi="Arial" w:cs="Arial"/>
          <w:b/>
          <w:bCs/>
          <w:sz w:val="24"/>
          <w:szCs w:val="24"/>
          <w:lang w:val="en-GB"/>
        </w:rPr>
        <w:t>Module</w:t>
      </w:r>
      <w:r w:rsidR="00D43C10" w:rsidRPr="00E35109">
        <w:rPr>
          <w:rFonts w:ascii="Arial" w:hAnsi="Arial" w:cs="Arial"/>
          <w:b/>
          <w:bCs/>
          <w:sz w:val="24"/>
          <w:szCs w:val="24"/>
          <w:lang w:val="en-GB"/>
        </w:rPr>
        <w:t xml:space="preserve"> Name</w:t>
      </w:r>
      <w:r w:rsidRPr="00E35109">
        <w:rPr>
          <w:rFonts w:ascii="Arial" w:hAnsi="Arial" w:cs="Arial"/>
          <w:b/>
          <w:bCs/>
          <w:sz w:val="24"/>
          <w:szCs w:val="24"/>
          <w:lang w:val="en-GB"/>
        </w:rPr>
        <w:t xml:space="preserve">: </w:t>
      </w:r>
      <w:r w:rsidRPr="00E35109">
        <w:rPr>
          <w:rFonts w:ascii="Arial" w:hAnsi="Arial" w:cs="Arial"/>
          <w:sz w:val="24"/>
          <w:szCs w:val="24"/>
          <w:lang w:val="en-GB"/>
        </w:rPr>
        <w:t>Mental Disorders and Psychopathology</w:t>
      </w:r>
    </w:p>
    <w:p w14:paraId="0FB0C87A" w14:textId="41A058B3" w:rsidR="000E527B" w:rsidRPr="00E35109" w:rsidRDefault="000E527B" w:rsidP="004E0540">
      <w:pPr>
        <w:spacing w:before="240" w:line="276" w:lineRule="auto"/>
        <w:jc w:val="center"/>
        <w:rPr>
          <w:rFonts w:ascii="Arial" w:hAnsi="Arial" w:cs="Arial"/>
          <w:b/>
          <w:bCs/>
          <w:sz w:val="24"/>
          <w:szCs w:val="24"/>
          <w:lang w:val="en-GB"/>
        </w:rPr>
      </w:pPr>
      <w:r w:rsidRPr="00E35109">
        <w:rPr>
          <w:rFonts w:ascii="Arial" w:hAnsi="Arial" w:cs="Arial"/>
          <w:b/>
          <w:bCs/>
          <w:sz w:val="24"/>
          <w:szCs w:val="24"/>
          <w:lang w:val="en-GB"/>
        </w:rPr>
        <w:t xml:space="preserve">Module </w:t>
      </w:r>
      <w:r w:rsidR="00D43C10" w:rsidRPr="00E35109">
        <w:rPr>
          <w:rFonts w:ascii="Arial" w:hAnsi="Arial" w:cs="Arial"/>
          <w:b/>
          <w:bCs/>
          <w:sz w:val="24"/>
          <w:szCs w:val="24"/>
          <w:lang w:val="en-GB"/>
        </w:rPr>
        <w:t>C</w:t>
      </w:r>
      <w:r w:rsidRPr="00E35109">
        <w:rPr>
          <w:rFonts w:ascii="Arial" w:hAnsi="Arial" w:cs="Arial"/>
          <w:b/>
          <w:bCs/>
          <w:sz w:val="24"/>
          <w:szCs w:val="24"/>
          <w:lang w:val="en-GB"/>
        </w:rPr>
        <w:t xml:space="preserve">ode: </w:t>
      </w:r>
      <w:r w:rsidRPr="00E35109">
        <w:rPr>
          <w:rFonts w:ascii="Arial" w:hAnsi="Arial" w:cs="Arial"/>
          <w:sz w:val="24"/>
          <w:szCs w:val="24"/>
          <w:lang w:val="en-GB"/>
        </w:rPr>
        <w:t>BMHP6006</w:t>
      </w:r>
    </w:p>
    <w:p w14:paraId="1466D47A" w14:textId="1479892A" w:rsidR="000E527B" w:rsidRPr="00E35109" w:rsidRDefault="00D43C10" w:rsidP="004E0540">
      <w:pPr>
        <w:spacing w:before="240" w:line="276" w:lineRule="auto"/>
        <w:jc w:val="center"/>
        <w:rPr>
          <w:rFonts w:ascii="Arial" w:hAnsi="Arial" w:cs="Arial"/>
          <w:sz w:val="24"/>
          <w:szCs w:val="24"/>
          <w:lang w:val="en-GB"/>
        </w:rPr>
      </w:pPr>
      <w:r w:rsidRPr="00E35109">
        <w:rPr>
          <w:rFonts w:ascii="Arial" w:hAnsi="Arial" w:cs="Arial"/>
          <w:b/>
          <w:bCs/>
          <w:sz w:val="24"/>
          <w:szCs w:val="24"/>
          <w:lang w:val="en-GB"/>
        </w:rPr>
        <w:t xml:space="preserve">Module </w:t>
      </w:r>
      <w:r w:rsidR="000E527B" w:rsidRPr="00E35109">
        <w:rPr>
          <w:rFonts w:ascii="Arial" w:hAnsi="Arial" w:cs="Arial"/>
          <w:b/>
          <w:bCs/>
          <w:sz w:val="24"/>
          <w:szCs w:val="24"/>
          <w:lang w:val="en-GB"/>
        </w:rPr>
        <w:t xml:space="preserve">Lecturer: </w:t>
      </w:r>
      <w:r w:rsidR="000E527B" w:rsidRPr="00E35109">
        <w:rPr>
          <w:rFonts w:ascii="Arial" w:hAnsi="Arial" w:cs="Arial"/>
          <w:sz w:val="24"/>
          <w:szCs w:val="24"/>
          <w:lang w:val="en-GB"/>
        </w:rPr>
        <w:t>Dr Josephine Chen-Wilson</w:t>
      </w:r>
    </w:p>
    <w:p w14:paraId="5803D282" w14:textId="23591DA5" w:rsidR="000E527B" w:rsidRPr="00E35109" w:rsidRDefault="000E527B" w:rsidP="004E0540">
      <w:pPr>
        <w:spacing w:before="240" w:line="276" w:lineRule="auto"/>
        <w:jc w:val="center"/>
        <w:rPr>
          <w:rFonts w:ascii="Arial" w:hAnsi="Arial" w:cs="Arial"/>
          <w:sz w:val="24"/>
          <w:szCs w:val="24"/>
          <w:lang w:val="en-GB"/>
        </w:rPr>
      </w:pPr>
      <w:r w:rsidRPr="00E35109">
        <w:rPr>
          <w:rFonts w:ascii="Arial" w:hAnsi="Arial" w:cs="Arial"/>
          <w:b/>
          <w:bCs/>
          <w:sz w:val="24"/>
          <w:szCs w:val="24"/>
          <w:lang w:val="en-GB"/>
        </w:rPr>
        <w:t xml:space="preserve">Word Count: </w:t>
      </w:r>
      <w:r w:rsidRPr="00E35109">
        <w:rPr>
          <w:rFonts w:ascii="Arial" w:hAnsi="Arial" w:cs="Arial"/>
          <w:sz w:val="24"/>
          <w:szCs w:val="24"/>
          <w:lang w:val="en-GB"/>
        </w:rPr>
        <w:t>3</w:t>
      </w:r>
      <w:r w:rsidR="00FC59C2" w:rsidRPr="00E35109">
        <w:rPr>
          <w:rFonts w:ascii="Arial" w:hAnsi="Arial" w:cs="Arial"/>
          <w:sz w:val="24"/>
          <w:szCs w:val="24"/>
          <w:lang w:val="en-GB"/>
        </w:rPr>
        <w:t>1</w:t>
      </w:r>
      <w:r w:rsidR="00C10AD3" w:rsidRPr="00E35109">
        <w:rPr>
          <w:rFonts w:ascii="Arial" w:hAnsi="Arial" w:cs="Arial"/>
          <w:sz w:val="24"/>
          <w:szCs w:val="24"/>
          <w:lang w:val="en-GB"/>
        </w:rPr>
        <w:t>52</w:t>
      </w:r>
      <w:r w:rsidRPr="00E35109">
        <w:rPr>
          <w:rFonts w:ascii="Arial" w:hAnsi="Arial" w:cs="Arial"/>
          <w:sz w:val="24"/>
          <w:szCs w:val="24"/>
          <w:lang w:val="en-GB"/>
        </w:rPr>
        <w:t xml:space="preserve"> Words</w:t>
      </w:r>
    </w:p>
    <w:p w14:paraId="484C51F4" w14:textId="46AAACDA" w:rsidR="000E527B" w:rsidRPr="00E35109" w:rsidRDefault="000E527B" w:rsidP="004E0540">
      <w:pPr>
        <w:spacing w:before="240" w:line="276" w:lineRule="auto"/>
        <w:jc w:val="center"/>
        <w:rPr>
          <w:rFonts w:ascii="Arial" w:hAnsi="Arial" w:cs="Arial"/>
          <w:sz w:val="24"/>
          <w:szCs w:val="24"/>
          <w:lang w:val="en-GB"/>
        </w:rPr>
      </w:pPr>
      <w:r w:rsidRPr="00E35109">
        <w:rPr>
          <w:rFonts w:ascii="Arial" w:hAnsi="Arial" w:cs="Arial"/>
          <w:b/>
          <w:bCs/>
          <w:sz w:val="24"/>
          <w:szCs w:val="24"/>
          <w:lang w:val="en-GB"/>
        </w:rPr>
        <w:t xml:space="preserve">Submission Date: </w:t>
      </w:r>
      <w:r w:rsidRPr="00E35109">
        <w:rPr>
          <w:rFonts w:ascii="Arial" w:hAnsi="Arial" w:cs="Arial"/>
          <w:sz w:val="24"/>
          <w:szCs w:val="24"/>
          <w:lang w:val="en-GB"/>
        </w:rPr>
        <w:t>26</w:t>
      </w:r>
      <w:r w:rsidRPr="00E35109">
        <w:rPr>
          <w:rFonts w:ascii="Arial" w:hAnsi="Arial" w:cs="Arial"/>
          <w:sz w:val="24"/>
          <w:szCs w:val="24"/>
          <w:vertAlign w:val="superscript"/>
          <w:lang w:val="en-GB"/>
        </w:rPr>
        <w:t>th</w:t>
      </w:r>
      <w:r w:rsidRPr="00E35109">
        <w:rPr>
          <w:rFonts w:ascii="Arial" w:hAnsi="Arial" w:cs="Arial"/>
          <w:sz w:val="24"/>
          <w:szCs w:val="24"/>
          <w:lang w:val="en-GB"/>
        </w:rPr>
        <w:t xml:space="preserve"> </w:t>
      </w:r>
      <w:r w:rsidR="00853DBD" w:rsidRPr="00E35109">
        <w:rPr>
          <w:rFonts w:ascii="Arial" w:hAnsi="Arial" w:cs="Arial"/>
          <w:sz w:val="24"/>
          <w:szCs w:val="24"/>
          <w:lang w:val="en-GB"/>
        </w:rPr>
        <w:t>July</w:t>
      </w:r>
      <w:r w:rsidRPr="00E35109">
        <w:rPr>
          <w:rFonts w:ascii="Arial" w:hAnsi="Arial" w:cs="Arial"/>
          <w:sz w:val="24"/>
          <w:szCs w:val="24"/>
          <w:lang w:val="en-GB"/>
        </w:rPr>
        <w:t xml:space="preserve"> 2024</w:t>
      </w:r>
    </w:p>
    <w:p w14:paraId="67E7BA24" w14:textId="77777777" w:rsidR="00D43C10" w:rsidRPr="008A5491" w:rsidRDefault="00D43C10" w:rsidP="00D43C10">
      <w:pPr>
        <w:spacing w:before="240" w:line="360" w:lineRule="auto"/>
        <w:jc w:val="center"/>
        <w:rPr>
          <w:rFonts w:ascii="Arial" w:hAnsi="Arial" w:cs="Arial"/>
          <w:sz w:val="28"/>
          <w:szCs w:val="28"/>
          <w:lang w:val="en-GB"/>
        </w:rPr>
      </w:pPr>
    </w:p>
    <w:sdt>
      <w:sdtPr>
        <w:rPr>
          <w:rFonts w:asciiTheme="minorHAnsi" w:eastAsiaTheme="minorHAnsi" w:hAnsiTheme="minorHAnsi" w:cstheme="minorBidi"/>
          <w:color w:val="auto"/>
          <w:kern w:val="2"/>
          <w:sz w:val="22"/>
          <w:szCs w:val="22"/>
          <w:lang w:val="en-US" w:eastAsia="en-US"/>
          <w14:ligatures w14:val="standardContextual"/>
        </w:rPr>
        <w:id w:val="336193673"/>
        <w:docPartObj>
          <w:docPartGallery w:val="Table of Contents"/>
          <w:docPartUnique/>
        </w:docPartObj>
      </w:sdtPr>
      <w:sdtEndPr>
        <w:rPr>
          <w:b/>
          <w:bCs/>
        </w:rPr>
      </w:sdtEndPr>
      <w:sdtContent>
        <w:p w14:paraId="3C10B319" w14:textId="1663B433" w:rsidR="0029662C" w:rsidRPr="0052479A" w:rsidRDefault="0029662C" w:rsidP="0052479A">
          <w:pPr>
            <w:pStyle w:val="TOCHeading"/>
            <w:spacing w:after="240" w:line="360" w:lineRule="auto"/>
            <w:jc w:val="center"/>
            <w:rPr>
              <w:rFonts w:asciiTheme="minorBidi" w:hAnsiTheme="minorBidi" w:cstheme="minorBidi"/>
              <w:b/>
              <w:bCs/>
              <w:sz w:val="28"/>
              <w:szCs w:val="28"/>
            </w:rPr>
          </w:pPr>
          <w:r w:rsidRPr="0052479A">
            <w:rPr>
              <w:rFonts w:asciiTheme="minorBidi" w:hAnsiTheme="minorBidi" w:cstheme="minorBidi"/>
              <w:b/>
              <w:bCs/>
              <w:sz w:val="28"/>
              <w:szCs w:val="28"/>
            </w:rPr>
            <w:t>Table of Contents</w:t>
          </w:r>
        </w:p>
        <w:p w14:paraId="11B585A7" w14:textId="0C3AF0EB" w:rsidR="0052479A" w:rsidRPr="009C16C0" w:rsidRDefault="0029662C" w:rsidP="0052479A">
          <w:pPr>
            <w:pStyle w:val="TOC1"/>
            <w:tabs>
              <w:tab w:val="left" w:pos="480"/>
              <w:tab w:val="right" w:leader="dot" w:pos="9350"/>
            </w:tabs>
            <w:spacing w:line="360" w:lineRule="auto"/>
            <w:rPr>
              <w:rFonts w:asciiTheme="minorBidi" w:eastAsiaTheme="minorEastAsia" w:hAnsiTheme="minorBidi"/>
              <w:b/>
              <w:bCs/>
              <w:noProof/>
              <w:lang w:val="de-DE" w:eastAsia="de-DE"/>
            </w:rPr>
          </w:pPr>
          <w:r w:rsidRPr="009C16C0">
            <w:rPr>
              <w:rFonts w:asciiTheme="minorBidi" w:hAnsiTheme="minorBidi"/>
              <w:b/>
              <w:bCs/>
              <w:lang w:val="en-GB"/>
            </w:rPr>
            <w:fldChar w:fldCharType="begin"/>
          </w:r>
          <w:r w:rsidRPr="009C16C0">
            <w:rPr>
              <w:rFonts w:asciiTheme="minorBidi" w:hAnsiTheme="minorBidi"/>
              <w:b/>
              <w:bCs/>
              <w:lang w:val="en-GB"/>
            </w:rPr>
            <w:instrText xml:space="preserve"> TOC \o "1-3" \h \z \u </w:instrText>
          </w:r>
          <w:r w:rsidRPr="009C16C0">
            <w:rPr>
              <w:rFonts w:asciiTheme="minorBidi" w:hAnsiTheme="minorBidi"/>
              <w:b/>
              <w:bCs/>
              <w:lang w:val="en-GB"/>
            </w:rPr>
            <w:fldChar w:fldCharType="separate"/>
          </w:r>
          <w:hyperlink w:anchor="_Toc172223393" w:history="1">
            <w:r w:rsidR="0052479A" w:rsidRPr="009C16C0">
              <w:rPr>
                <w:rStyle w:val="Hyperlink"/>
                <w:rFonts w:asciiTheme="minorBidi" w:hAnsiTheme="minorBidi"/>
                <w:b/>
                <w:bCs/>
                <w:noProof/>
                <w:lang w:val="en-GB"/>
              </w:rPr>
              <w:t>1.</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Introduction</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_Toc172223393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3</w:t>
            </w:r>
            <w:r w:rsidR="0052479A" w:rsidRPr="009C16C0">
              <w:rPr>
                <w:rFonts w:asciiTheme="minorBidi" w:hAnsiTheme="minorBidi"/>
                <w:b/>
                <w:bCs/>
                <w:noProof/>
                <w:webHidden/>
              </w:rPr>
              <w:fldChar w:fldCharType="end"/>
            </w:r>
          </w:hyperlink>
        </w:p>
        <w:p w14:paraId="7BD5219E" w14:textId="085A4699"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4" w:history="1">
            <w:r w:rsidR="0052479A" w:rsidRPr="009C16C0">
              <w:rPr>
                <w:rStyle w:val="Hyperlink"/>
                <w:rFonts w:asciiTheme="minorBidi" w:hAnsiTheme="minorBidi"/>
                <w:b/>
                <w:bCs/>
                <w:noProof/>
                <w:lang w:val="en-GB"/>
              </w:rPr>
              <w:t>2.</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Historical Context of Mental Health Provision in the UK</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_Toc172223394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3</w:t>
            </w:r>
            <w:r w:rsidR="0052479A" w:rsidRPr="009C16C0">
              <w:rPr>
                <w:rFonts w:asciiTheme="minorBidi" w:hAnsiTheme="minorBidi"/>
                <w:b/>
                <w:bCs/>
                <w:noProof/>
                <w:webHidden/>
              </w:rPr>
              <w:fldChar w:fldCharType="end"/>
            </w:r>
          </w:hyperlink>
        </w:p>
        <w:p w14:paraId="3A77B551" w14:textId="366D8970"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5" w:history="1">
            <w:r w:rsidR="0052479A" w:rsidRPr="009C16C0">
              <w:rPr>
                <w:rStyle w:val="Hyperlink"/>
                <w:rFonts w:asciiTheme="minorBidi" w:hAnsiTheme="minorBidi"/>
                <w:b/>
                <w:bCs/>
                <w:noProof/>
                <w:lang w:val="en-GB"/>
              </w:rPr>
              <w:t>3.</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Classification and Diagnosis</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_Toc172223395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4</w:t>
            </w:r>
            <w:r w:rsidR="0052479A" w:rsidRPr="009C16C0">
              <w:rPr>
                <w:rFonts w:asciiTheme="minorBidi" w:hAnsiTheme="minorBidi"/>
                <w:b/>
                <w:bCs/>
                <w:noProof/>
                <w:webHidden/>
              </w:rPr>
              <w:fldChar w:fldCharType="end"/>
            </w:r>
          </w:hyperlink>
        </w:p>
        <w:p w14:paraId="1D73B547" w14:textId="02152AA4"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6" w:history="1">
            <w:r w:rsidR="0052479A" w:rsidRPr="009C16C0">
              <w:rPr>
                <w:rStyle w:val="Hyperlink"/>
                <w:rFonts w:asciiTheme="minorBidi" w:hAnsiTheme="minorBidi"/>
                <w:b/>
                <w:bCs/>
                <w:noProof/>
                <w:lang w:val="en-GB"/>
              </w:rPr>
              <w:t>4.</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Treatment Approaches</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_Toc172223396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6</w:t>
            </w:r>
            <w:r w:rsidR="0052479A" w:rsidRPr="009C16C0">
              <w:rPr>
                <w:rFonts w:asciiTheme="minorBidi" w:hAnsiTheme="minorBidi"/>
                <w:b/>
                <w:bCs/>
                <w:noProof/>
                <w:webHidden/>
              </w:rPr>
              <w:fldChar w:fldCharType="end"/>
            </w:r>
          </w:hyperlink>
        </w:p>
        <w:p w14:paraId="7AFE17E4" w14:textId="498AF0D3"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7" w:history="1">
            <w:r w:rsidR="0052479A" w:rsidRPr="009C16C0">
              <w:rPr>
                <w:rStyle w:val="Hyperlink"/>
                <w:rFonts w:asciiTheme="minorBidi" w:hAnsiTheme="minorBidi"/>
                <w:b/>
                <w:bCs/>
                <w:noProof/>
                <w:lang w:val="en-GB"/>
              </w:rPr>
              <w:t>5.</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Measurements and Rehabilitation</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_Toc172223397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7</w:t>
            </w:r>
            <w:r w:rsidR="0052479A" w:rsidRPr="009C16C0">
              <w:rPr>
                <w:rFonts w:asciiTheme="minorBidi" w:hAnsiTheme="minorBidi"/>
                <w:b/>
                <w:bCs/>
                <w:noProof/>
                <w:webHidden/>
              </w:rPr>
              <w:fldChar w:fldCharType="end"/>
            </w:r>
          </w:hyperlink>
        </w:p>
        <w:p w14:paraId="00E78164" w14:textId="4AE9DCFB"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8" w:history="1">
            <w:r w:rsidR="0052479A" w:rsidRPr="009C16C0">
              <w:rPr>
                <w:rStyle w:val="Hyperlink"/>
                <w:rFonts w:asciiTheme="minorBidi" w:hAnsiTheme="minorBidi"/>
                <w:b/>
                <w:bCs/>
                <w:noProof/>
                <w:lang w:val="en-GB"/>
              </w:rPr>
              <w:t>6.</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Strengths and Limitations of Services</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_Toc172223398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8</w:t>
            </w:r>
            <w:r w:rsidR="0052479A" w:rsidRPr="009C16C0">
              <w:rPr>
                <w:rFonts w:asciiTheme="minorBidi" w:hAnsiTheme="minorBidi"/>
                <w:b/>
                <w:bCs/>
                <w:noProof/>
                <w:webHidden/>
              </w:rPr>
              <w:fldChar w:fldCharType="end"/>
            </w:r>
          </w:hyperlink>
        </w:p>
        <w:p w14:paraId="4C5B7AAC" w14:textId="1B8A04E5"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399" w:history="1">
            <w:r w:rsidR="0052479A" w:rsidRPr="009C16C0">
              <w:rPr>
                <w:rStyle w:val="Hyperlink"/>
                <w:rFonts w:asciiTheme="minorBidi" w:hAnsiTheme="minorBidi"/>
                <w:b/>
                <w:bCs/>
                <w:noProof/>
                <w:lang w:val="en-GB"/>
              </w:rPr>
              <w:t>7.</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Recommendations for Improvement</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_Toc172223399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9</w:t>
            </w:r>
            <w:r w:rsidR="0052479A" w:rsidRPr="009C16C0">
              <w:rPr>
                <w:rFonts w:asciiTheme="minorBidi" w:hAnsiTheme="minorBidi"/>
                <w:b/>
                <w:bCs/>
                <w:noProof/>
                <w:webHidden/>
              </w:rPr>
              <w:fldChar w:fldCharType="end"/>
            </w:r>
          </w:hyperlink>
        </w:p>
        <w:p w14:paraId="6C7DEBCE" w14:textId="083EA6FB"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400" w:history="1">
            <w:r w:rsidR="0052479A" w:rsidRPr="009C16C0">
              <w:rPr>
                <w:rStyle w:val="Hyperlink"/>
                <w:rFonts w:asciiTheme="minorBidi" w:hAnsiTheme="minorBidi"/>
                <w:b/>
                <w:bCs/>
                <w:noProof/>
                <w:lang w:val="en-GB"/>
              </w:rPr>
              <w:t>8.</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Conclusion</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_Toc172223400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11</w:t>
            </w:r>
            <w:r w:rsidR="0052479A" w:rsidRPr="009C16C0">
              <w:rPr>
                <w:rFonts w:asciiTheme="minorBidi" w:hAnsiTheme="minorBidi"/>
                <w:b/>
                <w:bCs/>
                <w:noProof/>
                <w:webHidden/>
              </w:rPr>
              <w:fldChar w:fldCharType="end"/>
            </w:r>
          </w:hyperlink>
        </w:p>
        <w:p w14:paraId="35CC228A" w14:textId="6C701E94" w:rsidR="0052479A" w:rsidRPr="009C16C0" w:rsidRDefault="00DD3566" w:rsidP="0052479A">
          <w:pPr>
            <w:pStyle w:val="TOC1"/>
            <w:tabs>
              <w:tab w:val="left" w:pos="480"/>
              <w:tab w:val="right" w:leader="dot" w:pos="9350"/>
            </w:tabs>
            <w:spacing w:line="360" w:lineRule="auto"/>
            <w:rPr>
              <w:rFonts w:asciiTheme="minorBidi" w:eastAsiaTheme="minorEastAsia" w:hAnsiTheme="minorBidi"/>
              <w:b/>
              <w:bCs/>
              <w:noProof/>
              <w:lang w:val="de-DE" w:eastAsia="de-DE"/>
            </w:rPr>
          </w:pPr>
          <w:hyperlink w:anchor="_Toc172223401" w:history="1">
            <w:r w:rsidR="0052479A" w:rsidRPr="009C16C0">
              <w:rPr>
                <w:rStyle w:val="Hyperlink"/>
                <w:rFonts w:asciiTheme="minorBidi" w:hAnsiTheme="minorBidi"/>
                <w:b/>
                <w:bCs/>
                <w:noProof/>
                <w:lang w:val="en-GB"/>
              </w:rPr>
              <w:t>9.</w:t>
            </w:r>
            <w:r w:rsidR="0052479A" w:rsidRPr="009C16C0">
              <w:rPr>
                <w:rFonts w:asciiTheme="minorBidi" w:eastAsiaTheme="minorEastAsia" w:hAnsiTheme="minorBidi"/>
                <w:b/>
                <w:bCs/>
                <w:noProof/>
                <w:lang w:val="de-DE" w:eastAsia="de-DE"/>
              </w:rPr>
              <w:tab/>
            </w:r>
            <w:r w:rsidR="0052479A" w:rsidRPr="009C16C0">
              <w:rPr>
                <w:rStyle w:val="Hyperlink"/>
                <w:rFonts w:asciiTheme="minorBidi" w:hAnsiTheme="minorBidi"/>
                <w:b/>
                <w:bCs/>
                <w:noProof/>
                <w:lang w:val="en-GB"/>
              </w:rPr>
              <w:t>Reference List</w:t>
            </w:r>
            <w:r w:rsidR="0052479A" w:rsidRPr="009C16C0">
              <w:rPr>
                <w:rFonts w:asciiTheme="minorBidi" w:hAnsiTheme="minorBidi"/>
                <w:b/>
                <w:bCs/>
                <w:noProof/>
                <w:webHidden/>
              </w:rPr>
              <w:tab/>
            </w:r>
            <w:r w:rsidR="0052479A" w:rsidRPr="009C16C0">
              <w:rPr>
                <w:rFonts w:asciiTheme="minorBidi" w:hAnsiTheme="minorBidi"/>
                <w:b/>
                <w:bCs/>
                <w:noProof/>
                <w:webHidden/>
              </w:rPr>
              <w:fldChar w:fldCharType="begin"/>
            </w:r>
            <w:r w:rsidR="0052479A" w:rsidRPr="009C16C0">
              <w:rPr>
                <w:rFonts w:asciiTheme="minorBidi" w:hAnsiTheme="minorBidi"/>
                <w:b/>
                <w:bCs/>
                <w:noProof/>
                <w:webHidden/>
              </w:rPr>
              <w:instrText xml:space="preserve"> PAGEREF _Toc172223401 \h </w:instrText>
            </w:r>
            <w:r w:rsidR="0052479A" w:rsidRPr="009C16C0">
              <w:rPr>
                <w:rFonts w:asciiTheme="minorBidi" w:hAnsiTheme="minorBidi"/>
                <w:b/>
                <w:bCs/>
                <w:noProof/>
                <w:webHidden/>
              </w:rPr>
            </w:r>
            <w:r w:rsidR="0052479A" w:rsidRPr="009C16C0">
              <w:rPr>
                <w:rFonts w:asciiTheme="minorBidi" w:hAnsiTheme="minorBidi"/>
                <w:b/>
                <w:bCs/>
                <w:noProof/>
                <w:webHidden/>
              </w:rPr>
              <w:fldChar w:fldCharType="separate"/>
            </w:r>
            <w:r w:rsidR="00215EF2" w:rsidRPr="009C16C0">
              <w:rPr>
                <w:rFonts w:asciiTheme="minorBidi" w:hAnsiTheme="minorBidi"/>
                <w:b/>
                <w:bCs/>
                <w:noProof/>
                <w:webHidden/>
              </w:rPr>
              <w:t>12</w:t>
            </w:r>
            <w:r w:rsidR="0052479A" w:rsidRPr="009C16C0">
              <w:rPr>
                <w:rFonts w:asciiTheme="minorBidi" w:hAnsiTheme="minorBidi"/>
                <w:b/>
                <w:bCs/>
                <w:noProof/>
                <w:webHidden/>
              </w:rPr>
              <w:fldChar w:fldCharType="end"/>
            </w:r>
          </w:hyperlink>
        </w:p>
        <w:p w14:paraId="67B39401" w14:textId="7355E6C4" w:rsidR="0029662C" w:rsidRPr="008A5491" w:rsidRDefault="0029662C" w:rsidP="0052479A">
          <w:pPr>
            <w:spacing w:after="240" w:line="360" w:lineRule="auto"/>
            <w:rPr>
              <w:lang w:val="en-GB"/>
            </w:rPr>
          </w:pPr>
          <w:r w:rsidRPr="009C16C0">
            <w:rPr>
              <w:rFonts w:asciiTheme="minorBidi" w:hAnsiTheme="minorBidi"/>
              <w:b/>
              <w:bCs/>
              <w:lang w:val="en-GB"/>
            </w:rPr>
            <w:fldChar w:fldCharType="end"/>
          </w:r>
        </w:p>
      </w:sdtContent>
    </w:sdt>
    <w:p w14:paraId="4CFE6BCE" w14:textId="77777777" w:rsidR="0029662C" w:rsidRPr="008A5491" w:rsidRDefault="0029662C" w:rsidP="00D43C10">
      <w:pPr>
        <w:spacing w:before="240" w:line="360" w:lineRule="auto"/>
        <w:jc w:val="center"/>
        <w:rPr>
          <w:rFonts w:ascii="Arial" w:hAnsi="Arial" w:cs="Arial"/>
          <w:sz w:val="28"/>
          <w:szCs w:val="28"/>
          <w:lang w:val="en-GB"/>
        </w:rPr>
      </w:pPr>
    </w:p>
    <w:p w14:paraId="104D2C7E" w14:textId="77777777" w:rsidR="0029662C" w:rsidRPr="008A5491" w:rsidRDefault="0029662C" w:rsidP="00D43C10">
      <w:pPr>
        <w:spacing w:before="240" w:line="360" w:lineRule="auto"/>
        <w:jc w:val="center"/>
        <w:rPr>
          <w:rFonts w:ascii="Arial" w:hAnsi="Arial" w:cs="Arial"/>
          <w:sz w:val="28"/>
          <w:szCs w:val="28"/>
          <w:lang w:val="en-GB"/>
        </w:rPr>
      </w:pPr>
    </w:p>
    <w:p w14:paraId="4803A62D" w14:textId="77777777" w:rsidR="0029662C" w:rsidRPr="008A5491" w:rsidRDefault="0029662C" w:rsidP="0029662C">
      <w:pPr>
        <w:spacing w:before="240" w:line="360" w:lineRule="auto"/>
        <w:rPr>
          <w:rFonts w:ascii="Arial" w:hAnsi="Arial" w:cs="Arial"/>
          <w:sz w:val="28"/>
          <w:szCs w:val="28"/>
          <w:lang w:val="en-GB"/>
        </w:rPr>
      </w:pPr>
    </w:p>
    <w:p w14:paraId="70F9A7ED" w14:textId="77777777" w:rsidR="0029662C" w:rsidRPr="008A5491" w:rsidRDefault="0029662C" w:rsidP="00D43C10">
      <w:pPr>
        <w:spacing w:before="240" w:line="360" w:lineRule="auto"/>
        <w:jc w:val="center"/>
        <w:rPr>
          <w:rFonts w:ascii="Arial" w:hAnsi="Arial" w:cs="Arial"/>
          <w:sz w:val="28"/>
          <w:szCs w:val="28"/>
          <w:lang w:val="en-GB"/>
        </w:rPr>
      </w:pPr>
    </w:p>
    <w:p w14:paraId="38DC9E70" w14:textId="77777777" w:rsidR="0029662C" w:rsidRPr="008A5491" w:rsidRDefault="0029662C" w:rsidP="00D43C10">
      <w:pPr>
        <w:spacing w:before="240" w:line="360" w:lineRule="auto"/>
        <w:jc w:val="center"/>
        <w:rPr>
          <w:rFonts w:ascii="Arial" w:hAnsi="Arial" w:cs="Arial"/>
          <w:sz w:val="28"/>
          <w:szCs w:val="28"/>
          <w:lang w:val="en-GB"/>
        </w:rPr>
      </w:pPr>
    </w:p>
    <w:p w14:paraId="13F186D8" w14:textId="77777777" w:rsidR="0029662C" w:rsidRDefault="0029662C" w:rsidP="00D43C10">
      <w:pPr>
        <w:spacing w:before="240" w:line="360" w:lineRule="auto"/>
        <w:jc w:val="center"/>
        <w:rPr>
          <w:rFonts w:ascii="Arial" w:hAnsi="Arial" w:cs="Arial"/>
          <w:sz w:val="28"/>
          <w:szCs w:val="28"/>
          <w:lang w:val="en-GB"/>
        </w:rPr>
      </w:pPr>
    </w:p>
    <w:p w14:paraId="5AF5DF71" w14:textId="77777777" w:rsidR="00062FC0" w:rsidRDefault="00062FC0" w:rsidP="00D43C10">
      <w:pPr>
        <w:spacing w:before="240" w:line="360" w:lineRule="auto"/>
        <w:jc w:val="center"/>
        <w:rPr>
          <w:rFonts w:ascii="Arial" w:hAnsi="Arial" w:cs="Arial"/>
          <w:sz w:val="28"/>
          <w:szCs w:val="28"/>
          <w:lang w:val="en-GB"/>
        </w:rPr>
      </w:pPr>
    </w:p>
    <w:p w14:paraId="3584974A" w14:textId="77777777" w:rsidR="00062FC0" w:rsidRPr="008A5491" w:rsidRDefault="00062FC0" w:rsidP="00D43C10">
      <w:pPr>
        <w:spacing w:before="240" w:line="360" w:lineRule="auto"/>
        <w:jc w:val="center"/>
        <w:rPr>
          <w:rFonts w:ascii="Arial" w:hAnsi="Arial" w:cs="Arial"/>
          <w:sz w:val="28"/>
          <w:szCs w:val="28"/>
          <w:lang w:val="en-GB"/>
        </w:rPr>
      </w:pPr>
    </w:p>
    <w:p w14:paraId="1DF41519" w14:textId="77777777" w:rsidR="0029662C" w:rsidRPr="008A5491" w:rsidRDefault="0029662C" w:rsidP="00D43C10">
      <w:pPr>
        <w:spacing w:before="240" w:line="360" w:lineRule="auto"/>
        <w:jc w:val="center"/>
        <w:rPr>
          <w:rFonts w:ascii="Arial" w:hAnsi="Arial" w:cs="Arial"/>
          <w:sz w:val="28"/>
          <w:szCs w:val="28"/>
          <w:lang w:val="en-GB"/>
        </w:rPr>
      </w:pPr>
    </w:p>
    <w:p w14:paraId="05D3FDEC" w14:textId="77777777" w:rsidR="0029662C" w:rsidRPr="008A5491" w:rsidRDefault="0029662C" w:rsidP="0029662C">
      <w:pPr>
        <w:pStyle w:val="Heading1"/>
        <w:numPr>
          <w:ilvl w:val="0"/>
          <w:numId w:val="1"/>
        </w:numPr>
        <w:spacing w:after="240" w:line="360" w:lineRule="auto"/>
        <w:rPr>
          <w:rFonts w:ascii="Arial" w:hAnsi="Arial" w:cs="Arial"/>
          <w:b/>
          <w:bCs/>
          <w:color w:val="auto"/>
          <w:sz w:val="24"/>
          <w:szCs w:val="24"/>
          <w:lang w:val="en-GB"/>
        </w:rPr>
      </w:pPr>
      <w:bookmarkStart w:id="0" w:name="_Toc172223393"/>
      <w:r w:rsidRPr="008A5491">
        <w:rPr>
          <w:rFonts w:ascii="Arial" w:hAnsi="Arial" w:cs="Arial"/>
          <w:b/>
          <w:bCs/>
          <w:color w:val="auto"/>
          <w:sz w:val="24"/>
          <w:szCs w:val="24"/>
          <w:lang w:val="en-GB"/>
        </w:rPr>
        <w:lastRenderedPageBreak/>
        <w:t>Introduction</w:t>
      </w:r>
      <w:bookmarkEnd w:id="0"/>
    </w:p>
    <w:p w14:paraId="30C0F664"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Obsessive-Compulsive Disorder (OCD) and anxiety disorders are severe mental disorders that impact millions of people across the globe. Obsessive-compulsive disorder is defined by the presence of persisting and unwanted thoughts (obsessions) and compulsions, which are ritualised behaviours or mental activities that the person feels compelled to perform (National Institute of Mental Health, 2019). These compulsions are regarded as a way of trying to reduce the distress produced by obsessions. Such symptoms include washing hands frequently, counting, rereading, checking, and obsessive thoughts about danger or germs (Brock and Hany, 2023).</w:t>
      </w:r>
    </w:p>
    <w:p w14:paraId="75B921E2"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Specific phobia pertains to a class of disorders where fear or anxiety is the central feature of the disorder. These are generalised anxiety disorder (GAD), panic disorder, social phobia and other phobias (Chaves </w:t>
      </w:r>
      <w:r w:rsidRPr="00E04150">
        <w:rPr>
          <w:rFonts w:ascii="Arial" w:hAnsi="Arial" w:cs="Arial"/>
          <w:i/>
          <w:iCs/>
          <w:color w:val="0E101A"/>
          <w:sz w:val="22"/>
          <w:szCs w:val="22"/>
        </w:rPr>
        <w:t>et al</w:t>
      </w:r>
      <w:r w:rsidRPr="008A5491">
        <w:rPr>
          <w:rFonts w:ascii="Arial" w:hAnsi="Arial" w:cs="Arial"/>
          <w:color w:val="0E101A"/>
          <w:sz w:val="22"/>
          <w:szCs w:val="22"/>
        </w:rPr>
        <w:t>., 2022). Panic disorders often involve physical symptoms like increased heart rates, perspiration, and fainting sensations, causing severe limitations to an individual's performance of daily activities (NHS UK, 2019).</w:t>
      </w:r>
    </w:p>
    <w:p w14:paraId="5A55C6D9"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The latest edition of ICD-10 (2010) that the WHO developed classifies various mental health disorders; these include OCD and anxiety disorders. According to the ICD-10, these disorders fall under specific codes that outline the diagnostic features that enable clinicians to diagnose them properly (World Health Organization, 2019). For example, OCD falls under F42, while anxiety disorders fall under F40, phobic anxiety disorders and F41 other anxiety disorders.</w:t>
      </w:r>
    </w:p>
    <w:p w14:paraId="27BA5477" w14:textId="77777777" w:rsidR="0029662C" w:rsidRPr="008A22EE" w:rsidRDefault="0029662C" w:rsidP="0029662C">
      <w:pPr>
        <w:pStyle w:val="Heading1"/>
        <w:numPr>
          <w:ilvl w:val="0"/>
          <w:numId w:val="1"/>
        </w:numPr>
        <w:spacing w:after="240" w:line="360" w:lineRule="auto"/>
        <w:rPr>
          <w:rFonts w:ascii="Arial" w:hAnsi="Arial" w:cs="Arial"/>
          <w:b/>
          <w:bCs/>
          <w:color w:val="auto"/>
          <w:sz w:val="24"/>
          <w:szCs w:val="24"/>
          <w:lang w:val="en-GB"/>
        </w:rPr>
      </w:pPr>
      <w:bookmarkStart w:id="1" w:name="_Toc172223394"/>
      <w:r w:rsidRPr="008A22EE">
        <w:rPr>
          <w:rFonts w:ascii="Arial" w:hAnsi="Arial" w:cs="Arial"/>
          <w:b/>
          <w:bCs/>
          <w:color w:val="auto"/>
          <w:sz w:val="24"/>
          <w:szCs w:val="24"/>
          <w:lang w:val="en-GB"/>
        </w:rPr>
        <w:t>Historical Context of Mental Health Provision in the UK</w:t>
      </w:r>
      <w:bookmarkEnd w:id="1"/>
    </w:p>
    <w:p w14:paraId="324726B5"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Mental health services have also undergone a process of evolution in the United Kingdom in recent years. Originally, mental health services were delivered mainly through large mental hospitals or asylums, which were characterised as unproportioned and provided for the exclusion of patients from society due to their unfavourable environment (Turner </w:t>
      </w:r>
      <w:r w:rsidRPr="00E04150">
        <w:rPr>
          <w:rFonts w:ascii="Arial" w:hAnsi="Arial" w:cs="Arial"/>
          <w:i/>
          <w:iCs/>
          <w:color w:val="0E101A"/>
          <w:sz w:val="22"/>
          <w:szCs w:val="22"/>
        </w:rPr>
        <w:t>et al</w:t>
      </w:r>
      <w:r w:rsidRPr="008A5491">
        <w:rPr>
          <w:rFonts w:ascii="Arial" w:hAnsi="Arial" w:cs="Arial"/>
          <w:color w:val="0E101A"/>
          <w:sz w:val="22"/>
          <w:szCs w:val="22"/>
        </w:rPr>
        <w:t xml:space="preserve">., 2015). The deinstitutionalisation movement that started in the 1960s intended to shut down these asylums and instead support clients through community services </w:t>
      </w:r>
      <w:r w:rsidRPr="00C63292">
        <w:rPr>
          <w:rFonts w:ascii="Arial" w:hAnsi="Arial" w:cs="Arial"/>
          <w:color w:val="0E101A"/>
          <w:sz w:val="22"/>
          <w:szCs w:val="22"/>
        </w:rPr>
        <w:t>(Yohanna, 2013).</w:t>
      </w:r>
      <w:r w:rsidRPr="008A5491">
        <w:rPr>
          <w:rFonts w:ascii="Arial" w:hAnsi="Arial" w:cs="Arial"/>
          <w:color w:val="0E101A"/>
          <w:sz w:val="22"/>
          <w:szCs w:val="22"/>
        </w:rPr>
        <w:t xml:space="preserve"> This change was, therefore, informed by the fact that the patients would be better off assimilating into their communities rather than being segregated.</w:t>
      </w:r>
    </w:p>
    <w:p w14:paraId="6EA4C08C"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The Mental Health Act of 1983 also brought new changes in the structure of mental health services in the UK. The Care Programme Approach aimed at providing individualised care plans and made references to care management for people who have severe mental illness (Goodwin </w:t>
      </w:r>
      <w:r w:rsidRPr="008A5491">
        <w:rPr>
          <w:rFonts w:ascii="Arial" w:hAnsi="Arial" w:cs="Arial"/>
          <w:color w:val="0E101A"/>
          <w:sz w:val="22"/>
          <w:szCs w:val="22"/>
        </w:rPr>
        <w:lastRenderedPageBreak/>
        <w:t>and Lawton-Smith, 2010). The CPA was a positive development towards a more comprehensive and empathetic approach to the treatment of mental illnesses.</w:t>
      </w:r>
    </w:p>
    <w:p w14:paraId="411D997F" w14:textId="1D7BD2D6"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Several legislative requirements have changed mental health provisions in the United Kingdom. The Mental Health Act of 1983 was one significant legislation that aimed to set the legal basis for managing mentally ill patients (Hamilton, 1983). It outlined the legal basis for involuntary commitment and treatment and guaranteed the patients' liberties while promoting their treatment when this proved inevitable. The Mental Capacity Act 2005 strengthened the existing laws by offering a Code of Practice for handling the Best Interests of persons who cannot make decisions for themselves (Johnston and Liddle, 2007). This Act provides that any decision made for a person must be in their best interests and not infringe on their rights.</w:t>
      </w:r>
    </w:p>
    <w:p w14:paraId="27966E83"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The latest shift in thinking has been Britain's Five Year Forward View for Mental Health, published in 2016 (NHS England, 2018). This strategic document intends to redesign mental health care by making it more accessible, available, and integrated with primary and community services. It stresses the concept of prevention, early detection, and treatment and recognises that mental health is an integral part of overall health.</w:t>
      </w:r>
    </w:p>
    <w:p w14:paraId="244CE0FC" w14:textId="64DDB26F" w:rsidR="00FC59C2" w:rsidRPr="008A5491" w:rsidRDefault="00FC59C2"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Some of the disorders that were formerly ill-understood and therefore diagnosed included – </w:t>
      </w:r>
      <w:r w:rsidR="00094B45" w:rsidRPr="008A5491">
        <w:rPr>
          <w:rFonts w:ascii="Arial" w:hAnsi="Arial" w:cs="Arial"/>
          <w:color w:val="0E101A"/>
          <w:sz w:val="22"/>
          <w:szCs w:val="22"/>
        </w:rPr>
        <w:t>obsessive-compulsive disorder</w:t>
      </w:r>
      <w:r w:rsidRPr="008A5491">
        <w:rPr>
          <w:rFonts w:ascii="Arial" w:hAnsi="Arial" w:cs="Arial"/>
          <w:color w:val="0E101A"/>
          <w:sz w:val="22"/>
          <w:szCs w:val="22"/>
        </w:rPr>
        <w:t xml:space="preserve"> and anxiety disorders. Former classification of OCD was </w:t>
      </w:r>
      <w:r w:rsidR="00094B45" w:rsidRPr="008A5491">
        <w:rPr>
          <w:rFonts w:ascii="Arial" w:hAnsi="Arial" w:cs="Arial"/>
          <w:color w:val="0E101A"/>
          <w:sz w:val="22"/>
          <w:szCs w:val="22"/>
        </w:rPr>
        <w:t>tasking</w:t>
      </w:r>
      <w:r w:rsidRPr="008A5491">
        <w:rPr>
          <w:rFonts w:ascii="Arial" w:hAnsi="Arial" w:cs="Arial"/>
          <w:color w:val="0E101A"/>
          <w:sz w:val="22"/>
          <w:szCs w:val="22"/>
        </w:rPr>
        <w:t xml:space="preserve"> because the disease was usually grouped under schizophrenia or other severe mental disorders due to severe obsession and compulsion (Leckman </w:t>
      </w:r>
      <w:r w:rsidR="00094B45" w:rsidRPr="00E04150">
        <w:rPr>
          <w:rFonts w:ascii="Arial" w:hAnsi="Arial" w:cs="Arial"/>
          <w:i/>
          <w:iCs/>
          <w:color w:val="0E101A"/>
          <w:sz w:val="22"/>
          <w:szCs w:val="22"/>
        </w:rPr>
        <w:t>et al</w:t>
      </w:r>
      <w:r w:rsidR="00094B45" w:rsidRPr="008A5491">
        <w:rPr>
          <w:rFonts w:ascii="Arial" w:hAnsi="Arial" w:cs="Arial"/>
          <w:color w:val="0E101A"/>
          <w:sz w:val="22"/>
          <w:szCs w:val="22"/>
        </w:rPr>
        <w:t>.,</w:t>
      </w:r>
      <w:r w:rsidRPr="008A5491">
        <w:rPr>
          <w:rFonts w:ascii="Arial" w:hAnsi="Arial" w:cs="Arial"/>
          <w:color w:val="0E101A"/>
          <w:sz w:val="22"/>
          <w:szCs w:val="22"/>
        </w:rPr>
        <w:t xml:space="preserve"> 2010). In contrast, anxiety disorders generally went </w:t>
      </w:r>
      <w:r w:rsidR="00094B45" w:rsidRPr="008A5491">
        <w:rPr>
          <w:rFonts w:ascii="Arial" w:hAnsi="Arial" w:cs="Arial"/>
          <w:color w:val="0E101A"/>
          <w:sz w:val="22"/>
          <w:szCs w:val="22"/>
        </w:rPr>
        <w:t>unnoticed,</w:t>
      </w:r>
      <w:r w:rsidRPr="008A5491">
        <w:rPr>
          <w:rFonts w:ascii="Arial" w:hAnsi="Arial" w:cs="Arial"/>
          <w:color w:val="0E101A"/>
          <w:sz w:val="22"/>
          <w:szCs w:val="22"/>
        </w:rPr>
        <w:t xml:space="preserve"> and people complained of such feelings as stress or personality issues rather than anxiety disorders (Bystritsky </w:t>
      </w:r>
      <w:r w:rsidR="00094B45" w:rsidRPr="00E04150">
        <w:rPr>
          <w:rFonts w:ascii="Arial" w:hAnsi="Arial" w:cs="Arial"/>
          <w:i/>
          <w:iCs/>
          <w:color w:val="0E101A"/>
          <w:sz w:val="22"/>
          <w:szCs w:val="22"/>
        </w:rPr>
        <w:t>et al</w:t>
      </w:r>
      <w:r w:rsidR="00094B45" w:rsidRPr="008A5491">
        <w:rPr>
          <w:rFonts w:ascii="Arial" w:hAnsi="Arial" w:cs="Arial"/>
          <w:color w:val="0E101A"/>
          <w:sz w:val="22"/>
          <w:szCs w:val="22"/>
        </w:rPr>
        <w:t>.,</w:t>
      </w:r>
      <w:r w:rsidRPr="008A5491">
        <w:rPr>
          <w:rFonts w:ascii="Arial" w:hAnsi="Arial" w:cs="Arial"/>
          <w:color w:val="0E101A"/>
          <w:sz w:val="22"/>
          <w:szCs w:val="22"/>
        </w:rPr>
        <w:t xml:space="preserve"> 2013).</w:t>
      </w:r>
    </w:p>
    <w:p w14:paraId="7A3FCB84" w14:textId="77777777" w:rsidR="0029662C" w:rsidRPr="000D1B66" w:rsidRDefault="0029662C" w:rsidP="0029662C">
      <w:pPr>
        <w:pStyle w:val="Heading1"/>
        <w:numPr>
          <w:ilvl w:val="0"/>
          <w:numId w:val="1"/>
        </w:numPr>
        <w:spacing w:after="240" w:line="360" w:lineRule="auto"/>
        <w:rPr>
          <w:rFonts w:ascii="Arial" w:hAnsi="Arial" w:cs="Arial"/>
          <w:b/>
          <w:bCs/>
          <w:color w:val="auto"/>
          <w:sz w:val="24"/>
          <w:szCs w:val="24"/>
          <w:lang w:val="en-GB"/>
        </w:rPr>
      </w:pPr>
      <w:bookmarkStart w:id="2" w:name="_Toc172223395"/>
      <w:r w:rsidRPr="000D1B66">
        <w:rPr>
          <w:rFonts w:ascii="Arial" w:hAnsi="Arial" w:cs="Arial"/>
          <w:b/>
          <w:bCs/>
          <w:color w:val="auto"/>
          <w:sz w:val="24"/>
          <w:szCs w:val="24"/>
          <w:lang w:val="en-GB"/>
        </w:rPr>
        <w:t>Classification and Diagnosis</w:t>
      </w:r>
      <w:bookmarkEnd w:id="2"/>
    </w:p>
    <w:p w14:paraId="7C6F7791"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The ICD-10 (2010) of WHO offers the most comprehensive explanation of mental or behavioural disorders, including OCD and different categories of anxiety disorders. OCD is classified under ICD 10 code F42, whereas anxiety disorders are mainly under F41 (WHO, 2010). These classification systems are the gold standards in diagnosing and managing these disorders in clinical practice.</w:t>
      </w:r>
    </w:p>
    <w:p w14:paraId="5B4AF62D"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Obsessive-Compulsive Disorder (OCD), according to ICD-10 classification, is coded F42. Symptoms of OCD are further defined by Diagnostic criteria for OCD, which include obsessions, compulsions or both (National Collaborating Centre for Mental Health (UK), 2006). Some of the </w:t>
      </w:r>
      <w:r w:rsidRPr="008A5491">
        <w:rPr>
          <w:rFonts w:ascii="Arial" w:hAnsi="Arial" w:cs="Arial"/>
          <w:color w:val="0E101A"/>
          <w:sz w:val="22"/>
          <w:szCs w:val="22"/>
        </w:rPr>
        <w:lastRenderedPageBreak/>
        <w:t>characteristics of obsessions are ideas, thoughts, images, and impulses that repeatedly come into the mind with persistent concern or preoccupation. OCD symptoms, known as compulsions, refer to such activities or thoughts that the patient feels obliged to execute about the obsession or a rigid manner (Fields, 2020). These behaviours are concerned with avoiding or lessening anxiety or preventing some ominous event or circumstance.</w:t>
      </w:r>
    </w:p>
    <w:p w14:paraId="65D309F7" w14:textId="36D6D0BF"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In ICD-10, anxiety disorders fall under F41, where several conditions are listed, including GAD, panic disorder and mixed anxiety and depressive disorder. The diagnostic criteria for GAD (F41. 1) involve excessive stress and apprehensive expectations, </w:t>
      </w:r>
      <w:r w:rsidR="00402401" w:rsidRPr="008A5491">
        <w:rPr>
          <w:rFonts w:ascii="Arial" w:hAnsi="Arial" w:cs="Arial"/>
          <w:color w:val="0E101A"/>
          <w:sz w:val="22"/>
          <w:szCs w:val="22"/>
        </w:rPr>
        <w:t>often</w:t>
      </w:r>
      <w:r w:rsidRPr="008A5491">
        <w:rPr>
          <w:rFonts w:ascii="Arial" w:hAnsi="Arial" w:cs="Arial"/>
          <w:color w:val="0E101A"/>
          <w:sz w:val="22"/>
          <w:szCs w:val="22"/>
        </w:rPr>
        <w:t>, for at least six months about several events or activities (Substance Abuse and Mental Health Services Administration, 2016). The individual finds it difficult to control the worry, and it is associated with three (or more) of the following six symptoms: Physical symptoms can include increased heart rate/blood pressure, sweating, trembling, and muscle aches/pain or weakness. In panic disorder (F41. 0), the patient is diagnosed based on one or more panic attacks during a period of at least one month, with concern about subsequent attacks, changes in behaviour related to attacks or about the attacks themselves (National Institute of Mental Health, 2022).</w:t>
      </w:r>
    </w:p>
    <w:p w14:paraId="6C323EF7"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Whereas ICD-10 groups OCD under the anxiety disorders, the DSM-5, unveiled by the American Psychiatric Association, assigns OCD to a different category known as Obsessive-Compulsive and Related Disorders (OCRDs) (Toro-Martínez, 2014). This category consists of conditions that present symptoms and signs close to obsession and compulsions, including body dysmorphic disorder, hoarding disorder, and trichotillomania. The change in OCD in the DSM-5 also reflects the difference in neurological and clinical features of these conditions from anxiety disorders (Fineberg </w:t>
      </w:r>
      <w:r w:rsidRPr="00E04150">
        <w:rPr>
          <w:rFonts w:ascii="Arial" w:hAnsi="Arial" w:cs="Arial"/>
          <w:i/>
          <w:iCs/>
          <w:color w:val="0E101A"/>
          <w:sz w:val="22"/>
          <w:szCs w:val="22"/>
        </w:rPr>
        <w:t>et al</w:t>
      </w:r>
      <w:r w:rsidRPr="008A5491">
        <w:rPr>
          <w:rFonts w:ascii="Arial" w:hAnsi="Arial" w:cs="Arial"/>
          <w:color w:val="0E101A"/>
          <w:sz w:val="22"/>
          <w:szCs w:val="22"/>
        </w:rPr>
        <w:t>., 2020).</w:t>
      </w:r>
    </w:p>
    <w:p w14:paraId="5EA67BB2"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A drawback of the ICD-10 classification system is its arbitrariness: it divides disorders into large groups that do not always reflect their nature. For instance, categorising OCD under anxiety disorders fails to capture the distinctive cognitive and behavioural features of OCD (Reed </w:t>
      </w:r>
      <w:r w:rsidRPr="00E04150">
        <w:rPr>
          <w:rFonts w:ascii="Arial" w:hAnsi="Arial" w:cs="Arial"/>
          <w:i/>
          <w:iCs/>
          <w:color w:val="0E101A"/>
          <w:sz w:val="22"/>
          <w:szCs w:val="22"/>
        </w:rPr>
        <w:t>et al</w:t>
      </w:r>
      <w:r w:rsidRPr="008A5491">
        <w:rPr>
          <w:rFonts w:ascii="Arial" w:hAnsi="Arial" w:cs="Arial"/>
          <w:color w:val="0E101A"/>
          <w:sz w:val="22"/>
          <w:szCs w:val="22"/>
        </w:rPr>
        <w:t>., 2019). This may result in incorrect diagnosis or wrong management plans. Furthermore, the ICD-10 criteria concerning several anxiety disorders, including generalised anxiety disorder, has also faced some criticisms as it provides reasonably vague and generalised criteria for diagnosing anxiety disorders, and signs of these disorders somewhat overlap, hence making the diagnosis process challenging and can also influence the course of treatment.</w:t>
      </w:r>
    </w:p>
    <w:p w14:paraId="33E44025"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lastRenderedPageBreak/>
        <w:t>The diagnosis of OCD and other anxiety disorders has changed over the years due to new imaging procedures and genetic studies. Nonetheless, the clinical practice still has many challenges, like the prejudice concerning mental health disorders and the differences in the diagnostic methods between clinicians (Healthline, 2023). Therefore, constant and structured professional training and incorporating standardised diagnostic tools are crucial to dealing with these issues.</w:t>
      </w:r>
    </w:p>
    <w:p w14:paraId="061CA7C8" w14:textId="42D8AE85" w:rsidR="0029662C" w:rsidRPr="00F909C1" w:rsidRDefault="0029662C" w:rsidP="00FC59C2">
      <w:pPr>
        <w:pStyle w:val="Heading1"/>
        <w:numPr>
          <w:ilvl w:val="0"/>
          <w:numId w:val="1"/>
        </w:numPr>
        <w:spacing w:after="240" w:line="360" w:lineRule="auto"/>
        <w:rPr>
          <w:rFonts w:ascii="Arial" w:hAnsi="Arial" w:cs="Arial"/>
          <w:b/>
          <w:bCs/>
          <w:color w:val="auto"/>
          <w:sz w:val="24"/>
          <w:szCs w:val="24"/>
          <w:lang w:val="en-GB"/>
        </w:rPr>
      </w:pPr>
      <w:bookmarkStart w:id="3" w:name="_Toc172223396"/>
      <w:r w:rsidRPr="00F909C1">
        <w:rPr>
          <w:rFonts w:ascii="Arial" w:hAnsi="Arial" w:cs="Arial"/>
          <w:b/>
          <w:bCs/>
          <w:color w:val="auto"/>
          <w:sz w:val="24"/>
          <w:szCs w:val="24"/>
          <w:lang w:val="en-GB"/>
        </w:rPr>
        <w:t>Treatment Approaches</w:t>
      </w:r>
      <w:bookmarkEnd w:id="3"/>
    </w:p>
    <w:p w14:paraId="067D7869" w14:textId="14AC6BBD" w:rsidR="00C10AD3" w:rsidRPr="008A5491" w:rsidRDefault="00C10AD3" w:rsidP="00C10AD3">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As for anxiety disorders as well as obsessive-compulsive disorder, Cognitive Behavioural Therapy (CBT) works as the Central Line of Treatment. CBT aims to change distorted information processing, pathological behaviours, and cognition by healthy or constructive (Curtiss </w:t>
      </w:r>
      <w:r w:rsidR="00A76550" w:rsidRPr="00E04150">
        <w:rPr>
          <w:rFonts w:ascii="Arial" w:hAnsi="Arial" w:cs="Arial"/>
          <w:i/>
          <w:iCs/>
          <w:color w:val="0E101A"/>
          <w:sz w:val="22"/>
          <w:szCs w:val="22"/>
        </w:rPr>
        <w:t>et al</w:t>
      </w:r>
      <w:r w:rsidR="00A76550" w:rsidRPr="008A5491">
        <w:rPr>
          <w:rFonts w:ascii="Arial" w:hAnsi="Arial" w:cs="Arial"/>
          <w:color w:val="0E101A"/>
          <w:sz w:val="22"/>
          <w:szCs w:val="22"/>
        </w:rPr>
        <w:t>.,</w:t>
      </w:r>
      <w:r w:rsidRPr="008A5491">
        <w:rPr>
          <w:rFonts w:ascii="Arial" w:hAnsi="Arial" w:cs="Arial"/>
          <w:color w:val="0E101A"/>
          <w:sz w:val="22"/>
          <w:szCs w:val="22"/>
        </w:rPr>
        <w:t xml:space="preserve"> 2021). For example, in the case of anxiety disorders, CBT has the goal of relieving symptoms through cognitive restructuring and the use of coping skills. Research has pointed out that CBT helps in the reduction of severity of symptoms associated with anxiety disorders and an enhancement of quality of life among the patients. This involves 12 to 20 weekly sessions that entail cognitive restructuring, relaxation techniques, and exposure tasks (Kaczkurkin &amp; Foa, 2018). </w:t>
      </w:r>
    </w:p>
    <w:p w14:paraId="06AA3E5B" w14:textId="77777777" w:rsidR="00C10AD3" w:rsidRPr="008A5491" w:rsidRDefault="00C10AD3" w:rsidP="00C10AD3">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CBT is made up of Exposure and Response Prevention (ERP) and is the most effective therapy for OCD. ERP includes exposing the patient to stimuli that can trigger anxiety, such as thoughts, images, objects, or situations, and the patient is not allowed to perform the compulsions (Law and Boisseau, 2019). This helps the patient to understand that they will reach a point where their anxiety levels are low, and they have not practised the compulsions. ERP is beneficial in the case of OCD as various research reveals that more than 80% to 60% of patients show improvements after conducting ERP (Hezel &amp; Simpson, 2019). While CBT may be practised more frequently than ERP, when ERP is practised, it is used more regularly and may even involve the patient doing some work between sessions.</w:t>
      </w:r>
    </w:p>
    <w:p w14:paraId="42B74B4A" w14:textId="6E2B1AA6" w:rsidR="00FC59C2" w:rsidRPr="008A5491" w:rsidRDefault="00FC59C2" w:rsidP="00C10AD3">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Medications are important in the management of some of the manifestations of OCD as well as anxiety disorders. They are preferring selective serotonin reuptake inhibitors (SSRIs) as they help in increasing the serotonin level in the brain which can reduce anxiety or enhance the mood (Hoffman, 2016). Some of the first-line drugs prescribed for both OCD and anxiety disorders include fluoxetine, sertraline, escitalopram, among others. Other benzodiazepines such as </w:t>
      </w:r>
      <w:r w:rsidRPr="008A5491">
        <w:rPr>
          <w:rFonts w:ascii="Arial" w:hAnsi="Arial" w:cs="Arial"/>
          <w:color w:val="0E101A"/>
          <w:sz w:val="22"/>
          <w:szCs w:val="22"/>
        </w:rPr>
        <w:lastRenderedPageBreak/>
        <w:t>diazepam and lorazepam are also used for the treatment of severe anxiety for a short term with a limit because of dependence (Chu and Wadhwa, 2023).</w:t>
      </w:r>
    </w:p>
    <w:p w14:paraId="26B2E130" w14:textId="79726A37" w:rsidR="00FC59C2" w:rsidRPr="008A5491" w:rsidRDefault="00FC59C2" w:rsidP="00FC59C2">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Other interventions include mindfulness-based therapies and digital therapies, which are also on the rise as additional treatments for OCD and anxiety disorders. MBCT shares some features with cognitive therapy with a focus on the presence of thoughts and feelings, without criticism (Castle </w:t>
      </w:r>
      <w:r w:rsidR="00366A53" w:rsidRPr="00E04150">
        <w:rPr>
          <w:rFonts w:ascii="Arial" w:hAnsi="Arial" w:cs="Arial"/>
          <w:i/>
          <w:iCs/>
          <w:color w:val="0E101A"/>
          <w:sz w:val="22"/>
          <w:szCs w:val="22"/>
        </w:rPr>
        <w:t>et al</w:t>
      </w:r>
      <w:r w:rsidR="00366A53" w:rsidRPr="008A5491">
        <w:rPr>
          <w:rFonts w:ascii="Arial" w:hAnsi="Arial" w:cs="Arial"/>
          <w:color w:val="0E101A"/>
          <w:sz w:val="22"/>
          <w:szCs w:val="22"/>
        </w:rPr>
        <w:t>.,</w:t>
      </w:r>
      <w:r w:rsidRPr="008A5491">
        <w:rPr>
          <w:rFonts w:ascii="Arial" w:hAnsi="Arial" w:cs="Arial"/>
          <w:color w:val="0E101A"/>
          <w:sz w:val="22"/>
          <w:szCs w:val="22"/>
        </w:rPr>
        <w:t xml:space="preserve"> 2022). The advantages of practicing this approach are decreased chances of relapse of anxiety disorders and improved self-regulation of feelings.</w:t>
      </w:r>
    </w:p>
    <w:p w14:paraId="4D2DD80D" w14:textId="7F030041" w:rsidR="00FC59C2" w:rsidRPr="008A5491" w:rsidRDefault="00FC59C2" w:rsidP="00FC59C2">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Internet based CBT (CBT) and mobile applications are other forms of treatment delivery that are mobile in nature (Duffy </w:t>
      </w:r>
      <w:r w:rsidR="00366A53" w:rsidRPr="00E04150">
        <w:rPr>
          <w:rFonts w:ascii="Arial" w:hAnsi="Arial" w:cs="Arial"/>
          <w:i/>
          <w:iCs/>
          <w:color w:val="0E101A"/>
          <w:sz w:val="22"/>
          <w:szCs w:val="22"/>
        </w:rPr>
        <w:t>et al</w:t>
      </w:r>
      <w:r w:rsidR="00366A53" w:rsidRPr="008A5491">
        <w:rPr>
          <w:rFonts w:ascii="Arial" w:hAnsi="Arial" w:cs="Arial"/>
          <w:color w:val="0E101A"/>
          <w:sz w:val="22"/>
          <w:szCs w:val="22"/>
        </w:rPr>
        <w:t>.,</w:t>
      </w:r>
      <w:r w:rsidRPr="008A5491">
        <w:rPr>
          <w:rFonts w:ascii="Arial" w:hAnsi="Arial" w:cs="Arial"/>
          <w:color w:val="0E101A"/>
          <w:sz w:val="22"/>
          <w:szCs w:val="22"/>
        </w:rPr>
        <w:t xml:space="preserve"> 2023). Such applications provide planned therapy programmes and immediate assistance to put the patient at an active role in the therapy. Studies have established that computerized therapy is as effective as the normal traditional CBT for anxiety disorders (Gratzer and Khalid-Khan, 2015).</w:t>
      </w:r>
    </w:p>
    <w:p w14:paraId="7E2CE45A" w14:textId="6EFBF24E" w:rsidR="0029662C" w:rsidRPr="0094301E" w:rsidRDefault="0029662C" w:rsidP="00FC59C2">
      <w:pPr>
        <w:pStyle w:val="Heading1"/>
        <w:numPr>
          <w:ilvl w:val="0"/>
          <w:numId w:val="1"/>
        </w:numPr>
        <w:spacing w:after="240" w:line="360" w:lineRule="auto"/>
        <w:rPr>
          <w:rFonts w:ascii="Arial" w:hAnsi="Arial" w:cs="Arial"/>
          <w:b/>
          <w:bCs/>
          <w:color w:val="auto"/>
          <w:sz w:val="24"/>
          <w:szCs w:val="24"/>
          <w:lang w:val="en-GB"/>
        </w:rPr>
      </w:pPr>
      <w:bookmarkStart w:id="4" w:name="_Toc172223397"/>
      <w:r w:rsidRPr="0094301E">
        <w:rPr>
          <w:rFonts w:ascii="Arial" w:hAnsi="Arial" w:cs="Arial"/>
          <w:b/>
          <w:bCs/>
          <w:color w:val="auto"/>
          <w:sz w:val="24"/>
          <w:szCs w:val="24"/>
          <w:lang w:val="en-GB"/>
        </w:rPr>
        <w:t>Measurements and Rehabilitation</w:t>
      </w:r>
      <w:bookmarkEnd w:id="4"/>
    </w:p>
    <w:p w14:paraId="00FEB697" w14:textId="3A2F4A61" w:rsidR="00C10AD3" w:rsidRPr="008A5491" w:rsidRDefault="00FC59C2" w:rsidP="00C10AD3">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The management of OCD and the anxiety disorders is therefore predicated on the availability of accurate means of evaluating treatment outcomes. The most frequently used approach to assess the severity of obsessions and compulsions in OCD patients is the Yale-Brown Obsessive-Compulsive Scale (Y-BOCS). </w:t>
      </w:r>
      <w:r w:rsidR="00C10AD3" w:rsidRPr="008A5491">
        <w:rPr>
          <w:rFonts w:ascii="Arial" w:hAnsi="Arial" w:cs="Arial"/>
          <w:color w:val="0E101A"/>
          <w:sz w:val="22"/>
          <w:szCs w:val="22"/>
        </w:rPr>
        <w:t xml:space="preserve">The Y-BOCS is a 7-item clinical interview aimed at describing the severity and subtype of obsessions and compulsions of the patient during the past week (Storch </w:t>
      </w:r>
      <w:r w:rsidR="008961ED" w:rsidRPr="00E04150">
        <w:rPr>
          <w:rFonts w:ascii="Arial" w:hAnsi="Arial" w:cs="Arial"/>
          <w:i/>
          <w:iCs/>
          <w:color w:val="0E101A"/>
          <w:sz w:val="22"/>
          <w:szCs w:val="22"/>
        </w:rPr>
        <w:t>et al</w:t>
      </w:r>
      <w:r w:rsidR="008961ED" w:rsidRPr="008A5491">
        <w:rPr>
          <w:rFonts w:ascii="Arial" w:hAnsi="Arial" w:cs="Arial"/>
          <w:color w:val="0E101A"/>
          <w:sz w:val="22"/>
          <w:szCs w:val="22"/>
        </w:rPr>
        <w:t>.,</w:t>
      </w:r>
      <w:r w:rsidR="00C10AD3" w:rsidRPr="008A5491">
        <w:rPr>
          <w:rFonts w:ascii="Arial" w:hAnsi="Arial" w:cs="Arial"/>
          <w:color w:val="0E101A"/>
          <w:sz w:val="22"/>
          <w:szCs w:val="22"/>
        </w:rPr>
        <w:t xml:space="preserve"> 2015). It is a self-completed questionnaire with ten questions aimed at assessing obsession and compulsion’s frequency, disturbance severity, and impact on one’s daily life (Vogt </w:t>
      </w:r>
      <w:r w:rsidR="008961ED" w:rsidRPr="00E04150">
        <w:rPr>
          <w:rFonts w:ascii="Arial" w:hAnsi="Arial" w:cs="Arial"/>
          <w:i/>
          <w:iCs/>
          <w:color w:val="0E101A"/>
          <w:sz w:val="22"/>
          <w:szCs w:val="22"/>
        </w:rPr>
        <w:t>et al</w:t>
      </w:r>
      <w:r w:rsidR="008961ED" w:rsidRPr="008A5491">
        <w:rPr>
          <w:rFonts w:ascii="Arial" w:hAnsi="Arial" w:cs="Arial"/>
          <w:color w:val="0E101A"/>
          <w:sz w:val="22"/>
          <w:szCs w:val="22"/>
        </w:rPr>
        <w:t>.,</w:t>
      </w:r>
      <w:r w:rsidR="00C10AD3" w:rsidRPr="008A5491">
        <w:rPr>
          <w:rFonts w:ascii="Arial" w:hAnsi="Arial" w:cs="Arial"/>
          <w:color w:val="0E101A"/>
          <w:sz w:val="22"/>
          <w:szCs w:val="22"/>
        </w:rPr>
        <w:t xml:space="preserve"> 2022).</w:t>
      </w:r>
    </w:p>
    <w:p w14:paraId="56F3962C" w14:textId="33687B45" w:rsidR="00FC59C2" w:rsidRPr="008A5491" w:rsidRDefault="00C10AD3" w:rsidP="00C10AD3">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The GAD-7 scale is probably one of the most frequently used scales to screen for anxiety disorder. The GAD-7 is a brief screening tool for the measurement of GAD severity that is completed and scored by the patient (Johnson </w:t>
      </w:r>
      <w:r w:rsidR="0031489E" w:rsidRPr="00E04150">
        <w:rPr>
          <w:rFonts w:ascii="Arial" w:hAnsi="Arial" w:cs="Arial"/>
          <w:i/>
          <w:iCs/>
          <w:color w:val="0E101A"/>
          <w:sz w:val="22"/>
          <w:szCs w:val="22"/>
        </w:rPr>
        <w:t>et al</w:t>
      </w:r>
      <w:r w:rsidR="0031489E" w:rsidRPr="008A5491">
        <w:rPr>
          <w:rFonts w:ascii="Arial" w:hAnsi="Arial" w:cs="Arial"/>
          <w:color w:val="0E101A"/>
          <w:sz w:val="22"/>
          <w:szCs w:val="22"/>
        </w:rPr>
        <w:t>.,</w:t>
      </w:r>
      <w:r w:rsidRPr="008A5491">
        <w:rPr>
          <w:rFonts w:ascii="Arial" w:hAnsi="Arial" w:cs="Arial"/>
          <w:color w:val="0E101A"/>
          <w:sz w:val="22"/>
          <w:szCs w:val="22"/>
        </w:rPr>
        <w:t xml:space="preserve"> 2019). It contains 7 questions which all of them have the frequency of response ranging from 0; ‘Not at all’ to 3 ‘Nearly every day.’ It has the total score that reflects the anxiety level. </w:t>
      </w:r>
      <w:r w:rsidR="00FC59C2" w:rsidRPr="008A5491">
        <w:rPr>
          <w:rFonts w:ascii="Arial" w:hAnsi="Arial" w:cs="Arial"/>
          <w:color w:val="0E101A"/>
          <w:sz w:val="22"/>
          <w:szCs w:val="22"/>
        </w:rPr>
        <w:t xml:space="preserve">Thus, treatment of OCD and anxiety disorders employs treatment that includes psychotherapy and other forms of treatment. OTs play a very important role in teaching patients to be independent and to be able to learn how to go through a day and meet their daily needs (Pietrabissa </w:t>
      </w:r>
      <w:r w:rsidR="0031489E" w:rsidRPr="00E04150">
        <w:rPr>
          <w:rFonts w:ascii="Arial" w:hAnsi="Arial" w:cs="Arial"/>
          <w:i/>
          <w:iCs/>
          <w:color w:val="0E101A"/>
          <w:sz w:val="22"/>
          <w:szCs w:val="22"/>
        </w:rPr>
        <w:t>et al</w:t>
      </w:r>
      <w:r w:rsidR="0031489E" w:rsidRPr="008A5491">
        <w:rPr>
          <w:rFonts w:ascii="Arial" w:hAnsi="Arial" w:cs="Arial"/>
          <w:color w:val="0E101A"/>
          <w:sz w:val="22"/>
          <w:szCs w:val="22"/>
        </w:rPr>
        <w:t>.,</w:t>
      </w:r>
      <w:r w:rsidR="00FC59C2" w:rsidRPr="008A5491">
        <w:rPr>
          <w:rFonts w:ascii="Arial" w:hAnsi="Arial" w:cs="Arial"/>
          <w:color w:val="0E101A"/>
          <w:sz w:val="22"/>
          <w:szCs w:val="22"/>
        </w:rPr>
        <w:t xml:space="preserve"> 2016). They assist patients to modify their behaviours and </w:t>
      </w:r>
      <w:r w:rsidR="00FC59C2" w:rsidRPr="008A5491">
        <w:rPr>
          <w:rFonts w:ascii="Arial" w:hAnsi="Arial" w:cs="Arial"/>
          <w:color w:val="0E101A"/>
          <w:sz w:val="22"/>
          <w:szCs w:val="22"/>
        </w:rPr>
        <w:lastRenderedPageBreak/>
        <w:t>choose and rehearse new strategies for managing situations the patient used to have to avoid because of their symptoms.</w:t>
      </w:r>
    </w:p>
    <w:p w14:paraId="58158DEE" w14:textId="46A9A1A9" w:rsidR="00FC59C2" w:rsidRPr="008A5491" w:rsidRDefault="00FC59C2" w:rsidP="00FC59C2">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Another important aspect that needs to be addressed in rehabilitation is social support. Online and face-to-face support enable individuals to attend meetings and share emotions, information, and experiences with other people experiencing such conditions (Bjørlykhaug </w:t>
      </w:r>
      <w:r w:rsidR="007B7F1E" w:rsidRPr="00E04150">
        <w:rPr>
          <w:rFonts w:ascii="Arial" w:hAnsi="Arial" w:cs="Arial"/>
          <w:i/>
          <w:iCs/>
          <w:color w:val="0E101A"/>
          <w:sz w:val="22"/>
          <w:szCs w:val="22"/>
        </w:rPr>
        <w:t>et al</w:t>
      </w:r>
      <w:r w:rsidR="007B7F1E" w:rsidRPr="008A5491">
        <w:rPr>
          <w:rFonts w:ascii="Arial" w:hAnsi="Arial" w:cs="Arial"/>
          <w:color w:val="0E101A"/>
          <w:sz w:val="22"/>
          <w:szCs w:val="22"/>
        </w:rPr>
        <w:t>.,</w:t>
      </w:r>
      <w:r w:rsidRPr="008A5491">
        <w:rPr>
          <w:rFonts w:ascii="Arial" w:hAnsi="Arial" w:cs="Arial"/>
          <w:color w:val="0E101A"/>
          <w:sz w:val="22"/>
          <w:szCs w:val="22"/>
        </w:rPr>
        <w:t xml:space="preserve"> 2021). These groups can help to relieve the isolation and promote belonging.</w:t>
      </w:r>
    </w:p>
    <w:p w14:paraId="732A1217" w14:textId="2B66511F" w:rsidR="00FC59C2" w:rsidRPr="008A5491" w:rsidRDefault="00FC59C2" w:rsidP="00FC59C2">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They also have a central role to play in the rehabilitation process of the affected individuals through community-based programs. Some of these services may include Community mental health services, vocational training services, recreational services for mental health patients (Kohrt </w:t>
      </w:r>
      <w:r w:rsidR="00B43FBB" w:rsidRPr="00E04150">
        <w:rPr>
          <w:rFonts w:ascii="Arial" w:hAnsi="Arial" w:cs="Arial"/>
          <w:i/>
          <w:iCs/>
          <w:color w:val="0E101A"/>
          <w:sz w:val="22"/>
          <w:szCs w:val="22"/>
        </w:rPr>
        <w:t>et al</w:t>
      </w:r>
      <w:r w:rsidR="00B43FBB" w:rsidRPr="008A5491">
        <w:rPr>
          <w:rFonts w:ascii="Arial" w:hAnsi="Arial" w:cs="Arial"/>
          <w:color w:val="0E101A"/>
          <w:sz w:val="22"/>
          <w:szCs w:val="22"/>
        </w:rPr>
        <w:t>.,</w:t>
      </w:r>
      <w:r w:rsidRPr="008A5491">
        <w:rPr>
          <w:rFonts w:ascii="Arial" w:hAnsi="Arial" w:cs="Arial"/>
          <w:color w:val="0E101A"/>
          <w:sz w:val="22"/>
          <w:szCs w:val="22"/>
        </w:rPr>
        <w:t xml:space="preserve"> 2018). Community services provide the required support for re-socialization and the maintenance of the positive </w:t>
      </w:r>
      <w:r w:rsidR="00B43FBB" w:rsidRPr="008A5491">
        <w:rPr>
          <w:rFonts w:ascii="Arial" w:hAnsi="Arial" w:cs="Arial"/>
          <w:color w:val="0E101A"/>
          <w:sz w:val="22"/>
          <w:szCs w:val="22"/>
        </w:rPr>
        <w:t>behavioural</w:t>
      </w:r>
      <w:r w:rsidRPr="008A5491">
        <w:rPr>
          <w:rFonts w:ascii="Arial" w:hAnsi="Arial" w:cs="Arial"/>
          <w:color w:val="0E101A"/>
          <w:sz w:val="22"/>
          <w:szCs w:val="22"/>
        </w:rPr>
        <w:t xml:space="preserve"> changes in ex-offenders beyond the formal contexts.</w:t>
      </w:r>
    </w:p>
    <w:p w14:paraId="4B458117" w14:textId="0C226961" w:rsidR="00FC59C2" w:rsidRPr="008A5491" w:rsidRDefault="00FC59C2" w:rsidP="00FC59C2">
      <w:pPr>
        <w:pStyle w:val="NormalWeb"/>
        <w:spacing w:before="240" w:after="240" w:line="360" w:lineRule="auto"/>
        <w:jc w:val="both"/>
        <w:rPr>
          <w:rFonts w:ascii="Arial" w:hAnsi="Arial" w:cs="Arial"/>
          <w:color w:val="0E101A"/>
          <w:sz w:val="22"/>
          <w:szCs w:val="22"/>
        </w:rPr>
      </w:pPr>
      <w:r w:rsidRPr="008A5491">
        <w:rPr>
          <w:rFonts w:ascii="Arial" w:hAnsi="Arial" w:cs="Arial"/>
          <w:color w:val="0E101A"/>
          <w:sz w:val="22"/>
          <w:szCs w:val="22"/>
        </w:rPr>
        <w:t xml:space="preserve">The UK has been noted to have initiated several rehab programmes for those suffering from OCD and other anxiety disorders. For example, the Intensive Treatment Programme at the Maudsley Hospital in London supports the above arguments (Knopp-Hoffer, 2017). This program has an effective treatment </w:t>
      </w:r>
      <w:r w:rsidR="00DF70CE" w:rsidRPr="008A5491">
        <w:rPr>
          <w:rFonts w:ascii="Arial" w:hAnsi="Arial" w:cs="Arial"/>
          <w:color w:val="0E101A"/>
          <w:sz w:val="22"/>
          <w:szCs w:val="22"/>
        </w:rPr>
        <w:t>plan,</w:t>
      </w:r>
      <w:r w:rsidRPr="008A5491">
        <w:rPr>
          <w:rFonts w:ascii="Arial" w:hAnsi="Arial" w:cs="Arial"/>
          <w:color w:val="0E101A"/>
          <w:sz w:val="22"/>
          <w:szCs w:val="22"/>
        </w:rPr>
        <w:t xml:space="preserve"> and the client gets a treatment plan that involves CBT, ERP and pharmacological treatment. In patients, scheduling specific sessions for several weeks daily leads to the improvement of their condition and the recognition of the functional progress.</w:t>
      </w:r>
    </w:p>
    <w:p w14:paraId="1369C49A" w14:textId="4476370E" w:rsidR="00FC59C2" w:rsidRPr="008A5491" w:rsidRDefault="00FC59C2" w:rsidP="00FC59C2">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Another successful intervention is the Increasing Access to Psychological Therapies (IAPT) program which aims to increase the provision of psychological therapy for anxiety and depression (Clark, 2018). Among these are computerised cognitive behavioural therapy, guided self-help, high-intensity therapy, and CBT face-to-face. IAPT has played a critical role in increasing the uptake of mental health services and the reduction of the adverse impact of anxiety disorders.</w:t>
      </w:r>
    </w:p>
    <w:p w14:paraId="1B415BD7" w14:textId="47ABF348" w:rsidR="0029662C" w:rsidRPr="00A4515A" w:rsidRDefault="0029662C" w:rsidP="00FC59C2">
      <w:pPr>
        <w:pStyle w:val="Heading1"/>
        <w:numPr>
          <w:ilvl w:val="0"/>
          <w:numId w:val="1"/>
        </w:numPr>
        <w:spacing w:after="240" w:line="360" w:lineRule="auto"/>
        <w:rPr>
          <w:rFonts w:ascii="Arial" w:hAnsi="Arial" w:cs="Arial"/>
          <w:b/>
          <w:bCs/>
          <w:color w:val="auto"/>
          <w:sz w:val="24"/>
          <w:szCs w:val="24"/>
          <w:lang w:val="en-GB"/>
        </w:rPr>
      </w:pPr>
      <w:bookmarkStart w:id="5" w:name="_Toc172223398"/>
      <w:r w:rsidRPr="00A4515A">
        <w:rPr>
          <w:rFonts w:ascii="Arial" w:hAnsi="Arial" w:cs="Arial"/>
          <w:b/>
          <w:bCs/>
          <w:color w:val="auto"/>
          <w:sz w:val="24"/>
          <w:szCs w:val="24"/>
          <w:lang w:val="en-GB"/>
        </w:rPr>
        <w:t>Strengths and Limitations of Services</w:t>
      </w:r>
      <w:bookmarkEnd w:id="5"/>
    </w:p>
    <w:p w14:paraId="356D066C"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The United Kingdom has a well-developed National Health Service that offers a vast array of mental health care services completely free of charge to the population. Another significant advantage of the NHS is its numerous mental health care services, ranging from initial to specialised care (European Observatory on Health Systems and Policies, 2022). Various successful models have been adopted, including the Increasing Access to Psychological Therapies (IAPT), which has provided CBT, like other therapies, to patients with specific mental disorder ailments (Clark </w:t>
      </w:r>
      <w:r w:rsidRPr="00E04150">
        <w:rPr>
          <w:rFonts w:ascii="Arial" w:hAnsi="Arial" w:cs="Arial"/>
          <w:i/>
          <w:iCs/>
          <w:color w:val="0E101A"/>
          <w:sz w:val="22"/>
          <w:szCs w:val="22"/>
        </w:rPr>
        <w:t>et al</w:t>
      </w:r>
      <w:r w:rsidRPr="008A5491">
        <w:rPr>
          <w:rFonts w:ascii="Arial" w:hAnsi="Arial" w:cs="Arial"/>
          <w:color w:val="0E101A"/>
          <w:sz w:val="22"/>
          <w:szCs w:val="22"/>
        </w:rPr>
        <w:t>., 2018).</w:t>
      </w:r>
    </w:p>
    <w:p w14:paraId="329C235E"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lastRenderedPageBreak/>
        <w:t>Another key strength is the coordinated care model, which focuses on an individual's mental and physical well-being. Many patients suffer from psychological and physical ailments, and this model ensures that the patients get complete care that touches on the body's cognitive and physical aspects (Isaacs and Mitchell, 2024). Also, the system is centralised, so national guidelines and policies can easily be implemented across different units of the NHS.</w:t>
      </w:r>
    </w:p>
    <w:p w14:paraId="12FB088D" w14:textId="245058B0"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The private sector also has a vital role in augmenting NHS services and providing more funding and speciality care that may be more challenging in the public health system (Doyle, Bull and Keen, 2000). This partnership assists in reducing pressure on the NHS, especially on inpatient services, which are several and often oversubscribed. Another critical factor is the support of the population; many non-profit organisations and support groups provide services that complement the treatment of mental disorders. It is essential to recognise their role in supplementing peer support, advocacy, and other forms of therapy, enhancing the existing mental health care milieu (Ostrow and Hayes, 2015).</w:t>
      </w:r>
    </w:p>
    <w:p w14:paraId="30A8A82A" w14:textId="441351D0"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Another challenge is the need for adequate funding. There has been improvement in the funding of mental health services; however, the demand has gone up, leading to a lack of resources and high employee turnover rates. These problems have become more pronounced due to the pandemic, underlining the call for continued funding and resource commitment. Another factor associated with inequality in service provision is where the services are delivered. One reason that mental health services may be less accessible in rural areas than in urban ones is that there are severe disparities in access to and utilisation of services, especially among ethnic minorities and people with lower socioeconomic status (Wainberg </w:t>
      </w:r>
      <w:r w:rsidRPr="00E04150">
        <w:rPr>
          <w:rFonts w:ascii="Arial" w:hAnsi="Arial" w:cs="Arial"/>
          <w:i/>
          <w:iCs/>
          <w:color w:val="0E101A"/>
          <w:sz w:val="22"/>
          <w:szCs w:val="22"/>
        </w:rPr>
        <w:t>et al</w:t>
      </w:r>
      <w:r w:rsidRPr="008A5491">
        <w:rPr>
          <w:rFonts w:ascii="Arial" w:hAnsi="Arial" w:cs="Arial"/>
          <w:color w:val="0E101A"/>
          <w:sz w:val="22"/>
          <w:szCs w:val="22"/>
        </w:rPr>
        <w:t>., 2019).</w:t>
      </w:r>
    </w:p>
    <w:p w14:paraId="51482933" w14:textId="77777777" w:rsidR="0029662C" w:rsidRPr="00C645BD" w:rsidRDefault="0029662C" w:rsidP="0029662C">
      <w:pPr>
        <w:pStyle w:val="Heading1"/>
        <w:numPr>
          <w:ilvl w:val="0"/>
          <w:numId w:val="1"/>
        </w:numPr>
        <w:spacing w:after="240" w:line="360" w:lineRule="auto"/>
        <w:rPr>
          <w:rFonts w:ascii="Arial" w:hAnsi="Arial" w:cs="Arial"/>
          <w:b/>
          <w:bCs/>
          <w:color w:val="auto"/>
          <w:sz w:val="24"/>
          <w:szCs w:val="24"/>
          <w:lang w:val="en-GB"/>
        </w:rPr>
      </w:pPr>
      <w:bookmarkStart w:id="6" w:name="_Toc172223399"/>
      <w:r w:rsidRPr="00C645BD">
        <w:rPr>
          <w:rFonts w:ascii="Arial" w:hAnsi="Arial" w:cs="Arial"/>
          <w:b/>
          <w:bCs/>
          <w:color w:val="auto"/>
          <w:sz w:val="24"/>
          <w:szCs w:val="24"/>
          <w:lang w:val="en-GB"/>
        </w:rPr>
        <w:t>Recommendations for Improvement</w:t>
      </w:r>
      <w:bookmarkEnd w:id="6"/>
    </w:p>
    <w:p w14:paraId="5861707A"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Thus, the need to integrate new knowledge and technologies to enhance the classification and diagnosis of mental health conditions such as OCD and anxiety disorders cannot be overemphasized. The current ICD-10 classifications are helpful for these disorders but could be more precise. The shift to a dimensional approach incorporating biomarkers and neuroimaging will lead to a better diagnosis. For instance, using biomarkers within the diagnostic criteria can help define the causes of these disorders, which improves the interventions.</w:t>
      </w:r>
    </w:p>
    <w:p w14:paraId="2D24E831"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Another example of expanding diagnostic criteria is transdiagnostic, which implies the similarities of different disorders. These can improve the accuracy of diagnoses since they focus on primary </w:t>
      </w:r>
      <w:r w:rsidRPr="008A5491">
        <w:rPr>
          <w:rFonts w:ascii="Arial" w:hAnsi="Arial" w:cs="Arial"/>
          <w:color w:val="0E101A"/>
          <w:sz w:val="22"/>
          <w:szCs w:val="22"/>
        </w:rPr>
        <w:lastRenderedPageBreak/>
        <w:t>diseases rather than specific illnesses. Staging models such as the CHARMS paradigm can help identify and address service users with varying levels of mental health disorders.</w:t>
      </w:r>
    </w:p>
    <w:p w14:paraId="7BEC5A8B"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Aside from treatment, it is essential to introduce new forms of treatment and increase the accessibility of health care. Web-based self-help CBT can be used to treat depression and anxiety disorders successfully. Such interventions can offer commonplace, readily available, and affordable treatment, meaning that more people can utilize the services. Multiple studies have proved that iCBT reduces the symptoms of anxiety and depression, and the benefits are sustainable.</w:t>
      </w:r>
    </w:p>
    <w:p w14:paraId="355A6FEC"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The second recommendation is supplementing methods, such as mindfulness-based cognitive therapy (MBCT). These therapies can help manage the symptoms and improve functioning and quality of life. For instance, MBCT combines cognitive therapy techniques with mindfulness and allows the patients to accept experiences without judgment, thus reducing the risk of relapse with anxiety disorders.</w:t>
      </w:r>
    </w:p>
    <w:p w14:paraId="69847A16" w14:textId="05E680B6"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 xml:space="preserve">Community programs should be </w:t>
      </w:r>
      <w:r w:rsidR="006970E9" w:rsidRPr="008A5491">
        <w:rPr>
          <w:rFonts w:ascii="Arial" w:hAnsi="Arial" w:cs="Arial"/>
          <w:color w:val="0E101A"/>
          <w:sz w:val="22"/>
          <w:szCs w:val="22"/>
        </w:rPr>
        <w:t>established,</w:t>
      </w:r>
      <w:r w:rsidRPr="008A5491">
        <w:rPr>
          <w:rFonts w:ascii="Arial" w:hAnsi="Arial" w:cs="Arial"/>
          <w:color w:val="0E101A"/>
          <w:sz w:val="22"/>
          <w:szCs w:val="22"/>
        </w:rPr>
        <w:t xml:space="preserve"> and mental health funding boosted to promote and expand rehabilitation services. Outpatient programs are also crucial in treating people with OCD and anxiety disorders because they assist in their reintegration into society. Such programs should include occupational therapy, social support, and changes in the patient's lifestyle.</w:t>
      </w:r>
    </w:p>
    <w:p w14:paraId="1A4C9787" w14:textId="77777777" w:rsidR="0029662C"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Additional funding is required for mental health as the need for the services increases, and the services should be of high quality. This entails enhancing the capacity for training mental health practitioners and developing facilities and systems. For example, it involves creating step-up services like individualized and flexible services that should be delivered to address the worst-off clients in the community without admitting them.</w:t>
      </w:r>
    </w:p>
    <w:p w14:paraId="2A0E5174" w14:textId="77777777" w:rsidR="00767D2A" w:rsidRDefault="00767D2A" w:rsidP="0029662C">
      <w:pPr>
        <w:pStyle w:val="NormalWeb"/>
        <w:spacing w:before="240" w:beforeAutospacing="0" w:after="240" w:afterAutospacing="0" w:line="360" w:lineRule="auto"/>
        <w:jc w:val="both"/>
        <w:rPr>
          <w:rFonts w:ascii="Arial" w:hAnsi="Arial" w:cs="Arial"/>
          <w:color w:val="0E101A"/>
          <w:sz w:val="22"/>
          <w:szCs w:val="22"/>
        </w:rPr>
      </w:pPr>
    </w:p>
    <w:p w14:paraId="7711ACD4" w14:textId="77777777" w:rsidR="00767D2A" w:rsidRDefault="00767D2A" w:rsidP="0029662C">
      <w:pPr>
        <w:pStyle w:val="NormalWeb"/>
        <w:spacing w:before="240" w:beforeAutospacing="0" w:after="240" w:afterAutospacing="0" w:line="360" w:lineRule="auto"/>
        <w:jc w:val="both"/>
        <w:rPr>
          <w:rFonts w:ascii="Arial" w:hAnsi="Arial" w:cs="Arial"/>
          <w:color w:val="0E101A"/>
          <w:sz w:val="22"/>
          <w:szCs w:val="22"/>
        </w:rPr>
      </w:pPr>
    </w:p>
    <w:p w14:paraId="0D95BAB4" w14:textId="77777777" w:rsidR="00767D2A" w:rsidRDefault="00767D2A" w:rsidP="0029662C">
      <w:pPr>
        <w:pStyle w:val="NormalWeb"/>
        <w:spacing w:before="240" w:beforeAutospacing="0" w:after="240" w:afterAutospacing="0" w:line="360" w:lineRule="auto"/>
        <w:jc w:val="both"/>
        <w:rPr>
          <w:rFonts w:ascii="Arial" w:hAnsi="Arial" w:cs="Arial"/>
          <w:color w:val="0E101A"/>
          <w:sz w:val="22"/>
          <w:szCs w:val="22"/>
        </w:rPr>
      </w:pPr>
    </w:p>
    <w:p w14:paraId="1EED6E15" w14:textId="77777777" w:rsidR="00767D2A" w:rsidRPr="008A5491" w:rsidRDefault="00767D2A" w:rsidP="0029662C">
      <w:pPr>
        <w:pStyle w:val="NormalWeb"/>
        <w:spacing w:before="240" w:beforeAutospacing="0" w:after="240" w:afterAutospacing="0" w:line="360" w:lineRule="auto"/>
        <w:jc w:val="both"/>
        <w:rPr>
          <w:rFonts w:ascii="Arial" w:hAnsi="Arial" w:cs="Arial"/>
          <w:color w:val="0E101A"/>
          <w:sz w:val="22"/>
          <w:szCs w:val="22"/>
        </w:rPr>
      </w:pPr>
    </w:p>
    <w:p w14:paraId="075DE15A" w14:textId="77777777" w:rsidR="0029662C" w:rsidRPr="00BC0633" w:rsidRDefault="0029662C" w:rsidP="0029662C">
      <w:pPr>
        <w:pStyle w:val="Heading1"/>
        <w:numPr>
          <w:ilvl w:val="0"/>
          <w:numId w:val="1"/>
        </w:numPr>
        <w:spacing w:after="240" w:line="360" w:lineRule="auto"/>
        <w:rPr>
          <w:rFonts w:ascii="Arial" w:hAnsi="Arial" w:cs="Arial"/>
          <w:b/>
          <w:bCs/>
          <w:color w:val="auto"/>
          <w:sz w:val="24"/>
          <w:szCs w:val="24"/>
          <w:lang w:val="en-GB"/>
        </w:rPr>
      </w:pPr>
      <w:bookmarkStart w:id="7" w:name="_Toc172223400"/>
      <w:r w:rsidRPr="00BC0633">
        <w:rPr>
          <w:rFonts w:ascii="Arial" w:hAnsi="Arial" w:cs="Arial"/>
          <w:b/>
          <w:bCs/>
          <w:color w:val="auto"/>
          <w:sz w:val="24"/>
          <w:szCs w:val="24"/>
          <w:lang w:val="en-GB"/>
        </w:rPr>
        <w:lastRenderedPageBreak/>
        <w:t>Conclusion</w:t>
      </w:r>
      <w:bookmarkEnd w:id="7"/>
    </w:p>
    <w:p w14:paraId="379ADBDD" w14:textId="77777777" w:rsidR="0029662C" w:rsidRPr="008A5491" w:rsidRDefault="0029662C" w:rsidP="0029662C">
      <w:pPr>
        <w:pStyle w:val="NormalWeb"/>
        <w:spacing w:before="240" w:beforeAutospacing="0" w:after="240" w:afterAutospacing="0" w:line="360" w:lineRule="auto"/>
        <w:jc w:val="both"/>
        <w:rPr>
          <w:rFonts w:ascii="Arial" w:hAnsi="Arial" w:cs="Arial"/>
          <w:color w:val="0E101A"/>
          <w:sz w:val="22"/>
          <w:szCs w:val="22"/>
        </w:rPr>
      </w:pPr>
      <w:r w:rsidRPr="008A5491">
        <w:rPr>
          <w:rFonts w:ascii="Arial" w:hAnsi="Arial" w:cs="Arial"/>
          <w:color w:val="0E101A"/>
          <w:sz w:val="22"/>
          <w:szCs w:val="22"/>
        </w:rPr>
        <w:t>Classification, diagnosis, treatment and rehabilitation of OCD and anxiety disorders have been discussed in this report based on the ICD-10 (2010). Major conclusions underscore the necessity of updating diagnostic criteria that would reflect the contemporary state of studies in the field and technological advancements. Traditional interventions like CBT and more recent digital modalities like iCBT are effective but can still benefit from increased utilisation. The area of rehabilitation services gains much from community-based programs and adequate funding but faces challenges, such as accessibility of services and service delivery. Continued enhancement is vital in mental health services. They include employing new diagnostic methods, increasing the availability of effective treatments, and enhancing community care systems in the UK for people with OCD and anxiety disorders. The use of multifaceted, research-based interventions is critical in preventing the effects of these diseases from worsening and improving the quality of patient care. Future development of OCD and anxiety disorder treatment in the UK is therefore dependent on continued funding and investment in mental health services, ongoing training and education for mental health professionals, and future policy developments aimed at supporting mental healthcare. However, with efforts from all the stakeholders and a focused drive towards change, there is the potential to foster a better system for providing mental health services.</w:t>
      </w:r>
    </w:p>
    <w:p w14:paraId="43F46405"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5591F996"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17F5F50F"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36892BAA"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7E76594C"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1B137982"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6457153F"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629DB9E2"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1E4E07F6" w14:textId="77777777" w:rsidR="007E35F6"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38FDA228" w14:textId="77777777" w:rsidR="007E35F6" w:rsidRPr="008A5491" w:rsidRDefault="007E35F6" w:rsidP="0029662C">
      <w:pPr>
        <w:pStyle w:val="NormalWeb"/>
        <w:spacing w:before="240" w:beforeAutospacing="0" w:after="240" w:afterAutospacing="0" w:line="360" w:lineRule="auto"/>
        <w:jc w:val="both"/>
        <w:rPr>
          <w:rFonts w:ascii="Arial" w:hAnsi="Arial" w:cs="Arial"/>
          <w:color w:val="0E101A"/>
          <w:sz w:val="22"/>
          <w:szCs w:val="22"/>
        </w:rPr>
      </w:pPr>
    </w:p>
    <w:p w14:paraId="1A54FBF8" w14:textId="55034856" w:rsidR="0029662C" w:rsidRPr="00775E7C" w:rsidRDefault="0029662C" w:rsidP="00775E7C">
      <w:pPr>
        <w:pStyle w:val="Heading1"/>
        <w:numPr>
          <w:ilvl w:val="0"/>
          <w:numId w:val="1"/>
        </w:numPr>
        <w:rPr>
          <w:rFonts w:asciiTheme="minorBidi" w:hAnsiTheme="minorBidi" w:cstheme="minorBidi"/>
          <w:b/>
          <w:bCs/>
          <w:color w:val="auto"/>
          <w:sz w:val="24"/>
          <w:szCs w:val="24"/>
          <w:lang w:val="en-GB"/>
        </w:rPr>
      </w:pPr>
      <w:bookmarkStart w:id="8" w:name="_Toc172223401"/>
      <w:r w:rsidRPr="00775E7C">
        <w:rPr>
          <w:rFonts w:asciiTheme="minorBidi" w:hAnsiTheme="minorBidi" w:cstheme="minorBidi"/>
          <w:b/>
          <w:bCs/>
          <w:color w:val="auto"/>
          <w:sz w:val="24"/>
          <w:szCs w:val="24"/>
          <w:lang w:val="en-GB"/>
        </w:rPr>
        <w:t>Reference List</w:t>
      </w:r>
      <w:bookmarkEnd w:id="8"/>
    </w:p>
    <w:p w14:paraId="495319E8" w14:textId="38C587C8"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Bjørlykhaug, K.I., Karlsson, B., Hesook, S.K. and Kleppe, L.C. (2021). Social support and recovery from mental health problems: a scoping review. </w:t>
      </w:r>
      <w:r w:rsidRPr="008A5491">
        <w:rPr>
          <w:rFonts w:ascii="Arial" w:hAnsi="Arial" w:cs="Arial"/>
          <w:i/>
          <w:iCs/>
          <w:sz w:val="22"/>
          <w:szCs w:val="22"/>
        </w:rPr>
        <w:t>Nordic Social Work Research</w:t>
      </w:r>
      <w:r w:rsidRPr="008A5491">
        <w:rPr>
          <w:rFonts w:ascii="Arial" w:hAnsi="Arial" w:cs="Arial"/>
          <w:sz w:val="22"/>
          <w:szCs w:val="22"/>
        </w:rPr>
        <w:t>, [online] 12(5), pp.1–32. doi:</w:t>
      </w:r>
      <w:r w:rsidR="004A7F19" w:rsidRPr="008A5491">
        <w:rPr>
          <w:rFonts w:ascii="Arial" w:hAnsi="Arial" w:cs="Arial"/>
          <w:sz w:val="22"/>
          <w:szCs w:val="22"/>
        </w:rPr>
        <w:t xml:space="preserve"> </w:t>
      </w:r>
      <w:hyperlink r:id="rId9" w:history="1">
        <w:r w:rsidR="004A7F19" w:rsidRPr="008A5491">
          <w:rPr>
            <w:rStyle w:val="Hyperlink"/>
            <w:rFonts w:ascii="Arial" w:hAnsi="Arial" w:cs="Arial"/>
            <w:sz w:val="22"/>
            <w:szCs w:val="22"/>
          </w:rPr>
          <w:t>https://doi.org/10.1080/2156857x.2020.1868553</w:t>
        </w:r>
      </w:hyperlink>
      <w:r w:rsidRPr="008A5491">
        <w:rPr>
          <w:rFonts w:ascii="Arial" w:hAnsi="Arial" w:cs="Arial"/>
          <w:sz w:val="22"/>
          <w:szCs w:val="22"/>
        </w:rPr>
        <w:t>.</w:t>
      </w:r>
      <w:r w:rsidR="004A7F19" w:rsidRPr="008A5491">
        <w:rPr>
          <w:rFonts w:ascii="Arial" w:hAnsi="Arial" w:cs="Arial"/>
          <w:sz w:val="22"/>
          <w:szCs w:val="22"/>
        </w:rPr>
        <w:t xml:space="preserve">   </w:t>
      </w:r>
    </w:p>
    <w:p w14:paraId="1415B7B2" w14:textId="558DCE6C"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Brock, H. and Hany, M. (2023). </w:t>
      </w:r>
      <w:r w:rsidRPr="008A5491">
        <w:rPr>
          <w:rFonts w:ascii="Arial" w:hAnsi="Arial" w:cs="Arial"/>
          <w:i/>
          <w:iCs/>
          <w:sz w:val="22"/>
          <w:szCs w:val="22"/>
        </w:rPr>
        <w:t>Obsessive-Compulsive Disorder (OCD)</w:t>
      </w:r>
      <w:r w:rsidRPr="008A5491">
        <w:rPr>
          <w:rFonts w:ascii="Arial" w:hAnsi="Arial" w:cs="Arial"/>
          <w:sz w:val="22"/>
          <w:szCs w:val="22"/>
        </w:rPr>
        <w:t xml:space="preserve">. [online] PubMed. Available at: </w:t>
      </w:r>
      <w:hyperlink r:id="rId10" w:history="1">
        <w:r w:rsidR="004A7F19" w:rsidRPr="008A5491">
          <w:rPr>
            <w:rStyle w:val="Hyperlink"/>
            <w:rFonts w:ascii="Arial" w:hAnsi="Arial" w:cs="Arial"/>
            <w:sz w:val="22"/>
            <w:szCs w:val="22"/>
          </w:rPr>
          <w:t>https://www.ncbi.nlm.nih.gov/books/NBK553162/</w:t>
        </w:r>
      </w:hyperlink>
      <w:r w:rsidRPr="008A5491">
        <w:rPr>
          <w:rFonts w:ascii="Arial" w:hAnsi="Arial" w:cs="Arial"/>
          <w:sz w:val="22"/>
          <w:szCs w:val="22"/>
        </w:rPr>
        <w:t>.</w:t>
      </w:r>
      <w:r w:rsidR="004A7F19" w:rsidRPr="008A5491">
        <w:rPr>
          <w:rFonts w:ascii="Arial" w:hAnsi="Arial" w:cs="Arial"/>
          <w:sz w:val="22"/>
          <w:szCs w:val="22"/>
        </w:rPr>
        <w:t xml:space="preserve"> </w:t>
      </w:r>
    </w:p>
    <w:p w14:paraId="2034D60C" w14:textId="77777777"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Bystritsky, A., Khalsa, S.S., Cameron, M.E. and Schiffman, J. (2013). Current diagnosis and treatment of anxiety disorders. </w:t>
      </w:r>
      <w:r w:rsidRPr="008A5491">
        <w:rPr>
          <w:rFonts w:ascii="Arial" w:hAnsi="Arial" w:cs="Arial"/>
          <w:i/>
          <w:iCs/>
          <w:sz w:val="22"/>
          <w:szCs w:val="22"/>
        </w:rPr>
        <w:t>P &amp; T : a peer-reviewed journal for formulary management</w:t>
      </w:r>
      <w:r w:rsidRPr="008A5491">
        <w:rPr>
          <w:rFonts w:ascii="Arial" w:hAnsi="Arial" w:cs="Arial"/>
          <w:sz w:val="22"/>
          <w:szCs w:val="22"/>
        </w:rPr>
        <w:t>, 38(1), pp.30–57.</w:t>
      </w:r>
    </w:p>
    <w:p w14:paraId="26044E8C" w14:textId="49FE118B"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Castle, D., Feusner, J., Laposa, J.M., Richter, P.M.A., Hossain, R., Lusicic, A. and Drummond, L.M. (2022). Psychotherapies and digital interventions for OCD in adults: What do we know, what do we need still to explore? </w:t>
      </w:r>
      <w:r w:rsidRPr="008A5491">
        <w:rPr>
          <w:rFonts w:ascii="Arial" w:hAnsi="Arial" w:cs="Arial"/>
          <w:i/>
          <w:iCs/>
          <w:sz w:val="22"/>
          <w:szCs w:val="22"/>
        </w:rPr>
        <w:t>Comprehensive Psychiatry</w:t>
      </w:r>
      <w:r w:rsidRPr="008A5491">
        <w:rPr>
          <w:rFonts w:ascii="Arial" w:hAnsi="Arial" w:cs="Arial"/>
          <w:sz w:val="22"/>
          <w:szCs w:val="22"/>
        </w:rPr>
        <w:t>, 120, p.152357. doi:</w:t>
      </w:r>
      <w:r w:rsidR="004A7F19" w:rsidRPr="008A5491">
        <w:rPr>
          <w:rFonts w:ascii="Arial" w:hAnsi="Arial" w:cs="Arial"/>
          <w:sz w:val="22"/>
          <w:szCs w:val="22"/>
        </w:rPr>
        <w:t xml:space="preserve"> </w:t>
      </w:r>
      <w:hyperlink r:id="rId11" w:history="1">
        <w:r w:rsidR="004A7F19" w:rsidRPr="008A5491">
          <w:rPr>
            <w:rStyle w:val="Hyperlink"/>
            <w:rFonts w:ascii="Arial" w:hAnsi="Arial" w:cs="Arial"/>
            <w:sz w:val="22"/>
            <w:szCs w:val="22"/>
          </w:rPr>
          <w:t>https://doi.org/10.1016/j.comppsych.2022.152357</w:t>
        </w:r>
      </w:hyperlink>
      <w:r w:rsidRPr="008A5491">
        <w:rPr>
          <w:rFonts w:ascii="Arial" w:hAnsi="Arial" w:cs="Arial"/>
          <w:sz w:val="22"/>
          <w:szCs w:val="22"/>
        </w:rPr>
        <w:t>.</w:t>
      </w:r>
      <w:r w:rsidR="004A7F19" w:rsidRPr="008A5491">
        <w:rPr>
          <w:rFonts w:ascii="Arial" w:hAnsi="Arial" w:cs="Arial"/>
          <w:sz w:val="22"/>
          <w:szCs w:val="22"/>
        </w:rPr>
        <w:t xml:space="preserve"> </w:t>
      </w:r>
    </w:p>
    <w:p w14:paraId="0E460F94" w14:textId="708EAF33"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Chaves, A., Arnáez, S., Castilla, D., Roncero, M. and García-Soriano, G. (2022). Enhancing mental health literacy in obsessive-compulsive disorder and reducing stigma via smartphone: A randomized controlled trial protocol. </w:t>
      </w:r>
      <w:r w:rsidRPr="008A5491">
        <w:rPr>
          <w:rFonts w:ascii="Arial" w:hAnsi="Arial" w:cs="Arial"/>
          <w:i/>
          <w:iCs/>
          <w:sz w:val="22"/>
          <w:szCs w:val="22"/>
        </w:rPr>
        <w:t>Internet Interventions</w:t>
      </w:r>
      <w:r w:rsidRPr="008A5491">
        <w:rPr>
          <w:rFonts w:ascii="Arial" w:hAnsi="Arial" w:cs="Arial"/>
          <w:sz w:val="22"/>
          <w:szCs w:val="22"/>
        </w:rPr>
        <w:t>, 29, p.100560. doi:</w:t>
      </w:r>
      <w:r w:rsidR="004A7F19" w:rsidRPr="008A5491">
        <w:rPr>
          <w:rFonts w:ascii="Arial" w:hAnsi="Arial" w:cs="Arial"/>
          <w:sz w:val="22"/>
          <w:szCs w:val="22"/>
        </w:rPr>
        <w:t xml:space="preserve"> </w:t>
      </w:r>
      <w:hyperlink r:id="rId12" w:history="1">
        <w:r w:rsidR="004A7F19" w:rsidRPr="008A5491">
          <w:rPr>
            <w:rStyle w:val="Hyperlink"/>
            <w:rFonts w:ascii="Arial" w:hAnsi="Arial" w:cs="Arial"/>
            <w:sz w:val="22"/>
            <w:szCs w:val="22"/>
          </w:rPr>
          <w:t>https://doi.org/10.1016/j.invent.2022.100560</w:t>
        </w:r>
      </w:hyperlink>
      <w:r w:rsidRPr="008A5491">
        <w:rPr>
          <w:rFonts w:ascii="Arial" w:hAnsi="Arial" w:cs="Arial"/>
          <w:sz w:val="22"/>
          <w:szCs w:val="22"/>
        </w:rPr>
        <w:t>.</w:t>
      </w:r>
      <w:r w:rsidR="004A7F19" w:rsidRPr="008A5491">
        <w:rPr>
          <w:rFonts w:ascii="Arial" w:hAnsi="Arial" w:cs="Arial"/>
          <w:sz w:val="22"/>
          <w:szCs w:val="22"/>
        </w:rPr>
        <w:t xml:space="preserve"> </w:t>
      </w:r>
    </w:p>
    <w:p w14:paraId="30D05584" w14:textId="409A6307"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Chu, A. and Wadhwa, R. (2023). </w:t>
      </w:r>
      <w:r w:rsidRPr="008A5491">
        <w:rPr>
          <w:rFonts w:ascii="Arial" w:hAnsi="Arial" w:cs="Arial"/>
          <w:i/>
          <w:iCs/>
          <w:sz w:val="22"/>
          <w:szCs w:val="22"/>
        </w:rPr>
        <w:t>Selective serotonin reuptake inhibitors</w:t>
      </w:r>
      <w:r w:rsidRPr="008A5491">
        <w:rPr>
          <w:rFonts w:ascii="Arial" w:hAnsi="Arial" w:cs="Arial"/>
          <w:sz w:val="22"/>
          <w:szCs w:val="22"/>
        </w:rPr>
        <w:t xml:space="preserve">. [online] PubMed. Available at: </w:t>
      </w:r>
      <w:hyperlink r:id="rId13" w:history="1">
        <w:r w:rsidR="004A7F19" w:rsidRPr="008A5491">
          <w:rPr>
            <w:rStyle w:val="Hyperlink"/>
            <w:rFonts w:ascii="Arial" w:hAnsi="Arial" w:cs="Arial"/>
            <w:sz w:val="22"/>
            <w:szCs w:val="22"/>
          </w:rPr>
          <w:t>https://www.ncbi.nlm.nih.gov/books/NBK554406/</w:t>
        </w:r>
      </w:hyperlink>
      <w:r w:rsidRPr="008A5491">
        <w:rPr>
          <w:rFonts w:ascii="Arial" w:hAnsi="Arial" w:cs="Arial"/>
          <w:sz w:val="22"/>
          <w:szCs w:val="22"/>
        </w:rPr>
        <w:t>.</w:t>
      </w:r>
      <w:r w:rsidR="004A7F19" w:rsidRPr="008A5491">
        <w:rPr>
          <w:rFonts w:ascii="Arial" w:hAnsi="Arial" w:cs="Arial"/>
          <w:sz w:val="22"/>
          <w:szCs w:val="22"/>
        </w:rPr>
        <w:t xml:space="preserve"> </w:t>
      </w:r>
    </w:p>
    <w:p w14:paraId="436D7DFF" w14:textId="40199D67"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Clark, D.M. (2018). Realizing the Mass Public Benefit of Evidence-Based Psychological Therapies: the IAPT Program. </w:t>
      </w:r>
      <w:r w:rsidRPr="008A5491">
        <w:rPr>
          <w:rFonts w:ascii="Arial" w:hAnsi="Arial" w:cs="Arial"/>
          <w:i/>
          <w:iCs/>
          <w:sz w:val="22"/>
          <w:szCs w:val="22"/>
        </w:rPr>
        <w:t>Annual Review of Clinical Psychology</w:t>
      </w:r>
      <w:r w:rsidRPr="008A5491">
        <w:rPr>
          <w:rFonts w:ascii="Arial" w:hAnsi="Arial" w:cs="Arial"/>
          <w:sz w:val="22"/>
          <w:szCs w:val="22"/>
        </w:rPr>
        <w:t>, [online] 14(1), pp.159–183. doi:</w:t>
      </w:r>
      <w:r w:rsidR="004A7F19" w:rsidRPr="008A5491">
        <w:rPr>
          <w:rFonts w:ascii="Arial" w:hAnsi="Arial" w:cs="Arial"/>
          <w:sz w:val="22"/>
          <w:szCs w:val="22"/>
        </w:rPr>
        <w:t xml:space="preserve"> </w:t>
      </w:r>
      <w:hyperlink r:id="rId14" w:history="1">
        <w:r w:rsidR="004A7F19" w:rsidRPr="008A5491">
          <w:rPr>
            <w:rStyle w:val="Hyperlink"/>
            <w:rFonts w:ascii="Arial" w:hAnsi="Arial" w:cs="Arial"/>
            <w:sz w:val="22"/>
            <w:szCs w:val="22"/>
          </w:rPr>
          <w:t>https://doi.org/10.1146/annurev-clinpsy-050817-084833</w:t>
        </w:r>
      </w:hyperlink>
      <w:r w:rsidRPr="008A5491">
        <w:rPr>
          <w:rFonts w:ascii="Arial" w:hAnsi="Arial" w:cs="Arial"/>
          <w:sz w:val="22"/>
          <w:szCs w:val="22"/>
        </w:rPr>
        <w:t>.</w:t>
      </w:r>
      <w:r w:rsidR="004A7F19" w:rsidRPr="008A5491">
        <w:rPr>
          <w:rFonts w:ascii="Arial" w:hAnsi="Arial" w:cs="Arial"/>
          <w:sz w:val="22"/>
          <w:szCs w:val="22"/>
        </w:rPr>
        <w:t xml:space="preserve"> </w:t>
      </w:r>
    </w:p>
    <w:p w14:paraId="5A877FB2" w14:textId="1E5394E6"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Clark, D.M., Canvin, L., Green, J., Layard, R., Pilling, S. and Janecka, M. (2018). Transparency about the outcomes of mental health services (IAPT approach): an analysis of public data. </w:t>
      </w:r>
      <w:r w:rsidRPr="008A5491">
        <w:rPr>
          <w:rFonts w:ascii="Arial" w:hAnsi="Arial" w:cs="Arial"/>
          <w:i/>
          <w:iCs/>
          <w:sz w:val="22"/>
          <w:szCs w:val="22"/>
        </w:rPr>
        <w:t>The Lancet</w:t>
      </w:r>
      <w:r w:rsidRPr="008A5491">
        <w:rPr>
          <w:rFonts w:ascii="Arial" w:hAnsi="Arial" w:cs="Arial"/>
          <w:sz w:val="22"/>
          <w:szCs w:val="22"/>
        </w:rPr>
        <w:t>, 391(10121), pp.679–686. doi:</w:t>
      </w:r>
      <w:r w:rsidR="004A7F19" w:rsidRPr="008A5491">
        <w:rPr>
          <w:rFonts w:ascii="Arial" w:hAnsi="Arial" w:cs="Arial"/>
          <w:sz w:val="22"/>
          <w:szCs w:val="22"/>
        </w:rPr>
        <w:t xml:space="preserve"> </w:t>
      </w:r>
      <w:hyperlink r:id="rId15" w:history="1">
        <w:r w:rsidR="004A7F19" w:rsidRPr="008A5491">
          <w:rPr>
            <w:rStyle w:val="Hyperlink"/>
            <w:rFonts w:ascii="Arial" w:hAnsi="Arial" w:cs="Arial"/>
            <w:sz w:val="22"/>
            <w:szCs w:val="22"/>
          </w:rPr>
          <w:t>https://doi.org/10.1016/s0140-6736(17)32133-5</w:t>
        </w:r>
      </w:hyperlink>
      <w:r w:rsidRPr="008A5491">
        <w:rPr>
          <w:rFonts w:ascii="Arial" w:hAnsi="Arial" w:cs="Arial"/>
          <w:sz w:val="22"/>
          <w:szCs w:val="22"/>
        </w:rPr>
        <w:t>.</w:t>
      </w:r>
      <w:r w:rsidR="004A7F19" w:rsidRPr="008A5491">
        <w:rPr>
          <w:rFonts w:ascii="Arial" w:hAnsi="Arial" w:cs="Arial"/>
          <w:sz w:val="22"/>
          <w:szCs w:val="22"/>
        </w:rPr>
        <w:t xml:space="preserve"> </w:t>
      </w:r>
    </w:p>
    <w:p w14:paraId="1B3AA443" w14:textId="7607DEBC"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Curtiss, J.E., Levine, D.S., Ander, I. and Baker, A.W. (2021). Cognitive-behavioral treatments for anxiety and stress-related disorders. </w:t>
      </w:r>
      <w:r w:rsidRPr="008A5491">
        <w:rPr>
          <w:rFonts w:ascii="Arial" w:hAnsi="Arial" w:cs="Arial"/>
          <w:i/>
          <w:iCs/>
          <w:sz w:val="22"/>
          <w:szCs w:val="22"/>
        </w:rPr>
        <w:t>Focus</w:t>
      </w:r>
      <w:r w:rsidRPr="008A5491">
        <w:rPr>
          <w:rFonts w:ascii="Arial" w:hAnsi="Arial" w:cs="Arial"/>
          <w:sz w:val="22"/>
          <w:szCs w:val="22"/>
        </w:rPr>
        <w:t>, 19(2), pp.184–189. doi:</w:t>
      </w:r>
      <w:r w:rsidR="004A7F19" w:rsidRPr="008A5491">
        <w:rPr>
          <w:rFonts w:ascii="Arial" w:hAnsi="Arial" w:cs="Arial"/>
          <w:sz w:val="22"/>
          <w:szCs w:val="22"/>
        </w:rPr>
        <w:t xml:space="preserve"> </w:t>
      </w:r>
      <w:hyperlink r:id="rId16" w:history="1">
        <w:r w:rsidR="004A7F19" w:rsidRPr="008A5491">
          <w:rPr>
            <w:rStyle w:val="Hyperlink"/>
            <w:rFonts w:ascii="Arial" w:hAnsi="Arial" w:cs="Arial"/>
            <w:sz w:val="22"/>
            <w:szCs w:val="22"/>
          </w:rPr>
          <w:t>https://doi.org/10.1176/appi.focus.20200045</w:t>
        </w:r>
      </w:hyperlink>
      <w:r w:rsidRPr="008A5491">
        <w:rPr>
          <w:rFonts w:ascii="Arial" w:hAnsi="Arial" w:cs="Arial"/>
          <w:sz w:val="22"/>
          <w:szCs w:val="22"/>
        </w:rPr>
        <w:t>.</w:t>
      </w:r>
      <w:r w:rsidR="004A7F19" w:rsidRPr="008A5491">
        <w:rPr>
          <w:rFonts w:ascii="Arial" w:hAnsi="Arial" w:cs="Arial"/>
          <w:sz w:val="22"/>
          <w:szCs w:val="22"/>
        </w:rPr>
        <w:t xml:space="preserve"> </w:t>
      </w:r>
    </w:p>
    <w:p w14:paraId="33BC5497" w14:textId="571E2044"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Doyle, Y., Bull, A. and Keen, J. (2000). Role of private sector in United Kingdom healthcare system Commentary: Cooperation should be based on what the public wants and needs from its healthcare system. </w:t>
      </w:r>
      <w:r w:rsidRPr="008A5491">
        <w:rPr>
          <w:rFonts w:ascii="Arial" w:hAnsi="Arial" w:cs="Arial"/>
          <w:i/>
          <w:iCs/>
          <w:sz w:val="22"/>
          <w:szCs w:val="22"/>
        </w:rPr>
        <w:t>BMJ</w:t>
      </w:r>
      <w:r w:rsidRPr="008A5491">
        <w:rPr>
          <w:rFonts w:ascii="Arial" w:hAnsi="Arial" w:cs="Arial"/>
          <w:sz w:val="22"/>
          <w:szCs w:val="22"/>
        </w:rPr>
        <w:t>, [online] 321(7260), pp.563–565. doi:</w:t>
      </w:r>
      <w:r w:rsidR="004A7F19" w:rsidRPr="008A5491">
        <w:rPr>
          <w:rFonts w:ascii="Arial" w:hAnsi="Arial" w:cs="Arial"/>
          <w:sz w:val="22"/>
          <w:szCs w:val="22"/>
        </w:rPr>
        <w:t xml:space="preserve"> </w:t>
      </w:r>
      <w:r w:rsidRPr="008A5491">
        <w:rPr>
          <w:rFonts w:ascii="Arial" w:hAnsi="Arial" w:cs="Arial"/>
          <w:sz w:val="22"/>
          <w:szCs w:val="22"/>
        </w:rPr>
        <w:t>https://doi.org/10.1136/bmj.321.7260.563</w:t>
      </w:r>
      <w:r w:rsidR="004A7F19" w:rsidRPr="008A5491">
        <w:rPr>
          <w:rFonts w:ascii="Arial" w:hAnsi="Arial" w:cs="Arial"/>
          <w:sz w:val="22"/>
          <w:szCs w:val="22"/>
        </w:rPr>
        <w:t xml:space="preserve"> </w:t>
      </w:r>
      <w:r w:rsidRPr="008A5491">
        <w:rPr>
          <w:rFonts w:ascii="Arial" w:hAnsi="Arial" w:cs="Arial"/>
          <w:sz w:val="22"/>
          <w:szCs w:val="22"/>
        </w:rPr>
        <w:t>.</w:t>
      </w:r>
      <w:r w:rsidR="004A7F19" w:rsidRPr="008A5491">
        <w:rPr>
          <w:rFonts w:ascii="Arial" w:hAnsi="Arial" w:cs="Arial"/>
          <w:sz w:val="22"/>
          <w:szCs w:val="22"/>
        </w:rPr>
        <w:t xml:space="preserve">   </w:t>
      </w:r>
    </w:p>
    <w:p w14:paraId="5B05EBD0" w14:textId="18776815"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Duffy, D., Richards, D., Earley, C. and Ladislav Timulak (2023). Implementing internet-delivered cognitive behavioral therapy in healthcare services: a qualitative exploration of stakeholder experience. </w:t>
      </w:r>
      <w:r w:rsidRPr="008A5491">
        <w:rPr>
          <w:rFonts w:ascii="Arial" w:hAnsi="Arial" w:cs="Arial"/>
          <w:i/>
          <w:iCs/>
          <w:sz w:val="22"/>
          <w:szCs w:val="22"/>
        </w:rPr>
        <w:t>PubMed</w:t>
      </w:r>
      <w:r w:rsidRPr="008A5491">
        <w:rPr>
          <w:rFonts w:ascii="Arial" w:hAnsi="Arial" w:cs="Arial"/>
          <w:sz w:val="22"/>
          <w:szCs w:val="22"/>
        </w:rPr>
        <w:t>, 5. doi:</w:t>
      </w:r>
      <w:r w:rsidR="004A7F19" w:rsidRPr="008A5491">
        <w:rPr>
          <w:rFonts w:ascii="Arial" w:hAnsi="Arial" w:cs="Arial"/>
          <w:sz w:val="22"/>
          <w:szCs w:val="22"/>
        </w:rPr>
        <w:t xml:space="preserve"> </w:t>
      </w:r>
      <w:hyperlink r:id="rId17" w:history="1">
        <w:r w:rsidR="004A7F19" w:rsidRPr="008A5491">
          <w:rPr>
            <w:rStyle w:val="Hyperlink"/>
            <w:rFonts w:ascii="Arial" w:hAnsi="Arial" w:cs="Arial"/>
            <w:sz w:val="22"/>
            <w:szCs w:val="22"/>
          </w:rPr>
          <w:t>https://doi.org/10.3389/fdgth.2023.1139125</w:t>
        </w:r>
      </w:hyperlink>
      <w:r w:rsidRPr="008A5491">
        <w:rPr>
          <w:rFonts w:ascii="Arial" w:hAnsi="Arial" w:cs="Arial"/>
          <w:sz w:val="22"/>
          <w:szCs w:val="22"/>
        </w:rPr>
        <w:t>.</w:t>
      </w:r>
      <w:r w:rsidR="004A7F19" w:rsidRPr="008A5491">
        <w:rPr>
          <w:rFonts w:ascii="Arial" w:hAnsi="Arial" w:cs="Arial"/>
          <w:sz w:val="22"/>
          <w:szCs w:val="22"/>
        </w:rPr>
        <w:t xml:space="preserve"> </w:t>
      </w:r>
    </w:p>
    <w:p w14:paraId="0D3464EE" w14:textId="1B2BA4DF"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European Observatory on Health Systems and Policies (2022). </w:t>
      </w:r>
      <w:r w:rsidRPr="008A5491">
        <w:rPr>
          <w:rFonts w:ascii="Arial" w:hAnsi="Arial" w:cs="Arial"/>
          <w:i/>
          <w:iCs/>
          <w:sz w:val="22"/>
          <w:szCs w:val="22"/>
        </w:rPr>
        <w:t>United Kingdom: health system summary</w:t>
      </w:r>
      <w:r w:rsidRPr="008A5491">
        <w:rPr>
          <w:rFonts w:ascii="Arial" w:hAnsi="Arial" w:cs="Arial"/>
          <w:sz w:val="22"/>
          <w:szCs w:val="22"/>
        </w:rPr>
        <w:t xml:space="preserve">. [online] eurohealthobservatory.who.int. Available at: </w:t>
      </w:r>
      <w:hyperlink r:id="rId18" w:history="1">
        <w:r w:rsidR="004A7F19" w:rsidRPr="008A5491">
          <w:rPr>
            <w:rStyle w:val="Hyperlink"/>
            <w:rFonts w:ascii="Arial" w:hAnsi="Arial" w:cs="Arial"/>
            <w:sz w:val="22"/>
            <w:szCs w:val="22"/>
          </w:rPr>
          <w:t>https://eurohealthobservatory.who.int/publications/i/united-kingdom-health-system-summary</w:t>
        </w:r>
      </w:hyperlink>
      <w:r w:rsidRPr="008A5491">
        <w:rPr>
          <w:rFonts w:ascii="Arial" w:hAnsi="Arial" w:cs="Arial"/>
          <w:sz w:val="22"/>
          <w:szCs w:val="22"/>
        </w:rPr>
        <w:t>.</w:t>
      </w:r>
      <w:r w:rsidR="004A7F19" w:rsidRPr="008A5491">
        <w:rPr>
          <w:rFonts w:ascii="Arial" w:hAnsi="Arial" w:cs="Arial"/>
          <w:sz w:val="22"/>
          <w:szCs w:val="22"/>
        </w:rPr>
        <w:t xml:space="preserve"> </w:t>
      </w:r>
    </w:p>
    <w:p w14:paraId="2E10B430" w14:textId="199815FD"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Fields, L. (2020). </w:t>
      </w:r>
      <w:r w:rsidRPr="008A5491">
        <w:rPr>
          <w:rFonts w:ascii="Arial" w:hAnsi="Arial" w:cs="Arial"/>
          <w:i/>
          <w:iCs/>
          <w:sz w:val="22"/>
          <w:szCs w:val="22"/>
        </w:rPr>
        <w:t>What is OCD?</w:t>
      </w:r>
      <w:r w:rsidRPr="008A5491">
        <w:rPr>
          <w:rFonts w:ascii="Arial" w:hAnsi="Arial" w:cs="Arial"/>
          <w:sz w:val="22"/>
          <w:szCs w:val="22"/>
        </w:rPr>
        <w:t xml:space="preserve"> [online] WebMD. Available at: </w:t>
      </w:r>
      <w:hyperlink r:id="rId19" w:history="1">
        <w:r w:rsidR="004A7F19" w:rsidRPr="008A5491">
          <w:rPr>
            <w:rStyle w:val="Hyperlink"/>
            <w:rFonts w:ascii="Arial" w:hAnsi="Arial" w:cs="Arial"/>
            <w:sz w:val="22"/>
            <w:szCs w:val="22"/>
          </w:rPr>
          <w:t>https://www.webmd.com/mental-health/obsessive-compulsive-disorder</w:t>
        </w:r>
      </w:hyperlink>
      <w:r w:rsidRPr="008A5491">
        <w:rPr>
          <w:rFonts w:ascii="Arial" w:hAnsi="Arial" w:cs="Arial"/>
          <w:sz w:val="22"/>
          <w:szCs w:val="22"/>
        </w:rPr>
        <w:t>.</w:t>
      </w:r>
      <w:r w:rsidR="004A7F19" w:rsidRPr="008A5491">
        <w:rPr>
          <w:rFonts w:ascii="Arial" w:hAnsi="Arial" w:cs="Arial"/>
          <w:sz w:val="22"/>
          <w:szCs w:val="22"/>
        </w:rPr>
        <w:t xml:space="preserve"> </w:t>
      </w:r>
    </w:p>
    <w:p w14:paraId="51DD51FB" w14:textId="3D9AF6DE"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Fineberg, N.A., Hollander, E., Pallanti, S., Walitza, S., Grünblatt, E., Dell’Osso, B.M., Albert, U., Geller, D.A., Brakoulias, V., Janardhan Reddy, Y.C., Arumugham, S.S., Shavitt, R.G., Drummond, L., Grancini, B., De Carlo, V., Cinosi, E., Chamberlain, S.R., Ioannidis, K., Rodriguez, C.I. and Garg, K. (2020). Clinical advances in obsessive-compulsive disorder. </w:t>
      </w:r>
      <w:r w:rsidRPr="008A5491">
        <w:rPr>
          <w:rFonts w:ascii="Arial" w:hAnsi="Arial" w:cs="Arial"/>
          <w:i/>
          <w:iCs/>
          <w:sz w:val="22"/>
          <w:szCs w:val="22"/>
        </w:rPr>
        <w:t>International Clinical Psychopharmacology</w:t>
      </w:r>
      <w:r w:rsidRPr="008A5491">
        <w:rPr>
          <w:rFonts w:ascii="Arial" w:hAnsi="Arial" w:cs="Arial"/>
          <w:sz w:val="22"/>
          <w:szCs w:val="22"/>
        </w:rPr>
        <w:t>, [online] Publish Ahead of Print(4). doi:</w:t>
      </w:r>
      <w:r w:rsidR="004A7F19" w:rsidRPr="008A5491">
        <w:rPr>
          <w:rFonts w:ascii="Arial" w:hAnsi="Arial" w:cs="Arial"/>
          <w:sz w:val="22"/>
          <w:szCs w:val="22"/>
        </w:rPr>
        <w:t xml:space="preserve"> </w:t>
      </w:r>
      <w:hyperlink r:id="rId20" w:history="1">
        <w:r w:rsidR="004A7F19" w:rsidRPr="008A5491">
          <w:rPr>
            <w:rStyle w:val="Hyperlink"/>
            <w:rFonts w:ascii="Arial" w:hAnsi="Arial" w:cs="Arial"/>
            <w:sz w:val="22"/>
            <w:szCs w:val="22"/>
          </w:rPr>
          <w:t>https://doi.org/10.1097/yic.0000000000000314</w:t>
        </w:r>
      </w:hyperlink>
      <w:r w:rsidRPr="008A5491">
        <w:rPr>
          <w:rFonts w:ascii="Arial" w:hAnsi="Arial" w:cs="Arial"/>
          <w:sz w:val="22"/>
          <w:szCs w:val="22"/>
        </w:rPr>
        <w:t>.</w:t>
      </w:r>
      <w:r w:rsidR="004A7F19" w:rsidRPr="008A5491">
        <w:rPr>
          <w:rFonts w:ascii="Arial" w:hAnsi="Arial" w:cs="Arial"/>
          <w:sz w:val="22"/>
          <w:szCs w:val="22"/>
        </w:rPr>
        <w:t xml:space="preserve">  </w:t>
      </w:r>
    </w:p>
    <w:p w14:paraId="329EDB08" w14:textId="2FAA5198"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Goodwin, N. and Lawton-Smith, S. (2010). Integrating care for people with mental illness: the Care Programme Approach in England and its implications for long-term conditions management. </w:t>
      </w:r>
      <w:r w:rsidRPr="008A5491">
        <w:rPr>
          <w:rFonts w:ascii="Arial" w:hAnsi="Arial" w:cs="Arial"/>
          <w:i/>
          <w:iCs/>
          <w:sz w:val="22"/>
          <w:szCs w:val="22"/>
        </w:rPr>
        <w:t>International Journal of Integrated Care</w:t>
      </w:r>
      <w:r w:rsidRPr="008A5491">
        <w:rPr>
          <w:rFonts w:ascii="Arial" w:hAnsi="Arial" w:cs="Arial"/>
          <w:sz w:val="22"/>
          <w:szCs w:val="22"/>
        </w:rPr>
        <w:t xml:space="preserve">, [online] 10. Available at: </w:t>
      </w:r>
      <w:hyperlink r:id="rId21" w:history="1">
        <w:r w:rsidR="007E35F6" w:rsidRPr="008A5491">
          <w:rPr>
            <w:rStyle w:val="Hyperlink"/>
            <w:rFonts w:ascii="Arial" w:hAnsi="Arial" w:cs="Arial"/>
            <w:sz w:val="22"/>
            <w:szCs w:val="22"/>
          </w:rPr>
          <w:t>https://www.ncbi.nlm.nih.gov/pmc/articles/PMC4098094/</w:t>
        </w:r>
      </w:hyperlink>
      <w:r w:rsidRPr="008A5491">
        <w:rPr>
          <w:rFonts w:ascii="Arial" w:hAnsi="Arial" w:cs="Arial"/>
          <w:sz w:val="22"/>
          <w:szCs w:val="22"/>
        </w:rPr>
        <w:t>.</w:t>
      </w:r>
      <w:r w:rsidR="007E35F6" w:rsidRPr="008A5491">
        <w:rPr>
          <w:rFonts w:ascii="Arial" w:hAnsi="Arial" w:cs="Arial"/>
          <w:sz w:val="22"/>
          <w:szCs w:val="22"/>
        </w:rPr>
        <w:t xml:space="preserve"> </w:t>
      </w:r>
    </w:p>
    <w:p w14:paraId="13459B60" w14:textId="17885559"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Gratzer, D. and Khalid-Khan, F. (2015). Internet-delivered cognitive behavioural therapy in the treatment of psychiatric illness. </w:t>
      </w:r>
      <w:r w:rsidRPr="008A5491">
        <w:rPr>
          <w:rFonts w:ascii="Arial" w:hAnsi="Arial" w:cs="Arial"/>
          <w:i/>
          <w:iCs/>
          <w:sz w:val="22"/>
          <w:szCs w:val="22"/>
        </w:rPr>
        <w:t>Canadian Medical Association Journal</w:t>
      </w:r>
      <w:r w:rsidRPr="008A5491">
        <w:rPr>
          <w:rFonts w:ascii="Arial" w:hAnsi="Arial" w:cs="Arial"/>
          <w:sz w:val="22"/>
          <w:szCs w:val="22"/>
        </w:rPr>
        <w:t>, [online] 188(4), pp.263–272. doi:</w:t>
      </w:r>
      <w:r w:rsidR="007E35F6" w:rsidRPr="008A5491">
        <w:rPr>
          <w:rFonts w:ascii="Arial" w:hAnsi="Arial" w:cs="Arial"/>
          <w:sz w:val="22"/>
          <w:szCs w:val="22"/>
        </w:rPr>
        <w:t xml:space="preserve"> </w:t>
      </w:r>
      <w:hyperlink r:id="rId22" w:history="1">
        <w:r w:rsidR="007E35F6" w:rsidRPr="008A5491">
          <w:rPr>
            <w:rStyle w:val="Hyperlink"/>
            <w:rFonts w:ascii="Arial" w:hAnsi="Arial" w:cs="Arial"/>
            <w:sz w:val="22"/>
            <w:szCs w:val="22"/>
          </w:rPr>
          <w:t>https://doi.org/10.1503/cmaj.150007</w:t>
        </w:r>
      </w:hyperlink>
      <w:r w:rsidRPr="008A5491">
        <w:rPr>
          <w:rFonts w:ascii="Arial" w:hAnsi="Arial" w:cs="Arial"/>
          <w:sz w:val="22"/>
          <w:szCs w:val="22"/>
        </w:rPr>
        <w:t>.</w:t>
      </w:r>
      <w:r w:rsidR="007E35F6" w:rsidRPr="008A5491">
        <w:rPr>
          <w:rFonts w:ascii="Arial" w:hAnsi="Arial" w:cs="Arial"/>
          <w:sz w:val="22"/>
          <w:szCs w:val="22"/>
        </w:rPr>
        <w:t xml:space="preserve"> </w:t>
      </w:r>
    </w:p>
    <w:p w14:paraId="706660B4" w14:textId="0C05C0E5"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Hamilton, J.R. (1983). Mental Health Act 1983. </w:t>
      </w:r>
      <w:r w:rsidRPr="008A5491">
        <w:rPr>
          <w:rFonts w:ascii="Arial" w:hAnsi="Arial" w:cs="Arial"/>
          <w:i/>
          <w:iCs/>
          <w:sz w:val="22"/>
          <w:szCs w:val="22"/>
        </w:rPr>
        <w:t>British Medical Journal (Clinical Research Edition)</w:t>
      </w:r>
      <w:r w:rsidRPr="008A5491">
        <w:rPr>
          <w:rFonts w:ascii="Arial" w:hAnsi="Arial" w:cs="Arial"/>
          <w:sz w:val="22"/>
          <w:szCs w:val="22"/>
        </w:rPr>
        <w:t xml:space="preserve">, [online] 286(6379), pp.1720–1725. Available at: </w:t>
      </w:r>
      <w:hyperlink r:id="rId23" w:history="1">
        <w:r w:rsidR="007E35F6" w:rsidRPr="008A5491">
          <w:rPr>
            <w:rStyle w:val="Hyperlink"/>
            <w:rFonts w:ascii="Arial" w:hAnsi="Arial" w:cs="Arial"/>
            <w:sz w:val="22"/>
            <w:szCs w:val="22"/>
          </w:rPr>
          <w:t>https://www.jstor.org/stable/29511048</w:t>
        </w:r>
      </w:hyperlink>
      <w:r w:rsidRPr="008A5491">
        <w:rPr>
          <w:rFonts w:ascii="Arial" w:hAnsi="Arial" w:cs="Arial"/>
          <w:sz w:val="22"/>
          <w:szCs w:val="22"/>
        </w:rPr>
        <w:t>.</w:t>
      </w:r>
      <w:r w:rsidR="007E35F6" w:rsidRPr="008A5491">
        <w:rPr>
          <w:rFonts w:ascii="Arial" w:hAnsi="Arial" w:cs="Arial"/>
          <w:sz w:val="22"/>
          <w:szCs w:val="22"/>
        </w:rPr>
        <w:t xml:space="preserve"> </w:t>
      </w:r>
    </w:p>
    <w:p w14:paraId="2298C763" w14:textId="1380F3F7"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Healthline (2023). </w:t>
      </w:r>
      <w:r w:rsidRPr="008A5491">
        <w:rPr>
          <w:rFonts w:ascii="Arial" w:hAnsi="Arial" w:cs="Arial"/>
          <w:i/>
          <w:iCs/>
          <w:sz w:val="22"/>
          <w:szCs w:val="22"/>
        </w:rPr>
        <w:t>Is OCD Considered an Anxiety Disorder?</w:t>
      </w:r>
      <w:r w:rsidRPr="008A5491">
        <w:rPr>
          <w:rFonts w:ascii="Arial" w:hAnsi="Arial" w:cs="Arial"/>
          <w:sz w:val="22"/>
          <w:szCs w:val="22"/>
        </w:rPr>
        <w:t xml:space="preserve"> [online] Healthline. Available at: </w:t>
      </w:r>
      <w:hyperlink r:id="rId24" w:history="1">
        <w:r w:rsidR="007E35F6" w:rsidRPr="008A5491">
          <w:rPr>
            <w:rStyle w:val="Hyperlink"/>
            <w:rFonts w:ascii="Arial" w:hAnsi="Arial" w:cs="Arial"/>
            <w:sz w:val="22"/>
            <w:szCs w:val="22"/>
          </w:rPr>
          <w:t>https://www.healthline.com/health/ocd/is-ocd-an-anxiety-disorder</w:t>
        </w:r>
      </w:hyperlink>
      <w:r w:rsidRPr="008A5491">
        <w:rPr>
          <w:rFonts w:ascii="Arial" w:hAnsi="Arial" w:cs="Arial"/>
          <w:sz w:val="22"/>
          <w:szCs w:val="22"/>
        </w:rPr>
        <w:t>.</w:t>
      </w:r>
      <w:r w:rsidR="007E35F6" w:rsidRPr="008A5491">
        <w:rPr>
          <w:rFonts w:ascii="Arial" w:hAnsi="Arial" w:cs="Arial"/>
          <w:sz w:val="22"/>
          <w:szCs w:val="22"/>
        </w:rPr>
        <w:t xml:space="preserve"> </w:t>
      </w:r>
    </w:p>
    <w:p w14:paraId="5A25ED51" w14:textId="52C8A542"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Hezel, D.M. and Simpson, H.B. (2019). Exposure and response prevention for obsessive-compulsive disorder: A review and new directions. </w:t>
      </w:r>
      <w:r w:rsidRPr="008A5491">
        <w:rPr>
          <w:rFonts w:ascii="Arial" w:hAnsi="Arial" w:cs="Arial"/>
          <w:i/>
          <w:iCs/>
          <w:sz w:val="22"/>
          <w:szCs w:val="22"/>
        </w:rPr>
        <w:t>Indian Journal of Psychiatry</w:t>
      </w:r>
      <w:r w:rsidRPr="008A5491">
        <w:rPr>
          <w:rFonts w:ascii="Arial" w:hAnsi="Arial" w:cs="Arial"/>
          <w:sz w:val="22"/>
          <w:szCs w:val="22"/>
        </w:rPr>
        <w:t>, [online] 61(7), pp.85–92. doi:</w:t>
      </w:r>
      <w:r w:rsidR="007E35F6" w:rsidRPr="008A5491">
        <w:rPr>
          <w:rFonts w:ascii="Arial" w:hAnsi="Arial" w:cs="Arial"/>
          <w:sz w:val="22"/>
          <w:szCs w:val="22"/>
        </w:rPr>
        <w:t xml:space="preserve"> </w:t>
      </w:r>
      <w:hyperlink r:id="rId25" w:history="1">
        <w:r w:rsidR="007E35F6" w:rsidRPr="008A5491">
          <w:rPr>
            <w:rStyle w:val="Hyperlink"/>
            <w:rFonts w:ascii="Arial" w:hAnsi="Arial" w:cs="Arial"/>
            <w:sz w:val="22"/>
            <w:szCs w:val="22"/>
          </w:rPr>
          <w:t>https://doi.org/10.4103/psychiatry.indianjpsychiatry_516_18</w:t>
        </w:r>
      </w:hyperlink>
      <w:r w:rsidRPr="008A5491">
        <w:rPr>
          <w:rFonts w:ascii="Arial" w:hAnsi="Arial" w:cs="Arial"/>
          <w:sz w:val="22"/>
          <w:szCs w:val="22"/>
        </w:rPr>
        <w:t>.</w:t>
      </w:r>
      <w:r w:rsidR="007E35F6" w:rsidRPr="008A5491">
        <w:rPr>
          <w:rFonts w:ascii="Arial" w:hAnsi="Arial" w:cs="Arial"/>
          <w:sz w:val="22"/>
          <w:szCs w:val="22"/>
        </w:rPr>
        <w:t xml:space="preserve"> </w:t>
      </w:r>
    </w:p>
    <w:p w14:paraId="7C0E19C8" w14:textId="2424A1C6"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Hoffman, M. (2016). </w:t>
      </w:r>
      <w:r w:rsidRPr="008A5491">
        <w:rPr>
          <w:rFonts w:ascii="Arial" w:hAnsi="Arial" w:cs="Arial"/>
          <w:i/>
          <w:iCs/>
          <w:sz w:val="22"/>
          <w:szCs w:val="22"/>
        </w:rPr>
        <w:t>What Are SSRIs?</w:t>
      </w:r>
      <w:r w:rsidRPr="008A5491">
        <w:rPr>
          <w:rFonts w:ascii="Arial" w:hAnsi="Arial" w:cs="Arial"/>
          <w:sz w:val="22"/>
          <w:szCs w:val="22"/>
        </w:rPr>
        <w:t xml:space="preserve"> [online] WebMD. Available at: </w:t>
      </w:r>
      <w:hyperlink r:id="rId26" w:history="1">
        <w:r w:rsidR="007E35F6" w:rsidRPr="008A5491">
          <w:rPr>
            <w:rStyle w:val="Hyperlink"/>
            <w:rFonts w:ascii="Arial" w:hAnsi="Arial" w:cs="Arial"/>
            <w:sz w:val="22"/>
            <w:szCs w:val="22"/>
          </w:rPr>
          <w:t>https://www.webmd.com/depression/ssris-myths-and-facts-about-antidepressants</w:t>
        </w:r>
      </w:hyperlink>
      <w:r w:rsidRPr="008A5491">
        <w:rPr>
          <w:rFonts w:ascii="Arial" w:hAnsi="Arial" w:cs="Arial"/>
          <w:sz w:val="22"/>
          <w:szCs w:val="22"/>
        </w:rPr>
        <w:t>.</w:t>
      </w:r>
      <w:r w:rsidR="007E35F6" w:rsidRPr="008A5491">
        <w:rPr>
          <w:rFonts w:ascii="Arial" w:hAnsi="Arial" w:cs="Arial"/>
          <w:sz w:val="22"/>
          <w:szCs w:val="22"/>
        </w:rPr>
        <w:t xml:space="preserve"> </w:t>
      </w:r>
    </w:p>
    <w:p w14:paraId="44001A4C" w14:textId="07718DBB"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Isaacs, A.N. and Mitchell, E. (2024). Mental health integrated care models in primary care and factors that contribute to their effective implementation: a scoping review. </w:t>
      </w:r>
      <w:r w:rsidRPr="008A5491">
        <w:rPr>
          <w:rFonts w:ascii="Arial" w:hAnsi="Arial" w:cs="Arial"/>
          <w:i/>
          <w:iCs/>
          <w:sz w:val="22"/>
          <w:szCs w:val="22"/>
        </w:rPr>
        <w:t>International Journal of Mental Health Systems</w:t>
      </w:r>
      <w:r w:rsidRPr="008A5491">
        <w:rPr>
          <w:rFonts w:ascii="Arial" w:hAnsi="Arial" w:cs="Arial"/>
          <w:sz w:val="22"/>
          <w:szCs w:val="22"/>
        </w:rPr>
        <w:t>, 18(1). doi:</w:t>
      </w:r>
      <w:r w:rsidR="007E35F6" w:rsidRPr="008A5491">
        <w:rPr>
          <w:rFonts w:ascii="Arial" w:hAnsi="Arial" w:cs="Arial"/>
          <w:sz w:val="22"/>
          <w:szCs w:val="22"/>
        </w:rPr>
        <w:t xml:space="preserve"> </w:t>
      </w:r>
      <w:hyperlink r:id="rId27" w:history="1">
        <w:r w:rsidR="007E35F6" w:rsidRPr="008A5491">
          <w:rPr>
            <w:rStyle w:val="Hyperlink"/>
            <w:rFonts w:ascii="Arial" w:hAnsi="Arial" w:cs="Arial"/>
            <w:sz w:val="22"/>
            <w:szCs w:val="22"/>
          </w:rPr>
          <w:t>https://doi.org/10.1186/s13033-024-00625-x</w:t>
        </w:r>
      </w:hyperlink>
      <w:r w:rsidRPr="008A5491">
        <w:rPr>
          <w:rFonts w:ascii="Arial" w:hAnsi="Arial" w:cs="Arial"/>
          <w:sz w:val="22"/>
          <w:szCs w:val="22"/>
        </w:rPr>
        <w:t>.</w:t>
      </w:r>
      <w:r w:rsidR="007E35F6" w:rsidRPr="008A5491">
        <w:rPr>
          <w:rFonts w:ascii="Arial" w:hAnsi="Arial" w:cs="Arial"/>
          <w:sz w:val="22"/>
          <w:szCs w:val="22"/>
        </w:rPr>
        <w:t xml:space="preserve"> </w:t>
      </w:r>
    </w:p>
    <w:p w14:paraId="52FDAD33" w14:textId="59B8FED5"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Johnson, S.U., Ulvenes, P.G., Øktedalen, T. and Hoffart, A. (2019). Psychometric properties of the general anxiety disorder 7-item (GAD-7) scale in a heterogeneous psychiatric sample. </w:t>
      </w:r>
      <w:r w:rsidRPr="008A5491">
        <w:rPr>
          <w:rFonts w:ascii="Arial" w:hAnsi="Arial" w:cs="Arial"/>
          <w:i/>
          <w:iCs/>
          <w:sz w:val="22"/>
          <w:szCs w:val="22"/>
        </w:rPr>
        <w:t>Frontiers in Psychology</w:t>
      </w:r>
      <w:r w:rsidRPr="008A5491">
        <w:rPr>
          <w:rFonts w:ascii="Arial" w:hAnsi="Arial" w:cs="Arial"/>
          <w:sz w:val="22"/>
          <w:szCs w:val="22"/>
        </w:rPr>
        <w:t>, [online] 10(1713). doi:</w:t>
      </w:r>
      <w:r w:rsidR="007E35F6" w:rsidRPr="008A5491">
        <w:rPr>
          <w:rFonts w:ascii="Arial" w:hAnsi="Arial" w:cs="Arial"/>
          <w:sz w:val="22"/>
          <w:szCs w:val="22"/>
        </w:rPr>
        <w:t xml:space="preserve"> </w:t>
      </w:r>
      <w:hyperlink r:id="rId28" w:history="1">
        <w:r w:rsidR="007E35F6" w:rsidRPr="008A5491">
          <w:rPr>
            <w:rStyle w:val="Hyperlink"/>
            <w:rFonts w:ascii="Arial" w:hAnsi="Arial" w:cs="Arial"/>
            <w:sz w:val="22"/>
            <w:szCs w:val="22"/>
          </w:rPr>
          <w:t>https://doi.org/10.3389/fpsyg.2019.01713</w:t>
        </w:r>
      </w:hyperlink>
      <w:r w:rsidRPr="008A5491">
        <w:rPr>
          <w:rFonts w:ascii="Arial" w:hAnsi="Arial" w:cs="Arial"/>
          <w:sz w:val="22"/>
          <w:szCs w:val="22"/>
        </w:rPr>
        <w:t>.</w:t>
      </w:r>
      <w:r w:rsidR="007E35F6" w:rsidRPr="008A5491">
        <w:rPr>
          <w:rFonts w:ascii="Arial" w:hAnsi="Arial" w:cs="Arial"/>
          <w:sz w:val="22"/>
          <w:szCs w:val="22"/>
        </w:rPr>
        <w:t xml:space="preserve"> </w:t>
      </w:r>
    </w:p>
    <w:p w14:paraId="68EA6454" w14:textId="30329668"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Johnston, C. and Liddle, J. (2007). The Mental Capacity Act 2005: a New Framework for Healthcare Decision Making. </w:t>
      </w:r>
      <w:r w:rsidRPr="008A5491">
        <w:rPr>
          <w:rFonts w:ascii="Arial" w:hAnsi="Arial" w:cs="Arial"/>
          <w:i/>
          <w:iCs/>
          <w:sz w:val="22"/>
          <w:szCs w:val="22"/>
        </w:rPr>
        <w:t>Journal of Medical Ethics</w:t>
      </w:r>
      <w:r w:rsidRPr="008A5491">
        <w:rPr>
          <w:rFonts w:ascii="Arial" w:hAnsi="Arial" w:cs="Arial"/>
          <w:sz w:val="22"/>
          <w:szCs w:val="22"/>
        </w:rPr>
        <w:t xml:space="preserve">, [online] 33(2), pp.94–97. Available at: </w:t>
      </w:r>
      <w:hyperlink r:id="rId29" w:history="1">
        <w:r w:rsidR="007E35F6" w:rsidRPr="008A5491">
          <w:rPr>
            <w:rStyle w:val="Hyperlink"/>
            <w:rFonts w:ascii="Arial" w:hAnsi="Arial" w:cs="Arial"/>
            <w:sz w:val="22"/>
            <w:szCs w:val="22"/>
          </w:rPr>
          <w:t>https://www.ncbi.nlm.nih.gov/pmc/articles/PMC2598235/</w:t>
        </w:r>
      </w:hyperlink>
      <w:r w:rsidRPr="008A5491">
        <w:rPr>
          <w:rFonts w:ascii="Arial" w:hAnsi="Arial" w:cs="Arial"/>
          <w:sz w:val="22"/>
          <w:szCs w:val="22"/>
        </w:rPr>
        <w:t>.</w:t>
      </w:r>
      <w:r w:rsidR="007E35F6" w:rsidRPr="008A5491">
        <w:rPr>
          <w:rFonts w:ascii="Arial" w:hAnsi="Arial" w:cs="Arial"/>
          <w:sz w:val="22"/>
          <w:szCs w:val="22"/>
        </w:rPr>
        <w:t xml:space="preserve"> </w:t>
      </w:r>
    </w:p>
    <w:p w14:paraId="0317CC73" w14:textId="3CFF0CD5"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Kaczkurkin, A.N. and Foa, E.B. (2018). Cognitive-behavioral therapy for anxiety disorders: an update on the empirical evidence. </w:t>
      </w:r>
      <w:r w:rsidRPr="008A5491">
        <w:rPr>
          <w:rFonts w:ascii="Arial" w:hAnsi="Arial" w:cs="Arial"/>
          <w:i/>
          <w:iCs/>
          <w:sz w:val="22"/>
          <w:szCs w:val="22"/>
        </w:rPr>
        <w:t>Dialogues in clinical neuroscience</w:t>
      </w:r>
      <w:r w:rsidRPr="008A5491">
        <w:rPr>
          <w:rFonts w:ascii="Arial" w:hAnsi="Arial" w:cs="Arial"/>
          <w:sz w:val="22"/>
          <w:szCs w:val="22"/>
        </w:rPr>
        <w:t>, [online] 17(3), pp.337–46. doi:</w:t>
      </w:r>
      <w:r w:rsidR="007E35F6" w:rsidRPr="008A5491">
        <w:rPr>
          <w:rFonts w:ascii="Arial" w:hAnsi="Arial" w:cs="Arial"/>
          <w:sz w:val="22"/>
          <w:szCs w:val="22"/>
        </w:rPr>
        <w:t xml:space="preserve"> </w:t>
      </w:r>
      <w:hyperlink r:id="rId30" w:history="1">
        <w:r w:rsidR="007E35F6" w:rsidRPr="008A5491">
          <w:rPr>
            <w:rStyle w:val="Hyperlink"/>
            <w:rFonts w:ascii="Arial" w:hAnsi="Arial" w:cs="Arial"/>
            <w:sz w:val="22"/>
            <w:szCs w:val="22"/>
          </w:rPr>
          <w:t>https://doi.org/10.31887/DCNS.2015.17.3/akaczkurkin</w:t>
        </w:r>
      </w:hyperlink>
      <w:r w:rsidRPr="008A5491">
        <w:rPr>
          <w:rFonts w:ascii="Arial" w:hAnsi="Arial" w:cs="Arial"/>
          <w:sz w:val="22"/>
          <w:szCs w:val="22"/>
        </w:rPr>
        <w:t>.</w:t>
      </w:r>
      <w:r w:rsidR="007E35F6" w:rsidRPr="008A5491">
        <w:rPr>
          <w:rFonts w:ascii="Arial" w:hAnsi="Arial" w:cs="Arial"/>
          <w:sz w:val="22"/>
          <w:szCs w:val="22"/>
        </w:rPr>
        <w:t xml:space="preserve"> </w:t>
      </w:r>
    </w:p>
    <w:p w14:paraId="430B1AC3" w14:textId="5D1F8EA9"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Knopp-Hoffer, J. (2017). </w:t>
      </w:r>
      <w:r w:rsidRPr="008A5491">
        <w:rPr>
          <w:rFonts w:ascii="Arial" w:hAnsi="Arial" w:cs="Arial"/>
          <w:i/>
          <w:iCs/>
          <w:sz w:val="22"/>
          <w:szCs w:val="22"/>
        </w:rPr>
        <w:t>Individual Differences in Response to Brief Psychological Interventions: Using a Mixed Methods Design to Identify the Role of User Characteristics in the Treatment of Obsessive- Compulsive Disorder (OCD)</w:t>
      </w:r>
      <w:r w:rsidRPr="008A5491">
        <w:rPr>
          <w:rFonts w:ascii="Arial" w:hAnsi="Arial" w:cs="Arial"/>
          <w:sz w:val="22"/>
          <w:szCs w:val="22"/>
        </w:rPr>
        <w:t xml:space="preserve">. [online] Available at: </w:t>
      </w:r>
      <w:hyperlink r:id="rId31" w:history="1">
        <w:r w:rsidR="007E35F6" w:rsidRPr="008A5491">
          <w:rPr>
            <w:rStyle w:val="Hyperlink"/>
            <w:rFonts w:ascii="Arial" w:hAnsi="Arial" w:cs="Arial"/>
            <w:sz w:val="22"/>
            <w:szCs w:val="22"/>
          </w:rPr>
          <w:t>https://research.manchester.ac.uk/files/64901281/FULL_TEXT.PDF</w:t>
        </w:r>
      </w:hyperlink>
      <w:r w:rsidR="007E35F6" w:rsidRPr="008A5491">
        <w:rPr>
          <w:rFonts w:ascii="Arial" w:hAnsi="Arial" w:cs="Arial"/>
          <w:sz w:val="22"/>
          <w:szCs w:val="22"/>
        </w:rPr>
        <w:t xml:space="preserve"> </w:t>
      </w:r>
      <w:r w:rsidRPr="008A5491">
        <w:rPr>
          <w:rFonts w:ascii="Arial" w:hAnsi="Arial" w:cs="Arial"/>
          <w:sz w:val="22"/>
          <w:szCs w:val="22"/>
        </w:rPr>
        <w:t xml:space="preserve"> [Accessed 18 Jul. 2024].</w:t>
      </w:r>
      <w:r w:rsidR="007E35F6" w:rsidRPr="008A5491">
        <w:rPr>
          <w:rFonts w:ascii="Arial" w:hAnsi="Arial" w:cs="Arial"/>
          <w:sz w:val="22"/>
          <w:szCs w:val="22"/>
        </w:rPr>
        <w:t xml:space="preserve"> </w:t>
      </w:r>
    </w:p>
    <w:p w14:paraId="1C0E9385" w14:textId="772A4880"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Kohrt, B., Asher, L., Bhardwaj, A., Fazel, M., Jordans, M., Mutamba, B., Nadkarni, A., Pedersen, G., Singla, D. and Patel, V. (2018). The Role of Communities in Mental Health Care in Low- and Middle-Income Countries: A Meta-Review of Components and Competencies. </w:t>
      </w:r>
      <w:r w:rsidRPr="008A5491">
        <w:rPr>
          <w:rFonts w:ascii="Arial" w:hAnsi="Arial" w:cs="Arial"/>
          <w:i/>
          <w:iCs/>
          <w:sz w:val="22"/>
          <w:szCs w:val="22"/>
        </w:rPr>
        <w:t>International Journal of Environmental Research and Public Health</w:t>
      </w:r>
      <w:r w:rsidRPr="008A5491">
        <w:rPr>
          <w:rFonts w:ascii="Arial" w:hAnsi="Arial" w:cs="Arial"/>
          <w:sz w:val="22"/>
          <w:szCs w:val="22"/>
        </w:rPr>
        <w:t>, [online] 15(6), p.1279. doi:</w:t>
      </w:r>
      <w:r w:rsidR="007E35F6" w:rsidRPr="008A5491">
        <w:rPr>
          <w:rFonts w:ascii="Arial" w:hAnsi="Arial" w:cs="Arial"/>
          <w:sz w:val="22"/>
          <w:szCs w:val="22"/>
        </w:rPr>
        <w:t xml:space="preserve"> </w:t>
      </w:r>
      <w:hyperlink r:id="rId32" w:history="1">
        <w:r w:rsidR="007E35F6" w:rsidRPr="008A5491">
          <w:rPr>
            <w:rStyle w:val="Hyperlink"/>
            <w:rFonts w:ascii="Arial" w:hAnsi="Arial" w:cs="Arial"/>
            <w:sz w:val="22"/>
            <w:szCs w:val="22"/>
          </w:rPr>
          <w:t>https://doi.org/10.3390/ijerph15061279</w:t>
        </w:r>
      </w:hyperlink>
      <w:r w:rsidRPr="008A5491">
        <w:rPr>
          <w:rFonts w:ascii="Arial" w:hAnsi="Arial" w:cs="Arial"/>
          <w:sz w:val="22"/>
          <w:szCs w:val="22"/>
        </w:rPr>
        <w:t>.</w:t>
      </w:r>
      <w:r w:rsidR="007E35F6" w:rsidRPr="008A5491">
        <w:rPr>
          <w:rFonts w:ascii="Arial" w:hAnsi="Arial" w:cs="Arial"/>
          <w:sz w:val="22"/>
          <w:szCs w:val="22"/>
        </w:rPr>
        <w:t xml:space="preserve"> </w:t>
      </w:r>
    </w:p>
    <w:p w14:paraId="763E1647" w14:textId="0FB26E7F"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Law, C. and Boisseau, C.L. (2019). Exposure and response prevention in the treatment of obsessive-compulsive disorder: Current perspectives. </w:t>
      </w:r>
      <w:r w:rsidRPr="008A5491">
        <w:rPr>
          <w:rFonts w:ascii="Arial" w:hAnsi="Arial" w:cs="Arial"/>
          <w:i/>
          <w:iCs/>
          <w:sz w:val="22"/>
          <w:szCs w:val="22"/>
        </w:rPr>
        <w:t>Psychology Research and Behavior Management</w:t>
      </w:r>
      <w:r w:rsidRPr="008A5491">
        <w:rPr>
          <w:rFonts w:ascii="Arial" w:hAnsi="Arial" w:cs="Arial"/>
          <w:sz w:val="22"/>
          <w:szCs w:val="22"/>
        </w:rPr>
        <w:t>, [online] Volume 12(1167-1174), pp.1167–1174. doi:</w:t>
      </w:r>
      <w:r w:rsidR="007E35F6" w:rsidRPr="008A5491">
        <w:rPr>
          <w:rFonts w:ascii="Arial" w:hAnsi="Arial" w:cs="Arial"/>
          <w:sz w:val="22"/>
          <w:szCs w:val="22"/>
        </w:rPr>
        <w:t xml:space="preserve"> </w:t>
      </w:r>
      <w:hyperlink r:id="rId33" w:history="1">
        <w:r w:rsidR="007E35F6" w:rsidRPr="008A5491">
          <w:rPr>
            <w:rStyle w:val="Hyperlink"/>
            <w:rFonts w:ascii="Arial" w:hAnsi="Arial" w:cs="Arial"/>
            <w:sz w:val="22"/>
            <w:szCs w:val="22"/>
          </w:rPr>
          <w:t>https://doi.org/10.2147/prbm.s211117</w:t>
        </w:r>
      </w:hyperlink>
      <w:r w:rsidRPr="008A5491">
        <w:rPr>
          <w:rFonts w:ascii="Arial" w:hAnsi="Arial" w:cs="Arial"/>
          <w:sz w:val="22"/>
          <w:szCs w:val="22"/>
        </w:rPr>
        <w:t>.</w:t>
      </w:r>
      <w:r w:rsidR="007E35F6" w:rsidRPr="008A5491">
        <w:rPr>
          <w:rFonts w:ascii="Arial" w:hAnsi="Arial" w:cs="Arial"/>
          <w:sz w:val="22"/>
          <w:szCs w:val="22"/>
        </w:rPr>
        <w:t xml:space="preserve"> </w:t>
      </w:r>
    </w:p>
    <w:p w14:paraId="46E98E24" w14:textId="5349E5CC"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Leckman, J.F., Denys, D., Simpson, H.B., Mataix-Cols, D., Hollander, E., Saxena, S., Miguel, E.C., Rauch, S.L., Goodman, W.K., Phillips, K.A. and Stein, D.J. (2010). Obsessive-compulsive disorder: a review of the diagnostic criteria and possible subtypes and dimensional specifiers for DSM-V. </w:t>
      </w:r>
      <w:r w:rsidRPr="008A5491">
        <w:rPr>
          <w:rFonts w:ascii="Arial" w:hAnsi="Arial" w:cs="Arial"/>
          <w:i/>
          <w:iCs/>
          <w:sz w:val="22"/>
          <w:szCs w:val="22"/>
        </w:rPr>
        <w:t>Depression and Anxiety</w:t>
      </w:r>
      <w:r w:rsidRPr="008A5491">
        <w:rPr>
          <w:rFonts w:ascii="Arial" w:hAnsi="Arial" w:cs="Arial"/>
          <w:sz w:val="22"/>
          <w:szCs w:val="22"/>
        </w:rPr>
        <w:t>, 27(6), pp.507–527. doi:</w:t>
      </w:r>
      <w:r w:rsidR="007E35F6" w:rsidRPr="008A5491">
        <w:rPr>
          <w:rFonts w:ascii="Arial" w:hAnsi="Arial" w:cs="Arial"/>
          <w:sz w:val="22"/>
          <w:szCs w:val="22"/>
        </w:rPr>
        <w:t xml:space="preserve"> </w:t>
      </w:r>
      <w:hyperlink r:id="rId34" w:history="1">
        <w:r w:rsidR="007E35F6" w:rsidRPr="008A5491">
          <w:rPr>
            <w:rStyle w:val="Hyperlink"/>
            <w:rFonts w:ascii="Arial" w:hAnsi="Arial" w:cs="Arial"/>
            <w:sz w:val="22"/>
            <w:szCs w:val="22"/>
          </w:rPr>
          <w:t>https://doi.org/10.1002/da.20669</w:t>
        </w:r>
      </w:hyperlink>
      <w:r w:rsidRPr="008A5491">
        <w:rPr>
          <w:rFonts w:ascii="Arial" w:hAnsi="Arial" w:cs="Arial"/>
          <w:sz w:val="22"/>
          <w:szCs w:val="22"/>
        </w:rPr>
        <w:t>.</w:t>
      </w:r>
      <w:r w:rsidR="007E35F6" w:rsidRPr="008A5491">
        <w:rPr>
          <w:rFonts w:ascii="Arial" w:hAnsi="Arial" w:cs="Arial"/>
          <w:sz w:val="22"/>
          <w:szCs w:val="22"/>
        </w:rPr>
        <w:t xml:space="preserve">  </w:t>
      </w:r>
    </w:p>
    <w:p w14:paraId="08FEC7BC" w14:textId="25F08F5A"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National Collaborating Centre for Mental Health (UK) (2006). </w:t>
      </w:r>
      <w:r w:rsidRPr="008A5491">
        <w:rPr>
          <w:rFonts w:ascii="Arial" w:hAnsi="Arial" w:cs="Arial"/>
          <w:i/>
          <w:iCs/>
          <w:sz w:val="22"/>
          <w:szCs w:val="22"/>
        </w:rPr>
        <w:t>Diagnostic criteria</w:t>
      </w:r>
      <w:r w:rsidRPr="008A5491">
        <w:rPr>
          <w:rFonts w:ascii="Arial" w:hAnsi="Arial" w:cs="Arial"/>
          <w:sz w:val="22"/>
          <w:szCs w:val="22"/>
        </w:rPr>
        <w:t xml:space="preserve">. [online] </w:t>
      </w:r>
      <w:r w:rsidRPr="008A5491">
        <w:rPr>
          <w:rFonts w:ascii="Arial" w:hAnsi="Arial" w:cs="Arial"/>
          <w:i/>
          <w:iCs/>
          <w:sz w:val="22"/>
          <w:szCs w:val="22"/>
        </w:rPr>
        <w:t>www.ncbi.nlm.nih.gov</w:t>
      </w:r>
      <w:r w:rsidRPr="008A5491">
        <w:rPr>
          <w:rFonts w:ascii="Arial" w:hAnsi="Arial" w:cs="Arial"/>
          <w:sz w:val="22"/>
          <w:szCs w:val="22"/>
        </w:rPr>
        <w:t xml:space="preserve">. British Psychological Society. Available at: </w:t>
      </w:r>
      <w:hyperlink r:id="rId35" w:history="1">
        <w:r w:rsidR="007E35F6" w:rsidRPr="008A5491">
          <w:rPr>
            <w:rStyle w:val="Hyperlink"/>
            <w:rFonts w:ascii="Arial" w:hAnsi="Arial" w:cs="Arial"/>
            <w:sz w:val="22"/>
            <w:szCs w:val="22"/>
          </w:rPr>
          <w:t>https://www.ncbi.nlm.nih.gov/books/NBK56452/</w:t>
        </w:r>
      </w:hyperlink>
      <w:r w:rsidRPr="008A5491">
        <w:rPr>
          <w:rFonts w:ascii="Arial" w:hAnsi="Arial" w:cs="Arial"/>
          <w:sz w:val="22"/>
          <w:szCs w:val="22"/>
        </w:rPr>
        <w:t>.</w:t>
      </w:r>
      <w:r w:rsidR="007E35F6" w:rsidRPr="008A5491">
        <w:rPr>
          <w:rFonts w:ascii="Arial" w:hAnsi="Arial" w:cs="Arial"/>
          <w:sz w:val="22"/>
          <w:szCs w:val="22"/>
        </w:rPr>
        <w:t xml:space="preserve"> </w:t>
      </w:r>
    </w:p>
    <w:p w14:paraId="314123CE" w14:textId="0FAC8C52"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National Institute of Mental Health (2022). </w:t>
      </w:r>
      <w:r w:rsidRPr="008A5491">
        <w:rPr>
          <w:rFonts w:ascii="Arial" w:hAnsi="Arial" w:cs="Arial"/>
          <w:i/>
          <w:iCs/>
          <w:sz w:val="22"/>
          <w:szCs w:val="22"/>
        </w:rPr>
        <w:t>Panic Disorder: When Fear Overwhelms</w:t>
      </w:r>
      <w:r w:rsidRPr="008A5491">
        <w:rPr>
          <w:rFonts w:ascii="Arial" w:hAnsi="Arial" w:cs="Arial"/>
          <w:sz w:val="22"/>
          <w:szCs w:val="22"/>
        </w:rPr>
        <w:t xml:space="preserve">. [online] www.nimh.nih.gov. Available at: </w:t>
      </w:r>
      <w:hyperlink r:id="rId36" w:history="1">
        <w:r w:rsidR="007E35F6" w:rsidRPr="008A5491">
          <w:rPr>
            <w:rStyle w:val="Hyperlink"/>
            <w:rFonts w:ascii="Arial" w:hAnsi="Arial" w:cs="Arial"/>
            <w:sz w:val="22"/>
            <w:szCs w:val="22"/>
          </w:rPr>
          <w:t>https://www.nimh.nih.gov/health/publications/panic-disorder-when-fear-overwhelms</w:t>
        </w:r>
      </w:hyperlink>
      <w:r w:rsidRPr="008A5491">
        <w:rPr>
          <w:rFonts w:ascii="Arial" w:hAnsi="Arial" w:cs="Arial"/>
          <w:sz w:val="22"/>
          <w:szCs w:val="22"/>
        </w:rPr>
        <w:t>.</w:t>
      </w:r>
      <w:r w:rsidR="007E35F6" w:rsidRPr="008A5491">
        <w:rPr>
          <w:rFonts w:ascii="Arial" w:hAnsi="Arial" w:cs="Arial"/>
          <w:sz w:val="22"/>
          <w:szCs w:val="22"/>
        </w:rPr>
        <w:t xml:space="preserve"> </w:t>
      </w:r>
    </w:p>
    <w:p w14:paraId="2B076BA1" w14:textId="3985A8E0"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National Institute of Mental Health (2019). </w:t>
      </w:r>
      <w:r w:rsidRPr="008A5491">
        <w:rPr>
          <w:rFonts w:ascii="Arial" w:hAnsi="Arial" w:cs="Arial"/>
          <w:i/>
          <w:iCs/>
          <w:sz w:val="22"/>
          <w:szCs w:val="22"/>
        </w:rPr>
        <w:t>Obsessive-Compulsive Disorder</w:t>
      </w:r>
      <w:r w:rsidRPr="008A5491">
        <w:rPr>
          <w:rFonts w:ascii="Arial" w:hAnsi="Arial" w:cs="Arial"/>
          <w:sz w:val="22"/>
          <w:szCs w:val="22"/>
        </w:rPr>
        <w:t xml:space="preserve">. [online] National Institute of Mental Health (NIMH). Available at: </w:t>
      </w:r>
      <w:hyperlink r:id="rId37" w:anchor=":~:text=Obsessive%2DCompulsive%20Disorder%20(OCD)" w:history="1">
        <w:r w:rsidR="007E35F6" w:rsidRPr="008A5491">
          <w:rPr>
            <w:rStyle w:val="Hyperlink"/>
            <w:rFonts w:ascii="Arial" w:hAnsi="Arial" w:cs="Arial"/>
            <w:sz w:val="22"/>
            <w:szCs w:val="22"/>
          </w:rPr>
          <w:t>https://www.nimh.nih.gov/health/topics/obsessive-compulsive-disorder-ocd#:~:text=Obsessive%2DCompulsive%20Disorder%20(OCD)</w:t>
        </w:r>
      </w:hyperlink>
      <w:r w:rsidRPr="008A5491">
        <w:rPr>
          <w:rFonts w:ascii="Arial" w:hAnsi="Arial" w:cs="Arial"/>
          <w:sz w:val="22"/>
          <w:szCs w:val="22"/>
        </w:rPr>
        <w:t>.</w:t>
      </w:r>
      <w:r w:rsidR="007E35F6" w:rsidRPr="008A5491">
        <w:rPr>
          <w:rFonts w:ascii="Arial" w:hAnsi="Arial" w:cs="Arial"/>
          <w:sz w:val="22"/>
          <w:szCs w:val="22"/>
        </w:rPr>
        <w:t xml:space="preserve"> </w:t>
      </w:r>
    </w:p>
    <w:p w14:paraId="56B8D881" w14:textId="7FE4E189"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NHS England (2018). </w:t>
      </w:r>
      <w:r w:rsidRPr="008A5491">
        <w:rPr>
          <w:rFonts w:ascii="Arial" w:hAnsi="Arial" w:cs="Arial"/>
          <w:i/>
          <w:iCs/>
          <w:sz w:val="22"/>
          <w:szCs w:val="22"/>
        </w:rPr>
        <w:t>Implementing the Five Year Forward View for Mental Health</w:t>
      </w:r>
      <w:r w:rsidRPr="008A5491">
        <w:rPr>
          <w:rFonts w:ascii="Arial" w:hAnsi="Arial" w:cs="Arial"/>
          <w:sz w:val="22"/>
          <w:szCs w:val="22"/>
        </w:rPr>
        <w:t xml:space="preserve">. [online] Available at: </w:t>
      </w:r>
      <w:hyperlink r:id="rId38" w:history="1">
        <w:r w:rsidR="007E35F6" w:rsidRPr="008A5491">
          <w:rPr>
            <w:rStyle w:val="Hyperlink"/>
            <w:rFonts w:ascii="Arial" w:hAnsi="Arial" w:cs="Arial"/>
            <w:sz w:val="22"/>
            <w:szCs w:val="22"/>
          </w:rPr>
          <w:t>https://www.england.nhs.uk/wp-content/uploads/2016/07/fyfv-mh.pdf</w:t>
        </w:r>
      </w:hyperlink>
      <w:r w:rsidRPr="008A5491">
        <w:rPr>
          <w:rFonts w:ascii="Arial" w:hAnsi="Arial" w:cs="Arial"/>
          <w:sz w:val="22"/>
          <w:szCs w:val="22"/>
        </w:rPr>
        <w:t>.</w:t>
      </w:r>
      <w:r w:rsidR="007E35F6" w:rsidRPr="008A5491">
        <w:rPr>
          <w:rFonts w:ascii="Arial" w:hAnsi="Arial" w:cs="Arial"/>
          <w:sz w:val="22"/>
          <w:szCs w:val="22"/>
        </w:rPr>
        <w:t xml:space="preserve"> </w:t>
      </w:r>
    </w:p>
    <w:p w14:paraId="0C569E9D" w14:textId="69C9D19D"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NHS UK (2019). </w:t>
      </w:r>
      <w:r w:rsidRPr="008A5491">
        <w:rPr>
          <w:rFonts w:ascii="Arial" w:hAnsi="Arial" w:cs="Arial"/>
          <w:i/>
          <w:iCs/>
          <w:sz w:val="22"/>
          <w:szCs w:val="22"/>
        </w:rPr>
        <w:t>Overview - Obsessive compulsive disorder (OCD)</w:t>
      </w:r>
      <w:r w:rsidRPr="008A5491">
        <w:rPr>
          <w:rFonts w:ascii="Arial" w:hAnsi="Arial" w:cs="Arial"/>
          <w:sz w:val="22"/>
          <w:szCs w:val="22"/>
        </w:rPr>
        <w:t xml:space="preserve">. [online] NHS. Available at: </w:t>
      </w:r>
      <w:hyperlink r:id="rId39" w:history="1">
        <w:r w:rsidR="007E35F6" w:rsidRPr="008A5491">
          <w:rPr>
            <w:rStyle w:val="Hyperlink"/>
            <w:rFonts w:ascii="Arial" w:hAnsi="Arial" w:cs="Arial"/>
            <w:sz w:val="22"/>
            <w:szCs w:val="22"/>
          </w:rPr>
          <w:t>https://www.nhs.uk/conditions/obsessive-compulsive-disorder-ocd/</w:t>
        </w:r>
      </w:hyperlink>
      <w:r w:rsidRPr="008A5491">
        <w:rPr>
          <w:rFonts w:ascii="Arial" w:hAnsi="Arial" w:cs="Arial"/>
          <w:sz w:val="22"/>
          <w:szCs w:val="22"/>
        </w:rPr>
        <w:t>.</w:t>
      </w:r>
      <w:r w:rsidR="007E35F6" w:rsidRPr="008A5491">
        <w:rPr>
          <w:rFonts w:ascii="Arial" w:hAnsi="Arial" w:cs="Arial"/>
          <w:sz w:val="22"/>
          <w:szCs w:val="22"/>
        </w:rPr>
        <w:t xml:space="preserve"> </w:t>
      </w:r>
    </w:p>
    <w:p w14:paraId="720FA707" w14:textId="3D6ED26C"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Ostrow, L. and Hayes, S.L. (2015). Leadership and Characteristics of Nonprofit Mental Health Peer-Run Organizations Nationwide. </w:t>
      </w:r>
      <w:r w:rsidRPr="008A5491">
        <w:rPr>
          <w:rFonts w:ascii="Arial" w:hAnsi="Arial" w:cs="Arial"/>
          <w:i/>
          <w:iCs/>
          <w:sz w:val="22"/>
          <w:szCs w:val="22"/>
        </w:rPr>
        <w:t>Psychiatric Services</w:t>
      </w:r>
      <w:r w:rsidRPr="008A5491">
        <w:rPr>
          <w:rFonts w:ascii="Arial" w:hAnsi="Arial" w:cs="Arial"/>
          <w:sz w:val="22"/>
          <w:szCs w:val="22"/>
        </w:rPr>
        <w:t>, 66(4), pp.421–425. doi:</w:t>
      </w:r>
      <w:r w:rsidR="004A7F19" w:rsidRPr="008A5491">
        <w:rPr>
          <w:rFonts w:ascii="Arial" w:hAnsi="Arial" w:cs="Arial"/>
          <w:sz w:val="22"/>
          <w:szCs w:val="22"/>
        </w:rPr>
        <w:t xml:space="preserve"> </w:t>
      </w:r>
      <w:hyperlink r:id="rId40" w:history="1">
        <w:r w:rsidR="004A7F19" w:rsidRPr="008A5491">
          <w:rPr>
            <w:rStyle w:val="Hyperlink"/>
            <w:rFonts w:ascii="Arial" w:hAnsi="Arial" w:cs="Arial"/>
            <w:sz w:val="22"/>
            <w:szCs w:val="22"/>
          </w:rPr>
          <w:t>https://doi.org/10.1176/appi.ps.201400080</w:t>
        </w:r>
      </w:hyperlink>
      <w:r w:rsidRPr="008A5491">
        <w:rPr>
          <w:rFonts w:ascii="Arial" w:hAnsi="Arial" w:cs="Arial"/>
          <w:sz w:val="22"/>
          <w:szCs w:val="22"/>
        </w:rPr>
        <w:t>.</w:t>
      </w:r>
      <w:r w:rsidR="004A7F19" w:rsidRPr="008A5491">
        <w:rPr>
          <w:rFonts w:ascii="Arial" w:hAnsi="Arial" w:cs="Arial"/>
          <w:sz w:val="22"/>
          <w:szCs w:val="22"/>
        </w:rPr>
        <w:t xml:space="preserve"> </w:t>
      </w:r>
    </w:p>
    <w:p w14:paraId="5D87A802" w14:textId="73F3A5B0"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Pietrabissa, G., Manzoni, G.M., Gibson, P., Boardman, D., Gori, A. and Castelnuovo, G. (2016). Brief strategic therapy for obsessive–compulsive disorder: a clinical and research protocol of a one-group observational study. </w:t>
      </w:r>
      <w:r w:rsidRPr="008A5491">
        <w:rPr>
          <w:rFonts w:ascii="Arial" w:hAnsi="Arial" w:cs="Arial"/>
          <w:i/>
          <w:iCs/>
          <w:sz w:val="22"/>
          <w:szCs w:val="22"/>
        </w:rPr>
        <w:t>BMJ Open</w:t>
      </w:r>
      <w:r w:rsidRPr="008A5491">
        <w:rPr>
          <w:rFonts w:ascii="Arial" w:hAnsi="Arial" w:cs="Arial"/>
          <w:sz w:val="22"/>
          <w:szCs w:val="22"/>
        </w:rPr>
        <w:t>, [online] 6(3), p.e009118. doi:</w:t>
      </w:r>
      <w:r w:rsidR="004A7F19" w:rsidRPr="008A5491">
        <w:rPr>
          <w:rFonts w:ascii="Arial" w:hAnsi="Arial" w:cs="Arial"/>
          <w:sz w:val="22"/>
          <w:szCs w:val="22"/>
        </w:rPr>
        <w:t xml:space="preserve"> </w:t>
      </w:r>
      <w:hyperlink r:id="rId41" w:history="1">
        <w:r w:rsidR="004A7F19" w:rsidRPr="008A5491">
          <w:rPr>
            <w:rStyle w:val="Hyperlink"/>
            <w:rFonts w:ascii="Arial" w:hAnsi="Arial" w:cs="Arial"/>
            <w:sz w:val="22"/>
            <w:szCs w:val="22"/>
          </w:rPr>
          <w:t>https://doi.org/10.1136/bmjopen-2015-009118</w:t>
        </w:r>
      </w:hyperlink>
      <w:r w:rsidRPr="008A5491">
        <w:rPr>
          <w:rFonts w:ascii="Arial" w:hAnsi="Arial" w:cs="Arial"/>
          <w:sz w:val="22"/>
          <w:szCs w:val="22"/>
        </w:rPr>
        <w:t>.</w:t>
      </w:r>
      <w:r w:rsidR="004A7F19" w:rsidRPr="008A5491">
        <w:rPr>
          <w:rFonts w:ascii="Arial" w:hAnsi="Arial" w:cs="Arial"/>
          <w:sz w:val="22"/>
          <w:szCs w:val="22"/>
        </w:rPr>
        <w:t xml:space="preserve">  </w:t>
      </w:r>
    </w:p>
    <w:p w14:paraId="3845474B" w14:textId="5D6CE607"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Reed, G.M., First, M.B., Kogan, C.S., Hyman, S.E., Gureje, O., Gaebel, W., Maj, M., Stein, D.J., Maercker, A., Tyrer, P., Claudino, A., Garralda, E., Salvador-Carulla, L., Ray, R., Saunders, J.B., Dua, T., Poznyak, V., Medina-Mora, M.E., Pike, K.M. and Ayuso-Mateos, J.L. (2019). Innovations and changes in the ICD-11 classification of mental, behavioural and neurodevelopmental disorders. </w:t>
      </w:r>
      <w:r w:rsidRPr="008A5491">
        <w:rPr>
          <w:rFonts w:ascii="Arial" w:hAnsi="Arial" w:cs="Arial"/>
          <w:i/>
          <w:iCs/>
          <w:sz w:val="22"/>
          <w:szCs w:val="22"/>
        </w:rPr>
        <w:t>World Psychiatry</w:t>
      </w:r>
      <w:r w:rsidRPr="008A5491">
        <w:rPr>
          <w:rFonts w:ascii="Arial" w:hAnsi="Arial" w:cs="Arial"/>
          <w:sz w:val="22"/>
          <w:szCs w:val="22"/>
        </w:rPr>
        <w:t xml:space="preserve">, [online] 18(1), pp.3–19. Available at: </w:t>
      </w:r>
      <w:hyperlink r:id="rId42" w:history="1">
        <w:r w:rsidR="004A7F19" w:rsidRPr="008A5491">
          <w:rPr>
            <w:rStyle w:val="Hyperlink"/>
            <w:rFonts w:ascii="Arial" w:hAnsi="Arial" w:cs="Arial"/>
            <w:sz w:val="22"/>
            <w:szCs w:val="22"/>
          </w:rPr>
          <w:t>https://onlinelibrary.wiley.com/doi/full/10.1002/wps.20611</w:t>
        </w:r>
      </w:hyperlink>
      <w:r w:rsidRPr="008A5491">
        <w:rPr>
          <w:rFonts w:ascii="Arial" w:hAnsi="Arial" w:cs="Arial"/>
          <w:sz w:val="22"/>
          <w:szCs w:val="22"/>
        </w:rPr>
        <w:t>.</w:t>
      </w:r>
      <w:r w:rsidR="004A7F19" w:rsidRPr="008A5491">
        <w:rPr>
          <w:rFonts w:ascii="Arial" w:hAnsi="Arial" w:cs="Arial"/>
          <w:sz w:val="22"/>
          <w:szCs w:val="22"/>
        </w:rPr>
        <w:t xml:space="preserve"> </w:t>
      </w:r>
    </w:p>
    <w:p w14:paraId="54CCD7AB" w14:textId="5AC54649"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Storch, E.A., De Nadai, A.S., Conceição do Rosário, M., Shavitt, R.G., Torres, A.R., Ferrão, Y.A., Miguel, E.C., Lewin, A.B. and Fontenelle, L.F. (2015). Defining clinical severity in adults with obsessive–compulsive disorder. </w:t>
      </w:r>
      <w:r w:rsidRPr="008A5491">
        <w:rPr>
          <w:rFonts w:ascii="Arial" w:hAnsi="Arial" w:cs="Arial"/>
          <w:i/>
          <w:iCs/>
          <w:sz w:val="22"/>
          <w:szCs w:val="22"/>
        </w:rPr>
        <w:t>Comprehensive Psychiatry</w:t>
      </w:r>
      <w:r w:rsidRPr="008A5491">
        <w:rPr>
          <w:rFonts w:ascii="Arial" w:hAnsi="Arial" w:cs="Arial"/>
          <w:sz w:val="22"/>
          <w:szCs w:val="22"/>
        </w:rPr>
        <w:t>, [online] 63, pp.30–35. doi:</w:t>
      </w:r>
      <w:r w:rsidR="004A7F19" w:rsidRPr="008A5491">
        <w:rPr>
          <w:rFonts w:ascii="Arial" w:hAnsi="Arial" w:cs="Arial"/>
          <w:sz w:val="22"/>
          <w:szCs w:val="22"/>
        </w:rPr>
        <w:t xml:space="preserve"> </w:t>
      </w:r>
      <w:hyperlink r:id="rId43" w:history="1">
        <w:r w:rsidR="004A7F19" w:rsidRPr="008A5491">
          <w:rPr>
            <w:rStyle w:val="Hyperlink"/>
            <w:rFonts w:ascii="Arial" w:hAnsi="Arial" w:cs="Arial"/>
            <w:sz w:val="22"/>
            <w:szCs w:val="22"/>
          </w:rPr>
          <w:t>https://doi.org/10.1016/j.comppsych.2015.08.007</w:t>
        </w:r>
      </w:hyperlink>
      <w:r w:rsidRPr="008A5491">
        <w:rPr>
          <w:rFonts w:ascii="Arial" w:hAnsi="Arial" w:cs="Arial"/>
          <w:sz w:val="22"/>
          <w:szCs w:val="22"/>
        </w:rPr>
        <w:t>.</w:t>
      </w:r>
      <w:r w:rsidR="004A7F19" w:rsidRPr="008A5491">
        <w:rPr>
          <w:rFonts w:ascii="Arial" w:hAnsi="Arial" w:cs="Arial"/>
          <w:sz w:val="22"/>
          <w:szCs w:val="22"/>
        </w:rPr>
        <w:t xml:space="preserve"> </w:t>
      </w:r>
    </w:p>
    <w:p w14:paraId="517AA9A4" w14:textId="2EAA23DF"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Substance Abuse and Mental Health Services Administration (2016). </w:t>
      </w:r>
      <w:r w:rsidRPr="008A5491">
        <w:rPr>
          <w:rFonts w:ascii="Arial" w:hAnsi="Arial" w:cs="Arial"/>
          <w:i/>
          <w:iCs/>
          <w:sz w:val="22"/>
          <w:szCs w:val="22"/>
        </w:rPr>
        <w:t>Table 3.15, DSM-IV to DSM-5 Generalized Anxiety Disorder Comparison</w:t>
      </w:r>
      <w:r w:rsidRPr="008A5491">
        <w:rPr>
          <w:rFonts w:ascii="Arial" w:hAnsi="Arial" w:cs="Arial"/>
          <w:sz w:val="22"/>
          <w:szCs w:val="22"/>
        </w:rPr>
        <w:t xml:space="preserve">. [online] Nih.gov. Available at: </w:t>
      </w:r>
      <w:hyperlink r:id="rId44" w:history="1">
        <w:r w:rsidR="004A7F19" w:rsidRPr="008A5491">
          <w:rPr>
            <w:rStyle w:val="Hyperlink"/>
            <w:rFonts w:ascii="Arial" w:hAnsi="Arial" w:cs="Arial"/>
            <w:sz w:val="22"/>
            <w:szCs w:val="22"/>
          </w:rPr>
          <w:t>https://www.ncbi.nlm.nih.gov/books/NBK519704/table/ch3.t15/</w:t>
        </w:r>
      </w:hyperlink>
      <w:r w:rsidRPr="008A5491">
        <w:rPr>
          <w:rFonts w:ascii="Arial" w:hAnsi="Arial" w:cs="Arial"/>
          <w:sz w:val="22"/>
          <w:szCs w:val="22"/>
        </w:rPr>
        <w:t>.</w:t>
      </w:r>
      <w:r w:rsidR="004A7F19" w:rsidRPr="008A5491">
        <w:rPr>
          <w:rFonts w:ascii="Arial" w:hAnsi="Arial" w:cs="Arial"/>
          <w:sz w:val="22"/>
          <w:szCs w:val="22"/>
        </w:rPr>
        <w:t xml:space="preserve"> </w:t>
      </w:r>
    </w:p>
    <w:p w14:paraId="69CACF58" w14:textId="67E34EAB"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Toro-Martínez, E. (2014). [DSM-5: OCD and related disorders]. </w:t>
      </w:r>
      <w:r w:rsidRPr="008A5491">
        <w:rPr>
          <w:rFonts w:ascii="Arial" w:hAnsi="Arial" w:cs="Arial"/>
          <w:i/>
          <w:iCs/>
          <w:sz w:val="22"/>
          <w:szCs w:val="22"/>
        </w:rPr>
        <w:t>Vertex (Buenos Aires, Argentina)</w:t>
      </w:r>
      <w:r w:rsidRPr="008A5491">
        <w:rPr>
          <w:rFonts w:ascii="Arial" w:hAnsi="Arial" w:cs="Arial"/>
          <w:sz w:val="22"/>
          <w:szCs w:val="22"/>
        </w:rPr>
        <w:t xml:space="preserve">, [online] 25(113), pp.63–67. Available at: </w:t>
      </w:r>
      <w:hyperlink r:id="rId45" w:history="1">
        <w:r w:rsidR="004A7F19" w:rsidRPr="008A5491">
          <w:rPr>
            <w:rStyle w:val="Hyperlink"/>
            <w:rFonts w:ascii="Arial" w:hAnsi="Arial" w:cs="Arial"/>
            <w:sz w:val="22"/>
            <w:szCs w:val="22"/>
          </w:rPr>
          <w:t>https://pubmed.ncbi.nlm.nih.gov/24887372/</w:t>
        </w:r>
      </w:hyperlink>
      <w:r w:rsidRPr="008A5491">
        <w:rPr>
          <w:rFonts w:ascii="Arial" w:hAnsi="Arial" w:cs="Arial"/>
          <w:sz w:val="22"/>
          <w:szCs w:val="22"/>
        </w:rPr>
        <w:t>.</w:t>
      </w:r>
      <w:r w:rsidR="004A7F19" w:rsidRPr="008A5491">
        <w:rPr>
          <w:rFonts w:ascii="Arial" w:hAnsi="Arial" w:cs="Arial"/>
          <w:sz w:val="22"/>
          <w:szCs w:val="22"/>
        </w:rPr>
        <w:t xml:space="preserve"> </w:t>
      </w:r>
    </w:p>
    <w:p w14:paraId="248149D9" w14:textId="313B3CC0"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Turner, J., Hayward, R., Angel, K., Fulford, B., Hall, J., Millard, C. and Thomson, M. (2015). The History of Mental Health Services in Modern England: Practitioner Memories and the Direction of Future Research. </w:t>
      </w:r>
      <w:r w:rsidRPr="008A5491">
        <w:rPr>
          <w:rFonts w:ascii="Arial" w:hAnsi="Arial" w:cs="Arial"/>
          <w:i/>
          <w:iCs/>
          <w:sz w:val="22"/>
          <w:szCs w:val="22"/>
        </w:rPr>
        <w:t>Medical History</w:t>
      </w:r>
      <w:r w:rsidRPr="008A5491">
        <w:rPr>
          <w:rFonts w:ascii="Arial" w:hAnsi="Arial" w:cs="Arial"/>
          <w:sz w:val="22"/>
          <w:szCs w:val="22"/>
        </w:rPr>
        <w:t>, [online] 59(4), pp.599–624. doi:</w:t>
      </w:r>
      <w:r w:rsidR="004A7F19" w:rsidRPr="008A5491">
        <w:rPr>
          <w:rFonts w:ascii="Arial" w:hAnsi="Arial" w:cs="Arial"/>
          <w:sz w:val="22"/>
          <w:szCs w:val="22"/>
        </w:rPr>
        <w:t xml:space="preserve"> </w:t>
      </w:r>
      <w:hyperlink r:id="rId46" w:history="1">
        <w:r w:rsidR="004A7F19" w:rsidRPr="008A5491">
          <w:rPr>
            <w:rStyle w:val="Hyperlink"/>
            <w:rFonts w:ascii="Arial" w:hAnsi="Arial" w:cs="Arial"/>
            <w:sz w:val="22"/>
            <w:szCs w:val="22"/>
          </w:rPr>
          <w:t>https://doi.org/10.1017/mdh.2015.48</w:t>
        </w:r>
      </w:hyperlink>
      <w:r w:rsidRPr="008A5491">
        <w:rPr>
          <w:rFonts w:ascii="Arial" w:hAnsi="Arial" w:cs="Arial"/>
          <w:sz w:val="22"/>
          <w:szCs w:val="22"/>
        </w:rPr>
        <w:t>.</w:t>
      </w:r>
      <w:r w:rsidR="004A7F19" w:rsidRPr="008A5491">
        <w:rPr>
          <w:rFonts w:ascii="Arial" w:hAnsi="Arial" w:cs="Arial"/>
          <w:sz w:val="22"/>
          <w:szCs w:val="22"/>
        </w:rPr>
        <w:t xml:space="preserve"> </w:t>
      </w:r>
    </w:p>
    <w:p w14:paraId="0EFACC5F" w14:textId="1ADF81B4"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Vogt, G.S., Avendaño-Ortega, M., Schneider, S.C., Goodman, W.K. and Storch, E.A. (2022). Optimizing Obsessive-Compulsive Symptom Measurement With the Yale-Brown Obsessive-Compulsive Scales—Second Edition. </w:t>
      </w:r>
      <w:r w:rsidRPr="008A5491">
        <w:rPr>
          <w:rFonts w:ascii="Arial" w:hAnsi="Arial" w:cs="Arial"/>
          <w:i/>
          <w:iCs/>
          <w:sz w:val="22"/>
          <w:szCs w:val="22"/>
        </w:rPr>
        <w:t>Journal of Psychiatric Practice</w:t>
      </w:r>
      <w:r w:rsidRPr="008A5491">
        <w:rPr>
          <w:rFonts w:ascii="Arial" w:hAnsi="Arial" w:cs="Arial"/>
          <w:sz w:val="22"/>
          <w:szCs w:val="22"/>
        </w:rPr>
        <w:t>, 28(4), pp.294–309. doi:</w:t>
      </w:r>
      <w:r w:rsidR="004A7F19" w:rsidRPr="008A5491">
        <w:rPr>
          <w:rFonts w:ascii="Arial" w:hAnsi="Arial" w:cs="Arial"/>
          <w:sz w:val="22"/>
          <w:szCs w:val="22"/>
        </w:rPr>
        <w:t xml:space="preserve"> </w:t>
      </w:r>
      <w:hyperlink r:id="rId47" w:history="1">
        <w:r w:rsidR="004A7F19" w:rsidRPr="008A5491">
          <w:rPr>
            <w:rStyle w:val="Hyperlink"/>
            <w:rFonts w:ascii="Arial" w:hAnsi="Arial" w:cs="Arial"/>
            <w:sz w:val="22"/>
            <w:szCs w:val="22"/>
          </w:rPr>
          <w:t>https://doi.org/10.1097/pra.0000000000000640</w:t>
        </w:r>
      </w:hyperlink>
      <w:r w:rsidRPr="008A5491">
        <w:rPr>
          <w:rFonts w:ascii="Arial" w:hAnsi="Arial" w:cs="Arial"/>
          <w:sz w:val="22"/>
          <w:szCs w:val="22"/>
        </w:rPr>
        <w:t>.</w:t>
      </w:r>
      <w:r w:rsidR="004A7F19" w:rsidRPr="008A5491">
        <w:rPr>
          <w:rFonts w:ascii="Arial" w:hAnsi="Arial" w:cs="Arial"/>
          <w:sz w:val="22"/>
          <w:szCs w:val="22"/>
        </w:rPr>
        <w:t xml:space="preserve"> </w:t>
      </w:r>
    </w:p>
    <w:p w14:paraId="467F1760" w14:textId="74A7F7F5"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Wainberg, M.L., Scorza, P., Shultz, J.M., Helpman, L., Mootz, J.J., Johnson, K.A., Neria, Y., Bradford, J.-M.E., Oquendo, M.A. and Arbuckle, M.R. (2019). Challenges and Opportunities in Global Mental Health: a Research-to-Practice Perspective. </w:t>
      </w:r>
      <w:r w:rsidRPr="008A5491">
        <w:rPr>
          <w:rFonts w:ascii="Arial" w:hAnsi="Arial" w:cs="Arial"/>
          <w:i/>
          <w:iCs/>
          <w:sz w:val="22"/>
          <w:szCs w:val="22"/>
        </w:rPr>
        <w:t>Current Psychiatry Reports</w:t>
      </w:r>
      <w:r w:rsidRPr="008A5491">
        <w:rPr>
          <w:rFonts w:ascii="Arial" w:hAnsi="Arial" w:cs="Arial"/>
          <w:sz w:val="22"/>
          <w:szCs w:val="22"/>
        </w:rPr>
        <w:t>, [online] 19(5). doi:</w:t>
      </w:r>
      <w:r w:rsidR="004A7F19" w:rsidRPr="008A5491">
        <w:rPr>
          <w:rFonts w:ascii="Arial" w:hAnsi="Arial" w:cs="Arial"/>
          <w:sz w:val="22"/>
          <w:szCs w:val="22"/>
        </w:rPr>
        <w:t xml:space="preserve"> </w:t>
      </w:r>
      <w:hyperlink r:id="rId48" w:history="1">
        <w:r w:rsidR="004A7F19" w:rsidRPr="008A5491">
          <w:rPr>
            <w:rStyle w:val="Hyperlink"/>
            <w:rFonts w:ascii="Arial" w:hAnsi="Arial" w:cs="Arial"/>
            <w:sz w:val="22"/>
            <w:szCs w:val="22"/>
          </w:rPr>
          <w:t>https://doi.org/10.1007/s11920-017-0780-z</w:t>
        </w:r>
      </w:hyperlink>
      <w:r w:rsidRPr="008A5491">
        <w:rPr>
          <w:rFonts w:ascii="Arial" w:hAnsi="Arial" w:cs="Arial"/>
          <w:sz w:val="22"/>
          <w:szCs w:val="22"/>
        </w:rPr>
        <w:t>.</w:t>
      </w:r>
      <w:r w:rsidR="004A7F19" w:rsidRPr="008A5491">
        <w:rPr>
          <w:rFonts w:ascii="Arial" w:hAnsi="Arial" w:cs="Arial"/>
          <w:sz w:val="22"/>
          <w:szCs w:val="22"/>
        </w:rPr>
        <w:t xml:space="preserve"> </w:t>
      </w:r>
    </w:p>
    <w:p w14:paraId="14B0A6ED" w14:textId="2256689A"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WHO (2010). </w:t>
      </w:r>
      <w:r w:rsidRPr="008A5491">
        <w:rPr>
          <w:rFonts w:ascii="Arial" w:hAnsi="Arial" w:cs="Arial"/>
          <w:i/>
          <w:iCs/>
          <w:sz w:val="22"/>
          <w:szCs w:val="22"/>
        </w:rPr>
        <w:t>ThelCD-10 Classification of Mental and Behavioural Disorders Clinical descriptions and diagnostic guidelines</w:t>
      </w:r>
      <w:r w:rsidRPr="008A5491">
        <w:rPr>
          <w:rFonts w:ascii="Arial" w:hAnsi="Arial" w:cs="Arial"/>
          <w:sz w:val="22"/>
          <w:szCs w:val="22"/>
        </w:rPr>
        <w:t xml:space="preserve">. [online] Available at: </w:t>
      </w:r>
      <w:hyperlink r:id="rId49" w:history="1">
        <w:r w:rsidR="004A7F19" w:rsidRPr="008A5491">
          <w:rPr>
            <w:rStyle w:val="Hyperlink"/>
            <w:rFonts w:ascii="Arial" w:hAnsi="Arial" w:cs="Arial"/>
            <w:sz w:val="22"/>
            <w:szCs w:val="22"/>
          </w:rPr>
          <w:t>https://cdn.who.int/media/docs/default-source/classification/other-classifications/9241544228_eng.pdf</w:t>
        </w:r>
      </w:hyperlink>
      <w:r w:rsidRPr="008A5491">
        <w:rPr>
          <w:rFonts w:ascii="Arial" w:hAnsi="Arial" w:cs="Arial"/>
          <w:sz w:val="22"/>
          <w:szCs w:val="22"/>
        </w:rPr>
        <w:t>.</w:t>
      </w:r>
      <w:r w:rsidR="004A7F19" w:rsidRPr="008A5491">
        <w:rPr>
          <w:rFonts w:ascii="Arial" w:hAnsi="Arial" w:cs="Arial"/>
          <w:sz w:val="22"/>
          <w:szCs w:val="22"/>
        </w:rPr>
        <w:t xml:space="preserve"> </w:t>
      </w:r>
    </w:p>
    <w:p w14:paraId="58009EE6" w14:textId="55ED861A"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World Health Organization (2019). International Classification of Diseases, 11th Revision (ICD-11). </w:t>
      </w:r>
      <w:r w:rsidRPr="008A5491">
        <w:rPr>
          <w:rFonts w:ascii="Arial" w:hAnsi="Arial" w:cs="Arial"/>
          <w:i/>
          <w:iCs/>
          <w:sz w:val="22"/>
          <w:szCs w:val="22"/>
        </w:rPr>
        <w:t>World Health Organization</w:t>
      </w:r>
      <w:r w:rsidRPr="008A5491">
        <w:rPr>
          <w:rFonts w:ascii="Arial" w:hAnsi="Arial" w:cs="Arial"/>
          <w:sz w:val="22"/>
          <w:szCs w:val="22"/>
        </w:rPr>
        <w:t>. [online] doi:</w:t>
      </w:r>
      <w:r w:rsidR="004A7F19" w:rsidRPr="008A5491">
        <w:rPr>
          <w:rFonts w:ascii="Arial" w:hAnsi="Arial" w:cs="Arial"/>
          <w:sz w:val="22"/>
          <w:szCs w:val="22"/>
        </w:rPr>
        <w:t xml:space="preserve"> </w:t>
      </w:r>
      <w:hyperlink r:id="rId50" w:history="1">
        <w:r w:rsidR="004A7F19" w:rsidRPr="008A5491">
          <w:rPr>
            <w:rStyle w:val="Hyperlink"/>
            <w:rFonts w:ascii="Arial" w:hAnsi="Arial" w:cs="Arial"/>
            <w:sz w:val="22"/>
            <w:szCs w:val="22"/>
          </w:rPr>
          <w:t>https://doi.org/entity/classifications/icd/en/index.html</w:t>
        </w:r>
      </w:hyperlink>
      <w:r w:rsidRPr="008A5491">
        <w:rPr>
          <w:rFonts w:ascii="Arial" w:hAnsi="Arial" w:cs="Arial"/>
          <w:sz w:val="22"/>
          <w:szCs w:val="22"/>
        </w:rPr>
        <w:t>.</w:t>
      </w:r>
      <w:r w:rsidR="004A7F19" w:rsidRPr="008A5491">
        <w:rPr>
          <w:rFonts w:ascii="Arial" w:hAnsi="Arial" w:cs="Arial"/>
          <w:sz w:val="22"/>
          <w:szCs w:val="22"/>
        </w:rPr>
        <w:t xml:space="preserve"> </w:t>
      </w:r>
    </w:p>
    <w:p w14:paraId="2ADCBE5D" w14:textId="38744EC2" w:rsidR="0029662C" w:rsidRPr="008A5491" w:rsidRDefault="0029662C" w:rsidP="00E53BDF">
      <w:pPr>
        <w:pStyle w:val="NormalWeb"/>
        <w:spacing w:before="240" w:beforeAutospacing="0" w:after="240" w:afterAutospacing="0" w:line="360" w:lineRule="auto"/>
        <w:rPr>
          <w:rFonts w:ascii="Arial" w:hAnsi="Arial" w:cs="Arial"/>
          <w:sz w:val="22"/>
          <w:szCs w:val="22"/>
        </w:rPr>
      </w:pPr>
      <w:r w:rsidRPr="008A5491">
        <w:rPr>
          <w:rFonts w:ascii="Arial" w:hAnsi="Arial" w:cs="Arial"/>
          <w:sz w:val="22"/>
          <w:szCs w:val="22"/>
        </w:rPr>
        <w:t xml:space="preserve">Yohanna, D. (2013). Deinstitutionalization of People with Mental Illness: Causes and Consequences. </w:t>
      </w:r>
      <w:r w:rsidRPr="008A5491">
        <w:rPr>
          <w:rFonts w:ascii="Arial" w:hAnsi="Arial" w:cs="Arial"/>
          <w:i/>
          <w:iCs/>
          <w:sz w:val="22"/>
          <w:szCs w:val="22"/>
        </w:rPr>
        <w:t>AMA Journal of Ethics</w:t>
      </w:r>
      <w:r w:rsidRPr="008A5491">
        <w:rPr>
          <w:rFonts w:ascii="Arial" w:hAnsi="Arial" w:cs="Arial"/>
          <w:sz w:val="22"/>
          <w:szCs w:val="22"/>
        </w:rPr>
        <w:t>, [online] 15(10), pp.886–891. doi:</w:t>
      </w:r>
      <w:r w:rsidR="004A7F19" w:rsidRPr="008A5491">
        <w:rPr>
          <w:rFonts w:ascii="Arial" w:hAnsi="Arial" w:cs="Arial"/>
          <w:sz w:val="22"/>
          <w:szCs w:val="22"/>
        </w:rPr>
        <w:t xml:space="preserve"> </w:t>
      </w:r>
      <w:hyperlink r:id="rId51" w:history="1">
        <w:r w:rsidR="004A7F19" w:rsidRPr="008A5491">
          <w:rPr>
            <w:rStyle w:val="Hyperlink"/>
            <w:rFonts w:ascii="Arial" w:hAnsi="Arial" w:cs="Arial"/>
            <w:sz w:val="22"/>
            <w:szCs w:val="22"/>
          </w:rPr>
          <w:t>https://doi.org/10.1001/virtualmentor.2013.15.10.mhst1-1310</w:t>
        </w:r>
      </w:hyperlink>
      <w:r w:rsidRPr="008A5491">
        <w:rPr>
          <w:rFonts w:ascii="Arial" w:hAnsi="Arial" w:cs="Arial"/>
          <w:sz w:val="22"/>
          <w:szCs w:val="22"/>
        </w:rPr>
        <w:t>.</w:t>
      </w:r>
      <w:r w:rsidR="004A7F19" w:rsidRPr="008A5491">
        <w:rPr>
          <w:rFonts w:ascii="Arial" w:hAnsi="Arial" w:cs="Arial"/>
          <w:sz w:val="22"/>
          <w:szCs w:val="22"/>
        </w:rPr>
        <w:t xml:space="preserve">  </w:t>
      </w:r>
    </w:p>
    <w:p w14:paraId="3481B13D" w14:textId="77777777" w:rsidR="00035DD9" w:rsidRPr="008A5491" w:rsidRDefault="00035DD9" w:rsidP="00E53BDF">
      <w:pPr>
        <w:pStyle w:val="Heading3"/>
        <w:spacing w:before="240" w:beforeAutospacing="0" w:after="240" w:afterAutospacing="0" w:line="360" w:lineRule="auto"/>
        <w:rPr>
          <w:sz w:val="28"/>
          <w:szCs w:val="28"/>
        </w:rPr>
      </w:pPr>
    </w:p>
    <w:sectPr w:rsidR="00035DD9" w:rsidRPr="008A5491" w:rsidSect="00F25419">
      <w:headerReference w:type="default" r:id="rId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7D9DC" w14:textId="77777777" w:rsidR="00DC526E" w:rsidRDefault="00DC526E" w:rsidP="000E527B">
      <w:pPr>
        <w:spacing w:after="0" w:line="240" w:lineRule="auto"/>
      </w:pPr>
      <w:r>
        <w:separator/>
      </w:r>
    </w:p>
  </w:endnote>
  <w:endnote w:type="continuationSeparator" w:id="0">
    <w:p w14:paraId="78317DB3" w14:textId="77777777" w:rsidR="00DC526E" w:rsidRDefault="00DC526E" w:rsidP="000E5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CB28F" w14:textId="77777777" w:rsidR="00DC526E" w:rsidRDefault="00DC526E" w:rsidP="000E527B">
      <w:pPr>
        <w:spacing w:after="0" w:line="240" w:lineRule="auto"/>
      </w:pPr>
      <w:r>
        <w:separator/>
      </w:r>
    </w:p>
  </w:footnote>
  <w:footnote w:type="continuationSeparator" w:id="0">
    <w:p w14:paraId="5D09B79A" w14:textId="77777777" w:rsidR="00DC526E" w:rsidRDefault="00DC526E" w:rsidP="000E5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7194786"/>
      <w:docPartObj>
        <w:docPartGallery w:val="Page Numbers (Top of Page)"/>
        <w:docPartUnique/>
      </w:docPartObj>
    </w:sdtPr>
    <w:sdtEndPr/>
    <w:sdtContent>
      <w:p w14:paraId="2FEB857B" w14:textId="52F4C1C3" w:rsidR="000E527B" w:rsidRDefault="000E527B">
        <w:pPr>
          <w:pStyle w:val="Header"/>
          <w:jc w:val="center"/>
        </w:pPr>
        <w:r>
          <w:fldChar w:fldCharType="begin"/>
        </w:r>
        <w:r>
          <w:instrText>PAGE   \* MERGEFORMAT</w:instrText>
        </w:r>
        <w:r>
          <w:fldChar w:fldCharType="separate"/>
        </w:r>
        <w:r>
          <w:rPr>
            <w:lang w:val="en-GB"/>
          </w:rPr>
          <w:t>2</w:t>
        </w:r>
        <w:r>
          <w:fldChar w:fldCharType="end"/>
        </w:r>
      </w:p>
    </w:sdtContent>
  </w:sdt>
  <w:p w14:paraId="0D01737A" w14:textId="77777777" w:rsidR="000E527B" w:rsidRDefault="000E52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195737"/>
    <w:multiLevelType w:val="hybridMultilevel"/>
    <w:tmpl w:val="48903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67985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27B"/>
    <w:rsid w:val="00035DD9"/>
    <w:rsid w:val="000461D8"/>
    <w:rsid w:val="00062FC0"/>
    <w:rsid w:val="00094B45"/>
    <w:rsid w:val="000D1B66"/>
    <w:rsid w:val="000E527B"/>
    <w:rsid w:val="00171A6E"/>
    <w:rsid w:val="001763D0"/>
    <w:rsid w:val="00215EF2"/>
    <w:rsid w:val="0029662C"/>
    <w:rsid w:val="00303050"/>
    <w:rsid w:val="0031489E"/>
    <w:rsid w:val="00366A53"/>
    <w:rsid w:val="00402401"/>
    <w:rsid w:val="004A7F19"/>
    <w:rsid w:val="004E0540"/>
    <w:rsid w:val="00513FE4"/>
    <w:rsid w:val="0052479A"/>
    <w:rsid w:val="005F363B"/>
    <w:rsid w:val="00682869"/>
    <w:rsid w:val="006970E9"/>
    <w:rsid w:val="006E3B7F"/>
    <w:rsid w:val="006F49F0"/>
    <w:rsid w:val="00731E28"/>
    <w:rsid w:val="00767D2A"/>
    <w:rsid w:val="00775E7C"/>
    <w:rsid w:val="007B7F1E"/>
    <w:rsid w:val="007D5A4C"/>
    <w:rsid w:val="007E35F6"/>
    <w:rsid w:val="00853DBD"/>
    <w:rsid w:val="0088598B"/>
    <w:rsid w:val="0088633D"/>
    <w:rsid w:val="008961ED"/>
    <w:rsid w:val="008A22EE"/>
    <w:rsid w:val="008A5491"/>
    <w:rsid w:val="008F6967"/>
    <w:rsid w:val="00913669"/>
    <w:rsid w:val="00935CA4"/>
    <w:rsid w:val="0094301E"/>
    <w:rsid w:val="009C16C0"/>
    <w:rsid w:val="009E55FE"/>
    <w:rsid w:val="00A4515A"/>
    <w:rsid w:val="00A52299"/>
    <w:rsid w:val="00A56F83"/>
    <w:rsid w:val="00A7280E"/>
    <w:rsid w:val="00A74399"/>
    <w:rsid w:val="00A76550"/>
    <w:rsid w:val="00B43FBB"/>
    <w:rsid w:val="00B83C61"/>
    <w:rsid w:val="00BB30AC"/>
    <w:rsid w:val="00BC0633"/>
    <w:rsid w:val="00BD0FAB"/>
    <w:rsid w:val="00C10AD3"/>
    <w:rsid w:val="00C43F9B"/>
    <w:rsid w:val="00C63292"/>
    <w:rsid w:val="00C645BD"/>
    <w:rsid w:val="00D05812"/>
    <w:rsid w:val="00D43C10"/>
    <w:rsid w:val="00D530C3"/>
    <w:rsid w:val="00DA1F23"/>
    <w:rsid w:val="00DC526E"/>
    <w:rsid w:val="00DD2F92"/>
    <w:rsid w:val="00DF1963"/>
    <w:rsid w:val="00DF70CE"/>
    <w:rsid w:val="00E04150"/>
    <w:rsid w:val="00E05191"/>
    <w:rsid w:val="00E31BC2"/>
    <w:rsid w:val="00E35109"/>
    <w:rsid w:val="00E53BDF"/>
    <w:rsid w:val="00E90BA7"/>
    <w:rsid w:val="00E95878"/>
    <w:rsid w:val="00EA3235"/>
    <w:rsid w:val="00EB17B1"/>
    <w:rsid w:val="00EE1327"/>
    <w:rsid w:val="00F04C2F"/>
    <w:rsid w:val="00F25419"/>
    <w:rsid w:val="00F909C1"/>
    <w:rsid w:val="00FB2C1B"/>
    <w:rsid w:val="00FC59C2"/>
    <w:rsid w:val="00FD7C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194AA"/>
  <w15:chartTrackingRefBased/>
  <w15:docId w15:val="{2D595186-6B9B-438D-8798-F267B553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6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35DD9"/>
    <w:pPr>
      <w:spacing w:before="100" w:beforeAutospacing="1" w:after="100" w:afterAutospacing="1" w:line="240" w:lineRule="auto"/>
      <w:outlineLvl w:val="2"/>
    </w:pPr>
    <w:rPr>
      <w:rFonts w:ascii="Times New Roman" w:eastAsia="Times New Roman" w:hAnsi="Times New Roman" w:cs="Times New Roman"/>
      <w:b/>
      <w:bCs/>
      <w:kern w:val="0"/>
      <w:sz w:val="27"/>
      <w:szCs w:val="27"/>
      <w:lang w:val="en-GB"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52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27B"/>
  </w:style>
  <w:style w:type="paragraph" w:styleId="Footer">
    <w:name w:val="footer"/>
    <w:basedOn w:val="Normal"/>
    <w:link w:val="FooterChar"/>
    <w:uiPriority w:val="99"/>
    <w:unhideWhenUsed/>
    <w:rsid w:val="000E52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27B"/>
  </w:style>
  <w:style w:type="character" w:customStyle="1" w:styleId="Heading3Char">
    <w:name w:val="Heading 3 Char"/>
    <w:basedOn w:val="DefaultParagraphFont"/>
    <w:link w:val="Heading3"/>
    <w:uiPriority w:val="9"/>
    <w:rsid w:val="00035DD9"/>
    <w:rPr>
      <w:rFonts w:ascii="Times New Roman" w:eastAsia="Times New Roman" w:hAnsi="Times New Roman" w:cs="Times New Roman"/>
      <w:b/>
      <w:bCs/>
      <w:kern w:val="0"/>
      <w:sz w:val="27"/>
      <w:szCs w:val="27"/>
      <w:lang w:val="en-GB" w:eastAsia="en-GB"/>
      <w14:ligatures w14:val="none"/>
    </w:rPr>
  </w:style>
  <w:style w:type="paragraph" w:styleId="NormalWeb">
    <w:name w:val="Normal (Web)"/>
    <w:basedOn w:val="Normal"/>
    <w:uiPriority w:val="99"/>
    <w:unhideWhenUsed/>
    <w:rsid w:val="00035DD9"/>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1Char">
    <w:name w:val="Heading 1 Char"/>
    <w:basedOn w:val="DefaultParagraphFont"/>
    <w:link w:val="Heading1"/>
    <w:uiPriority w:val="9"/>
    <w:rsid w:val="0029662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662C"/>
    <w:pPr>
      <w:outlineLvl w:val="9"/>
    </w:pPr>
    <w:rPr>
      <w:kern w:val="0"/>
      <w:lang w:val="en-GB" w:eastAsia="en-GB"/>
      <w14:ligatures w14:val="none"/>
    </w:rPr>
  </w:style>
  <w:style w:type="paragraph" w:styleId="TOC1">
    <w:name w:val="toc 1"/>
    <w:basedOn w:val="Normal"/>
    <w:next w:val="Normal"/>
    <w:autoRedefine/>
    <w:uiPriority w:val="39"/>
    <w:unhideWhenUsed/>
    <w:rsid w:val="0029662C"/>
    <w:pPr>
      <w:spacing w:after="100"/>
    </w:pPr>
  </w:style>
  <w:style w:type="character" w:styleId="Hyperlink">
    <w:name w:val="Hyperlink"/>
    <w:basedOn w:val="DefaultParagraphFont"/>
    <w:uiPriority w:val="99"/>
    <w:unhideWhenUsed/>
    <w:rsid w:val="0029662C"/>
    <w:rPr>
      <w:color w:val="0563C1" w:themeColor="hyperlink"/>
      <w:u w:val="single"/>
    </w:rPr>
  </w:style>
  <w:style w:type="character" w:styleId="UnresolvedMention">
    <w:name w:val="Unresolved Mention"/>
    <w:basedOn w:val="DefaultParagraphFont"/>
    <w:uiPriority w:val="99"/>
    <w:semiHidden/>
    <w:unhideWhenUsed/>
    <w:rsid w:val="004A7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507922">
      <w:bodyDiv w:val="1"/>
      <w:marLeft w:val="0"/>
      <w:marRight w:val="0"/>
      <w:marTop w:val="0"/>
      <w:marBottom w:val="0"/>
      <w:divBdr>
        <w:top w:val="none" w:sz="0" w:space="0" w:color="auto"/>
        <w:left w:val="none" w:sz="0" w:space="0" w:color="auto"/>
        <w:bottom w:val="none" w:sz="0" w:space="0" w:color="auto"/>
        <w:right w:val="none" w:sz="0" w:space="0" w:color="auto"/>
      </w:divBdr>
    </w:div>
    <w:div w:id="1323774131">
      <w:bodyDiv w:val="1"/>
      <w:marLeft w:val="0"/>
      <w:marRight w:val="0"/>
      <w:marTop w:val="0"/>
      <w:marBottom w:val="0"/>
      <w:divBdr>
        <w:top w:val="none" w:sz="0" w:space="0" w:color="auto"/>
        <w:left w:val="none" w:sz="0" w:space="0" w:color="auto"/>
        <w:bottom w:val="none" w:sz="0" w:space="0" w:color="auto"/>
        <w:right w:val="none" w:sz="0" w:space="0" w:color="auto"/>
      </w:divBdr>
    </w:div>
    <w:div w:id="1672173981">
      <w:bodyDiv w:val="1"/>
      <w:marLeft w:val="0"/>
      <w:marRight w:val="0"/>
      <w:marTop w:val="0"/>
      <w:marBottom w:val="0"/>
      <w:divBdr>
        <w:top w:val="none" w:sz="0" w:space="0" w:color="auto"/>
        <w:left w:val="none" w:sz="0" w:space="0" w:color="auto"/>
        <w:bottom w:val="none" w:sz="0" w:space="0" w:color="auto"/>
        <w:right w:val="none" w:sz="0" w:space="0" w:color="auto"/>
      </w:divBdr>
    </w:div>
    <w:div w:id="2119327573">
      <w:bodyDiv w:val="1"/>
      <w:marLeft w:val="0"/>
      <w:marRight w:val="0"/>
      <w:marTop w:val="0"/>
      <w:marBottom w:val="0"/>
      <w:divBdr>
        <w:top w:val="none" w:sz="0" w:space="0" w:color="auto"/>
        <w:left w:val="none" w:sz="0" w:space="0" w:color="auto"/>
        <w:bottom w:val="none" w:sz="0" w:space="0" w:color="auto"/>
        <w:right w:val="none" w:sz="0" w:space="0" w:color="auto"/>
      </w:divBdr>
      <w:divsChild>
        <w:div w:id="1411653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books/NBK554406/" TargetMode="External" /><Relationship Id="rId18" Type="http://schemas.openxmlformats.org/officeDocument/2006/relationships/hyperlink" Target="https://eurohealthobservatory.who.int/publications/i/united-kingdom-health-system-summary" TargetMode="External" /><Relationship Id="rId26" Type="http://schemas.openxmlformats.org/officeDocument/2006/relationships/hyperlink" Target="https://www.webmd.com/depression/ssris-myths-and-facts-about-antidepressants" TargetMode="External" /><Relationship Id="rId39" Type="http://schemas.openxmlformats.org/officeDocument/2006/relationships/hyperlink" Target="https://www.nhs.uk/conditions/obsessive-compulsive-disorder-ocd/" TargetMode="External" /><Relationship Id="rId3" Type="http://schemas.openxmlformats.org/officeDocument/2006/relationships/styles" Target="styles.xml" /><Relationship Id="rId21" Type="http://schemas.openxmlformats.org/officeDocument/2006/relationships/hyperlink" Target="https://www.ncbi.nlm.nih.gov/pmc/articles/PMC4098094/" TargetMode="External" /><Relationship Id="rId34" Type="http://schemas.openxmlformats.org/officeDocument/2006/relationships/hyperlink" Target="https://doi.org/10.1002/da.20669" TargetMode="External" /><Relationship Id="rId42" Type="http://schemas.openxmlformats.org/officeDocument/2006/relationships/hyperlink" Target="https://onlinelibrary.wiley.com/doi/full/10.1002/wps.20611" TargetMode="External" /><Relationship Id="rId47" Type="http://schemas.openxmlformats.org/officeDocument/2006/relationships/hyperlink" Target="https://doi.org/10.1097/pra.0000000000000640" TargetMode="External" /><Relationship Id="rId50" Type="http://schemas.openxmlformats.org/officeDocument/2006/relationships/hyperlink" Target="https://doi.org/entity/classifications/icd/en/index.html" TargetMode="External" /><Relationship Id="rId7" Type="http://schemas.openxmlformats.org/officeDocument/2006/relationships/endnotes" Target="endnotes.xml" /><Relationship Id="rId12" Type="http://schemas.openxmlformats.org/officeDocument/2006/relationships/hyperlink" Target="https://doi.org/10.1016/j.invent.2022.100560" TargetMode="External" /><Relationship Id="rId17" Type="http://schemas.openxmlformats.org/officeDocument/2006/relationships/hyperlink" Target="https://doi.org/10.3389/fdgth.2023.1139125" TargetMode="External" /><Relationship Id="rId25" Type="http://schemas.openxmlformats.org/officeDocument/2006/relationships/hyperlink" Target="https://doi.org/10.4103/psychiatry.indianjpsychiatry_516_18" TargetMode="External" /><Relationship Id="rId33" Type="http://schemas.openxmlformats.org/officeDocument/2006/relationships/hyperlink" Target="https://doi.org/10.2147/prbm.s211117" TargetMode="External" /><Relationship Id="rId38" Type="http://schemas.openxmlformats.org/officeDocument/2006/relationships/hyperlink" Target="https://www.england.nhs.uk/wp-content/uploads/2016/07/fyfv-mh.pdf" TargetMode="External" /><Relationship Id="rId46" Type="http://schemas.openxmlformats.org/officeDocument/2006/relationships/hyperlink" Target="https://doi.org/10.1017/mdh.2015.48" TargetMode="External" /><Relationship Id="rId2" Type="http://schemas.openxmlformats.org/officeDocument/2006/relationships/numbering" Target="numbering.xml" /><Relationship Id="rId16" Type="http://schemas.openxmlformats.org/officeDocument/2006/relationships/hyperlink" Target="https://doi.org/10.1176/appi.focus.20200045" TargetMode="External" /><Relationship Id="rId20" Type="http://schemas.openxmlformats.org/officeDocument/2006/relationships/hyperlink" Target="https://doi.org/10.1097/yic.0000000000000314" TargetMode="External" /><Relationship Id="rId29" Type="http://schemas.openxmlformats.org/officeDocument/2006/relationships/hyperlink" Target="https://www.ncbi.nlm.nih.gov/pmc/articles/PMC2598235/" TargetMode="External" /><Relationship Id="rId41" Type="http://schemas.openxmlformats.org/officeDocument/2006/relationships/hyperlink" Target="https://doi.org/10.1136/bmjopen-2015-009118" TargetMode="External" /><Relationship Id="rId54"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1016/j.comppsych.2022.152357" TargetMode="External" /><Relationship Id="rId24" Type="http://schemas.openxmlformats.org/officeDocument/2006/relationships/hyperlink" Target="https://www.healthline.com/health/ocd/is-ocd-an-anxiety-disorder" TargetMode="External" /><Relationship Id="rId32" Type="http://schemas.openxmlformats.org/officeDocument/2006/relationships/hyperlink" Target="https://doi.org/10.3390/ijerph15061279" TargetMode="External" /><Relationship Id="rId37" Type="http://schemas.openxmlformats.org/officeDocument/2006/relationships/hyperlink" Target="https://www.nimh.nih.gov/health/topics/obsessive-compulsive-disorder-ocd" TargetMode="External" /><Relationship Id="rId40" Type="http://schemas.openxmlformats.org/officeDocument/2006/relationships/hyperlink" Target="https://doi.org/10.1176/appi.ps.201400080" TargetMode="External" /><Relationship Id="rId45" Type="http://schemas.openxmlformats.org/officeDocument/2006/relationships/hyperlink" Target="https://pubmed.ncbi.nlm.nih.gov/24887372/" TargetMode="External" /><Relationship Id="rId53"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doi.org/10.1016/s0140-6736(17)32133-5" TargetMode="External" /><Relationship Id="rId23" Type="http://schemas.openxmlformats.org/officeDocument/2006/relationships/hyperlink" Target="https://www.jstor.org/stable/29511048" TargetMode="External" /><Relationship Id="rId28" Type="http://schemas.openxmlformats.org/officeDocument/2006/relationships/hyperlink" Target="https://doi.org/10.3389/fpsyg.2019.01713" TargetMode="External" /><Relationship Id="rId36" Type="http://schemas.openxmlformats.org/officeDocument/2006/relationships/hyperlink" Target="https://www.nimh.nih.gov/health/publications/panic-disorder-when-fear-overwhelms" TargetMode="External" /><Relationship Id="rId49" Type="http://schemas.openxmlformats.org/officeDocument/2006/relationships/hyperlink" Target="https://cdn.who.int/media/docs/default-source/classification/other-classifications/9241544228_eng.pdf" TargetMode="External" /><Relationship Id="rId10" Type="http://schemas.openxmlformats.org/officeDocument/2006/relationships/hyperlink" Target="https://www.ncbi.nlm.nih.gov/books/NBK553162/" TargetMode="External" /><Relationship Id="rId19" Type="http://schemas.openxmlformats.org/officeDocument/2006/relationships/hyperlink" Target="https://www.webmd.com/mental-health/obsessive-compulsive-disorder" TargetMode="External" /><Relationship Id="rId31" Type="http://schemas.openxmlformats.org/officeDocument/2006/relationships/hyperlink" Target="https://research.manchester.ac.uk/files/64901281/FULL_TEXT.PDF" TargetMode="External" /><Relationship Id="rId44" Type="http://schemas.openxmlformats.org/officeDocument/2006/relationships/hyperlink" Target="https://www.ncbi.nlm.nih.gov/books/NBK519704/table/ch3.t15/" TargetMode="External" /><Relationship Id="rId52"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https://doi.org/10.1080/2156857x.2020.1868553" TargetMode="External" /><Relationship Id="rId14" Type="http://schemas.openxmlformats.org/officeDocument/2006/relationships/hyperlink" Target="https://doi.org/10.1146/annurev-clinpsy-050817-084833" TargetMode="External" /><Relationship Id="rId22" Type="http://schemas.openxmlformats.org/officeDocument/2006/relationships/hyperlink" Target="https://doi.org/10.1503/cmaj.150007" TargetMode="External" /><Relationship Id="rId27" Type="http://schemas.openxmlformats.org/officeDocument/2006/relationships/hyperlink" Target="https://doi.org/10.1186/s13033-024-00625-x" TargetMode="External" /><Relationship Id="rId30" Type="http://schemas.openxmlformats.org/officeDocument/2006/relationships/hyperlink" Target="https://doi.org/10.31887/DCNS.2015.17.3/akaczkurkin" TargetMode="External" /><Relationship Id="rId35" Type="http://schemas.openxmlformats.org/officeDocument/2006/relationships/hyperlink" Target="https://www.ncbi.nlm.nih.gov/books/NBK56452/" TargetMode="External" /><Relationship Id="rId43" Type="http://schemas.openxmlformats.org/officeDocument/2006/relationships/hyperlink" Target="https://doi.org/10.1016/j.comppsych.2015.08.007" TargetMode="External" /><Relationship Id="rId48" Type="http://schemas.openxmlformats.org/officeDocument/2006/relationships/hyperlink" Target="https://doi.org/10.1007/s11920-017-0780-z" TargetMode="External" /><Relationship Id="rId8" Type="http://schemas.openxmlformats.org/officeDocument/2006/relationships/image" Target="media/image1.png" /><Relationship Id="rId51" Type="http://schemas.openxmlformats.org/officeDocument/2006/relationships/hyperlink" Target="https://doi.org/10.1001/virtualmentor.2013.15.10.mhst1-131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0BA88-AE9B-4E37-89EC-856293D025E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4527</Words>
  <Characters>32722</Characters>
  <Application>Microsoft Office Word</Application>
  <DocSecurity>0</DocSecurity>
  <Lines>272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Shahida Yasmin</cp:lastModifiedBy>
  <cp:revision>2</cp:revision>
  <dcterms:created xsi:type="dcterms:W3CDTF">2024-07-26T12:18:00Z</dcterms:created>
  <dcterms:modified xsi:type="dcterms:W3CDTF">2024-07-26T12:18:00Z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060fff15-1abc-409e-873c-4914b9f9e53b</vt:lpwstr>
  </property>
</Properties>
</file>