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045C5" w14:textId="0162ADF3" w:rsidR="004C00D8" w:rsidRDefault="007760BD" w:rsidP="004C00D8">
      <w:pPr>
        <w:spacing w:before="1800"/>
        <w:jc w:val="center"/>
        <w:rPr>
          <w:b/>
          <w:sz w:val="30"/>
        </w:rPr>
      </w:pPr>
      <w:r>
        <w:rPr>
          <w:b/>
          <w:sz w:val="30"/>
        </w:rPr>
        <w:t>UNIVERSITY OF WALES</w:t>
      </w:r>
      <w:r>
        <w:rPr>
          <w:b/>
          <w:sz w:val="30"/>
        </w:rPr>
        <w:br/>
        <w:t>TRINITY SAINT DAVID</w:t>
      </w:r>
    </w:p>
    <w:p w14:paraId="49B2F996" w14:textId="77777777" w:rsidR="004C00D8" w:rsidRPr="004C00D8" w:rsidRDefault="004C00D8" w:rsidP="004C00D8">
      <w:pPr>
        <w:spacing w:before="1800"/>
        <w:jc w:val="center"/>
        <w:rPr>
          <w:b/>
          <w:sz w:val="30"/>
        </w:rPr>
      </w:pPr>
    </w:p>
    <w:p w14:paraId="48599C10" w14:textId="77777777" w:rsidR="00A22CBD" w:rsidRDefault="007760BD">
      <w:pPr>
        <w:spacing w:before="240"/>
        <w:jc w:val="center"/>
        <w:rPr>
          <w:b/>
          <w:sz w:val="32"/>
        </w:rPr>
      </w:pPr>
      <w:r>
        <w:rPr>
          <w:b/>
          <w:sz w:val="32"/>
        </w:rPr>
        <w:t>S</w:t>
      </w:r>
      <w:r>
        <w:rPr>
          <w:b/>
          <w:sz w:val="32"/>
        </w:rPr>
        <w:t>pecification Report</w:t>
      </w:r>
    </w:p>
    <w:p w14:paraId="2F7DCF9F" w14:textId="3DE25FE4" w:rsidR="00E537B8" w:rsidRDefault="00E537B8">
      <w:pPr>
        <w:spacing w:before="240"/>
        <w:jc w:val="center"/>
      </w:pPr>
      <w:r>
        <w:rPr>
          <w:b/>
          <w:sz w:val="32"/>
        </w:rPr>
        <w:t xml:space="preserve">BSc APPLIED Computing </w:t>
      </w:r>
    </w:p>
    <w:p w14:paraId="34D31E61" w14:textId="0A4DCAD1" w:rsidR="00E537B8" w:rsidRDefault="00E537B8">
      <w:pPr>
        <w:spacing w:before="240"/>
        <w:jc w:val="center"/>
      </w:pPr>
      <w:r>
        <w:t>Business and Web Management ACCA5019</w:t>
      </w:r>
    </w:p>
    <w:p w14:paraId="63BEFFBB" w14:textId="77777777" w:rsidR="00A22CBD" w:rsidRDefault="007760BD">
      <w:pPr>
        <w:spacing w:before="240"/>
        <w:jc w:val="center"/>
      </w:pPr>
      <w:r>
        <w:t>Student: Gabriel Mendy Gbonegun</w:t>
      </w:r>
    </w:p>
    <w:p w14:paraId="7776604F" w14:textId="3D195659" w:rsidR="00E537B8" w:rsidRDefault="00E537B8">
      <w:pPr>
        <w:spacing w:before="240"/>
        <w:jc w:val="center"/>
      </w:pPr>
      <w:r>
        <w:t>STUDENT ID: 2426964</w:t>
      </w:r>
    </w:p>
    <w:p w14:paraId="3DC8AF32" w14:textId="10D6B110" w:rsidR="00E537B8" w:rsidRDefault="00E537B8">
      <w:pPr>
        <w:spacing w:before="240"/>
        <w:jc w:val="center"/>
      </w:pPr>
      <w:r>
        <w:t>LECTURE: DR MOBOLANLE BELLO</w:t>
      </w:r>
    </w:p>
    <w:p w14:paraId="5C25DC43" w14:textId="59313D6F" w:rsidR="00F70C6A" w:rsidRDefault="00F70C6A" w:rsidP="00F70C6A">
      <w:pPr>
        <w:spacing w:before="240"/>
        <w:jc w:val="center"/>
      </w:pPr>
    </w:p>
    <w:p w14:paraId="3356E156" w14:textId="77777777" w:rsidR="00F70C6A" w:rsidRDefault="00F70C6A" w:rsidP="00F70C6A">
      <w:pPr>
        <w:spacing w:before="240"/>
      </w:pPr>
    </w:p>
    <w:p w14:paraId="140E145F" w14:textId="77777777" w:rsidR="00F70C6A" w:rsidRDefault="00F70C6A" w:rsidP="00F70C6A">
      <w:pPr>
        <w:spacing w:before="240"/>
      </w:pPr>
    </w:p>
    <w:p w14:paraId="01E5B27E" w14:textId="77777777" w:rsidR="00F70C6A" w:rsidRDefault="00F70C6A" w:rsidP="00F70C6A">
      <w:pPr>
        <w:spacing w:before="240"/>
      </w:pPr>
    </w:p>
    <w:p w14:paraId="069B3E7A" w14:textId="77777777" w:rsidR="00F70C6A" w:rsidRDefault="00F70C6A" w:rsidP="00F70C6A">
      <w:pPr>
        <w:spacing w:before="240"/>
      </w:pPr>
    </w:p>
    <w:p w14:paraId="1FBC853D" w14:textId="77777777" w:rsidR="00F70C6A" w:rsidRDefault="00F70C6A" w:rsidP="00F70C6A">
      <w:pPr>
        <w:spacing w:before="240"/>
      </w:pPr>
    </w:p>
    <w:p w14:paraId="04D1DFC7" w14:textId="77777777" w:rsidR="00F70C6A" w:rsidRDefault="00F70C6A" w:rsidP="00F70C6A">
      <w:pPr>
        <w:spacing w:before="240"/>
      </w:pPr>
    </w:p>
    <w:p w14:paraId="653B99EF" w14:textId="77777777" w:rsidR="00F70C6A" w:rsidRDefault="00F70C6A" w:rsidP="00F70C6A">
      <w:pPr>
        <w:spacing w:before="240"/>
      </w:pPr>
    </w:p>
    <w:p w14:paraId="5B2BBEC3" w14:textId="77777777" w:rsidR="00F70C6A" w:rsidRDefault="00F70C6A" w:rsidP="00F70C6A">
      <w:pPr>
        <w:spacing w:before="240"/>
      </w:pPr>
    </w:p>
    <w:p w14:paraId="5E5CF2FB" w14:textId="77777777" w:rsidR="00F70C6A" w:rsidRDefault="00F70C6A" w:rsidP="00F70C6A">
      <w:pPr>
        <w:spacing w:before="240"/>
      </w:pPr>
    </w:p>
    <w:p w14:paraId="125D43C8" w14:textId="77777777" w:rsidR="00F70C6A" w:rsidRDefault="00F70C6A" w:rsidP="00F70C6A">
      <w:pPr>
        <w:spacing w:before="240"/>
      </w:pPr>
    </w:p>
    <w:p w14:paraId="11D0C0C5" w14:textId="77777777" w:rsidR="00F70C6A" w:rsidRDefault="00F70C6A" w:rsidP="004C00D8">
      <w:pPr>
        <w:spacing w:before="240"/>
      </w:pPr>
    </w:p>
    <w:p w14:paraId="3735E4C4" w14:textId="77777777" w:rsidR="00F978C0" w:rsidRDefault="00F978C0" w:rsidP="00564C9B">
      <w:pPr>
        <w:rPr>
          <w:rFonts w:asciiTheme="majorHAnsi" w:hAnsiTheme="majorHAnsi" w:cstheme="majorHAnsi"/>
          <w:color w:val="000000" w:themeColor="text1"/>
        </w:rPr>
      </w:pPr>
    </w:p>
    <w:p w14:paraId="3D27E293" w14:textId="6D9ED440" w:rsidR="008A4E04" w:rsidRPr="00E537B8" w:rsidRDefault="00E537B8" w:rsidP="00564C9B">
      <w:pPr>
        <w:rPr>
          <w:rFonts w:asciiTheme="majorHAnsi" w:hAnsiTheme="majorHAnsi" w:cstheme="majorHAnsi"/>
          <w:b/>
          <w:bCs/>
          <w:color w:val="000000" w:themeColor="text1"/>
          <w:u w:val="single"/>
        </w:rPr>
      </w:pPr>
      <w:r w:rsidRPr="00E537B8">
        <w:rPr>
          <w:rFonts w:asciiTheme="majorHAnsi" w:hAnsiTheme="majorHAnsi" w:cstheme="majorHAnsi"/>
          <w:b/>
          <w:bCs/>
          <w:color w:val="000000" w:themeColor="text1"/>
          <w:u w:val="single"/>
        </w:rPr>
        <w:t>Table of content</w:t>
      </w:r>
    </w:p>
    <w:p w14:paraId="35E8287A" w14:textId="06C7CF9B" w:rsidR="00E537B8" w:rsidRP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 xml:space="preserve">1.0 </w:t>
      </w:r>
      <w:r w:rsidRPr="00E537B8">
        <w:rPr>
          <w:rFonts w:asciiTheme="majorHAnsi" w:hAnsiTheme="majorHAnsi" w:cstheme="majorHAnsi"/>
          <w:color w:val="000000" w:themeColor="text1"/>
        </w:rPr>
        <w:t>Induction</w:t>
      </w:r>
    </w:p>
    <w:p w14:paraId="2BA1994C" w14:textId="3A7415EC" w:rsidR="00E537B8" w:rsidRP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 xml:space="preserve">2.0 </w:t>
      </w:r>
      <w:r w:rsidRPr="00E537B8">
        <w:rPr>
          <w:rFonts w:asciiTheme="majorHAnsi" w:hAnsiTheme="majorHAnsi" w:cstheme="majorHAnsi"/>
          <w:color w:val="000000" w:themeColor="text1"/>
        </w:rPr>
        <w:t>Well care connect Website redesign</w:t>
      </w:r>
    </w:p>
    <w:p w14:paraId="6FD343DB" w14:textId="76DE830A" w:rsidR="00E537B8" w:rsidRPr="00E537B8" w:rsidRDefault="00E537B8" w:rsidP="00E537B8">
      <w:pPr>
        <w:rPr>
          <w:rFonts w:asciiTheme="majorHAnsi" w:hAnsiTheme="majorHAnsi" w:cstheme="majorHAnsi"/>
          <w:color w:val="000000" w:themeColor="text1"/>
        </w:rPr>
      </w:pPr>
      <w:r w:rsidRPr="00E537B8">
        <w:rPr>
          <w:rFonts w:asciiTheme="majorHAnsi" w:hAnsiTheme="majorHAnsi" w:cstheme="majorHAnsi"/>
          <w:color w:val="000000" w:themeColor="text1"/>
        </w:rPr>
        <w:t>2.1 Navigation service Discovery and Booking</w:t>
      </w:r>
    </w:p>
    <w:p w14:paraId="6E77A455" w14:textId="15CC5A1C"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2.2 Accessibility and Clear information</w:t>
      </w:r>
    </w:p>
    <w:p w14:paraId="153CA0B2" w14:textId="64D731CD"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2.3 Trust and patient information</w:t>
      </w:r>
    </w:p>
    <w:p w14:paraId="0DE92429" w14:textId="2D495D11"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 xml:space="preserve">2.4Slow Loading and performance </w:t>
      </w:r>
    </w:p>
    <w:p w14:paraId="53268878" w14:textId="4976EB8D"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3.0 Responsive Design Implementation</w:t>
      </w:r>
    </w:p>
    <w:p w14:paraId="034B0FE6" w14:textId="532A6B18"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3.1 Implications for E-Commerce User experiences</w:t>
      </w:r>
    </w:p>
    <w:p w14:paraId="7474204F" w14:textId="51E347AE"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3.2 implications for E-Commerce Mobile sales</w:t>
      </w:r>
    </w:p>
    <w:p w14:paraId="61D27EAD" w14:textId="64299F90"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4.0 Implantation section</w:t>
      </w:r>
    </w:p>
    <w:p w14:paraId="6A48AA2A" w14:textId="7D0D0457"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4.1Moodboard and Wireframe Design</w:t>
      </w:r>
    </w:p>
    <w:p w14:paraId="1A3FA7A3" w14:textId="2B982060" w:rsid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4.2 Design Evidence</w:t>
      </w:r>
    </w:p>
    <w:p w14:paraId="670F20C8" w14:textId="244E8848" w:rsidR="00E537B8" w:rsidRPr="00E537B8" w:rsidRDefault="00E537B8" w:rsidP="00E537B8">
      <w:pPr>
        <w:rPr>
          <w:rFonts w:asciiTheme="majorHAnsi" w:hAnsiTheme="majorHAnsi" w:cstheme="majorHAnsi"/>
          <w:color w:val="000000" w:themeColor="text1"/>
        </w:rPr>
      </w:pPr>
      <w:r>
        <w:rPr>
          <w:rFonts w:asciiTheme="majorHAnsi" w:hAnsiTheme="majorHAnsi" w:cstheme="majorHAnsi"/>
          <w:color w:val="000000" w:themeColor="text1"/>
        </w:rPr>
        <w:t>References</w:t>
      </w:r>
    </w:p>
    <w:p w14:paraId="36DF7BE1" w14:textId="77777777" w:rsidR="008A4E04" w:rsidRDefault="008A4E04" w:rsidP="00564C9B">
      <w:pPr>
        <w:rPr>
          <w:rFonts w:asciiTheme="majorHAnsi" w:hAnsiTheme="majorHAnsi" w:cstheme="majorHAnsi"/>
          <w:color w:val="000000" w:themeColor="text1"/>
        </w:rPr>
      </w:pPr>
    </w:p>
    <w:p w14:paraId="3BF729A8" w14:textId="77777777" w:rsidR="008A4E04" w:rsidRDefault="008A4E04" w:rsidP="00564C9B">
      <w:pPr>
        <w:rPr>
          <w:rFonts w:asciiTheme="majorHAnsi" w:hAnsiTheme="majorHAnsi" w:cstheme="majorHAnsi"/>
          <w:color w:val="000000" w:themeColor="text1"/>
        </w:rPr>
      </w:pPr>
    </w:p>
    <w:p w14:paraId="3F315E79" w14:textId="77777777" w:rsidR="008A4E04" w:rsidRDefault="008A4E04" w:rsidP="00564C9B">
      <w:pPr>
        <w:rPr>
          <w:rFonts w:asciiTheme="majorHAnsi" w:hAnsiTheme="majorHAnsi" w:cstheme="majorHAnsi"/>
          <w:color w:val="000000" w:themeColor="text1"/>
        </w:rPr>
      </w:pPr>
    </w:p>
    <w:p w14:paraId="402DC869" w14:textId="77777777" w:rsidR="008A4E04" w:rsidRDefault="008A4E04" w:rsidP="00564C9B">
      <w:pPr>
        <w:rPr>
          <w:rFonts w:asciiTheme="majorHAnsi" w:hAnsiTheme="majorHAnsi" w:cstheme="majorHAnsi"/>
          <w:color w:val="000000" w:themeColor="text1"/>
        </w:rPr>
      </w:pPr>
    </w:p>
    <w:p w14:paraId="1D2CC8A0" w14:textId="77777777" w:rsidR="008A4E04" w:rsidRDefault="008A4E04" w:rsidP="00564C9B">
      <w:pPr>
        <w:rPr>
          <w:rFonts w:asciiTheme="majorHAnsi" w:hAnsiTheme="majorHAnsi" w:cstheme="majorHAnsi"/>
          <w:color w:val="000000" w:themeColor="text1"/>
        </w:rPr>
      </w:pPr>
    </w:p>
    <w:p w14:paraId="193DA363" w14:textId="77777777" w:rsidR="008A4E04" w:rsidRDefault="008A4E04" w:rsidP="00564C9B">
      <w:pPr>
        <w:rPr>
          <w:rFonts w:asciiTheme="majorHAnsi" w:hAnsiTheme="majorHAnsi" w:cstheme="majorHAnsi"/>
          <w:color w:val="000000" w:themeColor="text1"/>
        </w:rPr>
      </w:pPr>
    </w:p>
    <w:p w14:paraId="7BEE0CAC" w14:textId="77777777" w:rsidR="008A4E04" w:rsidRDefault="008A4E04" w:rsidP="00564C9B">
      <w:pPr>
        <w:rPr>
          <w:rFonts w:asciiTheme="majorHAnsi" w:hAnsiTheme="majorHAnsi" w:cstheme="majorHAnsi"/>
          <w:color w:val="000000" w:themeColor="text1"/>
        </w:rPr>
      </w:pPr>
    </w:p>
    <w:p w14:paraId="3C58B52F" w14:textId="77777777" w:rsidR="008A4E04" w:rsidRDefault="008A4E04" w:rsidP="00564C9B">
      <w:pPr>
        <w:rPr>
          <w:rFonts w:asciiTheme="majorHAnsi" w:hAnsiTheme="majorHAnsi" w:cstheme="majorHAnsi"/>
          <w:color w:val="000000" w:themeColor="text1"/>
        </w:rPr>
      </w:pPr>
    </w:p>
    <w:p w14:paraId="4C8C3614" w14:textId="77777777" w:rsidR="008A4E04" w:rsidRDefault="008A4E04" w:rsidP="00564C9B">
      <w:pPr>
        <w:rPr>
          <w:rFonts w:asciiTheme="majorHAnsi" w:hAnsiTheme="majorHAnsi" w:cstheme="majorHAnsi"/>
          <w:color w:val="000000" w:themeColor="text1"/>
        </w:rPr>
      </w:pPr>
    </w:p>
    <w:p w14:paraId="3538F33C" w14:textId="77777777" w:rsidR="008A4E04" w:rsidRDefault="008A4E04" w:rsidP="00564C9B">
      <w:pPr>
        <w:rPr>
          <w:rFonts w:asciiTheme="majorHAnsi" w:hAnsiTheme="majorHAnsi" w:cstheme="majorHAnsi"/>
          <w:color w:val="000000" w:themeColor="text1"/>
        </w:rPr>
      </w:pPr>
    </w:p>
    <w:p w14:paraId="5266E186" w14:textId="77777777" w:rsidR="008A4E04" w:rsidRDefault="008A4E04" w:rsidP="00564C9B">
      <w:pPr>
        <w:rPr>
          <w:rFonts w:asciiTheme="majorHAnsi" w:hAnsiTheme="majorHAnsi" w:cstheme="majorHAnsi"/>
          <w:color w:val="000000" w:themeColor="text1"/>
        </w:rPr>
      </w:pPr>
    </w:p>
    <w:p w14:paraId="606E520E" w14:textId="77777777" w:rsidR="008A4E04" w:rsidRDefault="008A4E04" w:rsidP="00564C9B">
      <w:pPr>
        <w:rPr>
          <w:rFonts w:asciiTheme="majorHAnsi" w:hAnsiTheme="majorHAnsi" w:cstheme="majorHAnsi"/>
          <w:color w:val="000000" w:themeColor="text1"/>
        </w:rPr>
      </w:pPr>
    </w:p>
    <w:p w14:paraId="001CD17B" w14:textId="77777777" w:rsidR="008A4E04" w:rsidRDefault="008A4E04" w:rsidP="00564C9B">
      <w:pPr>
        <w:rPr>
          <w:rFonts w:asciiTheme="majorHAnsi" w:hAnsiTheme="majorHAnsi" w:cstheme="majorHAnsi"/>
          <w:color w:val="000000" w:themeColor="text1"/>
        </w:rPr>
      </w:pPr>
    </w:p>
    <w:p w14:paraId="5D36A4C6" w14:textId="77777777" w:rsidR="008A4E04" w:rsidRDefault="008A4E04" w:rsidP="00564C9B">
      <w:pPr>
        <w:rPr>
          <w:rFonts w:asciiTheme="majorHAnsi" w:hAnsiTheme="majorHAnsi" w:cstheme="majorHAnsi"/>
          <w:color w:val="000000" w:themeColor="text1"/>
        </w:rPr>
      </w:pPr>
    </w:p>
    <w:p w14:paraId="2EB11115" w14:textId="77777777" w:rsidR="008A4E04" w:rsidRDefault="008A4E04" w:rsidP="00564C9B">
      <w:pPr>
        <w:rPr>
          <w:rFonts w:asciiTheme="majorHAnsi" w:hAnsiTheme="majorHAnsi" w:cstheme="majorHAnsi"/>
          <w:color w:val="000000" w:themeColor="text1"/>
        </w:rPr>
      </w:pPr>
    </w:p>
    <w:p w14:paraId="5E146F07" w14:textId="77777777" w:rsidR="008A4E04" w:rsidRDefault="008A4E04" w:rsidP="00564C9B">
      <w:pPr>
        <w:rPr>
          <w:rFonts w:asciiTheme="majorHAnsi" w:hAnsiTheme="majorHAnsi" w:cstheme="majorHAnsi"/>
          <w:color w:val="000000" w:themeColor="text1"/>
        </w:rPr>
      </w:pPr>
    </w:p>
    <w:p w14:paraId="46555EBC" w14:textId="77777777" w:rsidR="008A4E04" w:rsidRDefault="008A4E04" w:rsidP="00564C9B">
      <w:pPr>
        <w:rPr>
          <w:rFonts w:asciiTheme="majorHAnsi" w:hAnsiTheme="majorHAnsi" w:cstheme="majorHAnsi"/>
          <w:color w:val="000000" w:themeColor="text1"/>
        </w:rPr>
      </w:pPr>
    </w:p>
    <w:p w14:paraId="73CDEF6A" w14:textId="77777777" w:rsidR="008A4E04" w:rsidRDefault="008A4E04" w:rsidP="00564C9B">
      <w:pPr>
        <w:rPr>
          <w:rFonts w:asciiTheme="majorHAnsi" w:hAnsiTheme="majorHAnsi" w:cstheme="majorHAnsi"/>
          <w:color w:val="000000" w:themeColor="text1"/>
        </w:rPr>
      </w:pPr>
    </w:p>
    <w:p w14:paraId="04E89DC8" w14:textId="77777777" w:rsidR="008A4E04" w:rsidRDefault="008A4E04" w:rsidP="00564C9B">
      <w:pPr>
        <w:rPr>
          <w:rFonts w:asciiTheme="majorHAnsi" w:hAnsiTheme="majorHAnsi" w:cstheme="majorHAnsi"/>
          <w:color w:val="000000" w:themeColor="text1"/>
        </w:rPr>
      </w:pPr>
    </w:p>
    <w:p w14:paraId="0A197A58" w14:textId="77777777" w:rsidR="008A4E04" w:rsidRDefault="008A4E04" w:rsidP="00564C9B">
      <w:pPr>
        <w:rPr>
          <w:rFonts w:asciiTheme="majorHAnsi" w:hAnsiTheme="majorHAnsi" w:cstheme="majorHAnsi"/>
          <w:color w:val="000000" w:themeColor="text1"/>
        </w:rPr>
      </w:pPr>
    </w:p>
    <w:p w14:paraId="0F0D9F4C" w14:textId="77777777" w:rsidR="008A4E04" w:rsidRDefault="008A4E04" w:rsidP="00564C9B">
      <w:pPr>
        <w:rPr>
          <w:rFonts w:asciiTheme="majorHAnsi" w:hAnsiTheme="majorHAnsi" w:cstheme="majorHAnsi"/>
          <w:color w:val="000000" w:themeColor="text1"/>
        </w:rPr>
      </w:pPr>
    </w:p>
    <w:p w14:paraId="057DA49E" w14:textId="77777777" w:rsidR="008A4E04" w:rsidRDefault="008A4E04" w:rsidP="00564C9B">
      <w:pPr>
        <w:rPr>
          <w:rFonts w:asciiTheme="majorHAnsi" w:hAnsiTheme="majorHAnsi" w:cstheme="majorHAnsi"/>
          <w:color w:val="000000" w:themeColor="text1"/>
        </w:rPr>
      </w:pPr>
    </w:p>
    <w:p w14:paraId="4D9DED2E" w14:textId="77777777" w:rsidR="008A4E04" w:rsidRDefault="008A4E04" w:rsidP="00564C9B">
      <w:pPr>
        <w:rPr>
          <w:rFonts w:asciiTheme="majorHAnsi" w:hAnsiTheme="majorHAnsi" w:cstheme="majorHAnsi"/>
          <w:color w:val="000000" w:themeColor="text1"/>
        </w:rPr>
      </w:pPr>
    </w:p>
    <w:p w14:paraId="3E5FAC87" w14:textId="77777777" w:rsidR="008A4E04" w:rsidRDefault="008A4E04" w:rsidP="00564C9B">
      <w:pPr>
        <w:rPr>
          <w:rFonts w:asciiTheme="majorHAnsi" w:hAnsiTheme="majorHAnsi" w:cstheme="majorHAnsi"/>
          <w:color w:val="000000" w:themeColor="text1"/>
        </w:rPr>
      </w:pPr>
    </w:p>
    <w:p w14:paraId="4FD76DAB" w14:textId="77777777" w:rsidR="008A4E04" w:rsidRDefault="008A4E04" w:rsidP="00564C9B">
      <w:pPr>
        <w:rPr>
          <w:rFonts w:asciiTheme="majorHAnsi" w:hAnsiTheme="majorHAnsi" w:cstheme="majorHAnsi"/>
          <w:color w:val="000000" w:themeColor="text1"/>
        </w:rPr>
      </w:pPr>
    </w:p>
    <w:p w14:paraId="3C7A3C25" w14:textId="77777777" w:rsidR="008A4E04" w:rsidRDefault="008A4E04" w:rsidP="00564C9B">
      <w:pPr>
        <w:rPr>
          <w:rFonts w:asciiTheme="majorHAnsi" w:hAnsiTheme="majorHAnsi" w:cstheme="majorHAnsi"/>
          <w:color w:val="000000" w:themeColor="text1"/>
        </w:rPr>
      </w:pPr>
    </w:p>
    <w:p w14:paraId="278B458A" w14:textId="77777777" w:rsidR="008A4E04" w:rsidRDefault="008A4E04" w:rsidP="00564C9B">
      <w:pPr>
        <w:rPr>
          <w:rFonts w:asciiTheme="majorHAnsi" w:hAnsiTheme="majorHAnsi" w:cstheme="majorHAnsi"/>
          <w:color w:val="000000" w:themeColor="text1"/>
        </w:rPr>
      </w:pPr>
    </w:p>
    <w:p w14:paraId="2BA76755" w14:textId="77777777" w:rsidR="00F70C6A" w:rsidRDefault="00F70C6A" w:rsidP="00564C9B">
      <w:pPr>
        <w:rPr>
          <w:rFonts w:asciiTheme="majorHAnsi" w:hAnsiTheme="majorHAnsi" w:cstheme="majorHAnsi"/>
          <w:color w:val="000000" w:themeColor="text1"/>
        </w:rPr>
      </w:pPr>
    </w:p>
    <w:p w14:paraId="48C2E4FE" w14:textId="77777777" w:rsidR="008A4E04" w:rsidRDefault="008A4E04" w:rsidP="00564C9B">
      <w:pPr>
        <w:rPr>
          <w:rFonts w:asciiTheme="majorHAnsi" w:hAnsiTheme="majorHAnsi" w:cstheme="majorHAnsi"/>
          <w:color w:val="000000" w:themeColor="text1"/>
        </w:rPr>
      </w:pPr>
    </w:p>
    <w:p w14:paraId="63833238" w14:textId="77777777" w:rsidR="00E537B8" w:rsidRDefault="00E537B8" w:rsidP="00564C9B">
      <w:pPr>
        <w:rPr>
          <w:rFonts w:asciiTheme="majorHAnsi" w:hAnsiTheme="majorHAnsi" w:cstheme="majorHAnsi"/>
          <w:color w:val="000000" w:themeColor="text1"/>
        </w:rPr>
      </w:pPr>
    </w:p>
    <w:p w14:paraId="669231BC" w14:textId="77777777" w:rsidR="00E537B8" w:rsidRPr="00F978C0" w:rsidRDefault="00E537B8" w:rsidP="00564C9B">
      <w:pPr>
        <w:rPr>
          <w:rFonts w:asciiTheme="majorHAnsi" w:hAnsiTheme="majorHAnsi" w:cstheme="majorHAnsi"/>
          <w:color w:val="000000" w:themeColor="text1"/>
        </w:rPr>
      </w:pPr>
    </w:p>
    <w:p w14:paraId="7BFB20AE" w14:textId="3D4AA9B5" w:rsidR="00A22CBD" w:rsidRDefault="007760BD" w:rsidP="00564C9B">
      <w:pPr>
        <w:rPr>
          <w:rFonts w:asciiTheme="majorHAnsi" w:hAnsiTheme="majorHAnsi" w:cstheme="majorHAnsi"/>
          <w:b/>
          <w:bCs/>
          <w:sz w:val="32"/>
          <w:szCs w:val="32"/>
          <w:u w:val="single"/>
        </w:rPr>
      </w:pPr>
      <w:r w:rsidRPr="00564C9B">
        <w:rPr>
          <w:rFonts w:asciiTheme="majorHAnsi" w:hAnsiTheme="majorHAnsi" w:cstheme="majorHAnsi"/>
          <w:b/>
          <w:bCs/>
          <w:sz w:val="32"/>
          <w:szCs w:val="32"/>
          <w:u w:val="single"/>
        </w:rPr>
        <w:lastRenderedPageBreak/>
        <w:t>Introduction</w:t>
      </w:r>
    </w:p>
    <w:p w14:paraId="5D970412" w14:textId="77777777" w:rsidR="009A21C7" w:rsidRPr="00564C9B" w:rsidRDefault="009A21C7" w:rsidP="00564C9B">
      <w:pPr>
        <w:rPr>
          <w:rFonts w:asciiTheme="majorHAnsi" w:hAnsiTheme="majorHAnsi" w:cstheme="majorHAnsi"/>
          <w:b/>
          <w:bCs/>
          <w:sz w:val="32"/>
          <w:szCs w:val="32"/>
          <w:u w:val="single"/>
        </w:rPr>
      </w:pPr>
    </w:p>
    <w:p w14:paraId="578548A8" w14:textId="77777777" w:rsidR="00564C9B" w:rsidRDefault="00564C9B" w:rsidP="00564C9B">
      <w:pPr>
        <w:rPr>
          <w:rFonts w:asciiTheme="majorHAnsi" w:hAnsiTheme="majorHAnsi" w:cstheme="majorHAnsi"/>
          <w:color w:val="000000" w:themeColor="text1"/>
          <w:sz w:val="22"/>
          <w:szCs w:val="22"/>
        </w:rPr>
      </w:pPr>
      <w:r w:rsidRPr="00564C9B">
        <w:rPr>
          <w:rFonts w:asciiTheme="majorHAnsi" w:hAnsiTheme="majorHAnsi" w:cstheme="majorHAnsi"/>
          <w:color w:val="000000" w:themeColor="text1"/>
          <w:sz w:val="22"/>
          <w:szCs w:val="22"/>
        </w:rPr>
        <w:t>The assessment scenario describes WellCare Connect as a healthcare provider offering online appointments, virtual consultations, digital prescriptions and access to personal medical records. It identifies confusing navigation, poor mobile responsiveness, limited accessibility, inconsistent branding, unclear booking flows, insufficient patient information, weak trust signals and slow loading. These issues may make key services difficult to locate and complete, particularly on mobile devices.</w:t>
      </w:r>
    </w:p>
    <w:p w14:paraId="14CB98AB" w14:textId="77777777" w:rsidR="00F70C6A" w:rsidRPr="00564C9B" w:rsidRDefault="00F70C6A" w:rsidP="00564C9B">
      <w:pPr>
        <w:rPr>
          <w:rFonts w:asciiTheme="majorHAnsi" w:hAnsiTheme="majorHAnsi" w:cstheme="majorHAnsi"/>
          <w:color w:val="000000" w:themeColor="text1"/>
          <w:sz w:val="22"/>
          <w:szCs w:val="22"/>
        </w:rPr>
      </w:pPr>
    </w:p>
    <w:p w14:paraId="4EB7B761" w14:textId="08852BAD" w:rsidR="00564C9B" w:rsidRPr="00564C9B" w:rsidRDefault="00564C9B" w:rsidP="00564C9B">
      <w:pPr>
        <w:rPr>
          <w:rFonts w:asciiTheme="majorHAnsi" w:hAnsiTheme="majorHAnsi" w:cstheme="majorHAnsi"/>
          <w:color w:val="000000" w:themeColor="text1"/>
          <w:sz w:val="22"/>
          <w:szCs w:val="22"/>
        </w:rPr>
      </w:pPr>
      <w:r w:rsidRPr="00564C9B">
        <w:rPr>
          <w:rFonts w:asciiTheme="majorHAnsi" w:hAnsiTheme="majorHAnsi" w:cstheme="majorHAnsi"/>
          <w:color w:val="000000" w:themeColor="text1"/>
          <w:sz w:val="22"/>
          <w:szCs w:val="22"/>
        </w:rPr>
        <w:t>This report examines those problems and presents a user</w:t>
      </w:r>
      <w:r>
        <w:rPr>
          <w:rFonts w:asciiTheme="majorHAnsi" w:hAnsiTheme="majorHAnsi" w:cstheme="majorHAnsi"/>
          <w:color w:val="000000" w:themeColor="text1"/>
          <w:sz w:val="22"/>
        </w:rPr>
        <w:t xml:space="preserve"> </w:t>
      </w:r>
      <w:r w:rsidRPr="00564C9B">
        <w:rPr>
          <w:rFonts w:asciiTheme="majorHAnsi" w:hAnsiTheme="majorHAnsi" w:cstheme="majorHAnsi"/>
          <w:color w:val="000000" w:themeColor="text1"/>
          <w:sz w:val="22"/>
          <w:szCs w:val="22"/>
        </w:rPr>
        <w:t xml:space="preserve">centred redesign direction. Recent research on patient portals, accessibility, privacy, web performance and mobile e-commerce informs the design </w:t>
      </w:r>
      <w:r w:rsidR="00F70C6A" w:rsidRPr="00564C9B">
        <w:rPr>
          <w:rFonts w:asciiTheme="majorHAnsi" w:hAnsiTheme="majorHAnsi" w:cstheme="majorHAnsi"/>
          <w:color w:val="000000" w:themeColor="text1"/>
          <w:sz w:val="22"/>
          <w:szCs w:val="22"/>
        </w:rPr>
        <w:t>discussion</w:t>
      </w:r>
      <w:r w:rsidRPr="00564C9B">
        <w:rPr>
          <w:rFonts w:asciiTheme="majorHAnsi" w:hAnsiTheme="majorHAnsi" w:cstheme="majorHAnsi"/>
          <w:color w:val="000000" w:themeColor="text1"/>
          <w:sz w:val="22"/>
          <w:szCs w:val="22"/>
        </w:rPr>
        <w:t xml:space="preserve">. The practical work is represented by a </w:t>
      </w:r>
      <w:r w:rsidRPr="00564C9B">
        <w:rPr>
          <w:rFonts w:asciiTheme="majorHAnsi" w:hAnsiTheme="majorHAnsi" w:cstheme="majorHAnsi"/>
          <w:color w:val="000000" w:themeColor="text1"/>
          <w:sz w:val="22"/>
        </w:rPr>
        <w:t>mood board</w:t>
      </w:r>
      <w:r w:rsidRPr="00564C9B">
        <w:rPr>
          <w:rFonts w:asciiTheme="majorHAnsi" w:hAnsiTheme="majorHAnsi" w:cstheme="majorHAnsi"/>
          <w:color w:val="000000" w:themeColor="text1"/>
          <w:sz w:val="22"/>
          <w:szCs w:val="22"/>
        </w:rPr>
        <w:t>, five wireframe layouts and a five-page prototype labelled WellCare Hub Home, Journal, About,</w:t>
      </w:r>
    </w:p>
    <w:p w14:paraId="2F414A72" w14:textId="61AC884C" w:rsidR="00564C9B" w:rsidRDefault="00564C9B" w:rsidP="00564C9B">
      <w:pPr>
        <w:rPr>
          <w:rFonts w:asciiTheme="majorHAnsi" w:hAnsiTheme="majorHAnsi" w:cstheme="majorHAnsi"/>
          <w:color w:val="000000" w:themeColor="text1"/>
          <w:sz w:val="22"/>
          <w:szCs w:val="22"/>
        </w:rPr>
      </w:pPr>
      <w:r w:rsidRPr="00564C9B">
        <w:rPr>
          <w:rFonts w:asciiTheme="majorHAnsi" w:hAnsiTheme="majorHAnsi" w:cstheme="majorHAnsi"/>
          <w:color w:val="000000" w:themeColor="text1"/>
          <w:sz w:val="22"/>
          <w:szCs w:val="22"/>
        </w:rPr>
        <w:t>FAQ and Contact. The report follows the required stages: website redesign, responsive e-commerce design, implementation evidence and conclusion.</w:t>
      </w:r>
    </w:p>
    <w:p w14:paraId="4D5120BE" w14:textId="77777777" w:rsidR="00F70C6A" w:rsidRPr="00564C9B" w:rsidRDefault="00F70C6A" w:rsidP="00564C9B">
      <w:pPr>
        <w:rPr>
          <w:rFonts w:asciiTheme="majorHAnsi" w:hAnsiTheme="majorHAnsi" w:cstheme="majorHAnsi"/>
          <w:color w:val="000000" w:themeColor="text1"/>
          <w:sz w:val="22"/>
          <w:szCs w:val="22"/>
        </w:rPr>
      </w:pPr>
    </w:p>
    <w:p w14:paraId="7C951A88" w14:textId="77777777" w:rsidR="00F70C6A" w:rsidRDefault="00564C9B" w:rsidP="00F70C6A">
      <w:pPr>
        <w:rPr>
          <w:rFonts w:asciiTheme="majorHAnsi" w:hAnsiTheme="majorHAnsi" w:cstheme="majorHAnsi"/>
          <w:color w:val="000000" w:themeColor="text1"/>
          <w:sz w:val="22"/>
          <w:szCs w:val="22"/>
        </w:rPr>
      </w:pPr>
      <w:r w:rsidRPr="00564C9B">
        <w:rPr>
          <w:rFonts w:asciiTheme="majorHAnsi" w:hAnsiTheme="majorHAnsi" w:cstheme="majorHAnsi"/>
          <w:color w:val="000000" w:themeColor="text1"/>
          <w:sz w:val="22"/>
          <w:szCs w:val="22"/>
        </w:rPr>
        <w:t xml:space="preserve">The purpose is to connect the scenario with clear design decisions. Proposed changes organize content around patient tasks, make information easier to read, explain the use of personal data and reduce barriers in booking. The e-commerce discussion is kept separate from healthcare because shopping studies do not directly predict patient </w:t>
      </w:r>
      <w:r w:rsidRPr="00564C9B">
        <w:rPr>
          <w:rFonts w:asciiTheme="majorHAnsi" w:hAnsiTheme="majorHAnsi" w:cstheme="majorHAnsi"/>
          <w:color w:val="000000" w:themeColor="text1"/>
          <w:sz w:val="22"/>
        </w:rPr>
        <w:t>behavior</w:t>
      </w:r>
      <w:r w:rsidRPr="00564C9B">
        <w:rPr>
          <w:rFonts w:asciiTheme="majorHAnsi" w:hAnsiTheme="majorHAnsi" w:cstheme="majorHAnsi"/>
          <w:color w:val="000000" w:themeColor="text1"/>
          <w:sz w:val="22"/>
          <w:szCs w:val="22"/>
        </w:rPr>
        <w:t xml:space="preserve">. The report evaluates literature and design artefacts rather than a live product: no user testing, accessibility audit or page-speed measurements have been completed. </w:t>
      </w:r>
    </w:p>
    <w:p w14:paraId="10FFCC57" w14:textId="77777777" w:rsidR="00F70C6A" w:rsidRDefault="007760BD" w:rsidP="00F70C6A">
      <w:pPr>
        <w:rPr>
          <w:rFonts w:asciiTheme="majorHAnsi" w:hAnsiTheme="majorHAnsi" w:cstheme="majorHAnsi"/>
          <w:b/>
          <w:bCs/>
          <w:color w:val="000000" w:themeColor="text1"/>
          <w:u w:val="single"/>
        </w:rPr>
      </w:pPr>
      <w:r w:rsidRPr="00F70C6A">
        <w:rPr>
          <w:rFonts w:asciiTheme="majorHAnsi" w:hAnsiTheme="majorHAnsi" w:cstheme="majorHAnsi"/>
          <w:b/>
          <w:bCs/>
          <w:color w:val="000000" w:themeColor="text1"/>
          <w:u w:val="single"/>
        </w:rPr>
        <w:t>2.0 WellCare Connect Website Redesign</w:t>
      </w:r>
    </w:p>
    <w:p w14:paraId="2B32D494" w14:textId="77777777" w:rsidR="00F70C6A" w:rsidRDefault="00F70C6A" w:rsidP="00F70C6A">
      <w:pPr>
        <w:rPr>
          <w:rFonts w:asciiTheme="majorHAnsi" w:hAnsiTheme="majorHAnsi" w:cstheme="majorHAnsi"/>
          <w:b/>
          <w:bCs/>
          <w:color w:val="000000" w:themeColor="text1"/>
          <w:u w:val="single"/>
        </w:rPr>
      </w:pPr>
    </w:p>
    <w:p w14:paraId="5FE5FF73" w14:textId="404ED449" w:rsidR="00A22CBD" w:rsidRPr="00F70C6A" w:rsidRDefault="007760BD" w:rsidP="00F70C6A">
      <w:pPr>
        <w:rPr>
          <w:rFonts w:asciiTheme="majorHAnsi" w:hAnsiTheme="majorHAnsi" w:cstheme="majorHAnsi"/>
          <w:b/>
          <w:bCs/>
          <w:color w:val="000000" w:themeColor="text1"/>
          <w:sz w:val="22"/>
          <w:szCs w:val="22"/>
        </w:rPr>
      </w:pPr>
      <w:r w:rsidRPr="00F70C6A">
        <w:rPr>
          <w:rFonts w:asciiTheme="majorHAnsi" w:hAnsiTheme="majorHAnsi" w:cstheme="majorHAnsi"/>
          <w:b/>
          <w:bCs/>
          <w:color w:val="000000" w:themeColor="text1"/>
          <w:u w:val="single"/>
        </w:rPr>
        <w:t>2.1 Navigation, Service Discovery and Booking</w:t>
      </w:r>
    </w:p>
    <w:p w14:paraId="08A871F8" w14:textId="210E2244" w:rsidR="00881099" w:rsidRDefault="00881099" w:rsidP="00881099">
      <w:pPr>
        <w:rPr>
          <w:rFonts w:asciiTheme="majorHAnsi" w:hAnsiTheme="majorHAnsi" w:cstheme="majorHAnsi"/>
          <w:sz w:val="22"/>
          <w:szCs w:val="22"/>
        </w:rPr>
      </w:pPr>
      <w:r w:rsidRPr="00881099">
        <w:rPr>
          <w:rFonts w:asciiTheme="majorHAnsi" w:hAnsiTheme="majorHAnsi" w:cstheme="majorHAnsi"/>
          <w:sz w:val="22"/>
          <w:szCs w:val="22"/>
        </w:rPr>
        <w:t>Navigation is a problem because the brief says patients struggle to locate emergency contacts, specialist directories and telehealth. A menu based on the provider’s departments can require visitors to understand the organisation before finding a service. Patient-portal studies report that users value contact with care teams and access to health information, but can have difficulty locating information [1].</w:t>
      </w:r>
    </w:p>
    <w:p w14:paraId="7635E2BA" w14:textId="77777777" w:rsidR="00F70C6A" w:rsidRDefault="00F70C6A" w:rsidP="00881099">
      <w:pPr>
        <w:rPr>
          <w:rFonts w:asciiTheme="majorHAnsi" w:hAnsiTheme="majorHAnsi" w:cstheme="majorHAnsi"/>
          <w:sz w:val="22"/>
          <w:szCs w:val="22"/>
        </w:rPr>
      </w:pPr>
    </w:p>
    <w:p w14:paraId="64A521CC" w14:textId="46CB0970" w:rsidR="00F70C6A" w:rsidRDefault="00881099" w:rsidP="00881099">
      <w:pPr>
        <w:rPr>
          <w:rFonts w:asciiTheme="majorHAnsi" w:hAnsiTheme="majorHAnsi" w:cstheme="majorHAnsi"/>
          <w:sz w:val="22"/>
          <w:szCs w:val="22"/>
        </w:rPr>
      </w:pPr>
      <w:r w:rsidRPr="00881099">
        <w:rPr>
          <w:rFonts w:asciiTheme="majorHAnsi" w:hAnsiTheme="majorHAnsi" w:cstheme="majorHAnsi"/>
          <w:sz w:val="22"/>
          <w:szCs w:val="22"/>
        </w:rPr>
        <w:t xml:space="preserve"> Search and filters by specialty and location can narrow the directory. Emergency contact information should have a visible, distinct route rather than being hidden within routine booking. Consistent action buttons can show how to start the next step. The booking sequence should ask for a service or specialist, appointment type and time, then only the details needed to confirm. Progress labels and back or edit controls allow corrections without restarting; a final summary should repeat the service, date, time and next steps</w:t>
      </w:r>
      <w:r w:rsidR="00F70C6A">
        <w:rPr>
          <w:rFonts w:asciiTheme="majorHAnsi" w:hAnsiTheme="majorHAnsi" w:cstheme="majorHAnsi"/>
          <w:sz w:val="22"/>
          <w:szCs w:val="22"/>
        </w:rPr>
        <w:t xml:space="preserve"> [1</w:t>
      </w:r>
      <w:proofErr w:type="gramStart"/>
      <w:r w:rsidR="00F70C6A">
        <w:rPr>
          <w:rFonts w:asciiTheme="majorHAnsi" w:hAnsiTheme="majorHAnsi" w:cstheme="majorHAnsi"/>
          <w:sz w:val="22"/>
          <w:szCs w:val="22"/>
        </w:rPr>
        <w:t xml:space="preserve">] </w:t>
      </w:r>
      <w:r w:rsidRPr="00881099">
        <w:rPr>
          <w:rFonts w:asciiTheme="majorHAnsi" w:hAnsiTheme="majorHAnsi" w:cstheme="majorHAnsi"/>
          <w:sz w:val="22"/>
          <w:szCs w:val="22"/>
        </w:rPr>
        <w:t>.</w:t>
      </w:r>
      <w:proofErr w:type="gramEnd"/>
      <w:r w:rsidRPr="00881099">
        <w:rPr>
          <w:rFonts w:asciiTheme="majorHAnsi" w:hAnsiTheme="majorHAnsi" w:cstheme="majorHAnsi"/>
          <w:sz w:val="22"/>
          <w:szCs w:val="22"/>
        </w:rPr>
        <w:t xml:space="preserve"> </w:t>
      </w:r>
    </w:p>
    <w:p w14:paraId="4128DBBC" w14:textId="41B40918" w:rsidR="00881099" w:rsidRPr="00881099" w:rsidRDefault="00881099" w:rsidP="00881099">
      <w:pPr>
        <w:rPr>
          <w:rFonts w:asciiTheme="majorHAnsi" w:hAnsiTheme="majorHAnsi" w:cstheme="majorHAnsi"/>
          <w:sz w:val="22"/>
          <w:szCs w:val="22"/>
        </w:rPr>
      </w:pPr>
      <w:r w:rsidRPr="00881099">
        <w:rPr>
          <w:rFonts w:asciiTheme="majorHAnsi" w:hAnsiTheme="majorHAnsi" w:cstheme="majorHAnsi"/>
          <w:sz w:val="22"/>
          <w:szCs w:val="22"/>
        </w:rPr>
        <w:t xml:space="preserve">For </w:t>
      </w:r>
      <w:r w:rsidR="00F70C6A" w:rsidRPr="00881099">
        <w:rPr>
          <w:rFonts w:asciiTheme="majorHAnsi" w:hAnsiTheme="majorHAnsi" w:cstheme="majorHAnsi"/>
          <w:sz w:val="22"/>
          <w:szCs w:val="22"/>
        </w:rPr>
        <w:t>visitor’s</w:t>
      </w:r>
      <w:r w:rsidRPr="00881099">
        <w:rPr>
          <w:rFonts w:asciiTheme="majorHAnsi" w:hAnsiTheme="majorHAnsi" w:cstheme="majorHAnsi"/>
          <w:sz w:val="22"/>
          <w:szCs w:val="22"/>
        </w:rPr>
        <w:t xml:space="preserve"> unsure which clinic to choose, brief service descriptions can support selection without requiring knowledge of department names. Availability should be shown before unnecessary personal details are requested.</w:t>
      </w:r>
    </w:p>
    <w:p w14:paraId="2601D881" w14:textId="77777777" w:rsidR="00F70C6A" w:rsidRDefault="00F70C6A" w:rsidP="00F70C6A">
      <w:pPr>
        <w:rPr>
          <w:rFonts w:asciiTheme="majorHAnsi" w:hAnsiTheme="majorHAnsi" w:cstheme="majorHAnsi"/>
          <w:sz w:val="22"/>
          <w:szCs w:val="22"/>
        </w:rPr>
      </w:pPr>
    </w:p>
    <w:p w14:paraId="741CCFB3" w14:textId="497B9B4E" w:rsidR="00A22CBD" w:rsidRDefault="007760BD" w:rsidP="00F70C6A">
      <w:pPr>
        <w:rPr>
          <w:rFonts w:asciiTheme="majorHAnsi" w:hAnsiTheme="majorHAnsi" w:cstheme="majorHAnsi"/>
          <w:b/>
          <w:bCs/>
          <w:color w:val="000000" w:themeColor="text1"/>
          <w:u w:val="single"/>
        </w:rPr>
      </w:pPr>
      <w:r w:rsidRPr="00F70C6A">
        <w:rPr>
          <w:rFonts w:asciiTheme="majorHAnsi" w:hAnsiTheme="majorHAnsi" w:cstheme="majorHAnsi"/>
          <w:b/>
          <w:bCs/>
          <w:color w:val="000000" w:themeColor="text1"/>
          <w:u w:val="single"/>
        </w:rPr>
        <w:t>2.2 Accessibility and Clear Information</w:t>
      </w:r>
    </w:p>
    <w:p w14:paraId="613D7171" w14:textId="77777777" w:rsidR="00F70C6A" w:rsidRPr="00F70C6A" w:rsidRDefault="00F70C6A" w:rsidP="00F70C6A">
      <w:pPr>
        <w:rPr>
          <w:rFonts w:asciiTheme="majorHAnsi" w:hAnsiTheme="majorHAnsi" w:cstheme="majorHAnsi"/>
          <w:sz w:val="22"/>
          <w:szCs w:val="22"/>
        </w:rPr>
      </w:pPr>
    </w:p>
    <w:p w14:paraId="14B8D0D1" w14:textId="6334A114" w:rsidR="00881099" w:rsidRPr="00881099" w:rsidRDefault="00881099" w:rsidP="00881099">
      <w:pPr>
        <w:rPr>
          <w:rFonts w:asciiTheme="majorHAnsi" w:hAnsiTheme="majorHAnsi" w:cstheme="majorHAnsi"/>
          <w:sz w:val="22"/>
          <w:szCs w:val="22"/>
        </w:rPr>
      </w:pPr>
      <w:r w:rsidRPr="00881099">
        <w:rPr>
          <w:rFonts w:asciiTheme="majorHAnsi" w:hAnsiTheme="majorHAnsi" w:cstheme="majorHAnsi"/>
          <w:sz w:val="22"/>
          <w:szCs w:val="22"/>
        </w:rPr>
        <w:t>Accessibility is a problem when users cannot perceive content, understand instructions or operate controls with the input method available to them. A cross-country study of public-health webpages found accessibility errors, with visual presentation among the common problems [</w:t>
      </w:r>
      <w:r w:rsidR="00F70C6A">
        <w:rPr>
          <w:rFonts w:asciiTheme="majorHAnsi" w:hAnsiTheme="majorHAnsi" w:cstheme="majorHAnsi"/>
          <w:sz w:val="22"/>
          <w:szCs w:val="22"/>
        </w:rPr>
        <w:t>2</w:t>
      </w:r>
      <w:r w:rsidRPr="00881099">
        <w:rPr>
          <w:rFonts w:asciiTheme="majorHAnsi" w:hAnsiTheme="majorHAnsi" w:cstheme="majorHAnsi"/>
          <w:sz w:val="22"/>
          <w:szCs w:val="22"/>
        </w:rPr>
        <w:t xml:space="preserve">]. Automated checks can identify some </w:t>
      </w:r>
      <w:r w:rsidR="00F978C0" w:rsidRPr="00881099">
        <w:rPr>
          <w:rFonts w:asciiTheme="majorHAnsi" w:hAnsiTheme="majorHAnsi" w:cstheme="majorHAnsi"/>
          <w:sz w:val="22"/>
          <w:szCs w:val="22"/>
        </w:rPr>
        <w:t>issues but</w:t>
      </w:r>
      <w:r w:rsidRPr="00881099">
        <w:rPr>
          <w:rFonts w:asciiTheme="majorHAnsi" w:hAnsiTheme="majorHAnsi" w:cstheme="majorHAnsi"/>
          <w:sz w:val="22"/>
          <w:szCs w:val="22"/>
        </w:rPr>
        <w:t xml:space="preserve"> cannot establish that a patient can complete a task. Pages should use a logical heading order, sufficient text-to-background contrast, readable type, descriptive field labels, keyboard navigation and visible focus. Meaningful images need alternative text. Form errors should explain what needs correction and preserve information already entered [</w:t>
      </w:r>
      <w:r w:rsidR="00F70C6A">
        <w:rPr>
          <w:rFonts w:asciiTheme="majorHAnsi" w:hAnsiTheme="majorHAnsi" w:cstheme="majorHAnsi"/>
          <w:sz w:val="22"/>
          <w:szCs w:val="22"/>
        </w:rPr>
        <w:t>2</w:t>
      </w:r>
      <w:r w:rsidRPr="00881099">
        <w:rPr>
          <w:rFonts w:asciiTheme="majorHAnsi" w:hAnsiTheme="majorHAnsi" w:cstheme="majorHAnsi"/>
          <w:sz w:val="22"/>
          <w:szCs w:val="22"/>
        </w:rPr>
        <w:t>].</w:t>
      </w:r>
    </w:p>
    <w:p w14:paraId="2AFE99E2" w14:textId="245C14A5" w:rsidR="00F70C6A" w:rsidRDefault="00881099" w:rsidP="00F70C6A">
      <w:pPr>
        <w:rPr>
          <w:rFonts w:asciiTheme="majorHAnsi" w:hAnsiTheme="majorHAnsi" w:cstheme="majorHAnsi"/>
          <w:sz w:val="22"/>
          <w:szCs w:val="22"/>
        </w:rPr>
      </w:pPr>
      <w:r w:rsidRPr="00881099">
        <w:rPr>
          <w:rFonts w:asciiTheme="majorHAnsi" w:hAnsiTheme="majorHAnsi" w:cstheme="majorHAnsi"/>
          <w:sz w:val="22"/>
          <w:szCs w:val="22"/>
        </w:rPr>
        <w:lastRenderedPageBreak/>
        <w:t xml:space="preserve">Health information also needs plain language. A UK study of online COVID-19 sources found that most were written above the recommended reading level [6]. Patient pages should use short sentences, explain medical terms and place appointment instructions near the relevant action. </w:t>
      </w:r>
    </w:p>
    <w:p w14:paraId="0B597796" w14:textId="77777777" w:rsidR="00F70C6A" w:rsidRDefault="00F70C6A" w:rsidP="00F70C6A">
      <w:pPr>
        <w:rPr>
          <w:rFonts w:asciiTheme="majorHAnsi" w:hAnsiTheme="majorHAnsi" w:cstheme="majorHAnsi"/>
          <w:sz w:val="22"/>
          <w:szCs w:val="22"/>
        </w:rPr>
      </w:pPr>
    </w:p>
    <w:p w14:paraId="4E93B339" w14:textId="690975F1" w:rsidR="00A22CBD" w:rsidRPr="00F70C6A" w:rsidRDefault="007760BD" w:rsidP="00F70C6A">
      <w:pPr>
        <w:rPr>
          <w:rFonts w:asciiTheme="majorHAnsi" w:hAnsiTheme="majorHAnsi" w:cstheme="majorHAnsi"/>
          <w:b/>
          <w:bCs/>
        </w:rPr>
      </w:pPr>
      <w:r w:rsidRPr="00F70C6A">
        <w:rPr>
          <w:rFonts w:asciiTheme="majorHAnsi" w:hAnsiTheme="majorHAnsi" w:cstheme="majorHAnsi"/>
          <w:b/>
          <w:bCs/>
          <w:color w:val="000000" w:themeColor="text1"/>
          <w:u w:val="single"/>
        </w:rPr>
        <w:t>2.3 Trust and Patient Information</w:t>
      </w:r>
    </w:p>
    <w:p w14:paraId="1898208E" w14:textId="07E1704E" w:rsidR="00881099" w:rsidRPr="00881099" w:rsidRDefault="00881099" w:rsidP="00881099">
      <w:pPr>
        <w:rPr>
          <w:rFonts w:asciiTheme="majorHAnsi" w:hAnsiTheme="majorHAnsi" w:cstheme="majorHAnsi"/>
          <w:sz w:val="22"/>
          <w:szCs w:val="22"/>
        </w:rPr>
      </w:pPr>
      <w:r w:rsidRPr="00881099">
        <w:rPr>
          <w:rFonts w:asciiTheme="majorHAnsi" w:hAnsiTheme="majorHAnsi" w:cstheme="majorHAnsi"/>
          <w:sz w:val="22"/>
          <w:szCs w:val="22"/>
        </w:rPr>
        <w:t>Trust matters because the platform handles sensitive health information and asks patients to enter personal details. A patient-portal study found that users valued access to providers but raised concerns about hacking, identity theft and privacy [</w:t>
      </w:r>
      <w:r w:rsidR="00CA3CDB">
        <w:rPr>
          <w:rFonts w:asciiTheme="majorHAnsi" w:hAnsiTheme="majorHAnsi" w:cstheme="majorHAnsi"/>
          <w:sz w:val="22"/>
          <w:szCs w:val="22"/>
        </w:rPr>
        <w:t>3</w:t>
      </w:r>
      <w:r w:rsidRPr="00881099">
        <w:rPr>
          <w:rFonts w:asciiTheme="majorHAnsi" w:hAnsiTheme="majorHAnsi" w:cstheme="majorHAnsi"/>
          <w:sz w:val="22"/>
          <w:szCs w:val="22"/>
        </w:rPr>
        <w:t>]. A wider review also found that privacy and security concerns could discourage portal use [</w:t>
      </w:r>
      <w:r w:rsidR="00CA3CDB">
        <w:rPr>
          <w:rFonts w:asciiTheme="majorHAnsi" w:hAnsiTheme="majorHAnsi" w:cstheme="majorHAnsi"/>
          <w:sz w:val="22"/>
          <w:szCs w:val="22"/>
        </w:rPr>
        <w:t>3</w:t>
      </w:r>
      <w:r w:rsidRPr="00881099">
        <w:rPr>
          <w:rFonts w:asciiTheme="majorHAnsi" w:hAnsiTheme="majorHAnsi" w:cstheme="majorHAnsi"/>
          <w:sz w:val="22"/>
          <w:szCs w:val="22"/>
        </w:rPr>
        <w:t>]. The website should identify the provider, show contact details and link to a plain-language privacy notice. Each form should explain why it needs specific information, and unnecessary questions should be removed. Secure sign-in and sign-out instructions should be clear. Unsupported claims such as “fully secure” should be avoided.</w:t>
      </w:r>
    </w:p>
    <w:p w14:paraId="69C5B149" w14:textId="4B985628" w:rsidR="00F44664" w:rsidRDefault="00881099" w:rsidP="00F44664">
      <w:pPr>
        <w:rPr>
          <w:rFonts w:asciiTheme="majorHAnsi" w:hAnsiTheme="majorHAnsi" w:cstheme="majorHAnsi"/>
          <w:sz w:val="22"/>
          <w:szCs w:val="22"/>
        </w:rPr>
      </w:pPr>
      <w:r w:rsidRPr="00881099">
        <w:rPr>
          <w:rFonts w:asciiTheme="majorHAnsi" w:hAnsiTheme="majorHAnsi" w:cstheme="majorHAnsi"/>
          <w:sz w:val="22"/>
          <w:szCs w:val="22"/>
        </w:rPr>
        <w:t xml:space="preserve">The scenario also identifies a lack of personalised recommendations and reminders. Any such feature should be optional, allow the patient to review or stop reminders, and explain how health-history information affects a </w:t>
      </w:r>
      <w:r w:rsidR="006D7126" w:rsidRPr="00881099">
        <w:rPr>
          <w:rFonts w:asciiTheme="majorHAnsi" w:hAnsiTheme="majorHAnsi" w:cstheme="majorHAnsi"/>
          <w:sz w:val="22"/>
          <w:szCs w:val="22"/>
        </w:rPr>
        <w:t>suggestion</w:t>
      </w:r>
      <w:r w:rsidR="006D7126">
        <w:rPr>
          <w:rFonts w:asciiTheme="majorHAnsi" w:hAnsiTheme="majorHAnsi" w:cstheme="majorHAnsi"/>
          <w:sz w:val="22"/>
          <w:szCs w:val="22"/>
        </w:rPr>
        <w:t xml:space="preserve"> [</w:t>
      </w:r>
      <w:r w:rsidR="00E537B8">
        <w:rPr>
          <w:rFonts w:asciiTheme="majorHAnsi" w:hAnsiTheme="majorHAnsi" w:cstheme="majorHAnsi"/>
          <w:sz w:val="22"/>
          <w:szCs w:val="22"/>
        </w:rPr>
        <w:t>3]</w:t>
      </w:r>
      <w:r w:rsidRPr="00881099">
        <w:rPr>
          <w:rFonts w:asciiTheme="majorHAnsi" w:hAnsiTheme="majorHAnsi" w:cstheme="majorHAnsi"/>
          <w:sz w:val="22"/>
          <w:szCs w:val="22"/>
        </w:rPr>
        <w:t xml:space="preserve">. </w:t>
      </w:r>
    </w:p>
    <w:p w14:paraId="347E9D45" w14:textId="13C0E2B3" w:rsidR="00A22CBD" w:rsidRPr="00F44664" w:rsidRDefault="007760BD" w:rsidP="00F44664">
      <w:pPr>
        <w:rPr>
          <w:rFonts w:asciiTheme="majorHAnsi" w:hAnsiTheme="majorHAnsi" w:cstheme="majorHAnsi"/>
          <w:b/>
          <w:bCs/>
          <w:sz w:val="22"/>
          <w:szCs w:val="22"/>
        </w:rPr>
      </w:pPr>
      <w:r w:rsidRPr="00F44664">
        <w:rPr>
          <w:rFonts w:asciiTheme="majorHAnsi" w:hAnsiTheme="majorHAnsi" w:cstheme="majorHAnsi"/>
          <w:b/>
          <w:bCs/>
          <w:color w:val="000000" w:themeColor="text1"/>
          <w:u w:val="single"/>
        </w:rPr>
        <w:t>2.4 Slow Loading and Performance</w:t>
      </w:r>
    </w:p>
    <w:p w14:paraId="7D9AD9C2" w14:textId="0F7A93D6" w:rsidR="004D63F3" w:rsidRPr="004D63F3" w:rsidRDefault="004D63F3" w:rsidP="004D63F3">
      <w:pPr>
        <w:rPr>
          <w:rFonts w:asciiTheme="majorHAnsi" w:hAnsiTheme="majorHAnsi" w:cstheme="majorHAnsi"/>
          <w:sz w:val="22"/>
          <w:szCs w:val="22"/>
        </w:rPr>
      </w:pPr>
      <w:r w:rsidRPr="004D63F3">
        <w:rPr>
          <w:rFonts w:asciiTheme="majorHAnsi" w:hAnsiTheme="majorHAnsi" w:cstheme="majorHAnsi"/>
          <w:sz w:val="22"/>
          <w:szCs w:val="22"/>
        </w:rPr>
        <w:t>Slow loading is a problem because patients may wait before seeing contact information, appointment choices or medical instructions. Delays can make search and booking feel unresponsive and may lead users to leave before completing a task. A web.dev review explains that faster sites tend to engage and retain users better, based on published case studies; those examples are not measurements of WellCare Connect [</w:t>
      </w:r>
      <w:r w:rsidR="00B0403E">
        <w:rPr>
          <w:rFonts w:asciiTheme="majorHAnsi" w:hAnsiTheme="majorHAnsi" w:cstheme="majorHAnsi"/>
          <w:sz w:val="22"/>
          <w:szCs w:val="22"/>
        </w:rPr>
        <w:t>4</w:t>
      </w:r>
      <w:r w:rsidRPr="004D63F3">
        <w:rPr>
          <w:rFonts w:asciiTheme="majorHAnsi" w:hAnsiTheme="majorHAnsi" w:cstheme="majorHAnsi"/>
          <w:sz w:val="22"/>
          <w:szCs w:val="22"/>
        </w:rPr>
        <w:t>]. Performance should therefore be treated as part of usability, especially on phones and slower connections.</w:t>
      </w:r>
    </w:p>
    <w:p w14:paraId="7D7AEC90" w14:textId="77777777" w:rsidR="00B0403E" w:rsidRDefault="004D63F3" w:rsidP="00B0403E">
      <w:pPr>
        <w:rPr>
          <w:rFonts w:asciiTheme="majorHAnsi" w:hAnsiTheme="majorHAnsi" w:cstheme="majorHAnsi"/>
          <w:sz w:val="22"/>
          <w:szCs w:val="22"/>
        </w:rPr>
      </w:pPr>
      <w:r w:rsidRPr="004D63F3">
        <w:rPr>
          <w:rFonts w:asciiTheme="majorHAnsi" w:hAnsiTheme="majorHAnsi" w:cstheme="majorHAnsi"/>
          <w:sz w:val="22"/>
          <w:szCs w:val="22"/>
        </w:rPr>
        <w:t>The proposed design should limit large decorative images and unnecessary animation. Images can be compressed and given dimensions to reduce layout shifts</w:t>
      </w:r>
      <w:r w:rsidR="00B0403E">
        <w:rPr>
          <w:rFonts w:asciiTheme="majorHAnsi" w:hAnsiTheme="majorHAnsi" w:cstheme="majorHAnsi"/>
          <w:sz w:val="22"/>
          <w:szCs w:val="22"/>
        </w:rPr>
        <w:t>[4]</w:t>
      </w:r>
      <w:r w:rsidRPr="004D63F3">
        <w:rPr>
          <w:rFonts w:asciiTheme="majorHAnsi" w:hAnsiTheme="majorHAnsi" w:cstheme="majorHAnsi"/>
          <w:sz w:val="22"/>
          <w:szCs w:val="22"/>
        </w:rPr>
        <w:t>.</w:t>
      </w:r>
    </w:p>
    <w:p w14:paraId="702E834E" w14:textId="77777777" w:rsidR="00B0403E" w:rsidRPr="00B0403E" w:rsidRDefault="00B0403E" w:rsidP="00B0403E">
      <w:pPr>
        <w:rPr>
          <w:rFonts w:asciiTheme="majorHAnsi" w:hAnsiTheme="majorHAnsi" w:cstheme="majorHAnsi"/>
          <w:b/>
          <w:bCs/>
          <w:sz w:val="22"/>
          <w:szCs w:val="22"/>
        </w:rPr>
      </w:pPr>
    </w:p>
    <w:p w14:paraId="452DB864" w14:textId="4367BAED" w:rsidR="00A22CBD" w:rsidRPr="00B0403E" w:rsidRDefault="007760BD" w:rsidP="00B0403E">
      <w:pPr>
        <w:rPr>
          <w:rFonts w:asciiTheme="majorHAnsi" w:hAnsiTheme="majorHAnsi" w:cstheme="majorHAnsi"/>
          <w:b/>
          <w:bCs/>
          <w:sz w:val="22"/>
          <w:szCs w:val="22"/>
        </w:rPr>
      </w:pPr>
      <w:r w:rsidRPr="00B0403E">
        <w:rPr>
          <w:rFonts w:asciiTheme="majorHAnsi" w:hAnsiTheme="majorHAnsi" w:cstheme="majorHAnsi"/>
          <w:b/>
          <w:bCs/>
          <w:color w:val="000000" w:themeColor="text1"/>
          <w:u w:val="single"/>
        </w:rPr>
        <w:t>3.0 Responsive Design Implementation</w:t>
      </w:r>
    </w:p>
    <w:p w14:paraId="7DCDEEFC" w14:textId="77777777" w:rsidR="00B0403E" w:rsidRDefault="007760BD" w:rsidP="00B0403E">
      <w:pPr>
        <w:rPr>
          <w:rFonts w:asciiTheme="majorHAnsi" w:hAnsiTheme="majorHAnsi" w:cstheme="majorHAnsi"/>
          <w:sz w:val="22"/>
          <w:szCs w:val="22"/>
        </w:rPr>
      </w:pPr>
      <w:r w:rsidRPr="004D63F3">
        <w:rPr>
          <w:rFonts w:asciiTheme="majorHAnsi" w:hAnsiTheme="majorHAnsi" w:cstheme="majorHAnsi"/>
          <w:sz w:val="22"/>
          <w:szCs w:val="22"/>
        </w:rPr>
        <w:t>Responsive web design adapts a website’s layout and content to the size and orientation of the screen [8]. It uses flexible layouts and images instead of simply shrinking a fixed desktop page [</w:t>
      </w:r>
      <w:r w:rsidR="00B0403E">
        <w:rPr>
          <w:rFonts w:asciiTheme="majorHAnsi" w:hAnsiTheme="majorHAnsi" w:cstheme="majorHAnsi"/>
          <w:sz w:val="22"/>
          <w:szCs w:val="22"/>
        </w:rPr>
        <w:t>5</w:t>
      </w:r>
      <w:r w:rsidRPr="004D63F3">
        <w:rPr>
          <w:rFonts w:asciiTheme="majorHAnsi" w:hAnsiTheme="majorHAnsi" w:cstheme="majorHAnsi"/>
          <w:sz w:val="22"/>
          <w:szCs w:val="22"/>
        </w:rPr>
        <w:t>]. Media queries can adjust the layout as available space changes, helping text and controls remain usable on phones, tablets and desktops [</w:t>
      </w:r>
      <w:r w:rsidR="00B0403E">
        <w:rPr>
          <w:rFonts w:asciiTheme="majorHAnsi" w:hAnsiTheme="majorHAnsi" w:cstheme="majorHAnsi"/>
          <w:sz w:val="22"/>
          <w:szCs w:val="22"/>
        </w:rPr>
        <w:t>5</w:t>
      </w:r>
      <w:r w:rsidRPr="004D63F3">
        <w:rPr>
          <w:rFonts w:asciiTheme="majorHAnsi" w:hAnsiTheme="majorHAnsi" w:cstheme="majorHAnsi"/>
          <w:sz w:val="22"/>
          <w:szCs w:val="22"/>
        </w:rPr>
        <w:t>].</w:t>
      </w:r>
    </w:p>
    <w:p w14:paraId="67CFA276" w14:textId="77777777" w:rsidR="00B0403E" w:rsidRPr="00B0403E" w:rsidRDefault="00B0403E" w:rsidP="00B0403E">
      <w:pPr>
        <w:rPr>
          <w:rFonts w:asciiTheme="majorHAnsi" w:hAnsiTheme="majorHAnsi" w:cstheme="majorHAnsi"/>
          <w:b/>
          <w:bCs/>
          <w:sz w:val="22"/>
          <w:szCs w:val="22"/>
        </w:rPr>
      </w:pPr>
    </w:p>
    <w:p w14:paraId="70B14DC8" w14:textId="60563F84" w:rsidR="00A22CBD" w:rsidRPr="00B0403E" w:rsidRDefault="007760BD" w:rsidP="00B0403E">
      <w:pPr>
        <w:rPr>
          <w:rFonts w:asciiTheme="majorHAnsi" w:hAnsiTheme="majorHAnsi" w:cstheme="majorHAnsi"/>
          <w:b/>
          <w:bCs/>
          <w:sz w:val="22"/>
          <w:szCs w:val="22"/>
        </w:rPr>
      </w:pPr>
      <w:r w:rsidRPr="00B0403E">
        <w:rPr>
          <w:rFonts w:asciiTheme="majorHAnsi" w:hAnsiTheme="majorHAnsi" w:cstheme="majorHAnsi"/>
          <w:b/>
          <w:bCs/>
          <w:color w:val="000000" w:themeColor="text1"/>
          <w:u w:val="single"/>
        </w:rPr>
        <w:t>3.1 Implications for E-Commerce User Experience</w:t>
      </w:r>
    </w:p>
    <w:p w14:paraId="7EE6091D" w14:textId="77777777" w:rsidR="00F44664" w:rsidRDefault="007760BD">
      <w:pPr>
        <w:rPr>
          <w:rFonts w:asciiTheme="majorHAnsi" w:hAnsiTheme="majorHAnsi" w:cstheme="majorHAnsi"/>
          <w:sz w:val="22"/>
          <w:szCs w:val="22"/>
        </w:rPr>
      </w:pPr>
      <w:r w:rsidRPr="004D63F3">
        <w:rPr>
          <w:rFonts w:asciiTheme="majorHAnsi" w:hAnsiTheme="majorHAnsi" w:cstheme="majorHAnsi"/>
          <w:sz w:val="22"/>
          <w:szCs w:val="22"/>
        </w:rPr>
        <w:t>In e-commerce, a responsive layout can support user experience by keeping product discovery, comparison and checkout workable on small screens. Pages should reflow into readable columns, preserve product photographs and specifications, keep navigation and search easy to find, show costs and delivery terms, and provide touch controls with enough space. Responsive structure alone is not enough: a mobile page can remain confusing if important details are hidden, labels are unclear or loading is slow</w:t>
      </w:r>
    </w:p>
    <w:p w14:paraId="5D01DBE7" w14:textId="040996AC" w:rsidR="00A22CBD" w:rsidRPr="004D63F3" w:rsidRDefault="00F44664">
      <w:pPr>
        <w:rPr>
          <w:rFonts w:asciiTheme="majorHAnsi" w:hAnsiTheme="majorHAnsi" w:cstheme="majorHAnsi"/>
          <w:sz w:val="22"/>
          <w:szCs w:val="22"/>
        </w:rPr>
      </w:pPr>
      <w:r>
        <w:rPr>
          <w:rFonts w:asciiTheme="majorHAnsi" w:hAnsiTheme="majorHAnsi" w:cstheme="majorHAnsi"/>
          <w:sz w:val="22"/>
          <w:szCs w:val="22"/>
        </w:rPr>
        <w:t>[6]</w:t>
      </w:r>
      <w:r w:rsidR="007760BD" w:rsidRPr="004D63F3">
        <w:rPr>
          <w:rFonts w:asciiTheme="majorHAnsi" w:hAnsiTheme="majorHAnsi" w:cstheme="majorHAnsi"/>
          <w:sz w:val="22"/>
          <w:szCs w:val="22"/>
        </w:rPr>
        <w:t>.</w:t>
      </w:r>
    </w:p>
    <w:p w14:paraId="6A0D1AF9" w14:textId="60AD1624" w:rsidR="00B0403E" w:rsidRDefault="007760BD" w:rsidP="00B0403E">
      <w:pPr>
        <w:rPr>
          <w:rFonts w:asciiTheme="majorHAnsi" w:hAnsiTheme="majorHAnsi" w:cstheme="majorHAnsi"/>
          <w:sz w:val="22"/>
          <w:szCs w:val="22"/>
        </w:rPr>
      </w:pPr>
      <w:r w:rsidRPr="004D63F3">
        <w:rPr>
          <w:rFonts w:asciiTheme="majorHAnsi" w:hAnsiTheme="majorHAnsi" w:cstheme="majorHAnsi"/>
          <w:sz w:val="22"/>
          <w:szCs w:val="22"/>
        </w:rPr>
        <w:t>An experiment comparing eight mobile-shopping interface versions with 560 participants found that one text and spacing treatment was rated easier to use and linked to stronger purchase, revisit and recommendation intentions [</w:t>
      </w:r>
      <w:r w:rsidR="00CD34B8">
        <w:rPr>
          <w:rFonts w:asciiTheme="majorHAnsi" w:hAnsiTheme="majorHAnsi" w:cstheme="majorHAnsi"/>
          <w:sz w:val="22"/>
          <w:szCs w:val="22"/>
        </w:rPr>
        <w:t>6</w:t>
      </w:r>
      <w:r w:rsidRPr="004D63F3">
        <w:rPr>
          <w:rFonts w:asciiTheme="majorHAnsi" w:hAnsiTheme="majorHAnsi" w:cstheme="majorHAnsi"/>
          <w:sz w:val="22"/>
          <w:szCs w:val="22"/>
        </w:rPr>
        <w:t>]. The study used a website selling music CDs and measured intentions rather than observed purchases [</w:t>
      </w:r>
      <w:r w:rsidR="00CD34B8">
        <w:rPr>
          <w:rFonts w:asciiTheme="majorHAnsi" w:hAnsiTheme="majorHAnsi" w:cstheme="majorHAnsi"/>
          <w:sz w:val="22"/>
          <w:szCs w:val="22"/>
        </w:rPr>
        <w:t>6</w:t>
      </w:r>
      <w:r w:rsidRPr="004D63F3">
        <w:rPr>
          <w:rFonts w:asciiTheme="majorHAnsi" w:hAnsiTheme="majorHAnsi" w:cstheme="majorHAnsi"/>
          <w:sz w:val="22"/>
          <w:szCs w:val="22"/>
        </w:rPr>
        <w:t xml:space="preserve">]. Other e-commerce research has linked website navigation, usability and trust with customer satisfaction and </w:t>
      </w:r>
      <w:r w:rsidR="00F44664" w:rsidRPr="004D63F3">
        <w:rPr>
          <w:rFonts w:asciiTheme="majorHAnsi" w:hAnsiTheme="majorHAnsi" w:cstheme="majorHAnsi"/>
          <w:sz w:val="22"/>
          <w:szCs w:val="22"/>
        </w:rPr>
        <w:t>loyalty.</w:t>
      </w:r>
      <w:r w:rsidRPr="004D63F3">
        <w:rPr>
          <w:rFonts w:asciiTheme="majorHAnsi" w:hAnsiTheme="majorHAnsi" w:cstheme="majorHAnsi"/>
          <w:sz w:val="22"/>
          <w:szCs w:val="22"/>
        </w:rPr>
        <w:t xml:space="preserve"> These findings suggest that screen fit is one part of the experience; trust, information clarity and task flow also </w:t>
      </w:r>
      <w:r w:rsidR="00F44664" w:rsidRPr="004D63F3">
        <w:rPr>
          <w:rFonts w:asciiTheme="majorHAnsi" w:hAnsiTheme="majorHAnsi" w:cstheme="majorHAnsi"/>
          <w:sz w:val="22"/>
          <w:szCs w:val="22"/>
        </w:rPr>
        <w:t>matter.</w:t>
      </w:r>
      <w:r w:rsidRPr="004D63F3">
        <w:rPr>
          <w:rFonts w:asciiTheme="majorHAnsi" w:hAnsiTheme="majorHAnsi" w:cstheme="majorHAnsi"/>
          <w:sz w:val="22"/>
          <w:szCs w:val="22"/>
        </w:rPr>
        <w:t xml:space="preserve"> Accessibility must be maintained during reflow, so labels should remain visible and users should not need horizontal scrolling. Testing across screen widths, with touch, keyboard and zoom, can reveal layout problems [</w:t>
      </w:r>
      <w:r w:rsidR="00B0403E">
        <w:rPr>
          <w:rFonts w:asciiTheme="majorHAnsi" w:hAnsiTheme="majorHAnsi" w:cstheme="majorHAnsi"/>
          <w:sz w:val="22"/>
          <w:szCs w:val="22"/>
        </w:rPr>
        <w:t>6</w:t>
      </w:r>
      <w:r w:rsidRPr="004D63F3">
        <w:rPr>
          <w:rFonts w:asciiTheme="majorHAnsi" w:hAnsiTheme="majorHAnsi" w:cstheme="majorHAnsi"/>
          <w:sz w:val="22"/>
          <w:szCs w:val="22"/>
        </w:rPr>
        <w:t>].</w:t>
      </w:r>
      <w:r w:rsidR="00CD34B8">
        <w:rPr>
          <w:rFonts w:asciiTheme="majorHAnsi" w:hAnsiTheme="majorHAnsi" w:cstheme="majorHAnsi"/>
          <w:sz w:val="22"/>
          <w:szCs w:val="22"/>
        </w:rPr>
        <w:t xml:space="preserve"> </w:t>
      </w:r>
    </w:p>
    <w:p w14:paraId="761C5365" w14:textId="77777777" w:rsidR="00CD34B8" w:rsidRDefault="00CD34B8" w:rsidP="00B0403E">
      <w:pPr>
        <w:rPr>
          <w:rFonts w:asciiTheme="majorHAnsi" w:hAnsiTheme="majorHAnsi" w:cstheme="majorHAnsi"/>
          <w:sz w:val="22"/>
          <w:szCs w:val="22"/>
        </w:rPr>
      </w:pPr>
    </w:p>
    <w:p w14:paraId="547D6C62" w14:textId="31356FC1" w:rsidR="00A22CBD" w:rsidRPr="00B0403E" w:rsidRDefault="007760BD" w:rsidP="00B0403E">
      <w:pPr>
        <w:rPr>
          <w:rFonts w:asciiTheme="majorHAnsi" w:hAnsiTheme="majorHAnsi" w:cstheme="majorHAnsi"/>
          <w:b/>
          <w:bCs/>
          <w:sz w:val="22"/>
          <w:szCs w:val="22"/>
        </w:rPr>
      </w:pPr>
      <w:r w:rsidRPr="00B0403E">
        <w:rPr>
          <w:rFonts w:asciiTheme="majorHAnsi" w:hAnsiTheme="majorHAnsi" w:cstheme="majorHAnsi"/>
          <w:b/>
          <w:bCs/>
          <w:color w:val="000000" w:themeColor="text1"/>
          <w:u w:val="single"/>
        </w:rPr>
        <w:t>3.2 Implications for E-Commerce Mobile Sales</w:t>
      </w:r>
    </w:p>
    <w:p w14:paraId="5E8873F1" w14:textId="432DBBE9" w:rsidR="005E705F" w:rsidRPr="005E705F" w:rsidRDefault="005E705F" w:rsidP="00F44664">
      <w:pPr>
        <w:shd w:val="clear" w:color="auto" w:fill="FFFFFF"/>
        <w:spacing w:line="420" w:lineRule="atLeast"/>
        <w:rPr>
          <w:rFonts w:asciiTheme="majorHAnsi" w:hAnsiTheme="majorHAnsi" w:cstheme="majorHAnsi"/>
          <w:color w:val="161F19"/>
          <w:sz w:val="22"/>
          <w:szCs w:val="22"/>
        </w:rPr>
      </w:pPr>
      <w:r w:rsidRPr="005E705F">
        <w:rPr>
          <w:rFonts w:asciiTheme="majorHAnsi" w:hAnsiTheme="majorHAnsi" w:cstheme="majorHAnsi"/>
          <w:color w:val="161F19"/>
          <w:sz w:val="22"/>
          <w:szCs w:val="22"/>
          <w:shd w:val="clear" w:color="auto" w:fill="FFFFFF"/>
        </w:rPr>
        <w:lastRenderedPageBreak/>
        <w:t xml:space="preserve">Mobile </w:t>
      </w:r>
      <w:r w:rsidR="00F44664" w:rsidRPr="005E705F">
        <w:rPr>
          <w:rFonts w:asciiTheme="majorHAnsi" w:hAnsiTheme="majorHAnsi" w:cstheme="majorHAnsi"/>
          <w:color w:val="161F19"/>
          <w:sz w:val="22"/>
          <w:szCs w:val="22"/>
          <w:shd w:val="clear" w:color="auto" w:fill="FFFFFF"/>
        </w:rPr>
        <w:t>sales may</w:t>
      </w:r>
      <w:r w:rsidRPr="005E705F">
        <w:rPr>
          <w:rFonts w:asciiTheme="majorHAnsi" w:hAnsiTheme="majorHAnsi" w:cstheme="majorHAnsi"/>
          <w:color w:val="161F19"/>
          <w:sz w:val="22"/>
          <w:szCs w:val="22"/>
          <w:shd w:val="clear" w:color="auto" w:fill="FFFFFF"/>
        </w:rPr>
        <w:t xml:space="preserve"> b</w:t>
      </w:r>
      <w:r w:rsidR="00F44664">
        <w:rPr>
          <w:rFonts w:asciiTheme="majorHAnsi" w:hAnsiTheme="majorHAnsi" w:cstheme="majorHAnsi"/>
          <w:color w:val="161F19"/>
          <w:sz w:val="22"/>
          <w:szCs w:val="22"/>
          <w:shd w:val="clear" w:color="auto" w:fill="FFFFFF"/>
        </w:rPr>
        <w:t>e</w:t>
      </w:r>
      <w:r w:rsidRPr="005E705F">
        <w:rPr>
          <w:rFonts w:asciiTheme="majorHAnsi" w:hAnsiTheme="majorHAnsi" w:cstheme="majorHAnsi"/>
          <w:color w:val="161F19"/>
          <w:sz w:val="22"/>
          <w:szCs w:val="22"/>
          <w:shd w:val="clear" w:color="auto" w:fill="FFFFFF"/>
        </w:rPr>
        <w:t xml:space="preserve"> enhanced when a shopper is able to consult and checkout with friction from the device removed. An evaluation of mobile services in hospitality revealed that layout, security and aesthetics were associated with value for money and purchase intentions [</w:t>
      </w:r>
      <w:r w:rsidR="00CD34B8">
        <w:rPr>
          <w:rFonts w:asciiTheme="majorHAnsi" w:hAnsiTheme="majorHAnsi" w:cstheme="majorHAnsi"/>
          <w:color w:val="161F19"/>
          <w:sz w:val="22"/>
          <w:szCs w:val="22"/>
          <w:shd w:val="clear" w:color="auto" w:fill="FFFFFF"/>
        </w:rPr>
        <w:t>7</w:t>
      </w:r>
      <w:r w:rsidRPr="005E705F">
        <w:rPr>
          <w:rFonts w:asciiTheme="majorHAnsi" w:hAnsiTheme="majorHAnsi" w:cstheme="majorHAnsi"/>
          <w:color w:val="161F19"/>
          <w:sz w:val="22"/>
          <w:szCs w:val="22"/>
          <w:shd w:val="clear" w:color="auto" w:fill="FFFFFF"/>
        </w:rPr>
        <w:t>]. A survey of online shoppers showed an association between website quality and word-of-mouth and purchase intentions [</w:t>
      </w:r>
      <w:r w:rsidR="00CD34B8">
        <w:rPr>
          <w:rFonts w:asciiTheme="majorHAnsi" w:hAnsiTheme="majorHAnsi" w:cstheme="majorHAnsi"/>
          <w:color w:val="161F19"/>
          <w:sz w:val="22"/>
          <w:szCs w:val="22"/>
          <w:shd w:val="clear" w:color="auto" w:fill="FFFFFF"/>
        </w:rPr>
        <w:t>7</w:t>
      </w:r>
      <w:r w:rsidRPr="005E705F">
        <w:rPr>
          <w:rFonts w:asciiTheme="majorHAnsi" w:hAnsiTheme="majorHAnsi" w:cstheme="majorHAnsi"/>
          <w:color w:val="161F19"/>
          <w:sz w:val="22"/>
          <w:szCs w:val="22"/>
          <w:shd w:val="clear" w:color="auto" w:fill="FFFFFF"/>
        </w:rPr>
        <w:t xml:space="preserve">]. While </w:t>
      </w:r>
      <w:proofErr w:type="gramStart"/>
      <w:r w:rsidRPr="005E705F">
        <w:rPr>
          <w:rFonts w:asciiTheme="majorHAnsi" w:hAnsiTheme="majorHAnsi" w:cstheme="majorHAnsi"/>
          <w:color w:val="161F19"/>
          <w:sz w:val="22"/>
          <w:szCs w:val="22"/>
          <w:shd w:val="clear" w:color="auto" w:fill="FFFFFF"/>
        </w:rPr>
        <w:t>it would seem that presentation</w:t>
      </w:r>
      <w:proofErr w:type="gramEnd"/>
      <w:r w:rsidRPr="005E705F">
        <w:rPr>
          <w:rFonts w:asciiTheme="majorHAnsi" w:hAnsiTheme="majorHAnsi" w:cstheme="majorHAnsi"/>
          <w:color w:val="161F19"/>
          <w:sz w:val="22"/>
          <w:szCs w:val="22"/>
          <w:shd w:val="clear" w:color="auto" w:fill="FFFFFF"/>
        </w:rPr>
        <w:t xml:space="preserve"> can influence buying decisions, it does not establish that responsive layout alone results in better </w:t>
      </w:r>
      <w:proofErr w:type="gramStart"/>
      <w:r w:rsidRPr="005E705F">
        <w:rPr>
          <w:rFonts w:asciiTheme="majorHAnsi" w:hAnsiTheme="majorHAnsi" w:cstheme="majorHAnsi"/>
          <w:color w:val="161F19"/>
          <w:sz w:val="22"/>
          <w:szCs w:val="22"/>
          <w:shd w:val="clear" w:color="auto" w:fill="FFFFFF"/>
        </w:rPr>
        <w:t>sales</w:t>
      </w:r>
      <w:r w:rsidR="00CD34B8">
        <w:rPr>
          <w:rFonts w:asciiTheme="majorHAnsi" w:hAnsiTheme="majorHAnsi" w:cstheme="majorHAnsi"/>
          <w:color w:val="161F19"/>
          <w:sz w:val="22"/>
          <w:szCs w:val="22"/>
          <w:shd w:val="clear" w:color="auto" w:fill="FFFFFF"/>
        </w:rPr>
        <w:t>[</w:t>
      </w:r>
      <w:proofErr w:type="gramEnd"/>
      <w:r w:rsidR="00CD34B8">
        <w:rPr>
          <w:rFonts w:asciiTheme="majorHAnsi" w:hAnsiTheme="majorHAnsi" w:cstheme="majorHAnsi"/>
          <w:color w:val="161F19"/>
          <w:sz w:val="22"/>
          <w:szCs w:val="22"/>
          <w:shd w:val="clear" w:color="auto" w:fill="FFFFFF"/>
        </w:rPr>
        <w:t>7]</w:t>
      </w:r>
      <w:r w:rsidRPr="005E705F">
        <w:rPr>
          <w:rFonts w:asciiTheme="majorHAnsi" w:hAnsiTheme="majorHAnsi" w:cstheme="majorHAnsi"/>
          <w:color w:val="161F19"/>
          <w:sz w:val="22"/>
          <w:szCs w:val="22"/>
          <w:shd w:val="clear" w:color="auto" w:fill="FFFFFF"/>
        </w:rPr>
        <w:t>.</w:t>
      </w:r>
    </w:p>
    <w:p w14:paraId="4951B28A" w14:textId="77777777" w:rsidR="005E705F" w:rsidRPr="005E705F" w:rsidRDefault="005E705F" w:rsidP="00F44664">
      <w:pPr>
        <w:rPr>
          <w:rFonts w:asciiTheme="majorHAnsi" w:hAnsiTheme="majorHAnsi" w:cstheme="majorHAnsi"/>
          <w:sz w:val="22"/>
          <w:szCs w:val="22"/>
        </w:rPr>
      </w:pPr>
    </w:p>
    <w:p w14:paraId="07F9B5DF" w14:textId="1E3515BE" w:rsidR="0044173E" w:rsidRPr="005E705F" w:rsidRDefault="0044173E" w:rsidP="00F44664">
      <w:pPr>
        <w:rPr>
          <w:rFonts w:asciiTheme="majorHAnsi" w:hAnsiTheme="majorHAnsi" w:cstheme="majorHAnsi"/>
          <w:sz w:val="22"/>
          <w:szCs w:val="22"/>
        </w:rPr>
      </w:pPr>
      <w:r w:rsidRPr="005E705F">
        <w:rPr>
          <w:rFonts w:asciiTheme="majorHAnsi" w:hAnsiTheme="majorHAnsi" w:cstheme="majorHAnsi"/>
          <w:sz w:val="22"/>
          <w:szCs w:val="22"/>
        </w:rPr>
        <w:t xml:space="preserve">E-commerce teams should test layouts and monitor actual checkout completion before attributing sales changes to responsive design. Task completion, checkout abandonment and purchase conversion can help identify where the experience breaks down. The cited studies use specific products, industries and samples, so their results should not be generalised to every </w:t>
      </w:r>
      <w:r w:rsidR="00F44664" w:rsidRPr="005E705F">
        <w:rPr>
          <w:rFonts w:asciiTheme="majorHAnsi" w:hAnsiTheme="majorHAnsi" w:cstheme="majorHAnsi"/>
          <w:sz w:val="22"/>
          <w:szCs w:val="22"/>
        </w:rPr>
        <w:t>retailer</w:t>
      </w:r>
      <w:r w:rsidR="00F44664">
        <w:rPr>
          <w:rFonts w:asciiTheme="majorHAnsi" w:hAnsiTheme="majorHAnsi" w:cstheme="majorHAnsi"/>
          <w:sz w:val="22"/>
          <w:szCs w:val="22"/>
        </w:rPr>
        <w:t xml:space="preserve"> [7]</w:t>
      </w:r>
      <w:r w:rsidRPr="005E705F">
        <w:rPr>
          <w:rFonts w:asciiTheme="majorHAnsi" w:hAnsiTheme="majorHAnsi" w:cstheme="majorHAnsi"/>
          <w:sz w:val="22"/>
          <w:szCs w:val="22"/>
        </w:rPr>
        <w:t>.</w:t>
      </w:r>
    </w:p>
    <w:p w14:paraId="708CF071" w14:textId="77777777" w:rsidR="00CD34B8" w:rsidRDefault="00CD34B8" w:rsidP="00CD34B8">
      <w:pPr>
        <w:jc w:val="both"/>
        <w:rPr>
          <w:rFonts w:asciiTheme="majorHAnsi" w:hAnsiTheme="majorHAnsi" w:cstheme="majorHAnsi"/>
          <w:color w:val="000000" w:themeColor="text1"/>
          <w:sz w:val="22"/>
          <w:szCs w:val="22"/>
          <w:shd w:val="clear" w:color="auto" w:fill="FFFFFF"/>
        </w:rPr>
      </w:pPr>
    </w:p>
    <w:p w14:paraId="558588D4" w14:textId="5C3A9551" w:rsidR="00A22CBD" w:rsidRPr="00CD34B8" w:rsidRDefault="007760BD" w:rsidP="00CD34B8">
      <w:pPr>
        <w:jc w:val="both"/>
        <w:rPr>
          <w:rFonts w:asciiTheme="majorHAnsi" w:hAnsiTheme="majorHAnsi" w:cstheme="majorHAnsi"/>
          <w:b/>
          <w:bCs/>
          <w:color w:val="000000" w:themeColor="text1"/>
        </w:rPr>
      </w:pPr>
      <w:r w:rsidRPr="00CD34B8">
        <w:rPr>
          <w:rFonts w:asciiTheme="majorHAnsi" w:hAnsiTheme="majorHAnsi" w:cstheme="majorHAnsi"/>
          <w:b/>
          <w:bCs/>
          <w:color w:val="000000" w:themeColor="text1"/>
          <w:u w:val="single"/>
        </w:rPr>
        <w:t>4.0 Implementation Section</w:t>
      </w:r>
    </w:p>
    <w:p w14:paraId="448DFBC8" w14:textId="5C3DC6E9" w:rsidR="00F44664" w:rsidRDefault="007760BD" w:rsidP="00F44664">
      <w:pPr>
        <w:jc w:val="both"/>
        <w:rPr>
          <w:rFonts w:asciiTheme="majorHAnsi" w:hAnsiTheme="majorHAnsi" w:cstheme="majorHAnsi"/>
          <w:sz w:val="22"/>
          <w:szCs w:val="22"/>
        </w:rPr>
      </w:pPr>
      <w:r w:rsidRPr="00F714C6">
        <w:rPr>
          <w:rFonts w:asciiTheme="majorHAnsi" w:hAnsiTheme="majorHAnsi" w:cstheme="majorHAnsi"/>
          <w:sz w:val="22"/>
          <w:szCs w:val="22"/>
        </w:rPr>
        <w:t xml:space="preserve">The implementation section presents the moodboard and five wireframes, alongside five final page screens for WellCare Hub. These </w:t>
      </w:r>
      <w:r w:rsidR="00CC6F98" w:rsidRPr="00F714C6">
        <w:rPr>
          <w:rFonts w:asciiTheme="majorHAnsi" w:hAnsiTheme="majorHAnsi" w:cstheme="majorHAnsi"/>
          <w:sz w:val="22"/>
          <w:szCs w:val="22"/>
        </w:rPr>
        <w:t>pages Home</w:t>
      </w:r>
      <w:r w:rsidRPr="00F714C6">
        <w:rPr>
          <w:rFonts w:asciiTheme="majorHAnsi" w:hAnsiTheme="majorHAnsi" w:cstheme="majorHAnsi"/>
          <w:sz w:val="22"/>
          <w:szCs w:val="22"/>
        </w:rPr>
        <w:t xml:space="preserve">, Journal, About, FAQ and </w:t>
      </w:r>
      <w:r w:rsidR="00007699" w:rsidRPr="00F714C6">
        <w:rPr>
          <w:rFonts w:asciiTheme="majorHAnsi" w:hAnsiTheme="majorHAnsi" w:cstheme="majorHAnsi"/>
          <w:sz w:val="22"/>
          <w:szCs w:val="22"/>
        </w:rPr>
        <w:t>Contact focus</w:t>
      </w:r>
      <w:r w:rsidRPr="00F714C6">
        <w:rPr>
          <w:rFonts w:asciiTheme="majorHAnsi" w:hAnsiTheme="majorHAnsi" w:cstheme="majorHAnsi"/>
          <w:sz w:val="22"/>
          <w:szCs w:val="22"/>
        </w:rPr>
        <w:t xml:space="preserve"> on general wellbeing information rather than patient transactions such as appointment booking or access to medical records. </w:t>
      </w:r>
      <w:r w:rsidR="00007699" w:rsidRPr="00F714C6">
        <w:rPr>
          <w:rFonts w:asciiTheme="majorHAnsi" w:hAnsiTheme="majorHAnsi" w:cstheme="majorHAnsi"/>
          <w:sz w:val="22"/>
          <w:szCs w:val="22"/>
        </w:rPr>
        <w:t>The figures document design outputs</w:t>
      </w:r>
      <w:r w:rsidRPr="00F714C6">
        <w:rPr>
          <w:rFonts w:asciiTheme="majorHAnsi" w:hAnsiTheme="majorHAnsi" w:cstheme="majorHAnsi"/>
          <w:sz w:val="22"/>
          <w:szCs w:val="22"/>
        </w:rPr>
        <w:t xml:space="preserve"> not completed usability, accessibility or performance testing</w:t>
      </w:r>
      <w:r w:rsidR="00F44664">
        <w:rPr>
          <w:rFonts w:asciiTheme="majorHAnsi" w:hAnsiTheme="majorHAnsi" w:cstheme="majorHAnsi"/>
          <w:sz w:val="22"/>
          <w:szCs w:val="22"/>
        </w:rPr>
        <w:t xml:space="preserve"> [8]</w:t>
      </w:r>
      <w:r w:rsidRPr="00F714C6">
        <w:rPr>
          <w:rFonts w:asciiTheme="majorHAnsi" w:hAnsiTheme="majorHAnsi" w:cstheme="majorHAnsi"/>
          <w:sz w:val="22"/>
          <w:szCs w:val="22"/>
        </w:rPr>
        <w:t>.</w:t>
      </w:r>
    </w:p>
    <w:p w14:paraId="3D10F46D" w14:textId="77777777" w:rsidR="00F44664" w:rsidRDefault="00F44664" w:rsidP="00F44664">
      <w:pPr>
        <w:jc w:val="both"/>
        <w:rPr>
          <w:rFonts w:asciiTheme="majorHAnsi" w:hAnsiTheme="majorHAnsi" w:cstheme="majorHAnsi"/>
          <w:sz w:val="22"/>
          <w:szCs w:val="22"/>
        </w:rPr>
      </w:pPr>
    </w:p>
    <w:p w14:paraId="41105C0B" w14:textId="1600F057" w:rsidR="00A22CBD" w:rsidRPr="00F44664" w:rsidRDefault="007760BD" w:rsidP="00F44664">
      <w:pPr>
        <w:jc w:val="both"/>
        <w:rPr>
          <w:rFonts w:asciiTheme="majorHAnsi" w:hAnsiTheme="majorHAnsi" w:cstheme="majorHAnsi"/>
          <w:b/>
          <w:bCs/>
          <w:sz w:val="22"/>
          <w:szCs w:val="22"/>
        </w:rPr>
      </w:pPr>
      <w:r w:rsidRPr="00F44664">
        <w:rPr>
          <w:rFonts w:asciiTheme="majorHAnsi" w:hAnsiTheme="majorHAnsi" w:cstheme="majorHAnsi"/>
          <w:b/>
          <w:bCs/>
          <w:color w:val="000000" w:themeColor="text1"/>
          <w:u w:val="single"/>
        </w:rPr>
        <w:t>4.2 Design evidence</w:t>
      </w:r>
    </w:p>
    <w:p w14:paraId="2BA7F2BB" w14:textId="7C30039D" w:rsidR="00A22CBD" w:rsidRDefault="007760BD">
      <w:pPr>
        <w:jc w:val="both"/>
        <w:rPr>
          <w:rFonts w:asciiTheme="majorHAnsi" w:hAnsiTheme="majorHAnsi" w:cstheme="majorHAnsi"/>
          <w:sz w:val="22"/>
          <w:szCs w:val="22"/>
        </w:rPr>
      </w:pPr>
      <w:r w:rsidRPr="00007699">
        <w:rPr>
          <w:rFonts w:asciiTheme="majorHAnsi" w:hAnsiTheme="majorHAnsi" w:cstheme="majorHAnsi"/>
          <w:sz w:val="22"/>
          <w:szCs w:val="22"/>
        </w:rPr>
        <w:t xml:space="preserve">Figures 1–6 show the moodboard and five wireframes. Figures 7–11 show the five supplied WellCare Hub pages in this </w:t>
      </w:r>
      <w:r w:rsidR="00F44664" w:rsidRPr="00007699">
        <w:rPr>
          <w:rFonts w:asciiTheme="majorHAnsi" w:hAnsiTheme="majorHAnsi" w:cstheme="majorHAnsi"/>
          <w:sz w:val="22"/>
          <w:szCs w:val="22"/>
        </w:rPr>
        <w:t>order</w:t>
      </w:r>
      <w:r w:rsidR="00F44664">
        <w:rPr>
          <w:rFonts w:asciiTheme="majorHAnsi" w:hAnsiTheme="majorHAnsi" w:cstheme="majorHAnsi"/>
          <w:sz w:val="22"/>
          <w:szCs w:val="22"/>
        </w:rPr>
        <w:t xml:space="preserve"> </w:t>
      </w:r>
      <w:r w:rsidR="00F44664" w:rsidRPr="00007699">
        <w:rPr>
          <w:rFonts w:asciiTheme="majorHAnsi" w:hAnsiTheme="majorHAnsi" w:cstheme="majorHAnsi"/>
          <w:sz w:val="22"/>
          <w:szCs w:val="22"/>
        </w:rPr>
        <w:t>Home</w:t>
      </w:r>
      <w:r w:rsidRPr="00007699">
        <w:rPr>
          <w:rFonts w:asciiTheme="majorHAnsi" w:hAnsiTheme="majorHAnsi" w:cstheme="majorHAnsi"/>
          <w:sz w:val="22"/>
          <w:szCs w:val="22"/>
        </w:rPr>
        <w:t xml:space="preserve">, Journal, About, FAQ and Contact. These are design outputs, not tested </w:t>
      </w:r>
      <w:r w:rsidR="004C00D8" w:rsidRPr="00007699">
        <w:rPr>
          <w:rFonts w:asciiTheme="majorHAnsi" w:hAnsiTheme="majorHAnsi" w:cstheme="majorHAnsi"/>
          <w:sz w:val="22"/>
          <w:szCs w:val="22"/>
        </w:rPr>
        <w:t>outcomes</w:t>
      </w:r>
      <w:r w:rsidR="004C00D8">
        <w:rPr>
          <w:rFonts w:asciiTheme="majorHAnsi" w:hAnsiTheme="majorHAnsi" w:cstheme="majorHAnsi"/>
          <w:sz w:val="22"/>
          <w:szCs w:val="22"/>
        </w:rPr>
        <w:t xml:space="preserve"> [</w:t>
      </w:r>
      <w:r w:rsidR="00F44664">
        <w:rPr>
          <w:rFonts w:asciiTheme="majorHAnsi" w:hAnsiTheme="majorHAnsi" w:cstheme="majorHAnsi"/>
          <w:sz w:val="22"/>
          <w:szCs w:val="22"/>
        </w:rPr>
        <w:t>9]</w:t>
      </w:r>
      <w:r w:rsidRPr="00007699">
        <w:rPr>
          <w:rFonts w:asciiTheme="majorHAnsi" w:hAnsiTheme="majorHAnsi" w:cstheme="majorHAnsi"/>
          <w:sz w:val="22"/>
          <w:szCs w:val="22"/>
        </w:rPr>
        <w:t>.</w:t>
      </w:r>
    </w:p>
    <w:p w14:paraId="0434A6EE" w14:textId="77777777" w:rsidR="00645C83" w:rsidRDefault="00645C83">
      <w:pPr>
        <w:jc w:val="both"/>
        <w:rPr>
          <w:rFonts w:asciiTheme="majorHAnsi" w:hAnsiTheme="majorHAnsi" w:cstheme="majorHAnsi"/>
          <w:sz w:val="22"/>
          <w:szCs w:val="22"/>
        </w:rPr>
      </w:pPr>
    </w:p>
    <w:p w14:paraId="2DB47C09" w14:textId="77777777" w:rsidR="00645C83" w:rsidRPr="00007699" w:rsidRDefault="00645C83">
      <w:pPr>
        <w:jc w:val="both"/>
        <w:rPr>
          <w:rFonts w:asciiTheme="majorHAnsi" w:hAnsiTheme="majorHAnsi" w:cstheme="majorHAnsi"/>
          <w:sz w:val="22"/>
          <w:szCs w:val="22"/>
        </w:rPr>
      </w:pPr>
    </w:p>
    <w:p w14:paraId="78453706" w14:textId="77777777" w:rsidR="00EA7C2E" w:rsidRDefault="00EA7C2E">
      <w:pPr>
        <w:jc w:val="both"/>
      </w:pPr>
    </w:p>
    <w:p w14:paraId="1D24A7D0" w14:textId="3DB30FBF" w:rsidR="00CC7052" w:rsidRDefault="007760BD">
      <w:pPr>
        <w:jc w:val="both"/>
      </w:pPr>
      <w:r>
        <w:t>Figure 1. WellCare Connect mood board</w:t>
      </w:r>
    </w:p>
    <w:p w14:paraId="0B43A41B" w14:textId="4F4AAE2C" w:rsidR="00CC7052" w:rsidRDefault="00EA7C2E">
      <w:pPr>
        <w:jc w:val="both"/>
      </w:pPr>
      <w:r>
        <w:rPr>
          <w:noProof/>
        </w:rPr>
        <w:drawing>
          <wp:inline distT="0" distB="0" distL="0" distR="0" wp14:anchorId="7F08A86B" wp14:editId="283D0C0E">
            <wp:extent cx="3668395" cy="2934635"/>
            <wp:effectExtent l="0" t="0" r="8255" b="0"/>
            <wp:docPr id="1743999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99379" name="Picture 1743999379"/>
                    <pic:cNvPicPr/>
                  </pic:nvPicPr>
                  <pic:blipFill>
                    <a:blip r:embed="rId8"/>
                    <a:stretch>
                      <a:fillRect/>
                    </a:stretch>
                  </pic:blipFill>
                  <pic:spPr>
                    <a:xfrm>
                      <a:off x="0" y="0"/>
                      <a:ext cx="3685618" cy="2948413"/>
                    </a:xfrm>
                    <a:prstGeom prst="rect">
                      <a:avLst/>
                    </a:prstGeom>
                  </pic:spPr>
                </pic:pic>
              </a:graphicData>
            </a:graphic>
          </wp:inline>
        </w:drawing>
      </w:r>
    </w:p>
    <w:p w14:paraId="59C1C3D6" w14:textId="590B2662" w:rsidR="00A22CBD" w:rsidRDefault="007760BD">
      <w:pPr>
        <w:jc w:val="both"/>
      </w:pPr>
      <w:r>
        <w:t xml:space="preserve">Figure 2. Wireframe page 1 </w:t>
      </w:r>
    </w:p>
    <w:p w14:paraId="0D53ECE9" w14:textId="77777777" w:rsidR="00F230DF" w:rsidRDefault="00F230DF">
      <w:pPr>
        <w:jc w:val="both"/>
      </w:pPr>
    </w:p>
    <w:p w14:paraId="7753B6B0" w14:textId="07908024" w:rsidR="00B60E36" w:rsidRDefault="00F230DF">
      <w:pPr>
        <w:jc w:val="both"/>
      </w:pPr>
      <w:r>
        <w:rPr>
          <w:noProof/>
        </w:rPr>
        <w:lastRenderedPageBreak/>
        <w:drawing>
          <wp:inline distT="0" distB="0" distL="0" distR="0" wp14:anchorId="4D90AA3D" wp14:editId="5DB4DC23">
            <wp:extent cx="5733415" cy="2689860"/>
            <wp:effectExtent l="0" t="0" r="635" b="0"/>
            <wp:docPr id="3800395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39539" name="Picture 380039539"/>
                    <pic:cNvPicPr/>
                  </pic:nvPicPr>
                  <pic:blipFill>
                    <a:blip r:embed="rId9"/>
                    <a:stretch>
                      <a:fillRect/>
                    </a:stretch>
                  </pic:blipFill>
                  <pic:spPr>
                    <a:xfrm>
                      <a:off x="0" y="0"/>
                      <a:ext cx="5733415" cy="2689860"/>
                    </a:xfrm>
                    <a:prstGeom prst="rect">
                      <a:avLst/>
                    </a:prstGeom>
                  </pic:spPr>
                </pic:pic>
              </a:graphicData>
            </a:graphic>
          </wp:inline>
        </w:drawing>
      </w:r>
    </w:p>
    <w:p w14:paraId="2EB43280" w14:textId="77777777" w:rsidR="00F10368" w:rsidRDefault="00F10368">
      <w:pPr>
        <w:jc w:val="both"/>
      </w:pPr>
    </w:p>
    <w:p w14:paraId="7982D96E" w14:textId="4A7077C1" w:rsidR="00A22CBD" w:rsidRDefault="007760BD">
      <w:pPr>
        <w:jc w:val="both"/>
      </w:pPr>
      <w:r>
        <w:t xml:space="preserve">Figure 3. Wireframe page 2 </w:t>
      </w:r>
    </w:p>
    <w:p w14:paraId="540EBB7F" w14:textId="77777777" w:rsidR="00D5507E" w:rsidRDefault="00D5507E">
      <w:pPr>
        <w:jc w:val="both"/>
      </w:pPr>
    </w:p>
    <w:p w14:paraId="34D15923" w14:textId="246EE57E" w:rsidR="00F10368" w:rsidRDefault="00D5507E">
      <w:pPr>
        <w:jc w:val="both"/>
      </w:pPr>
      <w:r>
        <w:rPr>
          <w:noProof/>
        </w:rPr>
        <w:drawing>
          <wp:inline distT="0" distB="0" distL="0" distR="0" wp14:anchorId="4D66D921" wp14:editId="4A02046C">
            <wp:extent cx="5733415" cy="2720340"/>
            <wp:effectExtent l="0" t="0" r="635" b="3810"/>
            <wp:docPr id="1357551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551043" name=""/>
                    <pic:cNvPicPr/>
                  </pic:nvPicPr>
                  <pic:blipFill>
                    <a:blip r:embed="rId10"/>
                    <a:stretch>
                      <a:fillRect/>
                    </a:stretch>
                  </pic:blipFill>
                  <pic:spPr>
                    <a:xfrm>
                      <a:off x="0" y="0"/>
                      <a:ext cx="5733415" cy="2720340"/>
                    </a:xfrm>
                    <a:prstGeom prst="rect">
                      <a:avLst/>
                    </a:prstGeom>
                  </pic:spPr>
                </pic:pic>
              </a:graphicData>
            </a:graphic>
          </wp:inline>
        </w:drawing>
      </w:r>
    </w:p>
    <w:p w14:paraId="2BDC585C" w14:textId="25D76521" w:rsidR="00A22CBD" w:rsidRDefault="007760BD">
      <w:pPr>
        <w:jc w:val="both"/>
      </w:pPr>
      <w:r>
        <w:t xml:space="preserve">Figure 4. Wireframe page 3 </w:t>
      </w:r>
    </w:p>
    <w:p w14:paraId="33995C69" w14:textId="77777777" w:rsidR="00D5507E" w:rsidRDefault="00D5507E">
      <w:pPr>
        <w:jc w:val="both"/>
      </w:pPr>
    </w:p>
    <w:p w14:paraId="1266F977" w14:textId="44F6EC54" w:rsidR="00D5507E" w:rsidRDefault="003037D2">
      <w:pPr>
        <w:jc w:val="both"/>
      </w:pPr>
      <w:r>
        <w:rPr>
          <w:noProof/>
        </w:rPr>
        <w:lastRenderedPageBreak/>
        <w:drawing>
          <wp:inline distT="0" distB="0" distL="0" distR="0" wp14:anchorId="4FD52D54" wp14:editId="0B9B2F2C">
            <wp:extent cx="5733415" cy="2834640"/>
            <wp:effectExtent l="0" t="0" r="635" b="3810"/>
            <wp:docPr id="71635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51594" name=""/>
                    <pic:cNvPicPr/>
                  </pic:nvPicPr>
                  <pic:blipFill>
                    <a:blip r:embed="rId11"/>
                    <a:stretch>
                      <a:fillRect/>
                    </a:stretch>
                  </pic:blipFill>
                  <pic:spPr>
                    <a:xfrm>
                      <a:off x="0" y="0"/>
                      <a:ext cx="5733415" cy="2834640"/>
                    </a:xfrm>
                    <a:prstGeom prst="rect">
                      <a:avLst/>
                    </a:prstGeom>
                  </pic:spPr>
                </pic:pic>
              </a:graphicData>
            </a:graphic>
          </wp:inline>
        </w:drawing>
      </w:r>
    </w:p>
    <w:p w14:paraId="10D0B9C6" w14:textId="77777777" w:rsidR="00D5507E" w:rsidRDefault="00D5507E">
      <w:pPr>
        <w:jc w:val="both"/>
      </w:pPr>
    </w:p>
    <w:p w14:paraId="3F367D97" w14:textId="3783325F" w:rsidR="00A22CBD" w:rsidRDefault="007760BD">
      <w:pPr>
        <w:jc w:val="both"/>
      </w:pPr>
      <w:r>
        <w:t xml:space="preserve">Figure 5. Wireframe page 4 </w:t>
      </w:r>
    </w:p>
    <w:p w14:paraId="39CA394E" w14:textId="77777777" w:rsidR="0037574D" w:rsidRDefault="0037574D">
      <w:pPr>
        <w:jc w:val="both"/>
      </w:pPr>
    </w:p>
    <w:p w14:paraId="48220C5E" w14:textId="3687690D" w:rsidR="0037574D" w:rsidRDefault="00A0387A">
      <w:pPr>
        <w:jc w:val="both"/>
      </w:pPr>
      <w:r>
        <w:rPr>
          <w:noProof/>
        </w:rPr>
        <w:drawing>
          <wp:inline distT="0" distB="0" distL="0" distR="0" wp14:anchorId="03D5F8E9" wp14:editId="4E8B4D89">
            <wp:extent cx="5733415" cy="2392680"/>
            <wp:effectExtent l="0" t="0" r="635" b="7620"/>
            <wp:docPr id="1415453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453419" name=""/>
                    <pic:cNvPicPr/>
                  </pic:nvPicPr>
                  <pic:blipFill>
                    <a:blip r:embed="rId12"/>
                    <a:stretch>
                      <a:fillRect/>
                    </a:stretch>
                  </pic:blipFill>
                  <pic:spPr>
                    <a:xfrm>
                      <a:off x="0" y="0"/>
                      <a:ext cx="5733415" cy="2392680"/>
                    </a:xfrm>
                    <a:prstGeom prst="rect">
                      <a:avLst/>
                    </a:prstGeom>
                  </pic:spPr>
                </pic:pic>
              </a:graphicData>
            </a:graphic>
          </wp:inline>
        </w:drawing>
      </w:r>
    </w:p>
    <w:p w14:paraId="287CDE3A" w14:textId="524CE643" w:rsidR="00A22CBD" w:rsidRDefault="00E537B8">
      <w:pPr>
        <w:jc w:val="both"/>
      </w:pPr>
      <w:r>
        <w:t>Figure 6 Wireframe</w:t>
      </w:r>
      <w:r w:rsidR="007760BD">
        <w:t xml:space="preserve"> </w:t>
      </w:r>
      <w:r>
        <w:t>Page 5</w:t>
      </w:r>
    </w:p>
    <w:p w14:paraId="7F74E833" w14:textId="15DA92DA" w:rsidR="00715311" w:rsidRDefault="00E34F83">
      <w:pPr>
        <w:jc w:val="both"/>
      </w:pPr>
      <w:r>
        <w:rPr>
          <w:noProof/>
        </w:rPr>
        <w:lastRenderedPageBreak/>
        <w:drawing>
          <wp:inline distT="0" distB="0" distL="0" distR="0" wp14:anchorId="7D406AC4" wp14:editId="03119768">
            <wp:extent cx="5733415" cy="3225165"/>
            <wp:effectExtent l="0" t="0" r="635" b="0"/>
            <wp:docPr id="336403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403078" name=""/>
                    <pic:cNvPicPr/>
                  </pic:nvPicPr>
                  <pic:blipFill>
                    <a:blip r:embed="rId13"/>
                    <a:stretch>
                      <a:fillRect/>
                    </a:stretch>
                  </pic:blipFill>
                  <pic:spPr>
                    <a:xfrm>
                      <a:off x="0" y="0"/>
                      <a:ext cx="5733415" cy="3225165"/>
                    </a:xfrm>
                    <a:prstGeom prst="rect">
                      <a:avLst/>
                    </a:prstGeom>
                  </pic:spPr>
                </pic:pic>
              </a:graphicData>
            </a:graphic>
          </wp:inline>
        </w:drawing>
      </w:r>
    </w:p>
    <w:p w14:paraId="06A15998" w14:textId="77777777" w:rsidR="00715311" w:rsidRDefault="00715311">
      <w:pPr>
        <w:jc w:val="both"/>
      </w:pPr>
    </w:p>
    <w:p w14:paraId="741AC1E3" w14:textId="77777777" w:rsidR="00715311" w:rsidRDefault="00715311">
      <w:pPr>
        <w:jc w:val="both"/>
      </w:pPr>
    </w:p>
    <w:p w14:paraId="59661EC7" w14:textId="4D9DC59A" w:rsidR="00A22CBD" w:rsidRDefault="00E537B8">
      <w:pPr>
        <w:jc w:val="both"/>
      </w:pPr>
      <w:r>
        <w:t xml:space="preserve">Figure 7 </w:t>
      </w:r>
      <w:r w:rsidR="007760BD">
        <w:t xml:space="preserve">WellCare Hub — Home page </w:t>
      </w:r>
    </w:p>
    <w:p w14:paraId="10DFAC12" w14:textId="77777777" w:rsidR="006A629A" w:rsidRDefault="006A629A">
      <w:pPr>
        <w:jc w:val="both"/>
      </w:pPr>
    </w:p>
    <w:p w14:paraId="6EAB61E4" w14:textId="04211F6F" w:rsidR="006A629A" w:rsidRDefault="006A629A">
      <w:pPr>
        <w:jc w:val="both"/>
      </w:pPr>
      <w:r w:rsidRPr="006A629A">
        <w:drawing>
          <wp:inline distT="0" distB="0" distL="0" distR="0" wp14:anchorId="05BF85C6" wp14:editId="76D2948D">
            <wp:extent cx="5733415" cy="3184525"/>
            <wp:effectExtent l="0" t="0" r="635" b="0"/>
            <wp:docPr id="1553276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276640" name=""/>
                    <pic:cNvPicPr/>
                  </pic:nvPicPr>
                  <pic:blipFill>
                    <a:blip r:embed="rId14"/>
                    <a:stretch>
                      <a:fillRect/>
                    </a:stretch>
                  </pic:blipFill>
                  <pic:spPr>
                    <a:xfrm>
                      <a:off x="0" y="0"/>
                      <a:ext cx="5733415" cy="3184525"/>
                    </a:xfrm>
                    <a:prstGeom prst="rect">
                      <a:avLst/>
                    </a:prstGeom>
                  </pic:spPr>
                </pic:pic>
              </a:graphicData>
            </a:graphic>
          </wp:inline>
        </w:drawing>
      </w:r>
    </w:p>
    <w:p w14:paraId="41BF7AB1" w14:textId="77777777" w:rsidR="006A629A" w:rsidRDefault="006A629A">
      <w:pPr>
        <w:jc w:val="both"/>
      </w:pPr>
    </w:p>
    <w:p w14:paraId="3DB78B9D" w14:textId="480EA31D" w:rsidR="00A22CBD" w:rsidRDefault="007760BD">
      <w:pPr>
        <w:jc w:val="both"/>
      </w:pPr>
      <w:r>
        <w:t xml:space="preserve">Figure 8. WellCare Hub — Journal page </w:t>
      </w:r>
    </w:p>
    <w:p w14:paraId="34C166D4" w14:textId="77777777" w:rsidR="006A629A" w:rsidRDefault="006A629A">
      <w:pPr>
        <w:jc w:val="both"/>
      </w:pPr>
    </w:p>
    <w:p w14:paraId="068A518B" w14:textId="6ED95D04" w:rsidR="0036446B" w:rsidRDefault="00951056">
      <w:pPr>
        <w:jc w:val="both"/>
      </w:pPr>
      <w:r w:rsidRPr="00951056">
        <w:lastRenderedPageBreak/>
        <w:drawing>
          <wp:inline distT="0" distB="0" distL="0" distR="0" wp14:anchorId="23D24A75" wp14:editId="64BE3FC1">
            <wp:extent cx="5733415" cy="3202940"/>
            <wp:effectExtent l="0" t="0" r="635" b="0"/>
            <wp:docPr id="316295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295317" name=""/>
                    <pic:cNvPicPr/>
                  </pic:nvPicPr>
                  <pic:blipFill>
                    <a:blip r:embed="rId15"/>
                    <a:stretch>
                      <a:fillRect/>
                    </a:stretch>
                  </pic:blipFill>
                  <pic:spPr>
                    <a:xfrm>
                      <a:off x="0" y="0"/>
                      <a:ext cx="5733415" cy="3202940"/>
                    </a:xfrm>
                    <a:prstGeom prst="rect">
                      <a:avLst/>
                    </a:prstGeom>
                  </pic:spPr>
                </pic:pic>
              </a:graphicData>
            </a:graphic>
          </wp:inline>
        </w:drawing>
      </w:r>
    </w:p>
    <w:p w14:paraId="4573DF46" w14:textId="0FEE67BE" w:rsidR="00A22CBD" w:rsidRDefault="007760BD">
      <w:pPr>
        <w:jc w:val="both"/>
      </w:pPr>
      <w:r>
        <w:t xml:space="preserve">Figure 9. WellCare Hub — About page </w:t>
      </w:r>
    </w:p>
    <w:p w14:paraId="3DDCEF06" w14:textId="24EAF966" w:rsidR="00951056" w:rsidRDefault="00ED2730">
      <w:pPr>
        <w:jc w:val="both"/>
      </w:pPr>
      <w:r w:rsidRPr="00ED2730">
        <w:drawing>
          <wp:inline distT="0" distB="0" distL="0" distR="0" wp14:anchorId="656E950B" wp14:editId="1FC2D191">
            <wp:extent cx="5733415" cy="3202305"/>
            <wp:effectExtent l="0" t="0" r="635" b="0"/>
            <wp:docPr id="53729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6081" name=""/>
                    <pic:cNvPicPr/>
                  </pic:nvPicPr>
                  <pic:blipFill>
                    <a:blip r:embed="rId16"/>
                    <a:stretch>
                      <a:fillRect/>
                    </a:stretch>
                  </pic:blipFill>
                  <pic:spPr>
                    <a:xfrm>
                      <a:off x="0" y="0"/>
                      <a:ext cx="5733415" cy="3202305"/>
                    </a:xfrm>
                    <a:prstGeom prst="rect">
                      <a:avLst/>
                    </a:prstGeom>
                  </pic:spPr>
                </pic:pic>
              </a:graphicData>
            </a:graphic>
          </wp:inline>
        </w:drawing>
      </w:r>
    </w:p>
    <w:p w14:paraId="7B542304" w14:textId="77777777" w:rsidR="00951056" w:rsidRDefault="00951056">
      <w:pPr>
        <w:jc w:val="both"/>
      </w:pPr>
    </w:p>
    <w:p w14:paraId="09496716" w14:textId="423E6DE0" w:rsidR="00A22CBD" w:rsidRDefault="007760BD">
      <w:pPr>
        <w:jc w:val="both"/>
      </w:pPr>
      <w:r>
        <w:t xml:space="preserve">Figure 10. WellCare Hub — FAQ page </w:t>
      </w:r>
    </w:p>
    <w:p w14:paraId="7C451D6C" w14:textId="77777777" w:rsidR="00ED2730" w:rsidRDefault="00ED2730">
      <w:pPr>
        <w:jc w:val="both"/>
      </w:pPr>
    </w:p>
    <w:p w14:paraId="0694E479" w14:textId="77777777" w:rsidR="00ED2730" w:rsidRDefault="00ED2730">
      <w:pPr>
        <w:jc w:val="both"/>
      </w:pPr>
    </w:p>
    <w:p w14:paraId="39AEAC92" w14:textId="0A1F0903" w:rsidR="00ED2730" w:rsidRDefault="00F80CAB">
      <w:pPr>
        <w:jc w:val="both"/>
      </w:pPr>
      <w:r w:rsidRPr="00F80CAB">
        <w:lastRenderedPageBreak/>
        <w:drawing>
          <wp:inline distT="0" distB="0" distL="0" distR="0" wp14:anchorId="63A9686B" wp14:editId="07407611">
            <wp:extent cx="5733415" cy="3202305"/>
            <wp:effectExtent l="0" t="0" r="635" b="0"/>
            <wp:docPr id="288425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425001" name=""/>
                    <pic:cNvPicPr/>
                  </pic:nvPicPr>
                  <pic:blipFill>
                    <a:blip r:embed="rId17"/>
                    <a:stretch>
                      <a:fillRect/>
                    </a:stretch>
                  </pic:blipFill>
                  <pic:spPr>
                    <a:xfrm>
                      <a:off x="0" y="0"/>
                      <a:ext cx="5733415" cy="3202305"/>
                    </a:xfrm>
                    <a:prstGeom prst="rect">
                      <a:avLst/>
                    </a:prstGeom>
                  </pic:spPr>
                </pic:pic>
              </a:graphicData>
            </a:graphic>
          </wp:inline>
        </w:drawing>
      </w:r>
    </w:p>
    <w:p w14:paraId="3214911A" w14:textId="77777777" w:rsidR="00ED2730" w:rsidRDefault="00ED2730">
      <w:pPr>
        <w:jc w:val="both"/>
      </w:pPr>
    </w:p>
    <w:p w14:paraId="1AEE12E3" w14:textId="77777777" w:rsidR="00ED2730" w:rsidRDefault="00ED2730">
      <w:pPr>
        <w:jc w:val="both"/>
      </w:pPr>
    </w:p>
    <w:p w14:paraId="6004649F" w14:textId="2D34160B" w:rsidR="00A22CBD" w:rsidRDefault="007760BD">
      <w:pPr>
        <w:jc w:val="both"/>
      </w:pPr>
      <w:r>
        <w:t xml:space="preserve">Figure 11. WellCare Hub — Contact page </w:t>
      </w:r>
    </w:p>
    <w:p w14:paraId="54EA4E23" w14:textId="77777777" w:rsidR="002766F3" w:rsidRDefault="002766F3">
      <w:pPr>
        <w:jc w:val="both"/>
      </w:pPr>
    </w:p>
    <w:p w14:paraId="069637E7" w14:textId="77777777" w:rsidR="00F80CAB" w:rsidRDefault="00F80CAB">
      <w:pPr>
        <w:jc w:val="both"/>
      </w:pPr>
    </w:p>
    <w:p w14:paraId="1DB626AB" w14:textId="77777777" w:rsidR="00F80CAB" w:rsidRDefault="00F80CAB">
      <w:pPr>
        <w:jc w:val="both"/>
      </w:pPr>
    </w:p>
    <w:p w14:paraId="2DFA72E3" w14:textId="1383BB85" w:rsidR="00F80CAB" w:rsidRDefault="002C54F2">
      <w:pPr>
        <w:jc w:val="both"/>
      </w:pPr>
      <w:r w:rsidRPr="002C54F2">
        <w:drawing>
          <wp:inline distT="0" distB="0" distL="0" distR="0" wp14:anchorId="3FBD8DCC" wp14:editId="3B2FA0AE">
            <wp:extent cx="5733415" cy="3184525"/>
            <wp:effectExtent l="0" t="0" r="635" b="0"/>
            <wp:docPr id="1788398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98417" name=""/>
                    <pic:cNvPicPr/>
                  </pic:nvPicPr>
                  <pic:blipFill>
                    <a:blip r:embed="rId18"/>
                    <a:stretch>
                      <a:fillRect/>
                    </a:stretch>
                  </pic:blipFill>
                  <pic:spPr>
                    <a:xfrm>
                      <a:off x="0" y="0"/>
                      <a:ext cx="5733415" cy="3184525"/>
                    </a:xfrm>
                    <a:prstGeom prst="rect">
                      <a:avLst/>
                    </a:prstGeom>
                  </pic:spPr>
                </pic:pic>
              </a:graphicData>
            </a:graphic>
          </wp:inline>
        </w:drawing>
      </w:r>
    </w:p>
    <w:p w14:paraId="500F20C8" w14:textId="77777777" w:rsidR="00F80CAB" w:rsidRDefault="00F80CAB">
      <w:pPr>
        <w:jc w:val="both"/>
      </w:pPr>
    </w:p>
    <w:p w14:paraId="39EA545D" w14:textId="77777777" w:rsidR="00F80CAB" w:rsidRDefault="00F80CAB">
      <w:pPr>
        <w:jc w:val="both"/>
      </w:pPr>
    </w:p>
    <w:p w14:paraId="113A55DF" w14:textId="77777777" w:rsidR="00F80CAB" w:rsidRDefault="00F80CAB">
      <w:pPr>
        <w:jc w:val="both"/>
      </w:pPr>
    </w:p>
    <w:p w14:paraId="56DF24B3" w14:textId="77777777" w:rsidR="00F80CAB" w:rsidRDefault="00F80CAB">
      <w:pPr>
        <w:jc w:val="both"/>
      </w:pPr>
    </w:p>
    <w:p w14:paraId="7B08814A" w14:textId="77777777" w:rsidR="002766F3" w:rsidRDefault="002766F3">
      <w:pPr>
        <w:jc w:val="both"/>
      </w:pPr>
    </w:p>
    <w:p w14:paraId="61CDE09F" w14:textId="77777777" w:rsidR="002766F3" w:rsidRPr="00CC6F98" w:rsidRDefault="002766F3" w:rsidP="002766F3">
      <w:pPr>
        <w:pStyle w:val="Heading2"/>
        <w:rPr>
          <w:color w:val="000000" w:themeColor="text1"/>
          <w:u w:val="single"/>
        </w:rPr>
      </w:pPr>
      <w:r w:rsidRPr="00CC6F98">
        <w:rPr>
          <w:color w:val="000000" w:themeColor="text1"/>
          <w:u w:val="single"/>
        </w:rPr>
        <w:lastRenderedPageBreak/>
        <w:t>4.1 Moodboard and Wireframe Design</w:t>
      </w:r>
    </w:p>
    <w:p w14:paraId="0A7FF19E" w14:textId="4AB61037" w:rsidR="00994622" w:rsidRPr="00994622"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A moodboard is a visual collage of images, patterns, typography and words selected to express a product’s intended tone and visual direction [</w:t>
      </w:r>
      <w:r w:rsidR="004C00D8">
        <w:rPr>
          <w:rFonts w:asciiTheme="majorHAnsi" w:hAnsiTheme="majorHAnsi" w:cstheme="majorHAnsi"/>
          <w:sz w:val="22"/>
          <w:szCs w:val="22"/>
        </w:rPr>
        <w:t>10</w:t>
      </w:r>
      <w:r w:rsidRPr="00994622">
        <w:rPr>
          <w:rFonts w:asciiTheme="majorHAnsi" w:hAnsiTheme="majorHAnsi" w:cstheme="majorHAnsi"/>
          <w:sz w:val="22"/>
          <w:szCs w:val="22"/>
        </w:rPr>
        <w:t>].</w:t>
      </w:r>
    </w:p>
    <w:p w14:paraId="6964F49E" w14:textId="777C33C8" w:rsidR="00994622" w:rsidRPr="00994622"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In UX work, it translates abstract aims, such as calmness or reassurance, into examples that can be discussed and compared [</w:t>
      </w:r>
      <w:r w:rsidR="004C00D8">
        <w:rPr>
          <w:rFonts w:asciiTheme="majorHAnsi" w:hAnsiTheme="majorHAnsi" w:cstheme="majorHAnsi"/>
          <w:sz w:val="22"/>
          <w:szCs w:val="22"/>
        </w:rPr>
        <w:t>10</w:t>
      </w:r>
      <w:r w:rsidRPr="00994622">
        <w:rPr>
          <w:rFonts w:asciiTheme="majorHAnsi" w:hAnsiTheme="majorHAnsi" w:cstheme="majorHAnsi"/>
          <w:sz w:val="22"/>
          <w:szCs w:val="22"/>
        </w:rPr>
        <w:t>]. It is an early design guide, not a finished interface or proof of usability [1</w:t>
      </w:r>
      <w:r w:rsidR="004C00D8">
        <w:rPr>
          <w:rFonts w:asciiTheme="majorHAnsi" w:hAnsiTheme="majorHAnsi" w:cstheme="majorHAnsi"/>
          <w:sz w:val="22"/>
          <w:szCs w:val="22"/>
        </w:rPr>
        <w:t>1</w:t>
      </w:r>
      <w:r w:rsidRPr="00994622">
        <w:rPr>
          <w:rFonts w:asciiTheme="majorHAnsi" w:hAnsiTheme="majorHAnsi" w:cstheme="majorHAnsi"/>
          <w:sz w:val="22"/>
          <w:szCs w:val="22"/>
        </w:rPr>
        <w:t>].</w:t>
      </w:r>
    </w:p>
    <w:p w14:paraId="161F5F22" w14:textId="496D2F9C" w:rsidR="00F44664"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 xml:space="preserve">The moodboard for the WellCare prototype brings together visual references intended to communicate clarity, reassurance, professionalism and care. Its colours, type and image choices give the page designs a consistent starting point. This responds to the brief’s concern about inconsistent branding and low patient confidence. A calm visual style may support recognition, but it does not by itself make content accessible or information </w:t>
      </w:r>
      <w:r w:rsidR="004C00D8" w:rsidRPr="00994622">
        <w:rPr>
          <w:rFonts w:asciiTheme="majorHAnsi" w:hAnsiTheme="majorHAnsi" w:cstheme="majorHAnsi"/>
          <w:sz w:val="22"/>
          <w:szCs w:val="22"/>
        </w:rPr>
        <w:t>trustworthy</w:t>
      </w:r>
      <w:r w:rsidR="004C00D8">
        <w:rPr>
          <w:rFonts w:asciiTheme="majorHAnsi" w:hAnsiTheme="majorHAnsi" w:cstheme="majorHAnsi"/>
          <w:sz w:val="22"/>
          <w:szCs w:val="22"/>
        </w:rPr>
        <w:t xml:space="preserve"> [12]</w:t>
      </w:r>
      <w:r w:rsidRPr="00994622">
        <w:rPr>
          <w:rFonts w:asciiTheme="majorHAnsi" w:hAnsiTheme="majorHAnsi" w:cstheme="majorHAnsi"/>
          <w:sz w:val="22"/>
          <w:szCs w:val="22"/>
        </w:rPr>
        <w:t>.</w:t>
      </w:r>
    </w:p>
    <w:p w14:paraId="24580359" w14:textId="5F85411A" w:rsidR="00F44664"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 xml:space="preserve"> </w:t>
      </w:r>
    </w:p>
    <w:p w14:paraId="61093068" w14:textId="7A19D661" w:rsidR="00994622" w:rsidRPr="00994622"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 xml:space="preserve">Those outcomes also depend on readable copy, sufficient contrast, visible provider details and clear privacy </w:t>
      </w:r>
      <w:r w:rsidR="00DB76AF" w:rsidRPr="00994622">
        <w:rPr>
          <w:rFonts w:asciiTheme="majorHAnsi" w:hAnsiTheme="majorHAnsi" w:cstheme="majorHAnsi"/>
          <w:sz w:val="22"/>
          <w:szCs w:val="22"/>
        </w:rPr>
        <w:t>information.</w:t>
      </w:r>
      <w:r w:rsidRPr="00994622">
        <w:rPr>
          <w:rFonts w:asciiTheme="majorHAnsi" w:hAnsiTheme="majorHAnsi" w:cstheme="majorHAnsi"/>
          <w:sz w:val="22"/>
          <w:szCs w:val="22"/>
        </w:rPr>
        <w:t xml:space="preserve"> The board therefore guides visual choices rather than proving that patients will respond positively to them. A moodboard can also reduce conflicting visual choices when screens are produced at different times [</w:t>
      </w:r>
      <w:r w:rsidR="004C00D8">
        <w:rPr>
          <w:rFonts w:asciiTheme="majorHAnsi" w:hAnsiTheme="majorHAnsi" w:cstheme="majorHAnsi"/>
          <w:sz w:val="22"/>
          <w:szCs w:val="22"/>
        </w:rPr>
        <w:t>12</w:t>
      </w:r>
      <w:r w:rsidRPr="00994622">
        <w:rPr>
          <w:rFonts w:asciiTheme="majorHAnsi" w:hAnsiTheme="majorHAnsi" w:cstheme="majorHAnsi"/>
          <w:sz w:val="22"/>
          <w:szCs w:val="22"/>
        </w:rPr>
        <w:t xml:space="preserve">]. Repeated colours, type and button styling connect the home page with booking and service </w:t>
      </w:r>
      <w:r w:rsidR="004C00D8" w:rsidRPr="00994622">
        <w:rPr>
          <w:rFonts w:asciiTheme="majorHAnsi" w:hAnsiTheme="majorHAnsi" w:cstheme="majorHAnsi"/>
          <w:sz w:val="22"/>
          <w:szCs w:val="22"/>
        </w:rPr>
        <w:t>screens</w:t>
      </w:r>
      <w:r w:rsidR="004C00D8">
        <w:rPr>
          <w:rFonts w:asciiTheme="majorHAnsi" w:hAnsiTheme="majorHAnsi" w:cstheme="majorHAnsi"/>
          <w:sz w:val="22"/>
          <w:szCs w:val="22"/>
        </w:rPr>
        <w:t xml:space="preserve"> [12]</w:t>
      </w:r>
      <w:r w:rsidRPr="00994622">
        <w:rPr>
          <w:rFonts w:asciiTheme="majorHAnsi" w:hAnsiTheme="majorHAnsi" w:cstheme="majorHAnsi"/>
          <w:sz w:val="22"/>
          <w:szCs w:val="22"/>
        </w:rPr>
        <w:t>.</w:t>
      </w:r>
    </w:p>
    <w:p w14:paraId="3892EBE9" w14:textId="77777777" w:rsidR="00994622" w:rsidRPr="00994622" w:rsidRDefault="00994622" w:rsidP="00F44664">
      <w:pPr>
        <w:jc w:val="both"/>
        <w:rPr>
          <w:rFonts w:asciiTheme="majorHAnsi" w:hAnsiTheme="majorHAnsi" w:cstheme="majorHAnsi"/>
          <w:sz w:val="22"/>
          <w:szCs w:val="22"/>
        </w:rPr>
      </w:pPr>
    </w:p>
    <w:p w14:paraId="77711339" w14:textId="77777777" w:rsidR="00994622" w:rsidRPr="00994622"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A wireframe is a simplified structural layout of a website or app screen. It shows where content, links and controls sit before detailed colour and decoration are added [14]. Wireframes make page organization and navigation visible for review before a higher-detail design is prepared [14].</w:t>
      </w:r>
    </w:p>
    <w:p w14:paraId="47FB59C8" w14:textId="05FDCF8B" w:rsidR="00994622" w:rsidRPr="00994622" w:rsidRDefault="00994622" w:rsidP="00F44664">
      <w:pPr>
        <w:jc w:val="both"/>
        <w:rPr>
          <w:rFonts w:asciiTheme="majorHAnsi" w:hAnsiTheme="majorHAnsi" w:cstheme="majorHAnsi"/>
          <w:sz w:val="22"/>
          <w:szCs w:val="22"/>
        </w:rPr>
      </w:pPr>
      <w:r w:rsidRPr="00994622">
        <w:rPr>
          <w:rFonts w:asciiTheme="majorHAnsi" w:hAnsiTheme="majorHAnsi" w:cstheme="majorHAnsi"/>
          <w:sz w:val="22"/>
          <w:szCs w:val="22"/>
        </w:rPr>
        <w:t xml:space="preserve">The five wireframes map the main pages and the routes between them. They place service discovery, appointment details and key health services in a planned order, rather than treating each screen as separate </w:t>
      </w:r>
      <w:proofErr w:type="gramStart"/>
      <w:r w:rsidRPr="00994622">
        <w:rPr>
          <w:rFonts w:asciiTheme="majorHAnsi" w:hAnsiTheme="majorHAnsi" w:cstheme="majorHAnsi"/>
          <w:sz w:val="22"/>
          <w:szCs w:val="22"/>
        </w:rPr>
        <w:t>artwork</w:t>
      </w:r>
      <w:r w:rsidR="00DB76AF">
        <w:rPr>
          <w:rFonts w:asciiTheme="majorHAnsi" w:hAnsiTheme="majorHAnsi" w:cstheme="majorHAnsi"/>
          <w:sz w:val="22"/>
          <w:szCs w:val="22"/>
        </w:rPr>
        <w:t>[</w:t>
      </w:r>
      <w:proofErr w:type="gramEnd"/>
      <w:r w:rsidR="00DB76AF">
        <w:rPr>
          <w:rFonts w:asciiTheme="majorHAnsi" w:hAnsiTheme="majorHAnsi" w:cstheme="majorHAnsi"/>
          <w:sz w:val="22"/>
          <w:szCs w:val="22"/>
        </w:rPr>
        <w:t>14]</w:t>
      </w:r>
      <w:r w:rsidRPr="00994622">
        <w:rPr>
          <w:rFonts w:asciiTheme="majorHAnsi" w:hAnsiTheme="majorHAnsi" w:cstheme="majorHAnsi"/>
          <w:sz w:val="22"/>
          <w:szCs w:val="22"/>
        </w:rPr>
        <w:t xml:space="preserve">. </w:t>
      </w:r>
    </w:p>
    <w:p w14:paraId="229E2A59" w14:textId="77777777" w:rsidR="002766F3" w:rsidRDefault="002766F3">
      <w:pPr>
        <w:jc w:val="both"/>
      </w:pPr>
    </w:p>
    <w:p w14:paraId="1F553A41" w14:textId="77777777" w:rsidR="002766F3" w:rsidRDefault="002766F3">
      <w:pPr>
        <w:jc w:val="both"/>
      </w:pPr>
    </w:p>
    <w:p w14:paraId="2331DB25" w14:textId="77777777" w:rsidR="00F44664" w:rsidRDefault="00F44664">
      <w:pPr>
        <w:jc w:val="both"/>
      </w:pPr>
    </w:p>
    <w:p w14:paraId="7FE0739D" w14:textId="77777777" w:rsidR="00F44664" w:rsidRDefault="00F44664">
      <w:pPr>
        <w:jc w:val="both"/>
      </w:pPr>
    </w:p>
    <w:p w14:paraId="493651FC" w14:textId="77777777" w:rsidR="00F44664" w:rsidRDefault="00F44664">
      <w:pPr>
        <w:jc w:val="both"/>
      </w:pPr>
    </w:p>
    <w:p w14:paraId="0264FEFB" w14:textId="77777777" w:rsidR="00F44664" w:rsidRDefault="00F44664">
      <w:pPr>
        <w:jc w:val="both"/>
      </w:pPr>
    </w:p>
    <w:p w14:paraId="65781614" w14:textId="77777777" w:rsidR="00F44664" w:rsidRDefault="00F44664">
      <w:pPr>
        <w:jc w:val="both"/>
      </w:pPr>
    </w:p>
    <w:p w14:paraId="09BD9F65" w14:textId="77777777" w:rsidR="00F44664" w:rsidRDefault="00F44664">
      <w:pPr>
        <w:jc w:val="both"/>
      </w:pPr>
    </w:p>
    <w:p w14:paraId="5C134E76" w14:textId="77777777" w:rsidR="00F44664" w:rsidRDefault="00F44664">
      <w:pPr>
        <w:jc w:val="both"/>
      </w:pPr>
    </w:p>
    <w:p w14:paraId="3FEAA0DA" w14:textId="77777777" w:rsidR="00F44664" w:rsidRDefault="00F44664">
      <w:pPr>
        <w:jc w:val="both"/>
      </w:pPr>
    </w:p>
    <w:p w14:paraId="01B332B5" w14:textId="77777777" w:rsidR="00F44664" w:rsidRDefault="00F44664">
      <w:pPr>
        <w:jc w:val="both"/>
      </w:pPr>
    </w:p>
    <w:p w14:paraId="50E05917" w14:textId="77777777" w:rsidR="00F44664" w:rsidRDefault="00F44664">
      <w:pPr>
        <w:jc w:val="both"/>
      </w:pPr>
    </w:p>
    <w:p w14:paraId="665ED319" w14:textId="77777777" w:rsidR="00F44664" w:rsidRDefault="00F44664">
      <w:pPr>
        <w:jc w:val="both"/>
      </w:pPr>
    </w:p>
    <w:p w14:paraId="3985C9EE" w14:textId="77777777" w:rsidR="00F44664" w:rsidRDefault="00F44664">
      <w:pPr>
        <w:jc w:val="both"/>
      </w:pPr>
    </w:p>
    <w:p w14:paraId="1219EAAE" w14:textId="77777777" w:rsidR="00F44664" w:rsidRDefault="00F44664">
      <w:pPr>
        <w:jc w:val="both"/>
      </w:pPr>
    </w:p>
    <w:p w14:paraId="7E67F507" w14:textId="77777777" w:rsidR="004C00D8" w:rsidRDefault="004C00D8">
      <w:pPr>
        <w:jc w:val="both"/>
      </w:pPr>
    </w:p>
    <w:p w14:paraId="4D7B41EE" w14:textId="77777777" w:rsidR="004C00D8" w:rsidRDefault="004C00D8">
      <w:pPr>
        <w:jc w:val="both"/>
      </w:pPr>
    </w:p>
    <w:p w14:paraId="45F18E6E" w14:textId="77777777" w:rsidR="009A21C7" w:rsidRDefault="009A21C7">
      <w:pPr>
        <w:jc w:val="both"/>
      </w:pPr>
    </w:p>
    <w:p w14:paraId="0057BB83" w14:textId="77777777" w:rsidR="009A21C7" w:rsidRDefault="009A21C7">
      <w:pPr>
        <w:jc w:val="both"/>
      </w:pPr>
    </w:p>
    <w:p w14:paraId="52C181D0" w14:textId="77777777" w:rsidR="009A21C7" w:rsidRDefault="009A21C7">
      <w:pPr>
        <w:jc w:val="both"/>
      </w:pPr>
    </w:p>
    <w:p w14:paraId="1842983F" w14:textId="77777777" w:rsidR="009A21C7" w:rsidRDefault="009A21C7">
      <w:pPr>
        <w:jc w:val="both"/>
      </w:pPr>
    </w:p>
    <w:p w14:paraId="27294035" w14:textId="77777777" w:rsidR="00F44664" w:rsidRDefault="00F44664">
      <w:pPr>
        <w:jc w:val="both"/>
      </w:pPr>
    </w:p>
    <w:p w14:paraId="7852ACB2" w14:textId="77777777" w:rsidR="00F44664" w:rsidRDefault="00F44664">
      <w:pPr>
        <w:jc w:val="both"/>
      </w:pPr>
    </w:p>
    <w:p w14:paraId="1568DC1F" w14:textId="77777777" w:rsidR="002766F3" w:rsidRDefault="002766F3">
      <w:pPr>
        <w:jc w:val="both"/>
        <w:rPr>
          <w:rFonts w:asciiTheme="majorHAnsi" w:hAnsiTheme="majorHAnsi" w:cstheme="majorHAnsi"/>
          <w:b/>
          <w:bCs/>
        </w:rPr>
      </w:pPr>
    </w:p>
    <w:p w14:paraId="647655AE" w14:textId="77777777" w:rsidR="004C00D8" w:rsidRDefault="004C00D8">
      <w:pPr>
        <w:jc w:val="both"/>
        <w:rPr>
          <w:rFonts w:asciiTheme="majorHAnsi" w:hAnsiTheme="majorHAnsi" w:cstheme="majorHAnsi"/>
          <w:b/>
          <w:bCs/>
        </w:rPr>
      </w:pPr>
    </w:p>
    <w:p w14:paraId="68B9F281" w14:textId="77777777" w:rsidR="004C00D8" w:rsidRPr="00F44664" w:rsidRDefault="004C00D8">
      <w:pPr>
        <w:jc w:val="both"/>
        <w:rPr>
          <w:rFonts w:asciiTheme="majorHAnsi" w:hAnsiTheme="majorHAnsi" w:cstheme="majorHAnsi"/>
          <w:b/>
          <w:bCs/>
        </w:rPr>
      </w:pPr>
    </w:p>
    <w:p w14:paraId="5EE21FD9" w14:textId="7BE85DED" w:rsidR="002766F3" w:rsidRPr="00F44664" w:rsidRDefault="007760BD" w:rsidP="00F44664">
      <w:pPr>
        <w:rPr>
          <w:rFonts w:asciiTheme="majorHAnsi" w:hAnsiTheme="majorHAnsi" w:cstheme="majorHAnsi"/>
          <w:b/>
          <w:bCs/>
          <w:sz w:val="22"/>
          <w:szCs w:val="22"/>
        </w:rPr>
      </w:pPr>
      <w:r w:rsidRPr="00F44664">
        <w:rPr>
          <w:rFonts w:asciiTheme="majorHAnsi" w:hAnsiTheme="majorHAnsi" w:cstheme="majorHAnsi"/>
          <w:b/>
          <w:bCs/>
          <w:color w:val="000000" w:themeColor="text1"/>
          <w:u w:val="single"/>
        </w:rPr>
        <w:lastRenderedPageBreak/>
        <w:t>5.0 Conclusion</w:t>
      </w:r>
    </w:p>
    <w:p w14:paraId="6C287EAD" w14:textId="77777777" w:rsidR="00E266DB" w:rsidRPr="00E37A59" w:rsidRDefault="00E266DB" w:rsidP="00E266DB">
      <w:pPr>
        <w:rPr>
          <w:rFonts w:asciiTheme="majorHAnsi" w:hAnsiTheme="majorHAnsi" w:cstheme="majorHAnsi"/>
          <w:sz w:val="22"/>
          <w:szCs w:val="22"/>
        </w:rPr>
      </w:pPr>
    </w:p>
    <w:p w14:paraId="1C501C46" w14:textId="273BBC52" w:rsidR="00E266DB" w:rsidRPr="004C00D8" w:rsidRDefault="00E37A59" w:rsidP="00E266DB">
      <w:pPr>
        <w:rPr>
          <w:color w:val="000000" w:themeColor="text1"/>
        </w:rPr>
      </w:pPr>
      <w:r w:rsidRPr="004C00D8">
        <w:rPr>
          <w:rFonts w:asciiTheme="majorHAnsi" w:hAnsiTheme="majorHAnsi" w:cstheme="majorHAnsi"/>
          <w:color w:val="000000" w:themeColor="text1"/>
          <w:sz w:val="22"/>
          <w:szCs w:val="22"/>
          <w:shd w:val="clear" w:color="auto" w:fill="FFFFFF"/>
        </w:rPr>
        <w:t>During the redesign analysis, we found that the main problem with the website is overlapping features. Patients visit the site to find care, address urgent needs, book appointments, get health information, and have a safe space to discuss their health.</w:t>
      </w:r>
      <w:r w:rsidRPr="004C00D8">
        <w:rPr>
          <w:rFonts w:ascii="Open Sans" w:hAnsi="Open Sans" w:cs="Open Sans"/>
          <w:color w:val="000000" w:themeColor="text1"/>
          <w:shd w:val="clear" w:color="auto" w:fill="FFFFFF"/>
        </w:rPr>
        <w:br/>
      </w:r>
    </w:p>
    <w:p w14:paraId="3F431F52" w14:textId="584A83EA" w:rsidR="00DB76AF" w:rsidRDefault="00DB76AF" w:rsidP="00E266DB">
      <w:pPr>
        <w:rPr>
          <w:rFonts w:asciiTheme="majorHAnsi" w:hAnsiTheme="majorHAnsi" w:cstheme="majorHAnsi"/>
          <w:color w:val="000000" w:themeColor="text1"/>
          <w:sz w:val="22"/>
          <w:szCs w:val="22"/>
          <w:shd w:val="clear" w:color="auto" w:fill="FFFFFF"/>
        </w:rPr>
      </w:pPr>
      <w:r>
        <w:rPr>
          <w:rFonts w:asciiTheme="majorHAnsi" w:hAnsiTheme="majorHAnsi" w:cstheme="majorHAnsi"/>
          <w:color w:val="000000" w:themeColor="text1"/>
          <w:sz w:val="22"/>
          <w:szCs w:val="22"/>
          <w:shd w:val="clear" w:color="auto" w:fill="FFFFFF"/>
        </w:rPr>
        <w:t>B</w:t>
      </w:r>
      <w:r w:rsidR="00C3717A" w:rsidRPr="004C00D8">
        <w:rPr>
          <w:rFonts w:asciiTheme="majorHAnsi" w:hAnsiTheme="majorHAnsi" w:cstheme="majorHAnsi"/>
          <w:color w:val="000000" w:themeColor="text1"/>
          <w:sz w:val="22"/>
          <w:szCs w:val="22"/>
          <w:shd w:val="clear" w:color="auto" w:fill="FFFFFF"/>
        </w:rPr>
        <w:t xml:space="preserve">ased navigation, consumable forms, provider and privacy information, and minimal page content </w:t>
      </w:r>
      <w:r w:rsidR="00D70E60" w:rsidRPr="004C00D8">
        <w:rPr>
          <w:rFonts w:asciiTheme="majorHAnsi" w:hAnsiTheme="majorHAnsi" w:cstheme="majorHAnsi"/>
          <w:color w:val="000000" w:themeColor="text1"/>
          <w:sz w:val="22"/>
          <w:szCs w:val="22"/>
          <w:shd w:val="clear" w:color="auto" w:fill="FFFFFF"/>
        </w:rPr>
        <w:t>fulfil</w:t>
      </w:r>
      <w:r w:rsidR="00C3717A" w:rsidRPr="004C00D8">
        <w:rPr>
          <w:rFonts w:asciiTheme="majorHAnsi" w:hAnsiTheme="majorHAnsi" w:cstheme="majorHAnsi"/>
          <w:color w:val="000000" w:themeColor="text1"/>
          <w:sz w:val="22"/>
          <w:szCs w:val="22"/>
          <w:shd w:val="clear" w:color="auto" w:fill="FFFFFF"/>
        </w:rPr>
        <w:t xml:space="preserve"> these needs. Literature about communication and information access in patient portals would alleviate the communication issues, while research about accessibility would ease concerns about readability and usability of </w:t>
      </w:r>
      <w:r w:rsidRPr="004C00D8">
        <w:rPr>
          <w:rFonts w:asciiTheme="majorHAnsi" w:hAnsiTheme="majorHAnsi" w:cstheme="majorHAnsi"/>
          <w:color w:val="000000" w:themeColor="text1"/>
          <w:sz w:val="22"/>
          <w:szCs w:val="22"/>
          <w:shd w:val="clear" w:color="auto" w:fill="FFFFFF"/>
        </w:rPr>
        <w:t>pages.</w:t>
      </w:r>
    </w:p>
    <w:p w14:paraId="2C13AAFE" w14:textId="6D6E65C5" w:rsidR="00E266DB" w:rsidRPr="004C00D8" w:rsidRDefault="00C3717A" w:rsidP="00E266DB">
      <w:pPr>
        <w:rPr>
          <w:rFonts w:asciiTheme="majorHAnsi" w:hAnsiTheme="majorHAnsi" w:cstheme="majorHAnsi"/>
          <w:color w:val="000000" w:themeColor="text1"/>
          <w:sz w:val="22"/>
          <w:szCs w:val="22"/>
        </w:rPr>
      </w:pPr>
      <w:r w:rsidRPr="004C00D8">
        <w:rPr>
          <w:rFonts w:asciiTheme="majorHAnsi" w:hAnsiTheme="majorHAnsi" w:cstheme="majorHAnsi"/>
          <w:color w:val="000000" w:themeColor="text1"/>
          <w:sz w:val="22"/>
          <w:szCs w:val="22"/>
          <w:shd w:val="clear" w:color="auto" w:fill="FFFFFF"/>
        </w:rPr>
        <w:br/>
        <w:t xml:space="preserve">The moodboard and wireframes show how this situation can be expressed visually and structurally. E-commerce research is useful to understand the layout of the web page in different dimensions and how people make the most of browsing but it won't show what will be the impact for patients. We haven't yet tested the prototype, so we don't yet know whether it will lead to more bookings, whether it will be accessible, faster and trusted until we have users carrying out critical tasks and we can measure page speeds on different devices. The future plan should include measuring success in terms of task success, errors, accessibility errors and page load times, feeding that data back into refining the prototype. </w:t>
      </w:r>
    </w:p>
    <w:p w14:paraId="7D6A724E" w14:textId="77777777" w:rsidR="00E266DB" w:rsidRDefault="00E266DB" w:rsidP="00E266DB"/>
    <w:p w14:paraId="37C66B06" w14:textId="77777777" w:rsidR="00E266DB" w:rsidRDefault="00E266DB" w:rsidP="00E266DB"/>
    <w:p w14:paraId="15F958A1" w14:textId="77777777" w:rsidR="00E266DB" w:rsidRDefault="00E266DB" w:rsidP="00E266DB"/>
    <w:p w14:paraId="70153835" w14:textId="77777777" w:rsidR="00E266DB" w:rsidRDefault="00E266DB" w:rsidP="00E266DB"/>
    <w:p w14:paraId="7E087BB3" w14:textId="77777777" w:rsidR="00E266DB" w:rsidRDefault="00E266DB" w:rsidP="00E266DB"/>
    <w:p w14:paraId="5D37701D" w14:textId="77777777" w:rsidR="00E266DB" w:rsidRDefault="00E266DB" w:rsidP="00E266DB"/>
    <w:p w14:paraId="2B7BF45E" w14:textId="77777777" w:rsidR="00E266DB" w:rsidRDefault="00E266DB" w:rsidP="00E266DB"/>
    <w:p w14:paraId="25E68E5A" w14:textId="77777777" w:rsidR="00E266DB" w:rsidRDefault="00E266DB" w:rsidP="00E266DB"/>
    <w:p w14:paraId="45F64517" w14:textId="77777777" w:rsidR="00E266DB" w:rsidRDefault="00E266DB" w:rsidP="00E266DB"/>
    <w:p w14:paraId="1580F9BE" w14:textId="77777777" w:rsidR="00E266DB" w:rsidRDefault="00E266DB" w:rsidP="00E266DB"/>
    <w:p w14:paraId="6837A836" w14:textId="77777777" w:rsidR="00A36B71" w:rsidRDefault="00A36B71" w:rsidP="00E266DB"/>
    <w:p w14:paraId="52BBD256" w14:textId="77777777" w:rsidR="00A36B71" w:rsidRDefault="00A36B71" w:rsidP="00E266DB"/>
    <w:p w14:paraId="132A601B" w14:textId="77777777" w:rsidR="00A36B71" w:rsidRDefault="00A36B71" w:rsidP="00E266DB"/>
    <w:p w14:paraId="629B1A75" w14:textId="77777777" w:rsidR="00A36B71" w:rsidRDefault="00A36B71" w:rsidP="00E266DB"/>
    <w:p w14:paraId="4C1360DB" w14:textId="77777777" w:rsidR="00A36B71" w:rsidRDefault="00A36B71" w:rsidP="00E266DB"/>
    <w:p w14:paraId="6B4298B1" w14:textId="77777777" w:rsidR="00A36B71" w:rsidRDefault="00A36B71" w:rsidP="00E266DB"/>
    <w:p w14:paraId="1ADF264B" w14:textId="77777777" w:rsidR="00A36B71" w:rsidRDefault="00A36B71" w:rsidP="00E266DB"/>
    <w:p w14:paraId="33364B73" w14:textId="77777777" w:rsidR="00A36B71" w:rsidRDefault="00A36B71" w:rsidP="00E266DB"/>
    <w:p w14:paraId="292DA5BB" w14:textId="77777777" w:rsidR="00A36B71" w:rsidRDefault="00A36B71" w:rsidP="00E266DB"/>
    <w:p w14:paraId="2B7D5C59" w14:textId="77777777" w:rsidR="00A36B71" w:rsidRDefault="00A36B71" w:rsidP="00E266DB"/>
    <w:p w14:paraId="28A9485B" w14:textId="77777777" w:rsidR="00A36B71" w:rsidRDefault="00A36B71" w:rsidP="00E266DB"/>
    <w:p w14:paraId="7C17EFFA" w14:textId="77777777" w:rsidR="00A36B71" w:rsidRDefault="00A36B71" w:rsidP="00E266DB"/>
    <w:p w14:paraId="61BB6E63" w14:textId="77777777" w:rsidR="00A36B71" w:rsidRDefault="00A36B71" w:rsidP="00E266DB"/>
    <w:p w14:paraId="7AF6EC27" w14:textId="77777777" w:rsidR="00E266DB" w:rsidRDefault="00E266DB" w:rsidP="00E266DB"/>
    <w:p w14:paraId="2AB41FF3" w14:textId="77777777" w:rsidR="00E266DB" w:rsidRDefault="00E266DB" w:rsidP="00E266DB"/>
    <w:p w14:paraId="775A50DF" w14:textId="77777777" w:rsidR="009A21C7" w:rsidRDefault="009A21C7" w:rsidP="00E266DB"/>
    <w:p w14:paraId="6E06EA2E" w14:textId="77777777" w:rsidR="009A21C7" w:rsidRDefault="009A21C7" w:rsidP="00E266DB"/>
    <w:p w14:paraId="7535C195" w14:textId="77777777" w:rsidR="009A21C7" w:rsidRDefault="009A21C7" w:rsidP="00E266DB"/>
    <w:p w14:paraId="6A3B45A8" w14:textId="77777777" w:rsidR="009A21C7" w:rsidRDefault="009A21C7" w:rsidP="00E266DB"/>
    <w:p w14:paraId="6E7865EA" w14:textId="77777777" w:rsidR="00E266DB" w:rsidRDefault="00E266DB" w:rsidP="00E266DB"/>
    <w:p w14:paraId="6F93FA55" w14:textId="77777777" w:rsidR="00DB76AF" w:rsidRDefault="00DB76AF" w:rsidP="00E266DB"/>
    <w:p w14:paraId="25AC10CA" w14:textId="77777777" w:rsidR="00DB76AF" w:rsidRDefault="00DB76AF" w:rsidP="00E266DB"/>
    <w:p w14:paraId="0D93A442" w14:textId="77777777" w:rsidR="009A21C7" w:rsidRPr="00CC6F98" w:rsidRDefault="009A21C7" w:rsidP="009A21C7">
      <w:pPr>
        <w:pStyle w:val="Heading1"/>
        <w:rPr>
          <w:color w:val="000000" w:themeColor="text1"/>
          <w:u w:val="single"/>
        </w:rPr>
      </w:pPr>
      <w:r w:rsidRPr="00CC6F98">
        <w:rPr>
          <w:color w:val="000000" w:themeColor="text1"/>
          <w:u w:val="single"/>
        </w:rPr>
        <w:t>References</w:t>
      </w:r>
    </w:p>
    <w:p w14:paraId="741140F4" w14:textId="77777777" w:rsidR="009A21C7" w:rsidRDefault="009A21C7" w:rsidP="009A21C7">
      <w:pPr>
        <w:keepLines/>
        <w:spacing w:after="40"/>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3"/>
      </w:tblGrid>
      <w:tr w:rsidR="009A21C7" w:rsidRPr="00DB76AF" w14:paraId="77A27EED" w14:textId="77777777" w:rsidTr="003A6484">
        <w:tc>
          <w:tcPr>
            <w:tcW w:w="720" w:type="dxa"/>
            <w:noWrap/>
            <w:tcMar>
              <w:top w:w="0" w:type="dxa"/>
              <w:left w:w="0" w:type="dxa"/>
              <w:bottom w:w="0" w:type="dxa"/>
              <w:right w:w="0" w:type="dxa"/>
            </w:tcMar>
            <w:hideMark/>
          </w:tcPr>
          <w:p w14:paraId="54F5CDB2" w14:textId="77777777" w:rsidR="009A21C7" w:rsidRPr="00DB76AF" w:rsidRDefault="009A21C7" w:rsidP="003A6484">
            <w:pPr>
              <w:spacing w:line="360" w:lineRule="auto"/>
              <w:rPr>
                <w:sz w:val="22"/>
                <w:szCs w:val="22"/>
              </w:rPr>
            </w:pPr>
            <w:r w:rsidRPr="00DB76AF">
              <w:rPr>
                <w:sz w:val="22"/>
                <w:szCs w:val="22"/>
              </w:rPr>
              <w:t>[1]</w:t>
            </w:r>
          </w:p>
        </w:tc>
        <w:tc>
          <w:tcPr>
            <w:tcW w:w="0" w:type="auto"/>
            <w:tcMar>
              <w:top w:w="0" w:type="dxa"/>
              <w:left w:w="0" w:type="dxa"/>
              <w:bottom w:w="0" w:type="dxa"/>
              <w:right w:w="0" w:type="dxa"/>
            </w:tcMar>
            <w:hideMark/>
          </w:tcPr>
          <w:p w14:paraId="74E105A5" w14:textId="77777777" w:rsidR="009A21C7" w:rsidRPr="00DB76AF" w:rsidRDefault="009A21C7" w:rsidP="003A6484">
            <w:pPr>
              <w:spacing w:line="360" w:lineRule="auto"/>
              <w:rPr>
                <w:sz w:val="22"/>
                <w:szCs w:val="22"/>
              </w:rPr>
            </w:pPr>
            <w:r w:rsidRPr="00DB76AF">
              <w:rPr>
                <w:sz w:val="22"/>
                <w:szCs w:val="22"/>
              </w:rPr>
              <w:t xml:space="preserve">E. Carini </w:t>
            </w:r>
            <w:r w:rsidRPr="00DB76AF">
              <w:rPr>
                <w:i/>
                <w:iCs/>
                <w:sz w:val="22"/>
                <w:szCs w:val="22"/>
              </w:rPr>
              <w:t>et al.</w:t>
            </w:r>
            <w:r w:rsidRPr="00DB76AF">
              <w:rPr>
                <w:sz w:val="22"/>
                <w:szCs w:val="22"/>
              </w:rPr>
              <w:t xml:space="preserve">, “The Impact of Digital Patient Portals on Health Outcomes, System Efficiency, and Patient Attitudes: Updated Systematic Literature Review,” </w:t>
            </w:r>
            <w:r w:rsidRPr="00DB76AF">
              <w:rPr>
                <w:i/>
                <w:iCs/>
                <w:sz w:val="22"/>
                <w:szCs w:val="22"/>
              </w:rPr>
              <w:t>Journal of Medical Internet Research</w:t>
            </w:r>
            <w:r w:rsidRPr="00DB76AF">
              <w:rPr>
                <w:sz w:val="22"/>
                <w:szCs w:val="22"/>
              </w:rPr>
              <w:t xml:space="preserve">, vol. 23, no. 9, pp. 1–20, 2021, </w:t>
            </w:r>
            <w:proofErr w:type="spellStart"/>
            <w:r w:rsidRPr="00DB76AF">
              <w:rPr>
                <w:sz w:val="22"/>
                <w:szCs w:val="22"/>
              </w:rPr>
              <w:t>doi</w:t>
            </w:r>
            <w:proofErr w:type="spellEnd"/>
            <w:r w:rsidRPr="00DB76AF">
              <w:rPr>
                <w:sz w:val="22"/>
                <w:szCs w:val="22"/>
              </w:rPr>
              <w:t>: 10.2196/26189.</w:t>
            </w:r>
          </w:p>
        </w:tc>
      </w:tr>
    </w:tbl>
    <w:p w14:paraId="2FEC5132" w14:textId="77777777" w:rsidR="009A21C7" w:rsidRPr="00DB76AF" w:rsidRDefault="009A21C7" w:rsidP="009A21C7">
      <w:pPr>
        <w:keepLines/>
        <w:spacing w:after="40"/>
        <w:rPr>
          <w:sz w:val="22"/>
          <w:szCs w:val="22"/>
        </w:rPr>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3"/>
      </w:tblGrid>
      <w:tr w:rsidR="009A21C7" w:rsidRPr="00DB76AF" w14:paraId="570113A6" w14:textId="77777777" w:rsidTr="003A6484">
        <w:tc>
          <w:tcPr>
            <w:tcW w:w="720" w:type="dxa"/>
            <w:noWrap/>
            <w:tcMar>
              <w:top w:w="0" w:type="dxa"/>
              <w:left w:w="0" w:type="dxa"/>
              <w:bottom w:w="0" w:type="dxa"/>
              <w:right w:w="0" w:type="dxa"/>
            </w:tcMar>
            <w:hideMark/>
          </w:tcPr>
          <w:p w14:paraId="17F3B1D3" w14:textId="77777777" w:rsidR="009A21C7" w:rsidRPr="00DB76AF" w:rsidRDefault="009A21C7" w:rsidP="003A6484">
            <w:pPr>
              <w:spacing w:line="360" w:lineRule="auto"/>
              <w:rPr>
                <w:sz w:val="22"/>
                <w:szCs w:val="22"/>
              </w:rPr>
            </w:pPr>
            <w:r w:rsidRPr="00DB76AF">
              <w:rPr>
                <w:sz w:val="22"/>
                <w:szCs w:val="22"/>
              </w:rPr>
              <w:t>[2]</w:t>
            </w:r>
          </w:p>
        </w:tc>
        <w:tc>
          <w:tcPr>
            <w:tcW w:w="0" w:type="auto"/>
            <w:tcMar>
              <w:top w:w="0" w:type="dxa"/>
              <w:left w:w="0" w:type="dxa"/>
              <w:bottom w:w="0" w:type="dxa"/>
              <w:right w:w="0" w:type="dxa"/>
            </w:tcMar>
            <w:hideMark/>
          </w:tcPr>
          <w:p w14:paraId="7AF9AA24" w14:textId="77777777" w:rsidR="009A21C7" w:rsidRPr="00DB76AF" w:rsidRDefault="009A21C7" w:rsidP="003A6484">
            <w:pPr>
              <w:spacing w:line="360" w:lineRule="auto"/>
              <w:rPr>
                <w:sz w:val="22"/>
                <w:szCs w:val="22"/>
              </w:rPr>
            </w:pPr>
            <w:r w:rsidRPr="00DB76AF">
              <w:rPr>
                <w:sz w:val="22"/>
                <w:szCs w:val="22"/>
              </w:rPr>
              <w:t xml:space="preserve">E. H. Son and E.-S. Nahm, “Adult Patients’ Experiences of Using a Patient Portal </w:t>
            </w:r>
            <w:proofErr w:type="gramStart"/>
            <w:r w:rsidRPr="00DB76AF">
              <w:rPr>
                <w:sz w:val="22"/>
                <w:szCs w:val="22"/>
              </w:rPr>
              <w:t>With</w:t>
            </w:r>
            <w:proofErr w:type="gramEnd"/>
            <w:r w:rsidRPr="00DB76AF">
              <w:rPr>
                <w:sz w:val="22"/>
                <w:szCs w:val="22"/>
              </w:rPr>
              <w:t xml:space="preserve"> a Focus on Perceived Benefits and Difficulties, and Perceptions on Privacy and Security: Qualitative Descriptive Study,” </w:t>
            </w:r>
            <w:r w:rsidRPr="00DB76AF">
              <w:rPr>
                <w:i/>
                <w:iCs/>
                <w:sz w:val="22"/>
                <w:szCs w:val="22"/>
              </w:rPr>
              <w:t>JMIR human factors</w:t>
            </w:r>
            <w:r w:rsidRPr="00DB76AF">
              <w:rPr>
                <w:sz w:val="22"/>
                <w:szCs w:val="22"/>
              </w:rPr>
              <w:t xml:space="preserve">, vol. 10, p. e46044, 2023, </w:t>
            </w:r>
            <w:proofErr w:type="spellStart"/>
            <w:r w:rsidRPr="00DB76AF">
              <w:rPr>
                <w:sz w:val="22"/>
                <w:szCs w:val="22"/>
              </w:rPr>
              <w:t>doi</w:t>
            </w:r>
            <w:proofErr w:type="spellEnd"/>
            <w:r w:rsidRPr="00DB76AF">
              <w:rPr>
                <w:sz w:val="22"/>
                <w:szCs w:val="22"/>
              </w:rPr>
              <w:t>: 10.2196/46044.</w:t>
            </w:r>
          </w:p>
        </w:tc>
      </w:tr>
    </w:tbl>
    <w:p w14:paraId="5F5BA8C9" w14:textId="77777777" w:rsidR="009A21C7" w:rsidRPr="00DB76AF" w:rsidRDefault="009A21C7" w:rsidP="009A21C7">
      <w:pPr>
        <w:keepLines/>
        <w:spacing w:after="40"/>
        <w:ind w:left="360" w:hanging="360"/>
        <w:rPr>
          <w:sz w:val="22"/>
          <w:szCs w:val="22"/>
        </w:rPr>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3"/>
      </w:tblGrid>
      <w:tr w:rsidR="009A21C7" w:rsidRPr="00DB76AF" w14:paraId="26C33E02" w14:textId="77777777" w:rsidTr="003A6484">
        <w:tc>
          <w:tcPr>
            <w:tcW w:w="720" w:type="dxa"/>
            <w:noWrap/>
            <w:tcMar>
              <w:top w:w="0" w:type="dxa"/>
              <w:left w:w="0" w:type="dxa"/>
              <w:bottom w:w="0" w:type="dxa"/>
              <w:right w:w="0" w:type="dxa"/>
            </w:tcMar>
            <w:hideMark/>
          </w:tcPr>
          <w:p w14:paraId="5A670CEC" w14:textId="77777777" w:rsidR="009A21C7" w:rsidRPr="00DB76AF" w:rsidRDefault="009A21C7" w:rsidP="003A6484">
            <w:pPr>
              <w:spacing w:line="360" w:lineRule="auto"/>
              <w:rPr>
                <w:sz w:val="22"/>
                <w:szCs w:val="22"/>
              </w:rPr>
            </w:pPr>
            <w:r w:rsidRPr="00DB76AF">
              <w:rPr>
                <w:sz w:val="22"/>
                <w:szCs w:val="22"/>
              </w:rPr>
              <w:t>[3]</w:t>
            </w:r>
          </w:p>
        </w:tc>
        <w:tc>
          <w:tcPr>
            <w:tcW w:w="0" w:type="auto"/>
            <w:tcMar>
              <w:top w:w="0" w:type="dxa"/>
              <w:left w:w="0" w:type="dxa"/>
              <w:bottom w:w="0" w:type="dxa"/>
              <w:right w:w="0" w:type="dxa"/>
            </w:tcMar>
            <w:hideMark/>
          </w:tcPr>
          <w:p w14:paraId="3E6794C6" w14:textId="77777777" w:rsidR="009A21C7" w:rsidRPr="00DB76AF" w:rsidRDefault="009A21C7" w:rsidP="003A6484">
            <w:pPr>
              <w:spacing w:line="360" w:lineRule="auto"/>
              <w:rPr>
                <w:sz w:val="22"/>
                <w:szCs w:val="22"/>
              </w:rPr>
            </w:pPr>
            <w:r w:rsidRPr="00DB76AF">
              <w:rPr>
                <w:sz w:val="22"/>
                <w:szCs w:val="22"/>
              </w:rPr>
              <w:t xml:space="preserve">S. Ha </w:t>
            </w:r>
            <w:r w:rsidRPr="00DB76AF">
              <w:rPr>
                <w:i/>
                <w:iCs/>
                <w:sz w:val="22"/>
                <w:szCs w:val="22"/>
              </w:rPr>
              <w:t>et al.</w:t>
            </w:r>
            <w:r w:rsidRPr="00DB76AF">
              <w:rPr>
                <w:sz w:val="22"/>
                <w:szCs w:val="22"/>
              </w:rPr>
              <w:t xml:space="preserve">, “Digital Health Equity and Tailored Health Care Service for People </w:t>
            </w:r>
            <w:proofErr w:type="gramStart"/>
            <w:r w:rsidRPr="00DB76AF">
              <w:rPr>
                <w:sz w:val="22"/>
                <w:szCs w:val="22"/>
              </w:rPr>
              <w:t>With</w:t>
            </w:r>
            <w:proofErr w:type="gramEnd"/>
            <w:r w:rsidRPr="00DB76AF">
              <w:rPr>
                <w:sz w:val="22"/>
                <w:szCs w:val="22"/>
              </w:rPr>
              <w:t xml:space="preserve"> Disability: User-</w:t>
            </w:r>
            <w:proofErr w:type="spellStart"/>
            <w:r w:rsidRPr="00DB76AF">
              <w:rPr>
                <w:sz w:val="22"/>
                <w:szCs w:val="22"/>
              </w:rPr>
              <w:t>Centered</w:t>
            </w:r>
            <w:proofErr w:type="spellEnd"/>
            <w:r w:rsidRPr="00DB76AF">
              <w:rPr>
                <w:sz w:val="22"/>
                <w:szCs w:val="22"/>
              </w:rPr>
              <w:t xml:space="preserve"> Design and Usability Study,” </w:t>
            </w:r>
            <w:r w:rsidRPr="00DB76AF">
              <w:rPr>
                <w:i/>
                <w:iCs/>
                <w:sz w:val="22"/>
                <w:szCs w:val="22"/>
              </w:rPr>
              <w:t>Journal of Medical Internet Research</w:t>
            </w:r>
            <w:r w:rsidRPr="00DB76AF">
              <w:rPr>
                <w:sz w:val="22"/>
                <w:szCs w:val="22"/>
              </w:rPr>
              <w:t xml:space="preserve">, vol. 25, no. 1, p. e50029, Nov. 2023, </w:t>
            </w:r>
            <w:proofErr w:type="spellStart"/>
            <w:r w:rsidRPr="00DB76AF">
              <w:rPr>
                <w:sz w:val="22"/>
                <w:szCs w:val="22"/>
              </w:rPr>
              <w:t>doi</w:t>
            </w:r>
            <w:proofErr w:type="spellEnd"/>
            <w:r w:rsidRPr="00DB76AF">
              <w:rPr>
                <w:sz w:val="22"/>
                <w:szCs w:val="22"/>
              </w:rPr>
              <w:t>: 10.2196/50029.</w:t>
            </w:r>
          </w:p>
        </w:tc>
      </w:tr>
    </w:tbl>
    <w:p w14:paraId="2B2E908B" w14:textId="77777777" w:rsidR="009A21C7" w:rsidRPr="00DB76AF" w:rsidRDefault="009A21C7" w:rsidP="009A21C7">
      <w:pPr>
        <w:keepLines/>
        <w:spacing w:after="40"/>
        <w:ind w:left="360" w:hanging="360"/>
        <w:rPr>
          <w:sz w:val="22"/>
          <w:szCs w:val="22"/>
        </w:rPr>
      </w:pPr>
    </w:p>
    <w:p w14:paraId="346BF8B7" w14:textId="77777777" w:rsidR="009A21C7" w:rsidRPr="00DB76AF" w:rsidRDefault="009A21C7" w:rsidP="009A21C7">
      <w:pPr>
        <w:keepLines/>
        <w:spacing w:after="40"/>
        <w:rPr>
          <w:sz w:val="22"/>
          <w:szCs w:val="22"/>
        </w:rPr>
      </w:pPr>
    </w:p>
    <w:tbl>
      <w:tblPr>
        <w:tblW w:w="5000" w:type="pct"/>
        <w:tblCellMar>
          <w:top w:w="15" w:type="dxa"/>
          <w:left w:w="15" w:type="dxa"/>
          <w:bottom w:w="15" w:type="dxa"/>
          <w:right w:w="15" w:type="dxa"/>
        </w:tblCellMar>
        <w:tblLook w:val="04A0" w:firstRow="1" w:lastRow="0" w:firstColumn="1" w:lastColumn="0" w:noHBand="0" w:noVBand="1"/>
      </w:tblPr>
      <w:tblGrid>
        <w:gridCol w:w="752"/>
        <w:gridCol w:w="8277"/>
      </w:tblGrid>
      <w:tr w:rsidR="009A21C7" w:rsidRPr="00DB76AF" w14:paraId="6C82E412" w14:textId="77777777" w:rsidTr="003A6484">
        <w:tc>
          <w:tcPr>
            <w:tcW w:w="736" w:type="dxa"/>
            <w:noWrap/>
            <w:tcMar>
              <w:top w:w="0" w:type="dxa"/>
              <w:left w:w="0" w:type="dxa"/>
              <w:bottom w:w="0" w:type="dxa"/>
              <w:right w:w="0" w:type="dxa"/>
            </w:tcMar>
            <w:hideMark/>
          </w:tcPr>
          <w:p w14:paraId="2D31649D" w14:textId="77777777" w:rsidR="009A21C7" w:rsidRPr="00DB76AF" w:rsidRDefault="009A21C7" w:rsidP="003A6484">
            <w:pPr>
              <w:spacing w:line="360" w:lineRule="auto"/>
              <w:rPr>
                <w:sz w:val="22"/>
                <w:szCs w:val="22"/>
              </w:rPr>
            </w:pPr>
            <w:r w:rsidRPr="00DB76AF">
              <w:rPr>
                <w:sz w:val="22"/>
                <w:szCs w:val="22"/>
              </w:rPr>
              <w:t>[4]</w:t>
            </w:r>
          </w:p>
        </w:tc>
        <w:tc>
          <w:tcPr>
            <w:tcW w:w="0" w:type="auto"/>
            <w:tcMar>
              <w:top w:w="0" w:type="dxa"/>
              <w:left w:w="0" w:type="dxa"/>
              <w:bottom w:w="0" w:type="dxa"/>
              <w:right w:w="0" w:type="dxa"/>
            </w:tcMar>
            <w:hideMark/>
          </w:tcPr>
          <w:p w14:paraId="5AEDB699" w14:textId="77777777" w:rsidR="009A21C7" w:rsidRPr="00DB76AF" w:rsidRDefault="009A21C7" w:rsidP="003A6484">
            <w:pPr>
              <w:spacing w:line="360" w:lineRule="auto"/>
              <w:rPr>
                <w:sz w:val="22"/>
                <w:szCs w:val="22"/>
              </w:rPr>
            </w:pPr>
            <w:r w:rsidRPr="00DB76AF">
              <w:rPr>
                <w:sz w:val="22"/>
                <w:szCs w:val="22"/>
              </w:rPr>
              <w:t xml:space="preserve">K. Pogorzelska and S. Chlabicz, “Patient Satisfaction </w:t>
            </w:r>
            <w:proofErr w:type="gramStart"/>
            <w:r w:rsidRPr="00DB76AF">
              <w:rPr>
                <w:sz w:val="22"/>
                <w:szCs w:val="22"/>
              </w:rPr>
              <w:t>With</w:t>
            </w:r>
            <w:proofErr w:type="gramEnd"/>
            <w:r w:rsidRPr="00DB76AF">
              <w:rPr>
                <w:sz w:val="22"/>
                <w:szCs w:val="22"/>
              </w:rPr>
              <w:t xml:space="preserve"> Telemedicine During the COVID-19 Pandemic—a Systematic Review,” </w:t>
            </w:r>
            <w:r w:rsidRPr="00DB76AF">
              <w:rPr>
                <w:i/>
                <w:iCs/>
                <w:sz w:val="22"/>
                <w:szCs w:val="22"/>
              </w:rPr>
              <w:t>International Journal of Environmental Research and Public Health</w:t>
            </w:r>
            <w:r w:rsidRPr="00DB76AF">
              <w:rPr>
                <w:sz w:val="22"/>
                <w:szCs w:val="22"/>
              </w:rPr>
              <w:t xml:space="preserve">, vol. 19, no. 10, p. 6113, May 2022, </w:t>
            </w:r>
            <w:proofErr w:type="spellStart"/>
            <w:r w:rsidRPr="00DB76AF">
              <w:rPr>
                <w:sz w:val="22"/>
                <w:szCs w:val="22"/>
              </w:rPr>
              <w:t>doi</w:t>
            </w:r>
            <w:proofErr w:type="spellEnd"/>
            <w:r w:rsidRPr="00DB76AF">
              <w:rPr>
                <w:sz w:val="22"/>
                <w:szCs w:val="22"/>
              </w:rPr>
              <w:t>: 10.3390/ijerph19106113.</w:t>
            </w:r>
          </w:p>
        </w:tc>
      </w:tr>
      <w:tr w:rsidR="009A21C7" w:rsidRPr="00DB76AF" w14:paraId="249E7323" w14:textId="77777777" w:rsidTr="003A6484">
        <w:tc>
          <w:tcPr>
            <w:tcW w:w="736" w:type="dxa"/>
            <w:noWrap/>
            <w:tcMar>
              <w:top w:w="0" w:type="dxa"/>
              <w:left w:w="0" w:type="dxa"/>
              <w:bottom w:w="0" w:type="dxa"/>
              <w:right w:w="0" w:type="dxa"/>
            </w:tcMar>
            <w:hideMark/>
          </w:tcPr>
          <w:p w14:paraId="7474743B" w14:textId="77777777" w:rsidR="009A21C7" w:rsidRPr="00DB76AF" w:rsidRDefault="009A21C7" w:rsidP="003A6484">
            <w:pPr>
              <w:spacing w:line="360" w:lineRule="auto"/>
              <w:rPr>
                <w:sz w:val="22"/>
                <w:szCs w:val="22"/>
              </w:rPr>
            </w:pPr>
            <w:r w:rsidRPr="00DB76AF">
              <w:rPr>
                <w:sz w:val="22"/>
                <w:szCs w:val="22"/>
              </w:rPr>
              <w:t>[5]</w:t>
            </w:r>
          </w:p>
        </w:tc>
        <w:tc>
          <w:tcPr>
            <w:tcW w:w="0" w:type="auto"/>
            <w:tcMar>
              <w:top w:w="0" w:type="dxa"/>
              <w:left w:w="0" w:type="dxa"/>
              <w:bottom w:w="0" w:type="dxa"/>
              <w:right w:w="0" w:type="dxa"/>
            </w:tcMar>
            <w:hideMark/>
          </w:tcPr>
          <w:p w14:paraId="329BF8A4" w14:textId="77777777" w:rsidR="009A21C7" w:rsidRPr="00DB76AF" w:rsidRDefault="009A21C7" w:rsidP="003A6484">
            <w:pPr>
              <w:spacing w:line="360" w:lineRule="auto"/>
              <w:rPr>
                <w:sz w:val="22"/>
                <w:szCs w:val="22"/>
              </w:rPr>
            </w:pPr>
            <w:r w:rsidRPr="00DB76AF">
              <w:rPr>
                <w:sz w:val="22"/>
                <w:szCs w:val="22"/>
              </w:rPr>
              <w:t xml:space="preserve">N. </w:t>
            </w:r>
            <w:proofErr w:type="spellStart"/>
            <w:r w:rsidRPr="00DB76AF">
              <w:rPr>
                <w:sz w:val="22"/>
                <w:szCs w:val="22"/>
              </w:rPr>
              <w:t>Alajarmeh</w:t>
            </w:r>
            <w:proofErr w:type="spellEnd"/>
            <w:r w:rsidRPr="00DB76AF">
              <w:rPr>
                <w:sz w:val="22"/>
                <w:szCs w:val="22"/>
              </w:rPr>
              <w:t xml:space="preserve">, “Evaluating the Accessibility of Public Health Websites: An Exploratory Cross-Country Study,” Universal Access in the Information Society, vol. 21, no. 3, Jan. 2021, </w:t>
            </w:r>
            <w:proofErr w:type="spellStart"/>
            <w:r w:rsidRPr="00DB76AF">
              <w:rPr>
                <w:sz w:val="22"/>
                <w:szCs w:val="22"/>
              </w:rPr>
              <w:t>doi</w:t>
            </w:r>
            <w:proofErr w:type="spellEnd"/>
            <w:r w:rsidRPr="00DB76AF">
              <w:rPr>
                <w:sz w:val="22"/>
                <w:szCs w:val="22"/>
              </w:rPr>
              <w:t>: 10.1007/s10209-020-00788-7.</w:t>
            </w:r>
          </w:p>
        </w:tc>
      </w:tr>
    </w:tbl>
    <w:p w14:paraId="6DB3CB19" w14:textId="77777777" w:rsidR="009A21C7" w:rsidRPr="00DB76AF" w:rsidRDefault="009A21C7" w:rsidP="009A21C7">
      <w:pPr>
        <w:keepLines/>
        <w:spacing w:after="40"/>
        <w:ind w:left="360" w:hanging="360"/>
        <w:rPr>
          <w:sz w:val="22"/>
          <w:szCs w:val="22"/>
        </w:rPr>
      </w:pPr>
    </w:p>
    <w:p w14:paraId="25835F91" w14:textId="77777777" w:rsidR="009A21C7" w:rsidRPr="00DB76AF" w:rsidRDefault="009A21C7" w:rsidP="009A21C7">
      <w:pPr>
        <w:keepLines/>
        <w:spacing w:after="40"/>
        <w:ind w:left="360" w:hanging="360"/>
        <w:rPr>
          <w:sz w:val="22"/>
          <w:szCs w:val="22"/>
        </w:rPr>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3"/>
      </w:tblGrid>
      <w:tr w:rsidR="009A21C7" w:rsidRPr="00DB76AF" w14:paraId="74A0B1C8" w14:textId="77777777" w:rsidTr="003A6484">
        <w:tc>
          <w:tcPr>
            <w:tcW w:w="720" w:type="dxa"/>
            <w:noWrap/>
            <w:tcMar>
              <w:top w:w="0" w:type="dxa"/>
              <w:left w:w="0" w:type="dxa"/>
              <w:bottom w:w="0" w:type="dxa"/>
              <w:right w:w="0" w:type="dxa"/>
            </w:tcMar>
            <w:hideMark/>
          </w:tcPr>
          <w:p w14:paraId="3BF5FD4A" w14:textId="77777777" w:rsidR="009A21C7" w:rsidRPr="00DB76AF" w:rsidRDefault="009A21C7" w:rsidP="003A6484">
            <w:pPr>
              <w:spacing w:line="360" w:lineRule="auto"/>
              <w:rPr>
                <w:sz w:val="22"/>
                <w:szCs w:val="22"/>
              </w:rPr>
            </w:pPr>
            <w:r w:rsidRPr="00DB76AF">
              <w:rPr>
                <w:sz w:val="22"/>
                <w:szCs w:val="22"/>
              </w:rPr>
              <w:t>[6]</w:t>
            </w:r>
          </w:p>
        </w:tc>
        <w:tc>
          <w:tcPr>
            <w:tcW w:w="0" w:type="auto"/>
            <w:tcMar>
              <w:top w:w="0" w:type="dxa"/>
              <w:left w:w="0" w:type="dxa"/>
              <w:bottom w:w="0" w:type="dxa"/>
              <w:right w:w="0" w:type="dxa"/>
            </w:tcMar>
            <w:hideMark/>
          </w:tcPr>
          <w:p w14:paraId="6702E1E3" w14:textId="77777777" w:rsidR="009A21C7" w:rsidRPr="00DB76AF" w:rsidRDefault="009A21C7" w:rsidP="003A6484">
            <w:pPr>
              <w:spacing w:line="360" w:lineRule="auto"/>
              <w:rPr>
                <w:sz w:val="22"/>
                <w:szCs w:val="22"/>
              </w:rPr>
            </w:pPr>
            <w:r w:rsidRPr="00DB76AF">
              <w:rPr>
                <w:sz w:val="22"/>
                <w:szCs w:val="22"/>
              </w:rPr>
              <w:t xml:space="preserve">K. Bould and M. J. Forshaw, “Readability of Online COVID-19 Health Information and Advice,” </w:t>
            </w:r>
            <w:r w:rsidRPr="00DB76AF">
              <w:rPr>
                <w:i/>
                <w:iCs/>
                <w:sz w:val="22"/>
                <w:szCs w:val="22"/>
              </w:rPr>
              <w:t>International Journal of Health Promotion and Education</w:t>
            </w:r>
            <w:r w:rsidRPr="00DB76AF">
              <w:rPr>
                <w:sz w:val="22"/>
                <w:szCs w:val="22"/>
              </w:rPr>
              <w:t xml:space="preserve">, vol. 61, no. 4, pp. 189–209, Jul. 2022, </w:t>
            </w:r>
            <w:proofErr w:type="spellStart"/>
            <w:r w:rsidRPr="00DB76AF">
              <w:rPr>
                <w:sz w:val="22"/>
                <w:szCs w:val="22"/>
              </w:rPr>
              <w:t>doi</w:t>
            </w:r>
            <w:proofErr w:type="spellEnd"/>
            <w:r w:rsidRPr="00DB76AF">
              <w:rPr>
                <w:sz w:val="22"/>
                <w:szCs w:val="22"/>
              </w:rPr>
              <w:t>: 10.1080/14635240.2022.2098160.</w:t>
            </w:r>
          </w:p>
        </w:tc>
      </w:tr>
    </w:tbl>
    <w:p w14:paraId="53D12A36" w14:textId="77777777" w:rsidR="009A21C7" w:rsidRPr="00DB76AF" w:rsidRDefault="009A21C7" w:rsidP="009A21C7">
      <w:pPr>
        <w:keepLines/>
        <w:spacing w:after="40"/>
        <w:ind w:left="360" w:hanging="360"/>
        <w:rPr>
          <w:sz w:val="22"/>
          <w:szCs w:val="22"/>
        </w:rPr>
      </w:pPr>
    </w:p>
    <w:p w14:paraId="1A4D2A78" w14:textId="77777777" w:rsidR="009A21C7" w:rsidRPr="00DB76AF" w:rsidRDefault="009A21C7" w:rsidP="009A21C7">
      <w:pPr>
        <w:keepLines/>
        <w:spacing w:after="40"/>
        <w:ind w:left="360" w:hanging="360"/>
        <w:rPr>
          <w:sz w:val="22"/>
          <w:szCs w:val="22"/>
        </w:rPr>
      </w:pPr>
      <w:r w:rsidRPr="00DB76AF">
        <w:rPr>
          <w:sz w:val="22"/>
          <w:szCs w:val="22"/>
        </w:rPr>
        <w:t xml:space="preserve">[7] web.dev, “Why Does Speed </w:t>
      </w:r>
      <w:proofErr w:type="gramStart"/>
      <w:r w:rsidRPr="00DB76AF">
        <w:rPr>
          <w:sz w:val="22"/>
          <w:szCs w:val="22"/>
        </w:rPr>
        <w:t>Matter?,</w:t>
      </w:r>
      <w:proofErr w:type="gramEnd"/>
      <w:r w:rsidRPr="00DB76AF">
        <w:rPr>
          <w:sz w:val="22"/>
          <w:szCs w:val="22"/>
        </w:rPr>
        <w:t>” Nov. 1, 2023. [Online]. Available: https://web.dev/learn/performance/why-speed-matters. [Accessed: Oct. 22, 2026].</w:t>
      </w:r>
    </w:p>
    <w:p w14:paraId="1D62F0B3" w14:textId="77777777" w:rsidR="009A21C7" w:rsidRPr="00DB76AF" w:rsidRDefault="009A21C7" w:rsidP="009A21C7">
      <w:pPr>
        <w:keepLines/>
        <w:spacing w:after="40"/>
        <w:ind w:left="360" w:hanging="360"/>
        <w:rPr>
          <w:sz w:val="22"/>
          <w:szCs w:val="22"/>
        </w:rPr>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3"/>
      </w:tblGrid>
      <w:tr w:rsidR="009A21C7" w:rsidRPr="00DB76AF" w14:paraId="2ECA6FF0" w14:textId="77777777" w:rsidTr="003A6484">
        <w:tc>
          <w:tcPr>
            <w:tcW w:w="720" w:type="dxa"/>
            <w:noWrap/>
            <w:tcMar>
              <w:top w:w="0" w:type="dxa"/>
              <w:left w:w="0" w:type="dxa"/>
              <w:bottom w:w="0" w:type="dxa"/>
              <w:right w:w="0" w:type="dxa"/>
            </w:tcMar>
            <w:hideMark/>
          </w:tcPr>
          <w:p w14:paraId="77B8B1DB" w14:textId="77777777" w:rsidR="009A21C7" w:rsidRPr="00DB76AF" w:rsidRDefault="009A21C7" w:rsidP="003A6484">
            <w:pPr>
              <w:spacing w:line="360" w:lineRule="auto"/>
              <w:rPr>
                <w:sz w:val="22"/>
                <w:szCs w:val="22"/>
              </w:rPr>
            </w:pPr>
            <w:r w:rsidRPr="00DB76AF">
              <w:rPr>
                <w:sz w:val="22"/>
                <w:szCs w:val="22"/>
              </w:rPr>
              <w:t>[</w:t>
            </w:r>
            <w:r>
              <w:rPr>
                <w:sz w:val="22"/>
                <w:szCs w:val="22"/>
              </w:rPr>
              <w:t>8</w:t>
            </w:r>
            <w:r w:rsidRPr="00DB76AF">
              <w:rPr>
                <w:sz w:val="22"/>
                <w:szCs w:val="22"/>
              </w:rPr>
              <w:t>]</w:t>
            </w:r>
          </w:p>
        </w:tc>
        <w:tc>
          <w:tcPr>
            <w:tcW w:w="0" w:type="auto"/>
            <w:tcMar>
              <w:top w:w="0" w:type="dxa"/>
              <w:left w:w="0" w:type="dxa"/>
              <w:bottom w:w="0" w:type="dxa"/>
              <w:right w:w="0" w:type="dxa"/>
            </w:tcMar>
            <w:hideMark/>
          </w:tcPr>
          <w:p w14:paraId="038C0C8F" w14:textId="77777777" w:rsidR="009A21C7" w:rsidRPr="00DB76AF" w:rsidRDefault="009A21C7" w:rsidP="003A6484">
            <w:pPr>
              <w:spacing w:line="360" w:lineRule="auto"/>
              <w:rPr>
                <w:sz w:val="22"/>
                <w:szCs w:val="22"/>
              </w:rPr>
            </w:pPr>
            <w:r w:rsidRPr="00DB76AF">
              <w:rPr>
                <w:sz w:val="22"/>
                <w:szCs w:val="22"/>
              </w:rPr>
              <w:t xml:space="preserve">C. Buchholz, “Responsive Web Design: Definition and Mechanics Explained,” </w:t>
            </w:r>
            <w:proofErr w:type="spellStart"/>
            <w:r w:rsidRPr="00DB76AF">
              <w:rPr>
                <w:sz w:val="22"/>
                <w:szCs w:val="22"/>
              </w:rPr>
              <w:t>Skillshare</w:t>
            </w:r>
            <w:proofErr w:type="spellEnd"/>
            <w:r w:rsidRPr="00DB76AF">
              <w:rPr>
                <w:sz w:val="22"/>
                <w:szCs w:val="22"/>
              </w:rPr>
              <w:t xml:space="preserve"> Blog. Accessed: Oct. 23, 2026. [Online]. Available: https://www.skillshare.com/en/blog/responsive-web-design-definition-and-mechanics-explained/</w:t>
            </w:r>
          </w:p>
        </w:tc>
      </w:tr>
    </w:tbl>
    <w:p w14:paraId="2735278D" w14:textId="77777777" w:rsidR="009A21C7" w:rsidRDefault="009A21C7" w:rsidP="009A21C7">
      <w:pPr>
        <w:keepLines/>
        <w:spacing w:after="40"/>
        <w:ind w:left="360" w:hanging="360"/>
      </w:pPr>
    </w:p>
    <w:p w14:paraId="3D3B0C23" w14:textId="77777777" w:rsidR="009A21C7" w:rsidRDefault="009A21C7" w:rsidP="009A21C7">
      <w:pPr>
        <w:keepLines/>
        <w:spacing w:after="40"/>
        <w:ind w:left="360" w:hanging="360"/>
      </w:pPr>
    </w:p>
    <w:p w14:paraId="1D4D723C" w14:textId="77777777" w:rsidR="009A21C7" w:rsidRDefault="009A21C7" w:rsidP="009A21C7">
      <w:pPr>
        <w:keepLines/>
        <w:spacing w:after="40"/>
        <w:ind w:left="360" w:hanging="360"/>
      </w:pPr>
    </w:p>
    <w:p w14:paraId="3F242144" w14:textId="77777777" w:rsidR="009A21C7" w:rsidRDefault="009A21C7" w:rsidP="009A21C7">
      <w:pPr>
        <w:keepLines/>
        <w:spacing w:after="40"/>
        <w:ind w:left="360" w:hanging="360"/>
      </w:pPr>
    </w:p>
    <w:p w14:paraId="681D13C1" w14:textId="77777777" w:rsidR="009A21C7" w:rsidRDefault="009A21C7" w:rsidP="009A21C7">
      <w:pPr>
        <w:keepLines/>
        <w:spacing w:after="40"/>
        <w:ind w:left="360" w:hanging="360"/>
      </w:pPr>
    </w:p>
    <w:p w14:paraId="3E8BBC17" w14:textId="77777777" w:rsidR="009A21C7" w:rsidRDefault="009A21C7" w:rsidP="009A21C7">
      <w:pPr>
        <w:keepLines/>
        <w:spacing w:after="40"/>
        <w:ind w:left="360" w:hanging="360"/>
      </w:pPr>
    </w:p>
    <w:p w14:paraId="11BB8431" w14:textId="77777777" w:rsidR="009A21C7" w:rsidRDefault="009A21C7" w:rsidP="009A21C7">
      <w:pPr>
        <w:keepLines/>
        <w:spacing w:after="40"/>
        <w:ind w:left="360" w:hanging="360"/>
      </w:pPr>
    </w:p>
    <w:p w14:paraId="61CB0A5D" w14:textId="77777777" w:rsidR="009A21C7" w:rsidRDefault="009A21C7" w:rsidP="009A21C7">
      <w:pPr>
        <w:keepLines/>
        <w:spacing w:after="40"/>
        <w:ind w:left="360" w:hanging="360"/>
      </w:pPr>
      <w:r>
        <w:rPr>
          <w:sz w:val="20"/>
        </w:rPr>
        <w:t xml:space="preserve">[9] </w:t>
      </w:r>
    </w:p>
    <w:tbl>
      <w:tblPr>
        <w:tblW w:w="5000" w:type="pct"/>
        <w:tblCellMar>
          <w:top w:w="15" w:type="dxa"/>
          <w:left w:w="15" w:type="dxa"/>
          <w:bottom w:w="15" w:type="dxa"/>
          <w:right w:w="15" w:type="dxa"/>
        </w:tblCellMar>
        <w:tblLook w:val="04A0" w:firstRow="1" w:lastRow="0" w:firstColumn="1" w:lastColumn="0" w:noHBand="0" w:noVBand="1"/>
      </w:tblPr>
      <w:tblGrid>
        <w:gridCol w:w="728"/>
        <w:gridCol w:w="8301"/>
      </w:tblGrid>
      <w:tr w:rsidR="009A21C7" w14:paraId="7A370DFE" w14:textId="77777777" w:rsidTr="003A6484">
        <w:tc>
          <w:tcPr>
            <w:tcW w:w="720" w:type="dxa"/>
            <w:noWrap/>
            <w:tcMar>
              <w:top w:w="0" w:type="dxa"/>
              <w:left w:w="0" w:type="dxa"/>
              <w:bottom w:w="0" w:type="dxa"/>
              <w:right w:w="0" w:type="dxa"/>
            </w:tcMar>
            <w:hideMark/>
          </w:tcPr>
          <w:p w14:paraId="45598553" w14:textId="77777777" w:rsidR="009A21C7" w:rsidRPr="00DB76AF" w:rsidRDefault="009A21C7" w:rsidP="003A6484">
            <w:pPr>
              <w:spacing w:line="360" w:lineRule="auto"/>
              <w:rPr>
                <w:rFonts w:asciiTheme="majorHAnsi" w:hAnsiTheme="majorHAnsi" w:cstheme="majorHAnsi"/>
                <w:sz w:val="22"/>
                <w:szCs w:val="22"/>
              </w:rPr>
            </w:pPr>
          </w:p>
        </w:tc>
        <w:tc>
          <w:tcPr>
            <w:tcW w:w="0" w:type="auto"/>
            <w:tcMar>
              <w:top w:w="0" w:type="dxa"/>
              <w:left w:w="0" w:type="dxa"/>
              <w:bottom w:w="0" w:type="dxa"/>
              <w:right w:w="0" w:type="dxa"/>
            </w:tcMar>
            <w:hideMark/>
          </w:tcPr>
          <w:p w14:paraId="165C9E71" w14:textId="77777777" w:rsidR="009A21C7" w:rsidRPr="00DB76AF" w:rsidRDefault="009A21C7" w:rsidP="003A6484">
            <w:pPr>
              <w:spacing w:line="360" w:lineRule="auto"/>
              <w:rPr>
                <w:rFonts w:asciiTheme="majorHAnsi" w:hAnsiTheme="majorHAnsi" w:cstheme="majorHAnsi"/>
                <w:sz w:val="22"/>
                <w:szCs w:val="22"/>
              </w:rPr>
            </w:pPr>
            <w:r w:rsidRPr="00DB76AF">
              <w:rPr>
                <w:rFonts w:asciiTheme="majorHAnsi" w:hAnsiTheme="majorHAnsi" w:cstheme="majorHAnsi"/>
                <w:sz w:val="22"/>
                <w:szCs w:val="22"/>
              </w:rPr>
              <w:t xml:space="preserve">J.-É. </w:t>
            </w:r>
            <w:proofErr w:type="spellStart"/>
            <w:r w:rsidRPr="00DB76AF">
              <w:rPr>
                <w:rFonts w:asciiTheme="majorHAnsi" w:hAnsiTheme="majorHAnsi" w:cstheme="majorHAnsi"/>
                <w:sz w:val="22"/>
                <w:szCs w:val="22"/>
              </w:rPr>
              <w:t>Pelet</w:t>
            </w:r>
            <w:proofErr w:type="spellEnd"/>
            <w:r w:rsidRPr="00DB76AF">
              <w:rPr>
                <w:rFonts w:asciiTheme="majorHAnsi" w:hAnsiTheme="majorHAnsi" w:cstheme="majorHAnsi"/>
                <w:sz w:val="22"/>
                <w:szCs w:val="22"/>
              </w:rPr>
              <w:t xml:space="preserve"> and B. Taieb, “Context-Aware Optimization of Mobile Commerce Website Interfaces </w:t>
            </w:r>
            <w:proofErr w:type="gramStart"/>
            <w:r w:rsidRPr="00DB76AF">
              <w:rPr>
                <w:rFonts w:asciiTheme="majorHAnsi" w:hAnsiTheme="majorHAnsi" w:cstheme="majorHAnsi"/>
                <w:sz w:val="22"/>
                <w:szCs w:val="22"/>
              </w:rPr>
              <w:t>From</w:t>
            </w:r>
            <w:proofErr w:type="gramEnd"/>
            <w:r w:rsidRPr="00DB76AF">
              <w:rPr>
                <w:rFonts w:asciiTheme="majorHAnsi" w:hAnsiTheme="majorHAnsi" w:cstheme="majorHAnsi"/>
                <w:sz w:val="22"/>
                <w:szCs w:val="22"/>
              </w:rPr>
              <w:t xml:space="preserve"> the Consumers’ Perspective: Effects on </w:t>
            </w:r>
            <w:proofErr w:type="spellStart"/>
            <w:r w:rsidRPr="00DB76AF">
              <w:rPr>
                <w:rFonts w:asciiTheme="majorHAnsi" w:hAnsiTheme="majorHAnsi" w:cstheme="majorHAnsi"/>
                <w:sz w:val="22"/>
                <w:szCs w:val="22"/>
              </w:rPr>
              <w:t>Behavioral</w:t>
            </w:r>
            <w:proofErr w:type="spellEnd"/>
            <w:r w:rsidRPr="00DB76AF">
              <w:rPr>
                <w:rFonts w:asciiTheme="majorHAnsi" w:hAnsiTheme="majorHAnsi" w:cstheme="majorHAnsi"/>
                <w:sz w:val="22"/>
                <w:szCs w:val="22"/>
              </w:rPr>
              <w:t xml:space="preserve"> Intentions,” </w:t>
            </w:r>
            <w:r w:rsidRPr="00DB76AF">
              <w:rPr>
                <w:rFonts w:asciiTheme="majorHAnsi" w:hAnsiTheme="majorHAnsi" w:cstheme="majorHAnsi"/>
                <w:i/>
                <w:iCs/>
                <w:sz w:val="22"/>
                <w:szCs w:val="22"/>
              </w:rPr>
              <w:t xml:space="preserve">Computers in Human </w:t>
            </w:r>
            <w:proofErr w:type="spellStart"/>
            <w:r w:rsidRPr="00DB76AF">
              <w:rPr>
                <w:rFonts w:asciiTheme="majorHAnsi" w:hAnsiTheme="majorHAnsi" w:cstheme="majorHAnsi"/>
                <w:i/>
                <w:iCs/>
                <w:sz w:val="22"/>
                <w:szCs w:val="22"/>
              </w:rPr>
              <w:t>Behavior</w:t>
            </w:r>
            <w:proofErr w:type="spellEnd"/>
            <w:r w:rsidRPr="00DB76AF">
              <w:rPr>
                <w:rFonts w:asciiTheme="majorHAnsi" w:hAnsiTheme="majorHAnsi" w:cstheme="majorHAnsi"/>
                <w:i/>
                <w:iCs/>
                <w:sz w:val="22"/>
                <w:szCs w:val="22"/>
              </w:rPr>
              <w:t xml:space="preserve"> Reports</w:t>
            </w:r>
            <w:r w:rsidRPr="00DB76AF">
              <w:rPr>
                <w:rFonts w:asciiTheme="majorHAnsi" w:hAnsiTheme="majorHAnsi" w:cstheme="majorHAnsi"/>
                <w:sz w:val="22"/>
                <w:szCs w:val="22"/>
              </w:rPr>
              <w:t xml:space="preserve">, vol. 7, p. 100225, Aug. 2022, </w:t>
            </w:r>
            <w:proofErr w:type="spellStart"/>
            <w:r w:rsidRPr="00DB76AF">
              <w:rPr>
                <w:rFonts w:asciiTheme="majorHAnsi" w:hAnsiTheme="majorHAnsi" w:cstheme="majorHAnsi"/>
                <w:sz w:val="22"/>
                <w:szCs w:val="22"/>
              </w:rPr>
              <w:t>doi</w:t>
            </w:r>
            <w:proofErr w:type="spellEnd"/>
            <w:r w:rsidRPr="00DB76AF">
              <w:rPr>
                <w:rFonts w:asciiTheme="majorHAnsi" w:hAnsiTheme="majorHAnsi" w:cstheme="majorHAnsi"/>
                <w:sz w:val="22"/>
                <w:szCs w:val="22"/>
              </w:rPr>
              <w:t>: 10.1016/j.chbr.2022.100225.</w:t>
            </w:r>
          </w:p>
        </w:tc>
      </w:tr>
    </w:tbl>
    <w:p w14:paraId="2D20CB47" w14:textId="77777777" w:rsidR="009A21C7" w:rsidRDefault="009A21C7" w:rsidP="009A21C7">
      <w:pPr>
        <w:keepLines/>
        <w:spacing w:after="40"/>
        <w:ind w:left="360" w:hanging="360"/>
      </w:pPr>
    </w:p>
    <w:p w14:paraId="5E231BF6" w14:textId="77777777" w:rsidR="009A21C7" w:rsidRPr="00DB76AF" w:rsidRDefault="009A21C7" w:rsidP="009A21C7">
      <w:pPr>
        <w:keepLines/>
        <w:spacing w:after="40"/>
        <w:ind w:left="360" w:hanging="360"/>
        <w:rPr>
          <w:rFonts w:asciiTheme="majorHAnsi" w:hAnsiTheme="majorHAnsi" w:cstheme="majorHAnsi"/>
        </w:rPr>
      </w:pPr>
      <w:r>
        <w:rPr>
          <w:sz w:val="20"/>
        </w:rPr>
        <w:t>[1</w:t>
      </w:r>
      <w:r w:rsidRPr="00DB76AF">
        <w:rPr>
          <w:rFonts w:asciiTheme="majorHAnsi" w:hAnsiTheme="majorHAnsi" w:cstheme="majorHAnsi"/>
          <w:sz w:val="20"/>
        </w:rPr>
        <w:t xml:space="preserve">0] J. Guo, W. Zhang, and T. Xia, “Impact of Shopping Website Design on Customer Satisfaction and Loyalty: The Mediating Role of Usability and the Moderating Role of Trust,” Sustainability, vol. 15, no. 8, Art. no. 6347, 2023, </w:t>
      </w:r>
      <w:proofErr w:type="spellStart"/>
      <w:r w:rsidRPr="00DB76AF">
        <w:rPr>
          <w:rFonts w:asciiTheme="majorHAnsi" w:hAnsiTheme="majorHAnsi" w:cstheme="majorHAnsi"/>
          <w:sz w:val="20"/>
        </w:rPr>
        <w:t>doi</w:t>
      </w:r>
      <w:proofErr w:type="spellEnd"/>
      <w:r w:rsidRPr="00DB76AF">
        <w:rPr>
          <w:rFonts w:asciiTheme="majorHAnsi" w:hAnsiTheme="majorHAnsi" w:cstheme="majorHAnsi"/>
          <w:sz w:val="20"/>
        </w:rPr>
        <w:t>: 10.3390/su15086347.</w:t>
      </w:r>
    </w:p>
    <w:p w14:paraId="03F49CEA" w14:textId="77777777" w:rsidR="009A21C7" w:rsidRPr="00DB76AF" w:rsidRDefault="009A21C7" w:rsidP="009A21C7">
      <w:pPr>
        <w:keepLines/>
        <w:spacing w:after="40"/>
        <w:ind w:left="360" w:hanging="360"/>
        <w:rPr>
          <w:rFonts w:asciiTheme="majorHAnsi" w:hAnsiTheme="majorHAnsi" w:cstheme="majorHAnsi"/>
        </w:rPr>
      </w:pPr>
      <w:r w:rsidRPr="00DB76AF">
        <w:rPr>
          <w:rFonts w:asciiTheme="majorHAnsi" w:hAnsiTheme="majorHAnsi" w:cstheme="majorHAnsi"/>
          <w:sz w:val="20"/>
        </w:rPr>
        <w:t xml:space="preserve">[11] N. Zhani, N. Mouri, and T. Ahmed, “The Role of Mobile Value and Trust as Drivers of Purchase Intentions in M-Servicescape,” Journal of Retailing and Consumer Services, vol. 68, Art. no. 103060, Sep. 2022, </w:t>
      </w:r>
      <w:proofErr w:type="spellStart"/>
      <w:r w:rsidRPr="00DB76AF">
        <w:rPr>
          <w:rFonts w:asciiTheme="majorHAnsi" w:hAnsiTheme="majorHAnsi" w:cstheme="majorHAnsi"/>
          <w:sz w:val="20"/>
        </w:rPr>
        <w:t>doi</w:t>
      </w:r>
      <w:proofErr w:type="spellEnd"/>
      <w:r w:rsidRPr="00DB76AF">
        <w:rPr>
          <w:rFonts w:asciiTheme="majorHAnsi" w:hAnsiTheme="majorHAnsi" w:cstheme="majorHAnsi"/>
          <w:sz w:val="20"/>
        </w:rPr>
        <w:t>: 10.1016/j.jretconser.2022.103060.</w:t>
      </w:r>
    </w:p>
    <w:p w14:paraId="5A3469BD" w14:textId="77777777" w:rsidR="009A21C7" w:rsidRPr="00DB76AF" w:rsidRDefault="009A21C7" w:rsidP="009A21C7">
      <w:pPr>
        <w:keepLines/>
        <w:spacing w:after="40"/>
        <w:ind w:left="360" w:hanging="360"/>
        <w:rPr>
          <w:rFonts w:asciiTheme="majorHAnsi" w:hAnsiTheme="majorHAnsi" w:cstheme="majorHAnsi"/>
        </w:rPr>
      </w:pPr>
      <w:r w:rsidRPr="00DB76AF">
        <w:rPr>
          <w:rFonts w:asciiTheme="majorHAnsi" w:hAnsiTheme="majorHAnsi" w:cstheme="majorHAnsi"/>
          <w:sz w:val="20"/>
        </w:rPr>
        <w:t xml:space="preserve">[12] U. Saleem, S. Yi, M. Bilal, D. I. Topor, and S. </w:t>
      </w:r>
      <w:proofErr w:type="spellStart"/>
      <w:r w:rsidRPr="00DB76AF">
        <w:rPr>
          <w:rFonts w:asciiTheme="majorHAnsi" w:hAnsiTheme="majorHAnsi" w:cstheme="majorHAnsi"/>
          <w:sz w:val="20"/>
        </w:rPr>
        <w:t>Căpușneanu</w:t>
      </w:r>
      <w:proofErr w:type="spellEnd"/>
      <w:r w:rsidRPr="00DB76AF">
        <w:rPr>
          <w:rFonts w:asciiTheme="majorHAnsi" w:hAnsiTheme="majorHAnsi" w:cstheme="majorHAnsi"/>
          <w:sz w:val="20"/>
        </w:rPr>
        <w:t xml:space="preserve">, “The Impact of Website Quality on Customer Satisfaction and </w:t>
      </w:r>
      <w:proofErr w:type="spellStart"/>
      <w:r w:rsidRPr="00DB76AF">
        <w:rPr>
          <w:rFonts w:asciiTheme="majorHAnsi" w:hAnsiTheme="majorHAnsi" w:cstheme="majorHAnsi"/>
          <w:sz w:val="20"/>
        </w:rPr>
        <w:t>eWOM</w:t>
      </w:r>
      <w:proofErr w:type="spellEnd"/>
      <w:r w:rsidRPr="00DB76AF">
        <w:rPr>
          <w:rFonts w:asciiTheme="majorHAnsi" w:hAnsiTheme="majorHAnsi" w:cstheme="majorHAnsi"/>
          <w:sz w:val="20"/>
        </w:rPr>
        <w:t xml:space="preserve"> in Online Purchase Intention: The Moderating Role of Gender in Risk-Taking,” Frontiers in Psychology, vol. 13, Art. no. 945707, 2022, </w:t>
      </w:r>
      <w:proofErr w:type="spellStart"/>
      <w:r w:rsidRPr="00DB76AF">
        <w:rPr>
          <w:rFonts w:asciiTheme="majorHAnsi" w:hAnsiTheme="majorHAnsi" w:cstheme="majorHAnsi"/>
          <w:sz w:val="20"/>
        </w:rPr>
        <w:t>doi</w:t>
      </w:r>
      <w:proofErr w:type="spellEnd"/>
      <w:r w:rsidRPr="00DB76AF">
        <w:rPr>
          <w:rFonts w:asciiTheme="majorHAnsi" w:hAnsiTheme="majorHAnsi" w:cstheme="majorHAnsi"/>
          <w:sz w:val="20"/>
        </w:rPr>
        <w:t>: 10.3389/fpsyg.2022.945707.</w:t>
      </w:r>
    </w:p>
    <w:p w14:paraId="27C9625C" w14:textId="77777777" w:rsidR="009A21C7" w:rsidRPr="00DB76AF" w:rsidRDefault="009A21C7" w:rsidP="009A21C7">
      <w:pPr>
        <w:keepLines/>
        <w:spacing w:after="40"/>
        <w:ind w:left="360" w:hanging="360"/>
        <w:rPr>
          <w:rFonts w:asciiTheme="majorHAnsi" w:hAnsiTheme="majorHAnsi" w:cstheme="majorHAnsi"/>
        </w:rPr>
      </w:pPr>
      <w:r w:rsidRPr="00DB76AF">
        <w:rPr>
          <w:rFonts w:asciiTheme="majorHAnsi" w:hAnsiTheme="majorHAnsi" w:cstheme="majorHAnsi"/>
          <w:sz w:val="20"/>
        </w:rPr>
        <w:t>[13] L. Yang, “Mood Boards in UX: How and Why to Use Them,” Nielsen Norman Group, Feb. 26, 2023. [Online]. Available: https://www.nngroup.com/articles/mood-boards/. [Accessed: Oct. 22, 2026].</w:t>
      </w:r>
    </w:p>
    <w:p w14:paraId="73CF3012" w14:textId="77777777" w:rsidR="009A21C7" w:rsidRPr="00DB76AF" w:rsidRDefault="009A21C7" w:rsidP="009A21C7">
      <w:pPr>
        <w:keepLines/>
        <w:spacing w:after="40"/>
        <w:ind w:left="360" w:hanging="360"/>
        <w:rPr>
          <w:rFonts w:asciiTheme="majorHAnsi" w:hAnsiTheme="majorHAnsi" w:cstheme="majorHAnsi"/>
        </w:rPr>
      </w:pPr>
      <w:r w:rsidRPr="00DB76AF">
        <w:rPr>
          <w:rFonts w:asciiTheme="majorHAnsi" w:hAnsiTheme="majorHAnsi" w:cstheme="majorHAnsi"/>
          <w:sz w:val="20"/>
        </w:rPr>
        <w:t xml:space="preserve">[14] </w:t>
      </w:r>
      <w:proofErr w:type="spellStart"/>
      <w:r w:rsidRPr="00DB76AF">
        <w:rPr>
          <w:rFonts w:asciiTheme="majorHAnsi" w:hAnsiTheme="majorHAnsi" w:cstheme="majorHAnsi"/>
          <w:sz w:val="20"/>
        </w:rPr>
        <w:t>Nulab</w:t>
      </w:r>
      <w:proofErr w:type="spellEnd"/>
      <w:r w:rsidRPr="00DB76AF">
        <w:rPr>
          <w:rFonts w:asciiTheme="majorHAnsi" w:hAnsiTheme="majorHAnsi" w:cstheme="majorHAnsi"/>
          <w:sz w:val="20"/>
        </w:rPr>
        <w:t>, “Why User-</w:t>
      </w:r>
      <w:proofErr w:type="spellStart"/>
      <w:r w:rsidRPr="00DB76AF">
        <w:rPr>
          <w:rFonts w:asciiTheme="majorHAnsi" w:hAnsiTheme="majorHAnsi" w:cstheme="majorHAnsi"/>
          <w:sz w:val="20"/>
        </w:rPr>
        <w:t>Centered</w:t>
      </w:r>
      <w:proofErr w:type="spellEnd"/>
      <w:r w:rsidRPr="00DB76AF">
        <w:rPr>
          <w:rFonts w:asciiTheme="majorHAnsi" w:hAnsiTheme="majorHAnsi" w:cstheme="majorHAnsi"/>
          <w:sz w:val="20"/>
        </w:rPr>
        <w:t xml:space="preserve"> Design Is Key for Effective Wireframing,” Oct. 16, 2023. [Online]. Available: https://nulab.com/learn/design-and-ux/user-centered-wireframing/. [Accessed: Oct. 22, 2026].</w:t>
      </w:r>
    </w:p>
    <w:p w14:paraId="15C23F0B" w14:textId="77777777" w:rsidR="00E266DB" w:rsidRPr="00E266DB" w:rsidRDefault="00E266DB" w:rsidP="00E266DB"/>
    <w:sectPr w:rsidR="00E266DB" w:rsidRPr="00E266DB" w:rsidSect="00034616">
      <w:headerReference w:type="default" r:id="rId19"/>
      <w:footerReference w:type="default" r:id="rId20"/>
      <w:pgSz w:w="11909" w:h="16834"/>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CF0C6" w14:textId="77777777" w:rsidR="007760BD" w:rsidRDefault="007760BD">
      <w:r>
        <w:separator/>
      </w:r>
    </w:p>
  </w:endnote>
  <w:endnote w:type="continuationSeparator" w:id="0">
    <w:p w14:paraId="60DDB5AB" w14:textId="77777777" w:rsidR="007760BD" w:rsidRDefault="007760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6A504" w14:textId="7D3A1E77" w:rsidR="00A22CBD" w:rsidRDefault="00A22CB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9B36B6" w14:textId="77777777" w:rsidR="007760BD" w:rsidRDefault="007760BD">
      <w:r>
        <w:separator/>
      </w:r>
    </w:p>
  </w:footnote>
  <w:footnote w:type="continuationSeparator" w:id="0">
    <w:p w14:paraId="612A6BEA" w14:textId="77777777" w:rsidR="007760BD" w:rsidRDefault="007760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E9C9D" w14:textId="4FA7D467" w:rsidR="00A22CBD" w:rsidRDefault="00A22CBD">
    <w:pPr>
      <w:pStyle w:val="Caption"/>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F4845CE"/>
    <w:multiLevelType w:val="multilevel"/>
    <w:tmpl w:val="6EE0E33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79074B9"/>
    <w:multiLevelType w:val="multilevel"/>
    <w:tmpl w:val="80ACBE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C537355"/>
    <w:multiLevelType w:val="multilevel"/>
    <w:tmpl w:val="A012430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60767082">
    <w:abstractNumId w:val="8"/>
  </w:num>
  <w:num w:numId="2" w16cid:durableId="1246649269">
    <w:abstractNumId w:val="6"/>
  </w:num>
  <w:num w:numId="3" w16cid:durableId="2093045888">
    <w:abstractNumId w:val="5"/>
  </w:num>
  <w:num w:numId="4" w16cid:durableId="116603245">
    <w:abstractNumId w:val="4"/>
  </w:num>
  <w:num w:numId="5" w16cid:durableId="256528330">
    <w:abstractNumId w:val="7"/>
  </w:num>
  <w:num w:numId="6" w16cid:durableId="1183125224">
    <w:abstractNumId w:val="3"/>
  </w:num>
  <w:num w:numId="7" w16cid:durableId="1225216168">
    <w:abstractNumId w:val="2"/>
  </w:num>
  <w:num w:numId="8" w16cid:durableId="1651205658">
    <w:abstractNumId w:val="1"/>
  </w:num>
  <w:num w:numId="9" w16cid:durableId="2049530925">
    <w:abstractNumId w:val="0"/>
  </w:num>
  <w:num w:numId="10" w16cid:durableId="250743307">
    <w:abstractNumId w:val="9"/>
  </w:num>
  <w:num w:numId="11" w16cid:durableId="548955488">
    <w:abstractNumId w:val="11"/>
  </w:num>
  <w:num w:numId="12" w16cid:durableId="21303223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699"/>
    <w:rsid w:val="00034616"/>
    <w:rsid w:val="00040312"/>
    <w:rsid w:val="0006063C"/>
    <w:rsid w:val="0015074B"/>
    <w:rsid w:val="00190FE2"/>
    <w:rsid w:val="001C3ED3"/>
    <w:rsid w:val="00236285"/>
    <w:rsid w:val="002766F3"/>
    <w:rsid w:val="0029639D"/>
    <w:rsid w:val="002C54F2"/>
    <w:rsid w:val="002F1E1C"/>
    <w:rsid w:val="003037D2"/>
    <w:rsid w:val="00320076"/>
    <w:rsid w:val="00326F90"/>
    <w:rsid w:val="0036446B"/>
    <w:rsid w:val="0037574D"/>
    <w:rsid w:val="0044173E"/>
    <w:rsid w:val="004C00D8"/>
    <w:rsid w:val="004D63F3"/>
    <w:rsid w:val="00545A9E"/>
    <w:rsid w:val="00564C9B"/>
    <w:rsid w:val="005E705F"/>
    <w:rsid w:val="00645C83"/>
    <w:rsid w:val="006A629A"/>
    <w:rsid w:val="006D7126"/>
    <w:rsid w:val="00715311"/>
    <w:rsid w:val="007760BD"/>
    <w:rsid w:val="007B4B4A"/>
    <w:rsid w:val="007C4E0D"/>
    <w:rsid w:val="00881099"/>
    <w:rsid w:val="008A4E04"/>
    <w:rsid w:val="00903233"/>
    <w:rsid w:val="00951056"/>
    <w:rsid w:val="00994622"/>
    <w:rsid w:val="009A21C7"/>
    <w:rsid w:val="00A0387A"/>
    <w:rsid w:val="00A22CBD"/>
    <w:rsid w:val="00A36B71"/>
    <w:rsid w:val="00A70DBB"/>
    <w:rsid w:val="00AA1D8D"/>
    <w:rsid w:val="00AB5880"/>
    <w:rsid w:val="00B0403E"/>
    <w:rsid w:val="00B47730"/>
    <w:rsid w:val="00B60E36"/>
    <w:rsid w:val="00B66763"/>
    <w:rsid w:val="00BA16E6"/>
    <w:rsid w:val="00C3717A"/>
    <w:rsid w:val="00CA3CDB"/>
    <w:rsid w:val="00CB0664"/>
    <w:rsid w:val="00CB332E"/>
    <w:rsid w:val="00CC6F98"/>
    <w:rsid w:val="00CC7052"/>
    <w:rsid w:val="00CD34B8"/>
    <w:rsid w:val="00D5507E"/>
    <w:rsid w:val="00D70E60"/>
    <w:rsid w:val="00DB76AF"/>
    <w:rsid w:val="00E266DB"/>
    <w:rsid w:val="00E34F83"/>
    <w:rsid w:val="00E37A59"/>
    <w:rsid w:val="00E537B8"/>
    <w:rsid w:val="00EA37BC"/>
    <w:rsid w:val="00EA7C2E"/>
    <w:rsid w:val="00ED2730"/>
    <w:rsid w:val="00F10368"/>
    <w:rsid w:val="00F230DF"/>
    <w:rsid w:val="00F44664"/>
    <w:rsid w:val="00F70C6A"/>
    <w:rsid w:val="00F714C6"/>
    <w:rsid w:val="00F80CAB"/>
    <w:rsid w:val="00F978C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C74646"/>
  <w14:defaultImageDpi w14:val="300"/>
  <w15:docId w15:val="{E1594366-24AB-4B9C-8D5D-CCF0F795C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76AF"/>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FC693F"/>
    <w:pPr>
      <w:keepNext/>
      <w:keepLines/>
      <w:spacing w:before="280" w:after="16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300"/>
      <w:contextualSpacing/>
    </w:pPr>
    <w:rPr>
      <w:rFonts w:asciiTheme="majorHAnsi" w:eastAsiaTheme="majorEastAsia" w:hAnsiTheme="majorHAnsi" w:cstheme="majorBidi"/>
      <w:b/>
      <w:color w:val="143750"/>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rPr>
      <w:b/>
      <w:bCs/>
      <w:color w:val="4F81BD" w:themeColor="accent1"/>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dc:creator>
  <cp:keywords/>
  <dc:description>generated by python-docx</dc:description>
  <cp:lastModifiedBy>U U</cp:lastModifiedBy>
  <cp:revision>2</cp:revision>
  <dcterms:created xsi:type="dcterms:W3CDTF">2026-10-23T04:52:00Z</dcterms:created>
  <dcterms:modified xsi:type="dcterms:W3CDTF">2026-10-23T04:52:00Z</dcterms:modified>
  <cp:category/>
</cp:coreProperties>
</file>