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theme+xml" PartName="/word/theme/theme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240" w:before="1540" w:line="240" w:lineRule="auto"/>
        <w:ind w:left="0" w:right="0" w:firstLine="0"/>
        <w:contextualSpacing w:val="0"/>
        <w:jc w:val="center"/>
        <w:rPr>
          <w:rFonts w:ascii="Calibri" w:cs="Calibri" w:eastAsia="Calibri" w:hAnsi="Calibri"/>
          <w:b w:val="0"/>
          <w:i w:val="0"/>
          <w:smallCaps w:val="0"/>
          <w:strike w:val="0"/>
          <w:color w:val="5b9bd5"/>
          <w:sz w:val="22"/>
          <w:szCs w:val="22"/>
          <w:u w:val="none"/>
          <w:shd w:fill="auto" w:val="clear"/>
          <w:vertAlign w:val="baseline"/>
        </w:rPr>
      </w:pPr>
      <w:bookmarkStart w:colFirst="0" w:colLast="0" w:name="_gjdgxs" w:id="0"/>
      <w:bookmarkEnd w:id="0"/>
      <w:r w:rsidDel="00000000" w:rsidR="00000000" w:rsidRPr="00000000">
        <w:rPr>
          <w:rFonts w:ascii="Calibri" w:cs="Calibri" w:eastAsia="Calibri" w:hAnsi="Calibri"/>
          <w:b w:val="0"/>
          <w:i w:val="0"/>
          <w:smallCaps w:val="0"/>
          <w:strike w:val="0"/>
          <w:color w:val="5b9bd5"/>
          <w:sz w:val="22"/>
          <w:szCs w:val="22"/>
          <w:u w:val="none"/>
          <w:shd w:fill="auto" w:val="clear"/>
          <w:vertAlign w:val="baseline"/>
        </w:rPr>
        <w:drawing>
          <wp:inline distB="0" distT="0" distL="0" distR="0">
            <wp:extent cx="1417320" cy="750898"/>
            <wp:effectExtent b="0" l="0" r="0" t="0"/>
            <wp:docPr id="147" name="image6.png"/>
            <a:graphic>
              <a:graphicData uri="http://schemas.openxmlformats.org/drawingml/2006/picture">
                <pic:pic>
                  <pic:nvPicPr>
                    <pic:cNvPr id="0" name="image6.png"/>
                    <pic:cNvPicPr preferRelativeResize="0"/>
                  </pic:nvPicPr>
                  <pic:blipFill>
                    <a:blip r:embed="rId6"/>
                    <a:srcRect b="0" l="0" r="0" t="0"/>
                    <a:stretch>
                      <a:fillRect/>
                    </a:stretch>
                  </pic:blipFill>
                  <pic:spPr>
                    <a:xfrm>
                      <a:off x="0" y="0"/>
                      <a:ext cx="1417320" cy="750898"/>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1"/>
        <w:pBdr>
          <w:top w:color="5b9bd5" w:space="6" w:sz="6" w:val="single"/>
          <w:left w:space="0" w:sz="0" w:val="nil"/>
          <w:bottom w:color="5b9bd5" w:space="6" w:sz="6" w:val="single"/>
          <w:right w:space="0" w:sz="0" w:val="nil"/>
          <w:between w:space="0" w:sz="0" w:val="nil"/>
        </w:pBdr>
        <w:shd w:fill="auto" w:val="clear"/>
        <w:spacing w:after="240" w:before="0" w:line="240" w:lineRule="auto"/>
        <w:ind w:left="0" w:right="0" w:firstLine="0"/>
        <w:contextualSpacing w:val="0"/>
        <w:jc w:val="center"/>
        <w:rPr>
          <w:rFonts w:ascii="Cambria" w:cs="Cambria" w:eastAsia="Cambria" w:hAnsi="Cambria"/>
          <w:b w:val="1"/>
          <w:i w:val="0"/>
          <w:smallCaps w:val="1"/>
          <w:strike w:val="0"/>
          <w:color w:val="5b9bd5"/>
          <w:sz w:val="80"/>
          <w:szCs w:val="80"/>
          <w:u w:val="none"/>
          <w:shd w:fill="auto" w:val="clear"/>
          <w:vertAlign w:val="baseline"/>
        </w:rPr>
      </w:pPr>
      <w:r w:rsidDel="00000000" w:rsidR="00000000" w:rsidRPr="00000000">
        <w:rPr>
          <w:rFonts w:ascii="Cambria" w:cs="Cambria" w:eastAsia="Cambria" w:hAnsi="Cambria"/>
          <w:b w:val="1"/>
          <w:i w:val="0"/>
          <w:smallCaps w:val="1"/>
          <w:strike w:val="0"/>
          <w:color w:val="5b9bd5"/>
          <w:sz w:val="72"/>
          <w:szCs w:val="72"/>
          <w:u w:val="none"/>
          <w:shd w:fill="auto" w:val="clear"/>
          <w:vertAlign w:val="baseline"/>
          <w:rtl w:val="0"/>
        </w:rPr>
        <w:t xml:space="preserve">ACADEMIC AND EMPLOYABILITY SKILLS</w:t>
      </w:r>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Calibri" w:cs="Calibri" w:eastAsia="Calibri" w:hAnsi="Calibri"/>
          <w:b w:val="1"/>
          <w:i w:val="0"/>
          <w:smallCaps w:val="0"/>
          <w:strike w:val="0"/>
          <w:color w:val="5b9bd5"/>
          <w:sz w:val="40"/>
          <w:szCs w:val="40"/>
          <w:u w:val="none"/>
          <w:shd w:fill="auto" w:val="clear"/>
          <w:vertAlign w:val="baseline"/>
        </w:rPr>
      </w:pPr>
      <w:r w:rsidDel="00000000" w:rsidR="00000000" w:rsidRPr="00000000">
        <w:rPr>
          <w:rFonts w:ascii="Calibri" w:cs="Calibri" w:eastAsia="Calibri" w:hAnsi="Calibri"/>
          <w:b w:val="1"/>
          <w:i w:val="0"/>
          <w:smallCaps w:val="0"/>
          <w:strike w:val="0"/>
          <w:color w:val="5b9bd5"/>
          <w:sz w:val="40"/>
          <w:szCs w:val="40"/>
          <w:u w:val="none"/>
          <w:shd w:fill="auto" w:val="clear"/>
          <w:vertAlign w:val="baseline"/>
          <w:rtl w:val="0"/>
        </w:rPr>
        <w:t xml:space="preserve">Assessment 1</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contextualSpacing w:val="0"/>
        <w:jc w:val="center"/>
        <w:rPr>
          <w:rFonts w:ascii="Calibri" w:cs="Calibri" w:eastAsia="Calibri" w:hAnsi="Calibri"/>
          <w:b w:val="0"/>
          <w:i w:val="0"/>
          <w:smallCaps w:val="0"/>
          <w:strike w:val="0"/>
          <w:color w:val="5b9bd5"/>
          <w:sz w:val="22"/>
          <w:szCs w:val="22"/>
          <w:u w:val="none"/>
          <w:shd w:fill="auto" w:val="clear"/>
          <w:vertAlign w:val="baseline"/>
        </w:rPr>
      </w:pPr>
      <w:r w:rsidDel="00000000" w:rsidR="00000000" w:rsidRPr="00000000">
        <w:rPr>
          <w:rFonts w:ascii="Calibri" w:cs="Calibri" w:eastAsia="Calibri" w:hAnsi="Calibri"/>
          <w:b w:val="0"/>
          <w:i w:val="0"/>
          <w:smallCaps w:val="0"/>
          <w:strike w:val="0"/>
          <w:color w:val="5b9bd5"/>
          <w:sz w:val="22"/>
          <w:szCs w:val="22"/>
          <w:u w:val="none"/>
          <w:shd w:fill="auto" w:val="clear"/>
          <w:vertAlign w:val="baseline"/>
        </w:rPr>
        <w:drawing>
          <wp:inline distB="0" distT="0" distL="0" distR="0">
            <wp:extent cx="758952" cy="478932"/>
            <wp:effectExtent b="0" l="0" r="0" t="0"/>
            <wp:docPr id="148" name="image8.png"/>
            <a:graphic>
              <a:graphicData uri="http://schemas.openxmlformats.org/drawingml/2006/picture">
                <pic:pic>
                  <pic:nvPicPr>
                    <pic:cNvPr id="0" name="image8.png"/>
                    <pic:cNvPicPr preferRelativeResize="0"/>
                  </pic:nvPicPr>
                  <pic:blipFill>
                    <a:blip r:embed="rId7"/>
                    <a:srcRect b="0" l="0" r="0" t="0"/>
                    <a:stretch>
                      <a:fillRect/>
                    </a:stretch>
                  </pic:blipFill>
                  <pic:spPr>
                    <a:xfrm>
                      <a:off x="0" y="0"/>
                      <a:ext cx="758952" cy="478932"/>
                    </a:xfrm>
                    <a:prstGeom prst="rect"/>
                    <a:ln/>
                  </pic:spPr>
                </pic:pic>
              </a:graphicData>
            </a:graphic>
          </wp:inline>
        </w:drawing>
      </w: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margin">
                  <wp:posOffset>0</wp:posOffset>
                </wp:positionH>
                <wp:positionV relativeFrom="paragraph">
                  <wp:posOffset>0</wp:posOffset>
                </wp:positionV>
                <wp:extent cx="6553200" cy="557784"/>
                <wp:effectExtent b="12700" l="0" r="0" t="0"/>
                <wp:wrapNone/>
                <wp:docPr id="145" name=""/>
                <a:graphic>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E1FFB" w:rsidDel="00000000" w:rsidP="00000000" w:rsidRDefault="000E1FFB" w:rsidRPr="000E1FFB">
                            <w:pPr>
                              <w:pStyle w:val="NoSpacing"/>
                              <w:spacing w:after="40"/>
                              <w:jc w:val="center"/>
                              <w:rPr>
                                <w:b w:val="1"/>
                                <w:caps w:val="1"/>
                                <w:color w:val="5b9bd5" w:themeColor="accent1"/>
                                <w:sz w:val="40"/>
                                <w:szCs w:val="40"/>
                              </w:rPr>
                            </w:pPr>
                            <w:r w:rsidDel="00000000" w:rsidR="00000000" w:rsidRPr="000E1FFB">
                              <w:rPr>
                                <w:b w:val="1"/>
                                <w:caps w:val="1"/>
                                <w:color w:val="5b9bd5" w:themeColor="accent1"/>
                                <w:sz w:val="40"/>
                                <w:szCs w:val="40"/>
                              </w:rPr>
                              <w:t>2018</w:t>
                            </w:r>
                          </w:p>
                          <w:p w:rsidR="000E1FFB" w:rsidDel="00000000" w:rsidP="00000000" w:rsidRDefault="00215BCD" w:rsidRPr="000E1FFB">
                            <w:pPr>
                              <w:pStyle w:val="NoSpacing"/>
                              <w:jc w:val="center"/>
                              <w:rPr>
                                <w:b w:val="1"/>
                                <w:color w:val="5b9bd5" w:themeColor="accent1"/>
                                <w:sz w:val="40"/>
                                <w:szCs w:val="40"/>
                              </w:rPr>
                            </w:pPr>
                            <w:sdt>
                              <w:sdtPr>
                                <w:rPr>
                                  <w:b w:val="1"/>
                                  <w:caps w:val="1"/>
                                  <w:color w:val="5b9bd5" w:themeColor="accent1"/>
                                  <w:sz w:val="40"/>
                                  <w:szCs w:val="40"/>
                                </w:rPr>
                                <w:alias w:val="Company"/>
                                <w:dataBinding w:prefixMappings="xmlns:ns0='http://schemas.openxmlformats.org/officeDocument/2006/extended-properties' " w:storeItemID="{6668398D-A668-4E3E-A5EB-62B293D839F1}" w:xpath="/ns0:Properties[1]/ns0:Company[1]"/>
                                <w:id w:val="1390145197"/>
                                <w:tag w:val=""/>
                                <w:text/>
                              </w:sdtPr>
                              <w:sdtEndPr/>
                              <w:sdtContent>
                                <w:r w:rsidDel="00000000" w:rsidR="000E1FFB" w:rsidRPr="000E1FFB">
                                  <w:rPr>
                                    <w:b w:val="1"/>
                                    <w:caps w:val="1"/>
                                    <w:color w:val="5b9bd5" w:themeColor="accent1"/>
                                    <w:sz w:val="40"/>
                                    <w:szCs w:val="40"/>
                                  </w:rPr>
                                  <w:t>University of Wales</w:t>
                                </w:r>
                              </w:sdtContent>
                            </w:sdt>
                          </w:p>
                          <w:p w:rsidR="000E1FFB" w:rsidDel="00000000" w:rsidP="00000000" w:rsidRDefault="00215BCD" w:rsidRPr="00000000">
                            <w:pPr>
                              <w:pStyle w:val="NoSpacing"/>
                              <w:jc w:val="center"/>
                              <w:rPr>
                                <w:color w:val="5b9bd5" w:themeColor="accent1"/>
                              </w:rPr>
                            </w:pPr>
                            <w:sdt>
                              <w:sdtPr>
                                <w:rPr>
                                  <w:b w:val="1"/>
                                  <w:color w:val="5b9bd5" w:themeColor="accent1"/>
                                  <w:sz w:val="40"/>
                                  <w:szCs w:val="40"/>
                                </w:rPr>
                                <w:alias w:val="Address"/>
                                <w:dataBinding w:prefixMappings="xmlns:ns0='http://schemas.microsoft.com/office/2006/coverPageProps' " w:storeItemID="{55AF091B-3C7A-41E3-B477-F2FDAA23CFDA}" w:xpath="/ns0:CoverPageProperties[1]/ns0:CompanyAddress[1]"/>
                                <w:id w:val="-726379553"/>
                                <w:tag w:val=""/>
                                <w:text/>
                              </w:sdtPr>
                              <w:sdtEndPr/>
                              <w:sdtContent>
                                <w:r w:rsidDel="00000000" w:rsidR="002C6503" w:rsidRPr="00000000">
                                  <w:rPr>
                                    <w:b w:val="1"/>
                                    <w:color w:val="5b9bd5" w:themeColor="accent1"/>
                                    <w:sz w:val="40"/>
                                    <w:szCs w:val="40"/>
                                  </w:rPr>
                                  <w:t xml:space="preserve">Juliana </w:t>
                                </w:r>
                                <w:proofErr w:type="spellStart"/>
                                <w:r w:rsidDel="00000000" w:rsidR="002C6503" w:rsidRPr="00000000">
                                  <w:rPr>
                                    <w:b w:val="1"/>
                                    <w:color w:val="5b9bd5" w:themeColor="accent1"/>
                                    <w:sz w:val="40"/>
                                    <w:szCs w:val="40"/>
                                  </w:rPr>
                                  <w:t>Zampa</w:t>
                                </w:r>
                                <w:proofErr w:type="spellEnd"/>
                              </w:sdtContent>
                            </w:sdt>
                          </w:p>
                        </w:txbxContent>
                      </wps:txbx>
                      <wps:bodyPr anchorCtr="0" anchor="b" bIns="0" rtlCol="0" compatLnSpc="1" forceAA="0" fromWordArt="0" horzOverflow="overflow" lIns="0" numCol="1" spcFirstLastPara="0" rIns="0" rot="0" spcCol="0" vert="horz" wrap="square" tIns="0" vertOverflow="overflow">
                        <a:prstTxWarp prst="textNoShape">
                          <a:avLst/>
                        </a:prstTxWarp>
                        <a:spAutoFit/>
                      </wps:bodyPr>
                    </wps:wsp>
                  </a:graphicData>
                </a:graphic>
              </wp:anchor>
            </w:drawing>
          </mc:Choice>
          <mc:Fallback>
            <w:drawing>
              <wp:anchor allowOverlap="1" behindDoc="0" distB="0" distT="0" distL="114300" distR="114300" hidden="0" layoutInCell="1" locked="0" relativeHeight="0" simplePos="0">
                <wp:simplePos x="0" y="0"/>
                <wp:positionH relativeFrom="margin">
                  <wp:posOffset>0</wp:posOffset>
                </wp:positionH>
                <wp:positionV relativeFrom="paragraph">
                  <wp:posOffset>0</wp:posOffset>
                </wp:positionV>
                <wp:extent cx="6553200" cy="570484"/>
                <wp:effectExtent b="0" l="0" r="0" t="0"/>
                <wp:wrapNone/>
                <wp:docPr id="145" name="image7.png"/>
                <a:graphic>
                  <a:graphicData uri="http://schemas.openxmlformats.org/drawingml/2006/picture">
                    <pic:pic>
                      <pic:nvPicPr>
                        <pic:cNvPr id="0" name="image7.png"/>
                        <pic:cNvPicPr preferRelativeResize="0"/>
                      </pic:nvPicPr>
                      <pic:blipFill>
                        <a:blip r:embed="rId8"/>
                        <a:srcRect b="0" l="0" r="0" t="0"/>
                        <a:stretch>
                          <a:fillRect/>
                        </a:stretch>
                      </pic:blipFill>
                      <pic:spPr>
                        <a:xfrm>
                          <a:off x="0" y="0"/>
                          <a:ext cx="6553200" cy="570484"/>
                        </a:xfrm>
                        <a:prstGeom prst="rect"/>
                        <a:ln/>
                      </pic:spPr>
                    </pic:pic>
                  </a:graphicData>
                </a:graphic>
              </wp:anchor>
            </w:drawing>
          </mc:Fallback>
        </mc:AlternateContent>
      </w:r>
    </w:p>
    <w:p w:rsidR="00000000" w:rsidDel="00000000" w:rsidP="00000000" w:rsidRDefault="00000000" w:rsidRPr="00000000">
      <w:pPr>
        <w:contextualSpacing w:val="0"/>
        <w:rPr>
          <w:rFonts w:ascii="Times New Roman" w:cs="Times New Roman" w:eastAsia="Times New Roman" w:hAnsi="Times New Roman"/>
          <w:sz w:val="24"/>
          <w:szCs w:val="24"/>
        </w:rPr>
      </w:pPr>
      <w:r w:rsidDel="00000000" w:rsidR="00000000" w:rsidRPr="00000000">
        <w:br w:type="page"/>
      </w:r>
      <w:r w:rsidDel="00000000" w:rsidR="00000000" w:rsidRPr="00000000">
        <w:rPr>
          <w:rtl w:val="0"/>
        </w:rPr>
      </w:r>
    </w:p>
    <w:p w:rsidR="00000000" w:rsidDel="00000000" w:rsidP="00000000" w:rsidRDefault="00000000" w:rsidRPr="00000000">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contextualSpacing w:val="0"/>
        <w:jc w:val="left"/>
        <w:rPr>
          <w:rFonts w:ascii="Calibri" w:cs="Calibri" w:eastAsia="Calibri" w:hAnsi="Calibri"/>
          <w:b w:val="1"/>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1"/>
          <w:i w:val="0"/>
          <w:smallCaps w:val="0"/>
          <w:strike w:val="0"/>
          <w:color w:val="2e75b5"/>
          <w:sz w:val="32"/>
          <w:szCs w:val="32"/>
          <w:u w:val="none"/>
          <w:shd w:fill="auto" w:val="clear"/>
          <w:vertAlign w:val="baseline"/>
          <w:rtl w:val="0"/>
        </w:rPr>
        <w:t xml:space="preserve">Table of Contents</w:t>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How employability skills ensure successful career</w:t>
              <w:tab/>
              <w:t xml:space="preserve">2</w:t>
            </w:r>
          </w:hyperlink>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Employability skills</w:t>
              <w:tab/>
              <w:t xml:space="preserve">2</w:t>
            </w:r>
          </w:hyperlink>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Common employability Skills</w:t>
              <w:tab/>
              <w:t xml:space="preserve">3</w:t>
            </w:r>
          </w:hyperlink>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22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How they are important</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contextualSpacing w:val="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References</w:t>
              <w:tab/>
              <w:t xml:space="preserve">9</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pPr>
        <w:contextualSpacing w:val="0"/>
        <w:rPr/>
      </w:pPr>
      <w:r w:rsidDel="00000000" w:rsidR="00000000" w:rsidRPr="00000000">
        <w:rPr>
          <w:rtl w:val="0"/>
        </w:rPr>
      </w:r>
    </w:p>
    <w:p w:rsidR="00000000" w:rsidDel="00000000" w:rsidP="00000000" w:rsidRDefault="00000000" w:rsidRPr="00000000">
      <w:pPr>
        <w:spacing w:after="280" w:before="10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Style w:val="Heading1"/>
        <w:contextualSpacing w:val="0"/>
        <w:rPr/>
      </w:pPr>
      <w:bookmarkStart w:colFirst="0" w:colLast="0" w:name="_30j0zll" w:id="1"/>
      <w:bookmarkEnd w:id="1"/>
      <w:r w:rsidDel="00000000" w:rsidR="00000000" w:rsidRPr="00000000">
        <w:rPr>
          <w:rtl w:val="0"/>
        </w:rPr>
        <w:t xml:space="preserve">How employability skills ensure successful career</w:t>
      </w:r>
    </w:p>
    <w:p w:rsidR="00000000" w:rsidDel="00000000" w:rsidP="00000000" w:rsidRDefault="00000000" w:rsidRPr="00000000">
      <w:pPr>
        <w:pStyle w:val="Heading2"/>
        <w:contextualSpacing w:val="0"/>
        <w:rPr/>
      </w:pPr>
      <w:bookmarkStart w:colFirst="0" w:colLast="0" w:name="_1fob9te" w:id="2"/>
      <w:bookmarkEnd w:id="2"/>
      <w:r w:rsidDel="00000000" w:rsidR="00000000" w:rsidRPr="00000000">
        <w:rPr>
          <w:rtl w:val="0"/>
        </w:rPr>
        <w:t xml:space="preserve">Employability skills</w:t>
      </w:r>
    </w:p>
    <w:p w:rsidR="00000000" w:rsidDel="00000000" w:rsidP="00000000" w:rsidRDefault="00000000" w:rsidRPr="00000000">
      <w:pPr>
        <w:spacing w:after="280" w:before="28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Employability aptitudes are the center abilities and attributes that are required in about each occupation. These are the general aptitudes that make somebody "employable." Hiring chiefs quite often search for workers with these abilities </w:t>
      </w:r>
      <w:r w:rsidDel="00000000" w:rsidR="00000000" w:rsidRPr="00000000">
        <w:rPr>
          <w:rFonts w:ascii="Times New Roman" w:cs="Times New Roman" w:eastAsia="Times New Roman" w:hAnsi="Times New Roman"/>
          <w:sz w:val="24"/>
          <w:szCs w:val="24"/>
          <w:rtl w:val="0"/>
        </w:rPr>
        <w:t xml:space="preserve">(Mondy and Bandy, 2014)</w:t>
      </w:r>
      <w:r w:rsidDel="00000000" w:rsidR="00000000" w:rsidRPr="00000000">
        <w:rPr>
          <w:rFonts w:ascii="Times New Roman" w:cs="Times New Roman" w:eastAsia="Times New Roman" w:hAnsi="Times New Roman"/>
          <w:color w:val="424242"/>
          <w:sz w:val="24"/>
          <w:szCs w:val="24"/>
          <w:highlight w:val="white"/>
          <w:rtl w:val="0"/>
        </w:rPr>
        <w:t xml:space="preserve">.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Employability abilities are now and then called foundational aptitudes or occupation preparation abilities. They are delicate aptitudes that enable you to cooperate with other people, apply information to tackle issues, and fit into any workplace.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They additionally incorporate the expert aptitudes that empower you to be fruitful in the working environment. These are viewed as transferable abilities since you can apply them to a vocation in any industry </w:t>
      </w:r>
      <w:r w:rsidDel="00000000" w:rsidR="00000000" w:rsidRPr="00000000">
        <w:rPr>
          <w:rFonts w:ascii="Times New Roman" w:cs="Times New Roman" w:eastAsia="Times New Roman" w:hAnsi="Times New Roman"/>
          <w:sz w:val="24"/>
          <w:szCs w:val="24"/>
          <w:rtl w:val="0"/>
        </w:rPr>
        <w:t xml:space="preserve">(Needleman, 1995)</w:t>
      </w:r>
      <w:r w:rsidDel="00000000" w:rsidR="00000000" w:rsidRPr="00000000">
        <w:rPr>
          <w:rFonts w:ascii="Times New Roman" w:cs="Times New Roman" w:eastAsia="Times New Roman" w:hAnsi="Times New Roman"/>
          <w:color w:val="424242"/>
          <w:sz w:val="24"/>
          <w:szCs w:val="24"/>
          <w:highlight w:val="white"/>
          <w:rtl w:val="0"/>
        </w:rPr>
        <w:t xml:space="preserve">. You can't depend on your degree alone to consequently open entryways after you graduate. It will absolutely open entryways - at the end of the day it will make you qualified to apply for occupations that indicate "must be a graduate", and the subject or class of your degree may likewise be critical to specific businesses. In any case, however great your degree class, however important your subject to the profession that you'll be applying for, it is likely that you will vie for this activity with various different graduates who are similarly all around qualified scholastically.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The universe of work is in a condition of consistent change: your profession today may include moving between various distinctive occupation capacities and businesses, and those occupations and managers are themselves prone to change and create amid the time you are utilized in them. Managers are in this way looking for graduates who are venturesome, ingenious and versatile and who, and in addition their degree, have a scope of aptitudes which can be utilized as a part of a wide assortment of settings and in addition in their professions </w:t>
      </w:r>
      <w:r w:rsidDel="00000000" w:rsidR="00000000" w:rsidRPr="00000000">
        <w:rPr>
          <w:rFonts w:ascii="Times New Roman" w:cs="Times New Roman" w:eastAsia="Times New Roman" w:hAnsi="Times New Roman"/>
          <w:sz w:val="24"/>
          <w:szCs w:val="24"/>
          <w:rtl w:val="0"/>
        </w:rPr>
        <w:t xml:space="preserve">(Mondy and Bandy, 2014)</w:t>
      </w:r>
      <w:r w:rsidDel="00000000" w:rsidR="00000000" w:rsidRPr="00000000">
        <w:rPr>
          <w:rFonts w:ascii="Times New Roman" w:cs="Times New Roman" w:eastAsia="Times New Roman" w:hAnsi="Times New Roman"/>
          <w:color w:val="424242"/>
          <w:sz w:val="24"/>
          <w:szCs w:val="24"/>
          <w:highlight w:val="white"/>
          <w:rtl w:val="0"/>
        </w:rPr>
        <w:t xml:space="preserve">. These are known as employability aptitudes.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This does not imply that your degree is unessential to businesses - the subject and standard of your degree might be fundamental or valuable in helping you enter your picked vocation - however it means that, in parallel with your examinations, you should intend to create aptitudes that will be of assistance to you in your future profession all things considered abilities are looked for by a wide range of bosses. The aptitudes you ought to create are the aptitudes that mirror your own particular identity, interests and capacities - as these are the qualities that will impact your possible decision of vocation.</w:t>
      </w:r>
    </w:p>
    <w:p w:rsidR="00000000" w:rsidDel="00000000" w:rsidP="00000000" w:rsidRDefault="00000000" w:rsidRPr="00000000">
      <w:pPr>
        <w:pStyle w:val="Heading2"/>
        <w:contextualSpacing w:val="0"/>
        <w:rPr/>
      </w:pPr>
      <w:bookmarkStart w:colFirst="0" w:colLast="0" w:name="_3znysh7" w:id="3"/>
      <w:bookmarkEnd w:id="3"/>
      <w:r w:rsidDel="00000000" w:rsidR="00000000" w:rsidRPr="00000000">
        <w:rPr>
          <w:rtl w:val="0"/>
        </w:rPr>
        <w:t xml:space="preserve">Common employability Skills</w:t>
      </w:r>
    </w:p>
    <w:p w:rsidR="00000000" w:rsidDel="00000000" w:rsidP="00000000" w:rsidRDefault="00000000" w:rsidRPr="00000000">
      <w:pPr>
        <w:spacing w:after="280" w:before="28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Recorded beneath the absolute most normal employability abilities and how to pitch at that point to managers (Australian Council for Educational Research, 2001).</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Commitment</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safe to say that you are dependable, energetic, and appreciate diligent work? Representatives that are submitted require next to no supervision or inspiration to put forth a valiant effort and to land the position finish.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Communication</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Communication is the capacity to speak with others, regardless of whether that is verbally, composed or electronically. In a work setting communication abilities are the way to building connections. The capacity to convey adequately and change your style in like manner is vital all through your working relations. It is critical that you coexist with partners, tune in and comprehend directions.</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Decision Making</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Decisions are generally made in light of instinct or thinking. Settling on a decent decision includes assembling every one of the certainties, tuning in to all arrangements, looking for counsel and monitoring repercussions.</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Flexibility</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it accurate to say that you are flexible and willing to go up against new duties? Bosses like individuals who adjust effortlessly, are flexible and have a positive mentality.</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Leadership Skills</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Leadership abilities are critical regardless of whether you are not having any significant bearing for an administrative or supervisory position (Australian Council for Educational Research, 2001). Having leadership qualities implies you utilize your drive, you prepare and see how to inspire yourself as well as other people.</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Organisation / Time Management</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you have solid authoritative abilities? Time administration includes setting sensible targets and being able to design and organize workloads. Being productive and arranging your opportunity viably is fundamental in the working environment to guarantee you meet due dates.</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Teamwork</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Each colleague has an individual part; a great cooperative person discusses well with others and has the coveted final product clear in their brain. The capacity to work and tune in to partners is basic in the work environment.</w:t>
      </w:r>
    </w:p>
    <w:p w:rsidR="00000000" w:rsidDel="00000000" w:rsidP="00000000" w:rsidRDefault="00000000" w:rsidRPr="00000000">
      <w:pPr>
        <w:pStyle w:val="Heading2"/>
        <w:contextualSpacing w:val="0"/>
        <w:rPr>
          <w:highlight w:val="white"/>
        </w:rPr>
      </w:pPr>
      <w:bookmarkStart w:colFirst="0" w:colLast="0" w:name="_2et92p0" w:id="4"/>
      <w:bookmarkEnd w:id="4"/>
      <w:r w:rsidDel="00000000" w:rsidR="00000000" w:rsidRPr="00000000">
        <w:rPr>
          <w:highlight w:val="white"/>
          <w:rtl w:val="0"/>
        </w:rPr>
        <w:t xml:space="preserve">How they are important</w:t>
      </w:r>
    </w:p>
    <w:p w:rsidR="00000000" w:rsidDel="00000000" w:rsidP="00000000" w:rsidRDefault="00000000" w:rsidRPr="00000000">
      <w:pPr>
        <w:spacing w:after="280" w:before="28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Moves in economies all through the world, incited by globalization, mechanical change, expanded rivalry, and the developing complexity of clients and customers imply that businesses are progressively searching for an arrangement of non-specific abilities to go with specialized aptitudes.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Employability aptitudes are vital in light of the fact that the work advertise is seriously aggressive, and bosses in private, open and the third segment are searching for individuals who are flexible, step up and can attempt an assortment of errands in various situations </w:t>
      </w:r>
      <w:r w:rsidDel="00000000" w:rsidR="00000000" w:rsidRPr="00000000">
        <w:rPr>
          <w:rFonts w:ascii="Times New Roman" w:cs="Times New Roman" w:eastAsia="Times New Roman" w:hAnsi="Times New Roman"/>
          <w:sz w:val="24"/>
          <w:szCs w:val="24"/>
          <w:rtl w:val="0"/>
        </w:rPr>
        <w:t xml:space="preserve">(Smith, 2007)</w:t>
      </w:r>
      <w:r w:rsidDel="00000000" w:rsidR="00000000" w:rsidRPr="00000000">
        <w:rPr>
          <w:rFonts w:ascii="Times New Roman" w:cs="Times New Roman" w:eastAsia="Times New Roman" w:hAnsi="Times New Roman"/>
          <w:color w:val="424242"/>
          <w:sz w:val="24"/>
          <w:szCs w:val="24"/>
          <w:highlight w:val="white"/>
          <w:rtl w:val="0"/>
        </w:rPr>
        <w:t xml:space="preserve">. Employability aptitudes are not as barely endorsed and characterized as before and for the most part they are more 'administration situated', making data and social abilities progressively critical. Thusly, for instance: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The overall pattern towards an expansion in benefit division occupations e.g. in business, back and retail areas expects individuals to have relational aptitudes – staff who can clarify things and take care of issues in light of customer needs </w:t>
      </w:r>
      <w:r w:rsidDel="00000000" w:rsidR="00000000" w:rsidRPr="00000000">
        <w:rPr>
          <w:rFonts w:ascii="Times New Roman" w:cs="Times New Roman" w:eastAsia="Times New Roman" w:hAnsi="Times New Roman"/>
          <w:sz w:val="24"/>
          <w:szCs w:val="24"/>
          <w:rtl w:val="0"/>
        </w:rPr>
        <w:t xml:space="preserve">(Wye and Liew, 2009)</w:t>
      </w:r>
      <w:r w:rsidDel="00000000" w:rsidR="00000000" w:rsidRPr="00000000">
        <w:rPr>
          <w:rFonts w:ascii="Times New Roman" w:cs="Times New Roman" w:eastAsia="Times New Roman" w:hAnsi="Times New Roman"/>
          <w:color w:val="424242"/>
          <w:sz w:val="24"/>
          <w:szCs w:val="24"/>
          <w:highlight w:val="white"/>
          <w:rtl w:val="0"/>
        </w:rPr>
        <w:t xml:space="preserve">. Those working in assembling are progressively working in groups, or cells and this style of working requests more inner communication and a capacity to induce, arrange and impact.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Craft specialists are regularly working with more intricate procedures which request more noteworthy reasoning, thinking and critical thinking aptitudes so as to work apparatus or manage issues. Decentralized store network administration and frameworks combination require more prominent communication, group leadership, business and business mindfulness from all staff </w:t>
      </w:r>
      <w:r w:rsidDel="00000000" w:rsidR="00000000" w:rsidRPr="00000000">
        <w:rPr>
          <w:rFonts w:ascii="Times New Roman" w:cs="Times New Roman" w:eastAsia="Times New Roman" w:hAnsi="Times New Roman"/>
          <w:sz w:val="24"/>
          <w:szCs w:val="24"/>
          <w:rtl w:val="0"/>
        </w:rPr>
        <w:t xml:space="preserve">(Mondy and Bandy, 2014)</w:t>
      </w:r>
      <w:r w:rsidDel="00000000" w:rsidR="00000000" w:rsidRPr="00000000">
        <w:rPr>
          <w:rFonts w:ascii="Times New Roman" w:cs="Times New Roman" w:eastAsia="Times New Roman" w:hAnsi="Times New Roman"/>
          <w:color w:val="424242"/>
          <w:sz w:val="24"/>
          <w:szCs w:val="24"/>
          <w:highlight w:val="white"/>
          <w:rtl w:val="0"/>
        </w:rPr>
        <w:t xml:space="preserve">. The utilization of institutionalization of PC based bundles in numerous protection, saving money and call focuses features the criticalness of communication abilities and mentalities, for example, certainty, judgment and individual association.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More research recommends that getting a degree, and putting a couple of letters after your name is sufficiently not to get you that plum work, or to dispatch your profession. What you require is an arrangement of employability abilities. Bosses get a kick out of the chance to enlist graduates who have gone the 'additional mile', 'participate', can work both exclusively and in a group, demonstrated a limit with regards to leadership, and exhibited a readiness to take chances by investing energy voyaging, and encountering new circumstances and societies (</w:t>
      </w:r>
      <w:r w:rsidDel="00000000" w:rsidR="00000000" w:rsidRPr="00000000">
        <w:rPr>
          <w:rFonts w:ascii="Times New Roman" w:cs="Times New Roman" w:eastAsia="Times New Roman" w:hAnsi="Times New Roman"/>
          <w:sz w:val="24"/>
          <w:szCs w:val="24"/>
          <w:rtl w:val="0"/>
        </w:rPr>
        <w:t xml:space="preserve">Bratton and Gold, 2012)</w:t>
      </w:r>
      <w:r w:rsidDel="00000000" w:rsidR="00000000" w:rsidRPr="00000000">
        <w:rPr>
          <w:rFonts w:ascii="Times New Roman" w:cs="Times New Roman" w:eastAsia="Times New Roman" w:hAnsi="Times New Roman"/>
          <w:color w:val="424242"/>
          <w:sz w:val="24"/>
          <w:szCs w:val="24"/>
          <w:highlight w:val="white"/>
          <w:rtl w:val="0"/>
        </w:rPr>
        <w:t xml:space="preserve">. The accomplishment of people in a learning construct economy will progressively rely on aptitudes, innovativeness and creative ability. While essential proficiency, numeracy, specialized aptitudes create aptitudes stay key, the present economy and society progressively requests individuals with a capacity to adapt to change and adjust rapidly to new situations and individuals. This is the reason employability aptitudes are increasingly imperative.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A degree is not any sufficiently more': Following emotional increments in HE arrangement in the UK and key moves in the graduate enrollment advertise, a degree is not any sufficiently more to ensure a graduate a fantastic future profession. This is more valid in light of the current monetary atmosphere. In numerous parts, selection representatives are searching for 'work-prepared' graduates with clear confirmation of occupation particular abilities notwithstanding abnormal state graduate properties (</w:t>
      </w:r>
      <w:r w:rsidDel="00000000" w:rsidR="00000000" w:rsidRPr="00000000">
        <w:rPr>
          <w:rFonts w:ascii="Times New Roman" w:cs="Times New Roman" w:eastAsia="Times New Roman" w:hAnsi="Times New Roman"/>
          <w:sz w:val="24"/>
          <w:szCs w:val="24"/>
          <w:rtl w:val="0"/>
        </w:rPr>
        <w:t xml:space="preserve">Herzberg et al., 2010)</w:t>
      </w:r>
      <w:r w:rsidDel="00000000" w:rsidR="00000000" w:rsidRPr="00000000">
        <w:rPr>
          <w:rFonts w:ascii="Times New Roman" w:cs="Times New Roman" w:eastAsia="Times New Roman" w:hAnsi="Times New Roman"/>
          <w:color w:val="424242"/>
          <w:sz w:val="24"/>
          <w:szCs w:val="24"/>
          <w:highlight w:val="white"/>
          <w:rtl w:val="0"/>
        </w:rPr>
        <w:t xml:space="preserve">. To have the upper hand in the activity advertise, understudies need built up their employability all through their opportunity at college.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One of the primary reasons understudies learn at college is to improve their vocation prospects. This turns out to be progressively vital in perspective of increasing expenses of training and levels of obligation on graduation, so people need to guarantee it has been cash well spent. This is considerably to a greater degree a driver for universal understudies.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424242"/>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Innovative instructing, learning and evaluation techniques enable understudies to take part in the training procedure and have the additional advantage of likewise helping them to create traits which make them appealing to potential businesses (</w:t>
      </w:r>
      <w:r w:rsidDel="00000000" w:rsidR="00000000" w:rsidRPr="00000000">
        <w:rPr>
          <w:rFonts w:ascii="Times New Roman" w:cs="Times New Roman" w:eastAsia="Times New Roman" w:hAnsi="Times New Roman"/>
          <w:sz w:val="24"/>
          <w:szCs w:val="24"/>
          <w:rtl w:val="0"/>
        </w:rPr>
        <w:t xml:space="preserve">Bratton and Gold, 2012)</w:t>
      </w:r>
      <w:r w:rsidDel="00000000" w:rsidR="00000000" w:rsidRPr="00000000">
        <w:rPr>
          <w:rFonts w:ascii="Times New Roman" w:cs="Times New Roman" w:eastAsia="Times New Roman" w:hAnsi="Times New Roman"/>
          <w:color w:val="424242"/>
          <w:sz w:val="24"/>
          <w:szCs w:val="24"/>
          <w:highlight w:val="white"/>
          <w:rtl w:val="0"/>
        </w:rPr>
        <w:t xml:space="preserve">. Understudies' advantage will probably be kept up on the off chance that they can see the significance of their examinations to their future professions and life past college. Students who attempt to completely take an interest in the aggregate understudy involvement (scholarly, co-curricular, additional curricular, including work understanding) advantage from a balanced training, contribute completely to the life of the University and group and ideally have a fabulous time all the while.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color w:val="333333"/>
          <w:sz w:val="24"/>
          <w:szCs w:val="24"/>
          <w:highlight w:val="white"/>
        </w:rPr>
      </w:pPr>
      <w:r w:rsidDel="00000000" w:rsidR="00000000" w:rsidRPr="00000000">
        <w:rPr>
          <w:rFonts w:ascii="Times New Roman" w:cs="Times New Roman" w:eastAsia="Times New Roman" w:hAnsi="Times New Roman"/>
          <w:color w:val="424242"/>
          <w:sz w:val="24"/>
          <w:szCs w:val="24"/>
          <w:highlight w:val="white"/>
          <w:rtl w:val="0"/>
        </w:rPr>
        <w:t xml:space="preserve">Managers are searching for individuals they can prepare to build up the abilities required for the activity however they require youngsters with general employability aptitudes as well, they need them to show these aptitudes in their applications, at interviews and in the work part. Following abilities and properties businesses are searching for with an 'uplifting demeanor' at the middle.</w:t>
      </w:r>
      <w:r w:rsidDel="00000000" w:rsidR="00000000" w:rsidRPr="00000000">
        <w:rPr>
          <w:rtl w:val="0"/>
        </w:rPr>
      </w:r>
    </w:p>
    <w:p w:rsidR="00000000" w:rsidDel="00000000" w:rsidP="00000000" w:rsidRDefault="00000000" w:rsidRPr="00000000">
      <w:pPr>
        <w:spacing w:after="280" w:before="0" w:line="360" w:lineRule="auto"/>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4543988" cy="2532184"/>
            <wp:effectExtent b="0" l="0" r="0" t="0"/>
            <wp:docPr descr="CBI" id="146" name="image5.png"/>
            <a:graphic>
              <a:graphicData uri="http://schemas.openxmlformats.org/drawingml/2006/picture">
                <pic:pic>
                  <pic:nvPicPr>
                    <pic:cNvPr descr="CBI" id="0" name="image5.png"/>
                    <pic:cNvPicPr preferRelativeResize="0"/>
                  </pic:nvPicPr>
                  <pic:blipFill>
                    <a:blip r:embed="rId9"/>
                    <a:srcRect b="0" l="0" r="0" t="0"/>
                    <a:stretch>
                      <a:fillRect/>
                    </a:stretch>
                  </pic:blipFill>
                  <pic:spPr>
                    <a:xfrm>
                      <a:off x="0" y="0"/>
                      <a:ext cx="4543988" cy="2532184"/>
                    </a:xfrm>
                    <a:prstGeom prst="rect"/>
                    <a:ln/>
                  </pic:spPr>
                </pic:pic>
              </a:graphicData>
            </a:graphic>
          </wp:inline>
        </w:drawing>
      </w: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Most youngsters as of now have employability abilities they can use in the working environment, however they won't not know this, or perceive these aptitudes in themselves. Youngsters need to comprehend which of these important abilities they have and have the capacity to clarify how they have utilized these aptitudes in genuine circumstances.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Marimuthu et al., (2009) completed an investigation on the impression of bosses concerning the employability abilities required in the activity market and graduates' view of the employability aptitudes that they right now had. Eleven factors that make up employability abilities in view of past research were analyzed in this examination. Be that as it may, just seven components, which were the consequence of factor examination, were considered. The aftereffects of this investigation uncovered that businesses liked to contract moves on from state funded colleges. Besides, graduates and managers put comparative significance as far as the positioning of employability aptitudes, where the two bosses and graduates apparent the request of significance of employability abilities to be the same. Be that as it may, there was a distinction amongst businesses' and graduates' observations for each of the seven employability factors, where bosses evaluated graduates much lower as far as mean rank. The consequences of this examination likewise recommend that more youthful businesses have a tendency to be more positive to graduates' employability aptitudes. The higher the activity position of the business inside the association, the higher are the desires of graduates.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Wye and Liew, (2009) examined the students' center capabilities capacity to meet with the necessities set by the businesses and to investigate the viability of individual qualities and employability aptitudes advancement in private college in Malaysia. Polls overview, mean score correlation, and autonomous example t-test were utilized to catch the recognition differential between 30 managers and 600 students from a nearby private college on the significance of employability aptitudes. The outcomes demonstrate that the students were all exceptionally able in having the said individual qualities and abilities. In any case, such abilities as basic examination, arranging, critical thinking, oral communication, decision making, and arranging report a somewhat more elevated amount of confuse amongst bosses' and students' discernment on their significance and improvement in the University.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Past investigations demonstrate employability abilities require in the instruction framework to guarantee that graduates are skillful and aggressive. Employability aptitudes are vital abilities for graduates to have these days. Research in the nation and even in western nation demonstrated the imperative of the aptitudes showed that non-specialized abilities is a worldwide issue. </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pPr>
        <w:pStyle w:val="Heading1"/>
        <w:contextualSpacing w:val="0"/>
        <w:rPr/>
      </w:pPr>
      <w:bookmarkStart w:colFirst="0" w:colLast="0" w:name="_tyjcwt" w:id="5"/>
      <w:bookmarkEnd w:id="5"/>
      <w:r w:rsidDel="00000000" w:rsidR="00000000" w:rsidRPr="00000000">
        <w:rPr>
          <w:rtl w:val="0"/>
        </w:rPr>
        <w:t xml:space="preserve">References</w:t>
      </w:r>
    </w:p>
    <w:p w:rsidR="00000000" w:rsidDel="00000000" w:rsidP="00000000" w:rsidRDefault="00000000" w:rsidRPr="00000000">
      <w:pPr>
        <w:spacing w:after="280" w:before="28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Australian Council for Educational Research (2001) </w:t>
      </w:r>
      <w:r w:rsidDel="00000000" w:rsidR="00000000" w:rsidRPr="00000000">
        <w:rPr>
          <w:rFonts w:ascii="Times New Roman" w:cs="Times New Roman" w:eastAsia="Times New Roman" w:hAnsi="Times New Roman"/>
          <w:i w:val="1"/>
          <w:sz w:val="24"/>
          <w:szCs w:val="24"/>
          <w:rtl w:val="0"/>
        </w:rPr>
        <w:t xml:space="preserve">Employability Skills for Australian Industry: Literature Review and Framework Development</w:t>
      </w:r>
      <w:r w:rsidDel="00000000" w:rsidR="00000000" w:rsidRPr="00000000">
        <w:rPr>
          <w:rFonts w:ascii="Times New Roman" w:cs="Times New Roman" w:eastAsia="Times New Roman" w:hAnsi="Times New Roman"/>
          <w:sz w:val="24"/>
          <w:szCs w:val="24"/>
          <w:rtl w:val="0"/>
        </w:rPr>
        <w:t xml:space="preserve">, Acer, Melbourne.</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Bratton, J., and Gold, J. (2012) </w:t>
      </w:r>
      <w:r w:rsidDel="00000000" w:rsidR="00000000" w:rsidRPr="00000000">
        <w:rPr>
          <w:rFonts w:ascii="Times New Roman" w:cs="Times New Roman" w:eastAsia="Times New Roman" w:hAnsi="Times New Roman"/>
          <w:i w:val="1"/>
          <w:sz w:val="24"/>
          <w:szCs w:val="24"/>
          <w:rtl w:val="0"/>
        </w:rPr>
        <w:t xml:space="preserve">Human resource management: theory and practice, 5</w:t>
      </w:r>
      <w:r w:rsidDel="00000000" w:rsidR="00000000" w:rsidRPr="00000000">
        <w:rPr>
          <w:rFonts w:ascii="Times New Roman" w:cs="Times New Roman" w:eastAsia="Times New Roman" w:hAnsi="Times New Roman"/>
          <w:i w:val="1"/>
          <w:sz w:val="24"/>
          <w:szCs w:val="24"/>
          <w:vertAlign w:val="superscript"/>
          <w:rtl w:val="0"/>
        </w:rPr>
        <w:t xml:space="preserve">th</w:t>
      </w:r>
      <w:r w:rsidDel="00000000" w:rsidR="00000000" w:rsidRPr="00000000">
        <w:rPr>
          <w:rFonts w:ascii="Times New Roman" w:cs="Times New Roman" w:eastAsia="Times New Roman" w:hAnsi="Times New Roman"/>
          <w:i w:val="1"/>
          <w:sz w:val="24"/>
          <w:szCs w:val="24"/>
          <w:rtl w:val="0"/>
        </w:rPr>
        <w:t xml:space="preserve"> ed.,</w:t>
      </w:r>
      <w:r w:rsidDel="00000000" w:rsidR="00000000" w:rsidRPr="00000000">
        <w:rPr>
          <w:rFonts w:ascii="Times New Roman" w:cs="Times New Roman" w:eastAsia="Times New Roman" w:hAnsi="Times New Roman"/>
          <w:sz w:val="24"/>
          <w:szCs w:val="24"/>
          <w:rtl w:val="0"/>
        </w:rPr>
        <w:t xml:space="preserve"> Basingstoke: Palgrave.</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Herzberg, F., Mausner, B., and Snyderman, B. (2010) </w:t>
      </w:r>
      <w:r w:rsidDel="00000000" w:rsidR="00000000" w:rsidRPr="00000000">
        <w:rPr>
          <w:rFonts w:ascii="Times New Roman" w:cs="Times New Roman" w:eastAsia="Times New Roman" w:hAnsi="Times New Roman"/>
          <w:i w:val="1"/>
          <w:sz w:val="24"/>
          <w:szCs w:val="24"/>
          <w:rtl w:val="0"/>
        </w:rPr>
        <w:t xml:space="preserve">The Motivation to Work, 12</w:t>
      </w:r>
      <w:r w:rsidDel="00000000" w:rsidR="00000000" w:rsidRPr="00000000">
        <w:rPr>
          <w:rFonts w:ascii="Times New Roman" w:cs="Times New Roman" w:eastAsia="Times New Roman" w:hAnsi="Times New Roman"/>
          <w:i w:val="1"/>
          <w:sz w:val="24"/>
          <w:szCs w:val="24"/>
          <w:vertAlign w:val="superscript"/>
          <w:rtl w:val="0"/>
        </w:rPr>
        <w:t xml:space="preserve">th</w:t>
      </w:r>
      <w:r w:rsidDel="00000000" w:rsidR="00000000" w:rsidRPr="00000000">
        <w:rPr>
          <w:rFonts w:ascii="Times New Roman" w:cs="Times New Roman" w:eastAsia="Times New Roman" w:hAnsi="Times New Roman"/>
          <w:i w:val="1"/>
          <w:sz w:val="24"/>
          <w:szCs w:val="24"/>
          <w:rtl w:val="0"/>
        </w:rPr>
        <w:t xml:space="preserve"> ed.</w:t>
      </w:r>
      <w:r w:rsidDel="00000000" w:rsidR="00000000" w:rsidRPr="00000000">
        <w:rPr>
          <w:rFonts w:ascii="Times New Roman" w:cs="Times New Roman" w:eastAsia="Times New Roman" w:hAnsi="Times New Roman"/>
          <w:sz w:val="24"/>
          <w:szCs w:val="24"/>
          <w:rtl w:val="0"/>
        </w:rPr>
        <w:t xml:space="preserve">, New Brunswick: Transaction Publishers.</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Marimuthu, M., Arokiasamy, L., and Ismail, M. (2009) “Human Capital Development and Its Impact on Firm performance: Evidence from Developmental Economics”, </w:t>
      </w:r>
      <w:r w:rsidDel="00000000" w:rsidR="00000000" w:rsidRPr="00000000">
        <w:rPr>
          <w:rFonts w:ascii="Times New Roman" w:cs="Times New Roman" w:eastAsia="Times New Roman" w:hAnsi="Times New Roman"/>
          <w:i w:val="1"/>
          <w:sz w:val="24"/>
          <w:szCs w:val="24"/>
          <w:rtl w:val="0"/>
        </w:rPr>
        <w:t xml:space="preserve">The Journal of International Social Research</w:t>
      </w:r>
      <w:r w:rsidDel="00000000" w:rsidR="00000000" w:rsidRPr="00000000">
        <w:rPr>
          <w:rFonts w:ascii="Times New Roman" w:cs="Times New Roman" w:eastAsia="Times New Roman" w:hAnsi="Times New Roman"/>
          <w:sz w:val="24"/>
          <w:szCs w:val="24"/>
          <w:rtl w:val="0"/>
        </w:rPr>
        <w:t xml:space="preserve">, 8 (2009).</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Mondy, R. W., and Bandy, J. (2014) </w:t>
      </w:r>
      <w:r w:rsidDel="00000000" w:rsidR="00000000" w:rsidRPr="00000000">
        <w:rPr>
          <w:rFonts w:ascii="Times New Roman" w:cs="Times New Roman" w:eastAsia="Times New Roman" w:hAnsi="Times New Roman"/>
          <w:i w:val="1"/>
          <w:sz w:val="24"/>
          <w:szCs w:val="24"/>
          <w:rtl w:val="0"/>
        </w:rPr>
        <w:t xml:space="preserve">Human resource management, 13</w:t>
      </w:r>
      <w:r w:rsidDel="00000000" w:rsidR="00000000" w:rsidRPr="00000000">
        <w:rPr>
          <w:rFonts w:ascii="Times New Roman" w:cs="Times New Roman" w:eastAsia="Times New Roman" w:hAnsi="Times New Roman"/>
          <w:i w:val="1"/>
          <w:sz w:val="24"/>
          <w:szCs w:val="24"/>
          <w:vertAlign w:val="superscript"/>
          <w:rtl w:val="0"/>
        </w:rPr>
        <w:t xml:space="preserve">th</w:t>
      </w:r>
      <w:r w:rsidDel="00000000" w:rsidR="00000000" w:rsidRPr="00000000">
        <w:rPr>
          <w:rFonts w:ascii="Times New Roman" w:cs="Times New Roman" w:eastAsia="Times New Roman" w:hAnsi="Times New Roman"/>
          <w:i w:val="1"/>
          <w:sz w:val="24"/>
          <w:szCs w:val="24"/>
          <w:rtl w:val="0"/>
        </w:rPr>
        <w:t xml:space="preserve"> ed.,</w:t>
      </w:r>
      <w:r w:rsidDel="00000000" w:rsidR="00000000" w:rsidRPr="00000000">
        <w:rPr>
          <w:rFonts w:ascii="Times New Roman" w:cs="Times New Roman" w:eastAsia="Times New Roman" w:hAnsi="Times New Roman"/>
          <w:sz w:val="24"/>
          <w:szCs w:val="24"/>
          <w:rtl w:val="0"/>
        </w:rPr>
        <w:t xml:space="preserve"> Harlow, England: Pearson Education Limited.</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Needleman, E. C. (1995) </w:t>
      </w:r>
      <w:r w:rsidDel="00000000" w:rsidR="00000000" w:rsidRPr="00000000">
        <w:rPr>
          <w:rFonts w:ascii="Times New Roman" w:cs="Times New Roman" w:eastAsia="Times New Roman" w:hAnsi="Times New Roman"/>
          <w:i w:val="1"/>
          <w:sz w:val="24"/>
          <w:szCs w:val="24"/>
          <w:rtl w:val="0"/>
        </w:rPr>
        <w:t xml:space="preserve">Preparing Youth for Employable Futures, Skills and Tasks for Jobs</w:t>
      </w:r>
      <w:r w:rsidDel="00000000" w:rsidR="00000000" w:rsidRPr="00000000">
        <w:rPr>
          <w:rFonts w:ascii="Times New Roman" w:cs="Times New Roman" w:eastAsia="Times New Roman" w:hAnsi="Times New Roman"/>
          <w:sz w:val="24"/>
          <w:szCs w:val="24"/>
          <w:rtl w:val="0"/>
        </w:rPr>
        <w:t xml:space="preserve">, A SCANS Report for America 2000, Washington, DC: U.S. Department of Labor.</w:t>
      </w:r>
    </w:p>
    <w:p w:rsidR="00000000" w:rsidDel="00000000" w:rsidP="00000000" w:rsidRDefault="00000000" w:rsidRPr="00000000">
      <w:pPr>
        <w:spacing w:after="28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Smith, P. B. (2007) “Employability Standards: Inclusion in family and consumer Science Middle School Curriculum”, </w:t>
      </w:r>
      <w:r w:rsidDel="00000000" w:rsidR="00000000" w:rsidRPr="00000000">
        <w:rPr>
          <w:rFonts w:ascii="Times New Roman" w:cs="Times New Roman" w:eastAsia="Times New Roman" w:hAnsi="Times New Roman"/>
          <w:i w:val="1"/>
          <w:sz w:val="24"/>
          <w:szCs w:val="24"/>
          <w:rtl w:val="0"/>
        </w:rPr>
        <w:t xml:space="preserve">Journal of Career and Technical Education</w:t>
      </w:r>
      <w:r w:rsidDel="00000000" w:rsidR="00000000" w:rsidRPr="00000000">
        <w:rPr>
          <w:rFonts w:ascii="Times New Roman" w:cs="Times New Roman" w:eastAsia="Times New Roman" w:hAnsi="Times New Roman"/>
          <w:sz w:val="24"/>
          <w:szCs w:val="24"/>
          <w:rtl w:val="0"/>
        </w:rPr>
        <w:t xml:space="preserve">, 23(1).</w:t>
      </w:r>
    </w:p>
    <w:p w:rsidR="00000000" w:rsidDel="00000000" w:rsidP="00000000" w:rsidRDefault="00000000" w:rsidRPr="00000000">
      <w:pPr>
        <w:spacing w:after="100" w:before="0" w:line="360" w:lineRule="auto"/>
        <w:contextualSpacing w:val="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Wye, C. K., and Liew, C. S. (2009) “Perception differential between employers and undergratudes on the importance of employability skills, International education studies”, </w:t>
      </w:r>
      <w:r w:rsidDel="00000000" w:rsidR="00000000" w:rsidRPr="00000000">
        <w:rPr>
          <w:rFonts w:ascii="Times New Roman" w:cs="Times New Roman" w:eastAsia="Times New Roman" w:hAnsi="Times New Roman"/>
          <w:i w:val="1"/>
          <w:sz w:val="24"/>
          <w:szCs w:val="24"/>
          <w:rtl w:val="0"/>
        </w:rPr>
        <w:t xml:space="preserve">Economic Planning Unit (2006)</w:t>
      </w:r>
      <w:r w:rsidDel="00000000" w:rsidR="00000000" w:rsidRPr="00000000">
        <w:rPr>
          <w:rFonts w:ascii="Times New Roman" w:cs="Times New Roman" w:eastAsia="Times New Roman" w:hAnsi="Times New Roman"/>
          <w:sz w:val="24"/>
          <w:szCs w:val="24"/>
          <w:rtl w:val="0"/>
        </w:rPr>
        <w:t xml:space="preserve">, Ninth Malaysia Plan, 2(1).</w:t>
      </w:r>
    </w:p>
    <w:sectPr>
      <w:footerReference r:id="rId10" w:type="default"/>
      <w:pgSz w:h="15840" w:w="12240"/>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Calibri"/>
  <w:font w:name="Cambria"/>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1"/>
      <w:pBdr>
        <w:top w:color="d9d9d9" w:space="1" w:sz="4" w:val="single"/>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contextualSpacing w:val="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 </w:t>
    </w:r>
    <w:r w:rsidDel="00000000" w:rsidR="00000000" w:rsidRPr="00000000">
      <w:rPr>
        <w:rFonts w:ascii="Calibri" w:cs="Calibri" w:eastAsia="Calibri" w:hAnsi="Calibri"/>
        <w:b w:val="0"/>
        <w:i w:val="0"/>
        <w:smallCaps w:val="0"/>
        <w:strike w:val="0"/>
        <w:color w:val="7f7f7f"/>
        <w:sz w:val="22"/>
        <w:szCs w:val="22"/>
        <w:u w:val="none"/>
        <w:shd w:fill="auto" w:val="clear"/>
        <w:vertAlign w:val="baseline"/>
        <w:rtl w:val="0"/>
      </w:rPr>
      <w:t xml:space="preserve">Page</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Calibri" w:cs="Calibri" w:eastAsia="Calibri" w:hAnsi="Calibri"/>
        <w:b w:val="0"/>
        <w:i w:val="0"/>
        <w:smallCaps w:val="0"/>
        <w:strike w:val="0"/>
        <w:color w:val="000000"/>
        <w:sz w:val="22"/>
        <w:szCs w:val="22"/>
        <w:u w:val="none"/>
        <w:shd w:fill="auto" w:val="clear"/>
        <w:vertAlign w:val="baseline"/>
        <w:lang w:val="en-US"/>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00" w:before="100" w:line="360" w:lineRule="auto"/>
    </w:pPr>
    <w:rPr>
      <w:rFonts w:ascii="Cambria" w:cs="Cambria" w:eastAsia="Cambria" w:hAnsi="Cambria"/>
      <w:b w:val="1"/>
      <w:color w:val="2e75b5"/>
      <w:sz w:val="28"/>
      <w:szCs w:val="28"/>
    </w:rPr>
  </w:style>
  <w:style w:type="paragraph" w:styleId="Heading2">
    <w:name w:val="heading 2"/>
    <w:basedOn w:val="Normal"/>
    <w:next w:val="Normal"/>
    <w:pPr>
      <w:keepNext w:val="1"/>
      <w:keepLines w:val="1"/>
      <w:spacing w:after="0" w:before="40" w:lineRule="auto"/>
    </w:pPr>
    <w:rPr>
      <w:rFonts w:ascii="Cambria" w:cs="Cambria" w:eastAsia="Cambria" w:hAnsi="Cambria"/>
      <w:b w:val="1"/>
      <w:i w:val="1"/>
      <w:color w:val="2e75b5"/>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link w:val="Heading1Char"/>
    <w:uiPriority w:val="9"/>
    <w:qFormat w:val="1"/>
    <w:rsid w:val="00517362"/>
    <w:pPr>
      <w:keepNext w:val="1"/>
      <w:keepLines w:val="1"/>
      <w:spacing w:after="100" w:afterAutospacing="1" w:before="100" w:beforeAutospacing="1" w:line="360" w:lineRule="auto"/>
      <w:outlineLvl w:val="0"/>
    </w:pPr>
    <w:rPr>
      <w:rFonts w:ascii="Cambria" w:hAnsi="Cambria" w:cstheme="majorBidi" w:eastAsiaTheme="majorEastAsia"/>
      <w:b w:val="1"/>
      <w:color w:val="2e74b5" w:themeColor="accent1" w:themeShade="0000BF"/>
      <w:sz w:val="28"/>
      <w:szCs w:val="32"/>
    </w:rPr>
  </w:style>
  <w:style w:type="paragraph" w:styleId="Heading2">
    <w:name w:val="heading 2"/>
    <w:basedOn w:val="Normal"/>
    <w:next w:val="Normal"/>
    <w:link w:val="Heading2Char"/>
    <w:uiPriority w:val="9"/>
    <w:unhideWhenUsed w:val="1"/>
    <w:qFormat w:val="1"/>
    <w:rsid w:val="00517362"/>
    <w:pPr>
      <w:keepNext w:val="1"/>
      <w:keepLines w:val="1"/>
      <w:spacing w:after="0" w:before="40"/>
      <w:outlineLvl w:val="1"/>
    </w:pPr>
    <w:rPr>
      <w:rFonts w:ascii="Cambria" w:hAnsi="Cambria" w:cstheme="majorBidi" w:eastAsiaTheme="majorEastAsia"/>
      <w:b w:val="1"/>
      <w:i w:val="1"/>
      <w:color w:val="2e74b5" w:themeColor="accent1" w:themeShade="0000BF"/>
      <w:sz w:val="28"/>
      <w:szCs w:val="2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517362"/>
    <w:rPr>
      <w:rFonts w:ascii="Cambria" w:hAnsi="Cambria" w:cstheme="majorBidi" w:eastAsiaTheme="majorEastAsia"/>
      <w:b w:val="1"/>
      <w:color w:val="2e74b5" w:themeColor="accent1" w:themeShade="0000BF"/>
      <w:sz w:val="28"/>
      <w:szCs w:val="32"/>
    </w:rPr>
  </w:style>
  <w:style w:type="character" w:styleId="Heading2Char" w:customStyle="1">
    <w:name w:val="Heading 2 Char"/>
    <w:basedOn w:val="DefaultParagraphFont"/>
    <w:link w:val="Heading2"/>
    <w:uiPriority w:val="9"/>
    <w:rsid w:val="00517362"/>
    <w:rPr>
      <w:rFonts w:ascii="Cambria" w:hAnsi="Cambria" w:cstheme="majorBidi" w:eastAsiaTheme="majorEastAsia"/>
      <w:b w:val="1"/>
      <w:i w:val="1"/>
      <w:color w:val="2e74b5" w:themeColor="accent1" w:themeShade="0000BF"/>
      <w:sz w:val="28"/>
      <w:szCs w:val="26"/>
    </w:rPr>
  </w:style>
  <w:style w:type="paragraph" w:styleId="Header">
    <w:name w:val="header"/>
    <w:basedOn w:val="Normal"/>
    <w:link w:val="HeaderChar"/>
    <w:uiPriority w:val="99"/>
    <w:unhideWhenUsed w:val="1"/>
    <w:rsid w:val="000E1FFB"/>
    <w:pPr>
      <w:tabs>
        <w:tab w:val="center" w:pos="4680"/>
        <w:tab w:val="right" w:pos="9360"/>
      </w:tabs>
      <w:spacing w:after="0" w:line="240" w:lineRule="auto"/>
    </w:pPr>
  </w:style>
  <w:style w:type="character" w:styleId="HeaderChar" w:customStyle="1">
    <w:name w:val="Header Char"/>
    <w:basedOn w:val="DefaultParagraphFont"/>
    <w:link w:val="Header"/>
    <w:uiPriority w:val="99"/>
    <w:rsid w:val="000E1FFB"/>
  </w:style>
  <w:style w:type="paragraph" w:styleId="Footer">
    <w:name w:val="footer"/>
    <w:basedOn w:val="Normal"/>
    <w:link w:val="FooterChar"/>
    <w:uiPriority w:val="99"/>
    <w:unhideWhenUsed w:val="1"/>
    <w:rsid w:val="000E1FFB"/>
    <w:pPr>
      <w:tabs>
        <w:tab w:val="center" w:pos="4680"/>
        <w:tab w:val="right" w:pos="9360"/>
      </w:tabs>
      <w:spacing w:after="0" w:line="240" w:lineRule="auto"/>
    </w:pPr>
  </w:style>
  <w:style w:type="character" w:styleId="FooterChar" w:customStyle="1">
    <w:name w:val="Footer Char"/>
    <w:basedOn w:val="DefaultParagraphFont"/>
    <w:link w:val="Footer"/>
    <w:uiPriority w:val="99"/>
    <w:rsid w:val="000E1FFB"/>
  </w:style>
  <w:style w:type="paragraph" w:styleId="NoSpacing">
    <w:name w:val="No Spacing"/>
    <w:link w:val="NoSpacingChar"/>
    <w:uiPriority w:val="1"/>
    <w:qFormat w:val="1"/>
    <w:rsid w:val="000E1FFB"/>
    <w:pPr>
      <w:spacing w:after="0" w:line="240" w:lineRule="auto"/>
    </w:pPr>
    <w:rPr>
      <w:rFonts w:eastAsiaTheme="minorEastAsia"/>
    </w:rPr>
  </w:style>
  <w:style w:type="character" w:styleId="NoSpacingChar" w:customStyle="1">
    <w:name w:val="No Spacing Char"/>
    <w:basedOn w:val="DefaultParagraphFont"/>
    <w:link w:val="NoSpacing"/>
    <w:uiPriority w:val="1"/>
    <w:rsid w:val="000E1FFB"/>
    <w:rPr>
      <w:rFonts w:eastAsiaTheme="minorEastAsia"/>
    </w:rPr>
  </w:style>
  <w:style w:type="paragraph" w:styleId="TOCHeading">
    <w:name w:val="TOC Heading"/>
    <w:basedOn w:val="Heading1"/>
    <w:next w:val="Normal"/>
    <w:uiPriority w:val="39"/>
    <w:unhideWhenUsed w:val="1"/>
    <w:qFormat w:val="1"/>
    <w:rsid w:val="000E1FFB"/>
    <w:pPr>
      <w:spacing w:after="0" w:afterAutospacing="0" w:before="240" w:beforeAutospacing="0" w:line="259" w:lineRule="auto"/>
      <w:outlineLvl w:val="9"/>
    </w:pPr>
    <w:rPr>
      <w:rFonts w:asciiTheme="majorHAnsi" w:hAnsiTheme="majorHAnsi"/>
      <w:b w:val="0"/>
      <w:sz w:val="32"/>
    </w:rPr>
  </w:style>
  <w:style w:type="paragraph" w:styleId="TOC1">
    <w:name w:val="toc 1"/>
    <w:basedOn w:val="Normal"/>
    <w:next w:val="Normal"/>
    <w:autoRedefine w:val="1"/>
    <w:uiPriority w:val="39"/>
    <w:unhideWhenUsed w:val="1"/>
    <w:rsid w:val="000E1FFB"/>
    <w:pPr>
      <w:spacing w:after="100"/>
    </w:pPr>
  </w:style>
  <w:style w:type="paragraph" w:styleId="TOC2">
    <w:name w:val="toc 2"/>
    <w:basedOn w:val="Normal"/>
    <w:next w:val="Normal"/>
    <w:autoRedefine w:val="1"/>
    <w:uiPriority w:val="39"/>
    <w:unhideWhenUsed w:val="1"/>
    <w:rsid w:val="000E1FFB"/>
    <w:pPr>
      <w:spacing w:after="100"/>
      <w:ind w:left="220"/>
    </w:pPr>
  </w:style>
  <w:style w:type="character" w:styleId="Hyperlink">
    <w:name w:val="Hyperlink"/>
    <w:basedOn w:val="DefaultParagraphFont"/>
    <w:uiPriority w:val="99"/>
    <w:unhideWhenUsed w:val="1"/>
    <w:rsid w:val="000E1FFB"/>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 Type="http://schemas.openxmlformats.org/officeDocument/2006/relationships/settings" Target="settings.xml"/><Relationship Id="rId10" Type="http://schemas.openxmlformats.org/officeDocument/2006/relationships/footer" Target="footer1.xml"/><Relationship Id="rId5" Type="http://schemas.openxmlformats.org/officeDocument/2006/relationships/styles" Target="styles.xml"/><Relationship Id="rId8" Type="http://schemas.openxmlformats.org/officeDocument/2006/relationships/image" Target="media/image7.png"/><Relationship Id="rId4" Type="http://schemas.openxmlformats.org/officeDocument/2006/relationships/numbering" Target="numbering.xml"/><Relationship Id="rId9" Type="http://schemas.openxmlformats.org/officeDocument/2006/relationships/image" Target="media/image5.png"/><Relationship Id="rId3" Type="http://schemas.openxmlformats.org/officeDocument/2006/relationships/fontTable" Target="fontTable.xml"/><Relationship Id="rId6" Type="http://schemas.openxmlformats.org/officeDocument/2006/relationships/image" Target="media/image6.png"/><Relationship Id="rId7" Type="http://schemas.openxmlformats.org/officeDocument/2006/relationships/image" Target="media/image8.png"/><Relationship Id="rId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