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C6316" w14:textId="77777777" w:rsidR="00F22ECB" w:rsidRPr="00F22ECB" w:rsidRDefault="00F22ECB" w:rsidP="00F22ECB">
      <w:pPr>
        <w:spacing w:line="360" w:lineRule="auto"/>
        <w:jc w:val="both"/>
        <w:rPr>
          <w:rFonts w:ascii="Arial" w:eastAsia="Times New Roman" w:hAnsi="Arial" w:cs="Arial"/>
          <w:b/>
          <w:bCs/>
          <w:sz w:val="24"/>
          <w:szCs w:val="24"/>
        </w:rPr>
      </w:pPr>
      <w:bookmarkStart w:id="0" w:name="_Hlk110070529"/>
      <w:r w:rsidRPr="00F22ECB">
        <w:rPr>
          <w:rFonts w:ascii="Arial" w:eastAsia="Times New Roman" w:hAnsi="Arial" w:cs="Arial"/>
          <w:b/>
          <w:bCs/>
          <w:sz w:val="24"/>
          <w:szCs w:val="24"/>
        </w:rPr>
        <w:t>Analyse the role of independent bodies (i.e., IOPC/HMICFRS) in holding the police accountable to those they serve (1000 words).</w:t>
      </w:r>
    </w:p>
    <w:p w14:paraId="714224EC" w14:textId="77777777" w:rsidR="00F22ECB" w:rsidRPr="00F22ECB" w:rsidRDefault="00F22ECB" w:rsidP="00F22ECB">
      <w:pPr>
        <w:spacing w:line="360" w:lineRule="auto"/>
        <w:jc w:val="both"/>
        <w:rPr>
          <w:rFonts w:ascii="Arial" w:eastAsia="Times New Roman" w:hAnsi="Arial" w:cs="Arial"/>
          <w:b/>
          <w:bCs/>
          <w:sz w:val="24"/>
          <w:szCs w:val="24"/>
        </w:rPr>
      </w:pPr>
    </w:p>
    <w:p w14:paraId="118F5B16" w14:textId="77777777" w:rsidR="00F22ECB" w:rsidRPr="00F22ECB" w:rsidRDefault="00F22ECB" w:rsidP="00F22ECB">
      <w:pPr>
        <w:spacing w:line="360" w:lineRule="auto"/>
        <w:jc w:val="both"/>
        <w:rPr>
          <w:rFonts w:ascii="Arial" w:eastAsia="Times New Roman" w:hAnsi="Arial" w:cs="Arial"/>
          <w:sz w:val="24"/>
          <w:szCs w:val="24"/>
        </w:rPr>
      </w:pPr>
      <w:r w:rsidRPr="00F22ECB">
        <w:rPr>
          <w:rFonts w:ascii="Arial" w:eastAsia="Times New Roman" w:hAnsi="Arial" w:cs="Arial"/>
          <w:sz w:val="24"/>
          <w:szCs w:val="24"/>
        </w:rPr>
        <w:t>During this assignment I will explain, discuss, and analyse the roles of the IOPC and HMICFRS independent bodies in holding The Police to account within their respective roles throughout England and Wales. This will also include internal policies and procedures which the police have in place as preventative measures to improve professional standards.</w:t>
      </w:r>
    </w:p>
    <w:p w14:paraId="43A61D74" w14:textId="77777777" w:rsidR="00F22ECB" w:rsidRPr="00F22ECB" w:rsidRDefault="00F22ECB" w:rsidP="00F22ECB">
      <w:pPr>
        <w:spacing w:line="360" w:lineRule="auto"/>
        <w:jc w:val="both"/>
        <w:rPr>
          <w:rFonts w:ascii="Arial" w:eastAsia="Times New Roman" w:hAnsi="Arial" w:cs="Arial"/>
          <w:sz w:val="24"/>
          <w:szCs w:val="24"/>
        </w:rPr>
      </w:pPr>
    </w:p>
    <w:p w14:paraId="56C4C966" w14:textId="77777777" w:rsidR="00F22ECB" w:rsidRPr="00F22ECB" w:rsidRDefault="00F22ECB" w:rsidP="00F22ECB">
      <w:pPr>
        <w:spacing w:line="360" w:lineRule="auto"/>
        <w:jc w:val="both"/>
        <w:rPr>
          <w:rFonts w:ascii="Arial" w:hAnsi="Arial" w:cs="Arial"/>
          <w:sz w:val="24"/>
          <w:szCs w:val="24"/>
        </w:rPr>
      </w:pPr>
      <w:r w:rsidRPr="00F22ECB">
        <w:rPr>
          <w:rFonts w:ascii="Arial" w:eastAsia="Times New Roman" w:hAnsi="Arial" w:cs="Arial"/>
          <w:sz w:val="24"/>
          <w:szCs w:val="24"/>
        </w:rPr>
        <w:t xml:space="preserve">The Police are held accountable through independent governing bodies that oversee the performance and behaviour of the Police to uphold public trust and confidence. </w:t>
      </w:r>
      <w:r w:rsidRPr="00F22ECB">
        <w:rPr>
          <w:rFonts w:ascii="Arial" w:hAnsi="Arial" w:cs="Arial"/>
          <w:sz w:val="24"/>
          <w:szCs w:val="24"/>
        </w:rPr>
        <w:t xml:space="preserve">As the IOPC Impact Report (2020/21) suggests, The Independent Office for Police Conduct manages the complaints system for England and Wales by providing guidelines of how Police should handle complaints. It is an independent organisation to the Police and therefore investigate complaints and incidents impartially. Goldstein (1977) suggests that the police by nature are an oddity in a free society that are presented with a large amount of authority under a system of government in which authority is reluctantly granted. </w:t>
      </w:r>
    </w:p>
    <w:p w14:paraId="566F3B39" w14:textId="77777777" w:rsidR="00F22ECB" w:rsidRPr="00F22ECB" w:rsidRDefault="00F22ECB" w:rsidP="00F22ECB">
      <w:pPr>
        <w:spacing w:line="360" w:lineRule="auto"/>
        <w:jc w:val="both"/>
        <w:rPr>
          <w:rFonts w:ascii="Arial" w:hAnsi="Arial" w:cs="Arial"/>
          <w:sz w:val="24"/>
          <w:szCs w:val="24"/>
        </w:rPr>
      </w:pPr>
      <w:r w:rsidRPr="00F22ECB">
        <w:rPr>
          <w:rFonts w:ascii="Arial" w:hAnsi="Arial" w:cs="Arial"/>
          <w:sz w:val="24"/>
          <w:szCs w:val="24"/>
        </w:rPr>
        <w:t>In a summary report by the IOPC (2021), it was found that 8 out of 10 people do not know enough about the IOPC to say what they do. This may suggest that complaints against the police may in fact be higher if members of the public knew where to report to.</w:t>
      </w:r>
    </w:p>
    <w:p w14:paraId="043FEC80" w14:textId="77777777" w:rsidR="00F22ECB" w:rsidRPr="00F22ECB" w:rsidRDefault="00F22ECB" w:rsidP="00F22ECB">
      <w:pPr>
        <w:spacing w:line="360" w:lineRule="auto"/>
        <w:jc w:val="both"/>
        <w:rPr>
          <w:rFonts w:ascii="Arial" w:hAnsi="Arial" w:cs="Arial"/>
          <w:sz w:val="24"/>
          <w:szCs w:val="24"/>
        </w:rPr>
      </w:pPr>
      <w:r w:rsidRPr="00F22ECB">
        <w:rPr>
          <w:rFonts w:ascii="Arial" w:hAnsi="Arial" w:cs="Arial"/>
          <w:sz w:val="24"/>
          <w:szCs w:val="24"/>
        </w:rPr>
        <w:t xml:space="preserve">Similarly, the HMICFRS and their objectives are to inspect and report on the efficiency and effectiveness of the emergency services such as the Police and their responsibilities. As noted in the HMICFRS Strategy 2021-2025 (2021) They have the power to receive information and obtain access to members, people, documents, and premises which then are published in reports to the public. The HMICFRS take on and oversee more generic and confined inspections regularly, calling chief officers and, by association, the police and crime commissioners to account, referred to by </w:t>
      </w:r>
      <w:bookmarkStart w:id="1" w:name="_Hlk109485084"/>
      <w:r w:rsidRPr="00F22ECB">
        <w:rPr>
          <w:rFonts w:ascii="Arial" w:hAnsi="Arial" w:cs="Arial"/>
          <w:sz w:val="24"/>
          <w:szCs w:val="24"/>
        </w:rPr>
        <w:t>HMICFRS (2018)</w:t>
      </w:r>
      <w:bookmarkEnd w:id="1"/>
      <w:r w:rsidRPr="00F22ECB">
        <w:rPr>
          <w:rFonts w:ascii="Arial" w:hAnsi="Arial" w:cs="Arial"/>
          <w:sz w:val="24"/>
          <w:szCs w:val="24"/>
        </w:rPr>
        <w:t xml:space="preserve">. Whereas The IOPC, are in place to counterbalance and uphold the remaining inspections covering the more seriously public complaints against the police which call Chief officers and again, </w:t>
      </w:r>
      <w:r w:rsidRPr="00F22ECB">
        <w:rPr>
          <w:rFonts w:ascii="Arial" w:hAnsi="Arial" w:cs="Arial"/>
          <w:sz w:val="24"/>
          <w:szCs w:val="24"/>
        </w:rPr>
        <w:lastRenderedPageBreak/>
        <w:t xml:space="preserve">by association, the police employees as an organisation, drawing attention to poor practises which require change.  Thus, these independent bodies as noted by </w:t>
      </w:r>
      <w:bookmarkStart w:id="2" w:name="_Hlk109502755"/>
      <w:r w:rsidRPr="00F22ECB">
        <w:rPr>
          <w:rFonts w:ascii="Arial" w:hAnsi="Arial" w:cs="Arial"/>
          <w:sz w:val="24"/>
          <w:szCs w:val="24"/>
        </w:rPr>
        <w:t xml:space="preserve">Wankhade </w:t>
      </w:r>
      <w:r w:rsidRPr="00F22ECB">
        <w:rPr>
          <w:rFonts w:ascii="Arial" w:hAnsi="Arial" w:cs="Arial"/>
          <w:i/>
          <w:iCs/>
          <w:sz w:val="24"/>
          <w:szCs w:val="24"/>
        </w:rPr>
        <w:t>et al</w:t>
      </w:r>
      <w:r w:rsidRPr="00F22ECB">
        <w:rPr>
          <w:rFonts w:ascii="Arial" w:hAnsi="Arial" w:cs="Arial"/>
          <w:sz w:val="24"/>
          <w:szCs w:val="24"/>
        </w:rPr>
        <w:t xml:space="preserve">., (2019) </w:t>
      </w:r>
      <w:bookmarkEnd w:id="2"/>
      <w:r w:rsidRPr="00F22ECB">
        <w:rPr>
          <w:rFonts w:ascii="Arial" w:hAnsi="Arial" w:cs="Arial"/>
          <w:sz w:val="24"/>
          <w:szCs w:val="24"/>
        </w:rPr>
        <w:t>are the importance as they can provide oversight into inquiries and further explores the pros and cons of public policing, and ultimately whether policing has been or requires refinement.</w:t>
      </w:r>
    </w:p>
    <w:p w14:paraId="2360A878" w14:textId="77777777" w:rsidR="00F22ECB" w:rsidRPr="00F22ECB" w:rsidRDefault="00F22ECB" w:rsidP="00F22ECB">
      <w:pPr>
        <w:spacing w:line="360" w:lineRule="auto"/>
        <w:jc w:val="both"/>
        <w:rPr>
          <w:rFonts w:ascii="Arial" w:hAnsi="Arial" w:cs="Arial"/>
          <w:sz w:val="24"/>
          <w:szCs w:val="24"/>
        </w:rPr>
      </w:pPr>
      <w:r w:rsidRPr="00F22ECB">
        <w:rPr>
          <w:rFonts w:ascii="Arial" w:hAnsi="Arial" w:cs="Arial"/>
          <w:sz w:val="24"/>
          <w:szCs w:val="24"/>
        </w:rPr>
        <w:t xml:space="preserve">In addition to this, the police as an organisation have developed policies and procedures to decrease the likelihood of professional malpractice which in turn has a positive impact on community confidence. As noted by </w:t>
      </w:r>
      <w:bookmarkStart w:id="3" w:name="_Hlk109502763"/>
      <w:r w:rsidRPr="00F22ECB">
        <w:rPr>
          <w:rFonts w:ascii="Arial" w:hAnsi="Arial" w:cs="Arial"/>
          <w:sz w:val="24"/>
          <w:szCs w:val="24"/>
        </w:rPr>
        <w:t>South Wales Police (2020</w:t>
      </w:r>
      <w:bookmarkEnd w:id="3"/>
      <w:r w:rsidRPr="00F22ECB">
        <w:rPr>
          <w:rFonts w:ascii="Arial" w:hAnsi="Arial" w:cs="Arial"/>
          <w:sz w:val="24"/>
          <w:szCs w:val="24"/>
        </w:rPr>
        <w:t xml:space="preserve">), the Professional Standards Department (PSD) are responsible for the overall management of complaints handled by South Wales Police where there is an indication a person serving with the police may have committed professional misconduct and will require investigating. The misconduct regime is a crucial part of the accountability framework for the use of policing powers, the outcomes of such misconduct will be required to be sufficient to demonstrate accountability and imposed fairly and proportionately to instil public confidence in the police service for it to be maintained </w:t>
      </w:r>
      <w:bookmarkStart w:id="4" w:name="_Hlk109502772"/>
      <w:r w:rsidRPr="00F22ECB">
        <w:rPr>
          <w:rFonts w:ascii="Arial" w:hAnsi="Arial" w:cs="Arial"/>
          <w:sz w:val="24"/>
          <w:szCs w:val="24"/>
        </w:rPr>
        <w:t>(College of Policing, 2017).</w:t>
      </w:r>
      <w:bookmarkEnd w:id="4"/>
    </w:p>
    <w:p w14:paraId="4E2BBF63" w14:textId="77777777" w:rsidR="00F22ECB" w:rsidRPr="00F22ECB" w:rsidRDefault="00F22ECB" w:rsidP="00F22ECB">
      <w:pPr>
        <w:spacing w:line="360" w:lineRule="auto"/>
        <w:jc w:val="both"/>
        <w:rPr>
          <w:rFonts w:ascii="Arial" w:hAnsi="Arial" w:cs="Arial"/>
          <w:sz w:val="24"/>
          <w:szCs w:val="24"/>
        </w:rPr>
      </w:pPr>
      <w:r w:rsidRPr="00F22ECB">
        <w:rPr>
          <w:rFonts w:ascii="Arial" w:hAnsi="Arial" w:cs="Arial"/>
          <w:sz w:val="24"/>
          <w:szCs w:val="24"/>
        </w:rPr>
        <w:t xml:space="preserve">However, accountability and transparency within police forces raises the question and discussion which has not been addressed and met head-on by one key question, ‘To whom should they be held accountable?’ The answer should ultimately be the public </w:t>
      </w:r>
      <w:bookmarkStart w:id="5" w:name="_Hlk109502782"/>
      <w:r w:rsidRPr="00F22ECB">
        <w:rPr>
          <w:rFonts w:ascii="Arial" w:hAnsi="Arial" w:cs="Arial"/>
          <w:sz w:val="24"/>
          <w:szCs w:val="24"/>
        </w:rPr>
        <w:t xml:space="preserve">(National Audit Office, 2015) </w:t>
      </w:r>
      <w:bookmarkEnd w:id="5"/>
      <w:r w:rsidRPr="00F22ECB">
        <w:rPr>
          <w:rFonts w:ascii="Arial" w:hAnsi="Arial" w:cs="Arial"/>
          <w:sz w:val="24"/>
          <w:szCs w:val="24"/>
        </w:rPr>
        <w:t xml:space="preserve">Arguably, public perception of Police misconduct may appear to be reinforced by police departments investigating their own failures therefore, this highlights the importance of external, independent, and impartial bodies to enhance public faith in the police. As the </w:t>
      </w:r>
      <w:bookmarkStart w:id="6" w:name="_Hlk109502791"/>
      <w:r w:rsidRPr="00F22ECB">
        <w:rPr>
          <w:rFonts w:ascii="Arial" w:hAnsi="Arial" w:cs="Arial"/>
          <w:sz w:val="24"/>
          <w:szCs w:val="24"/>
        </w:rPr>
        <w:t>IOPC Impact Report (2018/2019</w:t>
      </w:r>
      <w:bookmarkEnd w:id="6"/>
      <w:r w:rsidRPr="00F22ECB">
        <w:rPr>
          <w:rFonts w:ascii="Arial" w:hAnsi="Arial" w:cs="Arial"/>
          <w:sz w:val="24"/>
          <w:szCs w:val="24"/>
        </w:rPr>
        <w:t>) suggests, most complaints are dealt with locally by police through the Police Standards Department. However, where someone isn’t satisfised with the outcome of their complaint, they have the right to appeal to other governing bodies such as the IOPC or to the force’s chief constable. If they find that the complaint has not been dealt with satisfactorily by the force, they can direct that appropriate action is taken.</w:t>
      </w:r>
    </w:p>
    <w:p w14:paraId="7F5A10DA"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Although it has been argued that accountability assists in ensuring good policing and proportionate control however, it has also been argued that acknowledging excessive monitoring can harm decision-making and operational </w:t>
      </w:r>
      <w:bookmarkStart w:id="7" w:name="_Hlk109502807"/>
      <w:r w:rsidRPr="00F22ECB">
        <w:rPr>
          <w:rFonts w:ascii="Arial" w:hAnsi="Arial" w:cs="Arial"/>
          <w:sz w:val="24"/>
          <w:szCs w:val="24"/>
        </w:rPr>
        <w:t xml:space="preserve">performance (J. de Fine Licht </w:t>
      </w:r>
      <w:r w:rsidRPr="00F22ECB">
        <w:rPr>
          <w:rFonts w:ascii="Arial" w:hAnsi="Arial" w:cs="Arial"/>
          <w:i/>
          <w:iCs/>
          <w:sz w:val="24"/>
          <w:szCs w:val="24"/>
        </w:rPr>
        <w:t xml:space="preserve">et </w:t>
      </w:r>
      <w:r w:rsidRPr="00F22ECB">
        <w:rPr>
          <w:rFonts w:ascii="Arial" w:hAnsi="Arial" w:cs="Arial"/>
          <w:i/>
          <w:iCs/>
          <w:sz w:val="24"/>
          <w:szCs w:val="24"/>
        </w:rPr>
        <w:lastRenderedPageBreak/>
        <w:t>al.</w:t>
      </w:r>
      <w:r w:rsidRPr="00F22ECB">
        <w:rPr>
          <w:rFonts w:ascii="Arial" w:hAnsi="Arial" w:cs="Arial"/>
          <w:sz w:val="24"/>
          <w:szCs w:val="24"/>
        </w:rPr>
        <w:t>, 2014).</w:t>
      </w:r>
      <w:bookmarkEnd w:id="7"/>
      <w:r w:rsidRPr="00F22ECB">
        <w:rPr>
          <w:rFonts w:ascii="Arial" w:hAnsi="Arial" w:cs="Arial"/>
          <w:sz w:val="24"/>
          <w:szCs w:val="24"/>
        </w:rPr>
        <w:t xml:space="preserve"> For example, a major incident involving police accountability and their decision-making would be the ‘Mayhill riots’ in Swansea (2021) where officers losing control of a chaotic situation, were made to retreat and stand down from their respective locations, due to higher authority fearing police presence would likely escalate and endorse further acts of violence. This resulted in the police being perceived by the public as having a lack of control over the incident and face blame on how they handled the situation. Hence, the accumulating public prejudice to fault, complaints and public enquiries can prove challenging for officers to make proportionate decisions </w:t>
      </w:r>
      <w:bookmarkStart w:id="8" w:name="_Hlk109502825"/>
      <w:r w:rsidRPr="00F22ECB">
        <w:rPr>
          <w:rFonts w:ascii="Arial" w:hAnsi="Arial" w:cs="Arial"/>
          <w:sz w:val="24"/>
          <w:szCs w:val="24"/>
        </w:rPr>
        <w:t>(College of Policing, 2020).</w:t>
      </w:r>
      <w:bookmarkEnd w:id="8"/>
    </w:p>
    <w:p w14:paraId="3D457DDF" w14:textId="77777777" w:rsidR="00F22ECB" w:rsidRPr="00F22ECB" w:rsidRDefault="00F22ECB" w:rsidP="00F22ECB">
      <w:pPr>
        <w:spacing w:line="360" w:lineRule="auto"/>
        <w:rPr>
          <w:rFonts w:ascii="Arial" w:hAnsi="Arial" w:cs="Arial"/>
          <w:sz w:val="24"/>
          <w:szCs w:val="24"/>
        </w:rPr>
      </w:pPr>
    </w:p>
    <w:p w14:paraId="2DFAA576"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The IOPC, HMICFRS and PSD operate in a similar fashion, they’re required to impartially investigate complaints of professional misconduct within the police. Whereas HMICFRS will deal with less serious complaints as well as other emergency services, the IOPC have the overall say on the major investigations that are likely to reach the public eye on more occasions due to higher levels of exposure. As </w:t>
      </w:r>
      <w:bookmarkStart w:id="9" w:name="_Hlk109502836"/>
      <w:r w:rsidRPr="00F22ECB">
        <w:rPr>
          <w:rFonts w:ascii="Arial" w:hAnsi="Arial" w:cs="Arial"/>
          <w:sz w:val="24"/>
          <w:szCs w:val="24"/>
        </w:rPr>
        <w:t xml:space="preserve">Goldstein (1977) </w:t>
      </w:r>
      <w:bookmarkEnd w:id="9"/>
      <w:r w:rsidRPr="00F22ECB">
        <w:rPr>
          <w:rFonts w:ascii="Arial" w:hAnsi="Arial" w:cs="Arial"/>
          <w:sz w:val="24"/>
          <w:szCs w:val="24"/>
        </w:rPr>
        <w:t xml:space="preserve">suggests, the police have an extensive level of authority to that of a member of the public, police will naturally require more restraints for those levels of authority to be proportionate and necessary to the incidents they deal with. As noted by HMICFRS in their 2021-2025 strategy inspections into the police, chief officers and their respective officers can be held to account if malpractice has occurred. This supports members of the public and in-hand increases public trust in the police but also the independent bodies who assist. In addition to this, </w:t>
      </w:r>
      <w:bookmarkStart w:id="10" w:name="_Hlk109502845"/>
      <w:r w:rsidRPr="00F22ECB">
        <w:rPr>
          <w:rFonts w:ascii="Arial" w:hAnsi="Arial" w:cs="Arial"/>
          <w:sz w:val="24"/>
          <w:szCs w:val="24"/>
        </w:rPr>
        <w:t xml:space="preserve">National Audit Office (2015) </w:t>
      </w:r>
      <w:bookmarkEnd w:id="10"/>
      <w:r w:rsidRPr="00F22ECB">
        <w:rPr>
          <w:rFonts w:ascii="Arial" w:hAnsi="Arial" w:cs="Arial"/>
          <w:sz w:val="24"/>
          <w:szCs w:val="24"/>
        </w:rPr>
        <w:t>also notes the reason for these independent bodies is ultimately for the public and to instil confidence within them, this allows the police to assist with investigations internally using the PSD which enable and guide initial complaints against the police from within prior to evaluating the gravitas and reliability of a complaint. PSD are obligated to provide the independent bodies with sufficient investigative outcomes to meet the requirements placed upon them, if not the right to review remains optional and on some occasions obligatory.</w:t>
      </w:r>
    </w:p>
    <w:p w14:paraId="03AA645B"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On occasions, for example during the ‘Mayhill riots’ in Swansea (2021) the police may not act sufficiently or proportionately due to the fear of scrutiny which prove challenging </w:t>
      </w:r>
      <w:r w:rsidRPr="00F22ECB">
        <w:rPr>
          <w:rFonts w:ascii="Arial" w:hAnsi="Arial" w:cs="Arial"/>
          <w:sz w:val="24"/>
          <w:szCs w:val="24"/>
        </w:rPr>
        <w:lastRenderedPageBreak/>
        <w:t>for officers open to scrutiny and prejudice. This can provide obstacles for officers to make proportionate decisions in a timely manner.</w:t>
      </w:r>
    </w:p>
    <w:p w14:paraId="3AD8AB49" w14:textId="77777777" w:rsidR="00F22ECB" w:rsidRPr="00F22ECB" w:rsidRDefault="00F22ECB" w:rsidP="00F22ECB">
      <w:pPr>
        <w:spacing w:line="360" w:lineRule="auto"/>
        <w:rPr>
          <w:rFonts w:ascii="Arial" w:hAnsi="Arial" w:cs="Arial"/>
          <w:sz w:val="24"/>
          <w:szCs w:val="24"/>
        </w:rPr>
      </w:pPr>
    </w:p>
    <w:p w14:paraId="252FDA26"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Therefore, it is important that such investigations continue internally and externally to increase public confidence and instil compliance within an everchanging society.</w:t>
      </w:r>
    </w:p>
    <w:p w14:paraId="37D0BA59" w14:textId="77777777" w:rsidR="00F22ECB" w:rsidRPr="00F22ECB" w:rsidRDefault="00F22ECB" w:rsidP="00F22ECB">
      <w:pPr>
        <w:spacing w:line="360" w:lineRule="auto"/>
        <w:rPr>
          <w:rFonts w:ascii="Arial" w:hAnsi="Arial" w:cs="Arial"/>
          <w:b/>
          <w:bCs/>
          <w:sz w:val="24"/>
          <w:szCs w:val="24"/>
        </w:rPr>
      </w:pPr>
      <w:r w:rsidRPr="00F22ECB">
        <w:rPr>
          <w:rFonts w:ascii="Arial" w:hAnsi="Arial" w:cs="Arial"/>
          <w:b/>
          <w:bCs/>
          <w:sz w:val="24"/>
          <w:szCs w:val="24"/>
        </w:rPr>
        <w:t>Word count: 1073.</w:t>
      </w:r>
    </w:p>
    <w:bookmarkEnd w:id="0"/>
    <w:p w14:paraId="5D89BA4D" w14:textId="77777777" w:rsidR="00F22ECB" w:rsidRPr="00F22ECB" w:rsidRDefault="00F22ECB" w:rsidP="00F22ECB">
      <w:pPr>
        <w:spacing w:line="360" w:lineRule="auto"/>
        <w:rPr>
          <w:rFonts w:ascii="Arial" w:hAnsi="Arial" w:cs="Arial"/>
          <w:sz w:val="24"/>
          <w:szCs w:val="24"/>
        </w:rPr>
      </w:pPr>
    </w:p>
    <w:p w14:paraId="5D68C400" w14:textId="77777777" w:rsidR="00F22ECB" w:rsidRPr="00F22ECB" w:rsidRDefault="00F22ECB" w:rsidP="00F22ECB">
      <w:pPr>
        <w:spacing w:line="360" w:lineRule="auto"/>
        <w:rPr>
          <w:rFonts w:ascii="Arial" w:hAnsi="Arial" w:cs="Arial"/>
          <w:b/>
          <w:bCs/>
          <w:sz w:val="24"/>
          <w:szCs w:val="24"/>
        </w:rPr>
      </w:pPr>
      <w:r w:rsidRPr="00F22ECB">
        <w:rPr>
          <w:rFonts w:ascii="Arial" w:hAnsi="Arial" w:cs="Arial"/>
          <w:b/>
          <w:bCs/>
          <w:sz w:val="24"/>
          <w:szCs w:val="24"/>
        </w:rPr>
        <w:t>Evaluate the effect of multi-culturalism on policing ethics and values and examine how officers’ police diverse communities (1000 words).</w:t>
      </w:r>
    </w:p>
    <w:p w14:paraId="17342C56" w14:textId="77777777" w:rsidR="00F22ECB" w:rsidRPr="00F22ECB" w:rsidRDefault="00F22ECB" w:rsidP="00F22ECB">
      <w:pPr>
        <w:spacing w:line="360" w:lineRule="auto"/>
        <w:rPr>
          <w:rFonts w:ascii="Arial" w:hAnsi="Arial" w:cs="Arial"/>
          <w:b/>
          <w:bCs/>
          <w:sz w:val="24"/>
          <w:szCs w:val="24"/>
        </w:rPr>
      </w:pPr>
    </w:p>
    <w:p w14:paraId="4795AE24"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During this assignment I will evaluate the effect of Multi-culturalism on policing ethics and values and inspect in detail how officers’ police diverse communities.</w:t>
      </w:r>
    </w:p>
    <w:p w14:paraId="54467F2E" w14:textId="77777777" w:rsidR="00F22ECB" w:rsidRPr="00F22ECB" w:rsidRDefault="00F22ECB" w:rsidP="00F22ECB">
      <w:pPr>
        <w:spacing w:line="360" w:lineRule="auto"/>
        <w:rPr>
          <w:rFonts w:ascii="Arial" w:hAnsi="Arial" w:cs="Arial"/>
          <w:sz w:val="24"/>
          <w:szCs w:val="24"/>
        </w:rPr>
      </w:pPr>
    </w:p>
    <w:p w14:paraId="2F89FB54" w14:textId="77777777" w:rsidR="00F22ECB" w:rsidRPr="00F22ECB" w:rsidRDefault="00F22ECB" w:rsidP="00F22ECB">
      <w:pPr>
        <w:spacing w:line="360" w:lineRule="auto"/>
        <w:rPr>
          <w:rFonts w:ascii="Arial" w:hAnsi="Arial" w:cs="Arial"/>
          <w:b/>
          <w:bCs/>
          <w:sz w:val="24"/>
          <w:szCs w:val="24"/>
        </w:rPr>
      </w:pPr>
      <w:r w:rsidRPr="00F22ECB">
        <w:rPr>
          <w:rFonts w:ascii="Arial" w:hAnsi="Arial" w:cs="Arial"/>
          <w:sz w:val="24"/>
          <w:szCs w:val="24"/>
        </w:rPr>
        <w:t>As noted by Home Office (2009) over the past 25 years, the equality and diversity of the police services has been monitored at a microscopic level due to several high-profile reviews and inquiries such as, the Bradley Report (2009), the Commission for Racial Equality’s (CRE) Formal Investigation into the Police Service (2003) and the Stephen Lawrence Inquiry (1999). These levels of monitoring have increased awareness and improved all communities significantly, it has had a tremendous effect on how the police began to listen to and sympathise with all communities. All of which evoked the law known as the Equality Act (2010).</w:t>
      </w:r>
    </w:p>
    <w:p w14:paraId="5B7B8368"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Consequently, Hayes (2002) claimed ‘ethics’ as one of the most important issues of the 21</w:t>
      </w:r>
      <w:r w:rsidRPr="00F22ECB">
        <w:rPr>
          <w:rFonts w:ascii="Arial" w:hAnsi="Arial" w:cs="Arial"/>
          <w:sz w:val="24"/>
          <w:szCs w:val="24"/>
          <w:vertAlign w:val="superscript"/>
        </w:rPr>
        <w:t>st</w:t>
      </w:r>
      <w:r w:rsidRPr="00F22ECB">
        <w:rPr>
          <w:rFonts w:ascii="Arial" w:hAnsi="Arial" w:cs="Arial"/>
          <w:sz w:val="24"/>
          <w:szCs w:val="24"/>
        </w:rPr>
        <w:t xml:space="preserve"> century, and how the police address ethics would have worldwide ramifications for policing and the public in the future. Notably, South Wales Police Joint Equality Plan 2019-2023 (2019) aim to set out vital methods and equality commitments for the public to develop and progress structures within the plan. The aim is to progress and increase levels of public trust within areas such as equality, diversity, and inclusion. The plan </w:t>
      </w:r>
      <w:r w:rsidRPr="00F22ECB">
        <w:rPr>
          <w:rFonts w:ascii="Arial" w:hAnsi="Arial" w:cs="Arial"/>
          <w:sz w:val="24"/>
          <w:szCs w:val="24"/>
        </w:rPr>
        <w:lastRenderedPageBreak/>
        <w:t xml:space="preserve">also mentions “Neurodiversity” and states how it is crucial for each human-being to naturally think differently to one another. This key wording prompts the public to believe that it is common to feel, think and live differently to one another as a society and that it is acceptable to do so. South Wales Police’s vision is “to be the best at understanding and responding to our communities’ needs’’, </w:t>
      </w:r>
      <w:proofErr w:type="gramStart"/>
      <w:r w:rsidRPr="00F22ECB">
        <w:rPr>
          <w:rFonts w:ascii="Arial" w:hAnsi="Arial" w:cs="Arial"/>
          <w:sz w:val="24"/>
          <w:szCs w:val="24"/>
        </w:rPr>
        <w:t>in order to</w:t>
      </w:r>
      <w:proofErr w:type="gramEnd"/>
      <w:r w:rsidRPr="00F22ECB">
        <w:rPr>
          <w:rFonts w:ascii="Arial" w:hAnsi="Arial" w:cs="Arial"/>
          <w:sz w:val="24"/>
          <w:szCs w:val="24"/>
        </w:rPr>
        <w:t xml:space="preserve"> continue ongoing progress in promote equality and diversity. As noted by Bryant and Bryant</w:t>
      </w:r>
      <w:r w:rsidRPr="00F22ECB">
        <w:rPr>
          <w:rFonts w:ascii="Arial" w:hAnsi="Arial" w:cs="Arial"/>
          <w:i/>
          <w:iCs/>
          <w:sz w:val="24"/>
          <w:szCs w:val="24"/>
        </w:rPr>
        <w:t xml:space="preserve"> </w:t>
      </w:r>
      <w:r w:rsidRPr="00F22ECB">
        <w:rPr>
          <w:rFonts w:ascii="Arial" w:hAnsi="Arial" w:cs="Arial"/>
          <w:sz w:val="24"/>
          <w:szCs w:val="24"/>
        </w:rPr>
        <w:t xml:space="preserve">(2020), it is fundamental to acknowledge that diversity is not just the differences between people, but more about how such differences are perceived. There are similarities throughout the other police forces within the UK and overseas. </w:t>
      </w:r>
    </w:p>
    <w:p w14:paraId="2C6D07F8"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In recent years, racial profiling or racially biased policing has become a more common topic of discussion and inquiry for the media and public. As described by Smith and Alpert (2007), there are two sections which are often referred to as conscious and unconscious bias and their uses regarding race by the police in discretionary decision making. The most crucial gap in current racial profiling </w:t>
      </w:r>
      <w:proofErr w:type="gramStart"/>
      <w:r w:rsidRPr="00F22ECB">
        <w:rPr>
          <w:rFonts w:ascii="Arial" w:hAnsi="Arial" w:cs="Arial"/>
          <w:sz w:val="24"/>
          <w:szCs w:val="24"/>
        </w:rPr>
        <w:t>is ,perhaps</w:t>
      </w:r>
      <w:proofErr w:type="gramEnd"/>
      <w:r w:rsidRPr="00F22ECB">
        <w:rPr>
          <w:rFonts w:ascii="Arial" w:hAnsi="Arial" w:cs="Arial"/>
          <w:sz w:val="24"/>
          <w:szCs w:val="24"/>
        </w:rPr>
        <w:t xml:space="preserve">, the lack of intelligible information on police behaviour. In an analysis by </w:t>
      </w:r>
      <w:bookmarkStart w:id="11" w:name="_Hlk109582968"/>
      <w:r w:rsidRPr="00F22ECB">
        <w:rPr>
          <w:rFonts w:ascii="Arial" w:hAnsi="Arial" w:cs="Arial"/>
          <w:sz w:val="24"/>
          <w:szCs w:val="24"/>
        </w:rPr>
        <w:t>Miles-Johnson (2019)</w:t>
      </w:r>
      <w:bookmarkEnd w:id="11"/>
      <w:r w:rsidRPr="00F22ECB">
        <w:rPr>
          <w:rFonts w:ascii="Arial" w:hAnsi="Arial" w:cs="Arial"/>
          <w:sz w:val="24"/>
          <w:szCs w:val="24"/>
        </w:rPr>
        <w:t xml:space="preserve"> which suggests the results of a study which included police officers of diverse ethnic backgrounds, they were more likely to be aware of negative influences of proper conduct. Those incidents involving biased policing remains an ongoing challenge for the police worldwide. The requirement of police organisations to re-evaluate their considerations on recruitment of officers who have diverse backgrounds, may play a decisive role in reducing negative outcomes involving police and community engagement. The instructions learned from this research apply to most policing organisations, respective to the ever-growing numbers of officers stemming from diverse backgrounds, especially in areas where strained relationships between the police the public are apparent (Miles-Johnson 2019). Additionally, Lee and Gibbs (2015) suggest it may be that officers belonging to minority ethnicity groups with positive attitudes towards policing, would become better or more professional police officers over the journey of their careers than majority ethnicities. This may be because officers who are exposed to and originate from diverse communities possibly have more awareness to diversity and inclusion.</w:t>
      </w:r>
    </w:p>
    <w:p w14:paraId="6DD7911A" w14:textId="77777777" w:rsidR="00F22ECB" w:rsidRPr="00F22ECB" w:rsidRDefault="00F22ECB" w:rsidP="00F22ECB">
      <w:pPr>
        <w:spacing w:line="360" w:lineRule="auto"/>
        <w:rPr>
          <w:rFonts w:ascii="Arial" w:hAnsi="Arial" w:cs="Arial"/>
          <w:sz w:val="24"/>
          <w:szCs w:val="24"/>
        </w:rPr>
      </w:pPr>
    </w:p>
    <w:p w14:paraId="01E694C0"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lastRenderedPageBreak/>
        <w:t xml:space="preserve">As a result of strained relationships Miles-Johnson (2019) makes mention to. Quinton and Morris (2008) define neighbourhood policing, as an approach that seeks to improve contact between the police and the public in geographical areas to strengthen the relationship and provide more awareness to the needs of the local people. Bryant and Bryant (2020) </w:t>
      </w:r>
      <w:proofErr w:type="gramStart"/>
      <w:r w:rsidRPr="00F22ECB">
        <w:rPr>
          <w:rFonts w:ascii="Arial" w:hAnsi="Arial" w:cs="Arial"/>
          <w:sz w:val="24"/>
          <w:szCs w:val="24"/>
        </w:rPr>
        <w:t>provides</w:t>
      </w:r>
      <w:proofErr w:type="gramEnd"/>
      <w:r w:rsidRPr="00F22ECB">
        <w:rPr>
          <w:rFonts w:ascii="Arial" w:hAnsi="Arial" w:cs="Arial"/>
          <w:sz w:val="24"/>
          <w:szCs w:val="24"/>
        </w:rPr>
        <w:t xml:space="preserve"> an outlook on how neighbourhood policing aims to bridge the gap on weakened relationships between the police and the community, community-orientated approaches to policing provide an advantageous opportunity to engage with the public, and address community safety and quality of life issues. The positives of neighbourhood policing are well entrenched and resource officers in areas of high levels of crime, antisocial behaviour, repeat offenders or victims and provide communities with regular police presence patrols. This in turn reassures the public and familiarises them with several roles the police deliver. However, the way in which neighbourhood policing is delivered is to ensure it is done fair and effectively, it builds public trust, and strengthens compliance whilst ensuring police legitimacy (Longstaff </w:t>
      </w:r>
      <w:r w:rsidRPr="00F22ECB">
        <w:rPr>
          <w:rFonts w:ascii="Arial" w:hAnsi="Arial" w:cs="Arial"/>
          <w:i/>
          <w:iCs/>
          <w:sz w:val="24"/>
          <w:szCs w:val="24"/>
        </w:rPr>
        <w:t xml:space="preserve">et al., </w:t>
      </w:r>
      <w:r w:rsidRPr="00F22ECB">
        <w:rPr>
          <w:rFonts w:ascii="Arial" w:hAnsi="Arial" w:cs="Arial"/>
          <w:sz w:val="24"/>
          <w:szCs w:val="24"/>
        </w:rPr>
        <w:t>2015). An evaluation conducted by the National Reassurance Policing Programme (2003) showed that, over a 12-month period increased public confidence, reduced crime victimisation and perceptions of anti-social behaviour, alongside strengthened feelings of safety, police presence and familiarity with neighbourhood policing had a positive impact on communities (Quinton and Morris, 2008). This provided concise evidence that local policing is overall effective regarding local communities and began to strengthen ties between the police and the communities within.</w:t>
      </w:r>
    </w:p>
    <w:p w14:paraId="05E5386F"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On the contrary, quantitative, and qualitative analysis of views from members of ethnic minority groups when police intervention has been apparent and that police organisational culture relations with ethnic minorities has become an important social change. However, the limitations to this analysis may be referred to as “what counts can’t be counted”, the lack of interest in community policing is a worldwide issue due to the essence of policing primarily existing to detect or prevent crime, and that crime prevention is not even nearly reported statistically as often as legitimate crimes (</w:t>
      </w:r>
      <w:proofErr w:type="spellStart"/>
      <w:r w:rsidRPr="00F22ECB">
        <w:rPr>
          <w:rFonts w:ascii="Arial" w:hAnsi="Arial" w:cs="Arial"/>
          <w:sz w:val="24"/>
          <w:szCs w:val="24"/>
        </w:rPr>
        <w:t>McInerney</w:t>
      </w:r>
      <w:proofErr w:type="spellEnd"/>
      <w:r w:rsidRPr="00F22ECB">
        <w:rPr>
          <w:rFonts w:ascii="Arial" w:hAnsi="Arial" w:cs="Arial"/>
          <w:sz w:val="24"/>
          <w:szCs w:val="24"/>
        </w:rPr>
        <w:t xml:space="preserve">, 2020). This would suggest that perhaps police community engagement may have an increased preventative effect on communities than suggested as prevention isn’t always reported. </w:t>
      </w:r>
    </w:p>
    <w:p w14:paraId="45B2B405" w14:textId="77777777" w:rsidR="00F22ECB" w:rsidRPr="00F22ECB" w:rsidRDefault="00F22ECB" w:rsidP="00F22ECB">
      <w:pPr>
        <w:spacing w:line="360" w:lineRule="auto"/>
        <w:rPr>
          <w:rFonts w:ascii="Arial" w:hAnsi="Arial" w:cs="Arial"/>
          <w:sz w:val="24"/>
          <w:szCs w:val="24"/>
        </w:rPr>
      </w:pPr>
    </w:p>
    <w:p w14:paraId="73B10F67"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High profile enquiries over the last 25 years would suggest police reform and change is an ongoing requirement which consequently contributes to tremendous levels of monitoring and awareness. As Hayes (2002) mentioned ‘ethics’ being one of the most important issues of modern society, the police worldwide have provided aims and guidance as means of instilling public confidence and trust, with the acceptance and acknowledgement that every human is different and that it is fundamental that everyone comprehends. While racial profiling and unconscious bias stem from the lack of diversity within police organisations according to Miles-Johnson (2019), Lee and Gibbs (2015) would suggest that officers from minority ethnic backgrounds would in future perhaps become better police officers than officers from the majority ethnic background as they would naturally have more awareness to diversity and inclusion. The introduction of neighbourhood policing has been shown to be an overall positive catalyst in strengthening police and communities’ ties according to Bryant and Bryant (2020), which supports the NRPP evaluation on public perception of neighbourhood policing being a strong link.</w:t>
      </w:r>
    </w:p>
    <w:p w14:paraId="6AA8CD0A"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Overall, it is clear from what has been discussed that policing will forever be an ongoing transformation to respond to changes in society, to exceed public expectations and meet the needs of new and imminently emerging communities. Effective policing is essential in all of humanity is paramount to the protection of rights and freedom to which our society relies on.</w:t>
      </w:r>
    </w:p>
    <w:p w14:paraId="68CEE4C1" w14:textId="77777777" w:rsidR="00F22ECB" w:rsidRPr="00F22ECB" w:rsidRDefault="00F22ECB" w:rsidP="00F22ECB">
      <w:pPr>
        <w:spacing w:line="360" w:lineRule="auto"/>
        <w:rPr>
          <w:rFonts w:ascii="Arial" w:hAnsi="Arial" w:cs="Arial"/>
          <w:b/>
          <w:bCs/>
          <w:sz w:val="24"/>
          <w:szCs w:val="24"/>
          <w:u w:val="single"/>
        </w:rPr>
      </w:pPr>
      <w:r w:rsidRPr="00F22ECB">
        <w:rPr>
          <w:rFonts w:ascii="Arial" w:hAnsi="Arial" w:cs="Arial"/>
          <w:b/>
          <w:bCs/>
          <w:sz w:val="24"/>
          <w:szCs w:val="24"/>
        </w:rPr>
        <w:t>Word Count (1099).</w:t>
      </w:r>
    </w:p>
    <w:p w14:paraId="642A9E12" w14:textId="77777777" w:rsidR="00F22ECB" w:rsidRPr="00F22ECB" w:rsidRDefault="00F22ECB" w:rsidP="00F22ECB">
      <w:pPr>
        <w:spacing w:line="360" w:lineRule="auto"/>
        <w:rPr>
          <w:rFonts w:ascii="Arial" w:hAnsi="Arial" w:cs="Arial"/>
          <w:sz w:val="24"/>
          <w:szCs w:val="24"/>
        </w:rPr>
      </w:pPr>
    </w:p>
    <w:p w14:paraId="6927EF50" w14:textId="77777777" w:rsidR="00F22ECB" w:rsidRPr="00F22ECB" w:rsidRDefault="00F22ECB" w:rsidP="00F22ECB">
      <w:pPr>
        <w:spacing w:line="360" w:lineRule="auto"/>
        <w:rPr>
          <w:rFonts w:ascii="Arial" w:hAnsi="Arial" w:cs="Arial"/>
          <w:b/>
          <w:bCs/>
          <w:sz w:val="24"/>
          <w:szCs w:val="24"/>
        </w:rPr>
      </w:pPr>
      <w:r w:rsidRPr="00F22ECB">
        <w:rPr>
          <w:rFonts w:ascii="Arial" w:hAnsi="Arial" w:cs="Arial"/>
          <w:sz w:val="24"/>
          <w:szCs w:val="24"/>
        </w:rPr>
        <w:t xml:space="preserve"> </w:t>
      </w:r>
      <w:r w:rsidRPr="00F22ECB">
        <w:rPr>
          <w:rFonts w:ascii="Arial" w:hAnsi="Arial" w:cs="Arial"/>
          <w:b/>
          <w:bCs/>
          <w:sz w:val="24"/>
          <w:szCs w:val="24"/>
        </w:rPr>
        <w:t>Assess the impact of early intervention and partnership approaches in reducing re-offending in relation to gang-related activity (1000 words).</w:t>
      </w:r>
    </w:p>
    <w:p w14:paraId="3C14C0A9" w14:textId="77777777" w:rsidR="00F22ECB" w:rsidRPr="00F22ECB" w:rsidRDefault="00F22ECB" w:rsidP="00F22ECB">
      <w:pPr>
        <w:spacing w:line="360" w:lineRule="auto"/>
        <w:rPr>
          <w:rFonts w:ascii="Arial" w:hAnsi="Arial" w:cs="Arial"/>
          <w:b/>
          <w:bCs/>
          <w:sz w:val="24"/>
          <w:szCs w:val="24"/>
        </w:rPr>
      </w:pPr>
    </w:p>
    <w:p w14:paraId="032FF554"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Throughout this assignment I will be examining the impact of early intervention and partnership approaches towards the reduction of gang-related re-offending, and form </w:t>
      </w:r>
      <w:r w:rsidRPr="00F22ECB">
        <w:rPr>
          <w:rFonts w:ascii="Arial" w:hAnsi="Arial" w:cs="Arial"/>
          <w:sz w:val="24"/>
          <w:szCs w:val="24"/>
        </w:rPr>
        <w:lastRenderedPageBreak/>
        <w:t>opinions on relevant evidence relating to the onset of offending and how different interventions and approaches influence it.</w:t>
      </w:r>
    </w:p>
    <w:p w14:paraId="61E35A80" w14:textId="77777777" w:rsidR="00F22ECB" w:rsidRPr="00F22ECB" w:rsidRDefault="00F22ECB" w:rsidP="00F22ECB">
      <w:pPr>
        <w:spacing w:line="360" w:lineRule="auto"/>
        <w:rPr>
          <w:rFonts w:ascii="Arial" w:hAnsi="Arial" w:cs="Arial"/>
          <w:sz w:val="24"/>
          <w:szCs w:val="24"/>
        </w:rPr>
      </w:pPr>
    </w:p>
    <w:p w14:paraId="6A13C92D"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As </w:t>
      </w:r>
      <w:proofErr w:type="spellStart"/>
      <w:r w:rsidRPr="00F22ECB">
        <w:rPr>
          <w:rFonts w:ascii="Arial" w:hAnsi="Arial" w:cs="Arial"/>
          <w:sz w:val="24"/>
          <w:szCs w:val="24"/>
        </w:rPr>
        <w:t>Battin</w:t>
      </w:r>
      <w:proofErr w:type="spellEnd"/>
      <w:r w:rsidRPr="00F22ECB">
        <w:rPr>
          <w:rFonts w:ascii="Arial" w:hAnsi="Arial" w:cs="Arial"/>
          <w:sz w:val="24"/>
          <w:szCs w:val="24"/>
        </w:rPr>
        <w:t xml:space="preserve">, </w:t>
      </w:r>
      <w:r w:rsidRPr="00F22ECB">
        <w:rPr>
          <w:rFonts w:ascii="Arial" w:hAnsi="Arial" w:cs="Arial"/>
          <w:i/>
          <w:iCs/>
          <w:sz w:val="24"/>
          <w:szCs w:val="24"/>
        </w:rPr>
        <w:t>et al.,</w:t>
      </w:r>
      <w:r w:rsidRPr="00F22ECB">
        <w:rPr>
          <w:rFonts w:ascii="Arial" w:hAnsi="Arial" w:cs="Arial"/>
          <w:sz w:val="24"/>
          <w:szCs w:val="24"/>
        </w:rPr>
        <w:t xml:space="preserve"> (1998) noted, gang culture stems from the well-established ties between gang involvement and criminal behaviour. Additionally, gang members have been found to come from neighbourhoods with already established gangs (Hall et al., 2006). As mentioned by Alleyne &amp; Wood (2010), gangs tend to be more anti-authoritarian and value status more than non-gang youths. Gang involvement, activity and membership can appear to be appealing to youths. Therefore, it is not surprising that young people look up to gang members and seek to become a member, thus creating a gang-like cycle of belonging (Alleyne and Wood, 2012). Sullivan (2006) argues that public perception of what gangs are has deviated from the underlying issue that is youth involvement in gang violence and how to tackle it. Waller and Weiler (1984) argue that repeat offenders often come from deprived backgrounds, and that any attempts to respond to such actions with punitive disposals are likely to be ineffective. Alternately, it is suggested that greater resources should be provided towards stronger, more accessible social programs that focus on the suppressed issues of family, education, and life experiences for young people who are more likely to commit criminal offences in the future (Hobson, </w:t>
      </w:r>
      <w:r w:rsidRPr="00F22ECB">
        <w:rPr>
          <w:rFonts w:ascii="Arial" w:hAnsi="Arial" w:cs="Arial"/>
          <w:i/>
          <w:iCs/>
          <w:sz w:val="24"/>
          <w:szCs w:val="24"/>
        </w:rPr>
        <w:t xml:space="preserve">et al., 2021). </w:t>
      </w:r>
      <w:r w:rsidRPr="00F22ECB">
        <w:rPr>
          <w:rFonts w:ascii="Arial" w:hAnsi="Arial" w:cs="Arial"/>
          <w:sz w:val="24"/>
          <w:szCs w:val="24"/>
        </w:rPr>
        <w:t>Murphy (2019) suggests a theory providing an understanding of why youths offend known as the ‘risk-factors prevention paradigm’ (RFPP), this theory utilizes the determinants of biological, psychological, and social factors, and how they interact causing on occasion to catalyse and create higher likelihoods of offending. Despite crime involving youths falling in the UK in more recent times, it has been identified that the likelihood of young people committing offences is higher than adults or senior members (Loeber and Stallings, 2011). Hence, the methods police use to interact with young people are a vital component of police–community relationships. Police-led preventative interventions with at risk youths are central to many debates surrounding societal policing (Barton, 2014).</w:t>
      </w:r>
    </w:p>
    <w:p w14:paraId="1419AAAD"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According to </w:t>
      </w:r>
      <w:proofErr w:type="spellStart"/>
      <w:r w:rsidRPr="00F22ECB">
        <w:rPr>
          <w:rFonts w:ascii="Arial" w:hAnsi="Arial" w:cs="Arial"/>
          <w:sz w:val="24"/>
          <w:szCs w:val="24"/>
        </w:rPr>
        <w:t>Guay</w:t>
      </w:r>
      <w:proofErr w:type="spellEnd"/>
      <w:r w:rsidRPr="00F22ECB">
        <w:rPr>
          <w:rFonts w:ascii="Arial" w:hAnsi="Arial" w:cs="Arial"/>
          <w:sz w:val="24"/>
          <w:szCs w:val="24"/>
        </w:rPr>
        <w:t xml:space="preserve"> (2012) being a gang member increases the chances of reoffending dramatically and research shows that offenders associated with gangs are 45% more </w:t>
      </w:r>
      <w:r w:rsidRPr="00F22ECB">
        <w:rPr>
          <w:rFonts w:ascii="Arial" w:hAnsi="Arial" w:cs="Arial"/>
          <w:sz w:val="24"/>
          <w:szCs w:val="24"/>
        </w:rPr>
        <w:lastRenderedPageBreak/>
        <w:t xml:space="preserve">likely to reoffend within 33 months of being release from prison, compared to 28% of non-gang members reoffending after 37 months. Consequently, Dooley (2014) suggests three reasons why gang-members are likely to reoffend such as, signalling a commitment to a criminal lifestyle, increasing social and human capital, and invoking an anti-authoritarian response to institutionalism. The Houses of Parliament Analysis (2018) suggests that environmental factors such as deprivation and strained relations between the community and the police are associated with increases of violence in their respective local areas. Risk factors can include child neglect, school exclusion and poor mental health. Radford, </w:t>
      </w:r>
      <w:r w:rsidRPr="00F22ECB">
        <w:rPr>
          <w:rFonts w:ascii="Arial" w:hAnsi="Arial" w:cs="Arial"/>
          <w:i/>
          <w:iCs/>
          <w:sz w:val="24"/>
          <w:szCs w:val="24"/>
        </w:rPr>
        <w:t>et al</w:t>
      </w:r>
      <w:r w:rsidRPr="00F22ECB">
        <w:rPr>
          <w:rFonts w:ascii="Arial" w:hAnsi="Arial" w:cs="Arial"/>
          <w:sz w:val="24"/>
          <w:szCs w:val="24"/>
        </w:rPr>
        <w:t xml:space="preserve"> (2011) estimates that 1 in 5 children have experienced severe neglect, however, less than 1% go on to commit violent crimes. Acknowledging the link between adverse childhood experiences and future outcomes can support preventative action, services such as the National Society for the Prevention of Cruelty to Children (NSPCC) and Child Abuse Prevention Service (CAPS) who assist in the welfare and safeguarding of a child, but also the prevention and reduction likelihood of that child offending. Understanding the link between Adverse Childhood Experiences (ACE’s) and future likelihood outcomes can support preventative action. For example, services can aim to prevent ACEs or deliver trauma-led early interventions, where programmes aim to reduce the negative effects of ACEs on psychological and social development by building resilience and emotional competency (Houses of Parliament, 2018).</w:t>
      </w:r>
    </w:p>
    <w:p w14:paraId="37B574D5" w14:textId="77777777" w:rsidR="00F22ECB" w:rsidRPr="00F22ECB" w:rsidRDefault="00F22ECB" w:rsidP="00F22ECB">
      <w:pPr>
        <w:spacing w:line="360" w:lineRule="auto"/>
        <w:rPr>
          <w:rFonts w:ascii="Arial" w:hAnsi="Arial" w:cs="Arial"/>
          <w:sz w:val="24"/>
          <w:szCs w:val="24"/>
        </w:rPr>
      </w:pPr>
      <w:r w:rsidRPr="00F22ECB">
        <w:rPr>
          <w:rFonts w:ascii="Arial" w:hAnsi="Arial" w:cs="Arial"/>
          <w:sz w:val="24"/>
          <w:szCs w:val="24"/>
        </w:rPr>
        <w:t xml:space="preserve">As mentioned by Farrington and Welsh (2012), school-based prevention programs have become more popular since the early 2000’s due to an increased focus towards violence in schools. Furthermore, there’s a wide range of programs such as after-school clubs, mentoring, and social clubs which appear to appeal to the public and parents (Butterfield, 2003). However, many programs have been set up to protect the safety of students with less of a focus on the prevention of offending in school and the wider community. Youth offending teams are part of local councils and are separate from the police and justice system, they do however work with the police, probation officers, housing associations, schools, charities, and local communities (Gov.uk, </w:t>
      </w:r>
      <w:proofErr w:type="spellStart"/>
      <w:r w:rsidRPr="00F22ECB">
        <w:rPr>
          <w:rFonts w:ascii="Arial" w:hAnsi="Arial" w:cs="Arial"/>
          <w:sz w:val="24"/>
          <w:szCs w:val="24"/>
        </w:rPr>
        <w:t>nd</w:t>
      </w:r>
      <w:proofErr w:type="spellEnd"/>
      <w:r w:rsidRPr="00F22ECB">
        <w:rPr>
          <w:rFonts w:ascii="Arial" w:hAnsi="Arial" w:cs="Arial"/>
          <w:sz w:val="24"/>
          <w:szCs w:val="24"/>
        </w:rPr>
        <w:t xml:space="preserve">). Notably, the statistical report from Ministry of Justice 2019/20 (2021) states that early intervention reduces the rate of offending by 16%, whilst previous approaches such as </w:t>
      </w:r>
      <w:r w:rsidRPr="00F22ECB">
        <w:rPr>
          <w:rFonts w:ascii="Arial" w:hAnsi="Arial" w:cs="Arial"/>
          <w:sz w:val="24"/>
          <w:szCs w:val="24"/>
        </w:rPr>
        <w:lastRenderedPageBreak/>
        <w:t xml:space="preserve">sanctions and punitive measures have been longstanding and on occasion ineffective, research suggests that early intervention clearly evidences this to be more effective. </w:t>
      </w:r>
    </w:p>
    <w:p w14:paraId="474FDBE1" w14:textId="77777777" w:rsidR="00F22ECB" w:rsidRPr="00F22ECB" w:rsidRDefault="00F22ECB" w:rsidP="00F22ECB">
      <w:pPr>
        <w:rPr>
          <w:rFonts w:ascii="Arial" w:hAnsi="Arial" w:cs="Arial"/>
          <w:sz w:val="24"/>
          <w:szCs w:val="24"/>
        </w:rPr>
      </w:pPr>
    </w:p>
    <w:p w14:paraId="5DB33209" w14:textId="77777777" w:rsidR="00F22ECB" w:rsidRPr="00F22ECB" w:rsidRDefault="00F22ECB" w:rsidP="00F22ECB">
      <w:pPr>
        <w:rPr>
          <w:rFonts w:ascii="Arial" w:hAnsi="Arial" w:cs="Arial"/>
          <w:sz w:val="24"/>
          <w:szCs w:val="24"/>
        </w:rPr>
      </w:pPr>
    </w:p>
    <w:p w14:paraId="3E93614E" w14:textId="77777777" w:rsidR="00F22ECB" w:rsidRPr="00F22ECB" w:rsidRDefault="00F22ECB" w:rsidP="00F22ECB">
      <w:pPr>
        <w:spacing w:line="360" w:lineRule="auto"/>
        <w:jc w:val="both"/>
        <w:rPr>
          <w:rFonts w:ascii="Arial" w:hAnsi="Arial" w:cs="Arial"/>
          <w:sz w:val="24"/>
          <w:szCs w:val="24"/>
        </w:rPr>
      </w:pPr>
      <w:r w:rsidRPr="00F22ECB">
        <w:rPr>
          <w:rFonts w:ascii="Arial" w:hAnsi="Arial" w:cs="Arial"/>
          <w:sz w:val="24"/>
          <w:szCs w:val="24"/>
        </w:rPr>
        <w:t xml:space="preserve">In conclusion, early interventions can be a difficult method to assess due to the diverse types of measures and factors. There are many contributing factors linked with crime and evaluating the long-term effect of early interventions, however it requires numerous follow-ups throughout people’s lives. The limitations to children who have experienced ACEs in their childhood and that 1% of those go on to commit violent crimes does not provide enough of a significant finding that ACE’s is a contributing factor to the likelihood of offending or re-offending despite its acknowledgment. The RFPP insists the role of biological, psychological, and social factors provide the genetic makeup of criminality but fails to provide a future map for the combination of such dissimilar factors despite their importance within the model. It is clear from the studies that gang culture predominantly exists in areas where police-community ties are strained. Vulnerable youths with adverse childhood experiences can become prey for coercive gangs due to their impressionability and lack of guidance. However statistically according to Radford, </w:t>
      </w:r>
      <w:r w:rsidRPr="00F22ECB">
        <w:rPr>
          <w:rFonts w:ascii="Arial" w:hAnsi="Arial" w:cs="Arial"/>
          <w:i/>
          <w:iCs/>
          <w:sz w:val="24"/>
          <w:szCs w:val="24"/>
        </w:rPr>
        <w:t xml:space="preserve">et al </w:t>
      </w:r>
      <w:r w:rsidRPr="00F22ECB">
        <w:rPr>
          <w:rFonts w:ascii="Arial" w:hAnsi="Arial" w:cs="Arial"/>
          <w:sz w:val="24"/>
          <w:szCs w:val="24"/>
        </w:rPr>
        <w:t>(2020) less than 1% who come from these deprived backgrounds go on to commit violent crimes related to gang activity. The limitations or lack of evidence would suggest that alternate factors such as personal circumstances, state of mind or mental health disorders could influence and deviate from generic statistics. What can be noted as a benefit is early prevention programs and how they tackle gang issues, the programs imposed can only be a positive attempt to prevent young individuals from joining gangs and educate them about the dangers those gangs possess.</w:t>
      </w:r>
    </w:p>
    <w:p w14:paraId="3708C59A" w14:textId="77777777" w:rsidR="00F22ECB" w:rsidRPr="00F22ECB" w:rsidRDefault="00F22ECB" w:rsidP="00F22ECB">
      <w:pPr>
        <w:spacing w:line="360" w:lineRule="auto"/>
        <w:jc w:val="both"/>
        <w:rPr>
          <w:rFonts w:ascii="Arial" w:hAnsi="Arial" w:cs="Arial"/>
          <w:sz w:val="24"/>
          <w:szCs w:val="24"/>
        </w:rPr>
      </w:pPr>
    </w:p>
    <w:p w14:paraId="66917DBC" w14:textId="77777777" w:rsidR="00F22ECB" w:rsidRPr="00F22ECB" w:rsidRDefault="00F22ECB" w:rsidP="00F22ECB">
      <w:pPr>
        <w:spacing w:line="360" w:lineRule="auto"/>
        <w:jc w:val="both"/>
        <w:rPr>
          <w:rFonts w:ascii="Arial" w:hAnsi="Arial" w:cs="Arial"/>
          <w:b/>
          <w:bCs/>
          <w:sz w:val="24"/>
          <w:szCs w:val="24"/>
        </w:rPr>
      </w:pPr>
      <w:r w:rsidRPr="00F22ECB">
        <w:rPr>
          <w:rFonts w:ascii="Arial" w:hAnsi="Arial" w:cs="Arial"/>
          <w:b/>
          <w:bCs/>
          <w:sz w:val="24"/>
          <w:szCs w:val="24"/>
        </w:rPr>
        <w:t>Word count (983).</w:t>
      </w:r>
    </w:p>
    <w:p w14:paraId="76917880" w14:textId="77777777" w:rsidR="00F22ECB" w:rsidRPr="00F22ECB" w:rsidRDefault="00F22ECB" w:rsidP="00F22ECB">
      <w:pPr>
        <w:jc w:val="both"/>
        <w:rPr>
          <w:rFonts w:ascii="Arial" w:hAnsi="Arial" w:cs="Arial"/>
          <w:sz w:val="24"/>
          <w:szCs w:val="24"/>
        </w:rPr>
      </w:pPr>
    </w:p>
    <w:p w14:paraId="45C8B339" w14:textId="77777777" w:rsidR="00F22ECB" w:rsidRPr="00F22ECB" w:rsidRDefault="00F22ECB" w:rsidP="00F22ECB">
      <w:pPr>
        <w:jc w:val="both"/>
        <w:rPr>
          <w:rFonts w:ascii="Arial" w:hAnsi="Arial" w:cs="Arial"/>
          <w:sz w:val="24"/>
          <w:szCs w:val="24"/>
        </w:rPr>
      </w:pPr>
    </w:p>
    <w:p w14:paraId="3F905AC3" w14:textId="77777777" w:rsidR="00F22ECB" w:rsidRPr="00F22ECB" w:rsidRDefault="00F22ECB" w:rsidP="00F22ECB">
      <w:pPr>
        <w:rPr>
          <w:rFonts w:ascii="Arial" w:hAnsi="Arial" w:cs="Arial"/>
          <w:sz w:val="24"/>
          <w:szCs w:val="24"/>
        </w:rPr>
      </w:pPr>
    </w:p>
    <w:p w14:paraId="1FF6C881" w14:textId="77777777" w:rsidR="00F22ECB" w:rsidRPr="00F22ECB" w:rsidRDefault="00F22ECB" w:rsidP="00F22ECB">
      <w:pPr>
        <w:rPr>
          <w:rFonts w:ascii="Arial" w:hAnsi="Arial" w:cs="Arial"/>
          <w:sz w:val="24"/>
          <w:szCs w:val="24"/>
        </w:rPr>
      </w:pPr>
    </w:p>
    <w:p w14:paraId="5976B249" w14:textId="77777777" w:rsidR="00F22ECB" w:rsidRPr="00F22ECB" w:rsidRDefault="00F22ECB" w:rsidP="00F22ECB">
      <w:pPr>
        <w:rPr>
          <w:rFonts w:ascii="Arial" w:hAnsi="Arial" w:cs="Arial"/>
          <w:sz w:val="24"/>
          <w:szCs w:val="24"/>
        </w:rPr>
      </w:pPr>
    </w:p>
    <w:p w14:paraId="0E639C45" w14:textId="77777777" w:rsidR="00F22ECB" w:rsidRPr="00F22ECB" w:rsidRDefault="00F22ECB" w:rsidP="00F22ECB">
      <w:pPr>
        <w:spacing w:line="360" w:lineRule="auto"/>
        <w:rPr>
          <w:rFonts w:ascii="Arial" w:eastAsia="Times New Roman" w:hAnsi="Arial" w:cs="Arial"/>
          <w:b/>
          <w:bCs/>
          <w:sz w:val="24"/>
          <w:szCs w:val="24"/>
          <w:lang w:eastAsia="en-GB"/>
        </w:rPr>
      </w:pPr>
      <w:r w:rsidRPr="00F22ECB">
        <w:rPr>
          <w:rFonts w:ascii="Arial" w:eastAsia="Times New Roman" w:hAnsi="Arial" w:cs="Arial"/>
          <w:b/>
          <w:bCs/>
          <w:sz w:val="24"/>
          <w:szCs w:val="24"/>
          <w:lang w:eastAsia="en-GB"/>
        </w:rPr>
        <w:t>Analyse potential links between serious and organised crime and public protection issues and evaluate the effectiveness of current public protection practices in investigating such incidents (1000 words).</w:t>
      </w:r>
    </w:p>
    <w:p w14:paraId="1E6EBEDD" w14:textId="77777777" w:rsidR="00F22ECB" w:rsidRPr="00F22ECB" w:rsidRDefault="00F22ECB" w:rsidP="00F22ECB">
      <w:pPr>
        <w:spacing w:line="360" w:lineRule="auto"/>
        <w:rPr>
          <w:rFonts w:ascii="Arial" w:eastAsia="Times New Roman" w:hAnsi="Arial" w:cs="Arial"/>
          <w:b/>
          <w:bCs/>
          <w:sz w:val="24"/>
          <w:szCs w:val="24"/>
          <w:lang w:eastAsia="en-GB"/>
        </w:rPr>
      </w:pPr>
    </w:p>
    <w:p w14:paraId="30C368E0" w14:textId="45A122BE" w:rsidR="00F22ECB" w:rsidRDefault="00F22ECB" w:rsidP="00F22ECB">
      <w:pPr>
        <w:spacing w:line="360" w:lineRule="auto"/>
        <w:rPr>
          <w:rFonts w:ascii="Arial" w:eastAsia="Times New Roman" w:hAnsi="Arial" w:cs="Arial"/>
          <w:sz w:val="24"/>
          <w:szCs w:val="24"/>
          <w:lang w:eastAsia="en-GB"/>
        </w:rPr>
      </w:pPr>
      <w:r w:rsidRPr="00F22ECB">
        <w:rPr>
          <w:rFonts w:ascii="Arial" w:eastAsia="Times New Roman" w:hAnsi="Arial" w:cs="Arial"/>
          <w:sz w:val="24"/>
          <w:szCs w:val="24"/>
          <w:lang w:eastAsia="en-GB"/>
        </w:rPr>
        <w:t>During this assignment I will be examining closely the potential links between serious-organised crime and public protection issues and assess the effectiveness of current public protection practices in investigating those events.</w:t>
      </w:r>
    </w:p>
    <w:p w14:paraId="51BEB85D" w14:textId="77777777" w:rsidR="00F22ECB" w:rsidRPr="00F22ECB" w:rsidRDefault="00F22ECB" w:rsidP="00F22ECB">
      <w:pPr>
        <w:spacing w:line="360" w:lineRule="auto"/>
        <w:rPr>
          <w:rFonts w:ascii="Arial" w:eastAsia="Times New Roman" w:hAnsi="Arial" w:cs="Arial"/>
          <w:sz w:val="24"/>
          <w:szCs w:val="24"/>
          <w:lang w:eastAsia="en-GB"/>
        </w:rPr>
      </w:pPr>
    </w:p>
    <w:p w14:paraId="539B2AD2" w14:textId="77777777" w:rsidR="00F22ECB" w:rsidRPr="00F22ECB" w:rsidRDefault="00F22ECB" w:rsidP="00F22ECB">
      <w:pPr>
        <w:spacing w:line="360" w:lineRule="auto"/>
        <w:rPr>
          <w:rFonts w:ascii="Arial" w:hAnsi="Arial" w:cs="Arial"/>
          <w:sz w:val="24"/>
          <w:szCs w:val="24"/>
        </w:rPr>
      </w:pPr>
      <w:r w:rsidRPr="00F22ECB">
        <w:rPr>
          <w:rFonts w:ascii="Arial" w:eastAsia="Times New Roman" w:hAnsi="Arial" w:cs="Arial"/>
          <w:sz w:val="24"/>
          <w:szCs w:val="24"/>
          <w:lang w:eastAsia="en-GB"/>
        </w:rPr>
        <w:t xml:space="preserve">Described by Winchester (2020), serious and organised crime is criminal activity that is premeditated, coordinated, and committed by people who are either working alone, in groups, or as parts of global organisations to benefit from influence, power and financial gain. Supportive of this, May (2011) suggests organised crime is interpreted by violence, the threat of violence and the use of bribery and corruption. Groups often rely on corrupt or inattentive professionals such as lawyers, accountants, and police officers to fulfil structured operations, maintain complicity, and deceive justice. A reviewed published by UK National Security Strategy (NSS) and Strategic Defence and Security Review (SDSR) in 2010 raised awareness to the increase in organised crime and labelled it as a ‘key risk to the UK’s national security’ (Home Office, 2011). </w:t>
      </w:r>
      <w:r w:rsidRPr="00F22ECB">
        <w:rPr>
          <w:rFonts w:ascii="Arial" w:hAnsi="Arial" w:cs="Arial"/>
          <w:sz w:val="24"/>
          <w:szCs w:val="24"/>
        </w:rPr>
        <w:t xml:space="preserve">A case study by Crocker, </w:t>
      </w:r>
      <w:r w:rsidRPr="00F22ECB">
        <w:rPr>
          <w:rFonts w:ascii="Arial" w:hAnsi="Arial" w:cs="Arial"/>
          <w:i/>
          <w:iCs/>
          <w:sz w:val="24"/>
          <w:szCs w:val="24"/>
        </w:rPr>
        <w:t xml:space="preserve">et al </w:t>
      </w:r>
      <w:r w:rsidRPr="00F22ECB">
        <w:rPr>
          <w:rFonts w:ascii="Arial" w:hAnsi="Arial" w:cs="Arial"/>
          <w:sz w:val="24"/>
          <w:szCs w:val="24"/>
        </w:rPr>
        <w:t xml:space="preserve">(2018) finds that those who are ‘indebted’ to Organised Crime Groups (OCGs), such as young and vulnerable people with drug addictions are targeted for minor roles within the organisation such as drug runners and low-level drug dealers. Furthermore, a key ingredient to the sustainability of an OCG is to exploit vulnerable individuals for criminal ends, these can include the enticement of drug users with addictions to assist in controlling them. </w:t>
      </w:r>
      <w:proofErr w:type="spellStart"/>
      <w:r w:rsidRPr="00F22ECB">
        <w:rPr>
          <w:rFonts w:ascii="Arial" w:hAnsi="Arial" w:cs="Arial"/>
          <w:sz w:val="24"/>
          <w:szCs w:val="24"/>
        </w:rPr>
        <w:t>Coomber</w:t>
      </w:r>
      <w:proofErr w:type="spellEnd"/>
      <w:r w:rsidRPr="00F22ECB">
        <w:rPr>
          <w:rFonts w:ascii="Arial" w:hAnsi="Arial" w:cs="Arial"/>
          <w:sz w:val="24"/>
          <w:szCs w:val="24"/>
        </w:rPr>
        <w:t xml:space="preserve"> and Moyle (2018) suggest, on occasion even elderly people were victimised, befriended and their properties taken over for the purpose of sustaining crime. This method is more commonly known as ‘cuckooing’ where the residence of a vulnerable person is overpowered by members of </w:t>
      </w:r>
      <w:r w:rsidRPr="00F22ECB">
        <w:rPr>
          <w:rFonts w:ascii="Arial" w:hAnsi="Arial" w:cs="Arial"/>
          <w:sz w:val="24"/>
          <w:szCs w:val="24"/>
        </w:rPr>
        <w:lastRenderedPageBreak/>
        <w:t>the OCG to use the property as a drug house. Spicer (2021) mentions ‘County Lines’, a modern term referring to OCGs using young people as drug runners across the UK and sending them across the country to sell their drugs in areas that aren’t particularly prone to such unimaginable scenarios. This again reinforces the polices difficult task at hand.</w:t>
      </w:r>
    </w:p>
    <w:p w14:paraId="02C6A524" w14:textId="77777777" w:rsidR="00F22ECB" w:rsidRPr="00F22ECB" w:rsidRDefault="00F22ECB" w:rsidP="00F22ECB">
      <w:pPr>
        <w:spacing w:line="360" w:lineRule="auto"/>
        <w:rPr>
          <w:rFonts w:ascii="Arial" w:eastAsia="Times New Roman" w:hAnsi="Arial" w:cs="Arial"/>
          <w:sz w:val="24"/>
          <w:szCs w:val="24"/>
          <w:lang w:eastAsia="en-GB"/>
        </w:rPr>
      </w:pPr>
    </w:p>
    <w:p w14:paraId="19BA0A4E" w14:textId="77777777" w:rsidR="00F22ECB" w:rsidRPr="00F22ECB" w:rsidRDefault="00F22ECB" w:rsidP="00F22ECB">
      <w:pPr>
        <w:spacing w:line="360" w:lineRule="auto"/>
        <w:rPr>
          <w:rFonts w:ascii="Arial" w:eastAsia="Times New Roman" w:hAnsi="Arial" w:cs="Arial"/>
          <w:sz w:val="24"/>
          <w:szCs w:val="24"/>
          <w:lang w:eastAsia="en-GB"/>
        </w:rPr>
      </w:pPr>
      <w:r w:rsidRPr="00F22ECB">
        <w:rPr>
          <w:rFonts w:ascii="Arial" w:eastAsia="Times New Roman" w:hAnsi="Arial" w:cs="Arial"/>
          <w:sz w:val="24"/>
          <w:szCs w:val="24"/>
          <w:lang w:eastAsia="en-GB"/>
        </w:rPr>
        <w:t xml:space="preserve">Since 2011, there have been priority national initiatives and increased effort from Police Forces in England and Wales to combat serious organised crime, including the sharing of intelligence on OCGs between UK police forces to either corroborate their own intelligence or take immediate action when necessary. However, a response from the Local Government Association (2015) notes that recruiting vulnerable people can become the perfect candidate to OCGs and suggests there is no specific pathway to becoming involved in organised crime. Alternatively, there are factors which increase the likelihood of involvement. Home office (2015) has identified four risk factors which place individuals are at higher chance of engaging in serious and organised crime which are criminality, ability, networks, and identity. Supportive of this, College of Policing (2021) state vulnerability-related risk can occur when relevant vulnerabilities interact with the individual’s situation. </w:t>
      </w:r>
    </w:p>
    <w:p w14:paraId="112A1CF8" w14:textId="77777777" w:rsidR="00F22ECB" w:rsidRPr="00F22ECB" w:rsidRDefault="00F22ECB" w:rsidP="00F22ECB">
      <w:pPr>
        <w:spacing w:line="360" w:lineRule="auto"/>
        <w:rPr>
          <w:rFonts w:ascii="Arial" w:eastAsia="Times New Roman" w:hAnsi="Arial" w:cs="Arial"/>
          <w:sz w:val="24"/>
          <w:szCs w:val="24"/>
          <w:lang w:eastAsia="en-GB"/>
        </w:rPr>
      </w:pPr>
      <w:proofErr w:type="spellStart"/>
      <w:r w:rsidRPr="00F22ECB">
        <w:rPr>
          <w:rFonts w:ascii="Arial" w:eastAsia="Times New Roman" w:hAnsi="Arial" w:cs="Arial"/>
          <w:sz w:val="24"/>
          <w:szCs w:val="24"/>
          <w:lang w:eastAsia="en-GB"/>
        </w:rPr>
        <w:t>Finklea</w:t>
      </w:r>
      <w:proofErr w:type="spellEnd"/>
      <w:r w:rsidRPr="00F22ECB">
        <w:rPr>
          <w:rFonts w:ascii="Arial" w:eastAsia="Times New Roman" w:hAnsi="Arial" w:cs="Arial"/>
          <w:sz w:val="24"/>
          <w:szCs w:val="24"/>
          <w:lang w:eastAsia="en-GB"/>
        </w:rPr>
        <w:t xml:space="preserve"> (2013) states that over the last two decades organised crime has become more complex to prevent, due to the ongoing challenges faced by Police and other justice remedies, criminals continue to transform their operations making it more difficult to combat. The police have utilized ‘disruption approaches’ to tackle organise crime such as covert investigating which focus on the recovery of assess and proceeds of crime, and the more transparent abrupt approach of notifying individuals that they will be targeted until they renounce their offending (Kirby, Northey and Snow (2015). From a public protection perspective, there is no specific individual whom OCGs will target. College of Policing (2021) suggests that not all vulnerabilities are visible however, police officers and other agencies are trained in identifying vulnerableness at an earlier stage </w:t>
      </w:r>
      <w:proofErr w:type="gramStart"/>
      <w:r w:rsidRPr="00F22ECB">
        <w:rPr>
          <w:rFonts w:ascii="Arial" w:eastAsia="Times New Roman" w:hAnsi="Arial" w:cs="Arial"/>
          <w:sz w:val="24"/>
          <w:szCs w:val="24"/>
          <w:lang w:eastAsia="en-GB"/>
        </w:rPr>
        <w:t>in order to</w:t>
      </w:r>
      <w:proofErr w:type="gramEnd"/>
      <w:r w:rsidRPr="00F22ECB">
        <w:rPr>
          <w:rFonts w:ascii="Arial" w:eastAsia="Times New Roman" w:hAnsi="Arial" w:cs="Arial"/>
          <w:sz w:val="24"/>
          <w:szCs w:val="24"/>
          <w:lang w:eastAsia="en-GB"/>
        </w:rPr>
        <w:t xml:space="preserve"> intervene, reducing the likelihood of corruption. Supportive of this, </w:t>
      </w:r>
      <w:proofErr w:type="gramStart"/>
      <w:r w:rsidRPr="00F22ECB">
        <w:rPr>
          <w:rFonts w:ascii="Arial" w:eastAsia="Times New Roman" w:hAnsi="Arial" w:cs="Arial"/>
          <w:sz w:val="24"/>
          <w:szCs w:val="24"/>
          <w:lang w:eastAsia="en-GB"/>
        </w:rPr>
        <w:t>Bryant</w:t>
      </w:r>
      <w:proofErr w:type="gramEnd"/>
      <w:r w:rsidRPr="00F22ECB">
        <w:rPr>
          <w:rFonts w:ascii="Arial" w:eastAsia="Times New Roman" w:hAnsi="Arial" w:cs="Arial"/>
          <w:sz w:val="24"/>
          <w:szCs w:val="24"/>
          <w:lang w:eastAsia="en-GB"/>
        </w:rPr>
        <w:t xml:space="preserve"> and Bryant (2020) state Multi-agency Public Protection Arrangements (MAPPA) are considered key to the prosperous management of offenders, the police, probation and </w:t>
      </w:r>
      <w:r w:rsidRPr="00F22ECB">
        <w:rPr>
          <w:rFonts w:ascii="Arial" w:eastAsia="Times New Roman" w:hAnsi="Arial" w:cs="Arial"/>
          <w:sz w:val="24"/>
          <w:szCs w:val="24"/>
          <w:lang w:eastAsia="en-GB"/>
        </w:rPr>
        <w:lastRenderedPageBreak/>
        <w:t xml:space="preserve">prison service work in harmony along with other inter-agencies such as social services but also communities to form what is MAPPA. The uniting of these partner agencies appeared important to modern policing who became strong advocates for inter-agency intelligence sharing to tackle organise crime. Furthermore, the engagement of police-community relations </w:t>
      </w:r>
      <w:proofErr w:type="gramStart"/>
      <w:r w:rsidRPr="00F22ECB">
        <w:rPr>
          <w:rFonts w:ascii="Arial" w:eastAsia="Times New Roman" w:hAnsi="Arial" w:cs="Arial"/>
          <w:sz w:val="24"/>
          <w:szCs w:val="24"/>
          <w:lang w:eastAsia="en-GB"/>
        </w:rPr>
        <w:t>assist</w:t>
      </w:r>
      <w:proofErr w:type="gramEnd"/>
      <w:r w:rsidRPr="00F22ECB">
        <w:rPr>
          <w:rFonts w:ascii="Arial" w:eastAsia="Times New Roman" w:hAnsi="Arial" w:cs="Arial"/>
          <w:sz w:val="24"/>
          <w:szCs w:val="24"/>
          <w:lang w:eastAsia="en-GB"/>
        </w:rPr>
        <w:t xml:space="preserve"> to build trust. Information sharing within MAPPA agencies is crucial in effective risk assessment and critical management decisions (</w:t>
      </w:r>
      <w:proofErr w:type="spellStart"/>
      <w:r w:rsidRPr="00F22ECB">
        <w:rPr>
          <w:rFonts w:ascii="Arial" w:eastAsia="Times New Roman" w:hAnsi="Arial" w:cs="Arial"/>
          <w:sz w:val="24"/>
          <w:szCs w:val="24"/>
          <w:lang w:eastAsia="en-GB"/>
        </w:rPr>
        <w:t>Kemshall</w:t>
      </w:r>
      <w:proofErr w:type="spellEnd"/>
      <w:r w:rsidRPr="00F22ECB">
        <w:rPr>
          <w:rFonts w:ascii="Arial" w:eastAsia="Times New Roman" w:hAnsi="Arial" w:cs="Arial"/>
          <w:sz w:val="24"/>
          <w:szCs w:val="24"/>
          <w:lang w:eastAsia="en-GB"/>
        </w:rPr>
        <w:t xml:space="preserve">, </w:t>
      </w:r>
      <w:r w:rsidRPr="00F22ECB">
        <w:rPr>
          <w:rFonts w:ascii="Arial" w:eastAsia="Times New Roman" w:hAnsi="Arial" w:cs="Arial"/>
          <w:i/>
          <w:iCs/>
          <w:sz w:val="24"/>
          <w:szCs w:val="24"/>
          <w:lang w:eastAsia="en-GB"/>
        </w:rPr>
        <w:t>et al.</w:t>
      </w:r>
      <w:r w:rsidRPr="00F22ECB">
        <w:rPr>
          <w:rFonts w:ascii="Arial" w:eastAsia="Times New Roman" w:hAnsi="Arial" w:cs="Arial"/>
          <w:sz w:val="24"/>
          <w:szCs w:val="24"/>
          <w:lang w:eastAsia="en-GB"/>
        </w:rPr>
        <w:t xml:space="preserve">, 2005). In particular, the overall MAPPA population of offenders has risen by 70% in the last 10 years (Ministry of Justice, 2021). This </w:t>
      </w:r>
      <w:proofErr w:type="gramStart"/>
      <w:r w:rsidRPr="00F22ECB">
        <w:rPr>
          <w:rFonts w:ascii="Arial" w:eastAsia="Times New Roman" w:hAnsi="Arial" w:cs="Arial"/>
          <w:sz w:val="24"/>
          <w:szCs w:val="24"/>
          <w:lang w:eastAsia="en-GB"/>
        </w:rPr>
        <w:t>provides  both</w:t>
      </w:r>
      <w:proofErr w:type="gramEnd"/>
      <w:r w:rsidRPr="00F22ECB">
        <w:rPr>
          <w:rFonts w:ascii="Arial" w:eastAsia="Times New Roman" w:hAnsi="Arial" w:cs="Arial"/>
          <w:sz w:val="24"/>
          <w:szCs w:val="24"/>
          <w:lang w:eastAsia="en-GB"/>
        </w:rPr>
        <w:t xml:space="preserve"> positive and negatives outcomes, agencies can corroborate further information and intelligence surrounding these offenders, however, this also poses the consideration of more offenders becoming members of serious organised groups.</w:t>
      </w:r>
    </w:p>
    <w:p w14:paraId="17A61D47" w14:textId="77777777" w:rsidR="00F22ECB" w:rsidRPr="00F22ECB" w:rsidRDefault="00F22ECB" w:rsidP="00F22ECB">
      <w:pPr>
        <w:spacing w:line="360" w:lineRule="auto"/>
        <w:rPr>
          <w:rFonts w:ascii="Arial" w:eastAsia="Times New Roman" w:hAnsi="Arial" w:cs="Arial"/>
          <w:sz w:val="24"/>
          <w:szCs w:val="24"/>
          <w:lang w:eastAsia="en-GB"/>
        </w:rPr>
      </w:pPr>
      <w:r w:rsidRPr="00F22ECB">
        <w:rPr>
          <w:rFonts w:ascii="Arial" w:eastAsia="Times New Roman" w:hAnsi="Arial" w:cs="Arial"/>
          <w:sz w:val="24"/>
          <w:szCs w:val="24"/>
          <w:lang w:eastAsia="en-GB"/>
        </w:rPr>
        <w:t xml:space="preserve">Muir, </w:t>
      </w:r>
      <w:r w:rsidRPr="00F22ECB">
        <w:rPr>
          <w:rFonts w:ascii="Arial" w:eastAsia="Times New Roman" w:hAnsi="Arial" w:cs="Arial"/>
          <w:i/>
          <w:iCs/>
          <w:sz w:val="24"/>
          <w:szCs w:val="24"/>
          <w:lang w:eastAsia="en-GB"/>
        </w:rPr>
        <w:t xml:space="preserve">et al (2022) </w:t>
      </w:r>
      <w:r w:rsidRPr="00F22ECB">
        <w:rPr>
          <w:rFonts w:ascii="Arial" w:eastAsia="Times New Roman" w:hAnsi="Arial" w:cs="Arial"/>
          <w:sz w:val="24"/>
          <w:szCs w:val="24"/>
          <w:lang w:eastAsia="en-GB"/>
        </w:rPr>
        <w:t xml:space="preserve">argues that the current police service structure does not yet meet its potential to tackle the surging levels of crime within the UK and cross border, the broadness and complexity of what public safety demand is too much of a battle for police to combat alone. </w:t>
      </w:r>
    </w:p>
    <w:p w14:paraId="5ABDF5B2" w14:textId="77777777" w:rsidR="00F22ECB" w:rsidRPr="00F22ECB" w:rsidRDefault="00F22ECB" w:rsidP="00F22ECB">
      <w:pPr>
        <w:spacing w:line="360" w:lineRule="auto"/>
        <w:rPr>
          <w:rFonts w:ascii="Arial" w:eastAsia="Times New Roman" w:hAnsi="Arial" w:cs="Arial"/>
          <w:sz w:val="24"/>
          <w:szCs w:val="24"/>
          <w:lang w:eastAsia="en-GB"/>
        </w:rPr>
      </w:pPr>
    </w:p>
    <w:p w14:paraId="4487A3C0" w14:textId="77777777" w:rsidR="00F22ECB" w:rsidRPr="00F22ECB" w:rsidRDefault="00F22ECB" w:rsidP="00F22ECB">
      <w:pPr>
        <w:spacing w:line="360" w:lineRule="auto"/>
        <w:rPr>
          <w:rFonts w:ascii="Arial" w:eastAsia="Times New Roman" w:hAnsi="Arial" w:cs="Arial"/>
          <w:sz w:val="24"/>
          <w:szCs w:val="24"/>
          <w:lang w:eastAsia="en-GB"/>
        </w:rPr>
      </w:pPr>
      <w:r w:rsidRPr="00F22ECB">
        <w:rPr>
          <w:rFonts w:ascii="Arial" w:eastAsia="Times New Roman" w:hAnsi="Arial" w:cs="Arial"/>
          <w:sz w:val="24"/>
          <w:szCs w:val="24"/>
          <w:lang w:eastAsia="en-GB"/>
        </w:rPr>
        <w:t xml:space="preserve">In conclusion, the evaluation of this study supports the argument that there is no specific group of offenders that can be categorised as members of OCGs. Similarly, nor can impressionable and vulnerable individuals whom these groups seek to corrupt be categorised especially when, on occasion, vulnerability is not visible. The inter-agency collaborations of MAPPA and its partners can only assist and continue to adapt and improve, unfortunately it is likewise for offenders. What is of great concern is the unlikelihood of OCGs ceasing their activities and the more likely outcome of offenders becoming better at avoiding detection. In addition to this, existing values, and close family ties of traditional OCGs make it more difficult to infiltrate, disrupt and prevent. </w:t>
      </w:r>
    </w:p>
    <w:p w14:paraId="22A1E0C8" w14:textId="77777777" w:rsidR="00F22ECB" w:rsidRPr="00F22ECB" w:rsidRDefault="00F22ECB" w:rsidP="00F22ECB">
      <w:pPr>
        <w:spacing w:line="360" w:lineRule="auto"/>
        <w:rPr>
          <w:rFonts w:ascii="Arial" w:eastAsia="Times New Roman" w:hAnsi="Arial" w:cs="Arial"/>
          <w:sz w:val="24"/>
          <w:szCs w:val="24"/>
          <w:lang w:eastAsia="en-GB"/>
        </w:rPr>
      </w:pPr>
    </w:p>
    <w:p w14:paraId="37391EF1" w14:textId="77777777" w:rsidR="00F22ECB" w:rsidRPr="00F22ECB" w:rsidRDefault="00F22ECB" w:rsidP="00F22ECB">
      <w:pPr>
        <w:spacing w:line="360" w:lineRule="auto"/>
        <w:rPr>
          <w:rFonts w:ascii="Arial" w:eastAsia="Times New Roman" w:hAnsi="Arial" w:cs="Arial"/>
          <w:b/>
          <w:bCs/>
          <w:sz w:val="24"/>
          <w:szCs w:val="24"/>
          <w:lang w:eastAsia="en-GB"/>
        </w:rPr>
      </w:pPr>
      <w:r w:rsidRPr="00F22ECB">
        <w:rPr>
          <w:rFonts w:ascii="Arial" w:eastAsia="Times New Roman" w:hAnsi="Arial" w:cs="Arial"/>
          <w:b/>
          <w:bCs/>
          <w:sz w:val="24"/>
          <w:szCs w:val="24"/>
          <w:lang w:eastAsia="en-GB"/>
        </w:rPr>
        <w:t>Word count (912).</w:t>
      </w:r>
    </w:p>
    <w:p w14:paraId="51FF1033" w14:textId="39A287EA" w:rsidR="00F22ECB" w:rsidRPr="00F22ECB" w:rsidRDefault="00F22ECB" w:rsidP="00F22ECB">
      <w:pPr>
        <w:spacing w:line="360" w:lineRule="auto"/>
        <w:rPr>
          <w:rFonts w:ascii="Arial" w:hAnsi="Arial" w:cs="Arial"/>
          <w:sz w:val="24"/>
          <w:szCs w:val="24"/>
        </w:rPr>
      </w:pPr>
    </w:p>
    <w:p w14:paraId="18B72B6D" w14:textId="77777777" w:rsidR="00700D12" w:rsidRDefault="00700D12" w:rsidP="00700D12">
      <w:pPr>
        <w:spacing w:line="360" w:lineRule="auto"/>
        <w:rPr>
          <w:rFonts w:ascii="Arial" w:hAnsi="Arial" w:cs="Arial"/>
          <w:sz w:val="24"/>
          <w:szCs w:val="24"/>
        </w:rPr>
      </w:pPr>
    </w:p>
    <w:p w14:paraId="4609B6FC" w14:textId="77777777" w:rsidR="00700D12" w:rsidRPr="003230FF" w:rsidRDefault="00700D12" w:rsidP="00700D12">
      <w:pPr>
        <w:spacing w:line="360" w:lineRule="auto"/>
        <w:jc w:val="center"/>
        <w:rPr>
          <w:rFonts w:ascii="Arial" w:hAnsi="Arial" w:cs="Arial"/>
          <w:b/>
          <w:bCs/>
          <w:sz w:val="24"/>
          <w:szCs w:val="24"/>
        </w:rPr>
      </w:pPr>
      <w:r w:rsidRPr="003230FF">
        <w:rPr>
          <w:rFonts w:ascii="Arial" w:hAnsi="Arial" w:cs="Arial"/>
          <w:b/>
          <w:bCs/>
          <w:sz w:val="24"/>
          <w:szCs w:val="24"/>
        </w:rPr>
        <w:t>Bibliography</w:t>
      </w:r>
    </w:p>
    <w:p w14:paraId="7DBDB8D6" w14:textId="77777777" w:rsidR="00700D12" w:rsidRPr="003230FF" w:rsidRDefault="00700D12" w:rsidP="00700D12">
      <w:pPr>
        <w:spacing w:line="360" w:lineRule="auto"/>
        <w:jc w:val="center"/>
        <w:rPr>
          <w:rFonts w:ascii="Arial" w:hAnsi="Arial" w:cs="Arial"/>
          <w:sz w:val="24"/>
          <w:szCs w:val="24"/>
        </w:rPr>
      </w:pPr>
    </w:p>
    <w:p w14:paraId="7268DB08"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Alleyne, E., Wood, J. (2013) </w:t>
      </w:r>
      <w:r w:rsidRPr="0074677C">
        <w:rPr>
          <w:rFonts w:ascii="Arial" w:hAnsi="Arial" w:cs="Arial"/>
          <w:i/>
          <w:iCs/>
          <w:sz w:val="24"/>
          <w:szCs w:val="24"/>
        </w:rPr>
        <w:t xml:space="preserve">Gang-related crime: the social, </w:t>
      </w:r>
      <w:proofErr w:type="gramStart"/>
      <w:r w:rsidRPr="0074677C">
        <w:rPr>
          <w:rFonts w:ascii="Arial" w:hAnsi="Arial" w:cs="Arial"/>
          <w:i/>
          <w:iCs/>
          <w:sz w:val="24"/>
          <w:szCs w:val="24"/>
        </w:rPr>
        <w:t>psychological</w:t>
      </w:r>
      <w:proofErr w:type="gramEnd"/>
      <w:r w:rsidRPr="0074677C">
        <w:rPr>
          <w:rFonts w:ascii="Arial" w:hAnsi="Arial" w:cs="Arial"/>
          <w:i/>
          <w:iCs/>
          <w:sz w:val="24"/>
          <w:szCs w:val="24"/>
        </w:rPr>
        <w:t xml:space="preserve"> and </w:t>
      </w:r>
      <w:proofErr w:type="spellStart"/>
      <w:r w:rsidRPr="0074677C">
        <w:rPr>
          <w:rFonts w:ascii="Arial" w:hAnsi="Arial" w:cs="Arial"/>
          <w:i/>
          <w:iCs/>
          <w:sz w:val="24"/>
          <w:szCs w:val="24"/>
        </w:rPr>
        <w:t>behavioral</w:t>
      </w:r>
      <w:proofErr w:type="spellEnd"/>
      <w:r w:rsidRPr="0074677C">
        <w:rPr>
          <w:rFonts w:ascii="Arial" w:hAnsi="Arial" w:cs="Arial"/>
          <w:i/>
          <w:iCs/>
          <w:sz w:val="24"/>
          <w:szCs w:val="24"/>
        </w:rPr>
        <w:t xml:space="preserve"> correlates, Psychology, Crime &amp; Law</w:t>
      </w:r>
      <w:r w:rsidRPr="003230FF">
        <w:rPr>
          <w:rFonts w:ascii="Arial" w:hAnsi="Arial" w:cs="Arial"/>
          <w:sz w:val="24"/>
          <w:szCs w:val="24"/>
        </w:rPr>
        <w:t>. Edition 19:7, Pages 611-627, DOI:10.1080/1068316X.2012.658050 [Accessed 18 June 2022].</w:t>
      </w:r>
    </w:p>
    <w:p w14:paraId="3BA7B453" w14:textId="77777777" w:rsidR="00700D12" w:rsidRPr="003230FF" w:rsidRDefault="00700D12" w:rsidP="00700D12">
      <w:pPr>
        <w:spacing w:line="360" w:lineRule="auto"/>
        <w:rPr>
          <w:rFonts w:ascii="Arial" w:hAnsi="Arial" w:cs="Arial"/>
          <w:sz w:val="24"/>
          <w:szCs w:val="24"/>
        </w:rPr>
      </w:pPr>
    </w:p>
    <w:p w14:paraId="2BBD95B7"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Balloni</w:t>
      </w:r>
      <w:proofErr w:type="spellEnd"/>
      <w:r w:rsidRPr="003230FF">
        <w:rPr>
          <w:rFonts w:ascii="Arial" w:hAnsi="Arial" w:cs="Arial"/>
          <w:sz w:val="24"/>
          <w:szCs w:val="24"/>
        </w:rPr>
        <w:t xml:space="preserve">, A., and </w:t>
      </w:r>
      <w:proofErr w:type="spellStart"/>
      <w:r w:rsidRPr="003230FF">
        <w:rPr>
          <w:rFonts w:ascii="Arial" w:hAnsi="Arial" w:cs="Arial"/>
          <w:sz w:val="24"/>
          <w:szCs w:val="24"/>
        </w:rPr>
        <w:t>Sette</w:t>
      </w:r>
      <w:proofErr w:type="spellEnd"/>
      <w:r w:rsidRPr="003230FF">
        <w:rPr>
          <w:rFonts w:ascii="Arial" w:hAnsi="Arial" w:cs="Arial"/>
          <w:sz w:val="24"/>
          <w:szCs w:val="24"/>
        </w:rPr>
        <w:t xml:space="preserve">, R. (Eds.). (2020). </w:t>
      </w:r>
      <w:r w:rsidRPr="0074677C">
        <w:rPr>
          <w:rFonts w:ascii="Arial" w:hAnsi="Arial" w:cs="Arial"/>
          <w:i/>
          <w:iCs/>
          <w:sz w:val="24"/>
          <w:szCs w:val="24"/>
        </w:rPr>
        <w:t>Handbook of Research on Trends and Issues in Crime Prevention, Rehabilitation, and Victim Support</w:t>
      </w:r>
      <w:r w:rsidRPr="003230FF">
        <w:rPr>
          <w:rFonts w:ascii="Arial" w:hAnsi="Arial" w:cs="Arial"/>
          <w:sz w:val="24"/>
          <w:szCs w:val="24"/>
        </w:rPr>
        <w:t>. IGI Global. https://doi-org.ezproxy.uwtsd.ac.uk/10.4018/978-1-7998-1286-9 [Accessed 18 June 2022].</w:t>
      </w:r>
    </w:p>
    <w:p w14:paraId="232564D9" w14:textId="77777777" w:rsidR="00700D12" w:rsidRPr="003230FF" w:rsidRDefault="00700D12" w:rsidP="00700D12">
      <w:pPr>
        <w:spacing w:line="360" w:lineRule="auto"/>
        <w:rPr>
          <w:rFonts w:ascii="Arial" w:hAnsi="Arial" w:cs="Arial"/>
          <w:sz w:val="24"/>
          <w:szCs w:val="24"/>
        </w:rPr>
      </w:pPr>
    </w:p>
    <w:p w14:paraId="6C9AAABA"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Barton, A., and Johns, N. (2014). </w:t>
      </w:r>
      <w:r w:rsidRPr="0074677C">
        <w:rPr>
          <w:rFonts w:ascii="Arial" w:hAnsi="Arial" w:cs="Arial"/>
          <w:i/>
          <w:iCs/>
          <w:sz w:val="24"/>
          <w:szCs w:val="24"/>
        </w:rPr>
        <w:t>The Policy-Making Process in the Criminal Justice System. Australian &amp; New Zealand Journal of Criminology</w:t>
      </w:r>
      <w:r w:rsidRPr="003230FF">
        <w:rPr>
          <w:rFonts w:ascii="Arial" w:hAnsi="Arial" w:cs="Arial"/>
          <w:sz w:val="24"/>
          <w:szCs w:val="24"/>
        </w:rPr>
        <w:t>. 2014;47(2):301-303. doi:10.1177/0004865814531221 [Accessed 21 June 2022].</w:t>
      </w:r>
    </w:p>
    <w:p w14:paraId="04948FDE" w14:textId="77777777" w:rsidR="00700D12" w:rsidRPr="003230FF" w:rsidRDefault="00700D12" w:rsidP="00700D12">
      <w:pPr>
        <w:spacing w:line="360" w:lineRule="auto"/>
        <w:rPr>
          <w:rFonts w:ascii="Arial" w:hAnsi="Arial" w:cs="Arial"/>
          <w:sz w:val="24"/>
          <w:szCs w:val="24"/>
        </w:rPr>
      </w:pPr>
    </w:p>
    <w:p w14:paraId="525FF982"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Battin</w:t>
      </w:r>
      <w:proofErr w:type="spellEnd"/>
      <w:r w:rsidRPr="003230FF">
        <w:rPr>
          <w:rFonts w:ascii="Arial" w:hAnsi="Arial" w:cs="Arial"/>
          <w:sz w:val="24"/>
          <w:szCs w:val="24"/>
        </w:rPr>
        <w:t xml:space="preserve">, S., Hill, K., Abbott, R., Catalano, R., &amp; Hawkins, D. (1998). </w:t>
      </w:r>
      <w:r w:rsidRPr="0074677C">
        <w:rPr>
          <w:rFonts w:ascii="Arial" w:hAnsi="Arial" w:cs="Arial"/>
          <w:i/>
          <w:iCs/>
          <w:sz w:val="24"/>
          <w:szCs w:val="24"/>
        </w:rPr>
        <w:t xml:space="preserve">The Contribution of Gang Membership </w:t>
      </w:r>
      <w:proofErr w:type="gramStart"/>
      <w:r w:rsidRPr="0074677C">
        <w:rPr>
          <w:rFonts w:ascii="Arial" w:hAnsi="Arial" w:cs="Arial"/>
          <w:i/>
          <w:iCs/>
          <w:sz w:val="24"/>
          <w:szCs w:val="24"/>
        </w:rPr>
        <w:t>To</w:t>
      </w:r>
      <w:proofErr w:type="gramEnd"/>
      <w:r w:rsidRPr="0074677C">
        <w:rPr>
          <w:rFonts w:ascii="Arial" w:hAnsi="Arial" w:cs="Arial"/>
          <w:i/>
          <w:iCs/>
          <w:sz w:val="24"/>
          <w:szCs w:val="24"/>
        </w:rPr>
        <w:t xml:space="preserve"> Delinquency Beyond Delinquent Friends</w:t>
      </w:r>
      <w:r w:rsidRPr="003230FF">
        <w:rPr>
          <w:rFonts w:ascii="Arial" w:hAnsi="Arial" w:cs="Arial"/>
          <w:sz w:val="24"/>
          <w:szCs w:val="24"/>
        </w:rPr>
        <w:t>. Volume 36 – Number 1. University of Washington. https://doi.org/10.1111/j.1745-9125.1998.tb01241.x [Accessed 18 June 2022].</w:t>
      </w:r>
    </w:p>
    <w:p w14:paraId="46F3E377" w14:textId="77777777" w:rsidR="00700D12" w:rsidRPr="003230FF" w:rsidRDefault="00700D12" w:rsidP="00700D12">
      <w:pPr>
        <w:spacing w:line="360" w:lineRule="auto"/>
        <w:rPr>
          <w:rFonts w:ascii="Arial" w:hAnsi="Arial" w:cs="Arial"/>
          <w:sz w:val="24"/>
          <w:szCs w:val="24"/>
        </w:rPr>
      </w:pPr>
    </w:p>
    <w:p w14:paraId="156A3402"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Boyd, F. (2019) </w:t>
      </w:r>
      <w:r w:rsidRPr="0074677C">
        <w:rPr>
          <w:rFonts w:ascii="Arial" w:hAnsi="Arial" w:cs="Arial"/>
          <w:i/>
          <w:iCs/>
          <w:sz w:val="24"/>
          <w:szCs w:val="24"/>
        </w:rPr>
        <w:t>Early Interventions to Reduce Violent Crime.</w:t>
      </w:r>
      <w:r w:rsidRPr="003230FF">
        <w:rPr>
          <w:rFonts w:ascii="Arial" w:hAnsi="Arial" w:cs="Arial"/>
          <w:sz w:val="24"/>
          <w:szCs w:val="24"/>
        </w:rPr>
        <w:t xml:space="preserve"> Houses of Parliament.  The Parliamentary Office of Science and Technology. Available at: https://researchbriefings.files.parliament.uk/documents/POST-PN-0599/POST-PN-0599.pdf [Accessed 19 June 2022].</w:t>
      </w:r>
    </w:p>
    <w:p w14:paraId="2659FA28" w14:textId="77777777" w:rsidR="00700D12" w:rsidRPr="003230FF" w:rsidRDefault="00700D12" w:rsidP="00700D12">
      <w:pPr>
        <w:spacing w:line="360" w:lineRule="auto"/>
        <w:rPr>
          <w:rFonts w:ascii="Arial" w:hAnsi="Arial" w:cs="Arial"/>
          <w:sz w:val="24"/>
          <w:szCs w:val="24"/>
        </w:rPr>
      </w:pPr>
    </w:p>
    <w:p w14:paraId="64DEAAAB"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lastRenderedPageBreak/>
        <w:t xml:space="preserve">Bradley, L. (2009). </w:t>
      </w:r>
      <w:r w:rsidRPr="0074677C">
        <w:rPr>
          <w:rFonts w:ascii="Arial" w:hAnsi="Arial" w:cs="Arial"/>
          <w:i/>
          <w:iCs/>
          <w:sz w:val="24"/>
          <w:szCs w:val="24"/>
        </w:rPr>
        <w:t>The Bradley Report and the Government’s Response.</w:t>
      </w:r>
      <w:r w:rsidRPr="003230FF">
        <w:rPr>
          <w:rFonts w:ascii="Arial" w:hAnsi="Arial" w:cs="Arial"/>
          <w:sz w:val="24"/>
          <w:szCs w:val="24"/>
        </w:rPr>
        <w:t xml:space="preserve"> 1st ed.</w:t>
      </w:r>
      <w:r>
        <w:rPr>
          <w:rFonts w:ascii="Arial" w:hAnsi="Arial" w:cs="Arial"/>
          <w:sz w:val="24"/>
          <w:szCs w:val="24"/>
        </w:rPr>
        <w:t xml:space="preserve"> </w:t>
      </w:r>
      <w:r w:rsidRPr="003230FF">
        <w:rPr>
          <w:rFonts w:ascii="Arial" w:hAnsi="Arial" w:cs="Arial"/>
          <w:sz w:val="24"/>
          <w:szCs w:val="24"/>
        </w:rPr>
        <w:t>London: Sainsbury Centre for mental health. Available at: &lt;http://www.ohrn.nhs.uk/resource/policy/SCHMBradleyReport.pdf&gt; [Accessed 14 June 2022].</w:t>
      </w:r>
    </w:p>
    <w:p w14:paraId="4D464FAA" w14:textId="77777777" w:rsidR="00700D12" w:rsidRPr="003230FF" w:rsidRDefault="00700D12" w:rsidP="00700D12">
      <w:pPr>
        <w:spacing w:line="360" w:lineRule="auto"/>
        <w:rPr>
          <w:rFonts w:ascii="Arial" w:hAnsi="Arial" w:cs="Arial"/>
          <w:sz w:val="24"/>
          <w:szCs w:val="24"/>
        </w:rPr>
      </w:pPr>
    </w:p>
    <w:p w14:paraId="1D6B1C07"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Bryant, R. and Bryant, S., (2020). </w:t>
      </w:r>
      <w:r w:rsidRPr="0074677C">
        <w:rPr>
          <w:rFonts w:ascii="Arial" w:hAnsi="Arial" w:cs="Arial"/>
          <w:i/>
          <w:iCs/>
          <w:sz w:val="24"/>
          <w:szCs w:val="24"/>
        </w:rPr>
        <w:t>Blackstone's handbook for policing students 2021</w:t>
      </w:r>
      <w:r w:rsidRPr="003230FF">
        <w:rPr>
          <w:rFonts w:ascii="Arial" w:hAnsi="Arial" w:cs="Arial"/>
          <w:sz w:val="24"/>
          <w:szCs w:val="24"/>
        </w:rPr>
        <w:t>. 15th ed. Oxford: Oxford University Press, p.77-78.</w:t>
      </w:r>
    </w:p>
    <w:p w14:paraId="311F0845" w14:textId="77777777" w:rsidR="00700D12" w:rsidRPr="003230FF" w:rsidRDefault="00700D12" w:rsidP="00700D12">
      <w:pPr>
        <w:spacing w:line="360" w:lineRule="auto"/>
        <w:rPr>
          <w:rFonts w:ascii="Arial" w:hAnsi="Arial" w:cs="Arial"/>
          <w:sz w:val="24"/>
          <w:szCs w:val="24"/>
        </w:rPr>
      </w:pPr>
    </w:p>
    <w:p w14:paraId="0E8CFCBC"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Bryant, R. and Bryant, S., (2020). </w:t>
      </w:r>
      <w:r w:rsidRPr="0074677C">
        <w:rPr>
          <w:rFonts w:ascii="Arial" w:hAnsi="Arial" w:cs="Arial"/>
          <w:i/>
          <w:iCs/>
          <w:sz w:val="24"/>
          <w:szCs w:val="24"/>
        </w:rPr>
        <w:t>Blackstone's handbook for policing students 2021.</w:t>
      </w:r>
      <w:r w:rsidRPr="003230FF">
        <w:rPr>
          <w:rFonts w:ascii="Arial" w:hAnsi="Arial" w:cs="Arial"/>
          <w:sz w:val="24"/>
          <w:szCs w:val="24"/>
        </w:rPr>
        <w:t xml:space="preserve"> 15th ed. Oxford: Oxford University Press, p.164-165.</w:t>
      </w:r>
    </w:p>
    <w:p w14:paraId="51C87E94" w14:textId="77777777" w:rsidR="00700D12" w:rsidRDefault="00700D12" w:rsidP="00700D12">
      <w:pPr>
        <w:spacing w:line="360" w:lineRule="auto"/>
        <w:rPr>
          <w:rFonts w:ascii="Arial" w:hAnsi="Arial" w:cs="Arial"/>
          <w:sz w:val="24"/>
          <w:szCs w:val="24"/>
        </w:rPr>
      </w:pPr>
    </w:p>
    <w:p w14:paraId="13ACDC25"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Bryant, R. and Bryant, S. (2020). </w:t>
      </w:r>
      <w:r w:rsidRPr="0074677C">
        <w:rPr>
          <w:rFonts w:ascii="Arial" w:hAnsi="Arial" w:cs="Arial"/>
          <w:i/>
          <w:iCs/>
          <w:sz w:val="24"/>
          <w:szCs w:val="24"/>
        </w:rPr>
        <w:t>Blackstone's handbook for policing students 2021</w:t>
      </w:r>
      <w:r w:rsidRPr="003230FF">
        <w:rPr>
          <w:rFonts w:ascii="Arial" w:hAnsi="Arial" w:cs="Arial"/>
          <w:sz w:val="24"/>
          <w:szCs w:val="24"/>
        </w:rPr>
        <w:t>. 15th ed. Oxford: Oxford University Press, p.315</w:t>
      </w:r>
    </w:p>
    <w:p w14:paraId="69862BE4" w14:textId="77777777" w:rsidR="00700D12" w:rsidRPr="003230FF" w:rsidRDefault="00700D12" w:rsidP="00700D12">
      <w:pPr>
        <w:spacing w:line="360" w:lineRule="auto"/>
        <w:rPr>
          <w:rFonts w:ascii="Arial" w:hAnsi="Arial" w:cs="Arial"/>
          <w:sz w:val="24"/>
          <w:szCs w:val="24"/>
        </w:rPr>
      </w:pPr>
    </w:p>
    <w:p w14:paraId="5B4EA95C"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Butterfield, F. (2003). </w:t>
      </w:r>
      <w:r w:rsidRPr="0074677C">
        <w:rPr>
          <w:rFonts w:ascii="Arial" w:hAnsi="Arial" w:cs="Arial"/>
          <w:i/>
          <w:iCs/>
          <w:sz w:val="24"/>
          <w:szCs w:val="24"/>
        </w:rPr>
        <w:t xml:space="preserve">Lifeline for Troubled Oregon Teenagers Is </w:t>
      </w:r>
      <w:proofErr w:type="spellStart"/>
      <w:r w:rsidRPr="0074677C">
        <w:rPr>
          <w:rFonts w:ascii="Arial" w:hAnsi="Arial" w:cs="Arial"/>
          <w:i/>
          <w:iCs/>
          <w:sz w:val="24"/>
          <w:szCs w:val="24"/>
        </w:rPr>
        <w:t>Imperiled</w:t>
      </w:r>
      <w:proofErr w:type="spellEnd"/>
      <w:r w:rsidRPr="0074677C">
        <w:rPr>
          <w:rFonts w:ascii="Arial" w:hAnsi="Arial" w:cs="Arial"/>
          <w:i/>
          <w:iCs/>
          <w:sz w:val="24"/>
          <w:szCs w:val="24"/>
        </w:rPr>
        <w:t xml:space="preserve"> by Planned U.S. Cuts</w:t>
      </w:r>
      <w:r w:rsidRPr="003230FF">
        <w:rPr>
          <w:rFonts w:ascii="Arial" w:hAnsi="Arial" w:cs="Arial"/>
          <w:sz w:val="24"/>
          <w:szCs w:val="24"/>
        </w:rPr>
        <w:t>. New York Times. Available at: https://www.nytimes.com/2003/03/09/us/lifeline-for-troubled-oregon-teenagers-is-imperiled-by-planned-us-cuts.html [Accessed 20 June 2022].</w:t>
      </w:r>
    </w:p>
    <w:p w14:paraId="73C41EF6" w14:textId="77777777" w:rsidR="00700D12" w:rsidRPr="003230FF" w:rsidRDefault="00700D12" w:rsidP="00700D12">
      <w:pPr>
        <w:spacing w:line="360" w:lineRule="auto"/>
        <w:rPr>
          <w:rFonts w:ascii="Arial" w:hAnsi="Arial" w:cs="Arial"/>
          <w:sz w:val="24"/>
          <w:szCs w:val="24"/>
        </w:rPr>
      </w:pPr>
    </w:p>
    <w:p w14:paraId="45E4BCD3"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College of Policing (2017) </w:t>
      </w:r>
      <w:r w:rsidRPr="0074677C">
        <w:rPr>
          <w:rFonts w:ascii="Arial" w:hAnsi="Arial" w:cs="Arial"/>
          <w:i/>
          <w:iCs/>
          <w:sz w:val="24"/>
          <w:szCs w:val="24"/>
        </w:rPr>
        <w:t>Guidance on outcomes in police misconduct proceedings</w:t>
      </w:r>
      <w:r w:rsidRPr="003230FF">
        <w:rPr>
          <w:rFonts w:ascii="Arial" w:hAnsi="Arial" w:cs="Arial"/>
          <w:sz w:val="24"/>
          <w:szCs w:val="24"/>
        </w:rPr>
        <w:t>. [Online] Available at: https://assets.college.police.uk/s3fs-public/MIsconduct-C621I0617_Guidance-on-outcomes-in-police-misconduct-proceedings_12.10.17.pdf [Accessed 11 May 2022]</w:t>
      </w:r>
    </w:p>
    <w:p w14:paraId="732CD56C" w14:textId="77777777" w:rsidR="00700D12" w:rsidRPr="003230FF" w:rsidRDefault="00700D12" w:rsidP="00700D12">
      <w:pPr>
        <w:spacing w:line="360" w:lineRule="auto"/>
        <w:rPr>
          <w:rFonts w:ascii="Arial" w:hAnsi="Arial" w:cs="Arial"/>
          <w:sz w:val="24"/>
          <w:szCs w:val="24"/>
        </w:rPr>
      </w:pPr>
    </w:p>
    <w:p w14:paraId="1A048A38"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College of Policing (2021). </w:t>
      </w:r>
      <w:r w:rsidRPr="0074677C">
        <w:rPr>
          <w:rFonts w:ascii="Arial" w:hAnsi="Arial" w:cs="Arial"/>
          <w:i/>
          <w:iCs/>
          <w:sz w:val="24"/>
          <w:szCs w:val="24"/>
        </w:rPr>
        <w:t>Introduction to vulnerability-related risk</w:t>
      </w:r>
      <w:r w:rsidRPr="003230FF">
        <w:rPr>
          <w:rFonts w:ascii="Arial" w:hAnsi="Arial" w:cs="Arial"/>
          <w:sz w:val="24"/>
          <w:szCs w:val="24"/>
        </w:rPr>
        <w:t>. College of Policing. Available at: https://www.college.police.uk/guidance/vulnerability-related-risks/introduction-vulnerability-related-risk [Accessed 3 July 2022].</w:t>
      </w:r>
    </w:p>
    <w:p w14:paraId="3B375518" w14:textId="77777777" w:rsidR="00700D12" w:rsidRPr="003230FF" w:rsidRDefault="00700D12" w:rsidP="00700D12">
      <w:pPr>
        <w:spacing w:line="360" w:lineRule="auto"/>
        <w:rPr>
          <w:rFonts w:ascii="Arial" w:hAnsi="Arial" w:cs="Arial"/>
          <w:sz w:val="24"/>
          <w:szCs w:val="24"/>
        </w:rPr>
      </w:pPr>
    </w:p>
    <w:p w14:paraId="54C84FE3"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College of Policing (2022) </w:t>
      </w:r>
      <w:r w:rsidRPr="0074677C">
        <w:rPr>
          <w:rFonts w:ascii="Arial" w:hAnsi="Arial" w:cs="Arial"/>
          <w:i/>
          <w:iCs/>
          <w:sz w:val="24"/>
          <w:szCs w:val="24"/>
        </w:rPr>
        <w:t>Risk Principles</w:t>
      </w:r>
      <w:r w:rsidRPr="003230FF">
        <w:rPr>
          <w:rFonts w:ascii="Arial" w:hAnsi="Arial" w:cs="Arial"/>
          <w:sz w:val="24"/>
          <w:szCs w:val="24"/>
        </w:rPr>
        <w:t>. [Online] Available at: https://www.college.police.uk/app/risk/risk#principle-8 [Accessed 10 May 2022]</w:t>
      </w:r>
    </w:p>
    <w:p w14:paraId="23AD8CF6" w14:textId="77777777" w:rsidR="00700D12" w:rsidRPr="003230FF" w:rsidRDefault="00700D12" w:rsidP="00700D12">
      <w:pPr>
        <w:spacing w:line="360" w:lineRule="auto"/>
        <w:rPr>
          <w:rFonts w:ascii="Arial" w:hAnsi="Arial" w:cs="Arial"/>
          <w:sz w:val="24"/>
          <w:szCs w:val="24"/>
        </w:rPr>
      </w:pPr>
    </w:p>
    <w:p w14:paraId="54057682"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Commission for Racial Equality. (2004). </w:t>
      </w:r>
      <w:r w:rsidRPr="0074677C">
        <w:rPr>
          <w:rFonts w:ascii="Arial" w:hAnsi="Arial" w:cs="Arial"/>
          <w:i/>
          <w:iCs/>
          <w:sz w:val="24"/>
          <w:szCs w:val="24"/>
        </w:rPr>
        <w:t>A Formal Investigation of the Police Service in England and Wales: An interim report</w:t>
      </w:r>
      <w:r w:rsidRPr="003230FF">
        <w:rPr>
          <w:rFonts w:ascii="Arial" w:hAnsi="Arial" w:cs="Arial"/>
          <w:sz w:val="24"/>
          <w:szCs w:val="24"/>
        </w:rPr>
        <w:t>. Commission for Racial Equality. https://jstor.org/stable/community.28327519 [Accessed 14 June 2022].</w:t>
      </w:r>
    </w:p>
    <w:p w14:paraId="70A03B74" w14:textId="77777777" w:rsidR="00700D12" w:rsidRPr="003230FF" w:rsidRDefault="00700D12" w:rsidP="00700D12">
      <w:pPr>
        <w:spacing w:line="360" w:lineRule="auto"/>
        <w:rPr>
          <w:rFonts w:ascii="Arial" w:hAnsi="Arial" w:cs="Arial"/>
          <w:sz w:val="24"/>
          <w:szCs w:val="24"/>
        </w:rPr>
      </w:pPr>
    </w:p>
    <w:p w14:paraId="4E15D65D"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Coomber</w:t>
      </w:r>
      <w:proofErr w:type="spellEnd"/>
      <w:r w:rsidRPr="003230FF">
        <w:rPr>
          <w:rFonts w:ascii="Arial" w:hAnsi="Arial" w:cs="Arial"/>
          <w:sz w:val="24"/>
          <w:szCs w:val="24"/>
        </w:rPr>
        <w:t xml:space="preserve">, R., &amp; Moyle, L. (2018). </w:t>
      </w:r>
      <w:r w:rsidRPr="0074677C">
        <w:rPr>
          <w:rFonts w:ascii="Arial" w:hAnsi="Arial" w:cs="Arial"/>
          <w:i/>
          <w:iCs/>
          <w:sz w:val="24"/>
          <w:szCs w:val="24"/>
        </w:rPr>
        <w:t>The Changing Shape of Street-Level Heroin and Crack Supply in England: Commuting, Holidaying and Cuckooing Drug Dealers Across “County Lines.”</w:t>
      </w:r>
      <w:r w:rsidRPr="003230FF">
        <w:rPr>
          <w:rFonts w:ascii="Arial" w:hAnsi="Arial" w:cs="Arial"/>
          <w:sz w:val="24"/>
          <w:szCs w:val="24"/>
        </w:rPr>
        <w:t xml:space="preserve"> British Journal of Criminology, 58(6), 1323–1342. https://doi.org/10.1093/bjc/azx068 [Accessed 4 July 2022].</w:t>
      </w:r>
    </w:p>
    <w:p w14:paraId="36CD8620" w14:textId="77777777" w:rsidR="00700D12" w:rsidRPr="003230FF" w:rsidRDefault="00700D12" w:rsidP="00700D12">
      <w:pPr>
        <w:spacing w:line="360" w:lineRule="auto"/>
        <w:rPr>
          <w:rFonts w:ascii="Arial" w:hAnsi="Arial" w:cs="Arial"/>
          <w:sz w:val="24"/>
          <w:szCs w:val="24"/>
        </w:rPr>
      </w:pPr>
    </w:p>
    <w:p w14:paraId="059F5963"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Crocker, R., Webb, S., Skidmore, M., Garner, S., Gill, M., &amp; Graham, J. (2018) </w:t>
      </w:r>
      <w:r w:rsidRPr="0074677C">
        <w:rPr>
          <w:rFonts w:ascii="Arial" w:hAnsi="Arial" w:cs="Arial"/>
          <w:i/>
          <w:iCs/>
          <w:sz w:val="24"/>
          <w:szCs w:val="24"/>
        </w:rPr>
        <w:t>Tackling local organised crime groups: lessons from research in two UK cities.</w:t>
      </w:r>
      <w:r w:rsidRPr="003230FF">
        <w:rPr>
          <w:rFonts w:ascii="Arial" w:hAnsi="Arial" w:cs="Arial"/>
          <w:sz w:val="24"/>
          <w:szCs w:val="24"/>
        </w:rPr>
        <w:t xml:space="preserve"> Trends in Organized Crime, 22(4), 433–449. https://doi.org/10.1007/s12117-018-9335-x [Accessed 3 July 2022].</w:t>
      </w:r>
    </w:p>
    <w:p w14:paraId="4D34E3AF" w14:textId="77777777" w:rsidR="00700D12" w:rsidRPr="003230FF" w:rsidRDefault="00700D12" w:rsidP="00700D12">
      <w:pPr>
        <w:spacing w:line="360" w:lineRule="auto"/>
        <w:rPr>
          <w:rFonts w:ascii="Arial" w:hAnsi="Arial" w:cs="Arial"/>
          <w:sz w:val="24"/>
          <w:szCs w:val="24"/>
        </w:rPr>
      </w:pPr>
    </w:p>
    <w:p w14:paraId="010F9DAD"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De Fine Licht. J (2014) </w:t>
      </w:r>
      <w:r w:rsidRPr="0074677C">
        <w:rPr>
          <w:rFonts w:ascii="Arial" w:hAnsi="Arial" w:cs="Arial"/>
          <w:i/>
          <w:iCs/>
          <w:sz w:val="24"/>
          <w:szCs w:val="24"/>
        </w:rPr>
        <w:t>An International Journal of Policy, Administration, and Institutions.</w:t>
      </w:r>
      <w:r w:rsidRPr="003230FF">
        <w:rPr>
          <w:rFonts w:ascii="Arial" w:hAnsi="Arial" w:cs="Arial"/>
          <w:sz w:val="24"/>
          <w:szCs w:val="24"/>
        </w:rPr>
        <w:t xml:space="preserve"> Governance. Oxford: Blackwell Publishers. DOI: </w:t>
      </w:r>
      <w:r w:rsidRPr="000D7BFD">
        <w:rPr>
          <w:rFonts w:ascii="Arial" w:hAnsi="Arial" w:cs="Arial"/>
          <w:sz w:val="24"/>
          <w:szCs w:val="24"/>
        </w:rPr>
        <w:t>https://doi.org/10.1111/gove.12021</w:t>
      </w:r>
      <w:r>
        <w:rPr>
          <w:rFonts w:ascii="Arial" w:hAnsi="Arial" w:cs="Arial"/>
          <w:sz w:val="24"/>
          <w:szCs w:val="24"/>
        </w:rPr>
        <w:t xml:space="preserve"> [Accessed 18 June 2022].</w:t>
      </w:r>
    </w:p>
    <w:p w14:paraId="4F2094F1" w14:textId="77777777" w:rsidR="00700D12" w:rsidRPr="003230FF" w:rsidRDefault="00700D12" w:rsidP="00700D12">
      <w:pPr>
        <w:spacing w:line="360" w:lineRule="auto"/>
        <w:rPr>
          <w:rFonts w:ascii="Arial" w:hAnsi="Arial" w:cs="Arial"/>
          <w:sz w:val="24"/>
          <w:szCs w:val="24"/>
        </w:rPr>
      </w:pPr>
    </w:p>
    <w:p w14:paraId="2FFECA01"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Dooley, B., Seals, A., Skarbek, D. (2014) </w:t>
      </w:r>
      <w:r w:rsidRPr="0074677C">
        <w:rPr>
          <w:rFonts w:ascii="Arial" w:hAnsi="Arial" w:cs="Arial"/>
          <w:i/>
          <w:iCs/>
          <w:sz w:val="24"/>
          <w:szCs w:val="24"/>
        </w:rPr>
        <w:t>The effect of gang membership on recidivism. Journal of Criminal Justice.</w:t>
      </w:r>
      <w:r w:rsidRPr="003230FF">
        <w:rPr>
          <w:rFonts w:ascii="Arial" w:hAnsi="Arial" w:cs="Arial"/>
          <w:sz w:val="24"/>
          <w:szCs w:val="24"/>
        </w:rPr>
        <w:t xml:space="preserve"> Volume 42 – Issue 3. https://doi.org/10.1016/j.jcrimjus.2014.01.002 [Accessed 19 June 2022].</w:t>
      </w:r>
    </w:p>
    <w:p w14:paraId="5C984F3E" w14:textId="77777777" w:rsidR="00700D12" w:rsidRPr="003230FF" w:rsidRDefault="00700D12" w:rsidP="00700D12">
      <w:pPr>
        <w:spacing w:line="360" w:lineRule="auto"/>
        <w:rPr>
          <w:rFonts w:ascii="Arial" w:hAnsi="Arial" w:cs="Arial"/>
          <w:sz w:val="24"/>
          <w:szCs w:val="24"/>
        </w:rPr>
      </w:pPr>
    </w:p>
    <w:p w14:paraId="5A24F748"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lastRenderedPageBreak/>
        <w:t xml:space="preserve">Farrington, D., and B, Welsh. (2012). </w:t>
      </w:r>
      <w:r w:rsidRPr="0074677C">
        <w:rPr>
          <w:rFonts w:ascii="Arial" w:hAnsi="Arial" w:cs="Arial"/>
          <w:i/>
          <w:iCs/>
          <w:sz w:val="24"/>
          <w:szCs w:val="24"/>
        </w:rPr>
        <w:t>Saving Children from a Life of Crime: Early Risk Factors and Effective Interventions.</w:t>
      </w:r>
      <w:r w:rsidRPr="003230FF">
        <w:rPr>
          <w:rFonts w:ascii="Arial" w:hAnsi="Arial" w:cs="Arial"/>
          <w:sz w:val="24"/>
          <w:szCs w:val="24"/>
        </w:rPr>
        <w:t xml:space="preserve"> Studies in Crime and Public Policy. Oxford University Press. https://doi.org/10.1093/acprof:oso/9780195304091.001.0001 [Accessed 20 June 2022].</w:t>
      </w:r>
    </w:p>
    <w:p w14:paraId="572F655D" w14:textId="77777777" w:rsidR="00700D12" w:rsidRPr="003230FF" w:rsidRDefault="00700D12" w:rsidP="00700D12">
      <w:pPr>
        <w:spacing w:line="360" w:lineRule="auto"/>
        <w:rPr>
          <w:rFonts w:ascii="Arial" w:hAnsi="Arial" w:cs="Arial"/>
          <w:sz w:val="24"/>
          <w:szCs w:val="24"/>
        </w:rPr>
      </w:pPr>
    </w:p>
    <w:p w14:paraId="50508351"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Finklea</w:t>
      </w:r>
      <w:proofErr w:type="spellEnd"/>
      <w:r w:rsidRPr="003230FF">
        <w:rPr>
          <w:rFonts w:ascii="Arial" w:hAnsi="Arial" w:cs="Arial"/>
          <w:sz w:val="24"/>
          <w:szCs w:val="24"/>
        </w:rPr>
        <w:t xml:space="preserve">, K. (2013) </w:t>
      </w:r>
      <w:r w:rsidRPr="0074677C">
        <w:rPr>
          <w:rFonts w:ascii="Arial" w:hAnsi="Arial" w:cs="Arial"/>
          <w:i/>
          <w:iCs/>
          <w:sz w:val="24"/>
          <w:szCs w:val="24"/>
        </w:rPr>
        <w:t>Organized Crime: An Evolving Challenge for U.S Law Enforcement</w:t>
      </w:r>
      <w:r w:rsidRPr="003230FF">
        <w:rPr>
          <w:rFonts w:ascii="Arial" w:hAnsi="Arial" w:cs="Arial"/>
          <w:sz w:val="24"/>
          <w:szCs w:val="24"/>
        </w:rPr>
        <w:t>. Congressional Research Service. Available at: https://www.everycrsreport.com/files/20130111_R41547_c5e3bd527aa1d0318fdfc5141b5ff63c7309c52a.pdf [Accessed 3 July 2022].</w:t>
      </w:r>
    </w:p>
    <w:p w14:paraId="3BCA8ECC" w14:textId="77777777" w:rsidR="00700D12" w:rsidRPr="003230FF" w:rsidRDefault="00700D12" w:rsidP="00700D12">
      <w:pPr>
        <w:spacing w:line="360" w:lineRule="auto"/>
        <w:rPr>
          <w:rFonts w:ascii="Arial" w:hAnsi="Arial" w:cs="Arial"/>
          <w:sz w:val="24"/>
          <w:szCs w:val="24"/>
        </w:rPr>
      </w:pPr>
    </w:p>
    <w:p w14:paraId="64D4EFD0"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Goldstein, H. (1977) </w:t>
      </w:r>
      <w:r w:rsidRPr="0074677C">
        <w:rPr>
          <w:rFonts w:ascii="Arial" w:hAnsi="Arial" w:cs="Arial"/>
          <w:i/>
          <w:iCs/>
          <w:sz w:val="24"/>
          <w:szCs w:val="24"/>
        </w:rPr>
        <w:t>Policing a Free Society.</w:t>
      </w:r>
      <w:r w:rsidRPr="003230FF">
        <w:rPr>
          <w:rFonts w:ascii="Arial" w:hAnsi="Arial" w:cs="Arial"/>
          <w:sz w:val="24"/>
          <w:szCs w:val="24"/>
        </w:rPr>
        <w:t xml:space="preserve"> Policing a Free Society Cambridge. Ballinger Pub. Co. University of Wisconsin Legal Studies Research Paper No. 1349. Available at SSRN: </w:t>
      </w:r>
      <w:r w:rsidRPr="000D7BFD">
        <w:rPr>
          <w:rFonts w:ascii="Arial" w:hAnsi="Arial" w:cs="Arial"/>
          <w:sz w:val="24"/>
          <w:szCs w:val="24"/>
        </w:rPr>
        <w:t>https://ssrn.com/abstract=2596883</w:t>
      </w:r>
      <w:r>
        <w:rPr>
          <w:rFonts w:ascii="Arial" w:hAnsi="Arial" w:cs="Arial"/>
          <w:sz w:val="24"/>
          <w:szCs w:val="24"/>
        </w:rPr>
        <w:t xml:space="preserve"> [Accessed 25 June 2022].</w:t>
      </w:r>
    </w:p>
    <w:p w14:paraId="5800F83F" w14:textId="77777777" w:rsidR="00700D12" w:rsidRPr="003230FF" w:rsidRDefault="00700D12" w:rsidP="00700D12">
      <w:pPr>
        <w:spacing w:line="360" w:lineRule="auto"/>
        <w:rPr>
          <w:rFonts w:ascii="Arial" w:hAnsi="Arial" w:cs="Arial"/>
          <w:sz w:val="24"/>
          <w:szCs w:val="24"/>
        </w:rPr>
      </w:pPr>
    </w:p>
    <w:p w14:paraId="38406221"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Gov.uk (</w:t>
      </w:r>
      <w:proofErr w:type="spellStart"/>
      <w:r w:rsidRPr="003230FF">
        <w:rPr>
          <w:rFonts w:ascii="Arial" w:hAnsi="Arial" w:cs="Arial"/>
          <w:sz w:val="24"/>
          <w:szCs w:val="24"/>
        </w:rPr>
        <w:t>nd</w:t>
      </w:r>
      <w:proofErr w:type="spellEnd"/>
      <w:r w:rsidRPr="003230FF">
        <w:rPr>
          <w:rFonts w:ascii="Arial" w:hAnsi="Arial" w:cs="Arial"/>
          <w:sz w:val="24"/>
          <w:szCs w:val="24"/>
        </w:rPr>
        <w:t xml:space="preserve">) </w:t>
      </w:r>
      <w:r w:rsidRPr="0074677C">
        <w:rPr>
          <w:rFonts w:ascii="Arial" w:hAnsi="Arial" w:cs="Arial"/>
          <w:i/>
          <w:iCs/>
          <w:sz w:val="24"/>
          <w:szCs w:val="24"/>
        </w:rPr>
        <w:t>Young People and the Law</w:t>
      </w:r>
      <w:r w:rsidRPr="003230FF">
        <w:rPr>
          <w:rFonts w:ascii="Arial" w:hAnsi="Arial" w:cs="Arial"/>
          <w:sz w:val="24"/>
          <w:szCs w:val="24"/>
        </w:rPr>
        <w:t>. Youth Offending Teams. Available at: https://www.gov.uk/youth-offending-team [Accessed 20 June 2022].</w:t>
      </w:r>
    </w:p>
    <w:p w14:paraId="19014C48" w14:textId="77777777" w:rsidR="00700D12" w:rsidRPr="003230FF" w:rsidRDefault="00700D12" w:rsidP="00700D12">
      <w:pPr>
        <w:spacing w:line="360" w:lineRule="auto"/>
        <w:rPr>
          <w:rFonts w:ascii="Arial" w:hAnsi="Arial" w:cs="Arial"/>
          <w:sz w:val="24"/>
          <w:szCs w:val="24"/>
        </w:rPr>
      </w:pPr>
    </w:p>
    <w:p w14:paraId="61D813C9"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Guay</w:t>
      </w:r>
      <w:proofErr w:type="spellEnd"/>
      <w:r w:rsidRPr="003230FF">
        <w:rPr>
          <w:rFonts w:ascii="Arial" w:hAnsi="Arial" w:cs="Arial"/>
          <w:sz w:val="24"/>
          <w:szCs w:val="24"/>
        </w:rPr>
        <w:t xml:space="preserve">, J-Pierre. (2012) </w:t>
      </w:r>
      <w:r w:rsidRPr="0074677C">
        <w:rPr>
          <w:rFonts w:ascii="Arial" w:hAnsi="Arial" w:cs="Arial"/>
          <w:i/>
          <w:iCs/>
          <w:sz w:val="24"/>
          <w:szCs w:val="24"/>
        </w:rPr>
        <w:t>Predicting Recidivism with Street Gang Members</w:t>
      </w:r>
      <w:r w:rsidRPr="003230FF">
        <w:rPr>
          <w:rFonts w:ascii="Arial" w:hAnsi="Arial" w:cs="Arial"/>
          <w:sz w:val="24"/>
          <w:szCs w:val="24"/>
        </w:rPr>
        <w:t>. School of Criminology, University of Montreal. Public Safety Canada. Available at: https://www.publicsafety.gc.ca/cnt/rsrcs/pblctns/2012-02-prsgm/index-en.aspx [Accessed 19 June 2022].</w:t>
      </w:r>
    </w:p>
    <w:p w14:paraId="397BF79D" w14:textId="77777777" w:rsidR="00700D12" w:rsidRPr="003230FF" w:rsidRDefault="00700D12" w:rsidP="00700D12">
      <w:pPr>
        <w:spacing w:line="360" w:lineRule="auto"/>
        <w:rPr>
          <w:rFonts w:ascii="Arial" w:hAnsi="Arial" w:cs="Arial"/>
          <w:sz w:val="24"/>
          <w:szCs w:val="24"/>
        </w:rPr>
      </w:pPr>
    </w:p>
    <w:p w14:paraId="63D70398"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Hall, G. P., Thornberry, T. P., &amp; Lizotte, A. J. (2006). </w:t>
      </w:r>
      <w:r w:rsidRPr="0074677C">
        <w:rPr>
          <w:rFonts w:ascii="Arial" w:hAnsi="Arial" w:cs="Arial"/>
          <w:i/>
          <w:iCs/>
          <w:sz w:val="24"/>
          <w:szCs w:val="24"/>
        </w:rPr>
        <w:t>The gang facilitation effect and</w:t>
      </w:r>
      <w:r>
        <w:rPr>
          <w:rFonts w:ascii="Arial" w:hAnsi="Arial" w:cs="Arial"/>
          <w:i/>
          <w:iCs/>
          <w:sz w:val="24"/>
          <w:szCs w:val="24"/>
        </w:rPr>
        <w:t xml:space="preserve"> neighbourhood risk: Do gangs have a stronger influence on delinquency in</w:t>
      </w:r>
      <w:r w:rsidRPr="0074677C">
        <w:rPr>
          <w:rFonts w:ascii="Arial" w:hAnsi="Arial" w:cs="Arial"/>
          <w:i/>
          <w:iCs/>
          <w:sz w:val="24"/>
          <w:szCs w:val="24"/>
        </w:rPr>
        <w:t xml:space="preserve"> disadvantaged areas?</w:t>
      </w:r>
      <w:r w:rsidRPr="003230FF">
        <w:rPr>
          <w:rFonts w:ascii="Arial" w:hAnsi="Arial" w:cs="Arial"/>
          <w:sz w:val="24"/>
          <w:szCs w:val="24"/>
        </w:rPr>
        <w:t xml:space="preserve"> J. F. Short, &amp; L. A. Hughes (Eds.), Studying youth gangs (pp. 47-61). Oxford, UK: Altamira Press.</w:t>
      </w:r>
      <w:r>
        <w:rPr>
          <w:rFonts w:ascii="Arial" w:hAnsi="Arial" w:cs="Arial"/>
          <w:sz w:val="24"/>
          <w:szCs w:val="24"/>
        </w:rPr>
        <w:t xml:space="preserve"> [Accessed 26 June 2022].</w:t>
      </w:r>
    </w:p>
    <w:p w14:paraId="4AB1DBF3" w14:textId="77777777" w:rsidR="00700D12" w:rsidRPr="003230FF" w:rsidRDefault="00700D12" w:rsidP="00700D12">
      <w:pPr>
        <w:spacing w:line="360" w:lineRule="auto"/>
        <w:rPr>
          <w:rFonts w:ascii="Arial" w:hAnsi="Arial" w:cs="Arial"/>
          <w:sz w:val="24"/>
          <w:szCs w:val="24"/>
        </w:rPr>
      </w:pPr>
    </w:p>
    <w:p w14:paraId="244FCB2D"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lastRenderedPageBreak/>
        <w:t xml:space="preserve">Hayes, C. (2002). </w:t>
      </w:r>
      <w:r w:rsidRPr="0074677C">
        <w:rPr>
          <w:rFonts w:ascii="Arial" w:hAnsi="Arial" w:cs="Arial"/>
          <w:i/>
          <w:iCs/>
          <w:sz w:val="24"/>
          <w:szCs w:val="24"/>
        </w:rPr>
        <w:t>'A consideration of the need for ethics training for police'</w:t>
      </w:r>
      <w:r w:rsidRPr="003230FF">
        <w:rPr>
          <w:rFonts w:ascii="Arial" w:hAnsi="Arial" w:cs="Arial"/>
          <w:sz w:val="24"/>
          <w:szCs w:val="24"/>
        </w:rPr>
        <w:t>. The</w:t>
      </w:r>
      <w:r>
        <w:rPr>
          <w:rFonts w:ascii="Arial" w:hAnsi="Arial" w:cs="Arial"/>
          <w:sz w:val="24"/>
          <w:szCs w:val="24"/>
        </w:rPr>
        <w:t xml:space="preserve"> </w:t>
      </w:r>
      <w:r w:rsidRPr="003230FF">
        <w:rPr>
          <w:rFonts w:ascii="Arial" w:hAnsi="Arial" w:cs="Arial"/>
          <w:sz w:val="24"/>
          <w:szCs w:val="24"/>
        </w:rPr>
        <w:t>Police Journal, Volume 75. No. 4: p. 322 -329.</w:t>
      </w:r>
      <w:r>
        <w:rPr>
          <w:rFonts w:ascii="Arial" w:hAnsi="Arial" w:cs="Arial"/>
          <w:sz w:val="24"/>
          <w:szCs w:val="24"/>
        </w:rPr>
        <w:t xml:space="preserve"> DOI: </w:t>
      </w:r>
      <w:r w:rsidRPr="0074677C">
        <w:rPr>
          <w:rFonts w:ascii="Arial" w:hAnsi="Arial" w:cs="Arial"/>
          <w:sz w:val="24"/>
          <w:szCs w:val="24"/>
        </w:rPr>
        <w:t>https://doi.org/10.1177/0032258X0207500404</w:t>
      </w:r>
      <w:r>
        <w:rPr>
          <w:rFonts w:ascii="Arial" w:hAnsi="Arial" w:cs="Arial"/>
          <w:sz w:val="24"/>
          <w:szCs w:val="24"/>
        </w:rPr>
        <w:t xml:space="preserve"> [Accessed on 30 July 2022].</w:t>
      </w:r>
    </w:p>
    <w:p w14:paraId="24324548" w14:textId="77777777" w:rsidR="00700D12" w:rsidRPr="003230FF" w:rsidRDefault="00700D12" w:rsidP="00700D12">
      <w:pPr>
        <w:spacing w:line="360" w:lineRule="auto"/>
        <w:rPr>
          <w:rFonts w:ascii="Arial" w:hAnsi="Arial" w:cs="Arial"/>
          <w:sz w:val="24"/>
          <w:szCs w:val="24"/>
        </w:rPr>
      </w:pPr>
    </w:p>
    <w:p w14:paraId="37989D05"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HMICFRS (2018). “</w:t>
      </w:r>
      <w:r w:rsidRPr="0074677C">
        <w:rPr>
          <w:rFonts w:ascii="Arial" w:hAnsi="Arial" w:cs="Arial"/>
          <w:i/>
          <w:iCs/>
          <w:sz w:val="24"/>
          <w:szCs w:val="24"/>
        </w:rPr>
        <w:t>Annual, All Force Inspections (PEEL Assessments</w:t>
      </w:r>
      <w:r w:rsidRPr="003230FF">
        <w:rPr>
          <w:rFonts w:ascii="Arial" w:hAnsi="Arial" w:cs="Arial"/>
          <w:sz w:val="24"/>
          <w:szCs w:val="24"/>
        </w:rPr>
        <w:t>)”. Her Majesty’s Inspectorate of Constabulary and Fire &amp; Rescue Services. Available at: https://www.justiceinspectorates.gov.uk/hmicfrs/peel-assessments/what-is-peel/peel-assessments-2021-22/. [Accessed on 12 May 2022]</w:t>
      </w:r>
      <w:r>
        <w:rPr>
          <w:rFonts w:ascii="Arial" w:hAnsi="Arial" w:cs="Arial"/>
          <w:sz w:val="24"/>
          <w:szCs w:val="24"/>
        </w:rPr>
        <w:t>.</w:t>
      </w:r>
    </w:p>
    <w:p w14:paraId="74CC95B1" w14:textId="77777777" w:rsidR="00700D12" w:rsidRPr="003230FF" w:rsidRDefault="00700D12" w:rsidP="00700D12">
      <w:pPr>
        <w:spacing w:line="360" w:lineRule="auto"/>
        <w:rPr>
          <w:rFonts w:ascii="Arial" w:hAnsi="Arial" w:cs="Arial"/>
          <w:sz w:val="24"/>
          <w:szCs w:val="24"/>
        </w:rPr>
      </w:pPr>
    </w:p>
    <w:p w14:paraId="67978F13"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Hobson, Z., </w:t>
      </w:r>
      <w:proofErr w:type="spellStart"/>
      <w:r w:rsidRPr="003230FF">
        <w:rPr>
          <w:rFonts w:ascii="Arial" w:hAnsi="Arial" w:cs="Arial"/>
          <w:sz w:val="24"/>
          <w:szCs w:val="24"/>
        </w:rPr>
        <w:t>Yesberg</w:t>
      </w:r>
      <w:proofErr w:type="spellEnd"/>
      <w:r w:rsidRPr="003230FF">
        <w:rPr>
          <w:rFonts w:ascii="Arial" w:hAnsi="Arial" w:cs="Arial"/>
          <w:sz w:val="24"/>
          <w:szCs w:val="24"/>
        </w:rPr>
        <w:t xml:space="preserve">, J., Bradford, B., and Jackson, J. (2021) </w:t>
      </w:r>
      <w:r w:rsidRPr="0074677C">
        <w:rPr>
          <w:rFonts w:ascii="Arial" w:hAnsi="Arial" w:cs="Arial"/>
          <w:i/>
          <w:iCs/>
          <w:sz w:val="24"/>
          <w:szCs w:val="24"/>
        </w:rPr>
        <w:t>Artificial fairness? Trust in algorithmic police decision-making</w:t>
      </w:r>
      <w:r w:rsidRPr="003230FF">
        <w:rPr>
          <w:rFonts w:ascii="Arial" w:hAnsi="Arial" w:cs="Arial"/>
          <w:sz w:val="24"/>
          <w:szCs w:val="24"/>
        </w:rPr>
        <w:t>. Journal of Experimental Criminology. Available at: http://eprints.lse.ac.uk/111510/2/Hobson2021_Article_ArtificialFairnessTrustInAlgor.pdf [Accessed 20 June 2022].</w:t>
      </w:r>
    </w:p>
    <w:p w14:paraId="3C58BBC5" w14:textId="77777777" w:rsidR="00700D12" w:rsidRPr="003230FF" w:rsidRDefault="00700D12" w:rsidP="00700D12">
      <w:pPr>
        <w:spacing w:line="360" w:lineRule="auto"/>
        <w:rPr>
          <w:rFonts w:ascii="Arial" w:hAnsi="Arial" w:cs="Arial"/>
          <w:sz w:val="24"/>
          <w:szCs w:val="24"/>
        </w:rPr>
      </w:pPr>
    </w:p>
    <w:p w14:paraId="332855AD"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Home Office (2015). </w:t>
      </w:r>
      <w:r w:rsidRPr="0074677C">
        <w:rPr>
          <w:rFonts w:ascii="Arial" w:hAnsi="Arial" w:cs="Arial"/>
          <w:i/>
          <w:iCs/>
          <w:sz w:val="24"/>
          <w:szCs w:val="24"/>
        </w:rPr>
        <w:t>Individuals at risk of being drawn into Serious and Organised Crime.</w:t>
      </w:r>
      <w:r w:rsidRPr="003230FF">
        <w:rPr>
          <w:rFonts w:ascii="Arial" w:hAnsi="Arial" w:cs="Arial"/>
          <w:sz w:val="24"/>
          <w:szCs w:val="24"/>
        </w:rPr>
        <w:t xml:space="preserve"> Her Majesty’s Government. Available at: https://assets.publishing.service.gov.uk/government/uploads/system/uploads/attachment_data/file/408585/6_162_HO_SOC_PI_Guidance_Mar2015_v10_FINAL_270215_WEB__2_.pdf [Accessed 3 July 2022].</w:t>
      </w:r>
    </w:p>
    <w:p w14:paraId="2D6B90E9" w14:textId="77777777" w:rsidR="00700D12" w:rsidRPr="003230FF" w:rsidRDefault="00700D12" w:rsidP="00700D12">
      <w:pPr>
        <w:spacing w:line="360" w:lineRule="auto"/>
        <w:rPr>
          <w:rFonts w:ascii="Arial" w:hAnsi="Arial" w:cs="Arial"/>
          <w:sz w:val="24"/>
          <w:szCs w:val="24"/>
        </w:rPr>
      </w:pPr>
    </w:p>
    <w:p w14:paraId="12A303ED"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Home Office. (2009) </w:t>
      </w:r>
      <w:r w:rsidRPr="0074677C">
        <w:rPr>
          <w:rFonts w:ascii="Arial" w:hAnsi="Arial" w:cs="Arial"/>
          <w:i/>
          <w:iCs/>
          <w:sz w:val="24"/>
          <w:szCs w:val="24"/>
        </w:rPr>
        <w:t xml:space="preserve">Equality, </w:t>
      </w:r>
      <w:proofErr w:type="gramStart"/>
      <w:r w:rsidRPr="0074677C">
        <w:rPr>
          <w:rFonts w:ascii="Arial" w:hAnsi="Arial" w:cs="Arial"/>
          <w:i/>
          <w:iCs/>
          <w:sz w:val="24"/>
          <w:szCs w:val="24"/>
        </w:rPr>
        <w:t>diversity</w:t>
      </w:r>
      <w:proofErr w:type="gramEnd"/>
      <w:r w:rsidRPr="0074677C">
        <w:rPr>
          <w:rFonts w:ascii="Arial" w:hAnsi="Arial" w:cs="Arial"/>
          <w:i/>
          <w:iCs/>
          <w:sz w:val="24"/>
          <w:szCs w:val="24"/>
        </w:rPr>
        <w:t xml:space="preserve"> and human rights strategy for the police service</w:t>
      </w:r>
      <w:r w:rsidRPr="003230FF">
        <w:rPr>
          <w:rFonts w:ascii="Arial" w:hAnsi="Arial" w:cs="Arial"/>
          <w:sz w:val="24"/>
          <w:szCs w:val="24"/>
        </w:rPr>
        <w:t>. Police Federation Organisation. Available at: https://library.college.police.uk/docs/homeoffice/edhr-strategy-for-the-police-service-2009.pdf [Accessed 10 June 2022]</w:t>
      </w:r>
      <w:r>
        <w:rPr>
          <w:rFonts w:ascii="Arial" w:hAnsi="Arial" w:cs="Arial"/>
          <w:sz w:val="24"/>
          <w:szCs w:val="24"/>
        </w:rPr>
        <w:t>.</w:t>
      </w:r>
    </w:p>
    <w:p w14:paraId="12DA674E" w14:textId="77777777" w:rsidR="00700D12" w:rsidRPr="003230FF" w:rsidRDefault="00700D12" w:rsidP="00700D12">
      <w:pPr>
        <w:spacing w:line="360" w:lineRule="auto"/>
        <w:rPr>
          <w:rFonts w:ascii="Arial" w:hAnsi="Arial" w:cs="Arial"/>
          <w:sz w:val="24"/>
          <w:szCs w:val="24"/>
        </w:rPr>
      </w:pPr>
    </w:p>
    <w:p w14:paraId="5FB9C465"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IOPC (2019) </w:t>
      </w:r>
      <w:r w:rsidRPr="0074677C">
        <w:rPr>
          <w:rFonts w:ascii="Arial" w:hAnsi="Arial" w:cs="Arial"/>
          <w:i/>
          <w:iCs/>
          <w:sz w:val="24"/>
          <w:szCs w:val="24"/>
        </w:rPr>
        <w:t>IOPC Impact Report 2018/19. Making a difference Impact Report 2018/19</w:t>
      </w:r>
      <w:r w:rsidRPr="003230FF">
        <w:rPr>
          <w:rFonts w:ascii="Arial" w:hAnsi="Arial" w:cs="Arial"/>
          <w:sz w:val="24"/>
          <w:szCs w:val="24"/>
        </w:rPr>
        <w:t xml:space="preserve">. Police Conduct UK: Independent Office for Police Conduct. Available at: </w:t>
      </w:r>
      <w:r w:rsidRPr="003230FF">
        <w:rPr>
          <w:rFonts w:ascii="Arial" w:hAnsi="Arial" w:cs="Arial"/>
          <w:sz w:val="24"/>
          <w:szCs w:val="24"/>
        </w:rPr>
        <w:lastRenderedPageBreak/>
        <w:t>https://www.policeconduct.gov.uk/sites/default/files/Documents/Who-we-are/accountability-performance/IOPC_Impact_Report_201819.pdf [Accessed 13 May 2022]</w:t>
      </w:r>
      <w:r>
        <w:rPr>
          <w:rFonts w:ascii="Arial" w:hAnsi="Arial" w:cs="Arial"/>
          <w:sz w:val="24"/>
          <w:szCs w:val="24"/>
        </w:rPr>
        <w:t>.</w:t>
      </w:r>
    </w:p>
    <w:p w14:paraId="74B04535" w14:textId="77777777" w:rsidR="00700D12" w:rsidRPr="003230FF" w:rsidRDefault="00700D12" w:rsidP="00700D12">
      <w:pPr>
        <w:spacing w:line="360" w:lineRule="auto"/>
        <w:rPr>
          <w:rFonts w:ascii="Arial" w:hAnsi="Arial" w:cs="Arial"/>
          <w:sz w:val="24"/>
          <w:szCs w:val="24"/>
        </w:rPr>
      </w:pPr>
    </w:p>
    <w:p w14:paraId="295BFF63"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IOPC (2021) </w:t>
      </w:r>
      <w:r w:rsidRPr="0074677C">
        <w:rPr>
          <w:rFonts w:ascii="Arial" w:hAnsi="Arial" w:cs="Arial"/>
          <w:i/>
          <w:iCs/>
          <w:sz w:val="24"/>
          <w:szCs w:val="24"/>
        </w:rPr>
        <w:t>IOPC Impact Report 2020/21 – Making a difference</w:t>
      </w:r>
      <w:r w:rsidRPr="003230FF">
        <w:rPr>
          <w:rFonts w:ascii="Arial" w:hAnsi="Arial" w:cs="Arial"/>
          <w:sz w:val="24"/>
          <w:szCs w:val="24"/>
        </w:rPr>
        <w:t>. Police Conduct UK: Independent Office for Police Conduct. Available at: https://policeconduct.gov.uk/iopc-impact-report-2021-making-difference [Accessed on 10 May 2022]</w:t>
      </w:r>
      <w:r>
        <w:rPr>
          <w:rFonts w:ascii="Arial" w:hAnsi="Arial" w:cs="Arial"/>
          <w:sz w:val="24"/>
          <w:szCs w:val="24"/>
        </w:rPr>
        <w:t>.</w:t>
      </w:r>
    </w:p>
    <w:p w14:paraId="496139A1" w14:textId="77777777" w:rsidR="00700D12" w:rsidRPr="003230FF" w:rsidRDefault="00700D12" w:rsidP="00700D12">
      <w:pPr>
        <w:spacing w:line="360" w:lineRule="auto"/>
        <w:rPr>
          <w:rFonts w:ascii="Arial" w:hAnsi="Arial" w:cs="Arial"/>
          <w:sz w:val="24"/>
          <w:szCs w:val="24"/>
        </w:rPr>
      </w:pPr>
    </w:p>
    <w:p w14:paraId="31ECA5F6"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IOPC (2021) </w:t>
      </w:r>
      <w:r w:rsidRPr="0074677C">
        <w:rPr>
          <w:rFonts w:ascii="Arial" w:hAnsi="Arial" w:cs="Arial"/>
          <w:i/>
          <w:iCs/>
          <w:sz w:val="24"/>
          <w:szCs w:val="24"/>
        </w:rPr>
        <w:t>Yonder Public Perception Tracker Summary Report 2020-21</w:t>
      </w:r>
      <w:r w:rsidRPr="003230FF">
        <w:rPr>
          <w:rFonts w:ascii="Arial" w:hAnsi="Arial" w:cs="Arial"/>
          <w:sz w:val="24"/>
          <w:szCs w:val="24"/>
        </w:rPr>
        <w:t xml:space="preserve"> Base: All, Wave 4.1, Wave </w:t>
      </w:r>
      <w:proofErr w:type="gramStart"/>
      <w:r w:rsidRPr="003230FF">
        <w:rPr>
          <w:rFonts w:ascii="Arial" w:hAnsi="Arial" w:cs="Arial"/>
          <w:sz w:val="24"/>
          <w:szCs w:val="24"/>
        </w:rPr>
        <w:t>4.2</w:t>
      </w:r>
      <w:proofErr w:type="gramEnd"/>
      <w:r w:rsidRPr="003230FF">
        <w:rPr>
          <w:rFonts w:ascii="Arial" w:hAnsi="Arial" w:cs="Arial"/>
          <w:sz w:val="24"/>
          <w:szCs w:val="24"/>
        </w:rPr>
        <w:t xml:space="preserve"> and Wave 4.3. Available at: http://www.ipcc.gov.uk/sites/default/files/Documents/statistics/IOPC-Yonder_Public_Perceptions_Tracker_Annual_Summary_Report_2020-21_FINAL.pdf. [Accessed on 12 May 2022]</w:t>
      </w:r>
      <w:r>
        <w:rPr>
          <w:rFonts w:ascii="Arial" w:hAnsi="Arial" w:cs="Arial"/>
          <w:sz w:val="24"/>
          <w:szCs w:val="24"/>
        </w:rPr>
        <w:t>.</w:t>
      </w:r>
    </w:p>
    <w:p w14:paraId="5EA7AB5A" w14:textId="77777777" w:rsidR="00700D12" w:rsidRPr="003230FF" w:rsidRDefault="00700D12" w:rsidP="00700D12">
      <w:pPr>
        <w:spacing w:line="360" w:lineRule="auto"/>
        <w:rPr>
          <w:rFonts w:ascii="Arial" w:hAnsi="Arial" w:cs="Arial"/>
          <w:sz w:val="24"/>
          <w:szCs w:val="24"/>
        </w:rPr>
      </w:pPr>
    </w:p>
    <w:p w14:paraId="6165857E"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J </w:t>
      </w:r>
      <w:proofErr w:type="spellStart"/>
      <w:r w:rsidRPr="003230FF">
        <w:rPr>
          <w:rFonts w:ascii="Arial" w:hAnsi="Arial" w:cs="Arial"/>
          <w:sz w:val="24"/>
          <w:szCs w:val="24"/>
        </w:rPr>
        <w:t>McInerney</w:t>
      </w:r>
      <w:proofErr w:type="spellEnd"/>
      <w:r w:rsidRPr="003230FF">
        <w:rPr>
          <w:rFonts w:ascii="Arial" w:hAnsi="Arial" w:cs="Arial"/>
          <w:sz w:val="24"/>
          <w:szCs w:val="24"/>
        </w:rPr>
        <w:t xml:space="preserve">, D. (2020) </w:t>
      </w:r>
      <w:r w:rsidRPr="0074677C">
        <w:rPr>
          <w:rFonts w:ascii="Arial" w:hAnsi="Arial" w:cs="Arial"/>
          <w:i/>
          <w:iCs/>
          <w:sz w:val="24"/>
          <w:szCs w:val="24"/>
        </w:rPr>
        <w:t>The Realities of Policing Diverse Communities from Minority and Police Perspectives</w:t>
      </w:r>
      <w:r w:rsidRPr="003230FF">
        <w:rPr>
          <w:rFonts w:ascii="Arial" w:hAnsi="Arial" w:cs="Arial"/>
          <w:sz w:val="24"/>
          <w:szCs w:val="24"/>
        </w:rPr>
        <w:t>. Cambridge Scholars Publishing - Lady Stephenson Library. Available at: https://www.cambridgescholars.com/resources/pdfs/978-1-5275-4966-1-sample.pdf [Accessed 14 June 2022].</w:t>
      </w:r>
    </w:p>
    <w:p w14:paraId="0EBF1EE6" w14:textId="77777777" w:rsidR="00700D12" w:rsidRPr="003230FF" w:rsidRDefault="00700D12" w:rsidP="00700D12">
      <w:pPr>
        <w:spacing w:line="360" w:lineRule="auto"/>
        <w:rPr>
          <w:rFonts w:ascii="Arial" w:hAnsi="Arial" w:cs="Arial"/>
          <w:sz w:val="24"/>
          <w:szCs w:val="24"/>
        </w:rPr>
      </w:pPr>
    </w:p>
    <w:p w14:paraId="55111527"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Kemshall</w:t>
      </w:r>
      <w:proofErr w:type="spellEnd"/>
      <w:r w:rsidRPr="003230FF">
        <w:rPr>
          <w:rFonts w:ascii="Arial" w:hAnsi="Arial" w:cs="Arial"/>
          <w:sz w:val="24"/>
          <w:szCs w:val="24"/>
        </w:rPr>
        <w:t xml:space="preserve">, H., Mackenzie, G., Pandya-Wood, J., Bailey, </w:t>
      </w:r>
      <w:proofErr w:type="gramStart"/>
      <w:r w:rsidRPr="003230FF">
        <w:rPr>
          <w:rFonts w:ascii="Arial" w:hAnsi="Arial" w:cs="Arial"/>
          <w:sz w:val="24"/>
          <w:szCs w:val="24"/>
        </w:rPr>
        <w:t>R,.</w:t>
      </w:r>
      <w:proofErr w:type="gramEnd"/>
      <w:r w:rsidRPr="003230FF">
        <w:rPr>
          <w:rFonts w:ascii="Arial" w:hAnsi="Arial" w:cs="Arial"/>
          <w:sz w:val="24"/>
          <w:szCs w:val="24"/>
        </w:rPr>
        <w:t xml:space="preserve"> and Yates, J. (2005). </w:t>
      </w:r>
      <w:r w:rsidRPr="0074677C">
        <w:rPr>
          <w:rFonts w:ascii="Arial" w:hAnsi="Arial" w:cs="Arial"/>
          <w:i/>
          <w:iCs/>
          <w:sz w:val="24"/>
          <w:szCs w:val="24"/>
        </w:rPr>
        <w:t>Strengthening Multi-Agency Public Protection Arrangements (MAPPAs</w:t>
      </w:r>
      <w:r w:rsidRPr="003230FF">
        <w:rPr>
          <w:rFonts w:ascii="Arial" w:hAnsi="Arial" w:cs="Arial"/>
          <w:sz w:val="24"/>
          <w:szCs w:val="24"/>
        </w:rPr>
        <w:t>). Home Office Development and Practice Report (45) DOI: 10.13140/RG.2.2.29851.90408 [Accessed 4 July 2022].</w:t>
      </w:r>
    </w:p>
    <w:p w14:paraId="0B654A78" w14:textId="77777777" w:rsidR="00700D12" w:rsidRPr="003230FF" w:rsidRDefault="00700D12" w:rsidP="00700D12">
      <w:pPr>
        <w:spacing w:line="360" w:lineRule="auto"/>
        <w:rPr>
          <w:rFonts w:ascii="Arial" w:hAnsi="Arial" w:cs="Arial"/>
          <w:sz w:val="24"/>
          <w:szCs w:val="24"/>
        </w:rPr>
      </w:pPr>
    </w:p>
    <w:p w14:paraId="47E69424"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Kirby, S. Northey, H. Snow, N. (2015) </w:t>
      </w:r>
      <w:r w:rsidRPr="0074677C">
        <w:rPr>
          <w:rFonts w:ascii="Arial" w:hAnsi="Arial" w:cs="Arial"/>
          <w:i/>
          <w:iCs/>
          <w:sz w:val="24"/>
          <w:szCs w:val="24"/>
        </w:rPr>
        <w:t>New crimes – new tactics: The emergence and effectiveness of disruption in tackling serious organised crime</w:t>
      </w:r>
      <w:r w:rsidRPr="003230FF">
        <w:rPr>
          <w:rFonts w:ascii="Arial" w:hAnsi="Arial" w:cs="Arial"/>
          <w:sz w:val="24"/>
          <w:szCs w:val="24"/>
        </w:rPr>
        <w:t xml:space="preserve">. The Journal of Political Criminology. Volume 1 Number 1. Available at: </w:t>
      </w:r>
      <w:r w:rsidRPr="003230FF">
        <w:rPr>
          <w:rFonts w:ascii="Arial" w:hAnsi="Arial" w:cs="Arial"/>
          <w:sz w:val="24"/>
          <w:szCs w:val="24"/>
        </w:rPr>
        <w:lastRenderedPageBreak/>
        <w:t>https://www.semanticscholar.org/paper/New-crimes-%E2%80%93-new-tactics%3A-the-emergence-and-of-in-Kirby-Northey/91d6e27371f8b88b53dfe7eb7f4e6ff1d23a5841#citing-papers [Accessed 5 July 2022].</w:t>
      </w:r>
    </w:p>
    <w:p w14:paraId="73CE0BE8" w14:textId="77777777" w:rsidR="00700D12" w:rsidRPr="003230FF" w:rsidRDefault="00700D12" w:rsidP="00700D12">
      <w:pPr>
        <w:spacing w:line="360" w:lineRule="auto"/>
        <w:rPr>
          <w:rFonts w:ascii="Arial" w:hAnsi="Arial" w:cs="Arial"/>
          <w:sz w:val="24"/>
          <w:szCs w:val="24"/>
        </w:rPr>
      </w:pPr>
    </w:p>
    <w:p w14:paraId="42ABB386"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Lee, J. and Gibbs, J.C. (2015), </w:t>
      </w:r>
      <w:r w:rsidRPr="0074677C">
        <w:rPr>
          <w:rFonts w:ascii="Arial" w:hAnsi="Arial" w:cs="Arial"/>
          <w:i/>
          <w:iCs/>
          <w:sz w:val="24"/>
          <w:szCs w:val="24"/>
        </w:rPr>
        <w:t>"Race and attitudes toward police: the mediating effect of social distance</w:t>
      </w:r>
      <w:r w:rsidRPr="003230FF">
        <w:rPr>
          <w:rFonts w:ascii="Arial" w:hAnsi="Arial" w:cs="Arial"/>
          <w:sz w:val="24"/>
          <w:szCs w:val="24"/>
        </w:rPr>
        <w:t>"</w:t>
      </w:r>
      <w:r>
        <w:rPr>
          <w:rFonts w:ascii="Arial" w:hAnsi="Arial" w:cs="Arial"/>
          <w:sz w:val="24"/>
          <w:szCs w:val="24"/>
        </w:rPr>
        <w:t>.</w:t>
      </w:r>
      <w:r w:rsidRPr="003230FF">
        <w:rPr>
          <w:rFonts w:ascii="Arial" w:hAnsi="Arial" w:cs="Arial"/>
          <w:sz w:val="24"/>
          <w:szCs w:val="24"/>
        </w:rPr>
        <w:t xml:space="preserve"> Policing: An International Journal, Vol. 38 No. 2, pp. DOI: http://dx.doi.org/10.1108/PIJPSM-03-2015-0034 [Accessed 13 June 2022].</w:t>
      </w:r>
    </w:p>
    <w:p w14:paraId="5012F96A" w14:textId="77777777" w:rsidR="00700D12" w:rsidRPr="003230FF" w:rsidRDefault="00700D12" w:rsidP="00700D12">
      <w:pPr>
        <w:spacing w:line="360" w:lineRule="auto"/>
        <w:rPr>
          <w:rFonts w:ascii="Arial" w:hAnsi="Arial" w:cs="Arial"/>
          <w:sz w:val="24"/>
          <w:szCs w:val="24"/>
        </w:rPr>
      </w:pPr>
    </w:p>
    <w:p w14:paraId="02F73A44"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Local Government Association (2015). </w:t>
      </w:r>
      <w:r w:rsidRPr="0074677C">
        <w:rPr>
          <w:rFonts w:ascii="Arial" w:hAnsi="Arial" w:cs="Arial"/>
          <w:i/>
          <w:iCs/>
          <w:sz w:val="24"/>
          <w:szCs w:val="24"/>
        </w:rPr>
        <w:t>Tackling serious and organised crime</w:t>
      </w:r>
      <w:r w:rsidRPr="003230FF">
        <w:rPr>
          <w:rFonts w:ascii="Arial" w:hAnsi="Arial" w:cs="Arial"/>
          <w:sz w:val="24"/>
          <w:szCs w:val="24"/>
        </w:rPr>
        <w:t>. Local Government House. Smith Square London. Available at: https://www.local.gov.uk/sites/default/files/documents/tackling-serious-and-orga-44a.pdf [Accessed 3 July 2022].</w:t>
      </w:r>
    </w:p>
    <w:p w14:paraId="6183059D" w14:textId="77777777" w:rsidR="00700D12" w:rsidRPr="003230FF" w:rsidRDefault="00700D12" w:rsidP="00700D12">
      <w:pPr>
        <w:spacing w:line="360" w:lineRule="auto"/>
        <w:rPr>
          <w:rFonts w:ascii="Arial" w:hAnsi="Arial" w:cs="Arial"/>
          <w:sz w:val="24"/>
          <w:szCs w:val="24"/>
        </w:rPr>
      </w:pPr>
    </w:p>
    <w:p w14:paraId="7A7B39BE"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Loeber, R., Farrington, D. P., &amp; Cotter, R. B., Dalton, E., </w:t>
      </w:r>
      <w:proofErr w:type="spellStart"/>
      <w:r w:rsidRPr="003230FF">
        <w:rPr>
          <w:rFonts w:ascii="Arial" w:hAnsi="Arial" w:cs="Arial"/>
          <w:sz w:val="24"/>
          <w:szCs w:val="24"/>
        </w:rPr>
        <w:t>Ebel</w:t>
      </w:r>
      <w:proofErr w:type="spellEnd"/>
      <w:r w:rsidRPr="003230FF">
        <w:rPr>
          <w:rFonts w:ascii="Arial" w:hAnsi="Arial" w:cs="Arial"/>
          <w:sz w:val="24"/>
          <w:szCs w:val="24"/>
        </w:rPr>
        <w:t xml:space="preserve">, B. E., Jolliffe, D., </w:t>
      </w:r>
      <w:proofErr w:type="spellStart"/>
      <w:r w:rsidRPr="003230FF">
        <w:rPr>
          <w:rFonts w:ascii="Arial" w:hAnsi="Arial" w:cs="Arial"/>
          <w:sz w:val="24"/>
          <w:szCs w:val="24"/>
        </w:rPr>
        <w:t>Rivara</w:t>
      </w:r>
      <w:proofErr w:type="spellEnd"/>
      <w:r w:rsidRPr="003230FF">
        <w:rPr>
          <w:rFonts w:ascii="Arial" w:hAnsi="Arial" w:cs="Arial"/>
          <w:sz w:val="24"/>
          <w:szCs w:val="24"/>
        </w:rPr>
        <w:t xml:space="preserve">, F. P., Stallings, R., &amp; </w:t>
      </w:r>
      <w:proofErr w:type="spellStart"/>
      <w:r w:rsidRPr="003230FF">
        <w:rPr>
          <w:rFonts w:ascii="Arial" w:hAnsi="Arial" w:cs="Arial"/>
          <w:sz w:val="24"/>
          <w:szCs w:val="24"/>
        </w:rPr>
        <w:t>Stouthamer</w:t>
      </w:r>
      <w:proofErr w:type="spellEnd"/>
      <w:r w:rsidRPr="003230FF">
        <w:rPr>
          <w:rFonts w:ascii="Arial" w:hAnsi="Arial" w:cs="Arial"/>
          <w:sz w:val="24"/>
          <w:szCs w:val="24"/>
        </w:rPr>
        <w:t xml:space="preserve">-Loeber, M. (2011). </w:t>
      </w:r>
      <w:r w:rsidRPr="0074677C">
        <w:rPr>
          <w:rFonts w:ascii="Arial" w:hAnsi="Arial" w:cs="Arial"/>
          <w:i/>
          <w:iCs/>
          <w:sz w:val="24"/>
          <w:szCs w:val="24"/>
        </w:rPr>
        <w:t>Young homicide offenders and victims: Risk factors, prediction, and prevention from childhood.</w:t>
      </w:r>
      <w:r w:rsidRPr="003230FF">
        <w:rPr>
          <w:rFonts w:ascii="Arial" w:hAnsi="Arial" w:cs="Arial"/>
          <w:sz w:val="24"/>
          <w:szCs w:val="24"/>
        </w:rPr>
        <w:t xml:space="preserve"> Springer Science &amp; Business Media. https://doi.org/10.1007/978-1-4419-9949-8 [Accessed 21 June 2022].</w:t>
      </w:r>
    </w:p>
    <w:p w14:paraId="64631978" w14:textId="77777777" w:rsidR="00700D12" w:rsidRPr="003230FF" w:rsidRDefault="00700D12" w:rsidP="00700D12">
      <w:pPr>
        <w:spacing w:line="360" w:lineRule="auto"/>
        <w:rPr>
          <w:rFonts w:ascii="Arial" w:hAnsi="Arial" w:cs="Arial"/>
          <w:sz w:val="24"/>
          <w:szCs w:val="24"/>
        </w:rPr>
      </w:pPr>
    </w:p>
    <w:p w14:paraId="48D4FCB7"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Longstaff, A. Willer, J. Chapman, J. </w:t>
      </w:r>
      <w:proofErr w:type="spellStart"/>
      <w:r w:rsidRPr="003230FF">
        <w:rPr>
          <w:rFonts w:ascii="Arial" w:hAnsi="Arial" w:cs="Arial"/>
          <w:sz w:val="24"/>
          <w:szCs w:val="24"/>
        </w:rPr>
        <w:t>Czarnomski</w:t>
      </w:r>
      <w:proofErr w:type="spellEnd"/>
      <w:r w:rsidRPr="003230FF">
        <w:rPr>
          <w:rFonts w:ascii="Arial" w:hAnsi="Arial" w:cs="Arial"/>
          <w:sz w:val="24"/>
          <w:szCs w:val="24"/>
        </w:rPr>
        <w:t xml:space="preserve">, S. and Graham, J. (2015) </w:t>
      </w:r>
      <w:r w:rsidRPr="0074677C">
        <w:rPr>
          <w:rFonts w:ascii="Arial" w:hAnsi="Arial" w:cs="Arial"/>
          <w:i/>
          <w:iCs/>
          <w:sz w:val="24"/>
          <w:szCs w:val="24"/>
        </w:rPr>
        <w:t xml:space="preserve">Neighbourhood policing: Past, </w:t>
      </w:r>
      <w:proofErr w:type="gramStart"/>
      <w:r w:rsidRPr="0074677C">
        <w:rPr>
          <w:rFonts w:ascii="Arial" w:hAnsi="Arial" w:cs="Arial"/>
          <w:i/>
          <w:iCs/>
          <w:sz w:val="24"/>
          <w:szCs w:val="24"/>
        </w:rPr>
        <w:t>present</w:t>
      </w:r>
      <w:proofErr w:type="gramEnd"/>
      <w:r w:rsidRPr="0074677C">
        <w:rPr>
          <w:rFonts w:ascii="Arial" w:hAnsi="Arial" w:cs="Arial"/>
          <w:i/>
          <w:iCs/>
          <w:sz w:val="24"/>
          <w:szCs w:val="24"/>
        </w:rPr>
        <w:t xml:space="preserve"> and future</w:t>
      </w:r>
      <w:r w:rsidRPr="003230FF">
        <w:rPr>
          <w:rFonts w:ascii="Arial" w:hAnsi="Arial" w:cs="Arial"/>
          <w:sz w:val="24"/>
          <w:szCs w:val="24"/>
        </w:rPr>
        <w:t>. The Police Foundation. Available at: https://www.police-foundation.org.uk/2017/wp-content/uploads/2017/06/neighbourhood_policing_past_present_future.pdf [Accessed 14 June 2022].</w:t>
      </w:r>
    </w:p>
    <w:p w14:paraId="2DEFD671" w14:textId="77777777" w:rsidR="00700D12" w:rsidRPr="003230FF" w:rsidRDefault="00700D12" w:rsidP="00700D12">
      <w:pPr>
        <w:spacing w:line="360" w:lineRule="auto"/>
        <w:rPr>
          <w:rFonts w:ascii="Arial" w:hAnsi="Arial" w:cs="Arial"/>
          <w:sz w:val="24"/>
          <w:szCs w:val="24"/>
        </w:rPr>
      </w:pPr>
    </w:p>
    <w:p w14:paraId="65027E59" w14:textId="77777777" w:rsidR="00700D12" w:rsidRDefault="00700D12" w:rsidP="00700D12">
      <w:pPr>
        <w:spacing w:line="360" w:lineRule="auto"/>
        <w:rPr>
          <w:rFonts w:ascii="Arial" w:hAnsi="Arial" w:cs="Arial"/>
          <w:sz w:val="24"/>
          <w:szCs w:val="24"/>
        </w:rPr>
      </w:pPr>
      <w:r>
        <w:rPr>
          <w:rFonts w:ascii="Arial" w:hAnsi="Arial" w:cs="Arial"/>
          <w:sz w:val="24"/>
          <w:szCs w:val="24"/>
        </w:rPr>
        <w:lastRenderedPageBreak/>
        <w:t>Macpherson</w:t>
      </w:r>
      <w:r w:rsidRPr="003230FF">
        <w:rPr>
          <w:rFonts w:ascii="Arial" w:hAnsi="Arial" w:cs="Arial"/>
          <w:sz w:val="24"/>
          <w:szCs w:val="24"/>
        </w:rPr>
        <w:t>, W. (1999)</w:t>
      </w:r>
      <w:r>
        <w:rPr>
          <w:rFonts w:ascii="Arial" w:hAnsi="Arial" w:cs="Arial"/>
          <w:sz w:val="24"/>
          <w:szCs w:val="24"/>
        </w:rPr>
        <w:t>.</w:t>
      </w:r>
      <w:r w:rsidRPr="003230FF">
        <w:rPr>
          <w:rFonts w:ascii="Arial" w:hAnsi="Arial" w:cs="Arial"/>
          <w:sz w:val="24"/>
          <w:szCs w:val="24"/>
        </w:rPr>
        <w:t xml:space="preserve"> </w:t>
      </w:r>
      <w:r w:rsidRPr="0074677C">
        <w:rPr>
          <w:rFonts w:ascii="Arial" w:hAnsi="Arial" w:cs="Arial"/>
          <w:i/>
          <w:iCs/>
          <w:sz w:val="24"/>
          <w:szCs w:val="24"/>
        </w:rPr>
        <w:t>The Stephen Lawrence Inquiry: Report of an Inquiry by Sir William Macpherson of Cluny</w:t>
      </w:r>
      <w:r w:rsidRPr="003230FF">
        <w:rPr>
          <w:rFonts w:ascii="Arial" w:hAnsi="Arial" w:cs="Arial"/>
          <w:sz w:val="24"/>
          <w:szCs w:val="24"/>
        </w:rPr>
        <w:t>. London: The Stationery Office; http://www.official-documents.co.uk/document/cm42/4262/4262.htm [Accessed 10 June 2022]</w:t>
      </w:r>
      <w:r>
        <w:rPr>
          <w:rFonts w:ascii="Arial" w:hAnsi="Arial" w:cs="Arial"/>
          <w:sz w:val="24"/>
          <w:szCs w:val="24"/>
        </w:rPr>
        <w:t>.</w:t>
      </w:r>
    </w:p>
    <w:p w14:paraId="2BB5F93F" w14:textId="77777777" w:rsidR="00700D12" w:rsidRPr="003230FF" w:rsidRDefault="00700D12" w:rsidP="00700D12">
      <w:pPr>
        <w:spacing w:line="360" w:lineRule="auto"/>
        <w:rPr>
          <w:rFonts w:ascii="Arial" w:hAnsi="Arial" w:cs="Arial"/>
          <w:sz w:val="24"/>
          <w:szCs w:val="24"/>
        </w:rPr>
      </w:pPr>
    </w:p>
    <w:p w14:paraId="7F27A25A"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May, T. (2011) </w:t>
      </w:r>
      <w:r w:rsidRPr="0074677C">
        <w:rPr>
          <w:rFonts w:ascii="Arial" w:hAnsi="Arial" w:cs="Arial"/>
          <w:i/>
          <w:iCs/>
          <w:sz w:val="24"/>
          <w:szCs w:val="24"/>
        </w:rPr>
        <w:t>Ending Gang and Youth Violence – A Cross-Government Report.</w:t>
      </w:r>
      <w:r w:rsidRPr="003230FF">
        <w:rPr>
          <w:rFonts w:ascii="Arial" w:hAnsi="Arial" w:cs="Arial"/>
          <w:sz w:val="24"/>
          <w:szCs w:val="24"/>
        </w:rPr>
        <w:t xml:space="preserve"> Home Office. Available at: https://assets.publishing.service.gov.uk/government/uploads/system/uploads/attachment_data/file/97861/gang-violence-summary.pdf [Accessed 3 July 2022].</w:t>
      </w:r>
    </w:p>
    <w:p w14:paraId="2E8C46F0" w14:textId="77777777" w:rsidR="00700D12" w:rsidRPr="003230FF" w:rsidRDefault="00700D12" w:rsidP="00700D12">
      <w:pPr>
        <w:spacing w:line="360" w:lineRule="auto"/>
        <w:rPr>
          <w:rFonts w:ascii="Arial" w:hAnsi="Arial" w:cs="Arial"/>
          <w:sz w:val="24"/>
          <w:szCs w:val="24"/>
        </w:rPr>
      </w:pPr>
    </w:p>
    <w:p w14:paraId="568A42EC"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Miles-Johnson, T. (2019) </w:t>
      </w:r>
      <w:r w:rsidRPr="0074677C">
        <w:rPr>
          <w:rFonts w:ascii="Arial" w:hAnsi="Arial" w:cs="Arial"/>
          <w:i/>
          <w:iCs/>
          <w:sz w:val="24"/>
          <w:szCs w:val="24"/>
        </w:rPr>
        <w:t>Policing Diverse People: How Occupational Attitudes and Background Characteristics Shape Police Recruits’ Perceptions</w:t>
      </w:r>
      <w:r w:rsidRPr="003230FF">
        <w:rPr>
          <w:rFonts w:ascii="Arial" w:hAnsi="Arial" w:cs="Arial"/>
          <w:sz w:val="24"/>
          <w:szCs w:val="24"/>
        </w:rPr>
        <w:t>. Queensland University of Technology. DOI: https://doi.org/10.1177%2F2158244019865362 [Accessed 13 June 2022].</w:t>
      </w:r>
    </w:p>
    <w:p w14:paraId="11363A7E" w14:textId="77777777" w:rsidR="00700D12" w:rsidRPr="003230FF" w:rsidRDefault="00700D12" w:rsidP="00700D12">
      <w:pPr>
        <w:spacing w:line="360" w:lineRule="auto"/>
        <w:rPr>
          <w:rFonts w:ascii="Arial" w:hAnsi="Arial" w:cs="Arial"/>
          <w:sz w:val="24"/>
          <w:szCs w:val="24"/>
        </w:rPr>
      </w:pPr>
    </w:p>
    <w:p w14:paraId="686EB6AF"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Ministry of Justice. (2021) </w:t>
      </w:r>
      <w:r w:rsidRPr="0074677C">
        <w:rPr>
          <w:rFonts w:ascii="Arial" w:hAnsi="Arial" w:cs="Arial"/>
          <w:i/>
          <w:iCs/>
          <w:sz w:val="24"/>
          <w:szCs w:val="24"/>
        </w:rPr>
        <w:t>Multi-Agency Public Protection Arrangements (MAPPA) Annual Report 2020/21.</w:t>
      </w:r>
      <w:r w:rsidRPr="003230FF">
        <w:rPr>
          <w:rFonts w:ascii="Arial" w:hAnsi="Arial" w:cs="Arial"/>
          <w:sz w:val="24"/>
          <w:szCs w:val="24"/>
        </w:rPr>
        <w:t xml:space="preserve"> Ministry of Justice. Available at </w:t>
      </w:r>
      <w:r w:rsidRPr="000D7BFD">
        <w:rPr>
          <w:rFonts w:ascii="Arial" w:hAnsi="Arial" w:cs="Arial"/>
          <w:sz w:val="24"/>
          <w:szCs w:val="24"/>
        </w:rPr>
        <w:t>https://assets.publishing.service.gov.uk/government/uploads/system/uploads/attachment_data/file/1029349/MAPPA_Annual_Report_2020-21.pdf</w:t>
      </w:r>
      <w:r>
        <w:rPr>
          <w:rFonts w:ascii="Arial" w:hAnsi="Arial" w:cs="Arial"/>
          <w:sz w:val="24"/>
          <w:szCs w:val="24"/>
        </w:rPr>
        <w:t xml:space="preserve"> [Accessed 20 June 2022].</w:t>
      </w:r>
    </w:p>
    <w:p w14:paraId="7A633947" w14:textId="77777777" w:rsidR="00700D12" w:rsidRPr="003230FF" w:rsidRDefault="00700D12" w:rsidP="00700D12">
      <w:pPr>
        <w:spacing w:line="360" w:lineRule="auto"/>
        <w:rPr>
          <w:rFonts w:ascii="Arial" w:hAnsi="Arial" w:cs="Arial"/>
          <w:sz w:val="24"/>
          <w:szCs w:val="24"/>
        </w:rPr>
      </w:pPr>
    </w:p>
    <w:p w14:paraId="4B99539A"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Ministry of Justice. (2021). </w:t>
      </w:r>
      <w:r w:rsidRPr="0074677C">
        <w:rPr>
          <w:rFonts w:ascii="Arial" w:hAnsi="Arial" w:cs="Arial"/>
          <w:i/>
          <w:iCs/>
          <w:sz w:val="24"/>
          <w:szCs w:val="24"/>
        </w:rPr>
        <w:t>Youth Justice Statistics 2019/20</w:t>
      </w:r>
      <w:r w:rsidRPr="003230FF">
        <w:rPr>
          <w:rFonts w:ascii="Arial" w:hAnsi="Arial" w:cs="Arial"/>
          <w:sz w:val="24"/>
          <w:szCs w:val="24"/>
        </w:rPr>
        <w:t>. Youth Justice Board. Ministry of Justice. Available at: https://assets.publishing.service.gov.uk/government/uploads/system/uploads/attachment_data/file/956621/youth-justice-statistics-2019-2020.pdf [Accessed 21 June 2022].</w:t>
      </w:r>
    </w:p>
    <w:p w14:paraId="542909B2" w14:textId="77777777" w:rsidR="00700D12" w:rsidRPr="003230FF" w:rsidRDefault="00700D12" w:rsidP="00700D12">
      <w:pPr>
        <w:spacing w:line="360" w:lineRule="auto"/>
        <w:rPr>
          <w:rFonts w:ascii="Arial" w:hAnsi="Arial" w:cs="Arial"/>
          <w:sz w:val="24"/>
          <w:szCs w:val="24"/>
        </w:rPr>
      </w:pPr>
    </w:p>
    <w:p w14:paraId="4565C7D5"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Muir, R., Higgins, A., </w:t>
      </w:r>
      <w:proofErr w:type="spellStart"/>
      <w:r w:rsidRPr="003230FF">
        <w:rPr>
          <w:rFonts w:ascii="Arial" w:hAnsi="Arial" w:cs="Arial"/>
          <w:sz w:val="24"/>
          <w:szCs w:val="24"/>
        </w:rPr>
        <w:t>Halkon</w:t>
      </w:r>
      <w:proofErr w:type="spellEnd"/>
      <w:r w:rsidRPr="003230FF">
        <w:rPr>
          <w:rFonts w:ascii="Arial" w:hAnsi="Arial" w:cs="Arial"/>
          <w:sz w:val="24"/>
          <w:szCs w:val="24"/>
        </w:rPr>
        <w:t xml:space="preserve">, R., Walcott, S. (2022) </w:t>
      </w:r>
      <w:r w:rsidRPr="0074677C">
        <w:rPr>
          <w:rFonts w:ascii="Arial" w:hAnsi="Arial" w:cs="Arial"/>
          <w:i/>
          <w:iCs/>
          <w:sz w:val="24"/>
          <w:szCs w:val="24"/>
        </w:rPr>
        <w:t>A New Mode of Protection. The Police Foundation.</w:t>
      </w:r>
      <w:r w:rsidRPr="003230FF">
        <w:rPr>
          <w:rFonts w:ascii="Arial" w:hAnsi="Arial" w:cs="Arial"/>
          <w:sz w:val="24"/>
          <w:szCs w:val="24"/>
        </w:rPr>
        <w:t xml:space="preserve"> Available at: https://www.policingreview.org.uk/wp-content/uploads/srpew_final_report.pdf [Accessed 4 July 2022].</w:t>
      </w:r>
    </w:p>
    <w:p w14:paraId="6CB00BDF" w14:textId="77777777" w:rsidR="00700D12" w:rsidRPr="003230FF" w:rsidRDefault="00700D12" w:rsidP="00700D12">
      <w:pPr>
        <w:spacing w:line="360" w:lineRule="auto"/>
        <w:rPr>
          <w:rFonts w:ascii="Arial" w:hAnsi="Arial" w:cs="Arial"/>
          <w:sz w:val="24"/>
          <w:szCs w:val="24"/>
        </w:rPr>
      </w:pPr>
    </w:p>
    <w:p w14:paraId="38C44D84"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Murphy, T. (2019). </w:t>
      </w:r>
      <w:r w:rsidRPr="0074677C">
        <w:rPr>
          <w:rFonts w:ascii="Arial" w:hAnsi="Arial" w:cs="Arial"/>
          <w:i/>
          <w:iCs/>
          <w:sz w:val="24"/>
          <w:szCs w:val="24"/>
        </w:rPr>
        <w:t>Criminology</w:t>
      </w:r>
      <w:r w:rsidRPr="003230FF">
        <w:rPr>
          <w:rFonts w:ascii="Arial" w:hAnsi="Arial" w:cs="Arial"/>
          <w:sz w:val="24"/>
          <w:szCs w:val="24"/>
        </w:rPr>
        <w:t xml:space="preserve"> (1st ed.). SAGE Publications. Available at: https://www.perlego.com/book/1431962/criminology-pdf [Accessed 21 June 2022].</w:t>
      </w:r>
    </w:p>
    <w:p w14:paraId="5DDEA32F" w14:textId="77777777" w:rsidR="00700D12" w:rsidRPr="003230FF" w:rsidRDefault="00700D12" w:rsidP="00700D12">
      <w:pPr>
        <w:spacing w:line="360" w:lineRule="auto"/>
        <w:rPr>
          <w:rFonts w:ascii="Arial" w:hAnsi="Arial" w:cs="Arial"/>
          <w:sz w:val="24"/>
          <w:szCs w:val="24"/>
        </w:rPr>
      </w:pPr>
    </w:p>
    <w:p w14:paraId="412720EF"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National Audit Office (2015a) </w:t>
      </w:r>
      <w:r w:rsidRPr="0074677C">
        <w:rPr>
          <w:rFonts w:ascii="Arial" w:hAnsi="Arial" w:cs="Arial"/>
          <w:i/>
          <w:iCs/>
          <w:sz w:val="24"/>
          <w:szCs w:val="24"/>
        </w:rPr>
        <w:t>Financial sustainability of police forces in England and Wales</w:t>
      </w:r>
      <w:r w:rsidRPr="003230FF">
        <w:rPr>
          <w:rFonts w:ascii="Arial" w:hAnsi="Arial" w:cs="Arial"/>
          <w:sz w:val="24"/>
          <w:szCs w:val="24"/>
        </w:rPr>
        <w:t>. Available at: www.nao.org.uk/report/financial-sustainability-of-police-forces-in-england-and-wales/ [Accessed 13 May 2022]</w:t>
      </w:r>
      <w:r>
        <w:rPr>
          <w:rFonts w:ascii="Arial" w:hAnsi="Arial" w:cs="Arial"/>
          <w:sz w:val="24"/>
          <w:szCs w:val="24"/>
        </w:rPr>
        <w:t>.</w:t>
      </w:r>
    </w:p>
    <w:p w14:paraId="15274905" w14:textId="77777777" w:rsidR="00700D12" w:rsidRPr="003230FF" w:rsidRDefault="00700D12" w:rsidP="00700D12">
      <w:pPr>
        <w:spacing w:line="360" w:lineRule="auto"/>
        <w:rPr>
          <w:rFonts w:ascii="Arial" w:hAnsi="Arial" w:cs="Arial"/>
          <w:sz w:val="24"/>
          <w:szCs w:val="24"/>
        </w:rPr>
      </w:pPr>
    </w:p>
    <w:p w14:paraId="1F28F047"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t>O’Mahony</w:t>
      </w:r>
      <w:proofErr w:type="spellEnd"/>
      <w:r w:rsidRPr="003230FF">
        <w:rPr>
          <w:rFonts w:ascii="Arial" w:hAnsi="Arial" w:cs="Arial"/>
          <w:sz w:val="24"/>
          <w:szCs w:val="24"/>
        </w:rPr>
        <w:t xml:space="preserve">, P. (2009) </w:t>
      </w:r>
      <w:r w:rsidRPr="0074677C">
        <w:rPr>
          <w:rFonts w:ascii="Arial" w:hAnsi="Arial" w:cs="Arial"/>
          <w:i/>
          <w:iCs/>
          <w:sz w:val="24"/>
          <w:szCs w:val="24"/>
        </w:rPr>
        <w:t>The Risk Factors Prevention Paradigm and the Causes of Youth Crime: A Deceptively Useful Analysis</w:t>
      </w:r>
      <w:r w:rsidRPr="003230FF">
        <w:rPr>
          <w:rFonts w:ascii="Arial" w:hAnsi="Arial" w:cs="Arial"/>
          <w:sz w:val="24"/>
          <w:szCs w:val="24"/>
        </w:rPr>
        <w:t>. Youth Justice. doi:10.1177/1473225409105490 [Accessed 19 June 2022].</w:t>
      </w:r>
    </w:p>
    <w:p w14:paraId="009694C3" w14:textId="77777777" w:rsidR="00700D12" w:rsidRPr="003230FF" w:rsidRDefault="00700D12" w:rsidP="00700D12">
      <w:pPr>
        <w:spacing w:line="360" w:lineRule="auto"/>
        <w:rPr>
          <w:rFonts w:ascii="Arial" w:hAnsi="Arial" w:cs="Arial"/>
          <w:sz w:val="24"/>
          <w:szCs w:val="24"/>
        </w:rPr>
      </w:pPr>
    </w:p>
    <w:p w14:paraId="2BD59C76"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Quinton, P. and Morris, J., (2008). </w:t>
      </w:r>
      <w:r w:rsidRPr="0074677C">
        <w:rPr>
          <w:rFonts w:ascii="Arial" w:hAnsi="Arial" w:cs="Arial"/>
          <w:i/>
          <w:iCs/>
          <w:sz w:val="24"/>
          <w:szCs w:val="24"/>
        </w:rPr>
        <w:t>Neighbourhood policing: the impact of piloting and early national implementation</w:t>
      </w:r>
      <w:r w:rsidRPr="003230FF">
        <w:rPr>
          <w:rFonts w:ascii="Arial" w:hAnsi="Arial" w:cs="Arial"/>
          <w:sz w:val="24"/>
          <w:szCs w:val="24"/>
        </w:rPr>
        <w:t>. Report 01/08. Available at: https://www.researchgate.net/publication/237366957_Neighbourhood_Policing_The_Impact_of_Piloting_and_Early_National_Implementation [Accessed 13 June 2022].</w:t>
      </w:r>
    </w:p>
    <w:p w14:paraId="3CE0275F" w14:textId="77777777" w:rsidR="00700D12" w:rsidRPr="003230FF" w:rsidRDefault="00700D12" w:rsidP="00700D12">
      <w:pPr>
        <w:spacing w:line="360" w:lineRule="auto"/>
        <w:rPr>
          <w:rFonts w:ascii="Arial" w:hAnsi="Arial" w:cs="Arial"/>
          <w:sz w:val="24"/>
          <w:szCs w:val="24"/>
        </w:rPr>
      </w:pPr>
    </w:p>
    <w:p w14:paraId="7E5337F2"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R Smith, M. and P Alpert, Geoffrey. (2007) </w:t>
      </w:r>
      <w:r w:rsidRPr="0074677C">
        <w:rPr>
          <w:rFonts w:ascii="Arial" w:hAnsi="Arial" w:cs="Arial"/>
          <w:i/>
          <w:iCs/>
          <w:sz w:val="24"/>
          <w:szCs w:val="24"/>
        </w:rPr>
        <w:t>EXPLAINING POLICE BIAS: A Theory of Social Conditioning and Illusory Correlation</w:t>
      </w:r>
      <w:r w:rsidRPr="003230FF">
        <w:rPr>
          <w:rFonts w:ascii="Arial" w:hAnsi="Arial" w:cs="Arial"/>
          <w:sz w:val="24"/>
          <w:szCs w:val="24"/>
        </w:rPr>
        <w:t xml:space="preserve">. University of South Carolina. DOI: http://dx.doi.org/10.1177/0093854807304484. [Accessed 12 June 2022]. </w:t>
      </w:r>
    </w:p>
    <w:p w14:paraId="59962B8F" w14:textId="77777777" w:rsidR="00700D12" w:rsidRPr="003230FF" w:rsidRDefault="00700D12" w:rsidP="00700D12">
      <w:pPr>
        <w:spacing w:line="360" w:lineRule="auto"/>
        <w:rPr>
          <w:rFonts w:ascii="Arial" w:hAnsi="Arial" w:cs="Arial"/>
          <w:sz w:val="24"/>
          <w:szCs w:val="24"/>
        </w:rPr>
      </w:pPr>
    </w:p>
    <w:p w14:paraId="7111F579"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Radford, L., Corral, S., Bradley, C., Fisher, H., Bassett, C., Howat, N., </w:t>
      </w:r>
      <w:proofErr w:type="spellStart"/>
      <w:r w:rsidRPr="003230FF">
        <w:rPr>
          <w:rFonts w:ascii="Arial" w:hAnsi="Arial" w:cs="Arial"/>
          <w:sz w:val="24"/>
          <w:szCs w:val="24"/>
        </w:rPr>
        <w:t>Collishaw</w:t>
      </w:r>
      <w:proofErr w:type="spellEnd"/>
      <w:r w:rsidRPr="003230FF">
        <w:rPr>
          <w:rFonts w:ascii="Arial" w:hAnsi="Arial" w:cs="Arial"/>
          <w:sz w:val="24"/>
          <w:szCs w:val="24"/>
        </w:rPr>
        <w:t xml:space="preserve">, S.  (2011). </w:t>
      </w:r>
      <w:r w:rsidRPr="0074677C">
        <w:rPr>
          <w:rFonts w:ascii="Arial" w:hAnsi="Arial" w:cs="Arial"/>
          <w:i/>
          <w:iCs/>
          <w:sz w:val="24"/>
          <w:szCs w:val="24"/>
        </w:rPr>
        <w:t>Child abuse and neglect in the UK today</w:t>
      </w:r>
      <w:r w:rsidRPr="003230FF">
        <w:rPr>
          <w:rFonts w:ascii="Arial" w:hAnsi="Arial" w:cs="Arial"/>
          <w:sz w:val="24"/>
          <w:szCs w:val="24"/>
        </w:rPr>
        <w:t>. NSPCC. Available at: https://learning.nspcc.org.uk/research-resources/pre-2013/child-abuse-neglect-uk-today [Accessed 19 June 2022].</w:t>
      </w:r>
    </w:p>
    <w:p w14:paraId="59030BB5" w14:textId="77777777" w:rsidR="00700D12" w:rsidRPr="003230FF" w:rsidRDefault="00700D12" w:rsidP="00700D12">
      <w:pPr>
        <w:spacing w:line="360" w:lineRule="auto"/>
        <w:rPr>
          <w:rFonts w:ascii="Arial" w:hAnsi="Arial" w:cs="Arial"/>
          <w:sz w:val="24"/>
          <w:szCs w:val="24"/>
        </w:rPr>
      </w:pPr>
    </w:p>
    <w:p w14:paraId="64E4F631" w14:textId="77777777" w:rsidR="00700D12" w:rsidRDefault="00700D12" w:rsidP="00700D12">
      <w:pPr>
        <w:spacing w:line="360" w:lineRule="auto"/>
        <w:rPr>
          <w:rFonts w:ascii="Arial" w:hAnsi="Arial" w:cs="Arial"/>
          <w:sz w:val="24"/>
          <w:szCs w:val="24"/>
        </w:rPr>
      </w:pPr>
      <w:proofErr w:type="spellStart"/>
      <w:r w:rsidRPr="003230FF">
        <w:rPr>
          <w:rFonts w:ascii="Arial" w:hAnsi="Arial" w:cs="Arial"/>
          <w:sz w:val="24"/>
          <w:szCs w:val="24"/>
        </w:rPr>
        <w:lastRenderedPageBreak/>
        <w:t>Roycroft</w:t>
      </w:r>
      <w:proofErr w:type="spellEnd"/>
      <w:r w:rsidRPr="003230FF">
        <w:rPr>
          <w:rFonts w:ascii="Arial" w:hAnsi="Arial" w:cs="Arial"/>
          <w:sz w:val="24"/>
          <w:szCs w:val="24"/>
        </w:rPr>
        <w:t xml:space="preserve">, M. (2021). </w:t>
      </w:r>
      <w:r w:rsidRPr="0074677C">
        <w:rPr>
          <w:rFonts w:ascii="Arial" w:hAnsi="Arial" w:cs="Arial"/>
          <w:i/>
          <w:iCs/>
          <w:sz w:val="24"/>
          <w:szCs w:val="24"/>
        </w:rPr>
        <w:t>Accountability and Governance</w:t>
      </w:r>
      <w:r w:rsidRPr="003230FF">
        <w:rPr>
          <w:rFonts w:ascii="Arial" w:hAnsi="Arial" w:cs="Arial"/>
          <w:sz w:val="24"/>
          <w:szCs w:val="24"/>
        </w:rPr>
        <w:t xml:space="preserve">. </w:t>
      </w:r>
      <w:proofErr w:type="spellStart"/>
      <w:r w:rsidRPr="003230FF">
        <w:rPr>
          <w:rFonts w:ascii="Arial" w:hAnsi="Arial" w:cs="Arial"/>
          <w:sz w:val="24"/>
          <w:szCs w:val="24"/>
        </w:rPr>
        <w:t>Roycroft</w:t>
      </w:r>
      <w:proofErr w:type="spellEnd"/>
      <w:r w:rsidRPr="003230FF">
        <w:rPr>
          <w:rFonts w:ascii="Arial" w:hAnsi="Arial" w:cs="Arial"/>
          <w:sz w:val="24"/>
          <w:szCs w:val="24"/>
        </w:rPr>
        <w:t>, M., Brine, L. (eds) Modern Police Leadership. Palgrave Macmillan, Cham. DOI: https://doi.org/10.1007/978-3-030-63930-3_3 [Accessed on 12 May 2022]</w:t>
      </w:r>
      <w:r>
        <w:rPr>
          <w:rFonts w:ascii="Arial" w:hAnsi="Arial" w:cs="Arial"/>
          <w:sz w:val="24"/>
          <w:szCs w:val="24"/>
        </w:rPr>
        <w:t>.</w:t>
      </w:r>
    </w:p>
    <w:p w14:paraId="3EC5B508" w14:textId="77777777" w:rsidR="00700D12" w:rsidRPr="003230FF" w:rsidRDefault="00700D12" w:rsidP="00700D12">
      <w:pPr>
        <w:spacing w:line="360" w:lineRule="auto"/>
        <w:rPr>
          <w:rFonts w:ascii="Arial" w:hAnsi="Arial" w:cs="Arial"/>
          <w:sz w:val="24"/>
          <w:szCs w:val="24"/>
        </w:rPr>
      </w:pPr>
    </w:p>
    <w:p w14:paraId="41BEB7B7"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South Wales Police. (2019). </w:t>
      </w:r>
      <w:r w:rsidRPr="0074677C">
        <w:rPr>
          <w:rFonts w:ascii="Arial" w:hAnsi="Arial" w:cs="Arial"/>
          <w:i/>
          <w:iCs/>
          <w:sz w:val="24"/>
          <w:szCs w:val="24"/>
        </w:rPr>
        <w:t>Joint Equality Plan 2019-2023</w:t>
      </w:r>
      <w:r w:rsidRPr="003230FF">
        <w:rPr>
          <w:rFonts w:ascii="Arial" w:hAnsi="Arial" w:cs="Arial"/>
          <w:sz w:val="24"/>
          <w:szCs w:val="24"/>
        </w:rPr>
        <w:t>. South Wales Police and Crime Commissioner. Available at: https://commissioner.south-wales.police.uk/media/1735/joint_equality_plan_2019-2023_v6.pdf [Accessed 12 June 2022]</w:t>
      </w:r>
      <w:r>
        <w:rPr>
          <w:rFonts w:ascii="Arial" w:hAnsi="Arial" w:cs="Arial"/>
          <w:sz w:val="24"/>
          <w:szCs w:val="24"/>
        </w:rPr>
        <w:t>.</w:t>
      </w:r>
    </w:p>
    <w:p w14:paraId="4C9AD014" w14:textId="77777777" w:rsidR="00700D12" w:rsidRPr="003230FF" w:rsidRDefault="00700D12" w:rsidP="00700D12">
      <w:pPr>
        <w:spacing w:line="360" w:lineRule="auto"/>
        <w:rPr>
          <w:rFonts w:ascii="Arial" w:hAnsi="Arial" w:cs="Arial"/>
          <w:sz w:val="24"/>
          <w:szCs w:val="24"/>
        </w:rPr>
      </w:pPr>
    </w:p>
    <w:p w14:paraId="6A2D7EFB"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Spicer, J. (2021) </w:t>
      </w:r>
      <w:r w:rsidRPr="0074677C">
        <w:rPr>
          <w:rFonts w:ascii="Arial" w:hAnsi="Arial" w:cs="Arial"/>
          <w:i/>
          <w:iCs/>
          <w:sz w:val="24"/>
          <w:szCs w:val="24"/>
        </w:rPr>
        <w:t>The policing of cuckooing in ‘County Lines’ drug dealing: An ethnographic study of an amplification spiral</w:t>
      </w:r>
      <w:r w:rsidRPr="003230FF">
        <w:rPr>
          <w:rFonts w:ascii="Arial" w:hAnsi="Arial" w:cs="Arial"/>
          <w:sz w:val="24"/>
          <w:szCs w:val="24"/>
        </w:rPr>
        <w:t>. The British Journal of Criminology. Volume 61, Issue 5. Pages 1390–1406, https://doi.org/10.1093/bjc/azab027 [Accessed 4 July 2022].</w:t>
      </w:r>
    </w:p>
    <w:p w14:paraId="6E6D5CB7" w14:textId="77777777" w:rsidR="00700D12" w:rsidRPr="003230FF" w:rsidRDefault="00700D12" w:rsidP="00700D12">
      <w:pPr>
        <w:spacing w:line="360" w:lineRule="auto"/>
        <w:rPr>
          <w:rFonts w:ascii="Arial" w:hAnsi="Arial" w:cs="Arial"/>
          <w:sz w:val="24"/>
          <w:szCs w:val="24"/>
        </w:rPr>
      </w:pPr>
    </w:p>
    <w:p w14:paraId="748ACA25"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The Equality Act. (2010) Available at: http://www.opsi.gov.uk/acts/acts2010/ukpga-20100015-en-1. [Accessed on 14 June 2022].</w:t>
      </w:r>
    </w:p>
    <w:p w14:paraId="0B79DC6A" w14:textId="77777777" w:rsidR="00700D12" w:rsidRPr="003230FF" w:rsidRDefault="00700D12" w:rsidP="00700D12">
      <w:pPr>
        <w:spacing w:line="360" w:lineRule="auto"/>
        <w:rPr>
          <w:rFonts w:ascii="Arial" w:hAnsi="Arial" w:cs="Arial"/>
          <w:sz w:val="24"/>
          <w:szCs w:val="24"/>
        </w:rPr>
      </w:pPr>
    </w:p>
    <w:p w14:paraId="5D09826F"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The Houses of Parliament. (2018). </w:t>
      </w:r>
      <w:r w:rsidRPr="0074677C">
        <w:rPr>
          <w:rFonts w:ascii="Arial" w:hAnsi="Arial" w:cs="Arial"/>
          <w:i/>
          <w:iCs/>
          <w:sz w:val="24"/>
          <w:szCs w:val="24"/>
        </w:rPr>
        <w:t>The evidence behind early intervention</w:t>
      </w:r>
      <w:r w:rsidRPr="003230FF">
        <w:rPr>
          <w:rFonts w:ascii="Arial" w:hAnsi="Arial" w:cs="Arial"/>
          <w:sz w:val="24"/>
          <w:szCs w:val="24"/>
        </w:rPr>
        <w:t>. Parliament UK. Available at</w:t>
      </w:r>
      <w:r>
        <w:rPr>
          <w:rFonts w:ascii="Arial" w:hAnsi="Arial" w:cs="Arial"/>
          <w:sz w:val="24"/>
          <w:szCs w:val="24"/>
        </w:rPr>
        <w:t xml:space="preserve">: </w:t>
      </w:r>
      <w:r w:rsidRPr="003230FF">
        <w:rPr>
          <w:rFonts w:ascii="Arial" w:hAnsi="Arial" w:cs="Arial"/>
          <w:sz w:val="24"/>
          <w:szCs w:val="24"/>
        </w:rPr>
        <w:t>https://publications.parliament.uk/pa/cm201719/cmselect/cmsctech/506/506.pdf [Accessed 21 June 2022].</w:t>
      </w:r>
    </w:p>
    <w:p w14:paraId="50DDB171" w14:textId="77777777" w:rsidR="00700D12" w:rsidRPr="003230FF" w:rsidRDefault="00700D12" w:rsidP="00700D12">
      <w:pPr>
        <w:spacing w:line="360" w:lineRule="auto"/>
        <w:rPr>
          <w:rFonts w:ascii="Arial" w:hAnsi="Arial" w:cs="Arial"/>
          <w:sz w:val="24"/>
          <w:szCs w:val="24"/>
        </w:rPr>
      </w:pPr>
    </w:p>
    <w:p w14:paraId="63ED2313"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Wallet, I., Weller, D. (1984) </w:t>
      </w:r>
      <w:r w:rsidRPr="0074677C">
        <w:rPr>
          <w:rFonts w:ascii="Arial" w:hAnsi="Arial" w:cs="Arial"/>
          <w:i/>
          <w:iCs/>
          <w:sz w:val="24"/>
          <w:szCs w:val="24"/>
        </w:rPr>
        <w:t>Crime Prevention Through Social Development. Canadian Council on Social Development</w:t>
      </w:r>
      <w:r w:rsidRPr="003230FF">
        <w:rPr>
          <w:rFonts w:ascii="Arial" w:hAnsi="Arial" w:cs="Arial"/>
          <w:sz w:val="24"/>
          <w:szCs w:val="24"/>
        </w:rPr>
        <w:t>. U.S Department of Justice. Available at: https://www.ojp.gov/ncjrs/virtual-library/abstracts/crime-prevention-through-social-development-overview-sources [Assessed 19 June 2022].</w:t>
      </w:r>
    </w:p>
    <w:p w14:paraId="1B6786BE" w14:textId="77777777" w:rsidR="00700D12" w:rsidRPr="003230FF" w:rsidRDefault="00700D12" w:rsidP="00700D12">
      <w:pPr>
        <w:spacing w:line="360" w:lineRule="auto"/>
        <w:rPr>
          <w:rFonts w:ascii="Arial" w:hAnsi="Arial" w:cs="Arial"/>
          <w:sz w:val="24"/>
          <w:szCs w:val="24"/>
        </w:rPr>
      </w:pPr>
    </w:p>
    <w:p w14:paraId="6DA8DDA5"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lastRenderedPageBreak/>
        <w:t xml:space="preserve">Wankhade, P., McCann, L., &amp; Murphy, P. (2019). </w:t>
      </w:r>
      <w:r w:rsidRPr="0074677C">
        <w:rPr>
          <w:rFonts w:ascii="Arial" w:hAnsi="Arial" w:cs="Arial"/>
          <w:i/>
          <w:iCs/>
          <w:sz w:val="24"/>
          <w:szCs w:val="24"/>
        </w:rPr>
        <w:t>Critical perspectives on the management and organization of emergency services</w:t>
      </w:r>
      <w:r w:rsidRPr="003230FF">
        <w:rPr>
          <w:rFonts w:ascii="Arial" w:hAnsi="Arial" w:cs="Arial"/>
          <w:sz w:val="24"/>
          <w:szCs w:val="24"/>
        </w:rPr>
        <w:t xml:space="preserve"> (P. Wankhade, L. McCann, &amp; P. Murphy, Eds.). New York, NY: Routledge. DOI: </w:t>
      </w:r>
      <w:r w:rsidRPr="000D7BFD">
        <w:rPr>
          <w:rFonts w:ascii="Arial" w:hAnsi="Arial" w:cs="Arial"/>
          <w:sz w:val="24"/>
          <w:szCs w:val="24"/>
        </w:rPr>
        <w:t>https://doi.org/10.4324/9781315104447</w:t>
      </w:r>
      <w:r>
        <w:rPr>
          <w:rFonts w:ascii="Arial" w:hAnsi="Arial" w:cs="Arial"/>
          <w:sz w:val="24"/>
          <w:szCs w:val="24"/>
        </w:rPr>
        <w:t xml:space="preserve"> [Accessed 19 June 2022].</w:t>
      </w:r>
    </w:p>
    <w:p w14:paraId="024BECBF" w14:textId="77777777" w:rsidR="00700D12" w:rsidRPr="003230FF" w:rsidRDefault="00700D12" w:rsidP="00700D12">
      <w:pPr>
        <w:spacing w:line="360" w:lineRule="auto"/>
        <w:rPr>
          <w:rFonts w:ascii="Arial" w:hAnsi="Arial" w:cs="Arial"/>
          <w:sz w:val="24"/>
          <w:szCs w:val="24"/>
        </w:rPr>
      </w:pPr>
    </w:p>
    <w:p w14:paraId="35C5FAC8" w14:textId="77777777" w:rsidR="00700D12" w:rsidRDefault="00700D12" w:rsidP="00700D12">
      <w:pPr>
        <w:spacing w:line="360" w:lineRule="auto"/>
        <w:rPr>
          <w:rFonts w:ascii="Arial" w:hAnsi="Arial" w:cs="Arial"/>
          <w:sz w:val="24"/>
          <w:szCs w:val="24"/>
        </w:rPr>
      </w:pPr>
      <w:r w:rsidRPr="003230FF">
        <w:rPr>
          <w:rFonts w:ascii="Arial" w:hAnsi="Arial" w:cs="Arial"/>
          <w:sz w:val="24"/>
          <w:szCs w:val="24"/>
        </w:rPr>
        <w:t xml:space="preserve">Winchester, N. (2020) </w:t>
      </w:r>
      <w:r w:rsidRPr="0074677C">
        <w:rPr>
          <w:rFonts w:ascii="Arial" w:hAnsi="Arial" w:cs="Arial"/>
          <w:i/>
          <w:iCs/>
          <w:sz w:val="24"/>
          <w:szCs w:val="24"/>
        </w:rPr>
        <w:t>Policing in the UK: Serious and Organised Crime</w:t>
      </w:r>
      <w:r w:rsidRPr="003230FF">
        <w:rPr>
          <w:rFonts w:ascii="Arial" w:hAnsi="Arial" w:cs="Arial"/>
          <w:sz w:val="24"/>
          <w:szCs w:val="24"/>
        </w:rPr>
        <w:t>. House of Lords Library. Available at: https://researchbriefings.files.parliament.uk/documents/LLN-2020-0016/LLN-2020-0016.pdf June 10. [Accessed 2 July 2022].</w:t>
      </w:r>
    </w:p>
    <w:p w14:paraId="0732A89F" w14:textId="77777777" w:rsidR="00700D12" w:rsidRPr="003230FF" w:rsidRDefault="00700D12" w:rsidP="00700D12">
      <w:pPr>
        <w:spacing w:line="360" w:lineRule="auto"/>
        <w:rPr>
          <w:rFonts w:ascii="Arial" w:hAnsi="Arial" w:cs="Arial"/>
          <w:sz w:val="24"/>
          <w:szCs w:val="24"/>
        </w:rPr>
      </w:pPr>
    </w:p>
    <w:p w14:paraId="7456CB26" w14:textId="77777777" w:rsidR="005D0128" w:rsidRPr="00F22ECB" w:rsidRDefault="005D0128">
      <w:pPr>
        <w:rPr>
          <w:rFonts w:ascii="Arial" w:hAnsi="Arial" w:cs="Arial"/>
          <w:sz w:val="24"/>
          <w:szCs w:val="24"/>
        </w:rPr>
      </w:pPr>
    </w:p>
    <w:sectPr w:rsidR="005D0128" w:rsidRPr="00F22ECB" w:rsidSect="005E6085">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276AD" w14:textId="77777777" w:rsidR="005E14C7" w:rsidRDefault="005E14C7" w:rsidP="005E14C7">
      <w:pPr>
        <w:spacing w:after="0" w:line="240" w:lineRule="auto"/>
      </w:pPr>
      <w:r>
        <w:separator/>
      </w:r>
    </w:p>
  </w:endnote>
  <w:endnote w:type="continuationSeparator" w:id="0">
    <w:p w14:paraId="5AC5DAAB" w14:textId="77777777" w:rsidR="005E14C7" w:rsidRDefault="005E14C7" w:rsidP="005E1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598B1" w14:textId="77777777" w:rsidR="00AB35B8" w:rsidRDefault="00F22ECB" w:rsidP="00AB35B8">
    <w:pPr>
      <w:pStyle w:val="Footer"/>
      <w:rPr>
        <w:color w:val="000000"/>
        <w:sz w:val="17"/>
      </w:rPr>
    </w:pPr>
    <w:bookmarkStart w:id="14" w:name="TITUS1FooterEvenPages"/>
    <w:r w:rsidRPr="00AB35B8">
      <w:rPr>
        <w:color w:val="000000"/>
        <w:sz w:val="17"/>
      </w:rPr>
      <w:t> </w:t>
    </w:r>
  </w:p>
  <w:bookmarkEnd w:id="14"/>
  <w:p w14:paraId="7DCFA925" w14:textId="77777777" w:rsidR="00AB35B8" w:rsidRDefault="00700D12" w:rsidP="00AB35B8">
    <w:pPr>
      <w:pStyle w:val="Footer"/>
    </w:pPr>
  </w:p>
  <w:p w14:paraId="2298F165" w14:textId="77777777" w:rsidR="005E6085" w:rsidRDefault="00700D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15233" w14:textId="77777777" w:rsidR="005E6085" w:rsidRDefault="00F22ECB" w:rsidP="00AB35B8">
    <w:pPr>
      <w:pStyle w:val="Footer"/>
      <w:rPr>
        <w:color w:val="000000"/>
        <w:sz w:val="17"/>
      </w:rPr>
    </w:pPr>
    <w:bookmarkStart w:id="15" w:name="TITUS1FooterPrimary"/>
    <w:r>
      <w:rPr>
        <w:color w:val="000000"/>
        <w:sz w:val="17"/>
      </w:rPr>
      <w:t> </w:t>
    </w:r>
  </w:p>
  <w:bookmarkEnd w:id="15"/>
  <w:p w14:paraId="226B62BE" w14:textId="77777777" w:rsidR="005E6085" w:rsidRDefault="00700D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3D277" w14:textId="77777777" w:rsidR="005E6085" w:rsidRDefault="00F22ECB" w:rsidP="00AB35B8">
    <w:pPr>
      <w:pStyle w:val="Footer"/>
      <w:rPr>
        <w:color w:val="000000"/>
        <w:sz w:val="17"/>
      </w:rPr>
    </w:pPr>
    <w:bookmarkStart w:id="17" w:name="TITUS1FooterFirstPage"/>
    <w:r>
      <w:rPr>
        <w:color w:val="000000"/>
        <w:sz w:val="17"/>
      </w:rPr>
      <w:t> </w:t>
    </w:r>
  </w:p>
  <w:bookmarkEnd w:id="17"/>
  <w:p w14:paraId="38DDF2B4" w14:textId="77777777" w:rsidR="005E6085" w:rsidRDefault="00700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E80E8" w14:textId="77777777" w:rsidR="005E14C7" w:rsidRDefault="005E14C7" w:rsidP="005E14C7">
      <w:pPr>
        <w:spacing w:after="0" w:line="240" w:lineRule="auto"/>
      </w:pPr>
      <w:r>
        <w:separator/>
      </w:r>
    </w:p>
  </w:footnote>
  <w:footnote w:type="continuationSeparator" w:id="0">
    <w:p w14:paraId="0F638BAF" w14:textId="77777777" w:rsidR="005E14C7" w:rsidRDefault="005E14C7" w:rsidP="005E14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D113D" w14:textId="77777777" w:rsidR="00AB35B8" w:rsidRDefault="00F22ECB" w:rsidP="00AB35B8">
    <w:pPr>
      <w:pStyle w:val="Header"/>
      <w:rPr>
        <w:color w:val="000000"/>
        <w:sz w:val="17"/>
      </w:rPr>
    </w:pPr>
    <w:bookmarkStart w:id="12" w:name="TITUS1HeaderEvenPages"/>
    <w:r w:rsidRPr="00AB35B8">
      <w:rPr>
        <w:color w:val="000000"/>
        <w:sz w:val="17"/>
      </w:rPr>
      <w:t> </w:t>
    </w:r>
  </w:p>
  <w:bookmarkEnd w:id="12"/>
  <w:p w14:paraId="7B4B0EE6" w14:textId="77777777" w:rsidR="00AB35B8" w:rsidRDefault="00700D12" w:rsidP="00AB35B8">
    <w:pPr>
      <w:pStyle w:val="Header"/>
    </w:pPr>
  </w:p>
  <w:p w14:paraId="0987812C" w14:textId="77777777" w:rsidR="005E6085" w:rsidRDefault="00700D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67670" w14:textId="77777777" w:rsidR="005E6085" w:rsidRDefault="00F22ECB" w:rsidP="00AB35B8">
    <w:pPr>
      <w:pStyle w:val="Header"/>
      <w:rPr>
        <w:color w:val="000000"/>
        <w:sz w:val="17"/>
      </w:rPr>
    </w:pPr>
    <w:bookmarkStart w:id="13" w:name="TITUS1HeaderPrimary"/>
    <w:r>
      <w:rPr>
        <w:color w:val="000000"/>
        <w:sz w:val="17"/>
      </w:rPr>
      <w:t> </w:t>
    </w:r>
  </w:p>
  <w:bookmarkEnd w:id="13"/>
  <w:p w14:paraId="1FAA5838" w14:textId="77777777" w:rsidR="005E6085" w:rsidRDefault="00700D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43E11" w14:textId="77777777" w:rsidR="005E6085" w:rsidRDefault="00F22ECB" w:rsidP="00AB35B8">
    <w:pPr>
      <w:pStyle w:val="Header"/>
      <w:rPr>
        <w:color w:val="000000"/>
        <w:sz w:val="17"/>
      </w:rPr>
    </w:pPr>
    <w:bookmarkStart w:id="16" w:name="TITUS1HeaderFirstPage"/>
    <w:r>
      <w:rPr>
        <w:color w:val="000000"/>
        <w:sz w:val="17"/>
      </w:rPr>
      <w:t> </w:t>
    </w:r>
  </w:p>
  <w:bookmarkEnd w:id="16"/>
  <w:p w14:paraId="577DC6B3" w14:textId="77777777" w:rsidR="005E6085" w:rsidRDefault="00700D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8CC"/>
    <w:rsid w:val="003F7274"/>
    <w:rsid w:val="005D0128"/>
    <w:rsid w:val="005E14C7"/>
    <w:rsid w:val="00700D12"/>
    <w:rsid w:val="00BB18CC"/>
    <w:rsid w:val="00DE183B"/>
    <w:rsid w:val="00F2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5103A4"/>
  <w15:chartTrackingRefBased/>
  <w15:docId w15:val="{5166FAD7-801D-4CD2-98B5-C607A3383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C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2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ECB"/>
  </w:style>
  <w:style w:type="paragraph" w:styleId="Footer">
    <w:name w:val="footer"/>
    <w:basedOn w:val="Normal"/>
    <w:link w:val="FooterChar"/>
    <w:uiPriority w:val="99"/>
    <w:unhideWhenUsed/>
    <w:rsid w:val="00F22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50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6501</Words>
  <Characters>37057</Characters>
  <Application>Microsoft Office Word</Application>
  <DocSecurity>0</DocSecurity>
  <Lines>308</Lines>
  <Paragraphs>86</Paragraphs>
  <ScaleCrop>false</ScaleCrop>
  <Company>South Wales Police</Company>
  <LinksUpToDate>false</LinksUpToDate>
  <CharactersWithSpaces>43472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Hall,Louie swp6962</dc:creator>
  <cp:keywords/>
  <dc:description/>
  <cp:lastModifiedBy>Hall,Louie swp6962</cp:lastModifiedBy>
  <cp:revision>5</cp:revision>
  <dcterms:created xsi:type="dcterms:W3CDTF">2022-07-30T10:19:00Z</dcterms:created>
  <dcterms:modified xsi:type="dcterms:W3CDTF">2022-07-30T19:56:00Z</dcterms:modified>
</cp:coreProperties>
</file>