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E9F630" w14:textId="28F09D75" w:rsidR="001B186E" w:rsidRDefault="53EE7D10" w:rsidP="2B073ABA">
      <w:pPr>
        <w:spacing w:before="240" w:after="240"/>
      </w:pPr>
      <w:r w:rsidRPr="2B073ABA">
        <w:rPr>
          <w:rFonts w:ascii="Aptos" w:eastAsia="Aptos" w:hAnsi="Aptos" w:cs="Aptos"/>
          <w:b/>
          <w:bCs/>
        </w:rPr>
        <w:t>Introduction</w:t>
      </w:r>
    </w:p>
    <w:p w14:paraId="47D33D63" w14:textId="5968A540" w:rsidR="001B186E" w:rsidRDefault="53EE7D10" w:rsidP="2B073ABA">
      <w:pPr>
        <w:spacing w:before="240" w:after="240"/>
      </w:pPr>
      <w:proofErr w:type="spellStart"/>
      <w:r w:rsidRPr="2B073ABA">
        <w:rPr>
          <w:rFonts w:ascii="Aptos" w:eastAsia="Aptos" w:hAnsi="Aptos" w:cs="Aptos"/>
          <w:i/>
          <w:iCs/>
        </w:rPr>
        <w:t>Kidulthood</w:t>
      </w:r>
      <w:proofErr w:type="spellEnd"/>
      <w:r w:rsidRPr="2B073ABA">
        <w:rPr>
          <w:rFonts w:ascii="Aptos" w:eastAsia="Aptos" w:hAnsi="Aptos" w:cs="Aptos"/>
        </w:rPr>
        <w:t xml:space="preserve"> (2006), directed by </w:t>
      </w:r>
      <w:proofErr w:type="spellStart"/>
      <w:r w:rsidRPr="2B073ABA">
        <w:rPr>
          <w:rFonts w:ascii="Aptos" w:eastAsia="Aptos" w:hAnsi="Aptos" w:cs="Aptos"/>
        </w:rPr>
        <w:t>Menhaj</w:t>
      </w:r>
      <w:proofErr w:type="spellEnd"/>
      <w:r w:rsidRPr="2B073ABA">
        <w:rPr>
          <w:rFonts w:ascii="Aptos" w:eastAsia="Aptos" w:hAnsi="Aptos" w:cs="Aptos"/>
        </w:rPr>
        <w:t xml:space="preserve"> </w:t>
      </w:r>
      <w:proofErr w:type="spellStart"/>
      <w:r w:rsidRPr="2B073ABA">
        <w:rPr>
          <w:rFonts w:ascii="Aptos" w:eastAsia="Aptos" w:hAnsi="Aptos" w:cs="Aptos"/>
        </w:rPr>
        <w:t>Huda</w:t>
      </w:r>
      <w:proofErr w:type="spellEnd"/>
      <w:r w:rsidRPr="2B073ABA">
        <w:rPr>
          <w:rFonts w:ascii="Aptos" w:eastAsia="Aptos" w:hAnsi="Aptos" w:cs="Aptos"/>
        </w:rPr>
        <w:t xml:space="preserve"> and written by Noel Clarke, is a gritty British drama that follows a group of teenagers in West London over the course of a single, intense day. The film explores heavy themes such as violence, drug use, bullying, and emotional turmoil. While fictional, the raw and realistic style gives it a documentary-like feel, shedding light on the kinds of struggles that many young people face in inner-city environments.</w:t>
      </w:r>
    </w:p>
    <w:p w14:paraId="3F9830E2" w14:textId="47B6994B" w:rsidR="001B186E" w:rsidRDefault="53EE7D10" w:rsidP="2B073ABA">
      <w:pPr>
        <w:spacing w:before="240" w:after="240"/>
      </w:pPr>
      <w:r w:rsidRPr="2B073ABA">
        <w:rPr>
          <w:rFonts w:ascii="Aptos" w:eastAsia="Aptos" w:hAnsi="Aptos" w:cs="Aptos"/>
        </w:rPr>
        <w:t xml:space="preserve">This report will explore the main challenges portrayed in </w:t>
      </w:r>
      <w:proofErr w:type="spellStart"/>
      <w:r w:rsidRPr="2B073ABA">
        <w:rPr>
          <w:rFonts w:ascii="Aptos" w:eastAsia="Aptos" w:hAnsi="Aptos" w:cs="Aptos"/>
          <w:i/>
          <w:iCs/>
        </w:rPr>
        <w:t>Kidulthood</w:t>
      </w:r>
      <w:proofErr w:type="spellEnd"/>
      <w:r w:rsidRPr="2B073ABA">
        <w:rPr>
          <w:rFonts w:ascii="Aptos" w:eastAsia="Aptos" w:hAnsi="Aptos" w:cs="Aptos"/>
        </w:rPr>
        <w:t xml:space="preserve">, examining how these issues impact not just the young people involved, but also their families and the broader community. It will highlight three key transitions experienced by the characters, connecting these moments to relevant psychological theories, youth </w:t>
      </w:r>
      <w:r w:rsidR="1F5F29A4" w:rsidRPr="2B073ABA">
        <w:rPr>
          <w:rFonts w:ascii="Aptos" w:eastAsia="Aptos" w:hAnsi="Aptos" w:cs="Aptos"/>
        </w:rPr>
        <w:t>policies, and</w:t>
      </w:r>
      <w:r w:rsidRPr="2B073ABA">
        <w:rPr>
          <w:rFonts w:ascii="Aptos" w:eastAsia="Aptos" w:hAnsi="Aptos" w:cs="Aptos"/>
        </w:rPr>
        <w:t xml:space="preserve"> </w:t>
      </w:r>
      <w:r w:rsidR="28FB30F0" w:rsidRPr="2B073ABA">
        <w:rPr>
          <w:rFonts w:ascii="Aptos" w:eastAsia="Aptos" w:hAnsi="Aptos" w:cs="Aptos"/>
        </w:rPr>
        <w:t>interventions</w:t>
      </w:r>
      <w:r w:rsidRPr="2B073ABA">
        <w:rPr>
          <w:rFonts w:ascii="Aptos" w:eastAsia="Aptos" w:hAnsi="Aptos" w:cs="Aptos"/>
        </w:rPr>
        <w:t>. In addition, cognitive traditions will be discussed to better understand how the characters’ thought processes influence their actions and decisions.</w:t>
      </w:r>
    </w:p>
    <w:p w14:paraId="60D20E3C" w14:textId="709ECC0B" w:rsidR="001B186E" w:rsidRDefault="751A8D6A" w:rsidP="2B073ABA">
      <w:pPr>
        <w:spacing w:before="240" w:after="240"/>
      </w:pPr>
      <w:r w:rsidRPr="2B073ABA">
        <w:rPr>
          <w:rFonts w:ascii="Aptos" w:eastAsia="Aptos" w:hAnsi="Aptos" w:cs="Aptos"/>
          <w:b/>
          <w:bCs/>
        </w:rPr>
        <w:t>Issues and Their Impact</w:t>
      </w:r>
      <w:r w:rsidR="60814E2A" w:rsidRPr="2B073ABA">
        <w:rPr>
          <w:rFonts w:ascii="Aptos" w:eastAsia="Aptos" w:hAnsi="Aptos" w:cs="Aptos"/>
          <w:b/>
          <w:bCs/>
        </w:rPr>
        <w:t>-</w:t>
      </w:r>
    </w:p>
    <w:p w14:paraId="73A23E82" w14:textId="02747AE3" w:rsidR="001B186E" w:rsidRDefault="751A8D6A" w:rsidP="2B073ABA">
      <w:pPr>
        <w:spacing w:before="240" w:after="240"/>
      </w:pPr>
      <w:r w:rsidRPr="2B073ABA">
        <w:rPr>
          <w:rFonts w:ascii="Aptos" w:eastAsia="Aptos" w:hAnsi="Aptos" w:cs="Aptos"/>
          <w:b/>
          <w:bCs/>
        </w:rPr>
        <w:t xml:space="preserve"> Violence and Crime</w:t>
      </w:r>
    </w:p>
    <w:p w14:paraId="366FE49A" w14:textId="6386856B" w:rsidR="001B186E" w:rsidRDefault="751A8D6A" w:rsidP="2B073ABA">
      <w:pPr>
        <w:spacing w:before="240" w:after="240"/>
      </w:pPr>
      <w:r w:rsidRPr="2B073ABA">
        <w:rPr>
          <w:rFonts w:ascii="Aptos" w:eastAsia="Aptos" w:hAnsi="Aptos" w:cs="Aptos"/>
        </w:rPr>
        <w:t xml:space="preserve">Violence is one of the most prominent themes in </w:t>
      </w:r>
      <w:proofErr w:type="spellStart"/>
      <w:r w:rsidRPr="2B073ABA">
        <w:rPr>
          <w:rFonts w:ascii="Aptos" w:eastAsia="Aptos" w:hAnsi="Aptos" w:cs="Aptos"/>
          <w:i/>
          <w:iCs/>
        </w:rPr>
        <w:t>Kidulthood</w:t>
      </w:r>
      <w:proofErr w:type="spellEnd"/>
      <w:r w:rsidRPr="2B073ABA">
        <w:rPr>
          <w:rFonts w:ascii="Aptos" w:eastAsia="Aptos" w:hAnsi="Aptos" w:cs="Aptos"/>
        </w:rPr>
        <w:t xml:space="preserve">, introduced right from the opening scenes. The film portrays various forms of aggression, from school bullying to street fights and weapon use. </w:t>
      </w:r>
      <w:proofErr w:type="spellStart"/>
      <w:r w:rsidRPr="2B073ABA">
        <w:rPr>
          <w:rFonts w:ascii="Aptos" w:eastAsia="Aptos" w:hAnsi="Aptos" w:cs="Aptos"/>
        </w:rPr>
        <w:t>Trife</w:t>
      </w:r>
      <w:proofErr w:type="spellEnd"/>
      <w:r w:rsidRPr="2B073ABA">
        <w:rPr>
          <w:rFonts w:ascii="Aptos" w:eastAsia="Aptos" w:hAnsi="Aptos" w:cs="Aptos"/>
        </w:rPr>
        <w:t>, a central character, is caught in a culture where being aggressive is almost a requirement for earning respect. For many of the teens, violence isn’t just an occasional occurrence — it’s a regular part of life, affecting them both physically and emotionally.</w:t>
      </w:r>
    </w:p>
    <w:p w14:paraId="36DD6484" w14:textId="45E4E91F" w:rsidR="001B186E" w:rsidRDefault="751A8D6A" w:rsidP="2B073ABA">
      <w:pPr>
        <w:spacing w:before="240" w:after="240"/>
      </w:pPr>
      <w:r w:rsidRPr="2B073ABA">
        <w:rPr>
          <w:rFonts w:ascii="Aptos" w:eastAsia="Aptos" w:hAnsi="Aptos" w:cs="Aptos"/>
        </w:rPr>
        <w:t>The consequences of this violence go far beyond the individuals directly involved. Families are left struggling, with some parents feeling powerless or disengaged, and others completely absent. There’s also a clear breakdown in trust toward the police, who are shown as either uncaring or ineffective. As a result, a cycle of violence is created, where each act fuels the next, and the community slowly becomes desensitised to the harm it causes.</w:t>
      </w:r>
    </w:p>
    <w:p w14:paraId="540E6628" w14:textId="6C3C0BB1" w:rsidR="001B186E" w:rsidRDefault="52554971" w:rsidP="2B073ABA">
      <w:pPr>
        <w:spacing w:before="240" w:after="240"/>
      </w:pPr>
      <w:r w:rsidRPr="2B073ABA">
        <w:rPr>
          <w:rFonts w:ascii="Aptos" w:eastAsia="Aptos" w:hAnsi="Aptos" w:cs="Aptos"/>
          <w:b/>
          <w:bCs/>
        </w:rPr>
        <w:t>Drug and Alcohol Use</w:t>
      </w:r>
    </w:p>
    <w:p w14:paraId="7950F519" w14:textId="7AD677F2" w:rsidR="001B186E" w:rsidRDefault="52554971" w:rsidP="2B073ABA">
      <w:pPr>
        <w:spacing w:before="240" w:after="240"/>
      </w:pPr>
      <w:r w:rsidRPr="2B073ABA">
        <w:rPr>
          <w:rFonts w:ascii="Aptos" w:eastAsia="Aptos" w:hAnsi="Aptos" w:cs="Aptos"/>
        </w:rPr>
        <w:t xml:space="preserve">Substance use is another major issue highlighted in </w:t>
      </w:r>
      <w:proofErr w:type="spellStart"/>
      <w:r w:rsidRPr="2B073ABA">
        <w:rPr>
          <w:rFonts w:ascii="Aptos" w:eastAsia="Aptos" w:hAnsi="Aptos" w:cs="Aptos"/>
          <w:i/>
          <w:iCs/>
        </w:rPr>
        <w:t>Kidulthood</w:t>
      </w:r>
      <w:proofErr w:type="spellEnd"/>
      <w:r w:rsidRPr="2B073ABA">
        <w:rPr>
          <w:rFonts w:ascii="Aptos" w:eastAsia="Aptos" w:hAnsi="Aptos" w:cs="Aptos"/>
        </w:rPr>
        <w:t>. Throughout the film, we see teenagers drinking excessively, smoking cannabis, and experimenting with harder drugs like ecstasy, especially at parties. These actions go beyond simple recreation — for many of the characters, drugs and alcohol serve as a coping mechanism to deal with emotional pain or unstable home lives. For instance, Becky turns to drugs as a way to numb the feelings of being unloved and overlooked.</w:t>
      </w:r>
    </w:p>
    <w:p w14:paraId="1641C0A4" w14:textId="108CB0C1" w:rsidR="001B186E" w:rsidRDefault="52554971" w:rsidP="2B073ABA">
      <w:pPr>
        <w:spacing w:before="240" w:after="240"/>
      </w:pPr>
      <w:r w:rsidRPr="2B073ABA">
        <w:rPr>
          <w:rFonts w:ascii="Aptos" w:eastAsia="Aptos" w:hAnsi="Aptos" w:cs="Aptos"/>
        </w:rPr>
        <w:lastRenderedPageBreak/>
        <w:t>Using substances in this way can be incredibly harmful, often leading to reckless decisions such as unprotected sex, aggression, and breakdowns in relationships. It also takes a toll on the characters’ mental wellbeing. Many parents in the film seem either unaware of what’s going on or unable to manage it, and the wider community tends to label these teens as delinquents, rather than recognising their behaviour as a sign of deeper issues that need support.</w:t>
      </w:r>
    </w:p>
    <w:p w14:paraId="06258FCE" w14:textId="16E1A912" w:rsidR="001B186E" w:rsidRDefault="0C3BEE8C" w:rsidP="2B073ABA">
      <w:pPr>
        <w:spacing w:before="240" w:after="240"/>
      </w:pPr>
      <w:r w:rsidRPr="2B073ABA">
        <w:rPr>
          <w:rFonts w:ascii="Aptos" w:eastAsia="Aptos" w:hAnsi="Aptos" w:cs="Aptos"/>
          <w:b/>
          <w:bCs/>
        </w:rPr>
        <w:t>Family Problems</w:t>
      </w:r>
    </w:p>
    <w:p w14:paraId="0A11DB28" w14:textId="5A221E36" w:rsidR="001B186E" w:rsidRDefault="0C3BEE8C" w:rsidP="2B073ABA">
      <w:pPr>
        <w:spacing w:before="240" w:after="240"/>
      </w:pPr>
      <w:r w:rsidRPr="2B073ABA">
        <w:rPr>
          <w:rFonts w:ascii="Aptos" w:eastAsia="Aptos" w:hAnsi="Aptos" w:cs="Aptos"/>
        </w:rPr>
        <w:t xml:space="preserve">A lack of stable family support is a recurring theme in </w:t>
      </w:r>
      <w:proofErr w:type="spellStart"/>
      <w:r w:rsidRPr="2B073ABA">
        <w:rPr>
          <w:rFonts w:ascii="Aptos" w:eastAsia="Aptos" w:hAnsi="Aptos" w:cs="Aptos"/>
          <w:i/>
          <w:iCs/>
        </w:rPr>
        <w:t>Kidulthood</w:t>
      </w:r>
      <w:proofErr w:type="spellEnd"/>
      <w:r w:rsidRPr="2B073ABA">
        <w:rPr>
          <w:rFonts w:ascii="Aptos" w:eastAsia="Aptos" w:hAnsi="Aptos" w:cs="Aptos"/>
        </w:rPr>
        <w:t xml:space="preserve">. Many of the characters come from environments where emotional connection and guidance are missing. </w:t>
      </w:r>
      <w:proofErr w:type="spellStart"/>
      <w:r w:rsidRPr="2B073ABA">
        <w:rPr>
          <w:rFonts w:ascii="Aptos" w:eastAsia="Aptos" w:hAnsi="Aptos" w:cs="Aptos"/>
        </w:rPr>
        <w:t>Trife</w:t>
      </w:r>
      <w:proofErr w:type="spellEnd"/>
      <w:r w:rsidRPr="2B073ABA">
        <w:rPr>
          <w:rFonts w:ascii="Aptos" w:eastAsia="Aptos" w:hAnsi="Aptos" w:cs="Aptos"/>
        </w:rPr>
        <w:t>, for example, lives under the influence of his criminal uncle; Sam exhibits violent behaviour, potentially rooted in neglect; and Alisa is trying to cope with the emotional trauma of her boyfriend’s suicide. For these teens, home isn’t a safe or supportive place, which only adds to their struggles.</w:t>
      </w:r>
    </w:p>
    <w:p w14:paraId="08D8374F" w14:textId="784795CC" w:rsidR="001B186E" w:rsidRDefault="0C3BEE8C" w:rsidP="2B073ABA">
      <w:pPr>
        <w:spacing w:before="240" w:after="240"/>
      </w:pPr>
      <w:r w:rsidRPr="2B073ABA">
        <w:rPr>
          <w:rFonts w:ascii="Aptos" w:eastAsia="Aptos" w:hAnsi="Aptos" w:cs="Aptos"/>
        </w:rPr>
        <w:t>When young people grow up in unstable or unsupportive households, they often experience feelings of anger, isolation, and confusion. Without consistent love, structure, or boundaries, they may seek validation and belonging elsewhere — sometimes finding it in harmful relationships or gang culture. This doesn’t just affect the individual; it contributes to wider social problems. Schools face more behavioural challenges, youth crime rises, and the cycle of dysfunction continues within the community.</w:t>
      </w:r>
    </w:p>
    <w:p w14:paraId="7D9EF693" w14:textId="6B6EC594" w:rsidR="001B186E" w:rsidRDefault="001B186E" w:rsidP="2B073ABA">
      <w:pPr>
        <w:spacing w:before="240" w:after="240"/>
        <w:rPr>
          <w:rFonts w:ascii="Aptos" w:eastAsia="Aptos" w:hAnsi="Aptos" w:cs="Aptos"/>
        </w:rPr>
      </w:pPr>
    </w:p>
    <w:p w14:paraId="49F59069" w14:textId="51EE50DA" w:rsidR="001B186E" w:rsidRDefault="63CA0C6E" w:rsidP="2B073ABA">
      <w:pPr>
        <w:spacing w:before="240" w:after="240"/>
      </w:pPr>
      <w:r w:rsidRPr="2B073ABA">
        <w:rPr>
          <w:rFonts w:ascii="Aptos" w:eastAsia="Aptos" w:hAnsi="Aptos" w:cs="Aptos"/>
          <w:b/>
          <w:bCs/>
        </w:rPr>
        <w:t>Peer Pressure and Identity</w:t>
      </w:r>
    </w:p>
    <w:p w14:paraId="02C5875E" w14:textId="67EC9EA3" w:rsidR="001B186E" w:rsidRDefault="63CA0C6E" w:rsidP="2B073ABA">
      <w:pPr>
        <w:spacing w:before="240" w:after="240"/>
      </w:pPr>
      <w:r w:rsidRPr="2B073ABA">
        <w:rPr>
          <w:rFonts w:ascii="Aptos" w:eastAsia="Aptos" w:hAnsi="Aptos" w:cs="Aptos"/>
        </w:rPr>
        <w:t xml:space="preserve">In </w:t>
      </w:r>
      <w:proofErr w:type="spellStart"/>
      <w:r w:rsidRPr="2B073ABA">
        <w:rPr>
          <w:rFonts w:ascii="Aptos" w:eastAsia="Aptos" w:hAnsi="Aptos" w:cs="Aptos"/>
          <w:i/>
          <w:iCs/>
        </w:rPr>
        <w:t>Kidulthood</w:t>
      </w:r>
      <w:proofErr w:type="spellEnd"/>
      <w:r w:rsidRPr="2B073ABA">
        <w:rPr>
          <w:rFonts w:ascii="Aptos" w:eastAsia="Aptos" w:hAnsi="Aptos" w:cs="Aptos"/>
        </w:rPr>
        <w:t>, the characters are under constant pressure to fit in and live up to certain expectations. There’s a clear drive to appear tough, be sexually experienced, wear fashionable clothes, and maintain a particular image. Much of this behaviour is rooted in fear — fear of rejection, being bullied, or being labelled as weak or different.</w:t>
      </w:r>
    </w:p>
    <w:p w14:paraId="4B40AE83" w14:textId="08683417" w:rsidR="001B186E" w:rsidRDefault="63CA0C6E" w:rsidP="2B073ABA">
      <w:pPr>
        <w:spacing w:before="240" w:after="240"/>
      </w:pPr>
      <w:r w:rsidRPr="2B073ABA">
        <w:rPr>
          <w:rFonts w:ascii="Aptos" w:eastAsia="Aptos" w:hAnsi="Aptos" w:cs="Aptos"/>
        </w:rPr>
        <w:t>This kind of peer pressure heavily influences how these young people make decisions. Instead of exploring their own identities and values, they often prioritise fitting in or simply surviving their social environment. This can seriously affect their mental wellbeing and make it harder for them to build a strong, authentic sense of self, ultimately shaping the paths they take in life.</w:t>
      </w:r>
    </w:p>
    <w:p w14:paraId="6BC429AA" w14:textId="62E557B3" w:rsidR="001B186E" w:rsidRDefault="1B7E3F64" w:rsidP="2B073ABA">
      <w:pPr>
        <w:spacing w:before="240" w:after="240"/>
      </w:pPr>
      <w:r w:rsidRPr="2B073ABA">
        <w:rPr>
          <w:rFonts w:ascii="Aptos" w:eastAsia="Aptos" w:hAnsi="Aptos" w:cs="Aptos"/>
          <w:b/>
          <w:bCs/>
        </w:rPr>
        <w:t>2. Three Key Transitions in the Film-</w:t>
      </w:r>
    </w:p>
    <w:p w14:paraId="16924FDF" w14:textId="7AD4074F" w:rsidR="001B186E" w:rsidRDefault="1B7E3F64" w:rsidP="2B073ABA">
      <w:pPr>
        <w:spacing w:before="240" w:after="240"/>
      </w:pPr>
      <w:r w:rsidRPr="2B073ABA">
        <w:rPr>
          <w:rFonts w:ascii="Aptos" w:eastAsia="Aptos" w:hAnsi="Aptos" w:cs="Aptos"/>
          <w:b/>
          <w:bCs/>
        </w:rPr>
        <w:t>Childhood to Adolescence</w:t>
      </w:r>
    </w:p>
    <w:p w14:paraId="16A5A8F6" w14:textId="3A5C5703" w:rsidR="001B186E" w:rsidRDefault="1B7E3F64" w:rsidP="2B073ABA">
      <w:pPr>
        <w:spacing w:before="240" w:after="240"/>
      </w:pPr>
      <w:r w:rsidRPr="2B073ABA">
        <w:rPr>
          <w:rFonts w:ascii="Aptos" w:eastAsia="Aptos" w:hAnsi="Aptos" w:cs="Aptos"/>
        </w:rPr>
        <w:lastRenderedPageBreak/>
        <w:t xml:space="preserve">A significant transition explored in </w:t>
      </w:r>
      <w:proofErr w:type="spellStart"/>
      <w:r w:rsidRPr="2B073ABA">
        <w:rPr>
          <w:rFonts w:ascii="Aptos" w:eastAsia="Aptos" w:hAnsi="Aptos" w:cs="Aptos"/>
          <w:i/>
          <w:iCs/>
        </w:rPr>
        <w:t>Kidulthood</w:t>
      </w:r>
      <w:proofErr w:type="spellEnd"/>
      <w:r w:rsidRPr="2B073ABA">
        <w:rPr>
          <w:rFonts w:ascii="Aptos" w:eastAsia="Aptos" w:hAnsi="Aptos" w:cs="Aptos"/>
        </w:rPr>
        <w:t xml:space="preserve"> is the shift from childhood to adolescence. While the characters are in their mid-teens, they’re already confronting issues that are typically associated with adulthood, such as sex, drugs, violence, and crime. They’ve missed the crucial developmental phase where young people are meant to explore their identity in a secure and nurturing environment.</w:t>
      </w:r>
    </w:p>
    <w:p w14:paraId="761B3BB7" w14:textId="3869E595" w:rsidR="001B186E" w:rsidRDefault="1B7E3F64" w:rsidP="2B073ABA">
      <w:pPr>
        <w:spacing w:before="240" w:after="240"/>
      </w:pPr>
      <w:r w:rsidRPr="2B073ABA">
        <w:rPr>
          <w:rFonts w:ascii="Aptos" w:eastAsia="Aptos" w:hAnsi="Aptos" w:cs="Aptos"/>
        </w:rPr>
        <w:t xml:space="preserve">This premature transition creates confusion and emotional strain. Characters like </w:t>
      </w:r>
      <w:proofErr w:type="spellStart"/>
      <w:r w:rsidRPr="2B073ABA">
        <w:rPr>
          <w:rFonts w:ascii="Aptos" w:eastAsia="Aptos" w:hAnsi="Aptos" w:cs="Aptos"/>
        </w:rPr>
        <w:t>Trife</w:t>
      </w:r>
      <w:proofErr w:type="spellEnd"/>
      <w:r w:rsidRPr="2B073ABA">
        <w:rPr>
          <w:rFonts w:ascii="Aptos" w:eastAsia="Aptos" w:hAnsi="Aptos" w:cs="Aptos"/>
        </w:rPr>
        <w:t xml:space="preserve"> and Alisa may still be emotionally young in many ways, yet they’re pressured to act as if they’ve already reached adulthood. Without the proper coping mechanisms or support, they struggle to handle the challenges they face, leading to poor choices and emotional breakdowns.</w:t>
      </w:r>
    </w:p>
    <w:p w14:paraId="489FE081" w14:textId="68A52861" w:rsidR="001B186E" w:rsidRDefault="2A2F90F5" w:rsidP="2B073ABA">
      <w:pPr>
        <w:spacing w:before="240" w:after="240"/>
      </w:pPr>
      <w:r w:rsidRPr="2B073ABA">
        <w:rPr>
          <w:rFonts w:ascii="Aptos" w:eastAsia="Aptos" w:hAnsi="Aptos" w:cs="Aptos"/>
          <w:b/>
          <w:bCs/>
        </w:rPr>
        <w:t>Transition in Family Roles</w:t>
      </w:r>
    </w:p>
    <w:p w14:paraId="29E10A23" w14:textId="3BEFAD7C" w:rsidR="001B186E" w:rsidRDefault="2A2F90F5" w:rsidP="2B073ABA">
      <w:pPr>
        <w:spacing w:before="240" w:after="240"/>
      </w:pPr>
      <w:r w:rsidRPr="2B073ABA">
        <w:rPr>
          <w:rFonts w:ascii="Aptos" w:eastAsia="Aptos" w:hAnsi="Aptos" w:cs="Aptos"/>
        </w:rPr>
        <w:t xml:space="preserve">Another significant change in </w:t>
      </w:r>
      <w:proofErr w:type="spellStart"/>
      <w:r w:rsidRPr="2B073ABA">
        <w:rPr>
          <w:rFonts w:ascii="Aptos" w:eastAsia="Aptos" w:hAnsi="Aptos" w:cs="Aptos"/>
          <w:i/>
          <w:iCs/>
        </w:rPr>
        <w:t>Kidulthood</w:t>
      </w:r>
      <w:proofErr w:type="spellEnd"/>
      <w:r w:rsidRPr="2B073ABA">
        <w:rPr>
          <w:rFonts w:ascii="Aptos" w:eastAsia="Aptos" w:hAnsi="Aptos" w:cs="Aptos"/>
        </w:rPr>
        <w:t xml:space="preserve"> is how the characters’ relationships with their families evolve. For some, like </w:t>
      </w:r>
      <w:proofErr w:type="spellStart"/>
      <w:r w:rsidRPr="2B073ABA">
        <w:rPr>
          <w:rFonts w:ascii="Aptos" w:eastAsia="Aptos" w:hAnsi="Aptos" w:cs="Aptos"/>
        </w:rPr>
        <w:t>Trife</w:t>
      </w:r>
      <w:proofErr w:type="spellEnd"/>
      <w:r w:rsidRPr="2B073ABA">
        <w:rPr>
          <w:rFonts w:ascii="Aptos" w:eastAsia="Aptos" w:hAnsi="Aptos" w:cs="Aptos"/>
        </w:rPr>
        <w:t>, the lack of guidance from the adults around them forces them to take on adult responsibilities too soon. Others, like Becky, react by rebelling, feeling abandoned or misunderstood by their families. Alisa, on the other hand, seems to carry a heavy emotional burden by herself.</w:t>
      </w:r>
    </w:p>
    <w:p w14:paraId="21D3AE48" w14:textId="26C94446" w:rsidR="001B186E" w:rsidRDefault="2A2F90F5" w:rsidP="2B073ABA">
      <w:pPr>
        <w:spacing w:before="240" w:after="240"/>
      </w:pPr>
      <w:r w:rsidRPr="2B073ABA">
        <w:rPr>
          <w:rFonts w:ascii="Aptos" w:eastAsia="Aptos" w:hAnsi="Aptos" w:cs="Aptos"/>
        </w:rPr>
        <w:t>These shifts in family roles make it difficult for the characters to trust or confide in others. Rather than feeling supported or cared for, they often feel judged or neglected. As a result, they seek comfort and validation in peer groups or risky environments, trying to fill the emotional void left by their families.</w:t>
      </w:r>
    </w:p>
    <w:p w14:paraId="6E30B75A" w14:textId="0928715B" w:rsidR="001B186E" w:rsidRDefault="08980B9F" w:rsidP="2B073ABA">
      <w:pPr>
        <w:spacing w:before="240" w:after="240"/>
      </w:pPr>
      <w:r w:rsidRPr="2B073ABA">
        <w:rPr>
          <w:rFonts w:ascii="Aptos" w:eastAsia="Aptos" w:hAnsi="Aptos" w:cs="Aptos"/>
          <w:b/>
          <w:bCs/>
        </w:rPr>
        <w:t>Transition Toward Adulthood and Consequences</w:t>
      </w:r>
    </w:p>
    <w:p w14:paraId="343718E9" w14:textId="5E1D1A9E" w:rsidR="001B186E" w:rsidRDefault="08980B9F" w:rsidP="2B073ABA">
      <w:pPr>
        <w:spacing w:before="240" w:after="240"/>
      </w:pPr>
      <w:r w:rsidRPr="2B073ABA">
        <w:rPr>
          <w:rFonts w:ascii="Aptos" w:eastAsia="Aptos" w:hAnsi="Aptos" w:cs="Aptos"/>
        </w:rPr>
        <w:t xml:space="preserve">The third key transition in </w:t>
      </w:r>
      <w:proofErr w:type="spellStart"/>
      <w:r w:rsidRPr="2B073ABA">
        <w:rPr>
          <w:rFonts w:ascii="Aptos" w:eastAsia="Aptos" w:hAnsi="Aptos" w:cs="Aptos"/>
          <w:i/>
          <w:iCs/>
        </w:rPr>
        <w:t>Kidulthood</w:t>
      </w:r>
      <w:proofErr w:type="spellEnd"/>
      <w:r w:rsidRPr="2B073ABA">
        <w:rPr>
          <w:rFonts w:ascii="Aptos" w:eastAsia="Aptos" w:hAnsi="Aptos" w:cs="Aptos"/>
        </w:rPr>
        <w:t xml:space="preserve"> is the shift from adolescence into early adulthood, or at least the early stages of it. By the end of the film, characters like </w:t>
      </w:r>
      <w:proofErr w:type="spellStart"/>
      <w:r w:rsidRPr="2B073ABA">
        <w:rPr>
          <w:rFonts w:ascii="Aptos" w:eastAsia="Aptos" w:hAnsi="Aptos" w:cs="Aptos"/>
        </w:rPr>
        <w:t>Trife</w:t>
      </w:r>
      <w:proofErr w:type="spellEnd"/>
      <w:r w:rsidRPr="2B073ABA">
        <w:rPr>
          <w:rFonts w:ascii="Aptos" w:eastAsia="Aptos" w:hAnsi="Aptos" w:cs="Aptos"/>
        </w:rPr>
        <w:t xml:space="preserve"> and Sam are confronted with choices that have profound and life-altering consequences. </w:t>
      </w:r>
      <w:proofErr w:type="spellStart"/>
      <w:r w:rsidRPr="2B073ABA">
        <w:rPr>
          <w:rFonts w:ascii="Aptos" w:eastAsia="Aptos" w:hAnsi="Aptos" w:cs="Aptos"/>
        </w:rPr>
        <w:t>Trife</w:t>
      </w:r>
      <w:proofErr w:type="spellEnd"/>
      <w:r w:rsidRPr="2B073ABA">
        <w:rPr>
          <w:rFonts w:ascii="Aptos" w:eastAsia="Aptos" w:hAnsi="Aptos" w:cs="Aptos"/>
        </w:rPr>
        <w:t>, for example, wants to escape the violent and criminal lifestyle that’s defined much of his adolescence, but finds it incredibly difficult to break free from the patterns and pressures that have shaped his life. Sam, on the other hand, has a moment of reflection, but by the time he recognises the need to change, it may already be too late.</w:t>
      </w:r>
    </w:p>
    <w:p w14:paraId="303E0625" w14:textId="1D9CAF78" w:rsidR="001B186E" w:rsidRDefault="08980B9F" w:rsidP="2B073ABA">
      <w:pPr>
        <w:spacing w:before="240" w:after="240"/>
      </w:pPr>
      <w:r w:rsidRPr="2B073ABA">
        <w:rPr>
          <w:rFonts w:ascii="Aptos" w:eastAsia="Aptos" w:hAnsi="Aptos" w:cs="Aptos"/>
        </w:rPr>
        <w:t xml:space="preserve">This transition is particularly significant because it highlights the complexity of moving from youth into adulthood when you’ve been trapped in a cycle of hardship. For many young people like </w:t>
      </w:r>
      <w:proofErr w:type="spellStart"/>
      <w:r w:rsidRPr="2B073ABA">
        <w:rPr>
          <w:rFonts w:ascii="Aptos" w:eastAsia="Aptos" w:hAnsi="Aptos" w:cs="Aptos"/>
        </w:rPr>
        <w:t>Trife</w:t>
      </w:r>
      <w:proofErr w:type="spellEnd"/>
      <w:r w:rsidRPr="2B073ABA">
        <w:rPr>
          <w:rFonts w:ascii="Aptos" w:eastAsia="Aptos" w:hAnsi="Aptos" w:cs="Aptos"/>
        </w:rPr>
        <w:t xml:space="preserve"> and Sam, this change is not as simple as just making a decision to do better. The barriers they face — social, emotional, and economic — make it challenging to escape their circumstances. The film reveals how, without the right kind of support systems in place, young people can feel trapped, unsure of how to make the necessary changes, or even if it’s possible at all.</w:t>
      </w:r>
    </w:p>
    <w:p w14:paraId="133E6ECB" w14:textId="728A7710" w:rsidR="001B186E" w:rsidRDefault="08980B9F" w:rsidP="2B073ABA">
      <w:pPr>
        <w:spacing w:before="240" w:after="240"/>
      </w:pPr>
      <w:r w:rsidRPr="2B073ABA">
        <w:rPr>
          <w:rFonts w:ascii="Aptos" w:eastAsia="Aptos" w:hAnsi="Aptos" w:cs="Aptos"/>
        </w:rPr>
        <w:lastRenderedPageBreak/>
        <w:t xml:space="preserve">Moreover, </w:t>
      </w:r>
      <w:proofErr w:type="spellStart"/>
      <w:r w:rsidRPr="2B073ABA">
        <w:rPr>
          <w:rFonts w:ascii="Aptos" w:eastAsia="Aptos" w:hAnsi="Aptos" w:cs="Aptos"/>
          <w:i/>
          <w:iCs/>
        </w:rPr>
        <w:t>Kidulthood</w:t>
      </w:r>
      <w:proofErr w:type="spellEnd"/>
      <w:r w:rsidRPr="2B073ABA">
        <w:rPr>
          <w:rFonts w:ascii="Aptos" w:eastAsia="Aptos" w:hAnsi="Aptos" w:cs="Aptos"/>
        </w:rPr>
        <w:t xml:space="preserve"> explores how society places expectations on these teens to behave like adults while offering them very little in terms of adult-level resources, care, or guidance. In doing so, it sets them up for failure by leaving them without the tools they need to succeed in the adult world. This harsh reality underscores the difficulty of navigating the transition to adulthood when the foundational support required for such a shift is absent.</w:t>
      </w:r>
    </w:p>
    <w:p w14:paraId="143AEDEF" w14:textId="49E6A630" w:rsidR="001B186E" w:rsidRDefault="5918F0C9" w:rsidP="2B073ABA">
      <w:pPr>
        <w:spacing w:beforeAutospacing="1" w:afterAutospacing="1" w:line="240" w:lineRule="auto"/>
        <w:rPr>
          <w:rFonts w:ascii="Arial Nova" w:eastAsia="Arial Nova" w:hAnsi="Arial Nova" w:cs="Arial Nova"/>
          <w:color w:val="000000" w:themeColor="text1"/>
        </w:rPr>
      </w:pPr>
      <w:r w:rsidRPr="2B073ABA">
        <w:rPr>
          <w:rFonts w:ascii="Arial Nova" w:eastAsia="Arial Nova" w:hAnsi="Arial Nova" w:cs="Arial Nova"/>
          <w:b/>
          <w:bCs/>
          <w:color w:val="000000" w:themeColor="text1"/>
        </w:rPr>
        <w:t>3. Theory, Policy, and Interventions</w:t>
      </w:r>
      <w:r w:rsidR="2319FBFD" w:rsidRPr="3B9437D5">
        <w:rPr>
          <w:rFonts w:ascii="Arial Nova" w:eastAsia="Arial Nova" w:hAnsi="Arial Nova" w:cs="Arial Nova"/>
          <w:b/>
          <w:bCs/>
          <w:color w:val="000000" w:themeColor="text1"/>
        </w:rPr>
        <w:t>,</w:t>
      </w:r>
      <w:r w:rsidRPr="2B073ABA">
        <w:rPr>
          <w:rFonts w:ascii="Arial Nova" w:eastAsia="Arial Nova" w:hAnsi="Arial Nova" w:cs="Arial Nova"/>
          <w:b/>
          <w:bCs/>
          <w:color w:val="000000" w:themeColor="text1"/>
        </w:rPr>
        <w:t>Psychological and Cognitive Theories</w:t>
      </w:r>
    </w:p>
    <w:p w14:paraId="61A0002C" w14:textId="7190BD07" w:rsidR="00D9245E" w:rsidRDefault="00D9245E" w:rsidP="3B9437D5">
      <w:pPr>
        <w:spacing w:beforeAutospacing="1" w:afterAutospacing="1" w:line="240" w:lineRule="auto"/>
        <w:rPr>
          <w:rFonts w:ascii="Arial Nova" w:eastAsia="Arial Nova" w:hAnsi="Arial Nova" w:cs="Arial Nova"/>
          <w:b/>
          <w:bCs/>
          <w:color w:val="000000" w:themeColor="text1"/>
        </w:rPr>
      </w:pPr>
    </w:p>
    <w:p w14:paraId="48B55BA5" w14:textId="67B2A624" w:rsidR="001B186E" w:rsidRDefault="5918F0C9" w:rsidP="2B073ABA">
      <w:pPr>
        <w:spacing w:beforeAutospacing="1" w:afterAutospacing="1" w:line="240" w:lineRule="auto"/>
        <w:rPr>
          <w:rFonts w:ascii="Arial Nova" w:eastAsia="Arial Nova" w:hAnsi="Arial Nova" w:cs="Arial Nova"/>
          <w:color w:val="000000" w:themeColor="text1"/>
        </w:rPr>
      </w:pPr>
      <w:proofErr w:type="spellStart"/>
      <w:r w:rsidRPr="2B073ABA">
        <w:rPr>
          <w:rFonts w:ascii="Arial Nova" w:eastAsia="Arial Nova" w:hAnsi="Arial Nova" w:cs="Arial Nova"/>
          <w:b/>
          <w:bCs/>
          <w:color w:val="000000" w:themeColor="text1"/>
        </w:rPr>
        <w:t>Erikson’s</w:t>
      </w:r>
      <w:proofErr w:type="spellEnd"/>
      <w:r w:rsidRPr="2B073ABA">
        <w:rPr>
          <w:rFonts w:ascii="Arial Nova" w:eastAsia="Arial Nova" w:hAnsi="Arial Nova" w:cs="Arial Nova"/>
          <w:b/>
          <w:bCs/>
          <w:color w:val="000000" w:themeColor="text1"/>
        </w:rPr>
        <w:t xml:space="preserve"> Psychosocial Theory</w:t>
      </w:r>
    </w:p>
    <w:p w14:paraId="0F0833E6" w14:textId="08BB3A12" w:rsidR="001B186E" w:rsidRDefault="5918F0C9" w:rsidP="2B073ABA">
      <w:pPr>
        <w:spacing w:beforeAutospacing="1" w:afterAutospacing="1" w:line="240" w:lineRule="auto"/>
        <w:rPr>
          <w:rFonts w:ascii="Arial Nova" w:eastAsia="Arial Nova" w:hAnsi="Arial Nova" w:cs="Arial Nova"/>
          <w:color w:val="000000" w:themeColor="text1"/>
        </w:rPr>
      </w:pPr>
      <w:r w:rsidRPr="2B073ABA">
        <w:rPr>
          <w:rFonts w:ascii="Arial Nova" w:eastAsia="Arial Nova" w:hAnsi="Arial Nova" w:cs="Arial Nova"/>
          <w:color w:val="000000" w:themeColor="text1"/>
        </w:rPr>
        <w:t xml:space="preserve">Erik </w:t>
      </w:r>
      <w:proofErr w:type="spellStart"/>
      <w:r w:rsidRPr="2B073ABA">
        <w:rPr>
          <w:rFonts w:ascii="Arial Nova" w:eastAsia="Arial Nova" w:hAnsi="Arial Nova" w:cs="Arial Nova"/>
          <w:color w:val="000000" w:themeColor="text1"/>
        </w:rPr>
        <w:t>Erikson’s</w:t>
      </w:r>
      <w:proofErr w:type="spellEnd"/>
      <w:r w:rsidRPr="2B073ABA">
        <w:rPr>
          <w:rFonts w:ascii="Arial Nova" w:eastAsia="Arial Nova" w:hAnsi="Arial Nova" w:cs="Arial Nova"/>
          <w:color w:val="000000" w:themeColor="text1"/>
        </w:rPr>
        <w:t xml:space="preserve"> theory of psychosocial development is useful here, especially the “Identity vs. Role Confusion” stage. According to </w:t>
      </w:r>
      <w:proofErr w:type="spellStart"/>
      <w:r w:rsidRPr="2B073ABA">
        <w:rPr>
          <w:rFonts w:ascii="Arial Nova" w:eastAsia="Arial Nova" w:hAnsi="Arial Nova" w:cs="Arial Nova"/>
          <w:color w:val="000000" w:themeColor="text1"/>
        </w:rPr>
        <w:t>Erikson</w:t>
      </w:r>
      <w:proofErr w:type="spellEnd"/>
      <w:r w:rsidRPr="2B073ABA">
        <w:rPr>
          <w:rFonts w:ascii="Arial Nova" w:eastAsia="Arial Nova" w:hAnsi="Arial Nova" w:cs="Arial Nova"/>
          <w:color w:val="000000" w:themeColor="text1"/>
        </w:rPr>
        <w:t xml:space="preserve"> (1968), teenagers are supposed to explore their identity and figure out who they are. But in </w:t>
      </w:r>
      <w:proofErr w:type="spellStart"/>
      <w:r w:rsidRPr="2B073ABA">
        <w:rPr>
          <w:rFonts w:ascii="Arial Nova" w:eastAsia="Arial Nova" w:hAnsi="Arial Nova" w:cs="Arial Nova"/>
          <w:i/>
          <w:iCs/>
          <w:color w:val="000000" w:themeColor="text1"/>
        </w:rPr>
        <w:t>Kidulthood</w:t>
      </w:r>
      <w:proofErr w:type="spellEnd"/>
      <w:r w:rsidRPr="2B073ABA">
        <w:rPr>
          <w:rFonts w:ascii="Arial Nova" w:eastAsia="Arial Nova" w:hAnsi="Arial Nova" w:cs="Arial Nova"/>
          <w:color w:val="000000" w:themeColor="text1"/>
        </w:rPr>
        <w:t>, the teens don’t really get that chance. They’re thrown into roles based on survival, peer pressure, or trauma.</w:t>
      </w:r>
    </w:p>
    <w:p w14:paraId="474C27C1" w14:textId="4EC67765" w:rsidR="001B186E" w:rsidRDefault="5918F0C9" w:rsidP="2B073ABA">
      <w:pPr>
        <w:spacing w:beforeAutospacing="1" w:afterAutospacing="1" w:line="240" w:lineRule="auto"/>
        <w:rPr>
          <w:rFonts w:ascii="Arial Nova" w:eastAsia="Arial Nova" w:hAnsi="Arial Nova" w:cs="Arial Nova"/>
          <w:color w:val="000000" w:themeColor="text1"/>
        </w:rPr>
      </w:pPr>
      <w:r w:rsidRPr="2B073ABA">
        <w:rPr>
          <w:rFonts w:ascii="Arial Nova" w:eastAsia="Arial Nova" w:hAnsi="Arial Nova" w:cs="Arial Nova"/>
          <w:color w:val="000000" w:themeColor="text1"/>
        </w:rPr>
        <w:t xml:space="preserve">Because of this, many of them end up confused about who they are and what they want. </w:t>
      </w:r>
      <w:proofErr w:type="spellStart"/>
      <w:r w:rsidRPr="2B073ABA">
        <w:rPr>
          <w:rFonts w:ascii="Arial Nova" w:eastAsia="Arial Nova" w:hAnsi="Arial Nova" w:cs="Arial Nova"/>
          <w:color w:val="000000" w:themeColor="text1"/>
        </w:rPr>
        <w:t>Trife</w:t>
      </w:r>
      <w:proofErr w:type="spellEnd"/>
      <w:r w:rsidRPr="2B073ABA">
        <w:rPr>
          <w:rFonts w:ascii="Arial Nova" w:eastAsia="Arial Nova" w:hAnsi="Arial Nova" w:cs="Arial Nova"/>
          <w:color w:val="000000" w:themeColor="text1"/>
        </w:rPr>
        <w:t xml:space="preserve">, for example, is torn between living a peaceful life with Alisa and going down a violent path encouraged by his uncle. </w:t>
      </w:r>
      <w:proofErr w:type="spellStart"/>
      <w:r w:rsidRPr="2B073ABA">
        <w:rPr>
          <w:rFonts w:ascii="Arial Nova" w:eastAsia="Arial Nova" w:hAnsi="Arial Nova" w:cs="Arial Nova"/>
          <w:color w:val="000000" w:themeColor="text1"/>
        </w:rPr>
        <w:t>Erikson</w:t>
      </w:r>
      <w:proofErr w:type="spellEnd"/>
      <w:r w:rsidRPr="2B073ABA">
        <w:rPr>
          <w:rFonts w:ascii="Arial Nova" w:eastAsia="Arial Nova" w:hAnsi="Arial Nova" w:cs="Arial Nova"/>
          <w:color w:val="000000" w:themeColor="text1"/>
        </w:rPr>
        <w:t xml:space="preserve"> would argue that this conflict is normal, but without support, it can lead to long-term identity problems.</w:t>
      </w:r>
    </w:p>
    <w:p w14:paraId="23F811CE" w14:textId="0699E5A7" w:rsidR="001B186E" w:rsidRDefault="582D345D" w:rsidP="2B073ABA">
      <w:pPr>
        <w:spacing w:before="240" w:after="240"/>
      </w:pPr>
      <w:proofErr w:type="spellStart"/>
      <w:r w:rsidRPr="2B073ABA">
        <w:rPr>
          <w:rFonts w:ascii="Aptos" w:eastAsia="Aptos" w:hAnsi="Aptos" w:cs="Aptos"/>
          <w:b/>
          <w:bCs/>
        </w:rPr>
        <w:t>Bronfenbrenner’s</w:t>
      </w:r>
      <w:proofErr w:type="spellEnd"/>
      <w:r w:rsidRPr="2B073ABA">
        <w:rPr>
          <w:rFonts w:ascii="Aptos" w:eastAsia="Aptos" w:hAnsi="Aptos" w:cs="Aptos"/>
          <w:b/>
          <w:bCs/>
        </w:rPr>
        <w:t xml:space="preserve"> Ecological Systems Theory</w:t>
      </w:r>
    </w:p>
    <w:p w14:paraId="124E227C" w14:textId="78288493" w:rsidR="001B186E" w:rsidRDefault="582D345D" w:rsidP="2B073ABA">
      <w:pPr>
        <w:spacing w:before="240" w:after="240"/>
      </w:pPr>
      <w:proofErr w:type="spellStart"/>
      <w:r w:rsidRPr="2B073ABA">
        <w:rPr>
          <w:rFonts w:ascii="Aptos" w:eastAsia="Aptos" w:hAnsi="Aptos" w:cs="Aptos"/>
        </w:rPr>
        <w:t>Urie</w:t>
      </w:r>
      <w:proofErr w:type="spellEnd"/>
      <w:r w:rsidRPr="2B073ABA">
        <w:rPr>
          <w:rFonts w:ascii="Aptos" w:eastAsia="Aptos" w:hAnsi="Aptos" w:cs="Aptos"/>
        </w:rPr>
        <w:t xml:space="preserve"> </w:t>
      </w:r>
      <w:proofErr w:type="spellStart"/>
      <w:r w:rsidRPr="2B073ABA">
        <w:rPr>
          <w:rFonts w:ascii="Aptos" w:eastAsia="Aptos" w:hAnsi="Aptos" w:cs="Aptos"/>
        </w:rPr>
        <w:t>Bronfenbrenner’s</w:t>
      </w:r>
      <w:proofErr w:type="spellEnd"/>
      <w:r w:rsidRPr="2B073ABA">
        <w:rPr>
          <w:rFonts w:ascii="Aptos" w:eastAsia="Aptos" w:hAnsi="Aptos" w:cs="Aptos"/>
        </w:rPr>
        <w:t xml:space="preserve"> Ecological Systems Theory (1979) offers a valuable framework for understanding how various "systems" in a young person’s life — such as their family, school, peer groups, and neighbourhood — interact and influence their development. According to </w:t>
      </w:r>
      <w:proofErr w:type="spellStart"/>
      <w:r w:rsidRPr="2B073ABA">
        <w:rPr>
          <w:rFonts w:ascii="Aptos" w:eastAsia="Aptos" w:hAnsi="Aptos" w:cs="Aptos"/>
        </w:rPr>
        <w:t>Bronfenbrenner</w:t>
      </w:r>
      <w:proofErr w:type="spellEnd"/>
      <w:r w:rsidRPr="2B073ABA">
        <w:rPr>
          <w:rFonts w:ascii="Aptos" w:eastAsia="Aptos" w:hAnsi="Aptos" w:cs="Aptos"/>
        </w:rPr>
        <w:t xml:space="preserve">, these interconnected systems are crucial for healthy growth, as they provide the structure and support needed for a young person to thrive. However, in </w:t>
      </w:r>
      <w:proofErr w:type="spellStart"/>
      <w:r w:rsidRPr="2B073ABA">
        <w:rPr>
          <w:rFonts w:ascii="Aptos" w:eastAsia="Aptos" w:hAnsi="Aptos" w:cs="Aptos"/>
          <w:i/>
          <w:iCs/>
        </w:rPr>
        <w:t>Kidulthood</w:t>
      </w:r>
      <w:proofErr w:type="spellEnd"/>
      <w:r w:rsidRPr="2B073ABA">
        <w:rPr>
          <w:rFonts w:ascii="Aptos" w:eastAsia="Aptos" w:hAnsi="Aptos" w:cs="Aptos"/>
        </w:rPr>
        <w:t>, almost every one of these systems is shown to be dysfunctional or broken. The family dynamic is fragmented, with many characters lacking strong parental figures or support systems. Schools, too, are overwhelmed and unable to provide the guidance or structure that young people need. Peer groups are often toxic, reinforcing harmful behaviours rather than encouraging positive growth. Additionally, the broader community fails to offer safe spaces or productive outlets for these teens.</w:t>
      </w:r>
    </w:p>
    <w:p w14:paraId="7F2951AD" w14:textId="7510F838" w:rsidR="001B186E" w:rsidRDefault="582D345D" w:rsidP="2B073ABA">
      <w:pPr>
        <w:spacing w:before="240" w:after="240"/>
      </w:pPr>
      <w:r w:rsidRPr="2B073ABA">
        <w:rPr>
          <w:rFonts w:ascii="Aptos" w:eastAsia="Aptos" w:hAnsi="Aptos" w:cs="Aptos"/>
        </w:rPr>
        <w:t xml:space="preserve">This theory is particularly relevant in explaining the characters' behaviours in the film. The teens are not simply making poor decisions or acting out for no reason — they are responding to the negative and challenging environments that shape their daily lives. Their actions and choices are not isolated from the world around them; instead, they are a direct result of the systemic issues at play. </w:t>
      </w:r>
      <w:proofErr w:type="spellStart"/>
      <w:r w:rsidRPr="2B073ABA">
        <w:rPr>
          <w:rFonts w:ascii="Aptos" w:eastAsia="Aptos" w:hAnsi="Aptos" w:cs="Aptos"/>
        </w:rPr>
        <w:t>Bronfenbrenner's</w:t>
      </w:r>
      <w:proofErr w:type="spellEnd"/>
      <w:r w:rsidRPr="2B073ABA">
        <w:rPr>
          <w:rFonts w:ascii="Aptos" w:eastAsia="Aptos" w:hAnsi="Aptos" w:cs="Aptos"/>
        </w:rPr>
        <w:t xml:space="preserve"> model highlights the </w:t>
      </w:r>
      <w:r w:rsidRPr="2B073ABA">
        <w:rPr>
          <w:rFonts w:ascii="Aptos" w:eastAsia="Aptos" w:hAnsi="Aptos" w:cs="Aptos"/>
        </w:rPr>
        <w:lastRenderedPageBreak/>
        <w:t xml:space="preserve">necessity for change at every level, from family dynamics to educational reform, community development, and beyond. In this context, addressing the issues seen in </w:t>
      </w:r>
      <w:proofErr w:type="spellStart"/>
      <w:r w:rsidRPr="2B073ABA">
        <w:rPr>
          <w:rFonts w:ascii="Aptos" w:eastAsia="Aptos" w:hAnsi="Aptos" w:cs="Aptos"/>
          <w:i/>
          <w:iCs/>
        </w:rPr>
        <w:t>Kidulthood</w:t>
      </w:r>
      <w:proofErr w:type="spellEnd"/>
      <w:r w:rsidRPr="2B073ABA">
        <w:rPr>
          <w:rFonts w:ascii="Aptos" w:eastAsia="Aptos" w:hAnsi="Aptos" w:cs="Aptos"/>
        </w:rPr>
        <w:t xml:space="preserve"> requires more than just focusing on the individuals themselves — it demands a broader, systemic approach that tackles the root causes of their struggles.</w:t>
      </w:r>
    </w:p>
    <w:p w14:paraId="3CA0B221" w14:textId="127779AD" w:rsidR="001B186E" w:rsidRDefault="7582E5A9" w:rsidP="2B073ABA">
      <w:pPr>
        <w:spacing w:before="240" w:after="240"/>
      </w:pPr>
      <w:r w:rsidRPr="2B073ABA">
        <w:rPr>
          <w:rFonts w:ascii="Aptos" w:eastAsia="Aptos" w:hAnsi="Aptos" w:cs="Aptos"/>
          <w:b/>
          <w:bCs/>
        </w:rPr>
        <w:t>Cognitive Traditions</w:t>
      </w:r>
    </w:p>
    <w:p w14:paraId="0487A431" w14:textId="3F4F8441" w:rsidR="001B186E" w:rsidRDefault="7582E5A9" w:rsidP="2B073ABA">
      <w:pPr>
        <w:spacing w:before="240" w:after="240"/>
      </w:pPr>
      <w:r w:rsidRPr="2B073ABA">
        <w:rPr>
          <w:rFonts w:ascii="Aptos" w:eastAsia="Aptos" w:hAnsi="Aptos" w:cs="Aptos"/>
        </w:rPr>
        <w:t>Cognitive theories, particularly those influenced by Aaron Beck’s cognitive model (1976), focus on how our internal thought processes shape our behaviours. According to Beck, negative or distorted thinking patterns can significantly impact a person’s actions and emotional responses. For example, if a young person constantly thinks "I'm not good enough" or "Everyone is out to get me," these thoughts are likely to lead to behaviours such as aggression, withdrawal, or self-destructive actions, as the individual is acting in line with these negative beliefs.</w:t>
      </w:r>
    </w:p>
    <w:p w14:paraId="2E968689" w14:textId="048F8BF7" w:rsidR="001B186E" w:rsidRDefault="7582E5A9" w:rsidP="2B073ABA">
      <w:pPr>
        <w:spacing w:before="240" w:after="240"/>
      </w:pPr>
      <w:r w:rsidRPr="2B073ABA">
        <w:rPr>
          <w:rFonts w:ascii="Aptos" w:eastAsia="Aptos" w:hAnsi="Aptos" w:cs="Aptos"/>
        </w:rPr>
        <w:t xml:space="preserve">In </w:t>
      </w:r>
      <w:proofErr w:type="spellStart"/>
      <w:r w:rsidRPr="2B073ABA">
        <w:rPr>
          <w:rFonts w:ascii="Aptos" w:eastAsia="Aptos" w:hAnsi="Aptos" w:cs="Aptos"/>
          <w:i/>
          <w:iCs/>
        </w:rPr>
        <w:t>Kidulthood</w:t>
      </w:r>
      <w:proofErr w:type="spellEnd"/>
      <w:r w:rsidRPr="2B073ABA">
        <w:rPr>
          <w:rFonts w:ascii="Aptos" w:eastAsia="Aptos" w:hAnsi="Aptos" w:cs="Aptos"/>
        </w:rPr>
        <w:t xml:space="preserve">, the impact of these cognitive patterns is evident across all the characters. </w:t>
      </w:r>
      <w:proofErr w:type="spellStart"/>
      <w:r w:rsidRPr="2B073ABA">
        <w:rPr>
          <w:rFonts w:ascii="Aptos" w:eastAsia="Aptos" w:hAnsi="Aptos" w:cs="Aptos"/>
        </w:rPr>
        <w:t>Trife</w:t>
      </w:r>
      <w:proofErr w:type="spellEnd"/>
      <w:r w:rsidRPr="2B073ABA">
        <w:rPr>
          <w:rFonts w:ascii="Aptos" w:eastAsia="Aptos" w:hAnsi="Aptos" w:cs="Aptos"/>
        </w:rPr>
        <w:t>, for instance, is caught in an internal conflict, believing that his only options are either to remain trapped in a life of violence or to escape in ways that don’t feel viable. His thinking leads him to make decisions based on fear and limited perspectives. Sam’s behaviour is similarly influenced by his cognitive patterns, as he lashes out aggressively due to his deep feelings of insecurity and perceived threats from others. Alisa’s grief, stemming from the trauma of her boyfriend’s suicide, affects her cognitive framework, causing her to view the world and her relationships through a lens of loss and hopelessness.</w:t>
      </w:r>
    </w:p>
    <w:p w14:paraId="7793454F" w14:textId="5618A4C3" w:rsidR="001B186E" w:rsidRDefault="7582E5A9" w:rsidP="2B073ABA">
      <w:pPr>
        <w:spacing w:before="240" w:after="240"/>
      </w:pPr>
      <w:r w:rsidRPr="2B073ABA">
        <w:rPr>
          <w:rFonts w:ascii="Aptos" w:eastAsia="Aptos" w:hAnsi="Aptos" w:cs="Aptos"/>
        </w:rPr>
        <w:t xml:space="preserve">Cognitive theories suggest that understanding and challenging these harmful thought patterns can be a powerful tool in helping young people develop healthier behaviours. Interventions that encourage individuals to reframe negative thinking and </w:t>
      </w:r>
      <w:proofErr w:type="spellStart"/>
      <w:r w:rsidRPr="2B073ABA">
        <w:rPr>
          <w:rFonts w:ascii="Aptos" w:eastAsia="Aptos" w:hAnsi="Aptos" w:cs="Aptos"/>
        </w:rPr>
        <w:t>recognize</w:t>
      </w:r>
      <w:proofErr w:type="spellEnd"/>
      <w:r w:rsidRPr="2B073ABA">
        <w:rPr>
          <w:rFonts w:ascii="Aptos" w:eastAsia="Aptos" w:hAnsi="Aptos" w:cs="Aptos"/>
        </w:rPr>
        <w:t xml:space="preserve"> cognitive distortions can help break the cycle of poor decision-making and emotional distress. By learning to identify and change their thought patterns, young people like those in </w:t>
      </w:r>
      <w:proofErr w:type="spellStart"/>
      <w:r w:rsidRPr="2B073ABA">
        <w:rPr>
          <w:rFonts w:ascii="Aptos" w:eastAsia="Aptos" w:hAnsi="Aptos" w:cs="Aptos"/>
          <w:i/>
          <w:iCs/>
        </w:rPr>
        <w:t>Kidulthood</w:t>
      </w:r>
      <w:proofErr w:type="spellEnd"/>
      <w:r w:rsidRPr="2B073ABA">
        <w:rPr>
          <w:rFonts w:ascii="Aptos" w:eastAsia="Aptos" w:hAnsi="Aptos" w:cs="Aptos"/>
        </w:rPr>
        <w:t xml:space="preserve"> may be able to gain a clearer sense of control over their lives, ultimately leading to more positive outcomes.</w:t>
      </w:r>
    </w:p>
    <w:p w14:paraId="378A4ECC" w14:textId="60DBE024" w:rsidR="001B186E" w:rsidRDefault="7582E5A9" w:rsidP="2B073ABA">
      <w:pPr>
        <w:spacing w:before="240" w:after="240"/>
      </w:pPr>
      <w:r w:rsidRPr="2B073ABA">
        <w:rPr>
          <w:rFonts w:ascii="Aptos" w:eastAsia="Aptos" w:hAnsi="Aptos" w:cs="Aptos"/>
          <w:b/>
          <w:bCs/>
        </w:rPr>
        <w:t>Relevant Policies</w:t>
      </w:r>
    </w:p>
    <w:p w14:paraId="738EBB97" w14:textId="21B37A55" w:rsidR="001B186E" w:rsidRDefault="7582E5A9" w:rsidP="2B073ABA">
      <w:pPr>
        <w:spacing w:before="240" w:after="240"/>
      </w:pPr>
      <w:r w:rsidRPr="2B073ABA">
        <w:rPr>
          <w:rFonts w:ascii="Aptos" w:eastAsia="Aptos" w:hAnsi="Aptos" w:cs="Aptos"/>
          <w:b/>
          <w:bCs/>
        </w:rPr>
        <w:t>Every Child Matters</w:t>
      </w:r>
    </w:p>
    <w:p w14:paraId="61ACAEFF" w14:textId="3F603509" w:rsidR="001B186E" w:rsidRDefault="7582E5A9" w:rsidP="2B073ABA">
      <w:pPr>
        <w:spacing w:before="240" w:after="240"/>
      </w:pPr>
      <w:r w:rsidRPr="2B073ABA">
        <w:rPr>
          <w:rFonts w:ascii="Aptos" w:eastAsia="Aptos" w:hAnsi="Aptos" w:cs="Aptos"/>
        </w:rPr>
        <w:t xml:space="preserve">The "Every Child Matters" policy, introduced by the UK government in 2003, aimed to ensure that all children, regardless of their background or circumstances, have access to the essential support and resources they need to thrive. The policy focused on five key outcomes: being healthy, staying safe, enjoying life, achieving academic success, and making a positive contribution to society (Department for Education, 2003). In </w:t>
      </w:r>
      <w:proofErr w:type="spellStart"/>
      <w:r w:rsidRPr="2B073ABA">
        <w:rPr>
          <w:rFonts w:ascii="Aptos" w:eastAsia="Aptos" w:hAnsi="Aptos" w:cs="Aptos"/>
          <w:i/>
          <w:iCs/>
        </w:rPr>
        <w:t>Kidulthood</w:t>
      </w:r>
      <w:proofErr w:type="spellEnd"/>
      <w:r w:rsidRPr="2B073ABA">
        <w:rPr>
          <w:rFonts w:ascii="Aptos" w:eastAsia="Aptos" w:hAnsi="Aptos" w:cs="Aptos"/>
        </w:rPr>
        <w:t xml:space="preserve">, the contrast between these ideal outcomes and the harsh realities faced by </w:t>
      </w:r>
      <w:r w:rsidRPr="2B073ABA">
        <w:rPr>
          <w:rFonts w:ascii="Aptos" w:eastAsia="Aptos" w:hAnsi="Aptos" w:cs="Aptos"/>
        </w:rPr>
        <w:lastRenderedPageBreak/>
        <w:t>the characters underscores the significant gaps in support and services for young people in high-risk environments.</w:t>
      </w:r>
    </w:p>
    <w:p w14:paraId="49761CA4" w14:textId="1F3B7DCD" w:rsidR="001B186E" w:rsidRDefault="7582E5A9" w:rsidP="2B073ABA">
      <w:pPr>
        <w:spacing w:before="240" w:after="240"/>
      </w:pPr>
      <w:r w:rsidRPr="2B073ABA">
        <w:rPr>
          <w:rFonts w:ascii="Aptos" w:eastAsia="Aptos" w:hAnsi="Aptos" w:cs="Aptos"/>
        </w:rPr>
        <w:t>In the film, many of the characters clearly do not benefit from the provisions intended by this policy. They are not provided with a sense of safety, either at home or in their community. Emotional wellbeing is largely neglected, with the teens experiencing trauma, grief, and confusion, but without the resources to help them process their emotions in healthy ways. Moreover, educational support seems inadequate, with several of the characters either skipping school or failing to thrive within the educational system. This lack of emotional, academic, and social support highlights how far there is still to go in terms of achieving the goals outlined in "Every Child Matters."</w:t>
      </w:r>
    </w:p>
    <w:p w14:paraId="70C4B939" w14:textId="1B2596C1" w:rsidR="001B186E" w:rsidRDefault="7582E5A9" w:rsidP="2B073ABA">
      <w:pPr>
        <w:spacing w:before="240" w:after="240"/>
      </w:pPr>
      <w:proofErr w:type="spellStart"/>
      <w:r w:rsidRPr="2B073ABA">
        <w:rPr>
          <w:rFonts w:ascii="Aptos" w:eastAsia="Aptos" w:hAnsi="Aptos" w:cs="Aptos"/>
          <w:i/>
          <w:iCs/>
        </w:rPr>
        <w:t>Kidulthood</w:t>
      </w:r>
      <w:proofErr w:type="spellEnd"/>
      <w:r w:rsidRPr="2B073ABA">
        <w:rPr>
          <w:rFonts w:ascii="Aptos" w:eastAsia="Aptos" w:hAnsi="Aptos" w:cs="Aptos"/>
        </w:rPr>
        <w:t xml:space="preserve"> serves as a stark reminder of the challenges that high-risk communities face in ensuring that every child is given a fair chance. The film suggests that while the policy’s intentions are noble, there is a clear need for stronger, more consistent implementation in these communities. For the "Every Child Matters" policy to be truly effective, it must be paired with targeted interventions that address the specific needs of vulnerable young people, ensuring that they have the proper guidance, emotional care, and educational opportunities to succeed and lead fulfilling lives.</w:t>
      </w:r>
    </w:p>
    <w:p w14:paraId="041EAAFB" w14:textId="20D4DEBE" w:rsidR="001B186E" w:rsidRDefault="001B186E" w:rsidP="2B073ABA">
      <w:pPr>
        <w:spacing w:before="240" w:after="240"/>
        <w:rPr>
          <w:rFonts w:ascii="Aptos" w:eastAsia="Aptos" w:hAnsi="Aptos" w:cs="Aptos"/>
        </w:rPr>
      </w:pPr>
    </w:p>
    <w:p w14:paraId="6F154C81" w14:textId="6E706A96" w:rsidR="001B186E" w:rsidRDefault="6FDE8DE5" w:rsidP="2B073ABA">
      <w:pPr>
        <w:spacing w:before="240" w:after="240"/>
      </w:pPr>
      <w:r w:rsidRPr="2B073ABA">
        <w:rPr>
          <w:rFonts w:ascii="Aptos" w:eastAsia="Aptos" w:hAnsi="Aptos" w:cs="Aptos"/>
          <w:b/>
          <w:bCs/>
        </w:rPr>
        <w:t>Youth Justice Board (YJB)</w:t>
      </w:r>
    </w:p>
    <w:p w14:paraId="7D7CC34F" w14:textId="2B9A267D" w:rsidR="001B186E" w:rsidRDefault="6FDE8DE5" w:rsidP="2B073ABA">
      <w:pPr>
        <w:spacing w:before="240" w:after="240"/>
      </w:pPr>
      <w:r w:rsidRPr="2B073ABA">
        <w:rPr>
          <w:rFonts w:ascii="Aptos" w:eastAsia="Aptos" w:hAnsi="Aptos" w:cs="Aptos"/>
        </w:rPr>
        <w:t>The Youth Justice Board (YJB) plays a pivotal role in preventing youth offending and reoffending across the UK. Established to oversee the youth justice system, the YJB is committed to ensuring that young people who engage in criminal behaviour are not only held accountable but are also given the opportunity to change through rehabilitative measures. Rather than focusing solely on punishment, the YJB supports a range of intervention programs that are designed to address the underlying causes of offending, such as family dysfunction, lack of education, or mental health issues (Youth Justice Board, 2020). It collaborates closely with other agencies, including the police, schools, and social services, to provide a holistic approach that helps steer young people away from a life of crime and towards a more positive future.</w:t>
      </w:r>
    </w:p>
    <w:p w14:paraId="6CCD1066" w14:textId="5451C2F9" w:rsidR="001B186E" w:rsidRDefault="6FDE8DE5" w:rsidP="2B073ABA">
      <w:pPr>
        <w:spacing w:before="240" w:after="240"/>
      </w:pPr>
      <w:r w:rsidRPr="2B073ABA">
        <w:rPr>
          <w:rFonts w:ascii="Aptos" w:eastAsia="Aptos" w:hAnsi="Aptos" w:cs="Aptos"/>
        </w:rPr>
        <w:t xml:space="preserve">In </w:t>
      </w:r>
      <w:proofErr w:type="spellStart"/>
      <w:r w:rsidRPr="2B073ABA">
        <w:rPr>
          <w:rFonts w:ascii="Aptos" w:eastAsia="Aptos" w:hAnsi="Aptos" w:cs="Aptos"/>
          <w:i/>
          <w:iCs/>
        </w:rPr>
        <w:t>Kidulthood</w:t>
      </w:r>
      <w:proofErr w:type="spellEnd"/>
      <w:r w:rsidRPr="2B073ABA">
        <w:rPr>
          <w:rFonts w:ascii="Aptos" w:eastAsia="Aptos" w:hAnsi="Aptos" w:cs="Aptos"/>
        </w:rPr>
        <w:t xml:space="preserve">, many of the characters — particularly Sam — could have benefitted from earlier intervention through services provided by the YJB. Sam’s aggressive and violent behaviour, stemming from feelings of insecurity and emotional trauma, is indicative of a young person who might have responded positively to rehabilitative support. Early involvement in a youth justice program focused on addressing the root causes of his actions, such as anger management, emotional resilience, and building healthier </w:t>
      </w:r>
      <w:r w:rsidRPr="2B073ABA">
        <w:rPr>
          <w:rFonts w:ascii="Aptos" w:eastAsia="Aptos" w:hAnsi="Aptos" w:cs="Aptos"/>
        </w:rPr>
        <w:lastRenderedPageBreak/>
        <w:t>coping mechanisms, could have helped him avoid a path that led to further criminal behaviour. In contrast, the film depicts a system where Sam, like other characters, faces little intervention or support, and is instead left to navigate his troubled environment on his own.</w:t>
      </w:r>
    </w:p>
    <w:p w14:paraId="5ABFF203" w14:textId="0A2637A9" w:rsidR="001B186E" w:rsidRDefault="6FDE8DE5" w:rsidP="2B073ABA">
      <w:pPr>
        <w:spacing w:before="240" w:after="240"/>
      </w:pPr>
      <w:r w:rsidRPr="2B073ABA">
        <w:rPr>
          <w:rFonts w:ascii="Aptos" w:eastAsia="Aptos" w:hAnsi="Aptos" w:cs="Aptos"/>
        </w:rPr>
        <w:t xml:space="preserve">The absence of such early intervention in </w:t>
      </w:r>
      <w:proofErr w:type="spellStart"/>
      <w:r w:rsidRPr="2B073ABA">
        <w:rPr>
          <w:rFonts w:ascii="Aptos" w:eastAsia="Aptos" w:hAnsi="Aptos" w:cs="Aptos"/>
          <w:i/>
          <w:iCs/>
        </w:rPr>
        <w:t>Kidulthood</w:t>
      </w:r>
      <w:proofErr w:type="spellEnd"/>
      <w:r w:rsidRPr="2B073ABA">
        <w:rPr>
          <w:rFonts w:ascii="Aptos" w:eastAsia="Aptos" w:hAnsi="Aptos" w:cs="Aptos"/>
        </w:rPr>
        <w:t xml:space="preserve"> is a reflection of the challenges that many young people in similar real-life situations face. Without access to services that focus on rehabilitation and personal development, these young people are more likely to fall into cycles of reoffending and perpetuate the social and emotional problems they struggle with. This highlights the importance of the YJB’s role in ensuring that rehabilitative services are not only available but actively implemented in at-risk communities. By shifting the focus from punitive measures to comprehensive support, the YJB can help young people like Sam rebuild their lives, reduce their chances of reoffending, and reintegrate into society as healthier, more productive individuals.</w:t>
      </w:r>
    </w:p>
    <w:p w14:paraId="49D5C5CB" w14:textId="0C23BDB0" w:rsidR="001B186E" w:rsidRDefault="001B186E" w:rsidP="2B073ABA">
      <w:pPr>
        <w:spacing w:before="240" w:after="240"/>
        <w:rPr>
          <w:rFonts w:ascii="Aptos" w:eastAsia="Aptos" w:hAnsi="Aptos" w:cs="Aptos"/>
        </w:rPr>
      </w:pPr>
    </w:p>
    <w:p w14:paraId="4DBD7D65" w14:textId="4C123348" w:rsidR="001B186E" w:rsidRDefault="6F3440AF" w:rsidP="2B073ABA">
      <w:pPr>
        <w:spacing w:before="240" w:after="240"/>
      </w:pPr>
      <w:r w:rsidRPr="2B073ABA">
        <w:rPr>
          <w:rFonts w:ascii="Aptos" w:eastAsia="Aptos" w:hAnsi="Aptos" w:cs="Aptos"/>
          <w:b/>
          <w:bCs/>
        </w:rPr>
        <w:t>Suggested Interventions</w:t>
      </w:r>
    </w:p>
    <w:p w14:paraId="038B1494" w14:textId="57F55FFF" w:rsidR="001B186E" w:rsidRDefault="6F3440AF" w:rsidP="2B073ABA">
      <w:pPr>
        <w:spacing w:before="240" w:after="240"/>
      </w:pPr>
      <w:r w:rsidRPr="2B073ABA">
        <w:rPr>
          <w:rFonts w:ascii="Aptos" w:eastAsia="Aptos" w:hAnsi="Aptos" w:cs="Aptos"/>
          <w:b/>
          <w:bCs/>
        </w:rPr>
        <w:t>School-Based Mental Health Programs</w:t>
      </w:r>
    </w:p>
    <w:p w14:paraId="45766AA6" w14:textId="0AF48C23" w:rsidR="001B186E" w:rsidRDefault="6F3440AF" w:rsidP="2B073ABA">
      <w:pPr>
        <w:spacing w:before="240" w:after="240"/>
      </w:pPr>
      <w:r w:rsidRPr="2B073ABA">
        <w:rPr>
          <w:rFonts w:ascii="Aptos" w:eastAsia="Aptos" w:hAnsi="Aptos" w:cs="Aptos"/>
        </w:rPr>
        <w:t xml:space="preserve">It is essential for schools to offer accessible, non-judgmental </w:t>
      </w:r>
      <w:proofErr w:type="spellStart"/>
      <w:r w:rsidRPr="2B073ABA">
        <w:rPr>
          <w:rFonts w:ascii="Aptos" w:eastAsia="Aptos" w:hAnsi="Aptos" w:cs="Aptos"/>
        </w:rPr>
        <w:t>counseling</w:t>
      </w:r>
      <w:proofErr w:type="spellEnd"/>
      <w:r w:rsidRPr="2B073ABA">
        <w:rPr>
          <w:rFonts w:ascii="Aptos" w:eastAsia="Aptos" w:hAnsi="Aptos" w:cs="Aptos"/>
        </w:rPr>
        <w:t xml:space="preserve"> services that allow students to express themselves freely. Providing mental health support can help young people better understand their emotions and thoughts, challenge harmful thinking patterns, and develop healthy coping mechanisms (</w:t>
      </w:r>
      <w:proofErr w:type="spellStart"/>
      <w:r w:rsidRPr="2B073ABA">
        <w:rPr>
          <w:rFonts w:ascii="Aptos" w:eastAsia="Aptos" w:hAnsi="Aptos" w:cs="Aptos"/>
        </w:rPr>
        <w:t>Durlak</w:t>
      </w:r>
      <w:proofErr w:type="spellEnd"/>
      <w:r w:rsidRPr="2B073ABA">
        <w:rPr>
          <w:rFonts w:ascii="Aptos" w:eastAsia="Aptos" w:hAnsi="Aptos" w:cs="Aptos"/>
        </w:rPr>
        <w:t xml:space="preserve"> et al., 2011).</w:t>
      </w:r>
    </w:p>
    <w:p w14:paraId="36E5C7AB" w14:textId="4E2336DC" w:rsidR="001B186E" w:rsidRDefault="6F3440AF" w:rsidP="2B073ABA">
      <w:pPr>
        <w:spacing w:before="240" w:after="240"/>
      </w:pPr>
      <w:r w:rsidRPr="2B073ABA">
        <w:rPr>
          <w:rFonts w:ascii="Aptos" w:eastAsia="Aptos" w:hAnsi="Aptos" w:cs="Aptos"/>
          <w:b/>
          <w:bCs/>
        </w:rPr>
        <w:t>Youth Mentorship Programs</w:t>
      </w:r>
    </w:p>
    <w:p w14:paraId="6F15F63D" w14:textId="298B07C1" w:rsidR="001B186E" w:rsidRDefault="6F3440AF" w:rsidP="2B073ABA">
      <w:pPr>
        <w:spacing w:before="240" w:after="240"/>
      </w:pPr>
      <w:r w:rsidRPr="2B073ABA">
        <w:rPr>
          <w:rFonts w:ascii="Aptos" w:eastAsia="Aptos" w:hAnsi="Aptos" w:cs="Aptos"/>
        </w:rPr>
        <w:t>Having positive adult mentors can significantly impact young people's lives. These mentorship programs can offer guidance, motivation, and serve as role models, particularly for teens who lack reliable support systems at home (Rhodes, 2002).</w:t>
      </w:r>
    </w:p>
    <w:p w14:paraId="24B75A1D" w14:textId="0839681B" w:rsidR="001B186E" w:rsidRDefault="6F3440AF" w:rsidP="2B073ABA">
      <w:pPr>
        <w:spacing w:before="240" w:after="240"/>
      </w:pPr>
      <w:r w:rsidRPr="2B073ABA">
        <w:rPr>
          <w:rFonts w:ascii="Aptos" w:eastAsia="Aptos" w:hAnsi="Aptos" w:cs="Aptos"/>
          <w:b/>
          <w:bCs/>
        </w:rPr>
        <w:t>Community Youth Hubs</w:t>
      </w:r>
    </w:p>
    <w:p w14:paraId="31D2D4F3" w14:textId="041FE80E" w:rsidR="001B186E" w:rsidRDefault="6F3440AF" w:rsidP="2B073ABA">
      <w:pPr>
        <w:spacing w:before="240" w:after="240"/>
      </w:pPr>
      <w:r w:rsidRPr="2B073ABA">
        <w:rPr>
          <w:rFonts w:ascii="Aptos" w:eastAsia="Aptos" w:hAnsi="Aptos" w:cs="Aptos"/>
        </w:rPr>
        <w:t>Establishing safe spaces in the community where young people can engage in activities such as art, music, sports, and life skills training can provide a much-needed positive outlet. These hubs could also offer services like group therapy, career advice, and drop-in clinics, creating a holistic support system for youth.</w:t>
      </w:r>
    </w:p>
    <w:p w14:paraId="0240E919" w14:textId="2A103DD1" w:rsidR="001B186E" w:rsidRDefault="6F3440AF" w:rsidP="2B073ABA">
      <w:pPr>
        <w:spacing w:before="240" w:after="240"/>
      </w:pPr>
      <w:r w:rsidRPr="2B073ABA">
        <w:rPr>
          <w:rFonts w:ascii="Aptos" w:eastAsia="Aptos" w:hAnsi="Aptos" w:cs="Aptos"/>
          <w:b/>
          <w:bCs/>
        </w:rPr>
        <w:t>Family Support Services</w:t>
      </w:r>
    </w:p>
    <w:p w14:paraId="0C7D9383" w14:textId="77391FFA" w:rsidR="001B186E" w:rsidRDefault="6F3440AF" w:rsidP="2B073ABA">
      <w:pPr>
        <w:spacing w:before="240" w:after="240"/>
        <w:rPr>
          <w:rFonts w:ascii="Arial Nova" w:eastAsia="Arial Nova" w:hAnsi="Arial Nova" w:cs="Arial Nova"/>
          <w:color w:val="000000" w:themeColor="text1"/>
        </w:rPr>
      </w:pPr>
      <w:r w:rsidRPr="2B073ABA">
        <w:rPr>
          <w:rFonts w:ascii="Aptos" w:eastAsia="Aptos" w:hAnsi="Aptos" w:cs="Aptos"/>
        </w:rPr>
        <w:t xml:space="preserve">In many cases, the challenges young people face stem from issues within the family. Offering family </w:t>
      </w:r>
      <w:proofErr w:type="spellStart"/>
      <w:r w:rsidRPr="2B073ABA">
        <w:rPr>
          <w:rFonts w:ascii="Aptos" w:eastAsia="Aptos" w:hAnsi="Aptos" w:cs="Aptos"/>
        </w:rPr>
        <w:t>counseling</w:t>
      </w:r>
      <w:proofErr w:type="spellEnd"/>
      <w:r w:rsidRPr="2B073ABA">
        <w:rPr>
          <w:rFonts w:ascii="Aptos" w:eastAsia="Aptos" w:hAnsi="Aptos" w:cs="Aptos"/>
        </w:rPr>
        <w:t xml:space="preserve">, parenting education programs, and welfare support can help improve the home environment, reducing stress and creating a more stable </w:t>
      </w:r>
      <w:r w:rsidRPr="2B073ABA">
        <w:rPr>
          <w:rFonts w:ascii="Aptos" w:eastAsia="Aptos" w:hAnsi="Aptos" w:cs="Aptos"/>
        </w:rPr>
        <w:lastRenderedPageBreak/>
        <w:t>foundation for young people to thrive.</w:t>
      </w:r>
      <w:r w:rsidR="7582E5A9">
        <w:rPr>
          <w:noProof/>
        </w:rPr>
        <w:drawing>
          <wp:inline distT="0" distB="0" distL="0" distR="0" wp14:anchorId="49ED5388" wp14:editId="3E635678">
            <wp:extent cx="5724524" cy="38100"/>
            <wp:effectExtent l="0" t="0" r="0" b="0"/>
            <wp:docPr id="1479233" name="Picture 1479233" descr="Rectangle 2, 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724524" cy="38100"/>
                    </a:xfrm>
                    <a:prstGeom prst="rect">
                      <a:avLst/>
                    </a:prstGeom>
                  </pic:spPr>
                </pic:pic>
              </a:graphicData>
            </a:graphic>
          </wp:inline>
        </w:drawing>
      </w:r>
    </w:p>
    <w:p w14:paraId="6FD6E034" w14:textId="4D310A44" w:rsidR="001B186E" w:rsidRDefault="1A7F4E28" w:rsidP="2B073ABA">
      <w:pPr>
        <w:spacing w:before="240" w:after="240"/>
      </w:pPr>
      <w:r w:rsidRPr="2B073ABA">
        <w:rPr>
          <w:rFonts w:ascii="Aptos" w:eastAsia="Aptos" w:hAnsi="Aptos" w:cs="Aptos"/>
          <w:b/>
          <w:bCs/>
        </w:rPr>
        <w:t>Conclusion</w:t>
      </w:r>
    </w:p>
    <w:p w14:paraId="4FB90C91" w14:textId="1C2BA443" w:rsidR="001B186E" w:rsidRDefault="1A7F4E28" w:rsidP="2B073ABA">
      <w:pPr>
        <w:spacing w:before="240" w:after="240"/>
      </w:pPr>
      <w:proofErr w:type="spellStart"/>
      <w:r w:rsidRPr="2B073ABA">
        <w:rPr>
          <w:rFonts w:ascii="Aptos" w:eastAsia="Aptos" w:hAnsi="Aptos" w:cs="Aptos"/>
          <w:i/>
          <w:iCs/>
        </w:rPr>
        <w:t>Kidulthood</w:t>
      </w:r>
      <w:proofErr w:type="spellEnd"/>
      <w:r w:rsidRPr="2B073ABA">
        <w:rPr>
          <w:rFonts w:ascii="Aptos" w:eastAsia="Aptos" w:hAnsi="Aptos" w:cs="Aptos"/>
        </w:rPr>
        <w:t xml:space="preserve"> goes beyond being just a film; it offers a powerful portrayal of the struggles faced by many young people in urban environments. The characters confront difficult realities such as violence, neglect, substance abuse, and emotional distress, all while grappling with their sense of identity and belonging. They are thrust into adult responsibilities before they are ready, and without adequate support, many of them experience a downward spiral.</w:t>
      </w:r>
    </w:p>
    <w:p w14:paraId="76619DAA" w14:textId="0C5AC42A" w:rsidR="001B186E" w:rsidRDefault="1A7F4E28" w:rsidP="2B073ABA">
      <w:pPr>
        <w:spacing w:before="240" w:after="240"/>
      </w:pPr>
      <w:r w:rsidRPr="2B073ABA">
        <w:rPr>
          <w:rFonts w:ascii="Aptos" w:eastAsia="Aptos" w:hAnsi="Aptos" w:cs="Aptos"/>
        </w:rPr>
        <w:t xml:space="preserve">By applying psychological theories such as </w:t>
      </w:r>
      <w:proofErr w:type="spellStart"/>
      <w:r w:rsidRPr="2B073ABA">
        <w:rPr>
          <w:rFonts w:ascii="Aptos" w:eastAsia="Aptos" w:hAnsi="Aptos" w:cs="Aptos"/>
        </w:rPr>
        <w:t>Erikson’s</w:t>
      </w:r>
      <w:proofErr w:type="spellEnd"/>
      <w:r w:rsidRPr="2B073ABA">
        <w:rPr>
          <w:rFonts w:ascii="Aptos" w:eastAsia="Aptos" w:hAnsi="Aptos" w:cs="Aptos"/>
        </w:rPr>
        <w:t xml:space="preserve"> psychosocial development and </w:t>
      </w:r>
      <w:proofErr w:type="spellStart"/>
      <w:r w:rsidRPr="2B073ABA">
        <w:rPr>
          <w:rFonts w:ascii="Aptos" w:eastAsia="Aptos" w:hAnsi="Aptos" w:cs="Aptos"/>
        </w:rPr>
        <w:t>Bronfenbrenner’s</w:t>
      </w:r>
      <w:proofErr w:type="spellEnd"/>
      <w:r w:rsidRPr="2B073ABA">
        <w:rPr>
          <w:rFonts w:ascii="Aptos" w:eastAsia="Aptos" w:hAnsi="Aptos" w:cs="Aptos"/>
        </w:rPr>
        <w:t xml:space="preserve"> ecological systems theory, along with insights from cognitive traditions, we gain a deeper understanding of how these challenging experiences impact young people’s growth and decision-making. Additionally, connecting these theoretical frameworks with policies like “Every Child Matters” and the initiatives of the Youth Justice Board helps identify areas in need of reform. The need for targeted interventions, including mental health services, mentorship programs, and community-based support, is clear and could provide crucial support for at-risk youth.</w:t>
      </w:r>
    </w:p>
    <w:p w14:paraId="1575844C" w14:textId="0A5D5655" w:rsidR="001B186E" w:rsidRDefault="1A7F4E28" w:rsidP="2B073ABA">
      <w:pPr>
        <w:spacing w:before="240" w:after="240"/>
      </w:pPr>
      <w:r w:rsidRPr="2B073ABA">
        <w:rPr>
          <w:rFonts w:ascii="Aptos" w:eastAsia="Aptos" w:hAnsi="Aptos" w:cs="Aptos"/>
        </w:rPr>
        <w:t xml:space="preserve">This report </w:t>
      </w:r>
      <w:proofErr w:type="spellStart"/>
      <w:r w:rsidRPr="2B073ABA">
        <w:rPr>
          <w:rFonts w:ascii="Aptos" w:eastAsia="Aptos" w:hAnsi="Aptos" w:cs="Aptos"/>
        </w:rPr>
        <w:t>emphasizes</w:t>
      </w:r>
      <w:proofErr w:type="spellEnd"/>
      <w:r w:rsidRPr="2B073ABA">
        <w:rPr>
          <w:rFonts w:ascii="Aptos" w:eastAsia="Aptos" w:hAnsi="Aptos" w:cs="Aptos"/>
        </w:rPr>
        <w:t xml:space="preserve"> that to create meaningful change, we must approach the lives of young people with empathy and offer practical, targeted solutions that address their unique challenges.</w:t>
      </w:r>
    </w:p>
    <w:p w14:paraId="3860F6CD" w14:textId="4066A0D1" w:rsidR="001B186E" w:rsidRDefault="7582E5A9" w:rsidP="2B073ABA">
      <w:pPr>
        <w:spacing w:after="0" w:line="240" w:lineRule="auto"/>
        <w:rPr>
          <w:rFonts w:ascii="Times New Roman" w:eastAsia="Times New Roman" w:hAnsi="Times New Roman" w:cs="Times New Roman"/>
          <w:color w:val="000000" w:themeColor="text1"/>
        </w:rPr>
      </w:pPr>
      <w:r>
        <w:rPr>
          <w:noProof/>
        </w:rPr>
        <w:drawing>
          <wp:inline distT="0" distB="0" distL="0" distR="0" wp14:anchorId="12A7C2C2" wp14:editId="61E59446">
            <wp:extent cx="5724524" cy="38100"/>
            <wp:effectExtent l="0" t="0" r="0" b="0"/>
            <wp:docPr id="2074707089" name="Picture 2074707089" descr="Rectangle 1, 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724524" cy="38100"/>
                    </a:xfrm>
                    <a:prstGeom prst="rect">
                      <a:avLst/>
                    </a:prstGeom>
                  </pic:spPr>
                </pic:pic>
              </a:graphicData>
            </a:graphic>
          </wp:inline>
        </w:drawing>
      </w:r>
    </w:p>
    <w:p w14:paraId="77C1FE42" w14:textId="4B303261" w:rsidR="001B186E" w:rsidRDefault="7582E5A9" w:rsidP="2B073ABA">
      <w:pPr>
        <w:spacing w:beforeAutospacing="1" w:afterAutospacing="1" w:line="240" w:lineRule="auto"/>
        <w:rPr>
          <w:rFonts w:ascii="Times New Roman" w:eastAsia="Times New Roman" w:hAnsi="Times New Roman" w:cs="Times New Roman"/>
          <w:color w:val="000000" w:themeColor="text1"/>
        </w:rPr>
      </w:pPr>
      <w:r w:rsidRPr="2B073ABA">
        <w:rPr>
          <w:rFonts w:ascii="Times New Roman" w:eastAsia="Times New Roman" w:hAnsi="Times New Roman" w:cs="Times New Roman"/>
          <w:b/>
          <w:bCs/>
          <w:color w:val="000000" w:themeColor="text1"/>
        </w:rPr>
        <w:t>References-</w:t>
      </w:r>
    </w:p>
    <w:p w14:paraId="12B43E81" w14:textId="1287DDDA" w:rsidR="001B186E" w:rsidRDefault="7582E5A9" w:rsidP="2B073ABA">
      <w:pPr>
        <w:spacing w:beforeAutospacing="1" w:afterAutospacing="1" w:line="240" w:lineRule="auto"/>
        <w:rPr>
          <w:rFonts w:ascii="Times New Roman" w:eastAsia="Times New Roman" w:hAnsi="Times New Roman" w:cs="Times New Roman"/>
          <w:color w:val="000000" w:themeColor="text1"/>
        </w:rPr>
      </w:pPr>
      <w:r w:rsidRPr="2B073ABA">
        <w:rPr>
          <w:rFonts w:ascii="Times New Roman" w:eastAsia="Times New Roman" w:hAnsi="Times New Roman" w:cs="Times New Roman"/>
          <w:color w:val="000000" w:themeColor="text1"/>
        </w:rPr>
        <w:t>Beck, A.T., 1976. </w:t>
      </w:r>
      <w:r w:rsidRPr="2B073ABA">
        <w:rPr>
          <w:rFonts w:ascii="Times New Roman" w:eastAsia="Times New Roman" w:hAnsi="Times New Roman" w:cs="Times New Roman"/>
          <w:i/>
          <w:iCs/>
          <w:color w:val="000000" w:themeColor="text1"/>
        </w:rPr>
        <w:t>Cognitive therapy and the emotional disorders</w:t>
      </w:r>
      <w:r w:rsidRPr="2B073ABA">
        <w:rPr>
          <w:rFonts w:ascii="Times New Roman" w:eastAsia="Times New Roman" w:hAnsi="Times New Roman" w:cs="Times New Roman"/>
          <w:color w:val="000000" w:themeColor="text1"/>
        </w:rPr>
        <w:t>. New York: International Universities Press.</w:t>
      </w:r>
    </w:p>
    <w:p w14:paraId="64CAC2EF" w14:textId="0BDF746C" w:rsidR="001B186E" w:rsidRDefault="7582E5A9" w:rsidP="2B073ABA">
      <w:pPr>
        <w:spacing w:beforeAutospacing="1" w:afterAutospacing="1" w:line="240" w:lineRule="auto"/>
        <w:rPr>
          <w:rFonts w:ascii="Times New Roman" w:eastAsia="Times New Roman" w:hAnsi="Times New Roman" w:cs="Times New Roman"/>
          <w:color w:val="000000" w:themeColor="text1"/>
        </w:rPr>
      </w:pPr>
      <w:proofErr w:type="spellStart"/>
      <w:r w:rsidRPr="2B073ABA">
        <w:rPr>
          <w:rFonts w:ascii="Times New Roman" w:eastAsia="Times New Roman" w:hAnsi="Times New Roman" w:cs="Times New Roman"/>
          <w:color w:val="000000" w:themeColor="text1"/>
        </w:rPr>
        <w:t>Bronfenbrenner</w:t>
      </w:r>
      <w:proofErr w:type="spellEnd"/>
      <w:r w:rsidRPr="2B073ABA">
        <w:rPr>
          <w:rFonts w:ascii="Times New Roman" w:eastAsia="Times New Roman" w:hAnsi="Times New Roman" w:cs="Times New Roman"/>
          <w:color w:val="000000" w:themeColor="text1"/>
        </w:rPr>
        <w:t>, U., 1979. </w:t>
      </w:r>
      <w:r w:rsidRPr="2B073ABA">
        <w:rPr>
          <w:rFonts w:ascii="Times New Roman" w:eastAsia="Times New Roman" w:hAnsi="Times New Roman" w:cs="Times New Roman"/>
          <w:i/>
          <w:iCs/>
          <w:color w:val="000000" w:themeColor="text1"/>
        </w:rPr>
        <w:t>The ecology of human development: Experiments by nature and design</w:t>
      </w:r>
      <w:r w:rsidRPr="2B073ABA">
        <w:rPr>
          <w:rFonts w:ascii="Times New Roman" w:eastAsia="Times New Roman" w:hAnsi="Times New Roman" w:cs="Times New Roman"/>
          <w:color w:val="000000" w:themeColor="text1"/>
        </w:rPr>
        <w:t>. Cambridge, MA: Harvard University Press.</w:t>
      </w:r>
    </w:p>
    <w:p w14:paraId="4F1B6B9B" w14:textId="4B6C6D19" w:rsidR="001B186E" w:rsidRDefault="7582E5A9" w:rsidP="2B073ABA">
      <w:pPr>
        <w:spacing w:beforeAutospacing="1" w:afterAutospacing="1" w:line="240" w:lineRule="auto"/>
        <w:rPr>
          <w:rFonts w:ascii="Times New Roman" w:eastAsia="Times New Roman" w:hAnsi="Times New Roman" w:cs="Times New Roman"/>
          <w:color w:val="000000" w:themeColor="text1"/>
        </w:rPr>
      </w:pPr>
      <w:r w:rsidRPr="2B073ABA">
        <w:rPr>
          <w:rFonts w:ascii="Times New Roman" w:eastAsia="Times New Roman" w:hAnsi="Times New Roman" w:cs="Times New Roman"/>
          <w:color w:val="000000" w:themeColor="text1"/>
        </w:rPr>
        <w:t>Department for Education, 2003. </w:t>
      </w:r>
      <w:r w:rsidRPr="2B073ABA">
        <w:rPr>
          <w:rFonts w:ascii="Times New Roman" w:eastAsia="Times New Roman" w:hAnsi="Times New Roman" w:cs="Times New Roman"/>
          <w:i/>
          <w:iCs/>
          <w:color w:val="000000" w:themeColor="text1"/>
        </w:rPr>
        <w:t>Every Child Matters</w:t>
      </w:r>
      <w:r w:rsidRPr="2B073ABA">
        <w:rPr>
          <w:rFonts w:ascii="Times New Roman" w:eastAsia="Times New Roman" w:hAnsi="Times New Roman" w:cs="Times New Roman"/>
          <w:color w:val="000000" w:themeColor="text1"/>
        </w:rPr>
        <w:t>. [online] London: HMSO. Available at: </w:t>
      </w:r>
      <w:hyperlink r:id="rId8">
        <w:r w:rsidRPr="2B073ABA">
          <w:rPr>
            <w:rStyle w:val="Hyperlink"/>
            <w:rFonts w:ascii="Times New Roman" w:eastAsia="Times New Roman" w:hAnsi="Times New Roman" w:cs="Times New Roman"/>
          </w:rPr>
          <w:t>https://www.gov.uk/government/publications/every-child-matters</w:t>
        </w:r>
      </w:hyperlink>
      <w:r w:rsidRPr="2B073ABA">
        <w:rPr>
          <w:rFonts w:ascii="Times New Roman" w:eastAsia="Times New Roman" w:hAnsi="Times New Roman" w:cs="Times New Roman"/>
          <w:color w:val="000000" w:themeColor="text1"/>
        </w:rPr>
        <w:t> [Accessed 15 Apr. 2025].</w:t>
      </w:r>
    </w:p>
    <w:p w14:paraId="384B5F07" w14:textId="1BA0161E" w:rsidR="001B186E" w:rsidRDefault="7582E5A9" w:rsidP="2B073ABA">
      <w:pPr>
        <w:spacing w:beforeAutospacing="1" w:afterAutospacing="1" w:line="240" w:lineRule="auto"/>
        <w:rPr>
          <w:rFonts w:ascii="Times New Roman" w:eastAsia="Times New Roman" w:hAnsi="Times New Roman" w:cs="Times New Roman"/>
          <w:color w:val="000000" w:themeColor="text1"/>
        </w:rPr>
      </w:pPr>
      <w:proofErr w:type="spellStart"/>
      <w:r w:rsidRPr="2B073ABA">
        <w:rPr>
          <w:rFonts w:ascii="Times New Roman" w:eastAsia="Times New Roman" w:hAnsi="Times New Roman" w:cs="Times New Roman"/>
          <w:color w:val="000000" w:themeColor="text1"/>
        </w:rPr>
        <w:t>Durlak</w:t>
      </w:r>
      <w:proofErr w:type="spellEnd"/>
      <w:r w:rsidRPr="2B073ABA">
        <w:rPr>
          <w:rFonts w:ascii="Times New Roman" w:eastAsia="Times New Roman" w:hAnsi="Times New Roman" w:cs="Times New Roman"/>
          <w:color w:val="000000" w:themeColor="text1"/>
        </w:rPr>
        <w:t xml:space="preserve">, J.A., </w:t>
      </w:r>
      <w:proofErr w:type="spellStart"/>
      <w:r w:rsidRPr="2B073ABA">
        <w:rPr>
          <w:rFonts w:ascii="Times New Roman" w:eastAsia="Times New Roman" w:hAnsi="Times New Roman" w:cs="Times New Roman"/>
          <w:color w:val="000000" w:themeColor="text1"/>
        </w:rPr>
        <w:t>Weissberg</w:t>
      </w:r>
      <w:proofErr w:type="spellEnd"/>
      <w:r w:rsidRPr="2B073ABA">
        <w:rPr>
          <w:rFonts w:ascii="Times New Roman" w:eastAsia="Times New Roman" w:hAnsi="Times New Roman" w:cs="Times New Roman"/>
          <w:color w:val="000000" w:themeColor="text1"/>
        </w:rPr>
        <w:t xml:space="preserve">, R.P., </w:t>
      </w:r>
      <w:proofErr w:type="spellStart"/>
      <w:r w:rsidRPr="2B073ABA">
        <w:rPr>
          <w:rFonts w:ascii="Times New Roman" w:eastAsia="Times New Roman" w:hAnsi="Times New Roman" w:cs="Times New Roman"/>
          <w:color w:val="000000" w:themeColor="text1"/>
        </w:rPr>
        <w:t>Dymnicki</w:t>
      </w:r>
      <w:proofErr w:type="spellEnd"/>
      <w:r w:rsidRPr="2B073ABA">
        <w:rPr>
          <w:rFonts w:ascii="Times New Roman" w:eastAsia="Times New Roman" w:hAnsi="Times New Roman" w:cs="Times New Roman"/>
          <w:color w:val="000000" w:themeColor="text1"/>
        </w:rPr>
        <w:t xml:space="preserve">, A.B., Taylor, R.D. and </w:t>
      </w:r>
      <w:proofErr w:type="spellStart"/>
      <w:r w:rsidRPr="2B073ABA">
        <w:rPr>
          <w:rFonts w:ascii="Times New Roman" w:eastAsia="Times New Roman" w:hAnsi="Times New Roman" w:cs="Times New Roman"/>
          <w:color w:val="000000" w:themeColor="text1"/>
        </w:rPr>
        <w:t>Schellinger</w:t>
      </w:r>
      <w:proofErr w:type="spellEnd"/>
      <w:r w:rsidRPr="2B073ABA">
        <w:rPr>
          <w:rFonts w:ascii="Times New Roman" w:eastAsia="Times New Roman" w:hAnsi="Times New Roman" w:cs="Times New Roman"/>
          <w:color w:val="000000" w:themeColor="text1"/>
        </w:rPr>
        <w:t>, K.B., 2011. The impact of enhancing students’ social and emotional learning: A meta‐analysis of school‐based universal interventions. </w:t>
      </w:r>
      <w:r w:rsidRPr="2B073ABA">
        <w:rPr>
          <w:rFonts w:ascii="Times New Roman" w:eastAsia="Times New Roman" w:hAnsi="Times New Roman" w:cs="Times New Roman"/>
          <w:i/>
          <w:iCs/>
          <w:color w:val="000000" w:themeColor="text1"/>
        </w:rPr>
        <w:t>Child Development</w:t>
      </w:r>
      <w:r w:rsidRPr="2B073ABA">
        <w:rPr>
          <w:rFonts w:ascii="Times New Roman" w:eastAsia="Times New Roman" w:hAnsi="Times New Roman" w:cs="Times New Roman"/>
          <w:color w:val="000000" w:themeColor="text1"/>
        </w:rPr>
        <w:t>, 82(1), pp.405–432.</w:t>
      </w:r>
    </w:p>
    <w:p w14:paraId="2F98345B" w14:textId="34025C5A" w:rsidR="001B186E" w:rsidRDefault="7582E5A9" w:rsidP="2B073ABA">
      <w:pPr>
        <w:spacing w:beforeAutospacing="1" w:afterAutospacing="1" w:line="240" w:lineRule="auto"/>
        <w:rPr>
          <w:rFonts w:ascii="Times New Roman" w:eastAsia="Times New Roman" w:hAnsi="Times New Roman" w:cs="Times New Roman"/>
          <w:color w:val="000000" w:themeColor="text1"/>
        </w:rPr>
      </w:pPr>
      <w:proofErr w:type="spellStart"/>
      <w:r w:rsidRPr="2B073ABA">
        <w:rPr>
          <w:rFonts w:ascii="Times New Roman" w:eastAsia="Times New Roman" w:hAnsi="Times New Roman" w:cs="Times New Roman"/>
          <w:color w:val="000000" w:themeColor="text1"/>
        </w:rPr>
        <w:t>Erikson</w:t>
      </w:r>
      <w:proofErr w:type="spellEnd"/>
      <w:r w:rsidRPr="2B073ABA">
        <w:rPr>
          <w:rFonts w:ascii="Times New Roman" w:eastAsia="Times New Roman" w:hAnsi="Times New Roman" w:cs="Times New Roman"/>
          <w:color w:val="000000" w:themeColor="text1"/>
        </w:rPr>
        <w:t>, E.H., 1968. </w:t>
      </w:r>
      <w:r w:rsidRPr="2B073ABA">
        <w:rPr>
          <w:rFonts w:ascii="Times New Roman" w:eastAsia="Times New Roman" w:hAnsi="Times New Roman" w:cs="Times New Roman"/>
          <w:i/>
          <w:iCs/>
          <w:color w:val="000000" w:themeColor="text1"/>
        </w:rPr>
        <w:t>Identity: Youth and crisis</w:t>
      </w:r>
      <w:r w:rsidRPr="2B073ABA">
        <w:rPr>
          <w:rFonts w:ascii="Times New Roman" w:eastAsia="Times New Roman" w:hAnsi="Times New Roman" w:cs="Times New Roman"/>
          <w:color w:val="000000" w:themeColor="text1"/>
        </w:rPr>
        <w:t>. New York: W. W. Norton &amp; Company.</w:t>
      </w:r>
    </w:p>
    <w:p w14:paraId="2DA7FE47" w14:textId="6B6E03C8" w:rsidR="001B186E" w:rsidRDefault="7582E5A9" w:rsidP="2B073ABA">
      <w:pPr>
        <w:spacing w:beforeAutospacing="1" w:afterAutospacing="1" w:line="240" w:lineRule="auto"/>
        <w:rPr>
          <w:rFonts w:ascii="Times New Roman" w:eastAsia="Times New Roman" w:hAnsi="Times New Roman" w:cs="Times New Roman"/>
          <w:color w:val="000000" w:themeColor="text1"/>
        </w:rPr>
      </w:pPr>
      <w:r w:rsidRPr="2B073ABA">
        <w:rPr>
          <w:rFonts w:ascii="Times New Roman" w:eastAsia="Times New Roman" w:hAnsi="Times New Roman" w:cs="Times New Roman"/>
          <w:color w:val="000000" w:themeColor="text1"/>
        </w:rPr>
        <w:lastRenderedPageBreak/>
        <w:t>Rhodes, J.E., 2002. </w:t>
      </w:r>
      <w:r w:rsidRPr="2B073ABA">
        <w:rPr>
          <w:rFonts w:ascii="Times New Roman" w:eastAsia="Times New Roman" w:hAnsi="Times New Roman" w:cs="Times New Roman"/>
          <w:i/>
          <w:iCs/>
          <w:color w:val="000000" w:themeColor="text1"/>
        </w:rPr>
        <w:t>Stand by me: The risks and rewards of mentoring today's youth</w:t>
      </w:r>
      <w:r w:rsidRPr="2B073ABA">
        <w:rPr>
          <w:rFonts w:ascii="Times New Roman" w:eastAsia="Times New Roman" w:hAnsi="Times New Roman" w:cs="Times New Roman"/>
          <w:color w:val="000000" w:themeColor="text1"/>
        </w:rPr>
        <w:t>. Cambridge, MA: Harvard University Press.</w:t>
      </w:r>
    </w:p>
    <w:p w14:paraId="3866D1AB" w14:textId="5BC1837E" w:rsidR="001B186E" w:rsidRDefault="7582E5A9" w:rsidP="2B073ABA">
      <w:pPr>
        <w:spacing w:beforeAutospacing="1" w:afterAutospacing="1" w:line="240" w:lineRule="auto"/>
        <w:rPr>
          <w:rFonts w:ascii="Times New Roman" w:eastAsia="Times New Roman" w:hAnsi="Times New Roman" w:cs="Times New Roman"/>
          <w:color w:val="000000" w:themeColor="text1"/>
        </w:rPr>
      </w:pPr>
      <w:r w:rsidRPr="2B073ABA">
        <w:rPr>
          <w:rFonts w:ascii="Times New Roman" w:eastAsia="Times New Roman" w:hAnsi="Times New Roman" w:cs="Times New Roman"/>
          <w:color w:val="000000" w:themeColor="text1"/>
        </w:rPr>
        <w:t>Youth Justice Board, 2020. </w:t>
      </w:r>
      <w:r w:rsidRPr="2B073ABA">
        <w:rPr>
          <w:rFonts w:ascii="Times New Roman" w:eastAsia="Times New Roman" w:hAnsi="Times New Roman" w:cs="Times New Roman"/>
          <w:i/>
          <w:iCs/>
          <w:color w:val="000000" w:themeColor="text1"/>
        </w:rPr>
        <w:t>Strategic Plan 2021–2024</w:t>
      </w:r>
      <w:r w:rsidRPr="2B073ABA">
        <w:rPr>
          <w:rFonts w:ascii="Times New Roman" w:eastAsia="Times New Roman" w:hAnsi="Times New Roman" w:cs="Times New Roman"/>
          <w:color w:val="000000" w:themeColor="text1"/>
        </w:rPr>
        <w:t>. [online] London: Youth Justice Board for England and Wales. Available at: </w:t>
      </w:r>
      <w:hyperlink r:id="rId9">
        <w:r w:rsidRPr="2B073ABA">
          <w:rPr>
            <w:rStyle w:val="Hyperlink"/>
            <w:rFonts w:ascii="Times New Roman" w:eastAsia="Times New Roman" w:hAnsi="Times New Roman" w:cs="Times New Roman"/>
          </w:rPr>
          <w:t>https://www.gov.uk/government/organisations/youth-justice-board-for-england-and-wales</w:t>
        </w:r>
      </w:hyperlink>
      <w:r w:rsidRPr="2B073ABA">
        <w:rPr>
          <w:rFonts w:ascii="Times New Roman" w:eastAsia="Times New Roman" w:hAnsi="Times New Roman" w:cs="Times New Roman"/>
          <w:color w:val="000000" w:themeColor="text1"/>
        </w:rPr>
        <w:t> [Accessed 15 Apr. 2025].</w:t>
      </w:r>
    </w:p>
    <w:p w14:paraId="4D1B4C63" w14:textId="12B82493" w:rsidR="001B186E" w:rsidRDefault="001B186E" w:rsidP="2B073ABA">
      <w:pPr>
        <w:spacing w:before="240" w:after="240"/>
        <w:rPr>
          <w:rFonts w:ascii="Aptos" w:eastAsia="Aptos" w:hAnsi="Aptos" w:cs="Aptos"/>
        </w:rPr>
      </w:pPr>
    </w:p>
    <w:p w14:paraId="1C1CD151" w14:textId="438E07EC" w:rsidR="001B186E" w:rsidRDefault="001B186E" w:rsidP="2B073ABA">
      <w:pPr>
        <w:spacing w:before="240" w:after="240"/>
        <w:rPr>
          <w:rFonts w:ascii="Aptos" w:eastAsia="Aptos" w:hAnsi="Aptos" w:cs="Aptos"/>
        </w:rPr>
      </w:pPr>
    </w:p>
    <w:p w14:paraId="413D73EA" w14:textId="2F9852CD" w:rsidR="001B186E" w:rsidRDefault="001B186E" w:rsidP="2B073ABA">
      <w:pPr>
        <w:spacing w:before="240" w:after="240"/>
        <w:rPr>
          <w:rFonts w:ascii="Aptos" w:eastAsia="Aptos" w:hAnsi="Aptos" w:cs="Aptos"/>
        </w:rPr>
      </w:pPr>
    </w:p>
    <w:p w14:paraId="5E5787A5" w14:textId="06B3DCDC" w:rsidR="001B186E" w:rsidRDefault="001B186E"/>
    <w:sectPr w:rsidR="001B186E">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ED0E30" w14:textId="77777777" w:rsidR="005E4E8A" w:rsidRDefault="005E4E8A">
      <w:pPr>
        <w:spacing w:after="0" w:line="240" w:lineRule="auto"/>
      </w:pPr>
      <w:r>
        <w:separator/>
      </w:r>
    </w:p>
  </w:endnote>
  <w:endnote w:type="continuationSeparator" w:id="0">
    <w:p w14:paraId="466687F8" w14:textId="77777777" w:rsidR="005E4E8A" w:rsidRDefault="005E4E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B073ABA" w14:paraId="4DD87201" w14:textId="77777777" w:rsidTr="2B073ABA">
      <w:trPr>
        <w:trHeight w:val="300"/>
      </w:trPr>
      <w:tc>
        <w:tcPr>
          <w:tcW w:w="3005" w:type="dxa"/>
        </w:tcPr>
        <w:p w14:paraId="3AB30468" w14:textId="2E46BFB2" w:rsidR="2B073ABA" w:rsidRDefault="2B073ABA" w:rsidP="2B073ABA">
          <w:pPr>
            <w:pStyle w:val="Header"/>
            <w:ind w:left="-115"/>
          </w:pPr>
        </w:p>
      </w:tc>
      <w:tc>
        <w:tcPr>
          <w:tcW w:w="3005" w:type="dxa"/>
        </w:tcPr>
        <w:p w14:paraId="08C90874" w14:textId="1FD16A11" w:rsidR="2B073ABA" w:rsidRDefault="2B073ABA" w:rsidP="2B073ABA">
          <w:pPr>
            <w:pStyle w:val="Header"/>
            <w:jc w:val="center"/>
          </w:pPr>
        </w:p>
      </w:tc>
      <w:tc>
        <w:tcPr>
          <w:tcW w:w="3005" w:type="dxa"/>
        </w:tcPr>
        <w:p w14:paraId="7A8C93C5" w14:textId="69A741D1" w:rsidR="2B073ABA" w:rsidRDefault="2B073ABA" w:rsidP="2B073ABA">
          <w:pPr>
            <w:pStyle w:val="Header"/>
            <w:ind w:right="-115"/>
            <w:jc w:val="right"/>
          </w:pPr>
        </w:p>
      </w:tc>
    </w:tr>
  </w:tbl>
  <w:p w14:paraId="3FEB9AA5" w14:textId="5B4379C1" w:rsidR="2B073ABA" w:rsidRDefault="2B073ABA" w:rsidP="2B073A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8A4F8F" w14:textId="77777777" w:rsidR="005E4E8A" w:rsidRDefault="005E4E8A">
      <w:pPr>
        <w:spacing w:after="0" w:line="240" w:lineRule="auto"/>
      </w:pPr>
      <w:r>
        <w:separator/>
      </w:r>
    </w:p>
  </w:footnote>
  <w:footnote w:type="continuationSeparator" w:id="0">
    <w:p w14:paraId="4C820DFD" w14:textId="77777777" w:rsidR="005E4E8A" w:rsidRDefault="005E4E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B073ABA" w14:paraId="065C61A2" w14:textId="77777777" w:rsidTr="2B073ABA">
      <w:trPr>
        <w:trHeight w:val="300"/>
      </w:trPr>
      <w:tc>
        <w:tcPr>
          <w:tcW w:w="3005" w:type="dxa"/>
        </w:tcPr>
        <w:p w14:paraId="183D29BA" w14:textId="3DC0AC5E" w:rsidR="2B073ABA" w:rsidRDefault="2B073ABA" w:rsidP="2B073ABA">
          <w:pPr>
            <w:pStyle w:val="Header"/>
            <w:ind w:left="-115"/>
          </w:pPr>
          <w:r>
            <w:t>2404639</w:t>
          </w:r>
        </w:p>
      </w:tc>
      <w:tc>
        <w:tcPr>
          <w:tcW w:w="3005" w:type="dxa"/>
        </w:tcPr>
        <w:p w14:paraId="31D1AED2" w14:textId="5EA074B7" w:rsidR="2B073ABA" w:rsidRDefault="2B073ABA" w:rsidP="2B073ABA">
          <w:pPr>
            <w:pStyle w:val="Header"/>
            <w:jc w:val="center"/>
          </w:pPr>
        </w:p>
      </w:tc>
      <w:tc>
        <w:tcPr>
          <w:tcW w:w="3005" w:type="dxa"/>
        </w:tcPr>
        <w:p w14:paraId="5D8CAEB9" w14:textId="19D8B166" w:rsidR="2B073ABA" w:rsidRDefault="3B9437D5" w:rsidP="2B073ABA">
          <w:pPr>
            <w:pStyle w:val="Header"/>
            <w:ind w:right="-115"/>
            <w:jc w:val="right"/>
          </w:pPr>
          <w:r>
            <w:t>ECYW4003</w:t>
          </w:r>
        </w:p>
      </w:tc>
    </w:tr>
  </w:tbl>
  <w:p w14:paraId="58DB8428" w14:textId="5A3CFE42" w:rsidR="2B073ABA" w:rsidRDefault="2B073ABA" w:rsidP="2B073ABA">
    <w:pPr>
      <w:pStyle w:val="Header"/>
    </w:pPr>
  </w:p>
</w:hdr>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BC315C"/>
    <w:rsid w:val="001B186E"/>
    <w:rsid w:val="005E4E8A"/>
    <w:rsid w:val="00C430BE"/>
    <w:rsid w:val="00D9245E"/>
    <w:rsid w:val="01FD7206"/>
    <w:rsid w:val="07CF53B7"/>
    <w:rsid w:val="08980B9F"/>
    <w:rsid w:val="0A4355B5"/>
    <w:rsid w:val="0B8688AE"/>
    <w:rsid w:val="0C3BEE8C"/>
    <w:rsid w:val="1565C988"/>
    <w:rsid w:val="1A7F4E28"/>
    <w:rsid w:val="1B7E3F64"/>
    <w:rsid w:val="1F5F29A4"/>
    <w:rsid w:val="209D84BB"/>
    <w:rsid w:val="2282497B"/>
    <w:rsid w:val="2319FBFD"/>
    <w:rsid w:val="25C8E752"/>
    <w:rsid w:val="28FB30F0"/>
    <w:rsid w:val="2A2F90F5"/>
    <w:rsid w:val="2B073ABA"/>
    <w:rsid w:val="2CC1DDA0"/>
    <w:rsid w:val="2E511C54"/>
    <w:rsid w:val="33BC315C"/>
    <w:rsid w:val="3B9437D5"/>
    <w:rsid w:val="3F34463A"/>
    <w:rsid w:val="42F5085D"/>
    <w:rsid w:val="51F5D9B5"/>
    <w:rsid w:val="52554971"/>
    <w:rsid w:val="53EE7D10"/>
    <w:rsid w:val="568EB051"/>
    <w:rsid w:val="57527587"/>
    <w:rsid w:val="582D345D"/>
    <w:rsid w:val="5918F0C9"/>
    <w:rsid w:val="60814E2A"/>
    <w:rsid w:val="61F14253"/>
    <w:rsid w:val="6360DCD9"/>
    <w:rsid w:val="63CA0C6E"/>
    <w:rsid w:val="65C25C82"/>
    <w:rsid w:val="6AC6E57A"/>
    <w:rsid w:val="6B34ED96"/>
    <w:rsid w:val="6C20872F"/>
    <w:rsid w:val="6F3440AF"/>
    <w:rsid w:val="6F37EA65"/>
    <w:rsid w:val="6F730F8E"/>
    <w:rsid w:val="6FDE8DE5"/>
    <w:rsid w:val="70F7520F"/>
    <w:rsid w:val="7107E9E0"/>
    <w:rsid w:val="737D8606"/>
    <w:rsid w:val="7499FB9F"/>
    <w:rsid w:val="751A8D6A"/>
    <w:rsid w:val="7582E5A9"/>
    <w:rsid w:val="79FB7FEB"/>
    <w:rsid w:val="7AC2DB4D"/>
    <w:rsid w:val="7CBDFCD8"/>
    <w:rsid w:val="7D751ED9"/>
    <w:rsid w:val="7F412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C315C"/>
  <w15:chartTrackingRefBased/>
  <w15:docId w15:val="{EA3D43BE-D27A-464F-AB7C-91F258299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2B073ABA"/>
    <w:rPr>
      <w:color w:val="467886"/>
      <w:u w:val="single"/>
    </w:rPr>
  </w:style>
  <w:style w:type="paragraph" w:styleId="Header">
    <w:name w:val="header"/>
    <w:basedOn w:val="Normal"/>
    <w:uiPriority w:val="99"/>
    <w:unhideWhenUsed/>
    <w:rsid w:val="2B073ABA"/>
    <w:pPr>
      <w:tabs>
        <w:tab w:val="center" w:pos="4680"/>
        <w:tab w:val="right" w:pos="9360"/>
      </w:tabs>
      <w:spacing w:after="0" w:line="240" w:lineRule="auto"/>
    </w:pPr>
  </w:style>
  <w:style w:type="paragraph" w:styleId="Footer">
    <w:name w:val="footer"/>
    <w:basedOn w:val="Normal"/>
    <w:uiPriority w:val="99"/>
    <w:unhideWhenUsed/>
    <w:rsid w:val="2B073AB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every-child-matter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v.uk/government/organisations/youth-justice-board-for-england-and-wales"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3073</Words>
  <Characters>17521</Characters>
  <Application>Microsoft Office Word</Application>
  <DocSecurity>0</DocSecurity>
  <Lines>146</Lines>
  <Paragraphs>41</Paragraphs>
  <ScaleCrop>false</ScaleCrop>
  <Company/>
  <LinksUpToDate>false</LinksUpToDate>
  <CharactersWithSpaces>20553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Deenah Zaakirah (2404639)</dc:creator>
  <cp:keywords/>
  <dc:description/>
  <cp:lastModifiedBy>Deenah Zaakirah (2404639)</cp:lastModifiedBy>
  <cp:revision>3</cp:revision>
  <dcterms:created xsi:type="dcterms:W3CDTF">2025-04-15T23:48:00Z</dcterms:created>
  <dcterms:modified xsi:type="dcterms:W3CDTF">2025-04-16T01:24:00Z</dcterms:modified>
</cp:coreProperties>
</file>