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4A453" w14:textId="77777777" w:rsidR="007C52D1" w:rsidRDefault="007C52D1" w:rsidP="007C52D1">
      <w:pPr>
        <w:spacing w:line="360" w:lineRule="auto"/>
        <w:jc w:val="both"/>
        <w:rPr>
          <w:rFonts w:ascii="Arial" w:hAnsi="Arial" w:cs="Arial"/>
          <w:b/>
          <w:bCs/>
          <w:lang w:val="en-GB"/>
        </w:rPr>
      </w:pPr>
      <w:bookmarkStart w:id="0" w:name="_GoBack"/>
      <w:bookmarkEnd w:id="0"/>
      <w:r>
        <w:rPr>
          <w:rFonts w:ascii="Arial" w:hAnsi="Arial" w:cs="Arial"/>
          <w:b/>
          <w:bCs/>
          <w:lang w:val="en-GB"/>
        </w:rPr>
        <w:t>Findings and Conclusion</w:t>
      </w:r>
    </w:p>
    <w:p w14:paraId="4A710601" w14:textId="77777777" w:rsidR="007C52D1" w:rsidRDefault="007C52D1" w:rsidP="007C52D1">
      <w:pPr>
        <w:spacing w:line="360" w:lineRule="auto"/>
        <w:jc w:val="both"/>
        <w:rPr>
          <w:rFonts w:ascii="Arial" w:hAnsi="Arial" w:cs="Arial"/>
          <w:b/>
          <w:bCs/>
          <w:lang w:val="en-GB"/>
        </w:rPr>
      </w:pPr>
    </w:p>
    <w:p w14:paraId="6D003CE3" w14:textId="77777777" w:rsidR="007C52D1" w:rsidRDefault="007C52D1" w:rsidP="007C52D1">
      <w:pPr>
        <w:pStyle w:val="ListParagraph"/>
        <w:numPr>
          <w:ilvl w:val="1"/>
          <w:numId w:val="1"/>
        </w:numPr>
        <w:spacing w:line="360" w:lineRule="auto"/>
        <w:jc w:val="both"/>
        <w:rPr>
          <w:rFonts w:ascii="Arial" w:hAnsi="Arial" w:cs="Arial"/>
          <w:b/>
          <w:bCs/>
          <w:lang w:val="en-GB"/>
        </w:rPr>
      </w:pPr>
      <w:r>
        <w:rPr>
          <w:rFonts w:ascii="Arial" w:hAnsi="Arial" w:cs="Arial"/>
          <w:b/>
          <w:bCs/>
          <w:lang w:val="en-GB"/>
        </w:rPr>
        <w:t>Identifying coercive control</w:t>
      </w:r>
    </w:p>
    <w:p w14:paraId="3D2CB937" w14:textId="77777777" w:rsidR="007C52D1" w:rsidRDefault="007C52D1" w:rsidP="007C52D1">
      <w:pPr>
        <w:spacing w:line="360" w:lineRule="auto"/>
        <w:jc w:val="both"/>
        <w:rPr>
          <w:rFonts w:ascii="Arial" w:hAnsi="Arial" w:cs="Arial"/>
        </w:rPr>
      </w:pPr>
      <w:r>
        <w:rPr>
          <w:rFonts w:ascii="Arial" w:hAnsi="Arial" w:cs="Arial"/>
          <w:lang w:val="en-GB"/>
        </w:rPr>
        <w:t xml:space="preserve">The responses to questions 4.1 (Fig.1) and 4.15 (Fig.2) are not surprising in that for many of the respondents, identifying coercive control and male victims of coercive control, is not easy. This is similar to Wiener’s (2017) findings where participants who were serving police officers agreed that </w:t>
      </w:r>
      <w:r>
        <w:rPr>
          <w:rFonts w:ascii="Arial" w:hAnsi="Arial" w:cs="Arial"/>
          <w:color w:val="1C1D1E"/>
          <w:shd w:val="clear" w:color="auto" w:fill="FFFFFF"/>
        </w:rPr>
        <w:t xml:space="preserve">coercive control is complicated. The participants in Wiener’s study felt that the difficulties in identifying coercive control could be attributed to the fact that such abuse is not simply one behaviour, but a set of interlinking behaviours, behaviours that the police may be unfamiliar with, and it may be difficult to link a controlling intent in the same way as one would immediately see a domestic assault. In terms of identifying male victims, it is even more stark, with the majority of participants disagreeing that male victims are easy to identify. There may be a multitude of reasons for this. At a societal level, there is a narrative </w:t>
      </w:r>
      <w:r>
        <w:rPr>
          <w:rFonts w:ascii="Arial" w:hAnsi="Arial" w:cs="Arial"/>
        </w:rPr>
        <w:t>that frames domestic abuse and coercive control as a gendered issue and this dominant and pervasive gendered narrative is highlighted when we consider campaigns, where there has not been one national level campaign for male victims in the UK. Such invisibility arguably spills over into services and support agencies such as the police, social services, and the family courts, who may not recognise men’s victimisation (Graham-Kevan et al, 2021).</w:t>
      </w:r>
    </w:p>
    <w:p w14:paraId="77CA4A6B" w14:textId="77777777" w:rsidR="007C52D1" w:rsidRDefault="007C52D1" w:rsidP="007C52D1">
      <w:pPr>
        <w:spacing w:line="360" w:lineRule="auto"/>
        <w:jc w:val="both"/>
        <w:rPr>
          <w:rFonts w:ascii="Arial" w:hAnsi="Arial" w:cs="Arial"/>
          <w:b/>
          <w:bCs/>
          <w:lang w:val="en-GB"/>
        </w:rPr>
      </w:pPr>
    </w:p>
    <w:p w14:paraId="2695EA1A" w14:textId="77777777" w:rsidR="007C52D1" w:rsidRDefault="007C52D1" w:rsidP="007C52D1">
      <w:pPr>
        <w:pStyle w:val="ListParagraph"/>
        <w:numPr>
          <w:ilvl w:val="1"/>
          <w:numId w:val="1"/>
        </w:numPr>
        <w:spacing w:line="360" w:lineRule="auto"/>
        <w:jc w:val="both"/>
        <w:rPr>
          <w:rFonts w:ascii="Arial" w:hAnsi="Arial" w:cs="Arial"/>
          <w:b/>
          <w:bCs/>
          <w:lang w:val="en-GB"/>
        </w:rPr>
      </w:pPr>
      <w:r>
        <w:rPr>
          <w:rFonts w:ascii="Arial" w:hAnsi="Arial" w:cs="Arial"/>
          <w:b/>
          <w:bCs/>
          <w:lang w:val="en-GB"/>
        </w:rPr>
        <w:t>The impact of coercive control legislation</w:t>
      </w:r>
    </w:p>
    <w:p w14:paraId="6042AB67" w14:textId="77777777" w:rsidR="007C52D1" w:rsidRDefault="007C52D1" w:rsidP="007C52D1">
      <w:pPr>
        <w:spacing w:line="360" w:lineRule="auto"/>
        <w:jc w:val="both"/>
        <w:rPr>
          <w:rFonts w:ascii="Arial" w:hAnsi="Arial" w:cs="Arial"/>
          <w:lang w:val="en-GB"/>
        </w:rPr>
      </w:pPr>
      <w:r>
        <w:rPr>
          <w:rFonts w:ascii="Arial" w:hAnsi="Arial" w:cs="Arial"/>
          <w:lang w:val="en-GB"/>
        </w:rPr>
        <w:t xml:space="preserve">In terms of the impact of coercive control legislation, </w:t>
      </w:r>
      <w:r>
        <w:rPr>
          <w:rFonts w:ascii="Arial" w:hAnsi="Arial" w:cs="Arial"/>
          <w:noProof/>
        </w:rPr>
        <w:t xml:space="preserve">for all questions in this section, the data shows that particpants tended to mildly or strongly agree with the majority of the statements posed. The particpants overall felt that the legislation has supported them in taking positive action, respond more effectively to coercive control incidents, show greater empathy with victims, be less sceptical and understand the impact of such abuse on victims lives. However, Myhill’s (2019) study around police attitudes and decision making in relation to domestic abuse and coercive control found that </w:t>
      </w:r>
      <w:r>
        <w:rPr>
          <w:rFonts w:ascii="Arial" w:hAnsi="Arial" w:cs="Arial"/>
          <w:lang w:val="en-GB"/>
        </w:rPr>
        <w:t xml:space="preserve">some officers reflect an incident-specific focus and place injurious physical assault at the top of a hierarchy of evidence. Myhill identified that for some officers, their understanding and conceptualisation of domestic violence is frequently at odds with the reality of coercive control where cases are seen as being serious only when the incident involves physical violence. This is reiterated by Barlow et al (2019) who </w:t>
      </w:r>
      <w:r>
        <w:rPr>
          <w:rFonts w:ascii="Arial" w:hAnsi="Arial" w:cs="Arial"/>
          <w:lang w:val="en-GB"/>
        </w:rPr>
        <w:lastRenderedPageBreak/>
        <w:t xml:space="preserve">considers that police officers feel that clear evidence is needed for prosecution, meaning that </w:t>
      </w:r>
      <w:r>
        <w:rPr>
          <w:rFonts w:ascii="Arial" w:hAnsi="Arial" w:cs="Arial"/>
        </w:rPr>
        <w:t>there may be a tension for the practical implementation of the offence of coercive control, since such behaviours may or may not include physical violence and thus potentially introduces a further level of uncertainty.</w:t>
      </w:r>
      <w:r>
        <w:rPr>
          <w:rFonts w:ascii="Arial" w:hAnsi="Arial" w:cs="Arial"/>
          <w:lang w:val="en-GB"/>
        </w:rPr>
        <w:t xml:space="preserve"> Nonetheless, both studies are four years old and therefore the embedding of this legislation alongside updated training may have had a significant impact on police responses to coercive control and explain the participants responses.</w:t>
      </w:r>
    </w:p>
    <w:p w14:paraId="78B684F4" w14:textId="77777777" w:rsidR="007C52D1" w:rsidRDefault="007C52D1" w:rsidP="007C52D1">
      <w:pPr>
        <w:spacing w:line="360" w:lineRule="auto"/>
        <w:jc w:val="both"/>
        <w:rPr>
          <w:rFonts w:ascii="Arial" w:hAnsi="Arial" w:cs="Arial"/>
          <w:b/>
          <w:bCs/>
          <w:lang w:val="en-GB"/>
        </w:rPr>
      </w:pPr>
    </w:p>
    <w:p w14:paraId="0D176C1F" w14:textId="77777777" w:rsidR="007C52D1" w:rsidRDefault="007C52D1" w:rsidP="007C52D1">
      <w:pPr>
        <w:pStyle w:val="ListParagraph"/>
        <w:numPr>
          <w:ilvl w:val="1"/>
          <w:numId w:val="1"/>
        </w:numPr>
        <w:spacing w:line="360" w:lineRule="auto"/>
        <w:jc w:val="both"/>
        <w:rPr>
          <w:rFonts w:ascii="Arial" w:hAnsi="Arial" w:cs="Arial"/>
          <w:b/>
          <w:bCs/>
          <w:lang w:val="en-GB"/>
        </w:rPr>
      </w:pPr>
      <w:r>
        <w:rPr>
          <w:rFonts w:ascii="Arial" w:hAnsi="Arial" w:cs="Arial"/>
          <w:b/>
          <w:bCs/>
          <w:lang w:val="en-GB"/>
        </w:rPr>
        <w:t>Understanding and responding to coercive control</w:t>
      </w:r>
    </w:p>
    <w:p w14:paraId="569B8EE4" w14:textId="77777777" w:rsidR="007C52D1" w:rsidRDefault="007C52D1" w:rsidP="007C52D1">
      <w:pPr>
        <w:spacing w:line="360" w:lineRule="auto"/>
        <w:jc w:val="both"/>
        <w:rPr>
          <w:rFonts w:ascii="Arial" w:hAnsi="Arial" w:cs="Arial"/>
          <w:b/>
          <w:bCs/>
          <w:lang w:val="en-GB"/>
        </w:rPr>
      </w:pPr>
    </w:p>
    <w:p w14:paraId="28C5B26C" w14:textId="77777777" w:rsidR="007C52D1" w:rsidRDefault="007C52D1" w:rsidP="007C52D1">
      <w:pPr>
        <w:spacing w:line="360" w:lineRule="auto"/>
        <w:jc w:val="both"/>
        <w:rPr>
          <w:rFonts w:ascii="Arial" w:hAnsi="Arial" w:cs="Arial"/>
        </w:rPr>
      </w:pPr>
      <w:r>
        <w:rPr>
          <w:rFonts w:ascii="Arial" w:hAnsi="Arial" w:cs="Arial"/>
        </w:rPr>
        <w:t xml:space="preserve">In relation to understanding coercive control Q4.4 (Fig. 10), the majority of participants (56.3%) strongly or mildly agreed that ‘greater understanding of coercive control has improved response to incidents.’ These responses coincide with Brennan and Myhill’s (2022) research which found that since 2015 </w:t>
      </w:r>
      <w:r>
        <w:rPr>
          <w:rFonts w:ascii="Arial" w:hAnsi="Arial" w:cs="Arial"/>
          <w:color w:val="2A2A2A"/>
          <w:shd w:val="clear" w:color="auto" w:fill="FFFFFF"/>
        </w:rPr>
        <w:t xml:space="preserve">the rate of recorded crimes of coercive control observed in the data has approximately doubled. The researchers argue that these increases in recording could be a result of the offence bedding in, and as such are a reflection of the increased recognition, ability and willingness by police to record reported behaviours as coercive control. Responding to coercive control in 2023 shows a differing picture, with some questions highlighting the difficulties in gathering evidence of coercive control (Q4.11, Fig.14) and the negative impact of covid 19 on police ability to respond to coercive control (Q4.13, Fig.11). Kellam (2020) highlights how the insidious nature of coercive control makes it difficult for officers to obtain evidence of coercive control needed for prosecution. Johnson and Hohl (2023) consider how covid 19 impacted on police response to coercive control, finding that </w:t>
      </w:r>
      <w:r>
        <w:rPr>
          <w:rFonts w:ascii="Arial" w:hAnsi="Arial" w:cs="Arial"/>
        </w:rPr>
        <w:t xml:space="preserve">during the pandemic, frontline officers reported that they were attending an increased number of ‘isolated’ or ‘situational’ domestic incidents caused by the stresses of the pandemic, rather than escalating domestic abuse or ongoing coercive control. Walklate et al (2022) agree and also highlight the evidence that lockdown had a significant detrimental impact on wider delivery of services for women and children affected by domestic abuse. </w:t>
      </w:r>
    </w:p>
    <w:p w14:paraId="435A9ACC" w14:textId="77777777" w:rsidR="007C52D1" w:rsidRDefault="007C52D1" w:rsidP="007C52D1">
      <w:pPr>
        <w:spacing w:line="360" w:lineRule="auto"/>
        <w:jc w:val="both"/>
        <w:rPr>
          <w:rFonts w:ascii="Arial" w:hAnsi="Arial" w:cs="Arial"/>
          <w:b/>
          <w:bCs/>
          <w:lang w:val="en-GB"/>
        </w:rPr>
      </w:pPr>
    </w:p>
    <w:p w14:paraId="05F15B7B" w14:textId="77777777" w:rsidR="007C52D1" w:rsidRDefault="007C52D1" w:rsidP="007C52D1">
      <w:pPr>
        <w:spacing w:line="360" w:lineRule="auto"/>
        <w:jc w:val="both"/>
        <w:rPr>
          <w:rFonts w:ascii="Arial" w:hAnsi="Arial" w:cs="Arial"/>
          <w:b/>
          <w:bCs/>
          <w:lang w:val="en-GB"/>
        </w:rPr>
      </w:pPr>
      <w:r>
        <w:rPr>
          <w:rFonts w:ascii="Arial" w:hAnsi="Arial" w:cs="Arial"/>
          <w:b/>
          <w:bCs/>
          <w:lang w:val="en-GB"/>
        </w:rPr>
        <w:t>1.4 Limitations</w:t>
      </w:r>
    </w:p>
    <w:p w14:paraId="174F2938" w14:textId="77777777" w:rsidR="007C52D1" w:rsidRDefault="007C52D1" w:rsidP="007C52D1">
      <w:pPr>
        <w:spacing w:line="360" w:lineRule="auto"/>
        <w:jc w:val="both"/>
        <w:rPr>
          <w:rFonts w:ascii="Arial" w:hAnsi="Arial" w:cs="Arial"/>
          <w:lang w:val="en-GB"/>
        </w:rPr>
      </w:pPr>
    </w:p>
    <w:p w14:paraId="52ED1146" w14:textId="77777777" w:rsidR="007C52D1" w:rsidRDefault="007C52D1" w:rsidP="007C52D1">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The limitations of the research must be acknowledged. The biggest limitation for this study is the response rate as there were only 16 respondents. Such a response rate means that the sample is not representative and therefore the data collected cannot be generalised to the target population (Fincham, 2008) of Gwent police officers. However, the results and subsequent analysis do offer some insights into understanding how</w:t>
      </w:r>
      <w:r>
        <w:rPr>
          <w:rFonts w:ascii="Arial" w:hAnsi="Arial" w:cs="Arial"/>
          <w:color w:val="000000" w:themeColor="text1"/>
        </w:rPr>
        <w:t xml:space="preserve"> the 2015 legislation in relation to coercive control has changed police response in Gwent.</w:t>
      </w:r>
      <w:r>
        <w:rPr>
          <w:rFonts w:ascii="Arial" w:hAnsi="Arial" w:cs="Arial"/>
          <w:color w:val="000000" w:themeColor="text1"/>
          <w:shd w:val="clear" w:color="auto" w:fill="FFFFFF"/>
        </w:rPr>
        <w:t xml:space="preserve"> Another limitation is that the sample is made up of police officers whom all work in the same station as the researcher which means the data could be subject to social desirability bias. The subject is a sensitive one, asking police officers to consider their own practice and again, this could lead the data to be subject to social desirability bias. Such bias was found in Holtgraves’ (2004) study where participants who were given self-report questionnaires about undesirable personality traits took longer to respond because they were concerned that their responses may impact on their social image. Therefore, it can be surmised that as the researcher is based at the station and is known by all participants, participants may not have answered truthfully thus affecting the validity of the data. </w:t>
      </w:r>
      <w:r>
        <w:rPr>
          <w:rFonts w:ascii="Arial" w:hAnsi="Arial" w:cs="Arial"/>
        </w:rPr>
        <w:t xml:space="preserve">Another limitation was the way in which the sample was selected. As participants volunteered to take part in the study, the sample was non-random meaning that not all persons who were invited to participate did so, therefore the results gained could again be subject to bias (Wallin, 1949). </w:t>
      </w:r>
    </w:p>
    <w:p w14:paraId="6BBC92A7" w14:textId="77777777" w:rsidR="007C52D1" w:rsidRDefault="007C52D1" w:rsidP="007C52D1">
      <w:pPr>
        <w:spacing w:line="360" w:lineRule="auto"/>
        <w:jc w:val="both"/>
        <w:rPr>
          <w:rFonts w:ascii="Arial" w:hAnsi="Arial" w:cs="Arial"/>
          <w:color w:val="000000" w:themeColor="text1"/>
          <w:shd w:val="clear" w:color="auto" w:fill="FFFFFF"/>
        </w:rPr>
      </w:pPr>
    </w:p>
    <w:p w14:paraId="3C5303E9" w14:textId="77777777" w:rsidR="007C52D1" w:rsidRDefault="007C52D1" w:rsidP="007C52D1">
      <w:pPr>
        <w:spacing w:line="360" w:lineRule="auto"/>
        <w:jc w:val="both"/>
        <w:rPr>
          <w:rFonts w:ascii="Arial" w:hAnsi="Arial" w:cs="Arial"/>
          <w:color w:val="000000" w:themeColor="text1"/>
          <w:shd w:val="clear" w:color="auto" w:fill="FFFFFF"/>
        </w:rPr>
      </w:pPr>
      <w:r>
        <w:rPr>
          <w:rFonts w:ascii="Arial" w:hAnsi="Arial" w:cs="Arial"/>
          <w:b/>
          <w:bCs/>
          <w:color w:val="000000" w:themeColor="text1"/>
          <w:shd w:val="clear" w:color="auto" w:fill="FFFFFF"/>
        </w:rPr>
        <w:t>1.5</w:t>
      </w:r>
      <w:r>
        <w:rPr>
          <w:rFonts w:ascii="Arial" w:hAnsi="Arial" w:cs="Arial"/>
          <w:color w:val="000000" w:themeColor="text1"/>
          <w:shd w:val="clear" w:color="auto" w:fill="FFFFFF"/>
        </w:rPr>
        <w:t xml:space="preserve"> </w:t>
      </w:r>
      <w:r>
        <w:rPr>
          <w:rFonts w:ascii="Arial" w:hAnsi="Arial" w:cs="Arial"/>
          <w:b/>
          <w:bCs/>
          <w:lang w:val="en-GB"/>
        </w:rPr>
        <w:t>Conclusion</w:t>
      </w:r>
    </w:p>
    <w:p w14:paraId="57C9C335" w14:textId="77777777" w:rsidR="007C52D1" w:rsidRDefault="007C52D1" w:rsidP="007C52D1">
      <w:pPr>
        <w:spacing w:line="360" w:lineRule="auto"/>
        <w:jc w:val="both"/>
        <w:rPr>
          <w:rFonts w:ascii="Arial" w:hAnsi="Arial" w:cs="Arial"/>
          <w:b/>
          <w:bCs/>
          <w:lang w:val="en-GB"/>
        </w:rPr>
      </w:pPr>
    </w:p>
    <w:p w14:paraId="72529F9E" w14:textId="77777777" w:rsidR="007C52D1" w:rsidRDefault="007C52D1" w:rsidP="007C52D1">
      <w:pPr>
        <w:spacing w:line="360" w:lineRule="auto"/>
        <w:jc w:val="both"/>
        <w:rPr>
          <w:rFonts w:ascii="Arial" w:hAnsi="Arial" w:cs="Arial"/>
          <w:lang w:val="en-GB"/>
        </w:rPr>
      </w:pPr>
      <w:r>
        <w:rPr>
          <w:rFonts w:ascii="Arial" w:hAnsi="Arial" w:cs="Arial"/>
          <w:lang w:val="en-GB"/>
        </w:rPr>
        <w:t>In conclusion, after reviewing the available literature and the primary data, it is clear that the 2015 coercive control legislation has changed police response in Gwent. Officers appear to have a greater understanding of the crime and legislation; they are beginning to recognise that whilst evidence is difficult to obtain in these cases, there is a need to ensure that the police move away from isolated incident focus to a more holistic view of incidents and there is a recognition that current societal issues have an impact on police responses to coercive control. The present study findings do, to an extent, highlight how the police have begun to embed the legislation into practice, with more comprehensive training being offered by the College of Policing (2022) ‘Domestic Abuse Matters’, and the DARA (</w:t>
      </w:r>
      <w:r>
        <w:rPr>
          <w:rFonts w:ascii="Arial" w:hAnsi="Arial" w:cs="Arial"/>
          <w:color w:val="000000"/>
          <w:spacing w:val="3"/>
        </w:rPr>
        <w:t>domestic abuse risk assessment</w:t>
      </w:r>
      <w:r>
        <w:t>) which is completed by officers when they attend a domestic abuse call and has an increased focus on coercive control. However, what is also clear, both from the literature review and the present study findings is that there is still a way to go to ensure that all officers understand the offence, the legislation and the appropriate responses to coercive control.</w:t>
      </w:r>
    </w:p>
    <w:p w14:paraId="66C268A8" w14:textId="77777777" w:rsidR="007C52D1" w:rsidRDefault="007C52D1" w:rsidP="007C52D1">
      <w:pPr>
        <w:spacing w:line="360" w:lineRule="auto"/>
        <w:jc w:val="both"/>
        <w:rPr>
          <w:rFonts w:ascii="Arial" w:hAnsi="Arial" w:cs="Arial"/>
          <w:b/>
          <w:bCs/>
          <w:lang w:val="en-GB"/>
        </w:rPr>
      </w:pPr>
    </w:p>
    <w:p w14:paraId="4B35E366" w14:textId="77777777" w:rsidR="007C52D1" w:rsidRDefault="007C52D1" w:rsidP="007C52D1">
      <w:pPr>
        <w:spacing w:line="360" w:lineRule="auto"/>
        <w:jc w:val="both"/>
        <w:rPr>
          <w:rFonts w:ascii="Arial" w:hAnsi="Arial" w:cs="Arial"/>
          <w:b/>
          <w:bCs/>
          <w:lang w:val="en-GB"/>
        </w:rPr>
      </w:pPr>
      <w:r>
        <w:rPr>
          <w:rFonts w:ascii="Arial" w:hAnsi="Arial" w:cs="Arial"/>
          <w:b/>
          <w:bCs/>
          <w:lang w:val="en-GB"/>
        </w:rPr>
        <w:t>References</w:t>
      </w:r>
    </w:p>
    <w:p w14:paraId="6D61AF3F" w14:textId="77777777" w:rsidR="007C52D1" w:rsidRDefault="007C52D1" w:rsidP="007C52D1">
      <w:pPr>
        <w:spacing w:line="360" w:lineRule="auto"/>
        <w:jc w:val="both"/>
        <w:rPr>
          <w:rFonts w:ascii="Arial" w:hAnsi="Arial" w:cs="Arial"/>
          <w:lang w:val="en-GB"/>
        </w:rPr>
      </w:pPr>
    </w:p>
    <w:p w14:paraId="578CF301" w14:textId="77777777" w:rsidR="007C52D1" w:rsidRDefault="007C52D1" w:rsidP="007C52D1">
      <w:pPr>
        <w:spacing w:line="360" w:lineRule="auto"/>
        <w:jc w:val="both"/>
        <w:rPr>
          <w:rFonts w:ascii="Arial" w:hAnsi="Arial" w:cs="Arial"/>
        </w:rPr>
      </w:pPr>
      <w:r>
        <w:rPr>
          <w:rFonts w:ascii="Arial" w:hAnsi="Arial" w:cs="Arial"/>
          <w:lang w:val="en-GB"/>
        </w:rPr>
        <w:t xml:space="preserve">Barlow, C; Walklate, S;Johnson, K and Humphreys, L (2019) </w:t>
      </w:r>
      <w:r>
        <w:rPr>
          <w:rFonts w:ascii="Arial" w:hAnsi="Arial" w:cs="Arial"/>
        </w:rPr>
        <w:t xml:space="preserve">Putting coercive control into practice: Problems and Possibilities. </w:t>
      </w:r>
      <w:r>
        <w:rPr>
          <w:rFonts w:ascii="Arial" w:hAnsi="Arial" w:cs="Arial"/>
          <w:i/>
          <w:iCs/>
        </w:rPr>
        <w:t>The British Journal of Criminology</w:t>
      </w:r>
      <w:r>
        <w:rPr>
          <w:rFonts w:ascii="Arial" w:hAnsi="Arial" w:cs="Arial"/>
        </w:rPr>
        <w:t>, Vol 60(1), 160- 179.</w:t>
      </w:r>
    </w:p>
    <w:p w14:paraId="55535596" w14:textId="77777777" w:rsidR="007C52D1" w:rsidRDefault="007C52D1" w:rsidP="007C52D1">
      <w:pPr>
        <w:spacing w:line="360" w:lineRule="auto"/>
        <w:jc w:val="both"/>
        <w:rPr>
          <w:rFonts w:ascii="Arial" w:hAnsi="Arial" w:cs="Arial"/>
        </w:rPr>
      </w:pPr>
    </w:p>
    <w:p w14:paraId="79074EBB" w14:textId="77777777" w:rsidR="007C52D1" w:rsidRDefault="007C52D1" w:rsidP="007C52D1">
      <w:pPr>
        <w:spacing w:line="360" w:lineRule="auto"/>
        <w:jc w:val="both"/>
      </w:pPr>
      <w:r>
        <w:rPr>
          <w:rFonts w:ascii="Arial" w:hAnsi="Arial" w:cs="Arial"/>
          <w:color w:val="2A2A2A"/>
          <w:shd w:val="clear" w:color="auto" w:fill="FFFFFF"/>
        </w:rPr>
        <w:t>Brennan, I</w:t>
      </w:r>
      <w:r>
        <w:rPr>
          <w:rStyle w:val="al-author-delim"/>
          <w:rFonts w:ascii="Arial" w:hAnsi="Arial" w:cs="Arial"/>
          <w:color w:val="2A2A2A"/>
          <w:bdr w:val="none" w:sz="0" w:space="0" w:color="auto" w:frame="1"/>
          <w:shd w:val="clear" w:color="auto" w:fill="FFFFFF"/>
        </w:rPr>
        <w:t> </w:t>
      </w:r>
      <w:r>
        <w:rPr>
          <w:rStyle w:val="al-author-delim"/>
          <w:rFonts w:ascii="Arial" w:hAnsi="Arial" w:cs="Arial"/>
          <w:color w:val="2A2A2A"/>
          <w:shd w:val="clear" w:color="auto" w:fill="FFFFFF"/>
        </w:rPr>
        <w:t>and</w:t>
      </w:r>
      <w:r>
        <w:rPr>
          <w:rFonts w:ascii="Arial" w:hAnsi="Arial" w:cs="Arial"/>
          <w:color w:val="2A2A2A"/>
          <w:shd w:val="clear" w:color="auto" w:fill="FFFFFF"/>
        </w:rPr>
        <w:t xml:space="preserve"> Myhill, A (2022) Coercive Control: Patterns in Crimes, Arrests and Outcomes for a New Domestic Abuse Offence, </w:t>
      </w:r>
      <w:r>
        <w:rPr>
          <w:rStyle w:val="Emphasis"/>
          <w:rFonts w:ascii="Arial" w:hAnsi="Arial" w:cs="Arial"/>
          <w:bdr w:val="none" w:sz="0" w:space="0" w:color="auto" w:frame="1"/>
        </w:rPr>
        <w:t>The British Journal of Criminology</w:t>
      </w:r>
      <w:r>
        <w:t>, Vol 62(2), 468-483</w:t>
      </w:r>
    </w:p>
    <w:p w14:paraId="286443B6" w14:textId="77777777" w:rsidR="007C52D1" w:rsidRDefault="007C52D1" w:rsidP="007C52D1">
      <w:pPr>
        <w:spacing w:line="360" w:lineRule="auto"/>
        <w:jc w:val="both"/>
        <w:rPr>
          <w:rFonts w:ascii="Arial" w:hAnsi="Arial" w:cs="Arial"/>
          <w:color w:val="2A2A2A"/>
          <w:shd w:val="clear" w:color="auto" w:fill="FFFFFF"/>
        </w:rPr>
      </w:pPr>
    </w:p>
    <w:p w14:paraId="298666A0" w14:textId="77777777" w:rsidR="007C52D1" w:rsidRDefault="007C52D1" w:rsidP="007C52D1">
      <w:pPr>
        <w:spacing w:line="360" w:lineRule="auto"/>
        <w:jc w:val="both"/>
        <w:rPr>
          <w:rFonts w:ascii="Arial" w:hAnsi="Arial" w:cs="Arial"/>
          <w:color w:val="2A2A2A"/>
          <w:bdr w:val="none" w:sz="0" w:space="0" w:color="auto" w:frame="1"/>
          <w:shd w:val="clear" w:color="auto" w:fill="FFFFFF"/>
        </w:rPr>
      </w:pPr>
      <w:r>
        <w:rPr>
          <w:rFonts w:ascii="Arial" w:hAnsi="Arial" w:cs="Arial"/>
          <w:color w:val="2A2A2A"/>
          <w:shd w:val="clear" w:color="auto" w:fill="FFFFFF"/>
        </w:rPr>
        <w:t xml:space="preserve">College of Policing (2022) Police better equipped to spot controlling behaviour. Available at: </w:t>
      </w:r>
      <w:hyperlink r:id="rId5" w:history="1">
        <w:r>
          <w:rPr>
            <w:rStyle w:val="Hyperlink"/>
            <w:rFonts w:ascii="Arial" w:hAnsi="Arial" w:cs="Arial"/>
            <w:shd w:val="clear" w:color="auto" w:fill="FFFFFF"/>
          </w:rPr>
          <w:t>https://www.college.police.uk/article/police-better-equipped-spot-controlling-behaviour</w:t>
        </w:r>
      </w:hyperlink>
      <w:r>
        <w:rPr>
          <w:rFonts w:ascii="Arial" w:hAnsi="Arial" w:cs="Arial"/>
          <w:color w:val="2A2A2A"/>
          <w:shd w:val="clear" w:color="auto" w:fill="FFFFFF"/>
        </w:rPr>
        <w:t xml:space="preserve"> [Accessed on 20/05/23]</w:t>
      </w:r>
    </w:p>
    <w:p w14:paraId="241BC2DF" w14:textId="77777777" w:rsidR="007C52D1" w:rsidRDefault="007C52D1" w:rsidP="007C52D1">
      <w:pPr>
        <w:pStyle w:val="Heading1"/>
        <w:shd w:val="clear" w:color="auto" w:fill="FFFFFF"/>
        <w:spacing w:before="400" w:beforeAutospacing="0" w:after="200" w:afterAutospacing="0" w:line="360" w:lineRule="auto"/>
        <w:jc w:val="both"/>
        <w:rPr>
          <w:rFonts w:ascii="Arial" w:hAnsi="Arial" w:cs="Arial"/>
          <w:b w:val="0"/>
          <w:bCs w:val="0"/>
          <w:color w:val="000000" w:themeColor="text1"/>
          <w:spacing w:val="-2"/>
          <w:sz w:val="24"/>
          <w:szCs w:val="24"/>
        </w:rPr>
      </w:pPr>
      <w:r>
        <w:rPr>
          <w:rFonts w:ascii="Arial" w:hAnsi="Arial" w:cs="Arial"/>
          <w:b w:val="0"/>
          <w:bCs w:val="0"/>
          <w:color w:val="000000" w:themeColor="text1"/>
          <w:sz w:val="24"/>
          <w:szCs w:val="24"/>
        </w:rPr>
        <w:t>Fincham, JE (2008) ‘</w:t>
      </w:r>
      <w:r>
        <w:rPr>
          <w:rFonts w:ascii="Arial" w:hAnsi="Arial" w:cs="Arial"/>
          <w:b w:val="0"/>
          <w:bCs w:val="0"/>
          <w:color w:val="000000" w:themeColor="text1"/>
          <w:spacing w:val="-2"/>
          <w:sz w:val="24"/>
          <w:szCs w:val="24"/>
        </w:rPr>
        <w:t xml:space="preserve">Response Rates and Responsiveness for Surveys, Standards, and the Journal’, </w:t>
      </w:r>
      <w:r>
        <w:rPr>
          <w:rFonts w:ascii="Arial" w:hAnsi="Arial" w:cs="Arial"/>
          <w:b w:val="0"/>
          <w:bCs w:val="0"/>
          <w:i/>
          <w:iCs/>
          <w:color w:val="000000" w:themeColor="text1"/>
          <w:spacing w:val="-2"/>
          <w:sz w:val="24"/>
          <w:szCs w:val="24"/>
        </w:rPr>
        <w:t>American Journal of Pharmaceutical Education,</w:t>
      </w:r>
      <w:r>
        <w:rPr>
          <w:rFonts w:ascii="Arial" w:hAnsi="Arial" w:cs="Arial"/>
          <w:b w:val="0"/>
          <w:bCs w:val="0"/>
          <w:color w:val="000000" w:themeColor="text1"/>
          <w:spacing w:val="-2"/>
          <w:sz w:val="24"/>
          <w:szCs w:val="24"/>
        </w:rPr>
        <w:t xml:space="preserve"> Vol 72(2): 43</w:t>
      </w:r>
    </w:p>
    <w:p w14:paraId="580FA812" w14:textId="77777777" w:rsidR="007C52D1" w:rsidRDefault="007C52D1" w:rsidP="007C52D1">
      <w:pPr>
        <w:spacing w:line="360" w:lineRule="auto"/>
        <w:jc w:val="both"/>
        <w:rPr>
          <w:rFonts w:ascii="Arial" w:hAnsi="Arial" w:cs="Arial"/>
          <w:lang w:val="en-GB"/>
        </w:rPr>
      </w:pPr>
      <w:r>
        <w:rPr>
          <w:rFonts w:ascii="Arial" w:hAnsi="Arial" w:cs="Arial"/>
          <w:lang w:val="en-GB"/>
        </w:rPr>
        <w:t xml:space="preserve">Graham-Kevan, N; Powney, D and Mankind Initiative (2021) ‘Male Victims of Coercive Control Experiences and Impact. Available at: </w:t>
      </w:r>
      <w:hyperlink r:id="rId6" w:history="1">
        <w:r>
          <w:rPr>
            <w:rStyle w:val="Hyperlink"/>
            <w:rFonts w:ascii="Arial" w:hAnsi="Arial" w:cs="Arial"/>
          </w:rPr>
          <w:t>https://www.mankind.org.uk/wp-content/uploads/2021/07/Male-Victims-of-Coercive-Control-2021.pdf</w:t>
        </w:r>
      </w:hyperlink>
      <w:r>
        <w:rPr>
          <w:rFonts w:ascii="Arial" w:hAnsi="Arial" w:cs="Arial"/>
          <w:lang w:val="en-GB"/>
        </w:rPr>
        <w:t xml:space="preserve"> [Accessed on: 20/05/23]</w:t>
      </w:r>
    </w:p>
    <w:p w14:paraId="6BAFAA2E" w14:textId="77777777" w:rsidR="007C52D1" w:rsidRDefault="007C52D1" w:rsidP="007C52D1">
      <w:pPr>
        <w:spacing w:line="360" w:lineRule="auto"/>
        <w:jc w:val="both"/>
        <w:rPr>
          <w:rFonts w:ascii="Arial" w:hAnsi="Arial" w:cs="Arial"/>
          <w:lang w:val="en-GB"/>
        </w:rPr>
      </w:pPr>
    </w:p>
    <w:p w14:paraId="4D209947" w14:textId="77777777" w:rsidR="007C52D1" w:rsidRDefault="007C52D1" w:rsidP="007C52D1">
      <w:pPr>
        <w:spacing w:line="360" w:lineRule="auto"/>
        <w:jc w:val="both"/>
        <w:rPr>
          <w:rFonts w:ascii="Arial" w:hAnsi="Arial" w:cs="Arial"/>
        </w:rPr>
      </w:pPr>
      <w:r>
        <w:rPr>
          <w:rFonts w:ascii="Arial" w:hAnsi="Arial" w:cs="Arial"/>
        </w:rPr>
        <w:t xml:space="preserve">Holtgraves, T (2004) Social Desirability and Self-Reports: Testing Models of Socially Desirable Responding. </w:t>
      </w:r>
      <w:r>
        <w:rPr>
          <w:rFonts w:ascii="Arial" w:hAnsi="Arial" w:cs="Arial"/>
          <w:i/>
          <w:iCs/>
        </w:rPr>
        <w:t>Personality and Social Psychology Bulletin,</w:t>
      </w:r>
      <w:r>
        <w:rPr>
          <w:rFonts w:ascii="Arial" w:hAnsi="Arial" w:cs="Arial"/>
        </w:rPr>
        <w:t xml:space="preserve"> Vol 30(2), 161-172.</w:t>
      </w:r>
    </w:p>
    <w:p w14:paraId="76A5084A" w14:textId="77777777" w:rsidR="007C52D1" w:rsidRDefault="007C52D1" w:rsidP="007C52D1">
      <w:pPr>
        <w:spacing w:line="360" w:lineRule="auto"/>
        <w:jc w:val="both"/>
        <w:rPr>
          <w:rFonts w:ascii="Arial" w:hAnsi="Arial" w:cs="Arial"/>
        </w:rPr>
      </w:pPr>
    </w:p>
    <w:p w14:paraId="343BF45F" w14:textId="77777777" w:rsidR="007C52D1" w:rsidRDefault="007C52D1" w:rsidP="007C52D1">
      <w:pPr>
        <w:spacing w:line="360" w:lineRule="auto"/>
        <w:jc w:val="both"/>
      </w:pPr>
      <w:r>
        <w:rPr>
          <w:rFonts w:ascii="Arial" w:hAnsi="Arial" w:cs="Arial"/>
          <w:color w:val="2A2A2A"/>
          <w:shd w:val="clear" w:color="auto" w:fill="FFFFFF"/>
        </w:rPr>
        <w:t>Johnson, K and Katrin Hohl, K (2023) Police Responses to Domestic Abuse during the COVID-19 Pandemic: Positive Action and Police Legitimacy, </w:t>
      </w:r>
      <w:r>
        <w:rPr>
          <w:rStyle w:val="Emphasis"/>
          <w:rFonts w:ascii="Arial" w:hAnsi="Arial" w:cs="Arial"/>
          <w:bdr w:val="none" w:sz="0" w:space="0" w:color="auto" w:frame="1"/>
        </w:rPr>
        <w:t>Policing: A Journal of Policy and Practice</w:t>
      </w:r>
      <w:r>
        <w:t>, Vol 17.</w:t>
      </w:r>
    </w:p>
    <w:p w14:paraId="7B1AB328" w14:textId="77777777" w:rsidR="007C52D1" w:rsidRDefault="007C52D1" w:rsidP="007C52D1">
      <w:pPr>
        <w:spacing w:line="360" w:lineRule="auto"/>
        <w:jc w:val="both"/>
        <w:rPr>
          <w:rFonts w:ascii="Arial" w:hAnsi="Arial" w:cs="Arial"/>
          <w:color w:val="2A2A2A"/>
          <w:bdr w:val="none" w:sz="0" w:space="0" w:color="auto" w:frame="1"/>
          <w:shd w:val="clear" w:color="auto" w:fill="FFFFFF"/>
        </w:rPr>
      </w:pPr>
      <w:r>
        <w:rPr>
          <w:rFonts w:ascii="Arial" w:hAnsi="Arial" w:cs="Arial"/>
          <w:color w:val="2A2A2A"/>
          <w:bdr w:val="none" w:sz="0" w:space="0" w:color="auto" w:frame="1"/>
          <w:shd w:val="clear" w:color="auto" w:fill="FFFFFF"/>
        </w:rPr>
        <w:t xml:space="preserve">Kellam, A (2020) Domestic abuse during the UK’s COVID-19 Lockdown: From Normal to New Normal and What Survivors’ Experiences Might Teach Us, </w:t>
      </w:r>
      <w:r>
        <w:rPr>
          <w:rFonts w:ascii="Arial" w:hAnsi="Arial" w:cs="Arial"/>
          <w:i/>
          <w:iCs/>
          <w:color w:val="2A2A2A"/>
          <w:bdr w:val="none" w:sz="0" w:space="0" w:color="auto" w:frame="1"/>
          <w:shd w:val="clear" w:color="auto" w:fill="FFFFFF"/>
        </w:rPr>
        <w:t>Amicus Curiae</w:t>
      </w:r>
      <w:r>
        <w:rPr>
          <w:rFonts w:ascii="Arial" w:hAnsi="Arial" w:cs="Arial"/>
          <w:color w:val="2A2A2A"/>
          <w:bdr w:val="none" w:sz="0" w:space="0" w:color="auto" w:frame="1"/>
          <w:shd w:val="clear" w:color="auto" w:fill="FFFFFF"/>
        </w:rPr>
        <w:t>, Vol 1(3) 361-378</w:t>
      </w:r>
    </w:p>
    <w:p w14:paraId="4A57ECC8" w14:textId="77777777" w:rsidR="007C52D1" w:rsidRDefault="007C52D1" w:rsidP="007C52D1">
      <w:pPr>
        <w:spacing w:line="360" w:lineRule="auto"/>
        <w:jc w:val="both"/>
        <w:rPr>
          <w:rFonts w:ascii="Arial" w:hAnsi="Arial" w:cs="Arial"/>
          <w:color w:val="2A2A2A"/>
          <w:bdr w:val="none" w:sz="0" w:space="0" w:color="auto" w:frame="1"/>
          <w:shd w:val="clear" w:color="auto" w:fill="FFFFFF"/>
        </w:rPr>
      </w:pPr>
    </w:p>
    <w:p w14:paraId="2A239A30" w14:textId="77777777" w:rsidR="007C52D1" w:rsidRDefault="007C52D1" w:rsidP="007C52D1">
      <w:pPr>
        <w:spacing w:line="360" w:lineRule="auto"/>
        <w:jc w:val="both"/>
        <w:rPr>
          <w:rFonts w:ascii="Arial" w:hAnsi="Arial" w:cs="Arial"/>
          <w:lang w:val="en-GB"/>
        </w:rPr>
      </w:pPr>
      <w:r>
        <w:rPr>
          <w:rFonts w:ascii="Arial" w:hAnsi="Arial" w:cs="Arial"/>
          <w:lang w:val="en-GB"/>
        </w:rPr>
        <w:t xml:space="preserve">Myhill, A (2019) Renegotiating domestic violence: police attitudes and decisions concerning arrest’, </w:t>
      </w:r>
      <w:r>
        <w:rPr>
          <w:rFonts w:ascii="Arial" w:hAnsi="Arial" w:cs="Arial"/>
          <w:i/>
          <w:iCs/>
          <w:lang w:val="en-GB"/>
        </w:rPr>
        <w:t>Policing and Society,</w:t>
      </w:r>
      <w:r>
        <w:rPr>
          <w:rFonts w:ascii="Arial" w:hAnsi="Arial" w:cs="Arial"/>
          <w:lang w:val="en-GB"/>
        </w:rPr>
        <w:t xml:space="preserve"> Vol 29(1): 52-68</w:t>
      </w:r>
    </w:p>
    <w:p w14:paraId="32DEDBA3" w14:textId="77777777" w:rsidR="007C52D1" w:rsidRDefault="007C52D1" w:rsidP="007C52D1">
      <w:pPr>
        <w:spacing w:line="360" w:lineRule="auto"/>
        <w:jc w:val="both"/>
        <w:rPr>
          <w:rFonts w:ascii="Arial" w:hAnsi="Arial" w:cs="Arial"/>
          <w:lang w:val="en-GB"/>
        </w:rPr>
      </w:pPr>
    </w:p>
    <w:p w14:paraId="2A9CB889" w14:textId="77777777" w:rsidR="007C52D1" w:rsidRDefault="007C52D1" w:rsidP="007C52D1">
      <w:pPr>
        <w:spacing w:line="360" w:lineRule="auto"/>
        <w:jc w:val="both"/>
        <w:rPr>
          <w:rFonts w:ascii="Arial" w:hAnsi="Arial" w:cs="Arial"/>
          <w:color w:val="2A2A2A"/>
          <w:shd w:val="clear" w:color="auto" w:fill="FFFFFF"/>
        </w:rPr>
      </w:pPr>
      <w:r>
        <w:rPr>
          <w:rFonts w:ascii="Arial" w:hAnsi="Arial" w:cs="Arial"/>
          <w:color w:val="2A2A2A"/>
          <w:shd w:val="clear" w:color="auto" w:fill="FFFFFF"/>
        </w:rPr>
        <w:t xml:space="preserve">Walklate, S; Godfrey, B and Richardson, J (2022) Changes and continuities in police responses to domestic abusein England and Wales during the Covid-19‘lockdown’, </w:t>
      </w:r>
      <w:r>
        <w:rPr>
          <w:rFonts w:ascii="Arial" w:hAnsi="Arial" w:cs="Arial"/>
          <w:i/>
          <w:iCs/>
          <w:color w:val="2A2A2A"/>
          <w:shd w:val="clear" w:color="auto" w:fill="FFFFFF"/>
        </w:rPr>
        <w:t>Policing and Society,</w:t>
      </w:r>
      <w:r>
        <w:rPr>
          <w:rFonts w:ascii="Arial" w:hAnsi="Arial" w:cs="Arial"/>
          <w:color w:val="2A2A2A"/>
          <w:shd w:val="clear" w:color="auto" w:fill="FFFFFF"/>
        </w:rPr>
        <w:t xml:space="preserve"> Vol 32(2), 221-233</w:t>
      </w:r>
    </w:p>
    <w:p w14:paraId="59601BB6" w14:textId="77777777" w:rsidR="007C52D1" w:rsidRDefault="007C52D1" w:rsidP="007C52D1">
      <w:pPr>
        <w:spacing w:line="360" w:lineRule="auto"/>
        <w:jc w:val="both"/>
        <w:rPr>
          <w:rFonts w:ascii="Arial" w:hAnsi="Arial" w:cs="Arial"/>
          <w:color w:val="2A2A2A"/>
          <w:shd w:val="clear" w:color="auto" w:fill="FFFFFF"/>
        </w:rPr>
      </w:pPr>
    </w:p>
    <w:p w14:paraId="5713FAF2" w14:textId="77777777" w:rsidR="007C52D1" w:rsidRDefault="007C52D1" w:rsidP="007C52D1">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Wallin, P (1949) Volunteer subjects as a source of sampling bias. </w:t>
      </w:r>
      <w:r>
        <w:rPr>
          <w:rFonts w:ascii="Arial" w:hAnsi="Arial" w:cs="Arial"/>
          <w:i/>
          <w:color w:val="000000" w:themeColor="text1"/>
          <w:shd w:val="clear" w:color="auto" w:fill="FFFFFF"/>
        </w:rPr>
        <w:t>American Journal of Sociology,</w:t>
      </w:r>
      <w:r>
        <w:rPr>
          <w:rFonts w:ascii="Arial" w:hAnsi="Arial" w:cs="Arial"/>
          <w:iCs/>
          <w:color w:val="000000" w:themeColor="text1"/>
          <w:shd w:val="clear" w:color="auto" w:fill="FFFFFF"/>
        </w:rPr>
        <w:t xml:space="preserve"> Vol 54,</w:t>
      </w:r>
      <w:r>
        <w:rPr>
          <w:rFonts w:ascii="Arial" w:hAnsi="Arial" w:cs="Arial"/>
          <w:color w:val="000000" w:themeColor="text1"/>
          <w:shd w:val="clear" w:color="auto" w:fill="FFFFFF"/>
        </w:rPr>
        <w:t> 539-544.</w:t>
      </w:r>
    </w:p>
    <w:p w14:paraId="348EE9FC" w14:textId="77777777" w:rsidR="007C52D1" w:rsidRDefault="007C52D1" w:rsidP="007C52D1">
      <w:pPr>
        <w:spacing w:line="360" w:lineRule="auto"/>
        <w:jc w:val="both"/>
        <w:rPr>
          <w:rFonts w:ascii="Arial" w:hAnsi="Arial" w:cs="Arial"/>
          <w:color w:val="000000" w:themeColor="text1"/>
        </w:rPr>
      </w:pPr>
    </w:p>
    <w:p w14:paraId="69B33ABE" w14:textId="77777777" w:rsidR="007C52D1" w:rsidRDefault="007C52D1" w:rsidP="007C52D1">
      <w:pPr>
        <w:spacing w:line="360" w:lineRule="auto"/>
        <w:jc w:val="both"/>
        <w:rPr>
          <w:rFonts w:ascii="Arial" w:hAnsi="Arial" w:cs="Arial"/>
          <w:lang w:val="en-GB"/>
        </w:rPr>
      </w:pPr>
      <w:r>
        <w:rPr>
          <w:rFonts w:ascii="Arial" w:hAnsi="Arial" w:cs="Arial"/>
          <w:color w:val="1C1D1E"/>
          <w:shd w:val="clear" w:color="auto" w:fill="FFFFFF"/>
        </w:rPr>
        <w:t xml:space="preserve">Wiener, C. (2017), Seeing What is ‘Invisible in Plain Sight’: Policing Coercive Control. </w:t>
      </w:r>
      <w:r>
        <w:rPr>
          <w:rFonts w:ascii="Arial" w:hAnsi="Arial" w:cs="Arial"/>
          <w:i/>
          <w:iCs/>
          <w:color w:val="1C1D1E"/>
          <w:shd w:val="clear" w:color="auto" w:fill="FFFFFF"/>
        </w:rPr>
        <w:t>The Howard Journal of Crime and Justice,</w:t>
      </w:r>
      <w:r>
        <w:rPr>
          <w:rFonts w:ascii="Arial" w:hAnsi="Arial" w:cs="Arial"/>
          <w:color w:val="1C1D1E"/>
          <w:shd w:val="clear" w:color="auto" w:fill="FFFFFF"/>
        </w:rPr>
        <w:t xml:space="preserve"> 56: 500-515</w:t>
      </w:r>
    </w:p>
    <w:p w14:paraId="3152D94A" w14:textId="77777777" w:rsidR="00041811" w:rsidRDefault="00000000"/>
    <w:sectPr w:rsidR="00041811" w:rsidSect="003279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D0130"/>
    <w:multiLevelType w:val="multilevel"/>
    <w:tmpl w:val="6D0AB78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16cid:durableId="48551312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2D1"/>
    <w:rsid w:val="000048F5"/>
    <w:rsid w:val="00016F4E"/>
    <w:rsid w:val="000B5A5C"/>
    <w:rsid w:val="000D72E4"/>
    <w:rsid w:val="00105AAA"/>
    <w:rsid w:val="00127DD8"/>
    <w:rsid w:val="00131176"/>
    <w:rsid w:val="00133003"/>
    <w:rsid w:val="0017625C"/>
    <w:rsid w:val="001C7914"/>
    <w:rsid w:val="001E0D81"/>
    <w:rsid w:val="001E2FEF"/>
    <w:rsid w:val="002322D3"/>
    <w:rsid w:val="00255633"/>
    <w:rsid w:val="00290416"/>
    <w:rsid w:val="002D1590"/>
    <w:rsid w:val="002D5422"/>
    <w:rsid w:val="00307DA7"/>
    <w:rsid w:val="00327964"/>
    <w:rsid w:val="00340C91"/>
    <w:rsid w:val="003479A8"/>
    <w:rsid w:val="003524F9"/>
    <w:rsid w:val="00366609"/>
    <w:rsid w:val="003E0E69"/>
    <w:rsid w:val="0041424C"/>
    <w:rsid w:val="00426F75"/>
    <w:rsid w:val="004A5A1C"/>
    <w:rsid w:val="004C2145"/>
    <w:rsid w:val="004F12B3"/>
    <w:rsid w:val="004F5C6E"/>
    <w:rsid w:val="00506749"/>
    <w:rsid w:val="00555BE2"/>
    <w:rsid w:val="005954AB"/>
    <w:rsid w:val="005A6944"/>
    <w:rsid w:val="005E029B"/>
    <w:rsid w:val="005F6AD5"/>
    <w:rsid w:val="006223F3"/>
    <w:rsid w:val="006441CD"/>
    <w:rsid w:val="006A12D3"/>
    <w:rsid w:val="00734441"/>
    <w:rsid w:val="00737621"/>
    <w:rsid w:val="007421E4"/>
    <w:rsid w:val="007C52D1"/>
    <w:rsid w:val="007E6EFD"/>
    <w:rsid w:val="007F0FFF"/>
    <w:rsid w:val="00843EEF"/>
    <w:rsid w:val="008B3BE5"/>
    <w:rsid w:val="008D453A"/>
    <w:rsid w:val="00907DC0"/>
    <w:rsid w:val="00910E69"/>
    <w:rsid w:val="00942559"/>
    <w:rsid w:val="00944AF9"/>
    <w:rsid w:val="0097524C"/>
    <w:rsid w:val="0099362B"/>
    <w:rsid w:val="009B3EE9"/>
    <w:rsid w:val="009B530E"/>
    <w:rsid w:val="00A14FC4"/>
    <w:rsid w:val="00A96CD6"/>
    <w:rsid w:val="00AB58E1"/>
    <w:rsid w:val="00AB76EB"/>
    <w:rsid w:val="00AE307A"/>
    <w:rsid w:val="00AF443A"/>
    <w:rsid w:val="00B143D4"/>
    <w:rsid w:val="00B56C91"/>
    <w:rsid w:val="00B90391"/>
    <w:rsid w:val="00BF38DE"/>
    <w:rsid w:val="00C05839"/>
    <w:rsid w:val="00C459F4"/>
    <w:rsid w:val="00C65064"/>
    <w:rsid w:val="00CA5F90"/>
    <w:rsid w:val="00CA7190"/>
    <w:rsid w:val="00D50F29"/>
    <w:rsid w:val="00DB02E0"/>
    <w:rsid w:val="00DC4F50"/>
    <w:rsid w:val="00DC5F4A"/>
    <w:rsid w:val="00E36FF0"/>
    <w:rsid w:val="00E44303"/>
    <w:rsid w:val="00E4562F"/>
    <w:rsid w:val="00E4783C"/>
    <w:rsid w:val="00E617CB"/>
    <w:rsid w:val="00EB3D78"/>
    <w:rsid w:val="00F04AD6"/>
    <w:rsid w:val="00F16206"/>
    <w:rsid w:val="00F435F9"/>
    <w:rsid w:val="00FF6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7F08797"/>
  <w14:defaultImageDpi w14:val="32767"/>
  <w15:chartTrackingRefBased/>
  <w15:docId w15:val="{661B25B8-2D57-E844-968E-D7C40782E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C52D1"/>
  </w:style>
  <w:style w:type="paragraph" w:styleId="Heading1">
    <w:name w:val="heading 1"/>
    <w:basedOn w:val="Normal"/>
    <w:link w:val="Heading1Char"/>
    <w:uiPriority w:val="9"/>
    <w:qFormat/>
    <w:rsid w:val="007C52D1"/>
    <w:pPr>
      <w:spacing w:before="100" w:beforeAutospacing="1" w:after="100" w:afterAutospacing="1"/>
      <w:outlineLvl w:val="0"/>
    </w:pPr>
    <w:rPr>
      <w:rFonts w:ascii="Times New Roman" w:eastAsia="Times New Roman" w:hAnsi="Times New Roman" w:cs="Times New Roman"/>
      <w:b/>
      <w:bCs/>
      <w:kern w:val="36"/>
      <w:sz w:val="48"/>
      <w:szCs w:val="48"/>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2D1"/>
    <w:rPr>
      <w:rFonts w:ascii="Times New Roman" w:eastAsia="Times New Roman" w:hAnsi="Times New Roman" w:cs="Times New Roman"/>
      <w:b/>
      <w:bCs/>
      <w:kern w:val="36"/>
      <w:sz w:val="48"/>
      <w:szCs w:val="48"/>
      <w:lang w:val="en-GB" w:eastAsia="en-GB"/>
      <w14:ligatures w14:val="none"/>
    </w:rPr>
  </w:style>
  <w:style w:type="character" w:styleId="Hyperlink">
    <w:name w:val="Hyperlink"/>
    <w:basedOn w:val="DefaultParagraphFont"/>
    <w:uiPriority w:val="99"/>
    <w:semiHidden/>
    <w:unhideWhenUsed/>
    <w:rsid w:val="007C52D1"/>
    <w:rPr>
      <w:color w:val="0563C1" w:themeColor="hyperlink"/>
      <w:u w:val="single"/>
    </w:rPr>
  </w:style>
  <w:style w:type="paragraph" w:styleId="ListParagraph">
    <w:name w:val="List Paragraph"/>
    <w:basedOn w:val="Normal"/>
    <w:uiPriority w:val="34"/>
    <w:qFormat/>
    <w:rsid w:val="007C52D1"/>
    <w:pPr>
      <w:ind w:left="720"/>
      <w:contextualSpacing/>
    </w:pPr>
  </w:style>
  <w:style w:type="character" w:customStyle="1" w:styleId="al-author-delim">
    <w:name w:val="al-author-delim"/>
    <w:basedOn w:val="DefaultParagraphFont"/>
    <w:rsid w:val="007C52D1"/>
  </w:style>
  <w:style w:type="character" w:styleId="Emphasis">
    <w:name w:val="Emphasis"/>
    <w:basedOn w:val="DefaultParagraphFont"/>
    <w:uiPriority w:val="20"/>
    <w:qFormat/>
    <w:rsid w:val="007C52D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5418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nkind.org.uk/wp-content/uploads/2021/07/Male-Victims-of-Coercive-Control-2021.pdf" TargetMode="External"/><Relationship Id="rId5" Type="http://schemas.openxmlformats.org/officeDocument/2006/relationships/hyperlink" Target="https://www.college.police.uk/article/police-better-equipped-spot-controlling-behaviou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1486</Words>
  <Characters>8472</Characters>
  <Application>Microsoft Office Word</Application>
  <DocSecurity>0</DocSecurity>
  <Lines>70</Lines>
  <Paragraphs>19</Paragraphs>
  <ScaleCrop>false</ScaleCrop>
  <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Noble</dc:creator>
  <cp:keywords/>
  <dc:description/>
  <cp:lastModifiedBy>Emma Noble</cp:lastModifiedBy>
  <cp:revision>1</cp:revision>
  <dcterms:created xsi:type="dcterms:W3CDTF">2023-05-27T11:15:00Z</dcterms:created>
  <dcterms:modified xsi:type="dcterms:W3CDTF">2023-05-27T11:15:00Z</dcterms:modified>
</cp:coreProperties>
</file>