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A339D" w14:textId="2FD8687F" w:rsidR="00BA539A" w:rsidRPr="00011225" w:rsidRDefault="00C02D4C">
      <w:pPr>
        <w:rPr>
          <w:b/>
          <w:bCs/>
        </w:rPr>
      </w:pPr>
      <w:r>
        <w:rPr>
          <w:b/>
          <w:bCs/>
        </w:rPr>
        <w:t>Bramber Castle, Steyning, West Sussex</w:t>
      </w:r>
      <w:r w:rsidR="009A0797">
        <w:rPr>
          <w:b/>
          <w:bCs/>
        </w:rPr>
        <w:t>: A critical review of a heritage site</w:t>
      </w:r>
    </w:p>
    <w:p w14:paraId="6613004F" w14:textId="57ED9E46" w:rsidR="00661202" w:rsidRDefault="00A937E1">
      <w:r>
        <w:t xml:space="preserve">The ruins of </w:t>
      </w:r>
      <w:r w:rsidR="00DD03F6">
        <w:t xml:space="preserve">Bramber Castle </w:t>
      </w:r>
      <w:r w:rsidR="00F37B92">
        <w:t xml:space="preserve">rise above the Arun River </w:t>
      </w:r>
      <w:r w:rsidR="005F2FC3">
        <w:t>V</w:t>
      </w:r>
      <w:r w:rsidR="006870C2">
        <w:t>alley and</w:t>
      </w:r>
      <w:r w:rsidR="00EB4D08">
        <w:t xml:space="preserve"> are</w:t>
      </w:r>
      <w:r w:rsidR="00132D6D">
        <w:t>,</w:t>
      </w:r>
      <w:r w:rsidR="00EB4D08">
        <w:t xml:space="preserve"> even today</w:t>
      </w:r>
      <w:r w:rsidR="00132D6D">
        <w:t>,</w:t>
      </w:r>
      <w:r w:rsidR="00EB4D08">
        <w:t xml:space="preserve"> the dominant </w:t>
      </w:r>
      <w:r w:rsidR="00132D6D">
        <w:t>structure</w:t>
      </w:r>
      <w:r w:rsidR="00EB4D08">
        <w:t xml:space="preserve"> in this historically strategic </w:t>
      </w:r>
      <w:r w:rsidR="009C0DE0">
        <w:t>location</w:t>
      </w:r>
      <w:r w:rsidR="003B302B">
        <w:t>.</w:t>
      </w:r>
      <w:r w:rsidR="00132D6D">
        <w:t xml:space="preserve"> </w:t>
      </w:r>
      <w:r w:rsidR="00E869B2">
        <w:t xml:space="preserve">The castle was clearly an important </w:t>
      </w:r>
      <w:r w:rsidR="00CF430F">
        <w:t>structure and</w:t>
      </w:r>
      <w:r w:rsidR="001D7EF4">
        <w:t xml:space="preserve"> remains a prominent presence in the local landscape</w:t>
      </w:r>
      <w:r w:rsidR="00CF430F">
        <w:t>. It</w:t>
      </w:r>
      <w:r w:rsidR="001D7EF4">
        <w:t xml:space="preserve"> has drawn local visitors</w:t>
      </w:r>
      <w:r w:rsidR="00CF430F">
        <w:t xml:space="preserve"> for several </w:t>
      </w:r>
      <w:r w:rsidR="00406C3D">
        <w:t>centuries and</w:t>
      </w:r>
      <w:r w:rsidR="00CF430F">
        <w:t xml:space="preserve"> is now a visitor attraction managed by English Heritage</w:t>
      </w:r>
      <w:r w:rsidR="001D7EF4">
        <w:t xml:space="preserve">. </w:t>
      </w:r>
      <w:r w:rsidR="00001D28">
        <w:t xml:space="preserve">This paper will </w:t>
      </w:r>
      <w:r w:rsidR="00E419EC">
        <w:t>provide a critical review of</w:t>
      </w:r>
      <w:r w:rsidR="00001D28">
        <w:t xml:space="preserve"> how the castle </w:t>
      </w:r>
      <w:r w:rsidR="005A34CF">
        <w:t>remains</w:t>
      </w:r>
      <w:r w:rsidR="008D009E">
        <w:t xml:space="preserve"> and</w:t>
      </w:r>
      <w:r w:rsidR="005A34CF">
        <w:t xml:space="preserve"> </w:t>
      </w:r>
      <w:r w:rsidR="00DD4217">
        <w:t>their</w:t>
      </w:r>
      <w:r w:rsidR="00001D28">
        <w:t xml:space="preserve"> history </w:t>
      </w:r>
      <w:r w:rsidR="00DD4217">
        <w:t>are presented and interpreted</w:t>
      </w:r>
      <w:r w:rsidR="00001D28">
        <w:t xml:space="preserve"> by </w:t>
      </w:r>
      <w:r w:rsidR="00340F29">
        <w:t xml:space="preserve">the information available to visitors to </w:t>
      </w:r>
      <w:r w:rsidR="00DD4217">
        <w:t>the</w:t>
      </w:r>
      <w:r w:rsidR="00340F29">
        <w:t xml:space="preserve"> heritage site</w:t>
      </w:r>
      <w:r w:rsidR="000F1FD4">
        <w:t xml:space="preserve">, in light of </w:t>
      </w:r>
      <w:r w:rsidR="00B220C2">
        <w:t>its historic context</w:t>
      </w:r>
      <w:r w:rsidR="00E419EC">
        <w:t xml:space="preserve"> and issues in heritage and museum studies</w:t>
      </w:r>
      <w:r w:rsidR="00B220C2">
        <w:t>.</w:t>
      </w:r>
    </w:p>
    <w:p w14:paraId="420D9739" w14:textId="77777777" w:rsidR="003B302B" w:rsidRDefault="003B302B" w:rsidP="003E5422">
      <w:pPr>
        <w:pStyle w:val="NoSpacing"/>
      </w:pPr>
      <w:r>
        <w:rPr>
          <w:noProof/>
        </w:rPr>
        <w:drawing>
          <wp:inline distT="0" distB="0" distL="0" distR="0" wp14:anchorId="3034D941" wp14:editId="4B3D1602">
            <wp:extent cx="5731510" cy="4018280"/>
            <wp:effectExtent l="19050" t="19050" r="21590" b="20320"/>
            <wp:docPr id="965253981" name="Picture 1" descr="A field of grass with trees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53981" name="Picture 1" descr="A field of grass with trees in the background&#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018280"/>
                    </a:xfrm>
                    <a:prstGeom prst="rect">
                      <a:avLst/>
                    </a:prstGeom>
                    <a:ln>
                      <a:solidFill>
                        <a:schemeClr val="accent1"/>
                      </a:solidFill>
                    </a:ln>
                  </pic:spPr>
                </pic:pic>
              </a:graphicData>
            </a:graphic>
          </wp:inline>
        </w:drawing>
      </w:r>
    </w:p>
    <w:p w14:paraId="50387932" w14:textId="5C144CF4" w:rsidR="003B302B" w:rsidRDefault="003B302B" w:rsidP="003B302B">
      <w:pPr>
        <w:pStyle w:val="Caption"/>
      </w:pPr>
      <w:r>
        <w:t xml:space="preserve">Figure </w:t>
      </w:r>
      <w:fldSimple w:instr=" SEQ Figure \* ARABIC ">
        <w:r w:rsidR="003F37B8">
          <w:rPr>
            <w:noProof/>
          </w:rPr>
          <w:t>1</w:t>
        </w:r>
      </w:fldSimple>
      <w:r>
        <w:t xml:space="preserve">   </w:t>
      </w:r>
      <w:r w:rsidR="003E5422">
        <w:t>Long view of Bramber Castle seen from across the River Arun</w:t>
      </w:r>
      <w:r w:rsidR="002459BC">
        <w:t xml:space="preserve"> from a distance of more than 1km</w:t>
      </w:r>
      <w:r w:rsidR="003E5422">
        <w:t xml:space="preserve"> (105mm</w:t>
      </w:r>
      <w:r w:rsidR="00DE0D80">
        <w:t xml:space="preserve"> focal length</w:t>
      </w:r>
      <w:r w:rsidR="00242DB3">
        <w:t xml:space="preserve"> photograph</w:t>
      </w:r>
      <w:r w:rsidR="003E5422">
        <w:t>)</w:t>
      </w:r>
    </w:p>
    <w:p w14:paraId="19B05BE0" w14:textId="24FFEA74" w:rsidR="001C3B63" w:rsidRDefault="00242DB3">
      <w:r>
        <w:t>The castle is managed by English Heritage</w:t>
      </w:r>
      <w:r w:rsidR="008D2F08">
        <w:t xml:space="preserve">, and is located </w:t>
      </w:r>
      <w:r w:rsidR="00372556">
        <w:t>close to the settlement of Steyning, in West Sussex</w:t>
      </w:r>
      <w:r w:rsidR="00B225FD">
        <w:t xml:space="preserve"> (see Figure 2, overleaf)</w:t>
      </w:r>
      <w:r w:rsidR="00372556">
        <w:t>.</w:t>
      </w:r>
      <w:r w:rsidR="00CF29FB">
        <w:t xml:space="preserve"> </w:t>
      </w:r>
      <w:r w:rsidR="00521441">
        <w:t>T</w:t>
      </w:r>
      <w:r w:rsidR="001C3B63">
        <w:t xml:space="preserve">he </w:t>
      </w:r>
      <w:r w:rsidR="00521441">
        <w:t>castle</w:t>
      </w:r>
      <w:r w:rsidR="001C3B63">
        <w:t xml:space="preserve"> has a small parking area, and information boards </w:t>
      </w:r>
      <w:r w:rsidR="00586CC5">
        <w:t xml:space="preserve">are placed </w:t>
      </w:r>
      <w:r w:rsidR="001C3B63">
        <w:t>within the castle</w:t>
      </w:r>
      <w:r w:rsidR="00CC7823">
        <w:t xml:space="preserve"> for the benefit of visitors. Entry to the site is free, but there is a small parking charge for those travelling by car.</w:t>
      </w:r>
      <w:r w:rsidR="00A82806">
        <w:rPr>
          <w:rStyle w:val="FootnoteReference"/>
        </w:rPr>
        <w:footnoteReference w:id="1"/>
      </w:r>
    </w:p>
    <w:p w14:paraId="2CF53A3A" w14:textId="77777777" w:rsidR="00B225FD" w:rsidRDefault="00B225FD" w:rsidP="00C463A7">
      <w:pPr>
        <w:pStyle w:val="NoSpacing"/>
      </w:pPr>
      <w:r>
        <w:rPr>
          <w:noProof/>
        </w:rPr>
        <w:lastRenderedPageBreak/>
        <w:drawing>
          <wp:inline distT="0" distB="0" distL="0" distR="0" wp14:anchorId="5F39415D" wp14:editId="0C1A19C1">
            <wp:extent cx="5731510" cy="4053205"/>
            <wp:effectExtent l="19050" t="19050" r="21590" b="23495"/>
            <wp:docPr id="1717958737"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958737" name="Picture 1"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accent1"/>
                      </a:solidFill>
                    </a:ln>
                  </pic:spPr>
                </pic:pic>
              </a:graphicData>
            </a:graphic>
          </wp:inline>
        </w:drawing>
      </w:r>
    </w:p>
    <w:p w14:paraId="7FB8705E" w14:textId="2E109885" w:rsidR="00B225FD" w:rsidRDefault="00B225FD" w:rsidP="00B225FD">
      <w:pPr>
        <w:pStyle w:val="Caption"/>
      </w:pPr>
      <w:r>
        <w:t xml:space="preserve">Figure </w:t>
      </w:r>
      <w:fldSimple w:instr=" SEQ Figure \* ARABIC ">
        <w:r w:rsidR="003F37B8">
          <w:rPr>
            <w:noProof/>
          </w:rPr>
          <w:t>2</w:t>
        </w:r>
      </w:fldSimple>
      <w:r>
        <w:t xml:space="preserve">   Bramber Castle location</w:t>
      </w:r>
    </w:p>
    <w:p w14:paraId="1FB5FCD9" w14:textId="5FB757EC" w:rsidR="00242DB3" w:rsidRDefault="00D851CB">
      <w:r>
        <w:t xml:space="preserve">The castle is also </w:t>
      </w:r>
      <w:r w:rsidR="008878C7">
        <w:t>protected</w:t>
      </w:r>
      <w:r w:rsidR="003A29A8">
        <w:t xml:space="preserve"> legally</w:t>
      </w:r>
      <w:r w:rsidR="008878C7">
        <w:t>, both as a scheduled monument</w:t>
      </w:r>
      <w:r w:rsidR="00E70025">
        <w:t xml:space="preserve"> and a </w:t>
      </w:r>
      <w:r w:rsidR="000F1C16">
        <w:t xml:space="preserve">grade I </w:t>
      </w:r>
      <w:r w:rsidR="00E70025">
        <w:t xml:space="preserve">listed </w:t>
      </w:r>
      <w:r w:rsidR="000F1C16">
        <w:t>building</w:t>
      </w:r>
      <w:r w:rsidR="00CC7E32">
        <w:t>.</w:t>
      </w:r>
      <w:r w:rsidR="0081427F">
        <w:rPr>
          <w:rStyle w:val="FootnoteReference"/>
        </w:rPr>
        <w:footnoteReference w:id="2"/>
      </w:r>
      <w:r w:rsidR="009D644C">
        <w:t xml:space="preserve"> </w:t>
      </w:r>
      <w:r w:rsidR="00511E51">
        <w:t xml:space="preserve">According to </w:t>
      </w:r>
      <w:r w:rsidR="0053452F">
        <w:t>Government policy, t</w:t>
      </w:r>
      <w:r w:rsidR="009D644C">
        <w:t xml:space="preserve">hese designations </w:t>
      </w:r>
      <w:r w:rsidR="0053452F">
        <w:t xml:space="preserve">mark the castle out as a heritage asset of the highest </w:t>
      </w:r>
      <w:r w:rsidR="004F63A0">
        <w:t xml:space="preserve">national </w:t>
      </w:r>
      <w:r w:rsidR="0053452F">
        <w:t>significance.</w:t>
      </w:r>
      <w:r w:rsidR="00794904">
        <w:rPr>
          <w:rStyle w:val="FootnoteReference"/>
        </w:rPr>
        <w:footnoteReference w:id="3"/>
      </w:r>
    </w:p>
    <w:p w14:paraId="34679F0B" w14:textId="789D79A6" w:rsidR="00397769" w:rsidRPr="001348A9" w:rsidRDefault="00397769">
      <w:pPr>
        <w:rPr>
          <w:u w:val="single"/>
        </w:rPr>
      </w:pPr>
      <w:r w:rsidRPr="001348A9">
        <w:rPr>
          <w:u w:val="single"/>
        </w:rPr>
        <w:t>Histor</w:t>
      </w:r>
      <w:r w:rsidR="001348A9" w:rsidRPr="001348A9">
        <w:rPr>
          <w:u w:val="single"/>
        </w:rPr>
        <w:t>y of the castle</w:t>
      </w:r>
    </w:p>
    <w:p w14:paraId="4563609D" w14:textId="0CB43E30" w:rsidR="00975636" w:rsidRDefault="00946A29">
      <w:r>
        <w:t xml:space="preserve">Bramber </w:t>
      </w:r>
      <w:r w:rsidR="002E73FD">
        <w:t xml:space="preserve">Castle was </w:t>
      </w:r>
      <w:r>
        <w:t>built</w:t>
      </w:r>
      <w:r w:rsidR="002E73FD">
        <w:t xml:space="preserve"> by AD 1073</w:t>
      </w:r>
      <w:r w:rsidR="00C3015A">
        <w:t xml:space="preserve"> by </w:t>
      </w:r>
      <w:r w:rsidR="00975636">
        <w:t xml:space="preserve">William </w:t>
      </w:r>
      <w:r w:rsidR="00C3015A">
        <w:t>d</w:t>
      </w:r>
      <w:r w:rsidR="00975636">
        <w:t>e</w:t>
      </w:r>
      <w:r w:rsidR="00C3015A">
        <w:t xml:space="preserve"> </w:t>
      </w:r>
      <w:r w:rsidR="00975636">
        <w:t>Braose</w:t>
      </w:r>
      <w:r w:rsidR="00466375">
        <w:t>,</w:t>
      </w:r>
      <w:r w:rsidR="00975636">
        <w:t xml:space="preserve"> </w:t>
      </w:r>
      <w:r w:rsidR="00466375">
        <w:t>a</w:t>
      </w:r>
      <w:r w:rsidR="00E14FDA">
        <w:t>n ally of William the Conqueror</w:t>
      </w:r>
      <w:r w:rsidR="00F20217">
        <w:t xml:space="preserve">. The castle was built as a defensive and administrative centre to secure the </w:t>
      </w:r>
      <w:r w:rsidR="00841C84">
        <w:t>area following the</w:t>
      </w:r>
      <w:r w:rsidR="003334A3">
        <w:t xml:space="preserve"> Norman</w:t>
      </w:r>
      <w:r w:rsidR="00841C84">
        <w:t xml:space="preserve"> Conquest</w:t>
      </w:r>
      <w:r w:rsidR="00975636">
        <w:t>.</w:t>
      </w:r>
      <w:r w:rsidR="00D7250E">
        <w:t xml:space="preserve"> </w:t>
      </w:r>
      <w:r w:rsidR="00672782">
        <w:t>Following this the</w:t>
      </w:r>
      <w:r w:rsidR="00D7250E">
        <w:t xml:space="preserve"> castle remained an important centre for several centuries</w:t>
      </w:r>
      <w:r w:rsidR="00BA323B">
        <w:t>. A</w:t>
      </w:r>
      <w:r w:rsidR="000E08D9">
        <w:t>n honour court was held there, and a mint may have been present during the reign of King Stephen</w:t>
      </w:r>
      <w:r w:rsidR="00797818">
        <w:t xml:space="preserve"> in the 12</w:t>
      </w:r>
      <w:r w:rsidR="00797818" w:rsidRPr="00797818">
        <w:rPr>
          <w:vertAlign w:val="superscript"/>
        </w:rPr>
        <w:t>th</w:t>
      </w:r>
      <w:r w:rsidR="00797818">
        <w:t xml:space="preserve"> century</w:t>
      </w:r>
      <w:r w:rsidR="000E08D9">
        <w:t xml:space="preserve">. </w:t>
      </w:r>
      <w:r w:rsidR="00F90060">
        <w:t xml:space="preserve">The castle </w:t>
      </w:r>
      <w:r w:rsidR="00117E66">
        <w:t xml:space="preserve">played a role in </w:t>
      </w:r>
      <w:r w:rsidR="00EE0A68">
        <w:t>the civil</w:t>
      </w:r>
      <w:r w:rsidR="00117E66">
        <w:t xml:space="preserve"> war between King John and the barons in the </w:t>
      </w:r>
      <w:r w:rsidR="001B4CCB">
        <w:t>early 13</w:t>
      </w:r>
      <w:r w:rsidR="001B4CCB" w:rsidRPr="001B4CCB">
        <w:rPr>
          <w:vertAlign w:val="superscript"/>
        </w:rPr>
        <w:t>th</w:t>
      </w:r>
      <w:r w:rsidR="001B4CCB">
        <w:t xml:space="preserve"> </w:t>
      </w:r>
      <w:r w:rsidR="006579AC">
        <w:t>century and</w:t>
      </w:r>
      <w:r w:rsidR="001B4CCB">
        <w:t xml:space="preserve"> </w:t>
      </w:r>
      <w:r w:rsidR="00F90060">
        <w:t>was visited by Kin</w:t>
      </w:r>
      <w:r w:rsidR="00117E66">
        <w:t>g</w:t>
      </w:r>
      <w:r w:rsidR="00F90060">
        <w:t xml:space="preserve"> Edward I </w:t>
      </w:r>
      <w:r w:rsidR="00601111">
        <w:t>later in the 13</w:t>
      </w:r>
      <w:r w:rsidR="00601111" w:rsidRPr="00601111">
        <w:rPr>
          <w:vertAlign w:val="superscript"/>
        </w:rPr>
        <w:t>th</w:t>
      </w:r>
      <w:r w:rsidR="00601111">
        <w:t xml:space="preserve"> century</w:t>
      </w:r>
      <w:r w:rsidR="00BC2EBD">
        <w:t xml:space="preserve">. The castle seems to have fallen </w:t>
      </w:r>
      <w:r w:rsidR="00BC2EBD">
        <w:lastRenderedPageBreak/>
        <w:t>into disuse by the 15</w:t>
      </w:r>
      <w:r w:rsidR="00BC2EBD" w:rsidRPr="00BC2EBD">
        <w:rPr>
          <w:vertAlign w:val="superscript"/>
        </w:rPr>
        <w:t>th</w:t>
      </w:r>
      <w:r w:rsidR="00BC2EBD">
        <w:t xml:space="preserve"> century</w:t>
      </w:r>
      <w:r w:rsidR="00250F20">
        <w:t>, and was a tourist attraction by the Victorian period, and possibly earlier</w:t>
      </w:r>
      <w:r w:rsidR="00601111">
        <w:t>.</w:t>
      </w:r>
      <w:r w:rsidR="00601111">
        <w:rPr>
          <w:rStyle w:val="FootnoteReference"/>
        </w:rPr>
        <w:footnoteReference w:id="4"/>
      </w:r>
    </w:p>
    <w:p w14:paraId="4761081C" w14:textId="0DFA0C22" w:rsidR="000C4498" w:rsidRDefault="000C4498">
      <w:r>
        <w:t xml:space="preserve">The </w:t>
      </w:r>
      <w:r w:rsidR="0064737A">
        <w:t>castle</w:t>
      </w:r>
      <w:r w:rsidR="002B3338">
        <w:t xml:space="preserve">’s location was carefully chosen. The settlement of Steyning is </w:t>
      </w:r>
      <w:r w:rsidR="00300887">
        <w:t>known</w:t>
      </w:r>
      <w:r w:rsidR="002B3338">
        <w:t xml:space="preserve"> to have early Saxon origins, and </w:t>
      </w:r>
      <w:r w:rsidR="00CD4428">
        <w:t xml:space="preserve">was a significant enough settlement that </w:t>
      </w:r>
      <w:r w:rsidR="00CD4428" w:rsidRPr="00CD4428">
        <w:t>King Ethelwulf</w:t>
      </w:r>
      <w:r w:rsidR="00CD4428">
        <w:t xml:space="preserve"> was buried there in the </w:t>
      </w:r>
      <w:r w:rsidR="001A1B10">
        <w:t>mid-9</w:t>
      </w:r>
      <w:r w:rsidR="001A1B10" w:rsidRPr="00CD4428">
        <w:rPr>
          <w:vertAlign w:val="superscript"/>
        </w:rPr>
        <w:t>th</w:t>
      </w:r>
      <w:r w:rsidR="00CD4428">
        <w:t xml:space="preserve"> century. </w:t>
      </w:r>
      <w:r w:rsidR="001A1B10">
        <w:t>Steyning also had a navigable port at that time, making it a strategic</w:t>
      </w:r>
      <w:r w:rsidR="00081984">
        <w:t>ally significant</w:t>
      </w:r>
      <w:r w:rsidR="001A1B10">
        <w:t xml:space="preserve"> settlement.</w:t>
      </w:r>
      <w:r w:rsidR="00C8030A">
        <w:rPr>
          <w:rStyle w:val="FootnoteReference"/>
        </w:rPr>
        <w:footnoteReference w:id="5"/>
      </w:r>
      <w:r w:rsidR="00101F67">
        <w:t xml:space="preserve"> The route of the River Arun has since changed, and there is no longer a port at Steyning, however the </w:t>
      </w:r>
      <w:r w:rsidR="00A01765">
        <w:t xml:space="preserve">location of the castle at a key crossing point in the South Downs is still </w:t>
      </w:r>
      <w:r w:rsidR="00A01765" w:rsidRPr="00556973">
        <w:t xml:space="preserve">clearly discernible in </w:t>
      </w:r>
      <w:r w:rsidR="00023ED1" w:rsidRPr="00556973">
        <w:t xml:space="preserve">the current landscape (see Figure </w:t>
      </w:r>
      <w:r w:rsidR="00C463A7" w:rsidRPr="00556973">
        <w:t>3</w:t>
      </w:r>
      <w:r w:rsidR="00023ED1" w:rsidRPr="00556973">
        <w:t xml:space="preserve">, </w:t>
      </w:r>
      <w:r w:rsidR="00C463A7" w:rsidRPr="00556973">
        <w:t>below</w:t>
      </w:r>
      <w:r w:rsidR="00023ED1" w:rsidRPr="00556973">
        <w:t>).</w:t>
      </w:r>
    </w:p>
    <w:p w14:paraId="627F302C" w14:textId="77777777" w:rsidR="00023ED1" w:rsidRDefault="00023ED1" w:rsidP="00393A0A">
      <w:pPr>
        <w:pStyle w:val="NoSpacing"/>
      </w:pPr>
      <w:r>
        <w:rPr>
          <w:noProof/>
        </w:rPr>
        <w:drawing>
          <wp:inline distT="0" distB="0" distL="0" distR="0" wp14:anchorId="15EF3987" wp14:editId="2DB001E7">
            <wp:extent cx="5731510" cy="4053205"/>
            <wp:effectExtent l="19050" t="19050" r="21590" b="23495"/>
            <wp:docPr id="1345225081"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25081" name="Picture 2"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53205"/>
                    </a:xfrm>
                    <a:prstGeom prst="rect">
                      <a:avLst/>
                    </a:prstGeom>
                    <a:ln>
                      <a:solidFill>
                        <a:schemeClr val="accent1"/>
                      </a:solidFill>
                    </a:ln>
                  </pic:spPr>
                </pic:pic>
              </a:graphicData>
            </a:graphic>
          </wp:inline>
        </w:drawing>
      </w:r>
    </w:p>
    <w:p w14:paraId="18B730D5" w14:textId="2B199D95" w:rsidR="00023ED1" w:rsidRDefault="00023ED1" w:rsidP="00023ED1">
      <w:pPr>
        <w:pStyle w:val="Caption"/>
      </w:pPr>
      <w:r>
        <w:t xml:space="preserve">Figure </w:t>
      </w:r>
      <w:fldSimple w:instr=" SEQ Figure \* ARABIC ">
        <w:r w:rsidR="003F37B8">
          <w:rPr>
            <w:noProof/>
          </w:rPr>
          <w:t>3</w:t>
        </w:r>
      </w:fldSimple>
      <w:r>
        <w:t xml:space="preserve">   Topographic model of </w:t>
      </w:r>
      <w:r w:rsidR="00D2321C">
        <w:t>the castle and surrounding area generated using Environment Agency Lidar data. Darker blue lines indicate high</w:t>
      </w:r>
      <w:r w:rsidR="009743D5">
        <w:t>er</w:t>
      </w:r>
      <w:r w:rsidR="00D2321C">
        <w:t xml:space="preserve"> elevations. The model clearly shows the </w:t>
      </w:r>
      <w:r w:rsidR="00393A0A">
        <w:t>Downs, the route of the River Arun and associated low-lying ground, and the small knol</w:t>
      </w:r>
      <w:r w:rsidR="005031D4">
        <w:t>l on which</w:t>
      </w:r>
      <w:r w:rsidR="00393A0A">
        <w:t xml:space="preserve"> the castle is located.</w:t>
      </w:r>
    </w:p>
    <w:p w14:paraId="540CEC46" w14:textId="0CB543C5" w:rsidR="00DB5A7F" w:rsidRPr="00E6690A" w:rsidRDefault="00DB5A7F">
      <w:pPr>
        <w:rPr>
          <w:u w:val="single"/>
        </w:rPr>
      </w:pPr>
      <w:r w:rsidRPr="00E6690A">
        <w:rPr>
          <w:u w:val="single"/>
        </w:rPr>
        <w:t xml:space="preserve">Historical context </w:t>
      </w:r>
      <w:r w:rsidR="00E6690A" w:rsidRPr="00E6690A">
        <w:rPr>
          <w:u w:val="single"/>
        </w:rPr>
        <w:t>of the castle</w:t>
      </w:r>
    </w:p>
    <w:p w14:paraId="405625B0" w14:textId="09BDDE7C" w:rsidR="00A42F4F" w:rsidRDefault="00557D0A">
      <w:r w:rsidRPr="003B176C">
        <w:t>The construction of the castle</w:t>
      </w:r>
      <w:r w:rsidR="003D703D" w:rsidRPr="003B176C">
        <w:t>, and its presence today, is the direct result of</w:t>
      </w:r>
      <w:r w:rsidRPr="003B176C">
        <w:t xml:space="preserve"> the Norman Conquest</w:t>
      </w:r>
      <w:r w:rsidR="003D703D" w:rsidRPr="003B176C">
        <w:t xml:space="preserve"> </w:t>
      </w:r>
      <w:r w:rsidR="007866C8">
        <w:t xml:space="preserve">of England </w:t>
      </w:r>
      <w:r w:rsidR="003D703D" w:rsidRPr="003B176C">
        <w:t xml:space="preserve">in AD 1066. </w:t>
      </w:r>
      <w:r w:rsidR="00423D54" w:rsidRPr="003B176C">
        <w:t xml:space="preserve">There was no documented use of the site of the castle prior to the invasion, and </w:t>
      </w:r>
      <w:r w:rsidR="008E1EEF" w:rsidRPr="003B176C">
        <w:lastRenderedPageBreak/>
        <w:t xml:space="preserve">its location seems to have been chosen </w:t>
      </w:r>
      <w:r w:rsidR="00835787">
        <w:t xml:space="preserve">by the Normans </w:t>
      </w:r>
      <w:r w:rsidR="008E1EEF" w:rsidRPr="003B176C">
        <w:t>purely for strategic reasons.</w:t>
      </w:r>
      <w:r w:rsidR="008E1EEF" w:rsidRPr="003B176C">
        <w:rPr>
          <w:rStyle w:val="FootnoteReference"/>
        </w:rPr>
        <w:footnoteReference w:id="6"/>
      </w:r>
      <w:r w:rsidR="00963551" w:rsidRPr="003B176C">
        <w:t xml:space="preserve"> The Norman Conquest was a violent and foundational event in the history of the United Kingdom</w:t>
      </w:r>
      <w:r w:rsidR="00A162FF">
        <w:t>, which resulted in far reaching cultural and landscape impacts</w:t>
      </w:r>
      <w:r w:rsidR="00BF0FF8">
        <w:t xml:space="preserve">, although the </w:t>
      </w:r>
      <w:r w:rsidR="00413E27">
        <w:t>significance of this event in the present day is often not recognised</w:t>
      </w:r>
      <w:r w:rsidR="006C0F1A">
        <w:t xml:space="preserve"> due to the time that has past</w:t>
      </w:r>
      <w:r w:rsidR="00A162FF">
        <w:t>.</w:t>
      </w:r>
      <w:r w:rsidR="00C203B1">
        <w:t xml:space="preserve"> </w:t>
      </w:r>
      <w:r w:rsidR="00B32969">
        <w:t xml:space="preserve">In her </w:t>
      </w:r>
      <w:r w:rsidR="00B75190">
        <w:t>analysis of how the Norman Conquest has been mythologised and remembered,</w:t>
      </w:r>
      <w:r w:rsidR="0062735D">
        <w:t xml:space="preserve"> Brownlie</w:t>
      </w:r>
      <w:r w:rsidR="00B75190">
        <w:t xml:space="preserve"> highlights a key difference between recent memories of traumatic events</w:t>
      </w:r>
      <w:r w:rsidR="00F4178F">
        <w:t xml:space="preserve"> such as the Conquest</w:t>
      </w:r>
      <w:r w:rsidR="00B75190">
        <w:t xml:space="preserve">, which have </w:t>
      </w:r>
      <w:r w:rsidR="005C6A60">
        <w:t>a higher level of affect and resonance, as opposed to distant memories, where this is often reduced</w:t>
      </w:r>
      <w:r w:rsidR="00DC1BD4">
        <w:t>.</w:t>
      </w:r>
      <w:r w:rsidR="00DC1BD4">
        <w:rPr>
          <w:rStyle w:val="FootnoteReference"/>
        </w:rPr>
        <w:footnoteReference w:id="7"/>
      </w:r>
      <w:r w:rsidR="00DC1BD4">
        <w:t xml:space="preserve"> </w:t>
      </w:r>
      <w:r w:rsidR="0075194B">
        <w:t>As an example</w:t>
      </w:r>
      <w:r w:rsidR="00E31EF1">
        <w:t xml:space="preserve"> she highlights </w:t>
      </w:r>
      <w:r w:rsidR="001D1698">
        <w:t xml:space="preserve">early </w:t>
      </w:r>
      <w:r w:rsidR="00034B5F">
        <w:t xml:space="preserve">contemporary accounts of the Conquest, which </w:t>
      </w:r>
      <w:r w:rsidR="00E31EF1">
        <w:t>convey the sense</w:t>
      </w:r>
      <w:r w:rsidR="00034B5F">
        <w:t xml:space="preserve"> </w:t>
      </w:r>
      <w:r w:rsidR="006745DC">
        <w:t xml:space="preserve">of </w:t>
      </w:r>
      <w:r w:rsidR="00034B5F">
        <w:t xml:space="preserve">injustice and </w:t>
      </w:r>
      <w:r w:rsidR="006F43FC">
        <w:t>pain</w:t>
      </w:r>
      <w:r w:rsidR="00E31EF1">
        <w:t xml:space="preserve"> of the </w:t>
      </w:r>
      <w:r w:rsidR="00533369">
        <w:t>invasion</w:t>
      </w:r>
      <w:r w:rsidR="006B390F">
        <w:t xml:space="preserve">, and subsequent related events such as the harrowing of the </w:t>
      </w:r>
      <w:r w:rsidR="00B82CD1">
        <w:t>N</w:t>
      </w:r>
      <w:r w:rsidR="006B390F">
        <w:t>orth, in which up to 100,000 people were killed</w:t>
      </w:r>
      <w:r w:rsidR="00E31EF1">
        <w:t>:</w:t>
      </w:r>
      <w:r w:rsidR="00391A76">
        <w:rPr>
          <w:rStyle w:val="FootnoteReference"/>
        </w:rPr>
        <w:footnoteReference w:id="8"/>
      </w:r>
    </w:p>
    <w:p w14:paraId="3867B3DD" w14:textId="3D33EDDA" w:rsidR="00B56E4B" w:rsidRPr="00193C34" w:rsidRDefault="008474F8" w:rsidP="00193C34">
      <w:pPr>
        <w:ind w:left="720"/>
        <w:rPr>
          <w:i/>
          <w:iCs/>
        </w:rPr>
      </w:pPr>
      <w:r w:rsidRPr="00193C34">
        <w:rPr>
          <w:i/>
          <w:iCs/>
        </w:rPr>
        <w:t>“the English were groaning under the Norman yoke, and suffering oppressions from the proud lords […] The petty lords who were guarding the castles oppressed all the native inhabitants of high and low degree, and heaped shameful burdens on them”.</w:t>
      </w:r>
      <w:r w:rsidR="00B56E4B" w:rsidRPr="00193C34">
        <w:rPr>
          <w:rStyle w:val="FootnoteReference"/>
          <w:i/>
          <w:iCs/>
        </w:rPr>
        <w:footnoteReference w:id="9"/>
      </w:r>
    </w:p>
    <w:p w14:paraId="7F450681" w14:textId="77777777" w:rsidR="00BA2622" w:rsidRDefault="00E31EF1">
      <w:r w:rsidRPr="00A2477E">
        <w:t xml:space="preserve">By contrast, Brownlie notes that </w:t>
      </w:r>
      <w:r w:rsidR="006A003B">
        <w:t>modern</w:t>
      </w:r>
      <w:r w:rsidR="00CD6EE1" w:rsidRPr="00A2477E">
        <w:t xml:space="preserve"> accounts of the Conquest </w:t>
      </w:r>
      <w:r w:rsidR="00AA131A" w:rsidRPr="00A2477E">
        <w:t xml:space="preserve">often </w:t>
      </w:r>
      <w:r w:rsidR="00CD6EE1" w:rsidRPr="00A2477E">
        <w:t xml:space="preserve">treat it as a neutral event, perhaps useful </w:t>
      </w:r>
      <w:r w:rsidR="00AA131A" w:rsidRPr="00A2477E">
        <w:t>as a widely known historical reference</w:t>
      </w:r>
      <w:r w:rsidR="00622F23">
        <w:t xml:space="preserve"> point</w:t>
      </w:r>
      <w:r w:rsidR="00C50FD9">
        <w:t xml:space="preserve"> but nothing more</w:t>
      </w:r>
      <w:r w:rsidR="003B3DE7" w:rsidRPr="00A2477E">
        <w:t>.</w:t>
      </w:r>
      <w:r w:rsidR="003B3DE7" w:rsidRPr="00A2477E">
        <w:rPr>
          <w:rStyle w:val="FootnoteReference"/>
        </w:rPr>
        <w:footnoteReference w:id="10"/>
      </w:r>
      <w:r w:rsidR="00FC3D48">
        <w:t xml:space="preserve"> </w:t>
      </w:r>
    </w:p>
    <w:p w14:paraId="2537B656" w14:textId="6930B5CF" w:rsidR="00E35D3A" w:rsidRDefault="00FC3D48">
      <w:r>
        <w:t>However, it is not the case that the Conquest is now only seen as a neutral historical event, with no modern relevance</w:t>
      </w:r>
      <w:r w:rsidR="00CA6BED">
        <w:t xml:space="preserve">. Brownlie herself acknowledges that Irish nationalists </w:t>
      </w:r>
      <w:r w:rsidR="00E40430">
        <w:t xml:space="preserve">have </w:t>
      </w:r>
      <w:r w:rsidR="00FF09ED">
        <w:t>tended to see the invasion as the starting point of later English oppression.</w:t>
      </w:r>
      <w:r w:rsidR="00FF09ED">
        <w:rPr>
          <w:rStyle w:val="FootnoteReference"/>
        </w:rPr>
        <w:footnoteReference w:id="11"/>
      </w:r>
      <w:r w:rsidR="00FF09ED">
        <w:t xml:space="preserve"> </w:t>
      </w:r>
      <w:r w:rsidR="00985BA8">
        <w:t xml:space="preserve">Similar sentiments can be seen in </w:t>
      </w:r>
      <w:r w:rsidR="000916D0">
        <w:t xml:space="preserve">a speech given by </w:t>
      </w:r>
      <w:r w:rsidR="00F94732">
        <w:t xml:space="preserve">Plaid Cymru MP Adam Price </w:t>
      </w:r>
      <w:r w:rsidR="00A31791">
        <w:t xml:space="preserve">in 2009, where </w:t>
      </w:r>
      <w:r w:rsidR="00266964">
        <w:t>he equate</w:t>
      </w:r>
      <w:r w:rsidR="002E32EA">
        <w:t>d</w:t>
      </w:r>
      <w:r w:rsidR="00266964">
        <w:t xml:space="preserve"> the Norma</w:t>
      </w:r>
      <w:r w:rsidR="00DA6ADA">
        <w:t xml:space="preserve">n </w:t>
      </w:r>
      <w:r w:rsidR="00266964">
        <w:t xml:space="preserve">invasion of Wales with the </w:t>
      </w:r>
      <w:r w:rsidR="00880F71">
        <w:t xml:space="preserve">colonialism of the </w:t>
      </w:r>
      <w:r w:rsidR="00825D48">
        <w:t>British</w:t>
      </w:r>
      <w:r w:rsidR="00266964">
        <w:t xml:space="preserve"> Empire</w:t>
      </w:r>
      <w:r w:rsidR="00934ED9">
        <w:t>.</w:t>
      </w:r>
      <w:r w:rsidR="00934ED9">
        <w:rPr>
          <w:rStyle w:val="FootnoteReference"/>
        </w:rPr>
        <w:footnoteReference w:id="12"/>
      </w:r>
      <w:r w:rsidR="00266964">
        <w:t xml:space="preserve"> </w:t>
      </w:r>
      <w:r w:rsidR="00130C00">
        <w:t xml:space="preserve">Bonacchi noted a similar trend with </w:t>
      </w:r>
      <w:r w:rsidR="004F4DFE">
        <w:t>British nationalist groups</w:t>
      </w:r>
      <w:r w:rsidR="00CA79A9">
        <w:t xml:space="preserve">, who </w:t>
      </w:r>
      <w:r w:rsidR="008C742D">
        <w:t>equated</w:t>
      </w:r>
      <w:r w:rsidR="004F4DFE">
        <w:t xml:space="preserve"> </w:t>
      </w:r>
      <w:r w:rsidR="006E12EB">
        <w:t>the perceived encroachments of the EU</w:t>
      </w:r>
      <w:r w:rsidR="00B85DF2">
        <w:t xml:space="preserve"> in British affairs</w:t>
      </w:r>
      <w:r w:rsidR="006E12EB">
        <w:t xml:space="preserve"> with </w:t>
      </w:r>
      <w:r w:rsidR="002022C0">
        <w:t>the Norman Conquest</w:t>
      </w:r>
      <w:r w:rsidR="00B04A35">
        <w:t xml:space="preserve"> </w:t>
      </w:r>
      <w:r w:rsidR="00F01FE9">
        <w:t xml:space="preserve">when campaigning </w:t>
      </w:r>
      <w:r w:rsidR="00AB54DC">
        <w:t>to</w:t>
      </w:r>
      <w:r w:rsidR="00DE1415">
        <w:t xml:space="preserve"> </w:t>
      </w:r>
      <w:r w:rsidR="00AB54DC">
        <w:t>l</w:t>
      </w:r>
      <w:r w:rsidR="00DE1415">
        <w:t xml:space="preserve">eave </w:t>
      </w:r>
      <w:r w:rsidR="00AB54DC">
        <w:t xml:space="preserve">the EU </w:t>
      </w:r>
      <w:r w:rsidR="00DE1415">
        <w:t xml:space="preserve">in </w:t>
      </w:r>
      <w:r w:rsidR="002022C0">
        <w:t>the Brexit debates.</w:t>
      </w:r>
      <w:r w:rsidR="00222469">
        <w:rPr>
          <w:rStyle w:val="FootnoteReference"/>
        </w:rPr>
        <w:footnoteReference w:id="13"/>
      </w:r>
    </w:p>
    <w:p w14:paraId="0A040C3E" w14:textId="0B90D12B" w:rsidR="00524DBF" w:rsidRDefault="00021723">
      <w:r>
        <w:t>Other subaltern groups may also have alternative understanding</w:t>
      </w:r>
      <w:r w:rsidR="00FB715C">
        <w:t>s of the meaning of the Norman Conquest, however</w:t>
      </w:r>
      <w:r w:rsidR="00CB7BB5">
        <w:t>,</w:t>
      </w:r>
      <w:r w:rsidR="00FB715C">
        <w:t xml:space="preserve"> as Brownlie has</w:t>
      </w:r>
      <w:r w:rsidR="00666C7E">
        <w:t xml:space="preserve"> </w:t>
      </w:r>
      <w:r w:rsidR="00FB715C">
        <w:t>noted</w:t>
      </w:r>
      <w:r w:rsidR="00CB7BB5">
        <w:t>,</w:t>
      </w:r>
      <w:r w:rsidR="00FB715C">
        <w:t xml:space="preserve"> </w:t>
      </w:r>
      <w:r w:rsidR="001A7267">
        <w:t xml:space="preserve">relatively limited work has been undertaken on the </w:t>
      </w:r>
      <w:r w:rsidR="001A7267">
        <w:lastRenderedPageBreak/>
        <w:t>Conquest from a Memory Studies perspective</w:t>
      </w:r>
      <w:r w:rsidR="00BC30ED">
        <w:t>, so information on this is currently limited</w:t>
      </w:r>
      <w:r w:rsidR="001A7267">
        <w:t>.</w:t>
      </w:r>
      <w:r w:rsidR="00326DB2">
        <w:rPr>
          <w:rStyle w:val="FootnoteReference"/>
        </w:rPr>
        <w:footnoteReference w:id="14"/>
      </w:r>
      <w:r w:rsidR="003F3D54">
        <w:t xml:space="preserve"> However, it is clear that</w:t>
      </w:r>
      <w:r w:rsidR="00524DBF">
        <w:t xml:space="preserve"> </w:t>
      </w:r>
      <w:r w:rsidR="00E36F38">
        <w:t xml:space="preserve">Bramber Castle is a </w:t>
      </w:r>
      <w:r w:rsidR="0067721C">
        <w:t xml:space="preserve">physical </w:t>
      </w:r>
      <w:r w:rsidR="00E36F38">
        <w:t>relic of t</w:t>
      </w:r>
      <w:r w:rsidR="00F8121C">
        <w:t>he Conquest</w:t>
      </w:r>
      <w:r w:rsidR="00E36F38">
        <w:t xml:space="preserve">, and a </w:t>
      </w:r>
      <w:r w:rsidR="00BD66F7">
        <w:t xml:space="preserve">potentially </w:t>
      </w:r>
      <w:r w:rsidR="00E36F38">
        <w:t xml:space="preserve">potent symbol of the </w:t>
      </w:r>
      <w:r w:rsidR="00F270AB">
        <w:t xml:space="preserve">impact </w:t>
      </w:r>
      <w:r w:rsidR="00BD598C">
        <w:t xml:space="preserve">and legacy </w:t>
      </w:r>
      <w:r w:rsidR="00F270AB">
        <w:t xml:space="preserve">of the </w:t>
      </w:r>
      <w:r w:rsidR="00BD598C">
        <w:t xml:space="preserve">Norman </w:t>
      </w:r>
      <w:r w:rsidR="00F270AB">
        <w:t>Conquest</w:t>
      </w:r>
      <w:r w:rsidR="00BD66F7">
        <w:t xml:space="preserve"> due to its still legible local prominence</w:t>
      </w:r>
      <w:r w:rsidR="00763D3E">
        <w:t>, whose meaning to visitors may vary depending on their personal background</w:t>
      </w:r>
      <w:r w:rsidR="00D142EA">
        <w:t xml:space="preserve"> (see Figure 4, overleaf).</w:t>
      </w:r>
    </w:p>
    <w:p w14:paraId="63A2809A" w14:textId="77777777" w:rsidR="003F37B8" w:rsidRDefault="003F37B8" w:rsidP="003F37B8">
      <w:pPr>
        <w:pStyle w:val="NoSpacing"/>
        <w:keepNext/>
      </w:pPr>
      <w:r>
        <w:rPr>
          <w:noProof/>
        </w:rPr>
        <w:drawing>
          <wp:inline distT="0" distB="0" distL="0" distR="0" wp14:anchorId="7F4B5834" wp14:editId="6759D7F6">
            <wp:extent cx="5731510" cy="4298950"/>
            <wp:effectExtent l="19050" t="19050" r="21590" b="25400"/>
            <wp:docPr id="1117447224" name="Picture 2" descr="A picture containing grass, sky,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47224" name="Picture 2" descr="A picture containing grass, sky, outdoor, tre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a:ln>
                      <a:solidFill>
                        <a:schemeClr val="accent1"/>
                      </a:solidFill>
                    </a:ln>
                  </pic:spPr>
                </pic:pic>
              </a:graphicData>
            </a:graphic>
          </wp:inline>
        </w:drawing>
      </w:r>
    </w:p>
    <w:p w14:paraId="0E5CAC3D" w14:textId="514812E1" w:rsidR="003F37B8" w:rsidRDefault="003F37B8" w:rsidP="003F37B8">
      <w:pPr>
        <w:pStyle w:val="Caption"/>
      </w:pPr>
      <w:r>
        <w:t xml:space="preserve">Figure </w:t>
      </w:r>
      <w:fldSimple w:instr=" SEQ Figure \* ARABIC ">
        <w:r>
          <w:rPr>
            <w:noProof/>
          </w:rPr>
          <w:t>4</w:t>
        </w:r>
      </w:fldSimple>
      <w:r>
        <w:t xml:space="preserve">   </w:t>
      </w:r>
      <w:r w:rsidR="003764D5">
        <w:t xml:space="preserve">Photograph of the </w:t>
      </w:r>
      <w:r w:rsidR="00AC190B">
        <w:t xml:space="preserve">remains of the </w:t>
      </w:r>
      <w:r w:rsidR="003764D5">
        <w:t>tower at Bramber Castle</w:t>
      </w:r>
    </w:p>
    <w:p w14:paraId="7BD601A2" w14:textId="216A5E96" w:rsidR="0096758F" w:rsidRPr="00B94323" w:rsidRDefault="0096758F">
      <w:pPr>
        <w:rPr>
          <w:u w:val="single"/>
        </w:rPr>
      </w:pPr>
      <w:r w:rsidRPr="00B94323">
        <w:rPr>
          <w:u w:val="single"/>
        </w:rPr>
        <w:t>Theoretical issues</w:t>
      </w:r>
      <w:r w:rsidR="001E6812">
        <w:rPr>
          <w:u w:val="single"/>
        </w:rPr>
        <w:t xml:space="preserve"> in the presentation of history</w:t>
      </w:r>
    </w:p>
    <w:p w14:paraId="0368A7F2" w14:textId="33B9D967" w:rsidR="00524DBF" w:rsidRDefault="00434B3A">
      <w:r>
        <w:t xml:space="preserve">The presentation of </w:t>
      </w:r>
      <w:r w:rsidR="001B7619">
        <w:t xml:space="preserve">difficult and contested histories </w:t>
      </w:r>
      <w:r w:rsidR="0085254B">
        <w:t>at museums and</w:t>
      </w:r>
      <w:r w:rsidR="001B7619">
        <w:t xml:space="preserve"> heritage </w:t>
      </w:r>
      <w:r w:rsidR="0085254B">
        <w:t xml:space="preserve">sites has been subject to academic scrutiny in the </w:t>
      </w:r>
      <w:r w:rsidR="00D86BF1">
        <w:t>20</w:t>
      </w:r>
      <w:r w:rsidR="00D86BF1" w:rsidRPr="00D86BF1">
        <w:rPr>
          <w:vertAlign w:val="superscript"/>
        </w:rPr>
        <w:t>th</w:t>
      </w:r>
      <w:r w:rsidR="00D86BF1">
        <w:t xml:space="preserve"> and 21</w:t>
      </w:r>
      <w:r w:rsidR="00D86BF1" w:rsidRPr="00D86BF1">
        <w:rPr>
          <w:vertAlign w:val="superscript"/>
        </w:rPr>
        <w:t>st</w:t>
      </w:r>
      <w:r w:rsidR="00D86BF1">
        <w:t xml:space="preserve"> centuries</w:t>
      </w:r>
      <w:r w:rsidR="009C44D4">
        <w:t xml:space="preserve">. This has led to an increased recognition that </w:t>
      </w:r>
      <w:r w:rsidR="00706852">
        <w:t xml:space="preserve">the collections and sites at these locations have meanings </w:t>
      </w:r>
      <w:r w:rsidR="00241A8C">
        <w:t>aside from those given by the professional curators who organised their presentation.</w:t>
      </w:r>
      <w:r w:rsidR="00241A8C">
        <w:rPr>
          <w:rStyle w:val="FootnoteReference"/>
        </w:rPr>
        <w:footnoteReference w:id="15"/>
      </w:r>
      <w:r w:rsidR="00962F9A">
        <w:t xml:space="preserve"> </w:t>
      </w:r>
      <w:r w:rsidR="00405315">
        <w:t xml:space="preserve">Smith has noted </w:t>
      </w:r>
      <w:r w:rsidR="001243E9">
        <w:t xml:space="preserve">in her research </w:t>
      </w:r>
      <w:r w:rsidR="00830F9F">
        <w:t xml:space="preserve">on visitor reactions to exhibits on the </w:t>
      </w:r>
      <w:r w:rsidR="0019703F">
        <w:t>t</w:t>
      </w:r>
      <w:r w:rsidR="00830F9F">
        <w:t xml:space="preserve">ransatlantic slave trade </w:t>
      </w:r>
      <w:r w:rsidR="001243E9">
        <w:t xml:space="preserve">that visits to museums and heritage sites are not merely educational, even when </w:t>
      </w:r>
      <w:r w:rsidR="001F58CF">
        <w:t>visitors state that as their main purpose.</w:t>
      </w:r>
      <w:r w:rsidR="00DA618A">
        <w:rPr>
          <w:rStyle w:val="FootnoteReference"/>
        </w:rPr>
        <w:footnoteReference w:id="16"/>
      </w:r>
      <w:r w:rsidR="001F58CF">
        <w:t xml:space="preserve"> </w:t>
      </w:r>
      <w:r w:rsidR="00551C22">
        <w:t xml:space="preserve">She found that these visits </w:t>
      </w:r>
      <w:r w:rsidR="0015267A">
        <w:t xml:space="preserve">are </w:t>
      </w:r>
      <w:r w:rsidR="0015267A">
        <w:lastRenderedPageBreak/>
        <w:t>also used to reinforce</w:t>
      </w:r>
      <w:r w:rsidR="00DA618A">
        <w:t xml:space="preserve"> existing</w:t>
      </w:r>
      <w:r w:rsidR="0015267A">
        <w:t xml:space="preserve"> cultural views and identities</w:t>
      </w:r>
      <w:r w:rsidR="00C61B97">
        <w:t xml:space="preserve">, </w:t>
      </w:r>
      <w:r w:rsidR="00FB7289">
        <w:t xml:space="preserve">using the information provided to that end rather than to inform or challenge </w:t>
      </w:r>
      <w:r w:rsidR="00830F9F">
        <w:t>pre-existing understanding</w:t>
      </w:r>
      <w:r w:rsidR="00B22920">
        <w:t>s of the history presented</w:t>
      </w:r>
      <w:r w:rsidR="00830F9F">
        <w:t>.</w:t>
      </w:r>
      <w:r w:rsidR="00B22920">
        <w:rPr>
          <w:rStyle w:val="FootnoteReference"/>
        </w:rPr>
        <w:footnoteReference w:id="17"/>
      </w:r>
    </w:p>
    <w:p w14:paraId="2EACD2FB" w14:textId="09E363F4" w:rsidR="00FA0BB6" w:rsidRDefault="00DE3502">
      <w:r>
        <w:t>Hooper-Greenhill noted that</w:t>
      </w:r>
      <w:r w:rsidR="00BF77D7">
        <w:t xml:space="preserve"> a visitor’s identity</w:t>
      </w:r>
      <w:r w:rsidR="00442F8E">
        <w:t xml:space="preserve"> and </w:t>
      </w:r>
      <w:r w:rsidR="00BF77D7">
        <w:t xml:space="preserve">background </w:t>
      </w:r>
      <w:r w:rsidR="00021EDB">
        <w:t>will inform</w:t>
      </w:r>
      <w:r w:rsidR="00577AFE">
        <w:t>,</w:t>
      </w:r>
      <w:r w:rsidR="00021EDB">
        <w:t xml:space="preserve"> and to an extent determine the understanding a visitor can derive from </w:t>
      </w:r>
      <w:r w:rsidR="00442F8E">
        <w:t>experiencing</w:t>
      </w:r>
      <w:r w:rsidR="00A8542A">
        <w:t xml:space="preserve"> a painting, or indeed </w:t>
      </w:r>
      <w:r w:rsidR="009B43DD">
        <w:t>a historic object</w:t>
      </w:r>
      <w:r w:rsidR="00021EDB">
        <w:t>.</w:t>
      </w:r>
      <w:r w:rsidR="00021EDB">
        <w:rPr>
          <w:rStyle w:val="FootnoteReference"/>
        </w:rPr>
        <w:footnoteReference w:id="18"/>
      </w:r>
      <w:r w:rsidR="0065330B">
        <w:t xml:space="preserve"> </w:t>
      </w:r>
      <w:r w:rsidR="00A8542A">
        <w:t>Equally</w:t>
      </w:r>
      <w:r w:rsidR="00671869">
        <w:t xml:space="preserve">, as </w:t>
      </w:r>
      <w:r w:rsidR="00DB7D54">
        <w:t xml:space="preserve">Smith </w:t>
      </w:r>
      <w:r w:rsidR="00C07BFD">
        <w:t>has</w:t>
      </w:r>
      <w:r w:rsidR="00DB7D54">
        <w:t xml:space="preserve"> </w:t>
      </w:r>
      <w:r w:rsidR="00671869">
        <w:t xml:space="preserve">argued, </w:t>
      </w:r>
      <w:r w:rsidR="00CD4AC1">
        <w:t xml:space="preserve">authoritative discourses about heritage </w:t>
      </w:r>
      <w:r w:rsidR="002C255B">
        <w:t xml:space="preserve">and history </w:t>
      </w:r>
      <w:r w:rsidR="0070236B">
        <w:t>(which Smith calls “Authorised Heritage Discourses”</w:t>
      </w:r>
      <w:r w:rsidR="00FC5CD2">
        <w:t xml:space="preserve">) </w:t>
      </w:r>
      <w:r w:rsidR="00CD4AC1">
        <w:t xml:space="preserve">help to shape </w:t>
      </w:r>
      <w:r w:rsidR="006737F4">
        <w:t xml:space="preserve">cultural </w:t>
      </w:r>
      <w:r w:rsidR="002C255B">
        <w:t>identity in the present</w:t>
      </w:r>
      <w:r w:rsidR="009B43DD">
        <w:t>, and therefore the identity and background of visitors to museums and heritage sites</w:t>
      </w:r>
      <w:r w:rsidR="006737F4">
        <w:t>.</w:t>
      </w:r>
      <w:r w:rsidR="006737F4">
        <w:rPr>
          <w:rStyle w:val="FootnoteReference"/>
        </w:rPr>
        <w:footnoteReference w:id="19"/>
      </w:r>
      <w:r w:rsidR="00463C7C">
        <w:t xml:space="preserve"> Bennett</w:t>
      </w:r>
      <w:r w:rsidR="002D718D">
        <w:t>’s work suggests that</w:t>
      </w:r>
      <w:r w:rsidR="00496011">
        <w:t xml:space="preserve"> museums</w:t>
      </w:r>
      <w:r w:rsidR="00463C7C">
        <w:t xml:space="preserve"> </w:t>
      </w:r>
      <w:r w:rsidR="00496011">
        <w:t>play a role in such discourses</w:t>
      </w:r>
      <w:r w:rsidR="00542888">
        <w:t>.</w:t>
      </w:r>
      <w:r w:rsidR="00542888">
        <w:rPr>
          <w:rStyle w:val="FootnoteReference"/>
        </w:rPr>
        <w:footnoteReference w:id="20"/>
      </w:r>
      <w:r w:rsidR="00542888">
        <w:t xml:space="preserve"> </w:t>
      </w:r>
      <w:r w:rsidR="00902C45">
        <w:t xml:space="preserve">For example, when </w:t>
      </w:r>
      <w:r w:rsidR="00EB500C">
        <w:t>describing the Beamish Museum</w:t>
      </w:r>
      <w:r w:rsidR="000B7D13">
        <w:t>,</w:t>
      </w:r>
      <w:r w:rsidR="00902C45">
        <w:t xml:space="preserve"> Bennett </w:t>
      </w:r>
      <w:r w:rsidR="00BD3AE9">
        <w:t>notes that</w:t>
      </w:r>
      <w:r w:rsidR="00902C45">
        <w:t xml:space="preserve"> significant political and social details were omitted from the presentation of elements of the museum.</w:t>
      </w:r>
      <w:r w:rsidR="00F45D95">
        <w:t xml:space="preserve"> </w:t>
      </w:r>
      <w:r w:rsidR="008A1FCD">
        <w:t xml:space="preserve">Among several examples </w:t>
      </w:r>
      <w:r w:rsidR="00F45D95">
        <w:t xml:space="preserve">Bennett </w:t>
      </w:r>
      <w:r w:rsidR="00F75938">
        <w:t xml:space="preserve">highlights how the Anfield Plain Industrial Co-operative Society stores </w:t>
      </w:r>
      <w:r w:rsidR="00E22D1E">
        <w:t xml:space="preserve">were used to highlight </w:t>
      </w:r>
      <w:r w:rsidR="008F2661">
        <w:t xml:space="preserve">historic </w:t>
      </w:r>
      <w:r w:rsidR="00E22D1E">
        <w:t xml:space="preserve">weights and measures, and pre-decimalisation currency, with no mention of the </w:t>
      </w:r>
      <w:r w:rsidR="00EE73D9">
        <w:t>co-operative movement or its socialist history, which explained the building</w:t>
      </w:r>
      <w:r w:rsidR="008F2661">
        <w:t>’</w:t>
      </w:r>
      <w:r w:rsidR="00EE73D9">
        <w:t>s existence in the first place.</w:t>
      </w:r>
      <w:r w:rsidR="008F2661">
        <w:rPr>
          <w:rStyle w:val="FootnoteReference"/>
        </w:rPr>
        <w:footnoteReference w:id="21"/>
      </w:r>
    </w:p>
    <w:p w14:paraId="53DDA433" w14:textId="7D48430F" w:rsidR="00D37D64" w:rsidRDefault="00D37D64">
      <w:r>
        <w:t>Both Bennett and Smith see the de</w:t>
      </w:r>
      <w:r w:rsidR="00272648">
        <w:t>cisions on how history is presented within museums and heritage site</w:t>
      </w:r>
      <w:r w:rsidR="005A20DC">
        <w:t>s, and what is omitted from presentation</w:t>
      </w:r>
      <w:r w:rsidR="007C440A">
        <w:t>s of history</w:t>
      </w:r>
      <w:r w:rsidR="00FF567B">
        <w:t xml:space="preserve"> at these sites</w:t>
      </w:r>
      <w:r w:rsidR="005A20DC">
        <w:t>,</w:t>
      </w:r>
      <w:r w:rsidR="00272648">
        <w:t xml:space="preserve"> as political in nature.</w:t>
      </w:r>
      <w:r w:rsidR="00C11AA6">
        <w:rPr>
          <w:rStyle w:val="FootnoteReference"/>
        </w:rPr>
        <w:footnoteReference w:id="22"/>
      </w:r>
      <w:r w:rsidR="006B46B8">
        <w:t xml:space="preserve"> </w:t>
      </w:r>
      <w:r w:rsidR="006724C9">
        <w:t>Smith has developed this further and argued that how people</w:t>
      </w:r>
      <w:r w:rsidR="00D42D51">
        <w:t xml:space="preserve"> construct their understanding of the information presented to them in museums and heritage sites</w:t>
      </w:r>
      <w:r w:rsidR="00BB7C79">
        <w:t xml:space="preserve"> has political implications</w:t>
      </w:r>
      <w:r w:rsidR="00B00A04">
        <w:t>.</w:t>
      </w:r>
      <w:r w:rsidR="00B00A04">
        <w:rPr>
          <w:rStyle w:val="FootnoteReference"/>
        </w:rPr>
        <w:footnoteReference w:id="23"/>
      </w:r>
      <w:r w:rsidR="007431B2">
        <w:t xml:space="preserve"> The political dimension and significance of people’s constructed understanding of the past</w:t>
      </w:r>
      <w:r w:rsidR="00BB3179">
        <w:t>,</w:t>
      </w:r>
      <w:r w:rsidR="007431B2">
        <w:t xml:space="preserve"> as argued by Smith</w:t>
      </w:r>
      <w:r w:rsidR="00BB3179">
        <w:t>,</w:t>
      </w:r>
      <w:r w:rsidR="007431B2">
        <w:t xml:space="preserve"> is </w:t>
      </w:r>
      <w:r w:rsidR="00716B3D">
        <w:t xml:space="preserve">readily observed in </w:t>
      </w:r>
      <w:r w:rsidR="00A7243A">
        <w:t xml:space="preserve">the </w:t>
      </w:r>
      <w:r w:rsidR="00716B3D">
        <w:t>nationalist groups</w:t>
      </w:r>
      <w:r w:rsidR="007720CC">
        <w:t>’</w:t>
      </w:r>
      <w:r w:rsidR="00716B3D">
        <w:t xml:space="preserve"> use </w:t>
      </w:r>
      <w:r w:rsidR="007720CC">
        <w:t xml:space="preserve">of the Norman Conquest </w:t>
      </w:r>
      <w:r w:rsidR="00716B3D">
        <w:t>as documented by</w:t>
      </w:r>
      <w:r w:rsidR="00214B69">
        <w:t xml:space="preserve"> </w:t>
      </w:r>
      <w:r w:rsidR="00214B69" w:rsidRPr="00214B69">
        <w:t>Bonacchi</w:t>
      </w:r>
      <w:r w:rsidR="007720CC">
        <w:t xml:space="preserve">, and indeed in the use of the </w:t>
      </w:r>
      <w:r w:rsidR="009477AA">
        <w:t xml:space="preserve">memory of the Conquest </w:t>
      </w:r>
      <w:r w:rsidR="005466B2">
        <w:t xml:space="preserve">the speech </w:t>
      </w:r>
      <w:r w:rsidR="009477AA">
        <w:t xml:space="preserve">by </w:t>
      </w:r>
      <w:r w:rsidR="00E10015">
        <w:t>Price</w:t>
      </w:r>
      <w:r w:rsidR="009477AA">
        <w:t>.</w:t>
      </w:r>
      <w:r w:rsidR="00214B69">
        <w:rPr>
          <w:rStyle w:val="FootnoteReference"/>
        </w:rPr>
        <w:footnoteReference w:id="24"/>
      </w:r>
      <w:r w:rsidR="00E10015">
        <w:t xml:space="preserve"> </w:t>
      </w:r>
    </w:p>
    <w:p w14:paraId="5EF1C70B" w14:textId="4212A121" w:rsidR="00260014" w:rsidRPr="00260014" w:rsidRDefault="00260014">
      <w:pPr>
        <w:rPr>
          <w:u w:val="single"/>
        </w:rPr>
      </w:pPr>
      <w:r w:rsidRPr="00260014">
        <w:rPr>
          <w:u w:val="single"/>
        </w:rPr>
        <w:t>Presentation of history at Bramber Castle</w:t>
      </w:r>
    </w:p>
    <w:p w14:paraId="7EF3BD95" w14:textId="45BFFA78" w:rsidR="003764D5" w:rsidRDefault="0000767C" w:rsidP="003764D5">
      <w:r>
        <w:t xml:space="preserve">The history of the castle is provided on information boards which are </w:t>
      </w:r>
      <w:r w:rsidR="009032A5">
        <w:t xml:space="preserve">located at the entrance to and within the castle. </w:t>
      </w:r>
      <w:r w:rsidR="00C07C91">
        <w:t xml:space="preserve">The information boards </w:t>
      </w:r>
      <w:r w:rsidR="001621ED">
        <w:t xml:space="preserve">at the castle </w:t>
      </w:r>
      <w:r w:rsidR="00C07C91">
        <w:t xml:space="preserve">are well illustrated, and the reading age of the writing has been </w:t>
      </w:r>
      <w:r w:rsidR="00D66631">
        <w:t xml:space="preserve">aimed at lower secondary school level, </w:t>
      </w:r>
      <w:r w:rsidR="00906B2D">
        <w:t>ensuring the information should be accessible to a wide audience.</w:t>
      </w:r>
      <w:r w:rsidR="003F2CFE">
        <w:rPr>
          <w:rStyle w:val="FootnoteReference"/>
        </w:rPr>
        <w:footnoteReference w:id="25"/>
      </w:r>
      <w:r w:rsidR="004F1912">
        <w:t xml:space="preserve"> </w:t>
      </w:r>
      <w:r w:rsidR="001E7609">
        <w:t>In addition to the historic narrative, the</w:t>
      </w:r>
      <w:r w:rsidR="004F1912">
        <w:t xml:space="preserve"> information boards also </w:t>
      </w:r>
      <w:r w:rsidR="004F1912">
        <w:lastRenderedPageBreak/>
        <w:t xml:space="preserve">contain </w:t>
      </w:r>
      <w:r w:rsidR="0059509B">
        <w:t>historical images of past uses of the site</w:t>
      </w:r>
      <w:r w:rsidR="001E7609">
        <w:t xml:space="preserve"> and </w:t>
      </w:r>
      <w:r w:rsidR="0059509B">
        <w:t>archaeological information</w:t>
      </w:r>
      <w:r w:rsidR="001E7609">
        <w:t xml:space="preserve"> (see Figure </w:t>
      </w:r>
      <w:r w:rsidR="003764D5">
        <w:t>5</w:t>
      </w:r>
      <w:r w:rsidR="001E7609">
        <w:t xml:space="preserve">, </w:t>
      </w:r>
      <w:r w:rsidR="007A3701">
        <w:t>below</w:t>
      </w:r>
      <w:r w:rsidR="001E7609">
        <w:t>).</w:t>
      </w:r>
      <w:r w:rsidR="0059509B">
        <w:t xml:space="preserve"> </w:t>
      </w:r>
      <w:r w:rsidR="003764D5" w:rsidRPr="007312E5">
        <w:t xml:space="preserve">The English Heritage website provides a history of the Castle, which is largely the same as that presented in the information </w:t>
      </w:r>
      <w:r w:rsidR="00073E4D">
        <w:t>boards</w:t>
      </w:r>
      <w:r w:rsidR="003764D5" w:rsidRPr="007312E5">
        <w:t xml:space="preserve"> at the site.</w:t>
      </w:r>
      <w:r w:rsidR="003764D5" w:rsidRPr="007312E5">
        <w:rPr>
          <w:rStyle w:val="FootnoteReference"/>
        </w:rPr>
        <w:footnoteReference w:id="26"/>
      </w:r>
      <w:r w:rsidR="003764D5" w:rsidRPr="007312E5">
        <w:t xml:space="preserve"> </w:t>
      </w:r>
    </w:p>
    <w:p w14:paraId="443034E6" w14:textId="77777777" w:rsidR="0059509B" w:rsidRDefault="0059509B" w:rsidP="0059509B">
      <w:pPr>
        <w:pStyle w:val="NoSpacing"/>
        <w:keepNext/>
      </w:pPr>
      <w:r>
        <w:rPr>
          <w:noProof/>
        </w:rPr>
        <w:drawing>
          <wp:inline distT="0" distB="0" distL="0" distR="0" wp14:anchorId="11803607" wp14:editId="214D2625">
            <wp:extent cx="5731200" cy="4069699"/>
            <wp:effectExtent l="19050" t="19050" r="22225" b="26670"/>
            <wp:docPr id="69403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030517" name="Picture 1"/>
                    <pic:cNvPicPr/>
                  </pic:nvPicPr>
                  <pic:blipFill rotWithShape="1">
                    <a:blip r:embed="rId12" cstate="print">
                      <a:extLst>
                        <a:ext uri="{28A0092B-C50C-407E-A947-70E740481C1C}">
                          <a14:useLocalDpi xmlns:a14="http://schemas.microsoft.com/office/drawing/2010/main" val="0"/>
                        </a:ext>
                      </a:extLst>
                    </a:blip>
                    <a:srcRect l="997" r="1545" b="2070"/>
                    <a:stretch/>
                  </pic:blipFill>
                  <pic:spPr bwMode="auto">
                    <a:xfrm>
                      <a:off x="0" y="0"/>
                      <a:ext cx="5731200" cy="4069699"/>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343C166" w14:textId="0524F61E" w:rsidR="0059509B" w:rsidRDefault="0059509B" w:rsidP="0059509B">
      <w:pPr>
        <w:pStyle w:val="Caption"/>
      </w:pPr>
      <w:r>
        <w:t xml:space="preserve">Figure </w:t>
      </w:r>
      <w:fldSimple w:instr=" SEQ Figure \* ARABIC ">
        <w:r w:rsidR="003F37B8">
          <w:rPr>
            <w:noProof/>
          </w:rPr>
          <w:t>5</w:t>
        </w:r>
      </w:fldSimple>
      <w:r>
        <w:t xml:space="preserve">   </w:t>
      </w:r>
      <w:r w:rsidR="009D5F56">
        <w:t>Information boards present within Bramber Castle site</w:t>
      </w:r>
      <w:r w:rsidR="009032A5">
        <w:t xml:space="preserve">; top left </w:t>
      </w:r>
      <w:r w:rsidR="00C32584">
        <w:t>board is located at the entrance, the remaining boards are distributed within the castle.</w:t>
      </w:r>
    </w:p>
    <w:p w14:paraId="6734170A" w14:textId="30B19403" w:rsidR="001B7A1E" w:rsidRDefault="007A3701">
      <w:r>
        <w:t xml:space="preserve">Many of the issues highlighted by Bennett and Smith are evident in the presentation of the history of Bramber Castle. </w:t>
      </w:r>
      <w:r w:rsidR="002E7415" w:rsidRPr="00574C5D">
        <w:t xml:space="preserve">For example, the description of the establishment of the castle in the </w:t>
      </w:r>
      <w:r w:rsidR="0006656A">
        <w:t>“</w:t>
      </w:r>
      <w:r w:rsidR="005E472B">
        <w:t>W</w:t>
      </w:r>
      <w:r w:rsidR="002E7415" w:rsidRPr="00574C5D">
        <w:t>elcome</w:t>
      </w:r>
      <w:r w:rsidR="005E472B">
        <w:t xml:space="preserve"> to Bramber Castle</w:t>
      </w:r>
      <w:r w:rsidR="0006656A">
        <w:t>”</w:t>
      </w:r>
      <w:r w:rsidR="002E7415" w:rsidRPr="00574C5D">
        <w:t xml:space="preserve"> information board</w:t>
      </w:r>
      <w:r w:rsidR="00C17B09" w:rsidRPr="00574C5D">
        <w:t xml:space="preserve"> treats its construction as a neutral fact, with no mention of the potential societal impacts which would have resulted, or the human costs</w:t>
      </w:r>
      <w:r w:rsidR="00AC6EDC">
        <w:t xml:space="preserve"> involved</w:t>
      </w:r>
      <w:r w:rsidR="00AE1CB3" w:rsidRPr="00574C5D">
        <w:t>, in an interesting echo of the example Bennett provided of the co-operative store</w:t>
      </w:r>
      <w:r w:rsidR="007F1D09">
        <w:t xml:space="preserve"> at the Beamish Museum</w:t>
      </w:r>
      <w:r w:rsidR="00AE1CB3" w:rsidRPr="00574C5D">
        <w:t>.</w:t>
      </w:r>
      <w:r w:rsidR="00AE1CB3" w:rsidRPr="00574C5D">
        <w:rPr>
          <w:rStyle w:val="FootnoteReference"/>
        </w:rPr>
        <w:footnoteReference w:id="27"/>
      </w:r>
      <w:r w:rsidR="00FF27A0" w:rsidRPr="00574C5D">
        <w:t xml:space="preserve"> The </w:t>
      </w:r>
      <w:r w:rsidR="00C36646" w:rsidRPr="00574C5D">
        <w:t xml:space="preserve">information board on the tower does note that it was built to </w:t>
      </w:r>
      <w:r w:rsidR="005C6099" w:rsidRPr="00574C5D">
        <w:t xml:space="preserve">display the power of the De Braose family, but this is juxtaposed with </w:t>
      </w:r>
      <w:r w:rsidR="008623A6" w:rsidRPr="00574C5D">
        <w:t>a narrative of the physical decline of the castle into a picturesque ruin and eventual tourist attraction.</w:t>
      </w:r>
      <w:r w:rsidR="00F60B52">
        <w:t xml:space="preserve"> The fact that this </w:t>
      </w:r>
      <w:r w:rsidR="00B1575D">
        <w:t xml:space="preserve">board highlights the enjoyment of the castle by tourists and locals </w:t>
      </w:r>
      <w:r w:rsidR="00A146DB">
        <w:t>from the 16</w:t>
      </w:r>
      <w:r w:rsidR="00A146DB" w:rsidRPr="00A146DB">
        <w:rPr>
          <w:vertAlign w:val="superscript"/>
        </w:rPr>
        <w:t>th</w:t>
      </w:r>
      <w:r w:rsidR="00A146DB">
        <w:t xml:space="preserve"> century onwards stands in a </w:t>
      </w:r>
      <w:r w:rsidR="00495EA5">
        <w:t xml:space="preserve">telling </w:t>
      </w:r>
      <w:r w:rsidR="00A146DB">
        <w:t xml:space="preserve">contrast to the absence of any mention of the local societal impacts of the </w:t>
      </w:r>
      <w:r w:rsidR="0078075A">
        <w:t xml:space="preserve">Conquest or of the castle’s historic role as an Honour </w:t>
      </w:r>
      <w:r w:rsidR="0078075A">
        <w:lastRenderedPageBreak/>
        <w:t xml:space="preserve">Court and prison, which would have </w:t>
      </w:r>
      <w:r w:rsidR="000472C7">
        <w:t>doubtless had significant impacts on the local population</w:t>
      </w:r>
      <w:r w:rsidR="00AA6986">
        <w:t>, and on how the local landscape developed</w:t>
      </w:r>
      <w:r w:rsidR="000472C7">
        <w:t>.</w:t>
      </w:r>
      <w:r w:rsidR="000472C7">
        <w:rPr>
          <w:rStyle w:val="FootnoteReference"/>
        </w:rPr>
        <w:footnoteReference w:id="28"/>
      </w:r>
    </w:p>
    <w:p w14:paraId="2CBEA70F" w14:textId="1E8B410D" w:rsidR="00B40365" w:rsidRDefault="00FA03BC">
      <w:r>
        <w:t xml:space="preserve">The history of the castle is also related </w:t>
      </w:r>
      <w:r w:rsidR="004F0403">
        <w:t>largely through the experience of the De Braose family</w:t>
      </w:r>
      <w:r w:rsidR="004C6AB1">
        <w:t xml:space="preserve">, although nothing is said of their role in the Conquest, beyond the fact that William De Braose “accompanied” William the </w:t>
      </w:r>
      <w:r w:rsidR="00AE1FF3">
        <w:t xml:space="preserve">Conqueror </w:t>
      </w:r>
      <w:r w:rsidR="008B2596">
        <w:t>from Normandy</w:t>
      </w:r>
      <w:r w:rsidR="00B8153E">
        <w:t>.</w:t>
      </w:r>
      <w:r w:rsidR="008B2596">
        <w:t xml:space="preserve"> </w:t>
      </w:r>
      <w:r w:rsidR="000F63C9">
        <w:t xml:space="preserve">Again, this is in contrast to the description of the treatment of </w:t>
      </w:r>
      <w:r w:rsidR="002E7D1A">
        <w:t xml:space="preserve">William De Braose III, who </w:t>
      </w:r>
      <w:r w:rsidR="001060CF">
        <w:t>is described as having been</w:t>
      </w:r>
      <w:r w:rsidR="002E7D1A">
        <w:t xml:space="preserve"> “crushed” by King John in the </w:t>
      </w:r>
      <w:r w:rsidR="001060CF">
        <w:t>13</w:t>
      </w:r>
      <w:r w:rsidR="001060CF" w:rsidRPr="001060CF">
        <w:rPr>
          <w:vertAlign w:val="superscript"/>
        </w:rPr>
        <w:t>th</w:t>
      </w:r>
      <w:r w:rsidR="001060CF">
        <w:t xml:space="preserve"> century</w:t>
      </w:r>
      <w:r w:rsidR="000066FA">
        <w:t>, and highlights how this played a role in the</w:t>
      </w:r>
      <w:r w:rsidR="00043FA2">
        <w:t xml:space="preserve"> baron’s rebellion and the</w:t>
      </w:r>
      <w:r w:rsidR="000066FA">
        <w:t xml:space="preserve"> signing of the Magna Carta</w:t>
      </w:r>
      <w:r w:rsidR="00161C59">
        <w:t xml:space="preserve">. </w:t>
      </w:r>
      <w:r w:rsidR="00230E0B">
        <w:t>While the De Braose family did undoubtedly suffer greatly at the hands of King John</w:t>
      </w:r>
      <w:r w:rsidR="006663E1">
        <w:t xml:space="preserve">, no mention is made of </w:t>
      </w:r>
      <w:r w:rsidR="00EB63B6">
        <w:t>the family’s</w:t>
      </w:r>
      <w:r w:rsidR="006663E1">
        <w:t xml:space="preserve"> </w:t>
      </w:r>
      <w:r w:rsidR="00047D86">
        <w:t xml:space="preserve">broader </w:t>
      </w:r>
      <w:r w:rsidR="006663E1">
        <w:t xml:space="preserve">role </w:t>
      </w:r>
      <w:r w:rsidR="00AC4FE3">
        <w:t xml:space="preserve">to contextualise this. For example, De Braose led </w:t>
      </w:r>
      <w:r w:rsidR="006663E1">
        <w:t>the conquest of</w:t>
      </w:r>
      <w:r w:rsidR="00655C3D">
        <w:t xml:space="preserve"> parts of</w:t>
      </w:r>
      <w:r w:rsidR="006663E1">
        <w:t xml:space="preserve"> Wales in the </w:t>
      </w:r>
      <w:r w:rsidR="00D0311A">
        <w:t xml:space="preserve">late </w:t>
      </w:r>
      <w:r w:rsidR="006663E1">
        <w:t>12</w:t>
      </w:r>
      <w:r w:rsidR="006663E1" w:rsidRPr="006663E1">
        <w:rPr>
          <w:vertAlign w:val="superscript"/>
        </w:rPr>
        <w:t>th</w:t>
      </w:r>
      <w:r w:rsidR="006663E1">
        <w:t xml:space="preserve"> and early 13</w:t>
      </w:r>
      <w:r w:rsidR="006663E1" w:rsidRPr="006663E1">
        <w:rPr>
          <w:vertAlign w:val="superscript"/>
        </w:rPr>
        <w:t>th</w:t>
      </w:r>
      <w:r w:rsidR="006663E1">
        <w:t xml:space="preserve"> centuries</w:t>
      </w:r>
      <w:r w:rsidR="00D0311A">
        <w:t xml:space="preserve">, </w:t>
      </w:r>
      <w:r w:rsidR="005D4CAB">
        <w:t xml:space="preserve">and </w:t>
      </w:r>
      <w:r w:rsidR="00D0311A">
        <w:t>captur</w:t>
      </w:r>
      <w:r w:rsidR="005D4CAB">
        <w:t xml:space="preserve">ed </w:t>
      </w:r>
      <w:r w:rsidR="00D0311A">
        <w:t>the King’s nephew</w:t>
      </w:r>
      <w:r w:rsidR="00CB5E89">
        <w:t xml:space="preserve"> and rival,</w:t>
      </w:r>
      <w:r w:rsidR="00D0311A">
        <w:t xml:space="preserve"> </w:t>
      </w:r>
      <w:r w:rsidR="00D0311A" w:rsidRPr="00D0311A">
        <w:t>Arthur of Brittany</w:t>
      </w:r>
      <w:r w:rsidR="00CB5E89">
        <w:t>,</w:t>
      </w:r>
      <w:r w:rsidR="009C2F1E">
        <w:t xml:space="preserve"> at the </w:t>
      </w:r>
      <w:r w:rsidR="009C2F1E" w:rsidRPr="009C2F1E">
        <w:t>battle of Mirebeau</w:t>
      </w:r>
      <w:r w:rsidR="007E0286">
        <w:t xml:space="preserve"> in France</w:t>
      </w:r>
      <w:r w:rsidR="006663E1">
        <w:t>.</w:t>
      </w:r>
      <w:r w:rsidR="006663E1">
        <w:rPr>
          <w:rStyle w:val="FootnoteReference"/>
        </w:rPr>
        <w:footnoteReference w:id="29"/>
      </w:r>
      <w:r w:rsidR="002D596B">
        <w:t xml:space="preserve"> </w:t>
      </w:r>
      <w:r w:rsidR="00F62056">
        <w:t>Arthur of Brittany’s capture led to his murder, either by John or on his orders</w:t>
      </w:r>
      <w:r w:rsidR="00E828B3">
        <w:t>.</w:t>
      </w:r>
      <w:r w:rsidR="00762331">
        <w:rPr>
          <w:rStyle w:val="FootnoteReference"/>
        </w:rPr>
        <w:footnoteReference w:id="30"/>
      </w:r>
      <w:r w:rsidR="00E72206">
        <w:t xml:space="preserve"> </w:t>
      </w:r>
      <w:r w:rsidR="00CB5E89">
        <w:t>Arthur’s murder</w:t>
      </w:r>
      <w:r w:rsidR="00E72206">
        <w:t xml:space="preserve"> </w:t>
      </w:r>
      <w:r w:rsidR="005033AD">
        <w:t xml:space="preserve">is also noted in historical accounts of the Magna Carta as </w:t>
      </w:r>
      <w:r w:rsidR="00077F13">
        <w:t xml:space="preserve">one of </w:t>
      </w:r>
      <w:r w:rsidR="00990560">
        <w:t xml:space="preserve">the key </w:t>
      </w:r>
      <w:r w:rsidR="00077F13">
        <w:t xml:space="preserve">grievances the barons held against King John, meaning that the De Braose family </w:t>
      </w:r>
      <w:r w:rsidR="00752AB6">
        <w:t>were</w:t>
      </w:r>
      <w:r w:rsidR="00842A19">
        <w:t xml:space="preserve"> </w:t>
      </w:r>
      <w:r w:rsidR="005F1EBD">
        <w:t>participants</w:t>
      </w:r>
      <w:r w:rsidR="007334BE">
        <w:t xml:space="preserve"> in the injustice of the King as well as victims of it.</w:t>
      </w:r>
      <w:r w:rsidR="00842A19">
        <w:rPr>
          <w:rStyle w:val="FootnoteReference"/>
        </w:rPr>
        <w:footnoteReference w:id="31"/>
      </w:r>
    </w:p>
    <w:p w14:paraId="1D5B9048" w14:textId="25CB3442" w:rsidR="009F22E6" w:rsidRDefault="002D5D8A">
      <w:r>
        <w:t xml:space="preserve">Therefore, </w:t>
      </w:r>
      <w:r w:rsidR="009A7A19">
        <w:t xml:space="preserve">the presentation of the history of </w:t>
      </w:r>
      <w:r w:rsidR="00B15DD8">
        <w:t xml:space="preserve">Bramber Castle </w:t>
      </w:r>
      <w:r w:rsidR="008351EB">
        <w:t>leaves difficult elements of its history unexplored</w:t>
      </w:r>
      <w:r w:rsidR="008D3317">
        <w:t xml:space="preserve">, and intentionally reinterprets the castle from being a symbol of domination and violence to a </w:t>
      </w:r>
      <w:r w:rsidR="005855D5">
        <w:t>pacified area of natural beauty.</w:t>
      </w:r>
      <w:r w:rsidR="00A76DC6">
        <w:t xml:space="preserve"> </w:t>
      </w:r>
      <w:r w:rsidR="009F22E6">
        <w:t>The parallels with Bennett’s observations of the Beamish Museum are clear:</w:t>
      </w:r>
    </w:p>
    <w:p w14:paraId="0832B1B7" w14:textId="2039C5D3" w:rsidR="009F22E6" w:rsidRPr="00B0729E" w:rsidRDefault="009F22E6" w:rsidP="00B0729E">
      <w:pPr>
        <w:ind w:left="720"/>
      </w:pPr>
      <w:r w:rsidRPr="00B0729E">
        <w:rPr>
          <w:i/>
          <w:iCs/>
        </w:rPr>
        <w:t xml:space="preserve">Many of the artefacts displayed might well have been exhibited in such a way as to suggest their association with popular political movements. However, the tendency is for them to be severed of such associations and to serve, instead, as vehicles for the nostalgic </w:t>
      </w:r>
      <w:r w:rsidR="00B0729E" w:rsidRPr="00B0729E">
        <w:rPr>
          <w:i/>
          <w:iCs/>
        </w:rPr>
        <w:t>remembrance of sentimentalised pasts.</w:t>
      </w:r>
      <w:r w:rsidR="00B0729E">
        <w:rPr>
          <w:rStyle w:val="FootnoteReference"/>
          <w:i/>
          <w:iCs/>
        </w:rPr>
        <w:footnoteReference w:id="32"/>
      </w:r>
    </w:p>
    <w:p w14:paraId="2E3A5E73" w14:textId="2C65265E" w:rsidR="00BC28A3" w:rsidRDefault="00A76DC6">
      <w:r>
        <w:t>The selective nature of the</w:t>
      </w:r>
      <w:r w:rsidR="00DB17F3">
        <w:t xml:space="preserve"> historical narrative of the De Braose family </w:t>
      </w:r>
      <w:r w:rsidR="00F9261D">
        <w:t>seems to have been deliberately crafted to highlight their legitimacy and victimhood, while ignoring the</w:t>
      </w:r>
      <w:r w:rsidR="00D62799">
        <w:t xml:space="preserve"> violent nature of their power, and their </w:t>
      </w:r>
      <w:r w:rsidR="004E292D">
        <w:t xml:space="preserve">partial </w:t>
      </w:r>
      <w:r w:rsidR="00D62799">
        <w:t>culpability in their own downfall.</w:t>
      </w:r>
      <w:r w:rsidR="00687CBB">
        <w:t xml:space="preserve"> This, combined with the </w:t>
      </w:r>
      <w:r w:rsidR="007D386C">
        <w:t>emphasis on the castle’s beauty and tourist value</w:t>
      </w:r>
      <w:r w:rsidR="000B5A7B">
        <w:t xml:space="preserve"> serves to legitimise the </w:t>
      </w:r>
      <w:r w:rsidR="00181267">
        <w:t xml:space="preserve">aristocratic ownership and control of the </w:t>
      </w:r>
      <w:r w:rsidR="00181267">
        <w:lastRenderedPageBreak/>
        <w:t>castle</w:t>
      </w:r>
      <w:r w:rsidR="00FD214E">
        <w:t xml:space="preserve"> and surrounding land</w:t>
      </w:r>
      <w:r w:rsidR="000D2E99">
        <w:t>,</w:t>
      </w:r>
      <w:r w:rsidR="00FD214E">
        <w:t xml:space="preserve"> which resulted from the Conquest.</w:t>
      </w:r>
      <w:r w:rsidR="00787F2B">
        <w:t xml:space="preserve"> </w:t>
      </w:r>
      <w:r w:rsidR="00FF1510">
        <w:t xml:space="preserve">This </w:t>
      </w:r>
      <w:r w:rsidR="00887724">
        <w:t xml:space="preserve">presentation </w:t>
      </w:r>
      <w:r w:rsidR="00177C45">
        <w:t>also marginalises subaltern understandings of the meaning of the castle and its history</w:t>
      </w:r>
      <w:r w:rsidR="0032075F">
        <w:t xml:space="preserve">, which may be relevant to groups </w:t>
      </w:r>
      <w:r w:rsidR="0030415B">
        <w:t>such as those studied by Bonacchi</w:t>
      </w:r>
      <w:r w:rsidR="00CD6161">
        <w:t xml:space="preserve">. </w:t>
      </w:r>
      <w:r w:rsidR="00787F2B">
        <w:t xml:space="preserve">It is a clear example of “Authorised Heritage Discourse”, which celebrates monumental architecture and </w:t>
      </w:r>
      <w:r w:rsidR="00966ADA">
        <w:t>reinforces existing power structures.</w:t>
      </w:r>
      <w:r w:rsidR="00966ADA">
        <w:rPr>
          <w:rStyle w:val="FootnoteReference"/>
        </w:rPr>
        <w:footnoteReference w:id="33"/>
      </w:r>
      <w:r w:rsidR="003F4D80">
        <w:t xml:space="preserve"> </w:t>
      </w:r>
      <w:r w:rsidR="00F71421">
        <w:t xml:space="preserve">The </w:t>
      </w:r>
      <w:r w:rsidR="004E234F">
        <w:t xml:space="preserve">presentation of the </w:t>
      </w:r>
      <w:r w:rsidR="00F71421">
        <w:t xml:space="preserve">history of </w:t>
      </w:r>
      <w:r w:rsidR="004E234F">
        <w:t>Bramber</w:t>
      </w:r>
      <w:r w:rsidR="00F71421">
        <w:t xml:space="preserve"> </w:t>
      </w:r>
      <w:r w:rsidR="004E234F">
        <w:t>C</w:t>
      </w:r>
      <w:r w:rsidR="00F71421">
        <w:t xml:space="preserve">astle </w:t>
      </w:r>
      <w:r w:rsidR="00665B4E">
        <w:t>therefore comprises an interesting case study in the political nature of the description of history at heritage sites</w:t>
      </w:r>
      <w:r w:rsidR="00CB4E42">
        <w:t xml:space="preserve">. It also </w:t>
      </w:r>
      <w:r w:rsidR="00D9327B">
        <w:t>shows</w:t>
      </w:r>
      <w:r w:rsidR="004E234F">
        <w:t xml:space="preserve"> that the issues </w:t>
      </w:r>
      <w:r w:rsidR="002B7905">
        <w:t xml:space="preserve">highlighted by Smith and Bennet in relation to the presentation of </w:t>
      </w:r>
      <w:r w:rsidR="000F4E49">
        <w:t>difficult</w:t>
      </w:r>
      <w:r w:rsidR="002B7905">
        <w:t xml:space="preserve"> 18</w:t>
      </w:r>
      <w:r w:rsidR="002B7905" w:rsidRPr="002B7905">
        <w:rPr>
          <w:vertAlign w:val="superscript"/>
        </w:rPr>
        <w:t>th</w:t>
      </w:r>
      <w:r w:rsidR="002B7905">
        <w:t xml:space="preserve"> and 19</w:t>
      </w:r>
      <w:r w:rsidR="002B7905" w:rsidRPr="002B7905">
        <w:rPr>
          <w:vertAlign w:val="superscript"/>
        </w:rPr>
        <w:t>th</w:t>
      </w:r>
      <w:r w:rsidR="002B7905">
        <w:t xml:space="preserve"> century history </w:t>
      </w:r>
      <w:r w:rsidR="000F4E49">
        <w:t>are also relevant to the presentation of events in the deep past such as the Norman Conquest.</w:t>
      </w:r>
    </w:p>
    <w:p w14:paraId="0F866950" w14:textId="303834D0" w:rsidR="00E74B53" w:rsidRDefault="00E74B53">
      <w:pPr>
        <w:spacing w:line="259" w:lineRule="auto"/>
      </w:pPr>
      <w:r>
        <w:br w:type="page"/>
      </w:r>
    </w:p>
    <w:p w14:paraId="1A15A372" w14:textId="77777777" w:rsidR="00E74B53" w:rsidRPr="00E74B53" w:rsidRDefault="00E74B53" w:rsidP="00E74B53">
      <w:pPr>
        <w:spacing w:after="240"/>
        <w:jc w:val="center"/>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lastRenderedPageBreak/>
        <w:t>Bibliography</w:t>
      </w:r>
    </w:p>
    <w:p w14:paraId="4B2C1E3C"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Baggs, A. P., C. R. Elrington, C. R. J. Currie, S. M. Keeling, and A. M. Rowland. “Bramber.” In </w:t>
      </w:r>
      <w:r w:rsidRPr="00E74B53">
        <w:rPr>
          <w:rFonts w:ascii="Calibri" w:eastAsia="Times New Roman" w:hAnsi="Calibri" w:cs="Calibri"/>
          <w:i/>
          <w:iCs/>
          <w:kern w:val="0"/>
          <w:lang w:eastAsia="en-GB"/>
          <w14:ligatures w14:val="none"/>
        </w:rPr>
        <w:t>A History of the County of Sussex: Volume 6 Part 1, Bramber Rape (Southern Part)</w:t>
      </w:r>
      <w:r w:rsidRPr="00E74B53">
        <w:rPr>
          <w:rFonts w:ascii="Calibri" w:eastAsia="Times New Roman" w:hAnsi="Calibri" w:cs="Calibri"/>
          <w:kern w:val="0"/>
          <w:lang w:eastAsia="en-GB"/>
          <w14:ligatures w14:val="none"/>
        </w:rPr>
        <w:t>, edited by T. P. Hudson, 200–214. London, 1980. http://www.british-history.ac.uk/vch/sussex/vol6/pt1/pp200-214.</w:t>
      </w:r>
    </w:p>
    <w:p w14:paraId="7690CB1F"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 “Steyning.” In </w:t>
      </w:r>
      <w:r w:rsidRPr="00E74B53">
        <w:rPr>
          <w:rFonts w:ascii="Calibri" w:eastAsia="Times New Roman" w:hAnsi="Calibri" w:cs="Calibri"/>
          <w:i/>
          <w:iCs/>
          <w:kern w:val="0"/>
          <w:lang w:eastAsia="en-GB"/>
          <w14:ligatures w14:val="none"/>
        </w:rPr>
        <w:t>A History of the County of Sussex: Volume 6 Part 1, Bramber Rape (Southern Part)</w:t>
      </w:r>
      <w:r w:rsidRPr="00E74B53">
        <w:rPr>
          <w:rFonts w:ascii="Calibri" w:eastAsia="Times New Roman" w:hAnsi="Calibri" w:cs="Calibri"/>
          <w:kern w:val="0"/>
          <w:lang w:eastAsia="en-GB"/>
          <w14:ligatures w14:val="none"/>
        </w:rPr>
        <w:t>, edited by T. P. Hudson, 200–214. London, 1980. http://www.british-history.ac.uk/vch/sussex/vol6/pt1/pp200-214.</w:t>
      </w:r>
    </w:p>
    <w:p w14:paraId="2BCD509C"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Bennett, Tony. “Museums and ‘the People.’” In </w:t>
      </w:r>
      <w:r w:rsidRPr="00E74B53">
        <w:rPr>
          <w:rFonts w:ascii="Calibri" w:eastAsia="Times New Roman" w:hAnsi="Calibri" w:cs="Calibri"/>
          <w:i/>
          <w:iCs/>
          <w:kern w:val="0"/>
          <w:lang w:eastAsia="en-GB"/>
          <w14:ligatures w14:val="none"/>
        </w:rPr>
        <w:t>The Museum Time Machine</w:t>
      </w:r>
      <w:r w:rsidRPr="00E74B53">
        <w:rPr>
          <w:rFonts w:ascii="Calibri" w:eastAsia="Times New Roman" w:hAnsi="Calibri" w:cs="Calibri"/>
          <w:kern w:val="0"/>
          <w:lang w:eastAsia="en-GB"/>
          <w14:ligatures w14:val="none"/>
        </w:rPr>
        <w:t>, 109–27. London: Routledge, 1988.</w:t>
      </w:r>
    </w:p>
    <w:p w14:paraId="7E9A3D52"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Bonacchi, Chiara. </w:t>
      </w:r>
      <w:r w:rsidRPr="00E74B53">
        <w:rPr>
          <w:rFonts w:ascii="Calibri" w:eastAsia="Times New Roman" w:hAnsi="Calibri" w:cs="Calibri"/>
          <w:i/>
          <w:iCs/>
          <w:kern w:val="0"/>
          <w:lang w:eastAsia="en-GB"/>
          <w14:ligatures w14:val="none"/>
        </w:rPr>
        <w:t>Heritage and Nationalism : Understanding Populism through Big Data</w:t>
      </w:r>
      <w:r w:rsidRPr="00E74B53">
        <w:rPr>
          <w:rFonts w:ascii="Calibri" w:eastAsia="Times New Roman" w:hAnsi="Calibri" w:cs="Calibri"/>
          <w:kern w:val="0"/>
          <w:lang w:eastAsia="en-GB"/>
          <w14:ligatures w14:val="none"/>
        </w:rPr>
        <w:t>. London: UCL Press, 2022.</w:t>
      </w:r>
    </w:p>
    <w:p w14:paraId="7E2F6C05"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Brownlie, Siobhan. </w:t>
      </w:r>
      <w:r w:rsidRPr="00E74B53">
        <w:rPr>
          <w:rFonts w:ascii="Calibri" w:eastAsia="Times New Roman" w:hAnsi="Calibri" w:cs="Calibri"/>
          <w:i/>
          <w:iCs/>
          <w:kern w:val="0"/>
          <w:lang w:eastAsia="en-GB"/>
          <w14:ligatures w14:val="none"/>
        </w:rPr>
        <w:t>Memory and Myths of the Norman Conquest</w:t>
      </w:r>
      <w:r w:rsidRPr="00E74B53">
        <w:rPr>
          <w:rFonts w:ascii="Calibri" w:eastAsia="Times New Roman" w:hAnsi="Calibri" w:cs="Calibri"/>
          <w:kern w:val="0"/>
          <w:lang w:eastAsia="en-GB"/>
          <w14:ligatures w14:val="none"/>
        </w:rPr>
        <w:t>. Boydell &amp; Brewer, Boydell Press, 2013.</w:t>
      </w:r>
    </w:p>
    <w:p w14:paraId="7C4FF81E"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Carpenter, David. “2. Magna Carta 1215: Its Social and Political Context.” In </w:t>
      </w:r>
      <w:r w:rsidRPr="00E74B53">
        <w:rPr>
          <w:rFonts w:ascii="Calibri" w:eastAsia="Times New Roman" w:hAnsi="Calibri" w:cs="Calibri"/>
          <w:i/>
          <w:iCs/>
          <w:kern w:val="0"/>
          <w:lang w:eastAsia="en-GB"/>
          <w14:ligatures w14:val="none"/>
        </w:rPr>
        <w:t>Magna Carta: History, Context and Influence</w:t>
      </w:r>
      <w:r w:rsidRPr="00E74B53">
        <w:rPr>
          <w:rFonts w:ascii="Calibri" w:eastAsia="Times New Roman" w:hAnsi="Calibri" w:cs="Calibri"/>
          <w:kern w:val="0"/>
          <w:lang w:eastAsia="en-GB"/>
          <w14:ligatures w14:val="none"/>
        </w:rPr>
        <w:t>, edited by Lawrence Goldman, 17–24. University of London Press, Institute of Historical Research, 2018. https://www.jstor.org/stable/j.ctv5136sc.8.</w:t>
      </w:r>
    </w:p>
    <w:p w14:paraId="22EEA44A"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Cartwright, Mark. “William the Conqueror’s Harrying of the North.” World History Encyclopedia, January 18, 2019. https://www.worldhistory.org/article/1319/william-the-conquerors-harrying-of-the-north/.</w:t>
      </w:r>
    </w:p>
    <w:p w14:paraId="38217B6E"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English Heritage. “Bramber Castle.” English Heritage. Accessed April 11, 2023. https://www.english-heritage.org.uk/visit/places/bramber-castle/.</w:t>
      </w:r>
    </w:p>
    <w:p w14:paraId="77890EEA"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“History of Bramber Castle.” English Heritage, n.d. https://www.english-heritage.org.uk/visit/places/bramber-castle/history/.</w:t>
      </w:r>
    </w:p>
    <w:p w14:paraId="600E0CAF"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Harris, Roland B. “Bramber: Historic Character Assessment Report.” East Sussex County Council, West Sussex County Council, and Brighton and Hove City Council 2004, 2004.</w:t>
      </w:r>
    </w:p>
    <w:p w14:paraId="16098226"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Hein, George E. </w:t>
      </w:r>
      <w:r w:rsidRPr="00E74B53">
        <w:rPr>
          <w:rFonts w:ascii="Calibri" w:eastAsia="Times New Roman" w:hAnsi="Calibri" w:cs="Calibri"/>
          <w:i/>
          <w:iCs/>
          <w:kern w:val="0"/>
          <w:lang w:eastAsia="en-GB"/>
          <w14:ligatures w14:val="none"/>
        </w:rPr>
        <w:t>Learning in the Museum</w:t>
      </w:r>
      <w:r w:rsidRPr="00E74B53">
        <w:rPr>
          <w:rFonts w:ascii="Calibri" w:eastAsia="Times New Roman" w:hAnsi="Calibri" w:cs="Calibri"/>
          <w:kern w:val="0"/>
          <w:lang w:eastAsia="en-GB"/>
          <w14:ligatures w14:val="none"/>
        </w:rPr>
        <w:t>. London ; New York: Routledge, 1998.</w:t>
      </w:r>
    </w:p>
    <w:p w14:paraId="05D2A6DA"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Historic England. “BRAMBER CASTLE RUINS, Bramber - 1286805 | Historic England.” historicengland.org.uk. Accessed April 11, 2023. https://historicengland.org.uk/listing/the-list/list-entry/1286805?section=official-list-entry.</w:t>
      </w:r>
    </w:p>
    <w:p w14:paraId="7D57B1C3"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“Bramber Castle, Bramber - 1012174 | Historic England.” historicengland.org.uk. Accessed April 11, 2023. https://historicengland.org.uk/listing/the-list/list-entry/1012174?section=official-list-entry.</w:t>
      </w:r>
    </w:p>
    <w:p w14:paraId="284B8B5D"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lastRenderedPageBreak/>
        <w:t xml:space="preserve">Hooper-Greenhill, Eilean. “Changing Values in the Art Museum: Rethinking Communication and Learning.” </w:t>
      </w:r>
      <w:r w:rsidRPr="00E74B53">
        <w:rPr>
          <w:rFonts w:ascii="Calibri" w:eastAsia="Times New Roman" w:hAnsi="Calibri" w:cs="Calibri"/>
          <w:i/>
          <w:iCs/>
          <w:kern w:val="0"/>
          <w:lang w:eastAsia="en-GB"/>
          <w14:ligatures w14:val="none"/>
        </w:rPr>
        <w:t>International Journal of Heritage Studies</w:t>
      </w:r>
      <w:r w:rsidRPr="00E74B53">
        <w:rPr>
          <w:rFonts w:ascii="Calibri" w:eastAsia="Times New Roman" w:hAnsi="Calibri" w:cs="Calibri"/>
          <w:kern w:val="0"/>
          <w:lang w:eastAsia="en-GB"/>
          <w14:ligatures w14:val="none"/>
        </w:rPr>
        <w:t xml:space="preserve"> 6, no. 1 (January 2000): 9–31. https://doi.org/10.1080/135272500363715.</w:t>
      </w:r>
    </w:p>
    <w:p w14:paraId="752E3CA2"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Mileham, Rebecca. “Wise Words.” Museums Association, November 13, 2009. https://www.museumsassociation.org/museums-journal/opinion/2009/11/14018-2/.</w:t>
      </w:r>
    </w:p>
    <w:p w14:paraId="09D9087E"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Ministry of Housing, Communities and Local Government. “National Planning Policy Framework,” July 20, 2021. www.gov.uk/government/publications .</w:t>
      </w:r>
    </w:p>
    <w:p w14:paraId="66278424"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Olds, Anita Rui. “Sending Them Home Alive.” </w:t>
      </w:r>
      <w:r w:rsidRPr="00E74B53">
        <w:rPr>
          <w:rFonts w:ascii="Calibri" w:eastAsia="Times New Roman" w:hAnsi="Calibri" w:cs="Calibri"/>
          <w:i/>
          <w:iCs/>
          <w:kern w:val="0"/>
          <w:lang w:eastAsia="en-GB"/>
          <w14:ligatures w14:val="none"/>
        </w:rPr>
        <w:t>The Journal of Museum Education</w:t>
      </w:r>
      <w:r w:rsidRPr="00E74B53">
        <w:rPr>
          <w:rFonts w:ascii="Calibri" w:eastAsia="Times New Roman" w:hAnsi="Calibri" w:cs="Calibri"/>
          <w:kern w:val="0"/>
          <w:lang w:eastAsia="en-GB"/>
          <w14:ligatures w14:val="none"/>
        </w:rPr>
        <w:t xml:space="preserve"> 15, no. 1 (1990): 10–12. https://www.jstor.org/stable/40478834.</w:t>
      </w:r>
    </w:p>
    <w:p w14:paraId="15054607"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Power, Daniel. “The Briouze Family in the Thirteenth and Early Fourteenth Centuries: Inheritance Strategies, Lordship and Identity.” </w:t>
      </w:r>
      <w:r w:rsidRPr="00E74B53">
        <w:rPr>
          <w:rFonts w:ascii="Calibri" w:eastAsia="Times New Roman" w:hAnsi="Calibri" w:cs="Calibri"/>
          <w:i/>
          <w:iCs/>
          <w:kern w:val="0"/>
          <w:lang w:eastAsia="en-GB"/>
          <w14:ligatures w14:val="none"/>
        </w:rPr>
        <w:t>Journal of Medieval History</w:t>
      </w:r>
      <w:r w:rsidRPr="00E74B53">
        <w:rPr>
          <w:rFonts w:ascii="Calibri" w:eastAsia="Times New Roman" w:hAnsi="Calibri" w:cs="Calibri"/>
          <w:kern w:val="0"/>
          <w:lang w:eastAsia="en-GB"/>
          <w14:ligatures w14:val="none"/>
        </w:rPr>
        <w:t xml:space="preserve"> 41, no. 3 (June 11, 2015): 341–61. https://doi.org/10.1080/03044181.2015.1050841.</w:t>
      </w:r>
    </w:p>
    <w:p w14:paraId="065C3212"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Price, Adam. “Wales, the First and Final Colony - by Adam Price MP.” WalesOnline, November 16, 2009. https://www.walesonline.co.uk/news/wales-news/wales-first-final-colony---2070487.</w:t>
      </w:r>
    </w:p>
    <w:p w14:paraId="19F98082"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Smith, Kiona N. “The Norman Conquest Didn’t Change Ordinary People’s Lives Very Much.” Ars Technica, July 6, 2020. https://arstechnica.com/science/2020/07/archaeologists-study-life-in-oxford-before-and-after-william-the-conqueror/.</w:t>
      </w:r>
    </w:p>
    <w:p w14:paraId="13C3B5E6"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Smith, Laurajane. “Theorising Museum and Heritage Visiting.” In </w:t>
      </w:r>
      <w:r w:rsidRPr="00E74B53">
        <w:rPr>
          <w:rFonts w:ascii="Calibri" w:eastAsia="Times New Roman" w:hAnsi="Calibri" w:cs="Calibri"/>
          <w:i/>
          <w:iCs/>
          <w:kern w:val="0"/>
          <w:lang w:eastAsia="en-GB"/>
          <w14:ligatures w14:val="none"/>
        </w:rPr>
        <w:t>The International Handbooks of Museum Studies: Museum Theory</w:t>
      </w:r>
      <w:r w:rsidRPr="00E74B53">
        <w:rPr>
          <w:rFonts w:ascii="Calibri" w:eastAsia="Times New Roman" w:hAnsi="Calibri" w:cs="Calibri"/>
          <w:kern w:val="0"/>
          <w:lang w:eastAsia="en-GB"/>
          <w14:ligatures w14:val="none"/>
        </w:rPr>
        <w:t>, edited by Andrea Witcomb and Kylie Message. London: John Wiley &amp; Sons, Ltd, 2015.</w:t>
      </w:r>
    </w:p>
    <w:p w14:paraId="5625F4A5"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 xml:space="preserve">———. </w:t>
      </w:r>
      <w:r w:rsidRPr="00E74B53">
        <w:rPr>
          <w:rFonts w:ascii="Calibri" w:eastAsia="Times New Roman" w:hAnsi="Calibri" w:cs="Calibri"/>
          <w:i/>
          <w:iCs/>
          <w:kern w:val="0"/>
          <w:lang w:eastAsia="en-GB"/>
          <w14:ligatures w14:val="none"/>
        </w:rPr>
        <w:t>Uses of Heritage</w:t>
      </w:r>
      <w:r w:rsidRPr="00E74B53">
        <w:rPr>
          <w:rFonts w:ascii="Calibri" w:eastAsia="Times New Roman" w:hAnsi="Calibri" w:cs="Calibri"/>
          <w:kern w:val="0"/>
          <w:lang w:eastAsia="en-GB"/>
          <w14:ligatures w14:val="none"/>
        </w:rPr>
        <w:t>. London; New York, N.Y.: Routledge, 2006.</w:t>
      </w:r>
    </w:p>
    <w:p w14:paraId="092751B6" w14:textId="77777777" w:rsidR="00E74B53" w:rsidRPr="00E74B53" w:rsidRDefault="00E74B53" w:rsidP="00E74B53">
      <w:pPr>
        <w:spacing w:after="0"/>
        <w:ind w:left="720" w:hanging="720"/>
        <w:rPr>
          <w:rFonts w:ascii="Calibri" w:eastAsia="Times New Roman" w:hAnsi="Calibri" w:cs="Calibri"/>
          <w:kern w:val="0"/>
          <w:lang w:eastAsia="en-GB"/>
          <w14:ligatures w14:val="none"/>
        </w:rPr>
      </w:pPr>
      <w:r w:rsidRPr="00E74B53">
        <w:rPr>
          <w:rFonts w:ascii="Calibri" w:eastAsia="Times New Roman" w:hAnsi="Calibri" w:cs="Calibri"/>
          <w:kern w:val="0"/>
          <w:lang w:eastAsia="en-GB"/>
          <w14:ligatures w14:val="none"/>
        </w:rPr>
        <w:t>The Editors of the Encyclopaedia Britannica . “Arthur I | Duke of Brittany | Britannica.” www.britannica.com, March 25, 2023. https://www.britannica.com/biography/Arthur-I.</w:t>
      </w:r>
    </w:p>
    <w:p w14:paraId="774EDE16" w14:textId="77777777" w:rsidR="00DB4D44" w:rsidRDefault="00DB4D44"/>
    <w:sectPr w:rsidR="00DB4D4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B56C2" w14:textId="77777777" w:rsidR="002C6F4A" w:rsidRDefault="002C6F4A" w:rsidP="00EF3442">
      <w:pPr>
        <w:spacing w:after="0" w:line="240" w:lineRule="auto"/>
      </w:pPr>
      <w:r>
        <w:separator/>
      </w:r>
    </w:p>
  </w:endnote>
  <w:endnote w:type="continuationSeparator" w:id="0">
    <w:p w14:paraId="4455551A" w14:textId="77777777" w:rsidR="002C6F4A" w:rsidRDefault="002C6F4A" w:rsidP="00EF3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646165"/>
      <w:docPartObj>
        <w:docPartGallery w:val="Page Numbers (Bottom of Page)"/>
        <w:docPartUnique/>
      </w:docPartObj>
    </w:sdtPr>
    <w:sdtContent>
      <w:p w14:paraId="297DA94C" w14:textId="431DD110" w:rsidR="007F36C9" w:rsidRDefault="009A0797" w:rsidP="007F36C9">
        <w:pPr>
          <w:pStyle w:val="Footer"/>
          <w:pBdr>
            <w:top w:val="single" w:sz="4" w:space="1" w:color="auto"/>
          </w:pBdr>
        </w:pPr>
        <w:r w:rsidRPr="009A0797">
          <w:t>23</w:t>
        </w:r>
        <w:r w:rsidR="007F36C9" w:rsidRPr="009A0797">
          <w:t xml:space="preserve"> April 2023</w:t>
        </w:r>
        <w:r w:rsidR="007F36C9" w:rsidRPr="009A0797">
          <w:ptab w:relativeTo="margin" w:alignment="right" w:leader="none"/>
        </w:r>
        <w:r w:rsidR="007F36C9" w:rsidRPr="009A0797">
          <w:fldChar w:fldCharType="begin"/>
        </w:r>
        <w:r w:rsidR="007F36C9" w:rsidRPr="009A0797">
          <w:instrText>PAGE   \* MERGEFORMAT</w:instrText>
        </w:r>
        <w:r w:rsidR="007F36C9" w:rsidRPr="009A0797">
          <w:fldChar w:fldCharType="separate"/>
        </w:r>
        <w:r w:rsidR="007F36C9" w:rsidRPr="009A0797">
          <w:t>1</w:t>
        </w:r>
        <w:r w:rsidR="007F36C9" w:rsidRPr="009A0797">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A7BEB" w14:textId="77777777" w:rsidR="002C6F4A" w:rsidRDefault="002C6F4A" w:rsidP="00EF3442">
      <w:pPr>
        <w:spacing w:after="0" w:line="240" w:lineRule="auto"/>
      </w:pPr>
      <w:r>
        <w:separator/>
      </w:r>
    </w:p>
  </w:footnote>
  <w:footnote w:type="continuationSeparator" w:id="0">
    <w:p w14:paraId="1B343742" w14:textId="77777777" w:rsidR="002C6F4A" w:rsidRDefault="002C6F4A" w:rsidP="00EF3442">
      <w:pPr>
        <w:spacing w:after="0" w:line="240" w:lineRule="auto"/>
      </w:pPr>
      <w:r>
        <w:continuationSeparator/>
      </w:r>
    </w:p>
  </w:footnote>
  <w:footnote w:id="1">
    <w:p w14:paraId="09729477" w14:textId="1B3A6647" w:rsidR="00A82806" w:rsidRDefault="00A82806">
      <w:pPr>
        <w:pStyle w:val="FootnoteText"/>
      </w:pPr>
      <w:r>
        <w:rPr>
          <w:rStyle w:val="FootnoteReference"/>
        </w:rPr>
        <w:footnoteRef/>
      </w:r>
      <w:r>
        <w:t xml:space="preserve"> </w:t>
      </w:r>
      <w:r w:rsidRPr="00A82806">
        <w:t xml:space="preserve">English Heritage, “Bramber Castle,” English Heritage, accessed April 11, 2023, </w:t>
      </w:r>
      <w:hyperlink r:id="rId1" w:history="1">
        <w:r w:rsidRPr="00A82806">
          <w:rPr>
            <w:rStyle w:val="Hyperlink"/>
          </w:rPr>
          <w:t>https://www.english-heritage.org.uk/visit/places/bramber-castle/</w:t>
        </w:r>
      </w:hyperlink>
      <w:r w:rsidRPr="00A82806">
        <w:t>.</w:t>
      </w:r>
    </w:p>
  </w:footnote>
  <w:footnote w:id="2">
    <w:p w14:paraId="33DDBAAF" w14:textId="280D02E8" w:rsidR="0081427F" w:rsidRDefault="0081427F">
      <w:pPr>
        <w:pStyle w:val="FootnoteText"/>
      </w:pPr>
      <w:r>
        <w:rPr>
          <w:rStyle w:val="FootnoteReference"/>
        </w:rPr>
        <w:footnoteRef/>
      </w:r>
      <w:r>
        <w:t xml:space="preserve"> </w:t>
      </w:r>
      <w:r w:rsidR="000C21B4" w:rsidRPr="000C21B4">
        <w:t>Historic England, “Bramber Castle, Bramber - 1012174 | Historic England,” historicengland.org.uk, accessed April 11, 2023</w:t>
      </w:r>
      <w:r w:rsidR="000C21B4">
        <w:t xml:space="preserve">; and </w:t>
      </w:r>
      <w:r w:rsidR="000C21B4" w:rsidRPr="000C21B4">
        <w:t>Historic England, “BRAMBER CASTLE RUINS, Bramber - 1286805 | Historic England,” historicengland.org.uk, accessed April 11, 2023</w:t>
      </w:r>
      <w:r w:rsidR="00606986">
        <w:t>.</w:t>
      </w:r>
    </w:p>
  </w:footnote>
  <w:footnote w:id="3">
    <w:p w14:paraId="31E06F7F" w14:textId="0F26629D" w:rsidR="00794904" w:rsidRDefault="00794904">
      <w:pPr>
        <w:pStyle w:val="FootnoteText"/>
      </w:pPr>
      <w:r>
        <w:rPr>
          <w:rStyle w:val="FootnoteReference"/>
        </w:rPr>
        <w:footnoteRef/>
      </w:r>
      <w:r w:rsidR="009E0AC8">
        <w:t xml:space="preserve"> See paragraph </w:t>
      </w:r>
      <w:r w:rsidR="0081427F">
        <w:t>200 in</w:t>
      </w:r>
      <w:r>
        <w:t xml:space="preserve"> </w:t>
      </w:r>
      <w:r w:rsidRPr="00794904">
        <w:t>Ministry of Housing, Communities and Local Government, “National Planning Policy Framework,” July 20, 2021, www.gov.uk/government/publications.</w:t>
      </w:r>
    </w:p>
  </w:footnote>
  <w:footnote w:id="4">
    <w:p w14:paraId="3A67AE99" w14:textId="3049C651" w:rsidR="00601111" w:rsidRDefault="00601111">
      <w:pPr>
        <w:pStyle w:val="FootnoteText"/>
      </w:pPr>
      <w:r>
        <w:rPr>
          <w:rStyle w:val="FootnoteReference"/>
        </w:rPr>
        <w:footnoteRef/>
      </w:r>
      <w:r>
        <w:t xml:space="preserve"> </w:t>
      </w:r>
      <w:r w:rsidRPr="00601111">
        <w:t xml:space="preserve">A. P. Baggs et al., “Bramber,” in </w:t>
      </w:r>
      <w:r w:rsidRPr="00601111">
        <w:rPr>
          <w:i/>
          <w:iCs/>
        </w:rPr>
        <w:t>A History of the County of Sussex: Volume 6 Part 1, Bramber Rape (Southern Part)</w:t>
      </w:r>
      <w:r w:rsidRPr="00601111">
        <w:t>, ed. T. P. Hudson (London, 1980), 200–214.</w:t>
      </w:r>
    </w:p>
  </w:footnote>
  <w:footnote w:id="5">
    <w:p w14:paraId="68168F9A" w14:textId="5EF67740" w:rsidR="00C8030A" w:rsidRDefault="00C8030A">
      <w:pPr>
        <w:pStyle w:val="FootnoteText"/>
      </w:pPr>
      <w:r>
        <w:rPr>
          <w:rStyle w:val="FootnoteReference"/>
        </w:rPr>
        <w:footnoteRef/>
      </w:r>
      <w:r>
        <w:t xml:space="preserve"> </w:t>
      </w:r>
      <w:r w:rsidRPr="00C8030A">
        <w:t xml:space="preserve">A. P. Baggs et al., “Steyning,” in </w:t>
      </w:r>
      <w:r w:rsidRPr="00C8030A">
        <w:rPr>
          <w:i/>
          <w:iCs/>
        </w:rPr>
        <w:t>A History of the County of Sussex: Volume 6 Part 1, Bramber Rape (Southern Part)</w:t>
      </w:r>
      <w:r w:rsidRPr="00C8030A">
        <w:t>, ed. T. P. Hudson (London, 1980), 200–214.</w:t>
      </w:r>
    </w:p>
  </w:footnote>
  <w:footnote w:id="6">
    <w:p w14:paraId="40896F40" w14:textId="3FCD14B4" w:rsidR="008E1EEF" w:rsidRDefault="008E1EEF">
      <w:pPr>
        <w:pStyle w:val="FootnoteText"/>
      </w:pPr>
      <w:r>
        <w:rPr>
          <w:rStyle w:val="FootnoteReference"/>
        </w:rPr>
        <w:footnoteRef/>
      </w:r>
      <w:r>
        <w:t xml:space="preserve"> </w:t>
      </w:r>
      <w:r w:rsidR="00FF5624" w:rsidRPr="00FF5624">
        <w:t>Roland B. Harris, “Bramber: Historic Character Assessment Report” (East Sussex County Council, West Sussex County Council, and Brighton and Hove City Council 2004, 2004)</w:t>
      </w:r>
      <w:r w:rsidR="00FF5624">
        <w:t>, 12.</w:t>
      </w:r>
    </w:p>
  </w:footnote>
  <w:footnote w:id="7">
    <w:p w14:paraId="1035CAA8" w14:textId="753EB247" w:rsidR="00DC1BD4" w:rsidRDefault="00DC1BD4">
      <w:pPr>
        <w:pStyle w:val="FootnoteText"/>
      </w:pPr>
      <w:r>
        <w:rPr>
          <w:rStyle w:val="FootnoteReference"/>
        </w:rPr>
        <w:footnoteRef/>
      </w:r>
      <w:r>
        <w:t xml:space="preserve"> </w:t>
      </w:r>
      <w:r w:rsidRPr="00DC1BD4">
        <w:t xml:space="preserve">Siobhan Brownlie, </w:t>
      </w:r>
      <w:r w:rsidRPr="00DC1BD4">
        <w:rPr>
          <w:i/>
          <w:iCs/>
        </w:rPr>
        <w:t>Memory and Myths of the Norman Conquest</w:t>
      </w:r>
      <w:r w:rsidRPr="00DC1BD4">
        <w:t xml:space="preserve"> (Boydell &amp; Brewer, Boydell Press, 2013)</w:t>
      </w:r>
      <w:r>
        <w:t>, 1</w:t>
      </w:r>
      <w:r w:rsidRPr="00DC1BD4">
        <w:t>.</w:t>
      </w:r>
    </w:p>
  </w:footnote>
  <w:footnote w:id="8">
    <w:p w14:paraId="08023BA1" w14:textId="1F0F38EA" w:rsidR="00391A76" w:rsidRDefault="00391A76">
      <w:pPr>
        <w:pStyle w:val="FootnoteText"/>
      </w:pPr>
      <w:r>
        <w:rPr>
          <w:rStyle w:val="FootnoteReference"/>
        </w:rPr>
        <w:footnoteRef/>
      </w:r>
      <w:r>
        <w:t xml:space="preserve"> </w:t>
      </w:r>
      <w:r w:rsidRPr="00391A76">
        <w:t xml:space="preserve">Mark Cartwright, “William the Conqueror’s Harrying of the North,” World History Encyclopedia, January 18, 2019, </w:t>
      </w:r>
      <w:hyperlink r:id="rId2" w:history="1">
        <w:r w:rsidRPr="00391A76">
          <w:rPr>
            <w:rStyle w:val="Hyperlink"/>
          </w:rPr>
          <w:t>https://www.worldhistory.org/article/1319/william-the-conquerors-harrying-of-the-north/</w:t>
        </w:r>
      </w:hyperlink>
      <w:r w:rsidRPr="00391A76">
        <w:t>.</w:t>
      </w:r>
    </w:p>
  </w:footnote>
  <w:footnote w:id="9">
    <w:p w14:paraId="10F7172E" w14:textId="71CB22BD" w:rsidR="00B56E4B" w:rsidRDefault="00B56E4B">
      <w:pPr>
        <w:pStyle w:val="FootnoteText"/>
      </w:pPr>
      <w:r>
        <w:rPr>
          <w:rStyle w:val="FootnoteReference"/>
        </w:rPr>
        <w:footnoteRef/>
      </w:r>
      <w:r>
        <w:t xml:space="preserve"> </w:t>
      </w:r>
      <w:r w:rsidRPr="00B56E4B">
        <w:t xml:space="preserve">Orderic Vitalis, </w:t>
      </w:r>
      <w:r w:rsidRPr="00B56E4B">
        <w:rPr>
          <w:i/>
          <w:iCs/>
        </w:rPr>
        <w:t>Historia Ecclesiastica. Ecclesiastical History</w:t>
      </w:r>
      <w:r w:rsidRPr="00B56E4B">
        <w:t>, Vols II–IV, ed. and trans. Marjorie Chibnall (Oxford, 1969–73), Vol. II, p. 203.</w:t>
      </w:r>
      <w:r>
        <w:t xml:space="preserve"> </w:t>
      </w:r>
      <w:r w:rsidR="00F7567C">
        <w:t xml:space="preserve">Quoted in: </w:t>
      </w:r>
      <w:r w:rsidR="00F7567C" w:rsidRPr="00F7567C">
        <w:t xml:space="preserve">Brownlie, </w:t>
      </w:r>
      <w:r w:rsidR="00F7567C" w:rsidRPr="00F7567C">
        <w:rPr>
          <w:i/>
          <w:iCs/>
        </w:rPr>
        <w:t>Memory and Myths</w:t>
      </w:r>
      <w:r w:rsidR="00F7567C">
        <w:t xml:space="preserve">, </w:t>
      </w:r>
      <w:r w:rsidR="0060640C">
        <w:t>175</w:t>
      </w:r>
      <w:r w:rsidR="00F7567C" w:rsidRPr="00F7567C">
        <w:t>.</w:t>
      </w:r>
    </w:p>
  </w:footnote>
  <w:footnote w:id="10">
    <w:p w14:paraId="7EF33971" w14:textId="4EE2CE3F" w:rsidR="003B3DE7" w:rsidRDefault="003B3DE7">
      <w:pPr>
        <w:pStyle w:val="FootnoteText"/>
      </w:pPr>
      <w:r>
        <w:rPr>
          <w:rStyle w:val="FootnoteReference"/>
        </w:rPr>
        <w:footnoteRef/>
      </w:r>
      <w:r>
        <w:t xml:space="preserve"> </w:t>
      </w:r>
      <w:r w:rsidRPr="003B3DE7">
        <w:t xml:space="preserve">Brownlie, </w:t>
      </w:r>
      <w:r w:rsidRPr="003B3DE7">
        <w:rPr>
          <w:i/>
          <w:iCs/>
        </w:rPr>
        <w:t>Memory and Myths</w:t>
      </w:r>
      <w:r>
        <w:t>, 175.</w:t>
      </w:r>
    </w:p>
  </w:footnote>
  <w:footnote w:id="11">
    <w:p w14:paraId="306EEE84" w14:textId="47A1400B" w:rsidR="00FF09ED" w:rsidRDefault="00FF09ED">
      <w:pPr>
        <w:pStyle w:val="FootnoteText"/>
      </w:pPr>
      <w:r>
        <w:rPr>
          <w:rStyle w:val="FootnoteReference"/>
        </w:rPr>
        <w:footnoteRef/>
      </w:r>
      <w:r>
        <w:t xml:space="preserve"> </w:t>
      </w:r>
      <w:r w:rsidRPr="003B3DE7">
        <w:t xml:space="preserve">Brownlie, </w:t>
      </w:r>
      <w:r w:rsidRPr="003B3DE7">
        <w:rPr>
          <w:i/>
          <w:iCs/>
        </w:rPr>
        <w:t>Memory and Myths</w:t>
      </w:r>
      <w:r>
        <w:t>, 175.</w:t>
      </w:r>
    </w:p>
  </w:footnote>
  <w:footnote w:id="12">
    <w:p w14:paraId="2B043324" w14:textId="6CB75B9A" w:rsidR="00934ED9" w:rsidRDefault="00934ED9">
      <w:pPr>
        <w:pStyle w:val="FootnoteText"/>
      </w:pPr>
      <w:r>
        <w:rPr>
          <w:rStyle w:val="FootnoteReference"/>
        </w:rPr>
        <w:footnoteRef/>
      </w:r>
      <w:r>
        <w:t xml:space="preserve"> </w:t>
      </w:r>
      <w:r w:rsidRPr="00934ED9">
        <w:t xml:space="preserve">Adam Price, “Wales, the First and Final Colony - by Adam Price MP,” WalesOnline, November 16, 2009, </w:t>
      </w:r>
      <w:hyperlink r:id="rId3" w:history="1">
        <w:r w:rsidRPr="00934ED9">
          <w:rPr>
            <w:rStyle w:val="Hyperlink"/>
          </w:rPr>
          <w:t>https://www.walesonline.co.uk/news/wales-news/wales-first-final-colony---2070487</w:t>
        </w:r>
      </w:hyperlink>
      <w:r w:rsidRPr="00934ED9">
        <w:t>.</w:t>
      </w:r>
    </w:p>
  </w:footnote>
  <w:footnote w:id="13">
    <w:p w14:paraId="1E9D9C06" w14:textId="3B4FD3AF" w:rsidR="00222469" w:rsidRDefault="00222469">
      <w:pPr>
        <w:pStyle w:val="FootnoteText"/>
      </w:pPr>
      <w:r>
        <w:rPr>
          <w:rStyle w:val="FootnoteReference"/>
        </w:rPr>
        <w:footnoteRef/>
      </w:r>
      <w:r>
        <w:t xml:space="preserve"> </w:t>
      </w:r>
      <w:r w:rsidRPr="00222469">
        <w:t xml:space="preserve">Chiara Bonacchi, </w:t>
      </w:r>
      <w:r w:rsidRPr="00222469">
        <w:rPr>
          <w:i/>
          <w:iCs/>
        </w:rPr>
        <w:t>Heritage and Nationalism : Understanding Populism through Big Data</w:t>
      </w:r>
      <w:r w:rsidRPr="00222469">
        <w:t xml:space="preserve"> (London: UCL Press, 2022)</w:t>
      </w:r>
      <w:r>
        <w:t>, 86</w:t>
      </w:r>
      <w:r w:rsidRPr="00222469">
        <w:t>.</w:t>
      </w:r>
    </w:p>
  </w:footnote>
  <w:footnote w:id="14">
    <w:p w14:paraId="7BA556D8" w14:textId="6CDC2BAF" w:rsidR="00326DB2" w:rsidRDefault="00326DB2">
      <w:pPr>
        <w:pStyle w:val="FootnoteText"/>
      </w:pPr>
      <w:r>
        <w:rPr>
          <w:rStyle w:val="FootnoteReference"/>
        </w:rPr>
        <w:footnoteRef/>
      </w:r>
      <w:r>
        <w:t xml:space="preserve"> </w:t>
      </w:r>
      <w:r w:rsidRPr="003B3DE7">
        <w:t xml:space="preserve">Brownlie, </w:t>
      </w:r>
      <w:r w:rsidRPr="003B3DE7">
        <w:rPr>
          <w:i/>
          <w:iCs/>
        </w:rPr>
        <w:t>Memory and Myths</w:t>
      </w:r>
      <w:r>
        <w:t>, 1.</w:t>
      </w:r>
    </w:p>
  </w:footnote>
  <w:footnote w:id="15">
    <w:p w14:paraId="0193C0A4" w14:textId="1FCDC167" w:rsidR="00241A8C" w:rsidRDefault="00241A8C">
      <w:pPr>
        <w:pStyle w:val="FootnoteText"/>
      </w:pPr>
      <w:r>
        <w:rPr>
          <w:rStyle w:val="FootnoteReference"/>
        </w:rPr>
        <w:footnoteRef/>
      </w:r>
      <w:r>
        <w:t xml:space="preserve"> </w:t>
      </w:r>
      <w:r w:rsidRPr="00241A8C">
        <w:t xml:space="preserve">Eilean Hooper-Greenhill, “Changing Values in the Art Museum: Rethinking Communication and Learning,” </w:t>
      </w:r>
      <w:r w:rsidRPr="00241A8C">
        <w:rPr>
          <w:i/>
          <w:iCs/>
        </w:rPr>
        <w:t>International Journal of Heritage Studies</w:t>
      </w:r>
      <w:r w:rsidRPr="00241A8C">
        <w:t xml:space="preserve"> 6, no. 1 (January 2000): </w:t>
      </w:r>
      <w:r>
        <w:t>1</w:t>
      </w:r>
      <w:r w:rsidRPr="00241A8C">
        <w:t xml:space="preserve">1, </w:t>
      </w:r>
      <w:hyperlink r:id="rId4" w:history="1">
        <w:r w:rsidRPr="00241A8C">
          <w:rPr>
            <w:rStyle w:val="Hyperlink"/>
          </w:rPr>
          <w:t>https://doi.org/10.1080/135272500363715</w:t>
        </w:r>
      </w:hyperlink>
      <w:r w:rsidRPr="00241A8C">
        <w:t>.</w:t>
      </w:r>
    </w:p>
  </w:footnote>
  <w:footnote w:id="16">
    <w:p w14:paraId="567F0E35" w14:textId="4069184E" w:rsidR="00DA618A" w:rsidRDefault="00DA618A">
      <w:pPr>
        <w:pStyle w:val="FootnoteText"/>
      </w:pPr>
      <w:r>
        <w:rPr>
          <w:rStyle w:val="FootnoteReference"/>
        </w:rPr>
        <w:footnoteRef/>
      </w:r>
      <w:r>
        <w:t xml:space="preserve"> </w:t>
      </w:r>
      <w:r w:rsidR="006A1153" w:rsidRPr="006A1153">
        <w:t xml:space="preserve">Laurajane Smith, “Theorising Museum and Heritage Visiting,” in </w:t>
      </w:r>
      <w:r w:rsidR="006A1153" w:rsidRPr="006A1153">
        <w:rPr>
          <w:i/>
          <w:iCs/>
        </w:rPr>
        <w:t>The International Handbooks of Museum Studies: Museum Theory</w:t>
      </w:r>
      <w:r w:rsidR="006A1153" w:rsidRPr="006A1153">
        <w:t>, ed. Andrea Witcomb and Kylie Message (London: John Wiley &amp; Sons, Ltd, 2015).</w:t>
      </w:r>
    </w:p>
  </w:footnote>
  <w:footnote w:id="17">
    <w:p w14:paraId="50E39765" w14:textId="4C559732" w:rsidR="00B22920" w:rsidRDefault="00B22920">
      <w:pPr>
        <w:pStyle w:val="FootnoteText"/>
      </w:pPr>
      <w:r>
        <w:rPr>
          <w:rStyle w:val="FootnoteReference"/>
        </w:rPr>
        <w:footnoteRef/>
      </w:r>
      <w:r>
        <w:t xml:space="preserve"> </w:t>
      </w:r>
      <w:r w:rsidRPr="006A1153">
        <w:t>Smith</w:t>
      </w:r>
      <w:r w:rsidR="00A2445C">
        <w:t>,</w:t>
      </w:r>
      <w:r w:rsidRPr="006A1153">
        <w:t xml:space="preserve"> “Theorising Museum and Heritage Visiting”</w:t>
      </w:r>
      <w:r w:rsidR="000D7501">
        <w:t xml:space="preserve">, </w:t>
      </w:r>
      <w:r w:rsidR="001C662F">
        <w:t xml:space="preserve">459-460 and </w:t>
      </w:r>
      <w:r w:rsidR="000D7501">
        <w:t>472-475.</w:t>
      </w:r>
    </w:p>
  </w:footnote>
  <w:footnote w:id="18">
    <w:p w14:paraId="69D9054C" w14:textId="3ED87376" w:rsidR="00021EDB" w:rsidRDefault="00021EDB">
      <w:pPr>
        <w:pStyle w:val="FootnoteText"/>
      </w:pPr>
      <w:r>
        <w:rPr>
          <w:rStyle w:val="FootnoteReference"/>
        </w:rPr>
        <w:footnoteRef/>
      </w:r>
      <w:r>
        <w:t xml:space="preserve"> </w:t>
      </w:r>
      <w:r w:rsidRPr="00241A8C">
        <w:t>Hooper-Greenhill, “Changing Values in the Art Museum</w:t>
      </w:r>
      <w:r>
        <w:t>”, 23.</w:t>
      </w:r>
    </w:p>
  </w:footnote>
  <w:footnote w:id="19">
    <w:p w14:paraId="546210EE" w14:textId="07904D8E" w:rsidR="006737F4" w:rsidRDefault="006737F4">
      <w:pPr>
        <w:pStyle w:val="FootnoteText"/>
      </w:pPr>
      <w:r>
        <w:rPr>
          <w:rStyle w:val="FootnoteReference"/>
        </w:rPr>
        <w:footnoteRef/>
      </w:r>
      <w:r>
        <w:t xml:space="preserve"> </w:t>
      </w:r>
      <w:r w:rsidR="00EE6A8E" w:rsidRPr="00EE6A8E">
        <w:t xml:space="preserve">Laurajane Smith, </w:t>
      </w:r>
      <w:r w:rsidR="00EE6A8E" w:rsidRPr="00EE6A8E">
        <w:rPr>
          <w:i/>
          <w:iCs/>
        </w:rPr>
        <w:t>Uses of Heritage</w:t>
      </w:r>
      <w:r w:rsidR="00EE6A8E" w:rsidRPr="00EE6A8E">
        <w:t xml:space="preserve"> (London; New York, N.Y.: Routledge, 2006).</w:t>
      </w:r>
    </w:p>
  </w:footnote>
  <w:footnote w:id="20">
    <w:p w14:paraId="12A06464" w14:textId="015BCE5B" w:rsidR="00542888" w:rsidRDefault="00542888">
      <w:pPr>
        <w:pStyle w:val="FootnoteText"/>
      </w:pPr>
      <w:r>
        <w:rPr>
          <w:rStyle w:val="FootnoteReference"/>
        </w:rPr>
        <w:footnoteRef/>
      </w:r>
      <w:r>
        <w:t xml:space="preserve"> </w:t>
      </w:r>
      <w:r w:rsidR="00902C45" w:rsidRPr="00902C45">
        <w:t xml:space="preserve">Tony Bennett, “Museums and ‘the People,’” in </w:t>
      </w:r>
      <w:r w:rsidR="00902C45" w:rsidRPr="00902C45">
        <w:rPr>
          <w:i/>
          <w:iCs/>
        </w:rPr>
        <w:t>The Museum Time Machine</w:t>
      </w:r>
      <w:r w:rsidR="00902C45" w:rsidRPr="00902C45">
        <w:t xml:space="preserve"> (London: Routledge, 1988), 109–27.</w:t>
      </w:r>
    </w:p>
  </w:footnote>
  <w:footnote w:id="21">
    <w:p w14:paraId="387DC675" w14:textId="557F2F3A" w:rsidR="008F2661" w:rsidRDefault="008F2661">
      <w:pPr>
        <w:pStyle w:val="FootnoteText"/>
      </w:pPr>
      <w:r>
        <w:rPr>
          <w:rStyle w:val="FootnoteReference"/>
        </w:rPr>
        <w:footnoteRef/>
      </w:r>
      <w:r>
        <w:t xml:space="preserve"> </w:t>
      </w:r>
      <w:r w:rsidRPr="00902C45">
        <w:t>Bennett, “Museums and ‘the People’”</w:t>
      </w:r>
      <w:r>
        <w:t xml:space="preserve">, </w:t>
      </w:r>
      <w:r w:rsidR="008320A0">
        <w:t>112.</w:t>
      </w:r>
    </w:p>
  </w:footnote>
  <w:footnote w:id="22">
    <w:p w14:paraId="2B8AA0BD" w14:textId="0FD751B8" w:rsidR="00C11AA6" w:rsidRDefault="00C11AA6">
      <w:pPr>
        <w:pStyle w:val="FootnoteText"/>
      </w:pPr>
      <w:r>
        <w:rPr>
          <w:rStyle w:val="FootnoteReference"/>
        </w:rPr>
        <w:footnoteRef/>
      </w:r>
      <w:r>
        <w:t xml:space="preserve"> </w:t>
      </w:r>
      <w:r w:rsidRPr="00902C45">
        <w:t>Bennett, “Museums and ‘the People’”</w:t>
      </w:r>
      <w:r>
        <w:t>, 118</w:t>
      </w:r>
      <w:r w:rsidR="006B46B8">
        <w:t xml:space="preserve">; </w:t>
      </w:r>
      <w:r w:rsidR="008230C3">
        <w:t xml:space="preserve">and </w:t>
      </w:r>
      <w:r w:rsidR="006B46B8" w:rsidRPr="00EE6A8E">
        <w:t xml:space="preserve">Smith, </w:t>
      </w:r>
      <w:r w:rsidR="006B46B8" w:rsidRPr="00EE6A8E">
        <w:rPr>
          <w:i/>
          <w:iCs/>
        </w:rPr>
        <w:t>Uses of Heritage</w:t>
      </w:r>
      <w:r w:rsidR="006B46B8" w:rsidRPr="006B46B8">
        <w:t>, 6.</w:t>
      </w:r>
    </w:p>
  </w:footnote>
  <w:footnote w:id="23">
    <w:p w14:paraId="2EB0CEA9" w14:textId="48374248" w:rsidR="00B00A04" w:rsidRDefault="00B00A04">
      <w:pPr>
        <w:pStyle w:val="FootnoteText"/>
      </w:pPr>
      <w:r>
        <w:rPr>
          <w:rStyle w:val="FootnoteReference"/>
        </w:rPr>
        <w:footnoteRef/>
      </w:r>
      <w:r>
        <w:t xml:space="preserve"> </w:t>
      </w:r>
      <w:r w:rsidRPr="006A1153">
        <w:t>Smith</w:t>
      </w:r>
      <w:r>
        <w:t>,</w:t>
      </w:r>
      <w:r w:rsidRPr="006A1153">
        <w:t xml:space="preserve"> “Theorising Museum and Heritage Visiting”</w:t>
      </w:r>
      <w:r>
        <w:t>, 479.</w:t>
      </w:r>
    </w:p>
  </w:footnote>
  <w:footnote w:id="24">
    <w:p w14:paraId="3B2E1235" w14:textId="04E21078" w:rsidR="00214B69" w:rsidRPr="008230C3" w:rsidRDefault="00214B69">
      <w:pPr>
        <w:pStyle w:val="FootnoteText"/>
      </w:pPr>
      <w:r>
        <w:rPr>
          <w:rStyle w:val="FootnoteReference"/>
        </w:rPr>
        <w:footnoteRef/>
      </w:r>
      <w:r>
        <w:t xml:space="preserve"> </w:t>
      </w:r>
      <w:r w:rsidRPr="00222469">
        <w:t xml:space="preserve">Bonacchi, </w:t>
      </w:r>
      <w:r w:rsidRPr="00222469">
        <w:rPr>
          <w:i/>
          <w:iCs/>
        </w:rPr>
        <w:t>Heritage and Nationalism</w:t>
      </w:r>
      <w:r w:rsidR="008230C3">
        <w:t xml:space="preserve">, 86; and </w:t>
      </w:r>
      <w:r w:rsidR="008230C3" w:rsidRPr="00934ED9">
        <w:t>Price, “Wales, the First and Final Colony</w:t>
      </w:r>
      <w:r w:rsidR="008230C3">
        <w:t>”</w:t>
      </w:r>
    </w:p>
  </w:footnote>
  <w:footnote w:id="25">
    <w:p w14:paraId="421592B9" w14:textId="203BD49F" w:rsidR="003F2CFE" w:rsidRDefault="003F2CFE">
      <w:pPr>
        <w:pStyle w:val="FootnoteText"/>
      </w:pPr>
      <w:r>
        <w:rPr>
          <w:rStyle w:val="FootnoteReference"/>
        </w:rPr>
        <w:footnoteRef/>
      </w:r>
      <w:r>
        <w:t xml:space="preserve"> </w:t>
      </w:r>
      <w:r w:rsidRPr="003F2CFE">
        <w:t xml:space="preserve">Rebecca Mileham, “Wise Words,” Museums Association, November 13, 2009, </w:t>
      </w:r>
      <w:hyperlink r:id="rId5" w:history="1">
        <w:r w:rsidRPr="003F2CFE">
          <w:rPr>
            <w:rStyle w:val="Hyperlink"/>
          </w:rPr>
          <w:t>https://www.museumsassociation.org/museums-journal/opinion/2009/11/14018-2/</w:t>
        </w:r>
      </w:hyperlink>
      <w:r w:rsidRPr="003F2CFE">
        <w:t>.</w:t>
      </w:r>
    </w:p>
  </w:footnote>
  <w:footnote w:id="26">
    <w:p w14:paraId="67BCE74D" w14:textId="77777777" w:rsidR="003764D5" w:rsidRDefault="003764D5" w:rsidP="003764D5">
      <w:pPr>
        <w:pStyle w:val="FootnoteText"/>
      </w:pPr>
      <w:r>
        <w:rPr>
          <w:rStyle w:val="FootnoteReference"/>
        </w:rPr>
        <w:footnoteRef/>
      </w:r>
      <w:r>
        <w:t xml:space="preserve"> </w:t>
      </w:r>
      <w:r w:rsidRPr="007312E5">
        <w:t xml:space="preserve">English Heritage, “History of Bramber Castle,” English Heritage, n.d., </w:t>
      </w:r>
      <w:hyperlink r:id="rId6" w:history="1">
        <w:r w:rsidRPr="007312E5">
          <w:rPr>
            <w:rStyle w:val="Hyperlink"/>
          </w:rPr>
          <w:t>https://www.english-heritage.org.uk/visit/places/bramber-castle/history/</w:t>
        </w:r>
      </w:hyperlink>
      <w:r w:rsidRPr="007312E5">
        <w:t>.</w:t>
      </w:r>
    </w:p>
  </w:footnote>
  <w:footnote w:id="27">
    <w:p w14:paraId="32CD425E" w14:textId="20B2752E" w:rsidR="00AE1CB3" w:rsidRDefault="00AE1CB3">
      <w:pPr>
        <w:pStyle w:val="FootnoteText"/>
      </w:pPr>
      <w:r>
        <w:rPr>
          <w:rStyle w:val="FootnoteReference"/>
        </w:rPr>
        <w:footnoteRef/>
      </w:r>
      <w:r>
        <w:t xml:space="preserve"> </w:t>
      </w:r>
      <w:r w:rsidRPr="00902C45">
        <w:t>Bennett, “Museums and ‘the People’”</w:t>
      </w:r>
      <w:r>
        <w:t>, 112.</w:t>
      </w:r>
    </w:p>
  </w:footnote>
  <w:footnote w:id="28">
    <w:p w14:paraId="0438E0A9" w14:textId="1BE1A3E3" w:rsidR="000472C7" w:rsidRDefault="000472C7">
      <w:pPr>
        <w:pStyle w:val="FootnoteText"/>
      </w:pPr>
      <w:r>
        <w:rPr>
          <w:rStyle w:val="FootnoteReference"/>
        </w:rPr>
        <w:footnoteRef/>
      </w:r>
      <w:r>
        <w:t xml:space="preserve"> </w:t>
      </w:r>
      <w:r w:rsidRPr="000472C7">
        <w:t>Baggs et al., “Bramber,” 200–214.</w:t>
      </w:r>
    </w:p>
  </w:footnote>
  <w:footnote w:id="29">
    <w:p w14:paraId="7AB6EB61" w14:textId="5115DAFD" w:rsidR="006663E1" w:rsidRDefault="006663E1">
      <w:pPr>
        <w:pStyle w:val="FootnoteText"/>
      </w:pPr>
      <w:r>
        <w:rPr>
          <w:rStyle w:val="FootnoteReference"/>
        </w:rPr>
        <w:footnoteRef/>
      </w:r>
      <w:r>
        <w:t xml:space="preserve"> </w:t>
      </w:r>
      <w:r w:rsidR="00994156" w:rsidRPr="00994156">
        <w:t xml:space="preserve">David Carpenter, “2. Magna Carta 1215: Its Social and Political Context,” in </w:t>
      </w:r>
      <w:r w:rsidR="00994156" w:rsidRPr="00994156">
        <w:rPr>
          <w:i/>
          <w:iCs/>
        </w:rPr>
        <w:t>Magna Carta: History, Context and Influence</w:t>
      </w:r>
      <w:r w:rsidR="00994156" w:rsidRPr="00994156">
        <w:t>, ed. Lawrence Goldman (University of London Press, Institute of Historical Research, 2018), 17–24</w:t>
      </w:r>
      <w:r w:rsidR="00842A1F">
        <w:t xml:space="preserve">; and </w:t>
      </w:r>
      <w:r w:rsidRPr="006663E1">
        <w:t xml:space="preserve">Daniel Power, “The Briouze Family in the Thirteenth and Early Fourteenth Centuries: Inheritance Strategies, Lordship and Identity,” </w:t>
      </w:r>
      <w:r w:rsidRPr="006663E1">
        <w:rPr>
          <w:i/>
          <w:iCs/>
        </w:rPr>
        <w:t>Journal of Medieval History</w:t>
      </w:r>
      <w:r w:rsidRPr="006663E1">
        <w:t xml:space="preserve"> 41, no. 3 (June 11, 2015): 34</w:t>
      </w:r>
      <w:r w:rsidR="001108FE">
        <w:t>4</w:t>
      </w:r>
      <w:r w:rsidR="00DD7742">
        <w:t>.</w:t>
      </w:r>
    </w:p>
  </w:footnote>
  <w:footnote w:id="30">
    <w:p w14:paraId="68948899" w14:textId="65AF495E" w:rsidR="00762331" w:rsidRDefault="00762331">
      <w:pPr>
        <w:pStyle w:val="FootnoteText"/>
      </w:pPr>
      <w:r>
        <w:rPr>
          <w:rStyle w:val="FootnoteReference"/>
        </w:rPr>
        <w:footnoteRef/>
      </w:r>
      <w:r>
        <w:t xml:space="preserve"> </w:t>
      </w:r>
      <w:r w:rsidRPr="00762331">
        <w:t xml:space="preserve">The Editors of the Encyclopaedia Britannica, “Arthur I | Duke of Brittany | Britannica,” www.britannica.com, March 25, 2023, </w:t>
      </w:r>
      <w:hyperlink r:id="rId7" w:history="1">
        <w:r w:rsidRPr="00762331">
          <w:rPr>
            <w:rStyle w:val="Hyperlink"/>
          </w:rPr>
          <w:t>https://www.britannica.com/biography/Arthur-I</w:t>
        </w:r>
      </w:hyperlink>
      <w:r w:rsidRPr="00762331">
        <w:t>.</w:t>
      </w:r>
    </w:p>
  </w:footnote>
  <w:footnote w:id="31">
    <w:p w14:paraId="34ED12D2" w14:textId="1BE34889" w:rsidR="00842A19" w:rsidRDefault="00842A19">
      <w:pPr>
        <w:pStyle w:val="FootnoteText"/>
      </w:pPr>
      <w:r>
        <w:rPr>
          <w:rStyle w:val="FootnoteReference"/>
        </w:rPr>
        <w:footnoteRef/>
      </w:r>
      <w:r>
        <w:t xml:space="preserve"> </w:t>
      </w:r>
      <w:r w:rsidR="00994156" w:rsidRPr="00994156">
        <w:t>Carpenter, “2. Magna Carta 1215: Its Social and Political Context,”</w:t>
      </w:r>
      <w:r w:rsidR="00994156">
        <w:t xml:space="preserve"> 19.</w:t>
      </w:r>
    </w:p>
  </w:footnote>
  <w:footnote w:id="32">
    <w:p w14:paraId="6366E393" w14:textId="7C9E5488" w:rsidR="00B0729E" w:rsidRDefault="00B0729E">
      <w:pPr>
        <w:pStyle w:val="FootnoteText"/>
      </w:pPr>
      <w:r>
        <w:rPr>
          <w:rStyle w:val="FootnoteReference"/>
        </w:rPr>
        <w:footnoteRef/>
      </w:r>
      <w:r>
        <w:t xml:space="preserve"> </w:t>
      </w:r>
      <w:r w:rsidRPr="00902C45">
        <w:t>Bennett, “Museums and ‘the People’”</w:t>
      </w:r>
      <w:r>
        <w:t>, 112.</w:t>
      </w:r>
    </w:p>
  </w:footnote>
  <w:footnote w:id="33">
    <w:p w14:paraId="4A13D17F" w14:textId="6EB8431C" w:rsidR="00966ADA" w:rsidRDefault="00966ADA">
      <w:pPr>
        <w:pStyle w:val="FootnoteText"/>
      </w:pPr>
      <w:r>
        <w:rPr>
          <w:rStyle w:val="FootnoteReference"/>
        </w:rPr>
        <w:footnoteRef/>
      </w:r>
      <w:r>
        <w:t xml:space="preserve"> </w:t>
      </w:r>
      <w:r w:rsidRPr="00966ADA">
        <w:t xml:space="preserve">Smith, </w:t>
      </w:r>
      <w:r w:rsidRPr="00966ADA">
        <w:rPr>
          <w:i/>
          <w:iCs/>
        </w:rPr>
        <w:t>Uses of Heritage</w:t>
      </w:r>
      <w:r w:rsidRPr="00966AD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0485A" w14:textId="2CB32CCD" w:rsidR="00EF3442" w:rsidRDefault="00EF3442" w:rsidP="00EF3442">
    <w:pPr>
      <w:pStyle w:val="Header"/>
      <w:pBdr>
        <w:bottom w:val="single" w:sz="4" w:space="1" w:color="auto"/>
      </w:pBdr>
    </w:pPr>
    <w:r>
      <w:t>William Bedford</w:t>
    </w:r>
    <w:r>
      <w:ptab w:relativeTo="margin" w:alignment="right" w:leader="none"/>
    </w:r>
    <w:r w:rsidRPr="00F8512B">
      <w:t xml:space="preserve"> 2221244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F87B51"/>
    <w:multiLevelType w:val="hybridMultilevel"/>
    <w:tmpl w:val="478C1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5591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2F4"/>
    <w:rsid w:val="000016BF"/>
    <w:rsid w:val="00001D28"/>
    <w:rsid w:val="000066FA"/>
    <w:rsid w:val="0000767C"/>
    <w:rsid w:val="00011225"/>
    <w:rsid w:val="00016324"/>
    <w:rsid w:val="00021723"/>
    <w:rsid w:val="00021EDB"/>
    <w:rsid w:val="00023ED1"/>
    <w:rsid w:val="00034B5F"/>
    <w:rsid w:val="00043FA2"/>
    <w:rsid w:val="000472C7"/>
    <w:rsid w:val="00047D86"/>
    <w:rsid w:val="00053CE0"/>
    <w:rsid w:val="0006656A"/>
    <w:rsid w:val="00073E4D"/>
    <w:rsid w:val="00077F13"/>
    <w:rsid w:val="00081984"/>
    <w:rsid w:val="00086EF8"/>
    <w:rsid w:val="000916D0"/>
    <w:rsid w:val="00093E1B"/>
    <w:rsid w:val="000B5A7B"/>
    <w:rsid w:val="000B7D13"/>
    <w:rsid w:val="000C21B4"/>
    <w:rsid w:val="000C4498"/>
    <w:rsid w:val="000C7721"/>
    <w:rsid w:val="000D2E99"/>
    <w:rsid w:val="000D6ABD"/>
    <w:rsid w:val="000D705D"/>
    <w:rsid w:val="000D7501"/>
    <w:rsid w:val="000E08D9"/>
    <w:rsid w:val="000F1C16"/>
    <w:rsid w:val="000F1FD4"/>
    <w:rsid w:val="000F4E49"/>
    <w:rsid w:val="000F63C9"/>
    <w:rsid w:val="00101F67"/>
    <w:rsid w:val="001060CF"/>
    <w:rsid w:val="001078F6"/>
    <w:rsid w:val="001108FE"/>
    <w:rsid w:val="00117E66"/>
    <w:rsid w:val="001227B6"/>
    <w:rsid w:val="001243E9"/>
    <w:rsid w:val="00130C00"/>
    <w:rsid w:val="00132D6D"/>
    <w:rsid w:val="001348A9"/>
    <w:rsid w:val="00140022"/>
    <w:rsid w:val="001419C2"/>
    <w:rsid w:val="0014388F"/>
    <w:rsid w:val="0014748C"/>
    <w:rsid w:val="0015267A"/>
    <w:rsid w:val="00156954"/>
    <w:rsid w:val="00161C59"/>
    <w:rsid w:val="001621ED"/>
    <w:rsid w:val="00177C45"/>
    <w:rsid w:val="001802C7"/>
    <w:rsid w:val="00181267"/>
    <w:rsid w:val="00183DF0"/>
    <w:rsid w:val="00184F03"/>
    <w:rsid w:val="00193C34"/>
    <w:rsid w:val="0019703F"/>
    <w:rsid w:val="001A1B10"/>
    <w:rsid w:val="001A27D7"/>
    <w:rsid w:val="001A7267"/>
    <w:rsid w:val="001B4CCB"/>
    <w:rsid w:val="001B5B61"/>
    <w:rsid w:val="001B7619"/>
    <w:rsid w:val="001B7A1E"/>
    <w:rsid w:val="001C3A37"/>
    <w:rsid w:val="001C3B63"/>
    <w:rsid w:val="001C662F"/>
    <w:rsid w:val="001C6F1D"/>
    <w:rsid w:val="001D1698"/>
    <w:rsid w:val="001D40A7"/>
    <w:rsid w:val="001D7EF4"/>
    <w:rsid w:val="001E6812"/>
    <w:rsid w:val="001E7609"/>
    <w:rsid w:val="001F36FE"/>
    <w:rsid w:val="001F58CF"/>
    <w:rsid w:val="002022C0"/>
    <w:rsid w:val="00214B69"/>
    <w:rsid w:val="00222469"/>
    <w:rsid w:val="00230E0B"/>
    <w:rsid w:val="00241A8C"/>
    <w:rsid w:val="00242DB3"/>
    <w:rsid w:val="002459BC"/>
    <w:rsid w:val="00250F20"/>
    <w:rsid w:val="00260014"/>
    <w:rsid w:val="00266964"/>
    <w:rsid w:val="00272648"/>
    <w:rsid w:val="0027726A"/>
    <w:rsid w:val="00283A9D"/>
    <w:rsid w:val="00285416"/>
    <w:rsid w:val="00285BC0"/>
    <w:rsid w:val="002A3376"/>
    <w:rsid w:val="002B3338"/>
    <w:rsid w:val="002B7905"/>
    <w:rsid w:val="002C255B"/>
    <w:rsid w:val="002C6F4A"/>
    <w:rsid w:val="002D596B"/>
    <w:rsid w:val="002D5D8A"/>
    <w:rsid w:val="002D718D"/>
    <w:rsid w:val="002E32EA"/>
    <w:rsid w:val="002E73FD"/>
    <w:rsid w:val="002E7415"/>
    <w:rsid w:val="002E7D1A"/>
    <w:rsid w:val="002F00D6"/>
    <w:rsid w:val="00300887"/>
    <w:rsid w:val="0030415B"/>
    <w:rsid w:val="003206A8"/>
    <w:rsid w:val="0032075F"/>
    <w:rsid w:val="00325152"/>
    <w:rsid w:val="00326DB2"/>
    <w:rsid w:val="003334A3"/>
    <w:rsid w:val="00340F29"/>
    <w:rsid w:val="0035459D"/>
    <w:rsid w:val="00361757"/>
    <w:rsid w:val="00372556"/>
    <w:rsid w:val="003726D5"/>
    <w:rsid w:val="00372F37"/>
    <w:rsid w:val="003764D5"/>
    <w:rsid w:val="0038017A"/>
    <w:rsid w:val="00391842"/>
    <w:rsid w:val="00391A76"/>
    <w:rsid w:val="00393A0A"/>
    <w:rsid w:val="00397769"/>
    <w:rsid w:val="003A252A"/>
    <w:rsid w:val="003A29A8"/>
    <w:rsid w:val="003B176C"/>
    <w:rsid w:val="003B302B"/>
    <w:rsid w:val="003B3DE7"/>
    <w:rsid w:val="003C4255"/>
    <w:rsid w:val="003D5CEA"/>
    <w:rsid w:val="003D703D"/>
    <w:rsid w:val="003E5422"/>
    <w:rsid w:val="003F2CFE"/>
    <w:rsid w:val="003F37B8"/>
    <w:rsid w:val="003F3D54"/>
    <w:rsid w:val="003F4D80"/>
    <w:rsid w:val="00405315"/>
    <w:rsid w:val="00406C3D"/>
    <w:rsid w:val="00413E27"/>
    <w:rsid w:val="00423D54"/>
    <w:rsid w:val="00434B3A"/>
    <w:rsid w:val="00442F8E"/>
    <w:rsid w:val="00445A88"/>
    <w:rsid w:val="00454E92"/>
    <w:rsid w:val="00463C7C"/>
    <w:rsid w:val="00466375"/>
    <w:rsid w:val="00495EA5"/>
    <w:rsid w:val="00496011"/>
    <w:rsid w:val="00496487"/>
    <w:rsid w:val="004A285E"/>
    <w:rsid w:val="004B403E"/>
    <w:rsid w:val="004C6AB1"/>
    <w:rsid w:val="004E234F"/>
    <w:rsid w:val="004E292D"/>
    <w:rsid w:val="004E4CC0"/>
    <w:rsid w:val="004E58F5"/>
    <w:rsid w:val="004F0403"/>
    <w:rsid w:val="004F1912"/>
    <w:rsid w:val="004F408E"/>
    <w:rsid w:val="004F4DFE"/>
    <w:rsid w:val="004F63A0"/>
    <w:rsid w:val="005031D4"/>
    <w:rsid w:val="005033AD"/>
    <w:rsid w:val="00511E51"/>
    <w:rsid w:val="00520BD5"/>
    <w:rsid w:val="00521441"/>
    <w:rsid w:val="005244CA"/>
    <w:rsid w:val="00524DBF"/>
    <w:rsid w:val="00531691"/>
    <w:rsid w:val="005322F2"/>
    <w:rsid w:val="00533369"/>
    <w:rsid w:val="005341DE"/>
    <w:rsid w:val="0053452F"/>
    <w:rsid w:val="00542888"/>
    <w:rsid w:val="005466B2"/>
    <w:rsid w:val="00551C22"/>
    <w:rsid w:val="00556973"/>
    <w:rsid w:val="00557D0A"/>
    <w:rsid w:val="00574C5D"/>
    <w:rsid w:val="005759D5"/>
    <w:rsid w:val="00577AFE"/>
    <w:rsid w:val="005855D5"/>
    <w:rsid w:val="00586CC5"/>
    <w:rsid w:val="00594CC6"/>
    <w:rsid w:val="0059509B"/>
    <w:rsid w:val="0059767D"/>
    <w:rsid w:val="005A20DC"/>
    <w:rsid w:val="005A34CF"/>
    <w:rsid w:val="005B3804"/>
    <w:rsid w:val="005C6099"/>
    <w:rsid w:val="005C6A60"/>
    <w:rsid w:val="005D4CAB"/>
    <w:rsid w:val="005D5DC3"/>
    <w:rsid w:val="005D6161"/>
    <w:rsid w:val="005E1BA6"/>
    <w:rsid w:val="005E472B"/>
    <w:rsid w:val="005F0E11"/>
    <w:rsid w:val="005F1C6E"/>
    <w:rsid w:val="005F1EBD"/>
    <w:rsid w:val="005F2FC3"/>
    <w:rsid w:val="00601111"/>
    <w:rsid w:val="006017A3"/>
    <w:rsid w:val="00604250"/>
    <w:rsid w:val="0060640C"/>
    <w:rsid w:val="00606986"/>
    <w:rsid w:val="00622F23"/>
    <w:rsid w:val="0062735D"/>
    <w:rsid w:val="00641F32"/>
    <w:rsid w:val="0064737A"/>
    <w:rsid w:val="0065330B"/>
    <w:rsid w:val="00655C3D"/>
    <w:rsid w:val="006579AC"/>
    <w:rsid w:val="00661202"/>
    <w:rsid w:val="00665B4E"/>
    <w:rsid w:val="006663E1"/>
    <w:rsid w:val="00666C7E"/>
    <w:rsid w:val="00671869"/>
    <w:rsid w:val="006724C9"/>
    <w:rsid w:val="00672782"/>
    <w:rsid w:val="006737F4"/>
    <w:rsid w:val="006745DC"/>
    <w:rsid w:val="0067721C"/>
    <w:rsid w:val="006870C2"/>
    <w:rsid w:val="00687CBB"/>
    <w:rsid w:val="00696EC1"/>
    <w:rsid w:val="006A003B"/>
    <w:rsid w:val="006A1153"/>
    <w:rsid w:val="006B390F"/>
    <w:rsid w:val="006B46B8"/>
    <w:rsid w:val="006C0F1A"/>
    <w:rsid w:val="006E12EB"/>
    <w:rsid w:val="006E2B7C"/>
    <w:rsid w:val="006F295E"/>
    <w:rsid w:val="006F43FC"/>
    <w:rsid w:val="0070236B"/>
    <w:rsid w:val="00705866"/>
    <w:rsid w:val="0070651B"/>
    <w:rsid w:val="00706852"/>
    <w:rsid w:val="00711EE4"/>
    <w:rsid w:val="00716B3D"/>
    <w:rsid w:val="00720DDF"/>
    <w:rsid w:val="007312E5"/>
    <w:rsid w:val="007334BE"/>
    <w:rsid w:val="0073605B"/>
    <w:rsid w:val="007431B2"/>
    <w:rsid w:val="00744B45"/>
    <w:rsid w:val="00747942"/>
    <w:rsid w:val="00750E17"/>
    <w:rsid w:val="0075194B"/>
    <w:rsid w:val="00752AB6"/>
    <w:rsid w:val="00753B9E"/>
    <w:rsid w:val="00762331"/>
    <w:rsid w:val="00763D3E"/>
    <w:rsid w:val="007667A3"/>
    <w:rsid w:val="0077108B"/>
    <w:rsid w:val="007720CC"/>
    <w:rsid w:val="007721C9"/>
    <w:rsid w:val="00773D6C"/>
    <w:rsid w:val="0078075A"/>
    <w:rsid w:val="007866C8"/>
    <w:rsid w:val="00787F2B"/>
    <w:rsid w:val="00794904"/>
    <w:rsid w:val="00794CAB"/>
    <w:rsid w:val="00797818"/>
    <w:rsid w:val="007A3701"/>
    <w:rsid w:val="007B464B"/>
    <w:rsid w:val="007C440A"/>
    <w:rsid w:val="007C62AC"/>
    <w:rsid w:val="007D386C"/>
    <w:rsid w:val="007E0286"/>
    <w:rsid w:val="007E698D"/>
    <w:rsid w:val="007F1D09"/>
    <w:rsid w:val="007F36C9"/>
    <w:rsid w:val="007F4A84"/>
    <w:rsid w:val="0081427F"/>
    <w:rsid w:val="00815FA8"/>
    <w:rsid w:val="00816F5D"/>
    <w:rsid w:val="008230C3"/>
    <w:rsid w:val="00825D48"/>
    <w:rsid w:val="00830F9F"/>
    <w:rsid w:val="00831865"/>
    <w:rsid w:val="008320A0"/>
    <w:rsid w:val="008351EB"/>
    <w:rsid w:val="00835787"/>
    <w:rsid w:val="00841C84"/>
    <w:rsid w:val="00842A19"/>
    <w:rsid w:val="00842A1F"/>
    <w:rsid w:val="00843695"/>
    <w:rsid w:val="008474F8"/>
    <w:rsid w:val="0085254B"/>
    <w:rsid w:val="00860111"/>
    <w:rsid w:val="00860BA7"/>
    <w:rsid w:val="008623A6"/>
    <w:rsid w:val="00864DCC"/>
    <w:rsid w:val="00880F71"/>
    <w:rsid w:val="00887724"/>
    <w:rsid w:val="008878C7"/>
    <w:rsid w:val="008A1FCD"/>
    <w:rsid w:val="008B10E9"/>
    <w:rsid w:val="008B2596"/>
    <w:rsid w:val="008C742D"/>
    <w:rsid w:val="008D009E"/>
    <w:rsid w:val="008D2F08"/>
    <w:rsid w:val="008D3317"/>
    <w:rsid w:val="008E1EEF"/>
    <w:rsid w:val="008F2661"/>
    <w:rsid w:val="008F28AA"/>
    <w:rsid w:val="008F3C36"/>
    <w:rsid w:val="00902C45"/>
    <w:rsid w:val="009032A5"/>
    <w:rsid w:val="00906B2D"/>
    <w:rsid w:val="00934ED9"/>
    <w:rsid w:val="0093662C"/>
    <w:rsid w:val="00937776"/>
    <w:rsid w:val="00945007"/>
    <w:rsid w:val="00946A29"/>
    <w:rsid w:val="009477AA"/>
    <w:rsid w:val="00962F9A"/>
    <w:rsid w:val="00963551"/>
    <w:rsid w:val="00966ADA"/>
    <w:rsid w:val="0096758F"/>
    <w:rsid w:val="009743D5"/>
    <w:rsid w:val="00975636"/>
    <w:rsid w:val="00985BA8"/>
    <w:rsid w:val="00990560"/>
    <w:rsid w:val="00994156"/>
    <w:rsid w:val="009A0797"/>
    <w:rsid w:val="009A22F4"/>
    <w:rsid w:val="009A7A19"/>
    <w:rsid w:val="009B43DD"/>
    <w:rsid w:val="009C0DE0"/>
    <w:rsid w:val="009C2F1E"/>
    <w:rsid w:val="009C44D4"/>
    <w:rsid w:val="009D5F56"/>
    <w:rsid w:val="009D644C"/>
    <w:rsid w:val="009E0AC8"/>
    <w:rsid w:val="009E2E53"/>
    <w:rsid w:val="009E4A5B"/>
    <w:rsid w:val="009E7A25"/>
    <w:rsid w:val="009F22E6"/>
    <w:rsid w:val="00A01765"/>
    <w:rsid w:val="00A06649"/>
    <w:rsid w:val="00A146DB"/>
    <w:rsid w:val="00A162FF"/>
    <w:rsid w:val="00A2445C"/>
    <w:rsid w:val="00A2477E"/>
    <w:rsid w:val="00A31791"/>
    <w:rsid w:val="00A42F4F"/>
    <w:rsid w:val="00A52A93"/>
    <w:rsid w:val="00A7243A"/>
    <w:rsid w:val="00A76DC6"/>
    <w:rsid w:val="00A77C49"/>
    <w:rsid w:val="00A82806"/>
    <w:rsid w:val="00A8542A"/>
    <w:rsid w:val="00A85EF7"/>
    <w:rsid w:val="00A9123A"/>
    <w:rsid w:val="00A937E1"/>
    <w:rsid w:val="00AA131A"/>
    <w:rsid w:val="00AA6986"/>
    <w:rsid w:val="00AB54DC"/>
    <w:rsid w:val="00AC190B"/>
    <w:rsid w:val="00AC4FE3"/>
    <w:rsid w:val="00AC6CE1"/>
    <w:rsid w:val="00AC6EDC"/>
    <w:rsid w:val="00AD0B46"/>
    <w:rsid w:val="00AE1CB3"/>
    <w:rsid w:val="00AE1FF3"/>
    <w:rsid w:val="00B00A04"/>
    <w:rsid w:val="00B04A35"/>
    <w:rsid w:val="00B0729E"/>
    <w:rsid w:val="00B12B92"/>
    <w:rsid w:val="00B1575D"/>
    <w:rsid w:val="00B15DD8"/>
    <w:rsid w:val="00B208BA"/>
    <w:rsid w:val="00B220C2"/>
    <w:rsid w:val="00B225FD"/>
    <w:rsid w:val="00B22920"/>
    <w:rsid w:val="00B32969"/>
    <w:rsid w:val="00B40365"/>
    <w:rsid w:val="00B56E4B"/>
    <w:rsid w:val="00B75190"/>
    <w:rsid w:val="00B8153E"/>
    <w:rsid w:val="00B82CD1"/>
    <w:rsid w:val="00B85DF2"/>
    <w:rsid w:val="00B94323"/>
    <w:rsid w:val="00BA2622"/>
    <w:rsid w:val="00BA323B"/>
    <w:rsid w:val="00BA539A"/>
    <w:rsid w:val="00BB18C0"/>
    <w:rsid w:val="00BB3179"/>
    <w:rsid w:val="00BB7C79"/>
    <w:rsid w:val="00BC28A3"/>
    <w:rsid w:val="00BC2EBD"/>
    <w:rsid w:val="00BC30ED"/>
    <w:rsid w:val="00BD2EEC"/>
    <w:rsid w:val="00BD3AE9"/>
    <w:rsid w:val="00BD598C"/>
    <w:rsid w:val="00BD66F7"/>
    <w:rsid w:val="00BF0FF8"/>
    <w:rsid w:val="00BF77D7"/>
    <w:rsid w:val="00C02D4C"/>
    <w:rsid w:val="00C04D99"/>
    <w:rsid w:val="00C07BFD"/>
    <w:rsid w:val="00C07C91"/>
    <w:rsid w:val="00C11AA6"/>
    <w:rsid w:val="00C15CD4"/>
    <w:rsid w:val="00C17B09"/>
    <w:rsid w:val="00C203B1"/>
    <w:rsid w:val="00C3015A"/>
    <w:rsid w:val="00C32584"/>
    <w:rsid w:val="00C36646"/>
    <w:rsid w:val="00C463A7"/>
    <w:rsid w:val="00C4742C"/>
    <w:rsid w:val="00C50FD9"/>
    <w:rsid w:val="00C61B97"/>
    <w:rsid w:val="00C8030A"/>
    <w:rsid w:val="00C805DC"/>
    <w:rsid w:val="00CA6BED"/>
    <w:rsid w:val="00CA79A9"/>
    <w:rsid w:val="00CB4E42"/>
    <w:rsid w:val="00CB5E89"/>
    <w:rsid w:val="00CB7BB5"/>
    <w:rsid w:val="00CC3ACC"/>
    <w:rsid w:val="00CC7823"/>
    <w:rsid w:val="00CC7E32"/>
    <w:rsid w:val="00CD4428"/>
    <w:rsid w:val="00CD4AC1"/>
    <w:rsid w:val="00CD6161"/>
    <w:rsid w:val="00CD6EE1"/>
    <w:rsid w:val="00CF18E6"/>
    <w:rsid w:val="00CF29FB"/>
    <w:rsid w:val="00CF430F"/>
    <w:rsid w:val="00D0311A"/>
    <w:rsid w:val="00D142EA"/>
    <w:rsid w:val="00D2321C"/>
    <w:rsid w:val="00D25192"/>
    <w:rsid w:val="00D36E9F"/>
    <w:rsid w:val="00D37D64"/>
    <w:rsid w:val="00D42D51"/>
    <w:rsid w:val="00D62799"/>
    <w:rsid w:val="00D66631"/>
    <w:rsid w:val="00D678C8"/>
    <w:rsid w:val="00D7250E"/>
    <w:rsid w:val="00D76605"/>
    <w:rsid w:val="00D851CB"/>
    <w:rsid w:val="00D86516"/>
    <w:rsid w:val="00D86BF1"/>
    <w:rsid w:val="00D92C25"/>
    <w:rsid w:val="00D9327B"/>
    <w:rsid w:val="00DA354B"/>
    <w:rsid w:val="00DA618A"/>
    <w:rsid w:val="00DA6ADA"/>
    <w:rsid w:val="00DB17F3"/>
    <w:rsid w:val="00DB4D44"/>
    <w:rsid w:val="00DB5A7F"/>
    <w:rsid w:val="00DB6DE6"/>
    <w:rsid w:val="00DB7D54"/>
    <w:rsid w:val="00DC1BD4"/>
    <w:rsid w:val="00DC6F7B"/>
    <w:rsid w:val="00DD03F6"/>
    <w:rsid w:val="00DD1685"/>
    <w:rsid w:val="00DD4217"/>
    <w:rsid w:val="00DD5834"/>
    <w:rsid w:val="00DD7742"/>
    <w:rsid w:val="00DE0D80"/>
    <w:rsid w:val="00DE1415"/>
    <w:rsid w:val="00DE3502"/>
    <w:rsid w:val="00DF0859"/>
    <w:rsid w:val="00E10015"/>
    <w:rsid w:val="00E14FDA"/>
    <w:rsid w:val="00E21FCC"/>
    <w:rsid w:val="00E22D1E"/>
    <w:rsid w:val="00E31EF1"/>
    <w:rsid w:val="00E35D3A"/>
    <w:rsid w:val="00E36F38"/>
    <w:rsid w:val="00E40430"/>
    <w:rsid w:val="00E419EC"/>
    <w:rsid w:val="00E6690A"/>
    <w:rsid w:val="00E70025"/>
    <w:rsid w:val="00E72206"/>
    <w:rsid w:val="00E74B53"/>
    <w:rsid w:val="00E828B3"/>
    <w:rsid w:val="00E869B2"/>
    <w:rsid w:val="00EB04CA"/>
    <w:rsid w:val="00EB278B"/>
    <w:rsid w:val="00EB4D08"/>
    <w:rsid w:val="00EB500C"/>
    <w:rsid w:val="00EB63B6"/>
    <w:rsid w:val="00ED5798"/>
    <w:rsid w:val="00EE0A68"/>
    <w:rsid w:val="00EE673C"/>
    <w:rsid w:val="00EE6A8E"/>
    <w:rsid w:val="00EE73D9"/>
    <w:rsid w:val="00EF10C7"/>
    <w:rsid w:val="00EF2E5C"/>
    <w:rsid w:val="00EF3442"/>
    <w:rsid w:val="00EF45DC"/>
    <w:rsid w:val="00F00009"/>
    <w:rsid w:val="00F01FE9"/>
    <w:rsid w:val="00F05ED0"/>
    <w:rsid w:val="00F10471"/>
    <w:rsid w:val="00F1796F"/>
    <w:rsid w:val="00F20217"/>
    <w:rsid w:val="00F270AB"/>
    <w:rsid w:val="00F3075C"/>
    <w:rsid w:val="00F37B92"/>
    <w:rsid w:val="00F4178F"/>
    <w:rsid w:val="00F45D95"/>
    <w:rsid w:val="00F53844"/>
    <w:rsid w:val="00F53D23"/>
    <w:rsid w:val="00F60B52"/>
    <w:rsid w:val="00F62056"/>
    <w:rsid w:val="00F6624A"/>
    <w:rsid w:val="00F71421"/>
    <w:rsid w:val="00F7567C"/>
    <w:rsid w:val="00F75938"/>
    <w:rsid w:val="00F8121C"/>
    <w:rsid w:val="00F90060"/>
    <w:rsid w:val="00F9261D"/>
    <w:rsid w:val="00F94732"/>
    <w:rsid w:val="00FA024F"/>
    <w:rsid w:val="00FA03BC"/>
    <w:rsid w:val="00FA0BB6"/>
    <w:rsid w:val="00FB715C"/>
    <w:rsid w:val="00FB7289"/>
    <w:rsid w:val="00FC3D48"/>
    <w:rsid w:val="00FC5CD2"/>
    <w:rsid w:val="00FD214E"/>
    <w:rsid w:val="00FF033C"/>
    <w:rsid w:val="00FF09ED"/>
    <w:rsid w:val="00FF1510"/>
    <w:rsid w:val="00FF27A0"/>
    <w:rsid w:val="00FF5624"/>
    <w:rsid w:val="00FF567B"/>
    <w:rsid w:val="00FF6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7ABDCE"/>
  <w15:chartTrackingRefBased/>
  <w15:docId w15:val="{265BE893-3FF9-4646-BE12-561BFCEE8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812"/>
    <w:pPr>
      <w:spacing w:line="36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442"/>
  </w:style>
  <w:style w:type="paragraph" w:styleId="Footer">
    <w:name w:val="footer"/>
    <w:basedOn w:val="Normal"/>
    <w:link w:val="FooterChar"/>
    <w:uiPriority w:val="99"/>
    <w:unhideWhenUsed/>
    <w:rsid w:val="00EF3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442"/>
  </w:style>
  <w:style w:type="paragraph" w:styleId="ListParagraph">
    <w:name w:val="List Paragraph"/>
    <w:basedOn w:val="Normal"/>
    <w:uiPriority w:val="34"/>
    <w:qFormat/>
    <w:rsid w:val="00ED5798"/>
    <w:pPr>
      <w:ind w:left="720"/>
      <w:contextualSpacing/>
    </w:pPr>
  </w:style>
  <w:style w:type="paragraph" w:styleId="FootnoteText">
    <w:name w:val="footnote text"/>
    <w:basedOn w:val="Normal"/>
    <w:link w:val="FootnoteTextChar"/>
    <w:uiPriority w:val="99"/>
    <w:semiHidden/>
    <w:unhideWhenUsed/>
    <w:rsid w:val="00372F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2F37"/>
    <w:rPr>
      <w:sz w:val="20"/>
      <w:szCs w:val="20"/>
    </w:rPr>
  </w:style>
  <w:style w:type="character" w:styleId="FootnoteReference">
    <w:name w:val="footnote reference"/>
    <w:basedOn w:val="DefaultParagraphFont"/>
    <w:uiPriority w:val="99"/>
    <w:semiHidden/>
    <w:unhideWhenUsed/>
    <w:rsid w:val="00372F37"/>
    <w:rPr>
      <w:vertAlign w:val="superscript"/>
    </w:rPr>
  </w:style>
  <w:style w:type="character" w:styleId="Hyperlink">
    <w:name w:val="Hyperlink"/>
    <w:basedOn w:val="DefaultParagraphFont"/>
    <w:uiPriority w:val="99"/>
    <w:unhideWhenUsed/>
    <w:rsid w:val="00372F37"/>
    <w:rPr>
      <w:color w:val="0563C1" w:themeColor="hyperlink"/>
      <w:u w:val="single"/>
    </w:rPr>
  </w:style>
  <w:style w:type="character" w:styleId="UnresolvedMention">
    <w:name w:val="Unresolved Mention"/>
    <w:basedOn w:val="DefaultParagraphFont"/>
    <w:uiPriority w:val="99"/>
    <w:semiHidden/>
    <w:unhideWhenUsed/>
    <w:rsid w:val="00372F37"/>
    <w:rPr>
      <w:color w:val="605E5C"/>
      <w:shd w:val="clear" w:color="auto" w:fill="E1DFDD"/>
    </w:rPr>
  </w:style>
  <w:style w:type="paragraph" w:styleId="Caption">
    <w:name w:val="caption"/>
    <w:basedOn w:val="Normal"/>
    <w:next w:val="Normal"/>
    <w:uiPriority w:val="35"/>
    <w:unhideWhenUsed/>
    <w:qFormat/>
    <w:rsid w:val="003B302B"/>
    <w:pPr>
      <w:spacing w:after="200" w:line="240" w:lineRule="auto"/>
    </w:pPr>
    <w:rPr>
      <w:i/>
      <w:iCs/>
      <w:color w:val="44546A" w:themeColor="text2"/>
      <w:sz w:val="18"/>
      <w:szCs w:val="18"/>
    </w:rPr>
  </w:style>
  <w:style w:type="paragraph" w:styleId="NoSpacing">
    <w:name w:val="No Spacing"/>
    <w:uiPriority w:val="1"/>
    <w:qFormat/>
    <w:rsid w:val="003E5422"/>
    <w:pPr>
      <w:spacing w:after="0" w:line="240" w:lineRule="auto"/>
    </w:pPr>
  </w:style>
  <w:style w:type="paragraph" w:styleId="NormalWeb">
    <w:name w:val="Normal (Web)"/>
    <w:basedOn w:val="Normal"/>
    <w:uiPriority w:val="99"/>
    <w:semiHidden/>
    <w:unhideWhenUsed/>
    <w:rsid w:val="00842A1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322578">
      <w:bodyDiv w:val="1"/>
      <w:marLeft w:val="0"/>
      <w:marRight w:val="0"/>
      <w:marTop w:val="0"/>
      <w:marBottom w:val="0"/>
      <w:divBdr>
        <w:top w:val="none" w:sz="0" w:space="0" w:color="auto"/>
        <w:left w:val="none" w:sz="0" w:space="0" w:color="auto"/>
        <w:bottom w:val="none" w:sz="0" w:space="0" w:color="auto"/>
        <w:right w:val="none" w:sz="0" w:space="0" w:color="auto"/>
      </w:divBdr>
      <w:divsChild>
        <w:div w:id="873542167">
          <w:marLeft w:val="0"/>
          <w:marRight w:val="0"/>
          <w:marTop w:val="0"/>
          <w:marBottom w:val="0"/>
          <w:divBdr>
            <w:top w:val="none" w:sz="0" w:space="0" w:color="auto"/>
            <w:left w:val="none" w:sz="0" w:space="0" w:color="auto"/>
            <w:bottom w:val="none" w:sz="0" w:space="0" w:color="auto"/>
            <w:right w:val="none" w:sz="0" w:space="0" w:color="auto"/>
          </w:divBdr>
        </w:div>
      </w:divsChild>
    </w:div>
    <w:div w:id="2100443852">
      <w:bodyDiv w:val="1"/>
      <w:marLeft w:val="0"/>
      <w:marRight w:val="0"/>
      <w:marTop w:val="0"/>
      <w:marBottom w:val="0"/>
      <w:divBdr>
        <w:top w:val="none" w:sz="0" w:space="0" w:color="auto"/>
        <w:left w:val="none" w:sz="0" w:space="0" w:color="auto"/>
        <w:bottom w:val="none" w:sz="0" w:space="0" w:color="auto"/>
        <w:right w:val="none" w:sz="0" w:space="0" w:color="auto"/>
      </w:divBdr>
      <w:divsChild>
        <w:div w:id="1010639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walesonline.co.uk/news/wales-news/wales-first-final-colony---2070487" TargetMode="External"/><Relationship Id="rId7" Type="http://schemas.openxmlformats.org/officeDocument/2006/relationships/hyperlink" Target="https://www.britannica.com/biography/Arthur-I" TargetMode="External"/><Relationship Id="rId2" Type="http://schemas.openxmlformats.org/officeDocument/2006/relationships/hyperlink" Target="https://www.worldhistory.org/article/1319/william-the-conquerors-harrying-of-the-north/" TargetMode="External"/><Relationship Id="rId1" Type="http://schemas.openxmlformats.org/officeDocument/2006/relationships/hyperlink" Target="https://www.english-heritage.org.uk/visit/places/bramber-castle/" TargetMode="External"/><Relationship Id="rId6" Type="http://schemas.openxmlformats.org/officeDocument/2006/relationships/hyperlink" Target="https://www.english-heritage.org.uk/visit/places/bramber-castle/history/" TargetMode="External"/><Relationship Id="rId5" Type="http://schemas.openxmlformats.org/officeDocument/2006/relationships/hyperlink" Target="https://www.museumsassociation.org/museums-journal/opinion/2009/11/14018-2/" TargetMode="External"/><Relationship Id="rId4" Type="http://schemas.openxmlformats.org/officeDocument/2006/relationships/hyperlink" Target="https://doi.org/10.1080/1352725003637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AB658CA-0D88-4DF8-8819-B364ECCF6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2621</Words>
  <Characters>14946</Characters>
  <Application>Microsoft Office Word</Application>
  <DocSecurity>0</DocSecurity>
  <Lines>124</Lines>
  <Paragraphs>35</Paragraphs>
  <ScaleCrop>false</ScaleCrop>
  <Company/>
  <LinksUpToDate>false</LinksUpToDate>
  <CharactersWithSpaces>17532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Bedford</dc:creator>
  <cp:keywords/>
  <dc:description/>
  <cp:lastModifiedBy>Will Bedford</cp:lastModifiedBy>
  <cp:revision>540</cp:revision>
  <dcterms:created xsi:type="dcterms:W3CDTF">2023-04-10T18:57:00Z</dcterms:created>
  <dcterms:modified xsi:type="dcterms:W3CDTF">2023-04-23T20:03:00Z</dcterms:modified>
</cp:coreProperties>
</file>