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6122FD" w14:textId="3809E237" w:rsidR="00955F96" w:rsidRDefault="008D3A97">
      <w:r>
        <w:rPr>
          <w:noProof/>
          <w:lang w:eastAsia="en-GB"/>
        </w:rPr>
        <w:drawing>
          <wp:inline distT="0" distB="0" distL="0" distR="0" wp14:anchorId="12BB96EE" wp14:editId="76FCF7F9">
            <wp:extent cx="2078537" cy="8693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86621" cy="914520"/>
                    </a:xfrm>
                    <a:prstGeom prst="rect">
                      <a:avLst/>
                    </a:prstGeom>
                    <a:noFill/>
                  </pic:spPr>
                </pic:pic>
              </a:graphicData>
            </a:graphic>
          </wp:inline>
        </w:drawing>
      </w:r>
    </w:p>
    <w:p w14:paraId="0E09C074" w14:textId="2624E66A" w:rsidR="008D3A97" w:rsidRDefault="008D3A97">
      <w:pPr>
        <w:spacing w:line="259" w:lineRule="auto"/>
        <w:jc w:val="left"/>
      </w:pPr>
      <w:r>
        <w:rPr>
          <w:noProof/>
          <w:lang w:eastAsia="en-GB"/>
        </w:rPr>
        <mc:AlternateContent>
          <mc:Choice Requires="wps">
            <w:drawing>
              <wp:anchor distT="0" distB="0" distL="114300" distR="114300" simplePos="0" relativeHeight="251659264" behindDoc="1" locked="0" layoutInCell="1" allowOverlap="1" wp14:anchorId="71ED87FA" wp14:editId="4D236067">
                <wp:simplePos x="0" y="0"/>
                <wp:positionH relativeFrom="column">
                  <wp:posOffset>584200</wp:posOffset>
                </wp:positionH>
                <wp:positionV relativeFrom="paragraph">
                  <wp:posOffset>158750</wp:posOffset>
                </wp:positionV>
                <wp:extent cx="4819650" cy="482600"/>
                <wp:effectExtent l="0" t="0" r="19050" b="12700"/>
                <wp:wrapNone/>
                <wp:docPr id="2" name="Rectangle 2"/>
                <wp:cNvGraphicFramePr/>
                <a:graphic xmlns:a="http://schemas.openxmlformats.org/drawingml/2006/main">
                  <a:graphicData uri="http://schemas.microsoft.com/office/word/2010/wordprocessingShape">
                    <wps:wsp>
                      <wps:cNvSpPr/>
                      <wps:spPr>
                        <a:xfrm>
                          <a:off x="0" y="0"/>
                          <a:ext cx="4819650" cy="482600"/>
                        </a:xfrm>
                        <a:prstGeom prst="rect">
                          <a:avLst/>
                        </a:prstGeom>
                      </wps:spPr>
                      <wps:style>
                        <a:lnRef idx="1">
                          <a:schemeClr val="accent3"/>
                        </a:lnRef>
                        <a:fillRef idx="2">
                          <a:schemeClr val="accent3"/>
                        </a:fillRef>
                        <a:effectRef idx="1">
                          <a:schemeClr val="accent3"/>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6cei="http://schemas.microsoft.com/office/word/2026/wordml/cei"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BE2278E" id="Rectangle 2" o:spid="_x0000_s1026" style="position:absolute;margin-left:46pt;margin-top:12.5pt;width:379.5pt;height:3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" fillcolor="#c3c3c3 [2166]" strokecolor="#a5a5a5 [3206]" strokeweight=".5pt">
                <v:fill color2="#b6b6b6 [2614]" rotate="t" colors="0 #d2d2d2;.5 #c8c8c8;1 silver" focus="100%" type="gradient">
                  <o:fill v:ext="view" type="gradientUnscaled"/>
                </v:fill>
              </v:rect>
            </w:pict>
          </mc:Fallback>
        </mc:AlternateContent>
      </w:r>
    </w:p>
    <w:p w14:paraId="2728CC67" w14:textId="4D445852" w:rsidR="008D3A97" w:rsidRPr="003617BC" w:rsidRDefault="008D3A97" w:rsidP="008D3A97">
      <w:pPr>
        <w:ind w:left="1440"/>
        <w:rPr>
          <w:b/>
          <w:bCs/>
          <w:sz w:val="32"/>
          <w:szCs w:val="32"/>
        </w:rPr>
      </w:pPr>
      <w:r w:rsidRPr="0042767E">
        <w:rPr>
          <w:b/>
          <w:bCs/>
          <w:sz w:val="32"/>
          <w:szCs w:val="32"/>
        </w:rPr>
        <w:t>LEVEL 7 ASSESSMENT SPECIFICATION</w:t>
      </w:r>
    </w:p>
    <w:tbl>
      <w:tblPr>
        <w:tblStyle w:val="TableGrid"/>
        <w:tblpPr w:leftFromText="180" w:rightFromText="180" w:vertAnchor="page" w:horzAnchor="margin" w:tblpY="4451"/>
        <w:tblW w:w="0" w:type="auto"/>
        <w:tblLook w:val="04A0" w:firstRow="1" w:lastRow="0" w:firstColumn="1" w:lastColumn="0" w:noHBand="0" w:noVBand="1"/>
      </w:tblPr>
      <w:tblGrid>
        <w:gridCol w:w="1860"/>
        <w:gridCol w:w="2648"/>
        <w:gridCol w:w="1780"/>
        <w:gridCol w:w="2728"/>
      </w:tblGrid>
      <w:tr w:rsidR="008D3A97" w14:paraId="5CFB0DC0" w14:textId="77777777" w:rsidTr="001078E1">
        <w:tc>
          <w:tcPr>
            <w:tcW w:w="1860" w:type="dxa"/>
          </w:tcPr>
          <w:p w14:paraId="479D8FE3" w14:textId="77777777" w:rsidR="008D3A97" w:rsidRPr="00C370FD" w:rsidRDefault="008D3A97" w:rsidP="004D65A9">
            <w:pPr>
              <w:rPr>
                <w:b/>
                <w:bCs/>
                <w:szCs w:val="20"/>
              </w:rPr>
            </w:pPr>
            <w:r w:rsidRPr="00C370FD">
              <w:rPr>
                <w:b/>
                <w:bCs/>
                <w:szCs w:val="20"/>
              </w:rPr>
              <w:t>Student name:</w:t>
            </w:r>
          </w:p>
        </w:tc>
        <w:tc>
          <w:tcPr>
            <w:tcW w:w="2648" w:type="dxa"/>
          </w:tcPr>
          <w:p w14:paraId="02A5C731" w14:textId="6F690FF4" w:rsidR="008D3A97" w:rsidRPr="00C370FD" w:rsidRDefault="008D3A97" w:rsidP="004D65A9">
            <w:pPr>
              <w:rPr>
                <w:b/>
                <w:bCs/>
                <w:szCs w:val="20"/>
              </w:rPr>
            </w:pPr>
            <w:r>
              <w:rPr>
                <w:b/>
                <w:bCs/>
                <w:szCs w:val="20"/>
              </w:rPr>
              <w:t xml:space="preserve">Md. </w:t>
            </w:r>
            <w:proofErr w:type="spellStart"/>
            <w:r>
              <w:rPr>
                <w:b/>
                <w:bCs/>
                <w:szCs w:val="20"/>
              </w:rPr>
              <w:t>Shohel</w:t>
            </w:r>
            <w:proofErr w:type="spellEnd"/>
            <w:r>
              <w:rPr>
                <w:b/>
                <w:bCs/>
                <w:szCs w:val="20"/>
              </w:rPr>
              <w:t xml:space="preserve"> </w:t>
            </w:r>
            <w:proofErr w:type="spellStart"/>
            <w:r>
              <w:rPr>
                <w:b/>
                <w:bCs/>
                <w:szCs w:val="20"/>
              </w:rPr>
              <w:t>Hossen</w:t>
            </w:r>
            <w:proofErr w:type="spellEnd"/>
          </w:p>
        </w:tc>
        <w:tc>
          <w:tcPr>
            <w:tcW w:w="1780" w:type="dxa"/>
            <w:shd w:val="clear" w:color="auto" w:fill="BFBFBF" w:themeFill="background1" w:themeFillShade="BF"/>
          </w:tcPr>
          <w:p w14:paraId="2CD76078" w14:textId="77777777" w:rsidR="008D3A97" w:rsidRPr="00C370FD" w:rsidRDefault="008D3A97" w:rsidP="004D65A9">
            <w:pPr>
              <w:rPr>
                <w:b/>
                <w:bCs/>
                <w:szCs w:val="20"/>
              </w:rPr>
            </w:pPr>
            <w:r w:rsidRPr="00C370FD">
              <w:rPr>
                <w:b/>
                <w:bCs/>
                <w:szCs w:val="20"/>
              </w:rPr>
              <w:t>Student number:</w:t>
            </w:r>
          </w:p>
        </w:tc>
        <w:tc>
          <w:tcPr>
            <w:tcW w:w="2728" w:type="dxa"/>
          </w:tcPr>
          <w:p w14:paraId="5D9CA1E1" w14:textId="1E51A5F8" w:rsidR="008D3A97" w:rsidRPr="00C370FD" w:rsidRDefault="008D3A97" w:rsidP="004D65A9">
            <w:pPr>
              <w:rPr>
                <w:b/>
                <w:bCs/>
                <w:szCs w:val="20"/>
              </w:rPr>
            </w:pPr>
            <w:r>
              <w:rPr>
                <w:b/>
                <w:bCs/>
                <w:szCs w:val="20"/>
              </w:rPr>
              <w:t>2433869</w:t>
            </w:r>
          </w:p>
        </w:tc>
      </w:tr>
      <w:tr w:rsidR="008D3A97" w14:paraId="1A2CB243" w14:textId="77777777" w:rsidTr="004D65A9">
        <w:tc>
          <w:tcPr>
            <w:tcW w:w="1860" w:type="dxa"/>
          </w:tcPr>
          <w:p w14:paraId="264B76DD" w14:textId="77777777" w:rsidR="008D3A97" w:rsidRPr="00C370FD" w:rsidRDefault="008D3A97" w:rsidP="004D65A9">
            <w:pPr>
              <w:rPr>
                <w:b/>
                <w:bCs/>
                <w:szCs w:val="20"/>
              </w:rPr>
            </w:pPr>
            <w:r w:rsidRPr="00C370FD">
              <w:rPr>
                <w:b/>
                <w:bCs/>
                <w:szCs w:val="20"/>
              </w:rPr>
              <w:t>Programme:</w:t>
            </w:r>
          </w:p>
        </w:tc>
        <w:tc>
          <w:tcPr>
            <w:tcW w:w="7156" w:type="dxa"/>
            <w:gridSpan w:val="3"/>
          </w:tcPr>
          <w:p w14:paraId="381BB648" w14:textId="4A816C90" w:rsidR="008D3A97" w:rsidRPr="00C370FD" w:rsidRDefault="008D3A97" w:rsidP="004D65A9">
            <w:pPr>
              <w:rPr>
                <w:b/>
                <w:bCs/>
                <w:szCs w:val="20"/>
              </w:rPr>
            </w:pPr>
            <w:r w:rsidRPr="008D3A97">
              <w:rPr>
                <w:b/>
                <w:bCs/>
                <w:szCs w:val="20"/>
              </w:rPr>
              <w:t>MSc Public Health and Social Care in Practice</w:t>
            </w:r>
          </w:p>
        </w:tc>
      </w:tr>
      <w:tr w:rsidR="008D3A97" w14:paraId="752F72FF" w14:textId="77777777" w:rsidTr="004D65A9">
        <w:tc>
          <w:tcPr>
            <w:tcW w:w="1860" w:type="dxa"/>
          </w:tcPr>
          <w:p w14:paraId="3FBF8078" w14:textId="77777777" w:rsidR="008D3A97" w:rsidRPr="00C370FD" w:rsidRDefault="008D3A97" w:rsidP="004D65A9">
            <w:pPr>
              <w:rPr>
                <w:b/>
                <w:bCs/>
                <w:szCs w:val="20"/>
              </w:rPr>
            </w:pPr>
            <w:r w:rsidRPr="00C370FD">
              <w:rPr>
                <w:b/>
                <w:bCs/>
                <w:szCs w:val="20"/>
              </w:rPr>
              <w:t>Module:</w:t>
            </w:r>
          </w:p>
        </w:tc>
        <w:tc>
          <w:tcPr>
            <w:tcW w:w="7156" w:type="dxa"/>
            <w:gridSpan w:val="3"/>
          </w:tcPr>
          <w:p w14:paraId="30B0440D" w14:textId="28CB866B" w:rsidR="008D3A97" w:rsidRPr="00C370FD" w:rsidRDefault="008D3A97" w:rsidP="004D65A9">
            <w:pPr>
              <w:rPr>
                <w:b/>
                <w:bCs/>
                <w:szCs w:val="20"/>
              </w:rPr>
            </w:pPr>
            <w:r w:rsidRPr="008D3A97">
              <w:rPr>
                <w:b/>
                <w:bCs/>
                <w:szCs w:val="20"/>
              </w:rPr>
              <w:t>Quality Assurance and Service Improvements</w:t>
            </w:r>
          </w:p>
        </w:tc>
      </w:tr>
      <w:tr w:rsidR="008D3A97" w14:paraId="019EBC75" w14:textId="77777777" w:rsidTr="001078E1">
        <w:tc>
          <w:tcPr>
            <w:tcW w:w="1860" w:type="dxa"/>
          </w:tcPr>
          <w:p w14:paraId="385B9D65" w14:textId="77777777" w:rsidR="008D3A97" w:rsidRPr="00C370FD" w:rsidRDefault="008D3A97" w:rsidP="004D65A9">
            <w:pPr>
              <w:rPr>
                <w:b/>
                <w:bCs/>
                <w:szCs w:val="20"/>
              </w:rPr>
            </w:pPr>
            <w:r w:rsidRPr="00C370FD">
              <w:rPr>
                <w:b/>
                <w:bCs/>
                <w:szCs w:val="20"/>
              </w:rPr>
              <w:t>Module code:</w:t>
            </w:r>
          </w:p>
        </w:tc>
        <w:tc>
          <w:tcPr>
            <w:tcW w:w="2648" w:type="dxa"/>
          </w:tcPr>
          <w:p w14:paraId="2DB1EFCD" w14:textId="73509ABD" w:rsidR="008D3A97" w:rsidRPr="00C370FD" w:rsidRDefault="008D3A97" w:rsidP="004D65A9">
            <w:pPr>
              <w:rPr>
                <w:b/>
                <w:bCs/>
                <w:szCs w:val="20"/>
              </w:rPr>
            </w:pPr>
            <w:r w:rsidRPr="008D3A97">
              <w:rPr>
                <w:b/>
                <w:bCs/>
                <w:szCs w:val="20"/>
              </w:rPr>
              <w:t>LCHS7006</w:t>
            </w:r>
          </w:p>
        </w:tc>
        <w:tc>
          <w:tcPr>
            <w:tcW w:w="1780" w:type="dxa"/>
          </w:tcPr>
          <w:p w14:paraId="1E496996" w14:textId="77777777" w:rsidR="008D3A97" w:rsidRPr="00C370FD" w:rsidRDefault="008D3A97" w:rsidP="004D65A9">
            <w:pPr>
              <w:rPr>
                <w:b/>
                <w:bCs/>
                <w:szCs w:val="20"/>
              </w:rPr>
            </w:pPr>
          </w:p>
        </w:tc>
        <w:tc>
          <w:tcPr>
            <w:tcW w:w="2728" w:type="dxa"/>
          </w:tcPr>
          <w:p w14:paraId="0164585E" w14:textId="77777777" w:rsidR="008D3A97" w:rsidRPr="00C370FD" w:rsidRDefault="008D3A97" w:rsidP="004D65A9">
            <w:pPr>
              <w:rPr>
                <w:b/>
                <w:bCs/>
                <w:szCs w:val="20"/>
              </w:rPr>
            </w:pPr>
          </w:p>
        </w:tc>
      </w:tr>
      <w:tr w:rsidR="008D3A97" w14:paraId="20C9E35B" w14:textId="77777777" w:rsidTr="001078E1">
        <w:tc>
          <w:tcPr>
            <w:tcW w:w="1860" w:type="dxa"/>
          </w:tcPr>
          <w:p w14:paraId="41B091B9" w14:textId="77777777" w:rsidR="008D3A97" w:rsidRPr="00C370FD" w:rsidRDefault="008D3A97" w:rsidP="004D65A9">
            <w:pPr>
              <w:rPr>
                <w:b/>
                <w:bCs/>
                <w:szCs w:val="20"/>
              </w:rPr>
            </w:pPr>
            <w:r w:rsidRPr="00C370FD">
              <w:rPr>
                <w:b/>
                <w:bCs/>
                <w:szCs w:val="20"/>
              </w:rPr>
              <w:t>Lecturer:</w:t>
            </w:r>
          </w:p>
        </w:tc>
        <w:tc>
          <w:tcPr>
            <w:tcW w:w="2648" w:type="dxa"/>
          </w:tcPr>
          <w:p w14:paraId="0984A472" w14:textId="77777777" w:rsidR="008D3A97" w:rsidRPr="008D3A97" w:rsidRDefault="008D3A97" w:rsidP="008D3A97">
            <w:pPr>
              <w:rPr>
                <w:b/>
                <w:bCs/>
                <w:szCs w:val="20"/>
              </w:rPr>
            </w:pPr>
            <w:proofErr w:type="spellStart"/>
            <w:r w:rsidRPr="008D3A97">
              <w:rPr>
                <w:b/>
                <w:bCs/>
                <w:szCs w:val="20"/>
              </w:rPr>
              <w:t>Dilhara</w:t>
            </w:r>
            <w:proofErr w:type="spellEnd"/>
            <w:r w:rsidRPr="008D3A97">
              <w:rPr>
                <w:b/>
                <w:bCs/>
                <w:szCs w:val="20"/>
              </w:rPr>
              <w:t xml:space="preserve"> </w:t>
            </w:r>
            <w:proofErr w:type="spellStart"/>
            <w:r w:rsidRPr="008D3A97">
              <w:rPr>
                <w:b/>
                <w:bCs/>
                <w:szCs w:val="20"/>
              </w:rPr>
              <w:t>Mampitiya</w:t>
            </w:r>
            <w:proofErr w:type="spellEnd"/>
            <w:r w:rsidRPr="008D3A97">
              <w:rPr>
                <w:b/>
                <w:bCs/>
                <w:szCs w:val="20"/>
              </w:rPr>
              <w:t xml:space="preserve"> </w:t>
            </w:r>
          </w:p>
          <w:p w14:paraId="1A938AEB" w14:textId="40A553F9" w:rsidR="008D3A97" w:rsidRPr="00C370FD" w:rsidRDefault="008D3A97" w:rsidP="008D3A97">
            <w:pPr>
              <w:rPr>
                <w:b/>
                <w:bCs/>
                <w:szCs w:val="20"/>
              </w:rPr>
            </w:pPr>
            <w:r w:rsidRPr="008D3A97">
              <w:rPr>
                <w:b/>
                <w:bCs/>
                <w:szCs w:val="20"/>
              </w:rPr>
              <w:t xml:space="preserve">Christopher </w:t>
            </w:r>
            <w:proofErr w:type="spellStart"/>
            <w:r w:rsidRPr="008D3A97">
              <w:rPr>
                <w:b/>
                <w:bCs/>
                <w:szCs w:val="20"/>
              </w:rPr>
              <w:t>Mafuva</w:t>
            </w:r>
            <w:proofErr w:type="spellEnd"/>
          </w:p>
        </w:tc>
        <w:tc>
          <w:tcPr>
            <w:tcW w:w="1780" w:type="dxa"/>
            <w:shd w:val="clear" w:color="auto" w:fill="BFBFBF" w:themeFill="background1" w:themeFillShade="BF"/>
          </w:tcPr>
          <w:p w14:paraId="29452BB8" w14:textId="77777777" w:rsidR="008D3A97" w:rsidRPr="00C370FD" w:rsidRDefault="008D3A97" w:rsidP="004D65A9">
            <w:pPr>
              <w:rPr>
                <w:b/>
                <w:bCs/>
                <w:szCs w:val="20"/>
              </w:rPr>
            </w:pPr>
            <w:r w:rsidRPr="00C370FD">
              <w:rPr>
                <w:b/>
                <w:bCs/>
                <w:szCs w:val="20"/>
              </w:rPr>
              <w:t>Internal Verifier:</w:t>
            </w:r>
          </w:p>
        </w:tc>
        <w:tc>
          <w:tcPr>
            <w:tcW w:w="2728" w:type="dxa"/>
          </w:tcPr>
          <w:p w14:paraId="2459B6E3" w14:textId="18950726" w:rsidR="008D3A97" w:rsidRPr="00C370FD" w:rsidRDefault="008D3A97" w:rsidP="008D3A97">
            <w:pPr>
              <w:rPr>
                <w:b/>
                <w:bCs/>
                <w:szCs w:val="20"/>
              </w:rPr>
            </w:pPr>
            <w:r w:rsidRPr="008D3A97">
              <w:rPr>
                <w:b/>
                <w:bCs/>
                <w:szCs w:val="20"/>
              </w:rPr>
              <w:t>Dr Hamdi Hussain</w:t>
            </w:r>
          </w:p>
        </w:tc>
      </w:tr>
      <w:tr w:rsidR="00146109" w14:paraId="60FA0269" w14:textId="77777777" w:rsidTr="001078E1">
        <w:trPr>
          <w:gridAfter w:val="2"/>
          <w:wAfter w:w="4508" w:type="dxa"/>
        </w:trPr>
        <w:tc>
          <w:tcPr>
            <w:tcW w:w="1860" w:type="dxa"/>
          </w:tcPr>
          <w:p w14:paraId="7C23D912" w14:textId="77777777" w:rsidR="00146109" w:rsidRPr="00C370FD" w:rsidRDefault="00146109" w:rsidP="004D65A9">
            <w:pPr>
              <w:rPr>
                <w:b/>
                <w:bCs/>
                <w:szCs w:val="20"/>
              </w:rPr>
            </w:pPr>
            <w:r w:rsidRPr="00C370FD">
              <w:rPr>
                <w:b/>
                <w:bCs/>
                <w:szCs w:val="20"/>
              </w:rPr>
              <w:t>Assignment Title:</w:t>
            </w:r>
          </w:p>
        </w:tc>
        <w:tc>
          <w:tcPr>
            <w:tcW w:w="2648" w:type="dxa"/>
          </w:tcPr>
          <w:p w14:paraId="60807624" w14:textId="77777777" w:rsidR="00146109" w:rsidRPr="008D3A97" w:rsidRDefault="00146109" w:rsidP="008D3A97">
            <w:pPr>
              <w:rPr>
                <w:b/>
                <w:bCs/>
                <w:szCs w:val="20"/>
              </w:rPr>
            </w:pPr>
            <w:r w:rsidRPr="008D3A97">
              <w:rPr>
                <w:b/>
                <w:bCs/>
                <w:szCs w:val="20"/>
              </w:rPr>
              <w:t xml:space="preserve">Component 2  </w:t>
            </w:r>
          </w:p>
          <w:p w14:paraId="064B7E87" w14:textId="71E7BD42" w:rsidR="00146109" w:rsidRPr="00C370FD" w:rsidRDefault="001078E1" w:rsidP="008D3A97">
            <w:pPr>
              <w:rPr>
                <w:b/>
                <w:bCs/>
                <w:szCs w:val="20"/>
              </w:rPr>
            </w:pPr>
            <w:r>
              <w:rPr>
                <w:b/>
                <w:bCs/>
                <w:szCs w:val="20"/>
              </w:rPr>
              <w:t xml:space="preserve">Service </w:t>
            </w:r>
            <w:r w:rsidR="00146109" w:rsidRPr="008D3A97">
              <w:rPr>
                <w:b/>
                <w:bCs/>
                <w:szCs w:val="20"/>
              </w:rPr>
              <w:t>Improvement Report</w:t>
            </w:r>
          </w:p>
        </w:tc>
      </w:tr>
    </w:tbl>
    <w:p w14:paraId="069D2992" w14:textId="1044773F" w:rsidR="00413FA8" w:rsidRDefault="00413FA8">
      <w:pPr>
        <w:spacing w:line="259" w:lineRule="auto"/>
        <w:jc w:val="left"/>
      </w:pPr>
    </w:p>
    <w:p w14:paraId="2BEEEEBB" w14:textId="77777777" w:rsidR="00413FA8" w:rsidRPr="00413FA8" w:rsidRDefault="00413FA8" w:rsidP="00413FA8">
      <w:pPr>
        <w:spacing w:line="259" w:lineRule="auto"/>
        <w:jc w:val="center"/>
        <w:rPr>
          <w:b/>
          <w:bCs/>
          <w:i/>
          <w:iCs/>
          <w:sz w:val="28"/>
          <w:szCs w:val="28"/>
        </w:rPr>
      </w:pPr>
      <w:r w:rsidRPr="00413FA8">
        <w:rPr>
          <w:b/>
          <w:bCs/>
          <w:i/>
          <w:iCs/>
          <w:sz w:val="28"/>
          <w:szCs w:val="28"/>
        </w:rPr>
        <w:t>Case:</w:t>
      </w:r>
    </w:p>
    <w:p w14:paraId="12DE9921" w14:textId="438DFB3B" w:rsidR="00413FA8" w:rsidRPr="00413FA8" w:rsidRDefault="00413FA8" w:rsidP="00413FA8">
      <w:pPr>
        <w:spacing w:line="259" w:lineRule="auto"/>
        <w:jc w:val="center"/>
        <w:rPr>
          <w:b/>
          <w:bCs/>
          <w:i/>
          <w:iCs/>
          <w:sz w:val="28"/>
          <w:szCs w:val="28"/>
        </w:rPr>
      </w:pPr>
      <w:r w:rsidRPr="00413FA8">
        <w:rPr>
          <w:b/>
          <w:bCs/>
          <w:i/>
          <w:iCs/>
          <w:sz w:val="28"/>
          <w:szCs w:val="28"/>
        </w:rPr>
        <w:t>Shrewsbury and Telford Hospital NHS Trust (UK) — Maternity Scandal</w:t>
      </w:r>
      <w:r>
        <w:rPr>
          <w:b/>
          <w:bCs/>
          <w:i/>
          <w:iCs/>
          <w:sz w:val="28"/>
          <w:szCs w:val="28"/>
        </w:rPr>
        <w:t xml:space="preserve">: </w:t>
      </w:r>
      <w:r w:rsidRPr="00413FA8">
        <w:rPr>
          <w:b/>
          <w:bCs/>
          <w:i/>
          <w:iCs/>
          <w:sz w:val="28"/>
          <w:szCs w:val="28"/>
        </w:rPr>
        <w:t>Repeated failures led to deaths</w:t>
      </w:r>
    </w:p>
    <w:p w14:paraId="174873A3" w14:textId="37C16F7B" w:rsidR="008D3A97" w:rsidRDefault="008D3A97">
      <w:pPr>
        <w:spacing w:line="259" w:lineRule="auto"/>
        <w:jc w:val="left"/>
      </w:pPr>
      <w:r>
        <w:br w:type="page"/>
      </w:r>
    </w:p>
    <w:sdt>
      <w:sdtPr>
        <w:rPr>
          <w:rFonts w:ascii="Arial" w:eastAsiaTheme="minorHAnsi" w:hAnsi="Arial" w:cstheme="minorBidi"/>
          <w:color w:val="auto"/>
          <w:sz w:val="22"/>
          <w:szCs w:val="22"/>
          <w:lang w:val="en-GB"/>
        </w:rPr>
        <w:id w:val="1731807651"/>
        <w:docPartObj>
          <w:docPartGallery w:val="Table of Contents"/>
          <w:docPartUnique/>
        </w:docPartObj>
      </w:sdtPr>
      <w:sdtEndPr>
        <w:rPr>
          <w:b/>
          <w:bCs/>
          <w:noProof/>
        </w:rPr>
      </w:sdtEndPr>
      <w:sdtContent>
        <w:p w14:paraId="24696AD2" w14:textId="2222FEFD" w:rsidR="00526393" w:rsidRDefault="00526393">
          <w:pPr>
            <w:pStyle w:val="TOCHeading"/>
          </w:pPr>
          <w:r>
            <w:t>Table of Contents</w:t>
          </w:r>
        </w:p>
        <w:p w14:paraId="7EEC029C" w14:textId="38516A4D" w:rsidR="00D76FC6" w:rsidRDefault="0052639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37563131" w:history="1">
            <w:r w:rsidR="00D76FC6" w:rsidRPr="007E16BA">
              <w:rPr>
                <w:rStyle w:val="Hyperlink"/>
                <w:noProof/>
              </w:rPr>
              <w:t>1. Introduction</w:t>
            </w:r>
            <w:r w:rsidR="00D76FC6">
              <w:rPr>
                <w:noProof/>
                <w:webHidden/>
              </w:rPr>
              <w:tab/>
            </w:r>
            <w:r w:rsidR="00D76FC6">
              <w:rPr>
                <w:noProof/>
                <w:webHidden/>
              </w:rPr>
              <w:fldChar w:fldCharType="begin"/>
            </w:r>
            <w:r w:rsidR="00D76FC6">
              <w:rPr>
                <w:noProof/>
                <w:webHidden/>
              </w:rPr>
              <w:instrText xml:space="preserve"> PAGEREF _Toc237563131 \h </w:instrText>
            </w:r>
            <w:r w:rsidR="00D76FC6">
              <w:rPr>
                <w:noProof/>
                <w:webHidden/>
              </w:rPr>
            </w:r>
            <w:r w:rsidR="00D76FC6">
              <w:rPr>
                <w:noProof/>
                <w:webHidden/>
              </w:rPr>
              <w:fldChar w:fldCharType="separate"/>
            </w:r>
            <w:r w:rsidR="00D76FC6">
              <w:rPr>
                <w:noProof/>
                <w:webHidden/>
              </w:rPr>
              <w:t>3</w:t>
            </w:r>
            <w:r w:rsidR="00D76FC6">
              <w:rPr>
                <w:noProof/>
                <w:webHidden/>
              </w:rPr>
              <w:fldChar w:fldCharType="end"/>
            </w:r>
          </w:hyperlink>
        </w:p>
        <w:p w14:paraId="3F2D0A04" w14:textId="4AAAB5B9" w:rsidR="00D76FC6" w:rsidRDefault="00AE1D34">
          <w:pPr>
            <w:pStyle w:val="TOC1"/>
            <w:tabs>
              <w:tab w:val="right" w:leader="dot" w:pos="9016"/>
            </w:tabs>
            <w:rPr>
              <w:rFonts w:asciiTheme="minorHAnsi" w:eastAsiaTheme="minorEastAsia" w:hAnsiTheme="minorHAnsi"/>
              <w:noProof/>
              <w:lang w:eastAsia="en-GB"/>
            </w:rPr>
          </w:pPr>
          <w:hyperlink w:anchor="_Toc237563132" w:history="1">
            <w:r w:rsidR="00D76FC6" w:rsidRPr="007E16BA">
              <w:rPr>
                <w:rStyle w:val="Hyperlink"/>
                <w:noProof/>
              </w:rPr>
              <w:t>2. Main Section: Examination of Quality Management Theories and Strategic Models</w:t>
            </w:r>
            <w:r w:rsidR="00D76FC6">
              <w:rPr>
                <w:noProof/>
                <w:webHidden/>
              </w:rPr>
              <w:tab/>
            </w:r>
            <w:r w:rsidR="00D76FC6">
              <w:rPr>
                <w:noProof/>
                <w:webHidden/>
              </w:rPr>
              <w:fldChar w:fldCharType="begin"/>
            </w:r>
            <w:r w:rsidR="00D76FC6">
              <w:rPr>
                <w:noProof/>
                <w:webHidden/>
              </w:rPr>
              <w:instrText xml:space="preserve"> PAGEREF _Toc237563132 \h </w:instrText>
            </w:r>
            <w:r w:rsidR="00D76FC6">
              <w:rPr>
                <w:noProof/>
                <w:webHidden/>
              </w:rPr>
            </w:r>
            <w:r w:rsidR="00D76FC6">
              <w:rPr>
                <w:noProof/>
                <w:webHidden/>
              </w:rPr>
              <w:fldChar w:fldCharType="separate"/>
            </w:r>
            <w:r w:rsidR="00D76FC6">
              <w:rPr>
                <w:noProof/>
                <w:webHidden/>
              </w:rPr>
              <w:t>4</w:t>
            </w:r>
            <w:r w:rsidR="00D76FC6">
              <w:rPr>
                <w:noProof/>
                <w:webHidden/>
              </w:rPr>
              <w:fldChar w:fldCharType="end"/>
            </w:r>
          </w:hyperlink>
        </w:p>
        <w:p w14:paraId="3DE6124C" w14:textId="0A1DF8D7" w:rsidR="00D76FC6" w:rsidRDefault="00AE1D34">
          <w:pPr>
            <w:pStyle w:val="TOC2"/>
            <w:tabs>
              <w:tab w:val="right" w:leader="dot" w:pos="9016"/>
            </w:tabs>
            <w:rPr>
              <w:rFonts w:asciiTheme="minorHAnsi" w:eastAsiaTheme="minorEastAsia" w:hAnsiTheme="minorHAnsi"/>
              <w:noProof/>
              <w:lang w:eastAsia="en-GB"/>
            </w:rPr>
          </w:pPr>
          <w:hyperlink w:anchor="_Toc237563133" w:history="1">
            <w:r w:rsidR="00D76FC6" w:rsidRPr="007E16BA">
              <w:rPr>
                <w:rStyle w:val="Hyperlink"/>
                <w:noProof/>
              </w:rPr>
              <w:t>2.1 Theoretical Assessment: Total Quality Management</w:t>
            </w:r>
            <w:r w:rsidR="00D76FC6">
              <w:rPr>
                <w:noProof/>
                <w:webHidden/>
              </w:rPr>
              <w:tab/>
            </w:r>
            <w:r w:rsidR="00D76FC6">
              <w:rPr>
                <w:noProof/>
                <w:webHidden/>
              </w:rPr>
              <w:fldChar w:fldCharType="begin"/>
            </w:r>
            <w:r w:rsidR="00D76FC6">
              <w:rPr>
                <w:noProof/>
                <w:webHidden/>
              </w:rPr>
              <w:instrText xml:space="preserve"> PAGEREF _Toc237563133 \h </w:instrText>
            </w:r>
            <w:r w:rsidR="00D76FC6">
              <w:rPr>
                <w:noProof/>
                <w:webHidden/>
              </w:rPr>
            </w:r>
            <w:r w:rsidR="00D76FC6">
              <w:rPr>
                <w:noProof/>
                <w:webHidden/>
              </w:rPr>
              <w:fldChar w:fldCharType="separate"/>
            </w:r>
            <w:r w:rsidR="00D76FC6">
              <w:rPr>
                <w:noProof/>
                <w:webHidden/>
              </w:rPr>
              <w:t>4</w:t>
            </w:r>
            <w:r w:rsidR="00D76FC6">
              <w:rPr>
                <w:noProof/>
                <w:webHidden/>
              </w:rPr>
              <w:fldChar w:fldCharType="end"/>
            </w:r>
          </w:hyperlink>
        </w:p>
        <w:p w14:paraId="3E58B517" w14:textId="562C3CF8" w:rsidR="00D76FC6" w:rsidRDefault="00AE1D34">
          <w:pPr>
            <w:pStyle w:val="TOC2"/>
            <w:tabs>
              <w:tab w:val="right" w:leader="dot" w:pos="9016"/>
            </w:tabs>
            <w:rPr>
              <w:rFonts w:asciiTheme="minorHAnsi" w:eastAsiaTheme="minorEastAsia" w:hAnsiTheme="minorHAnsi"/>
              <w:noProof/>
              <w:lang w:eastAsia="en-GB"/>
            </w:rPr>
          </w:pPr>
          <w:hyperlink w:anchor="_Toc237563134" w:history="1">
            <w:r w:rsidR="00D76FC6" w:rsidRPr="007E16BA">
              <w:rPr>
                <w:rStyle w:val="Hyperlink"/>
                <w:noProof/>
              </w:rPr>
              <w:t xml:space="preserve">2.2 Root </w:t>
            </w:r>
            <w:r w:rsidR="001078E1">
              <w:rPr>
                <w:rStyle w:val="Hyperlink"/>
                <w:noProof/>
              </w:rPr>
              <w:t xml:space="preserve">Cause Analysis: Fishbone Analysis </w:t>
            </w:r>
            <w:r w:rsidR="00D76FC6">
              <w:rPr>
                <w:noProof/>
                <w:webHidden/>
              </w:rPr>
              <w:tab/>
            </w:r>
            <w:r w:rsidR="00D76FC6">
              <w:rPr>
                <w:noProof/>
                <w:webHidden/>
              </w:rPr>
              <w:fldChar w:fldCharType="begin"/>
            </w:r>
            <w:r w:rsidR="00D76FC6">
              <w:rPr>
                <w:noProof/>
                <w:webHidden/>
              </w:rPr>
              <w:instrText xml:space="preserve"> PAGEREF _Toc237563134 \h </w:instrText>
            </w:r>
            <w:r w:rsidR="00D76FC6">
              <w:rPr>
                <w:noProof/>
                <w:webHidden/>
              </w:rPr>
            </w:r>
            <w:r w:rsidR="00D76FC6">
              <w:rPr>
                <w:noProof/>
                <w:webHidden/>
              </w:rPr>
              <w:fldChar w:fldCharType="separate"/>
            </w:r>
            <w:r w:rsidR="00D76FC6">
              <w:rPr>
                <w:noProof/>
                <w:webHidden/>
              </w:rPr>
              <w:t>4</w:t>
            </w:r>
            <w:r w:rsidR="00D76FC6">
              <w:rPr>
                <w:noProof/>
                <w:webHidden/>
              </w:rPr>
              <w:fldChar w:fldCharType="end"/>
            </w:r>
          </w:hyperlink>
        </w:p>
        <w:p w14:paraId="6C281822" w14:textId="0BCCA806" w:rsidR="00D76FC6" w:rsidRDefault="00AE1D34">
          <w:pPr>
            <w:pStyle w:val="TOC2"/>
            <w:tabs>
              <w:tab w:val="right" w:leader="dot" w:pos="9016"/>
            </w:tabs>
            <w:rPr>
              <w:rFonts w:asciiTheme="minorHAnsi" w:eastAsiaTheme="minorEastAsia" w:hAnsiTheme="minorHAnsi"/>
              <w:noProof/>
              <w:lang w:eastAsia="en-GB"/>
            </w:rPr>
          </w:pPr>
          <w:hyperlink w:anchor="_Toc237563135" w:history="1">
            <w:r w:rsidR="00D76FC6" w:rsidRPr="007E16BA">
              <w:rPr>
                <w:rStyle w:val="Hyperlink"/>
                <w:noProof/>
              </w:rPr>
              <w:t>2.3 Strategic Development using PESTLE Examination</w:t>
            </w:r>
            <w:r w:rsidR="00D76FC6">
              <w:rPr>
                <w:noProof/>
                <w:webHidden/>
              </w:rPr>
              <w:tab/>
            </w:r>
            <w:r w:rsidR="00D76FC6">
              <w:rPr>
                <w:noProof/>
                <w:webHidden/>
              </w:rPr>
              <w:fldChar w:fldCharType="begin"/>
            </w:r>
            <w:r w:rsidR="00D76FC6">
              <w:rPr>
                <w:noProof/>
                <w:webHidden/>
              </w:rPr>
              <w:instrText xml:space="preserve"> PAGEREF _Toc237563135 \h </w:instrText>
            </w:r>
            <w:r w:rsidR="00D76FC6">
              <w:rPr>
                <w:noProof/>
                <w:webHidden/>
              </w:rPr>
            </w:r>
            <w:r w:rsidR="00D76FC6">
              <w:rPr>
                <w:noProof/>
                <w:webHidden/>
              </w:rPr>
              <w:fldChar w:fldCharType="separate"/>
            </w:r>
            <w:r w:rsidR="00D76FC6">
              <w:rPr>
                <w:noProof/>
                <w:webHidden/>
              </w:rPr>
              <w:t>7</w:t>
            </w:r>
            <w:r w:rsidR="00D76FC6">
              <w:rPr>
                <w:noProof/>
                <w:webHidden/>
              </w:rPr>
              <w:fldChar w:fldCharType="end"/>
            </w:r>
          </w:hyperlink>
        </w:p>
        <w:p w14:paraId="5932B5F4" w14:textId="55580182" w:rsidR="00D76FC6" w:rsidRDefault="00AE1D34">
          <w:pPr>
            <w:pStyle w:val="TOC1"/>
            <w:tabs>
              <w:tab w:val="right" w:leader="dot" w:pos="9016"/>
            </w:tabs>
            <w:rPr>
              <w:rFonts w:asciiTheme="minorHAnsi" w:eastAsiaTheme="minorEastAsia" w:hAnsiTheme="minorHAnsi"/>
              <w:noProof/>
              <w:lang w:eastAsia="en-GB"/>
            </w:rPr>
          </w:pPr>
          <w:hyperlink w:anchor="_Toc237563136" w:history="1">
            <w:r w:rsidR="00D76FC6" w:rsidRPr="007E16BA">
              <w:rPr>
                <w:rStyle w:val="Hyperlink"/>
                <w:noProof/>
              </w:rPr>
              <w:t>3. Recommendations: Practical Plan to Enhance Service</w:t>
            </w:r>
            <w:r w:rsidR="00D76FC6">
              <w:rPr>
                <w:noProof/>
                <w:webHidden/>
              </w:rPr>
              <w:tab/>
            </w:r>
            <w:r w:rsidR="00D76FC6">
              <w:rPr>
                <w:noProof/>
                <w:webHidden/>
              </w:rPr>
              <w:fldChar w:fldCharType="begin"/>
            </w:r>
            <w:r w:rsidR="00D76FC6">
              <w:rPr>
                <w:noProof/>
                <w:webHidden/>
              </w:rPr>
              <w:instrText xml:space="preserve"> PAGEREF _Toc237563136 \h </w:instrText>
            </w:r>
            <w:r w:rsidR="00D76FC6">
              <w:rPr>
                <w:noProof/>
                <w:webHidden/>
              </w:rPr>
            </w:r>
            <w:r w:rsidR="00D76FC6">
              <w:rPr>
                <w:noProof/>
                <w:webHidden/>
              </w:rPr>
              <w:fldChar w:fldCharType="separate"/>
            </w:r>
            <w:r w:rsidR="00D76FC6">
              <w:rPr>
                <w:noProof/>
                <w:webHidden/>
              </w:rPr>
              <w:t>9</w:t>
            </w:r>
            <w:r w:rsidR="00D76FC6">
              <w:rPr>
                <w:noProof/>
                <w:webHidden/>
              </w:rPr>
              <w:fldChar w:fldCharType="end"/>
            </w:r>
          </w:hyperlink>
        </w:p>
        <w:p w14:paraId="097B372C" w14:textId="5991B447" w:rsidR="00D76FC6" w:rsidRDefault="00152ECB">
          <w:pPr>
            <w:pStyle w:val="TOC2"/>
            <w:tabs>
              <w:tab w:val="right" w:leader="dot" w:pos="9016"/>
            </w:tabs>
            <w:rPr>
              <w:rFonts w:asciiTheme="minorHAnsi" w:eastAsiaTheme="minorEastAsia" w:hAnsiTheme="minorHAnsi"/>
              <w:noProof/>
              <w:lang w:eastAsia="en-GB"/>
            </w:rPr>
          </w:pPr>
          <w:r>
            <w:t xml:space="preserve">3.1 </w:t>
          </w:r>
          <w:hyperlink w:anchor="_Toc237563137" w:history="1">
            <w:r w:rsidR="00D76FC6" w:rsidRPr="007E16BA">
              <w:rPr>
                <w:rStyle w:val="Hyperlink"/>
                <w:noProof/>
              </w:rPr>
              <w:t>Plan</w:t>
            </w:r>
            <w:r w:rsidR="00D76FC6">
              <w:rPr>
                <w:noProof/>
                <w:webHidden/>
              </w:rPr>
              <w:tab/>
            </w:r>
            <w:r w:rsidR="00D76FC6">
              <w:rPr>
                <w:noProof/>
                <w:webHidden/>
              </w:rPr>
              <w:fldChar w:fldCharType="begin"/>
            </w:r>
            <w:r w:rsidR="00D76FC6">
              <w:rPr>
                <w:noProof/>
                <w:webHidden/>
              </w:rPr>
              <w:instrText xml:space="preserve"> PAGEREF _Toc237563137 \h </w:instrText>
            </w:r>
            <w:r w:rsidR="00D76FC6">
              <w:rPr>
                <w:noProof/>
                <w:webHidden/>
              </w:rPr>
            </w:r>
            <w:r w:rsidR="00D76FC6">
              <w:rPr>
                <w:noProof/>
                <w:webHidden/>
              </w:rPr>
              <w:fldChar w:fldCharType="separate"/>
            </w:r>
            <w:r w:rsidR="00D76FC6">
              <w:rPr>
                <w:noProof/>
                <w:webHidden/>
              </w:rPr>
              <w:t>9</w:t>
            </w:r>
            <w:r w:rsidR="00D76FC6">
              <w:rPr>
                <w:noProof/>
                <w:webHidden/>
              </w:rPr>
              <w:fldChar w:fldCharType="end"/>
            </w:r>
          </w:hyperlink>
        </w:p>
        <w:p w14:paraId="57004B2E" w14:textId="2AE24047" w:rsidR="00D76FC6" w:rsidRDefault="00152ECB">
          <w:pPr>
            <w:pStyle w:val="TOC2"/>
            <w:tabs>
              <w:tab w:val="right" w:leader="dot" w:pos="9016"/>
            </w:tabs>
            <w:rPr>
              <w:rFonts w:asciiTheme="minorHAnsi" w:eastAsiaTheme="minorEastAsia" w:hAnsiTheme="minorHAnsi"/>
              <w:noProof/>
              <w:lang w:eastAsia="en-GB"/>
            </w:rPr>
          </w:pPr>
          <w:r>
            <w:t xml:space="preserve">3.2 </w:t>
          </w:r>
          <w:hyperlink w:anchor="_Toc237563138" w:history="1">
            <w:r w:rsidR="00D76FC6" w:rsidRPr="007E16BA">
              <w:rPr>
                <w:rStyle w:val="Hyperlink"/>
                <w:noProof/>
              </w:rPr>
              <w:t>Do</w:t>
            </w:r>
            <w:r w:rsidR="00D76FC6">
              <w:rPr>
                <w:noProof/>
                <w:webHidden/>
              </w:rPr>
              <w:tab/>
            </w:r>
            <w:r w:rsidR="00D76FC6">
              <w:rPr>
                <w:noProof/>
                <w:webHidden/>
              </w:rPr>
              <w:fldChar w:fldCharType="begin"/>
            </w:r>
            <w:r w:rsidR="00D76FC6">
              <w:rPr>
                <w:noProof/>
                <w:webHidden/>
              </w:rPr>
              <w:instrText xml:space="preserve"> PAGEREF _Toc237563138 \h </w:instrText>
            </w:r>
            <w:r w:rsidR="00D76FC6">
              <w:rPr>
                <w:noProof/>
                <w:webHidden/>
              </w:rPr>
            </w:r>
            <w:r w:rsidR="00D76FC6">
              <w:rPr>
                <w:noProof/>
                <w:webHidden/>
              </w:rPr>
              <w:fldChar w:fldCharType="separate"/>
            </w:r>
            <w:r w:rsidR="00D76FC6">
              <w:rPr>
                <w:noProof/>
                <w:webHidden/>
              </w:rPr>
              <w:t>10</w:t>
            </w:r>
            <w:r w:rsidR="00D76FC6">
              <w:rPr>
                <w:noProof/>
                <w:webHidden/>
              </w:rPr>
              <w:fldChar w:fldCharType="end"/>
            </w:r>
          </w:hyperlink>
        </w:p>
        <w:p w14:paraId="41510664" w14:textId="561CC239" w:rsidR="00D76FC6" w:rsidRDefault="00152ECB">
          <w:pPr>
            <w:pStyle w:val="TOC2"/>
            <w:tabs>
              <w:tab w:val="right" w:leader="dot" w:pos="9016"/>
            </w:tabs>
            <w:rPr>
              <w:rFonts w:asciiTheme="minorHAnsi" w:eastAsiaTheme="minorEastAsia" w:hAnsiTheme="minorHAnsi"/>
              <w:noProof/>
              <w:lang w:eastAsia="en-GB"/>
            </w:rPr>
          </w:pPr>
          <w:r>
            <w:t xml:space="preserve">3.3 </w:t>
          </w:r>
          <w:hyperlink w:anchor="_Toc237563139" w:history="1">
            <w:r w:rsidR="00D76FC6" w:rsidRPr="007E16BA">
              <w:rPr>
                <w:rStyle w:val="Hyperlink"/>
                <w:noProof/>
              </w:rPr>
              <w:t>Study</w:t>
            </w:r>
            <w:r w:rsidR="00D76FC6">
              <w:rPr>
                <w:noProof/>
                <w:webHidden/>
              </w:rPr>
              <w:tab/>
            </w:r>
            <w:r w:rsidR="00D76FC6">
              <w:rPr>
                <w:noProof/>
                <w:webHidden/>
              </w:rPr>
              <w:fldChar w:fldCharType="begin"/>
            </w:r>
            <w:r w:rsidR="00D76FC6">
              <w:rPr>
                <w:noProof/>
                <w:webHidden/>
              </w:rPr>
              <w:instrText xml:space="preserve"> PAGEREF _Toc237563139 \h </w:instrText>
            </w:r>
            <w:r w:rsidR="00D76FC6">
              <w:rPr>
                <w:noProof/>
                <w:webHidden/>
              </w:rPr>
            </w:r>
            <w:r w:rsidR="00D76FC6">
              <w:rPr>
                <w:noProof/>
                <w:webHidden/>
              </w:rPr>
              <w:fldChar w:fldCharType="separate"/>
            </w:r>
            <w:r w:rsidR="00D76FC6">
              <w:rPr>
                <w:noProof/>
                <w:webHidden/>
              </w:rPr>
              <w:t>10</w:t>
            </w:r>
            <w:r w:rsidR="00D76FC6">
              <w:rPr>
                <w:noProof/>
                <w:webHidden/>
              </w:rPr>
              <w:fldChar w:fldCharType="end"/>
            </w:r>
          </w:hyperlink>
        </w:p>
        <w:p w14:paraId="5C6F0CA2" w14:textId="4B243417" w:rsidR="00D76FC6" w:rsidRDefault="00152ECB">
          <w:pPr>
            <w:pStyle w:val="TOC2"/>
            <w:tabs>
              <w:tab w:val="right" w:leader="dot" w:pos="9016"/>
            </w:tabs>
            <w:rPr>
              <w:rFonts w:asciiTheme="minorHAnsi" w:eastAsiaTheme="minorEastAsia" w:hAnsiTheme="minorHAnsi"/>
              <w:noProof/>
              <w:lang w:eastAsia="en-GB"/>
            </w:rPr>
          </w:pPr>
          <w:r>
            <w:t xml:space="preserve">3.4 </w:t>
          </w:r>
          <w:hyperlink w:anchor="_Toc237563140" w:history="1">
            <w:r w:rsidR="00D76FC6" w:rsidRPr="007E16BA">
              <w:rPr>
                <w:rStyle w:val="Hyperlink"/>
                <w:noProof/>
              </w:rPr>
              <w:t>Act</w:t>
            </w:r>
            <w:r w:rsidR="00D76FC6">
              <w:rPr>
                <w:noProof/>
                <w:webHidden/>
              </w:rPr>
              <w:tab/>
            </w:r>
            <w:r w:rsidR="00D76FC6">
              <w:rPr>
                <w:noProof/>
                <w:webHidden/>
              </w:rPr>
              <w:fldChar w:fldCharType="begin"/>
            </w:r>
            <w:r w:rsidR="00D76FC6">
              <w:rPr>
                <w:noProof/>
                <w:webHidden/>
              </w:rPr>
              <w:instrText xml:space="preserve"> PAGEREF _Toc237563140 \h </w:instrText>
            </w:r>
            <w:r w:rsidR="00D76FC6">
              <w:rPr>
                <w:noProof/>
                <w:webHidden/>
              </w:rPr>
            </w:r>
            <w:r w:rsidR="00D76FC6">
              <w:rPr>
                <w:noProof/>
                <w:webHidden/>
              </w:rPr>
              <w:fldChar w:fldCharType="separate"/>
            </w:r>
            <w:r w:rsidR="00D76FC6">
              <w:rPr>
                <w:noProof/>
                <w:webHidden/>
              </w:rPr>
              <w:t>10</w:t>
            </w:r>
            <w:r w:rsidR="00D76FC6">
              <w:rPr>
                <w:noProof/>
                <w:webHidden/>
              </w:rPr>
              <w:fldChar w:fldCharType="end"/>
            </w:r>
          </w:hyperlink>
        </w:p>
        <w:p w14:paraId="2B4488AE" w14:textId="1C4EF34A" w:rsidR="00D76FC6" w:rsidRDefault="00152ECB" w:rsidP="00152ECB">
          <w:pPr>
            <w:pStyle w:val="TOC2"/>
            <w:tabs>
              <w:tab w:val="right" w:leader="dot" w:pos="9016"/>
            </w:tabs>
            <w:ind w:left="0"/>
            <w:rPr>
              <w:rFonts w:asciiTheme="minorHAnsi" w:eastAsiaTheme="minorEastAsia" w:hAnsiTheme="minorHAnsi"/>
              <w:noProof/>
              <w:lang w:eastAsia="en-GB"/>
            </w:rPr>
          </w:pPr>
          <w:r>
            <w:t xml:space="preserve">4. </w:t>
          </w:r>
          <w:hyperlink w:anchor="_Toc237563141" w:history="1">
            <w:r w:rsidR="00D76FC6" w:rsidRPr="007E16BA">
              <w:rPr>
                <w:rStyle w:val="Hyperlink"/>
                <w:noProof/>
              </w:rPr>
              <w:t>Improvement</w:t>
            </w:r>
            <w:r w:rsidR="00D76FC6">
              <w:rPr>
                <w:noProof/>
                <w:webHidden/>
              </w:rPr>
              <w:tab/>
            </w:r>
            <w:r w:rsidR="00D76FC6">
              <w:rPr>
                <w:noProof/>
                <w:webHidden/>
              </w:rPr>
              <w:fldChar w:fldCharType="begin"/>
            </w:r>
            <w:r w:rsidR="00D76FC6">
              <w:rPr>
                <w:noProof/>
                <w:webHidden/>
              </w:rPr>
              <w:instrText xml:space="preserve"> PAGEREF _Toc237563141 \h </w:instrText>
            </w:r>
            <w:r w:rsidR="00D76FC6">
              <w:rPr>
                <w:noProof/>
                <w:webHidden/>
              </w:rPr>
            </w:r>
            <w:r w:rsidR="00D76FC6">
              <w:rPr>
                <w:noProof/>
                <w:webHidden/>
              </w:rPr>
              <w:fldChar w:fldCharType="separate"/>
            </w:r>
            <w:r w:rsidR="00D76FC6">
              <w:rPr>
                <w:noProof/>
                <w:webHidden/>
              </w:rPr>
              <w:t>12</w:t>
            </w:r>
            <w:r w:rsidR="00D76FC6">
              <w:rPr>
                <w:noProof/>
                <w:webHidden/>
              </w:rPr>
              <w:fldChar w:fldCharType="end"/>
            </w:r>
          </w:hyperlink>
        </w:p>
        <w:p w14:paraId="7F3C4F47" w14:textId="64C4A2C0" w:rsidR="00D76FC6" w:rsidRDefault="00AE1D34">
          <w:pPr>
            <w:pStyle w:val="TOC1"/>
            <w:tabs>
              <w:tab w:val="right" w:leader="dot" w:pos="9016"/>
            </w:tabs>
            <w:rPr>
              <w:rFonts w:asciiTheme="minorHAnsi" w:eastAsiaTheme="minorEastAsia" w:hAnsiTheme="minorHAnsi"/>
              <w:noProof/>
              <w:lang w:eastAsia="en-GB"/>
            </w:rPr>
          </w:pPr>
          <w:hyperlink w:anchor="_Toc237563142" w:history="1">
            <w:r w:rsidR="00152ECB">
              <w:rPr>
                <w:rStyle w:val="Hyperlink"/>
                <w:noProof/>
              </w:rPr>
              <w:t>5</w:t>
            </w:r>
            <w:r w:rsidR="00D76FC6" w:rsidRPr="007E16BA">
              <w:rPr>
                <w:rStyle w:val="Hyperlink"/>
                <w:noProof/>
              </w:rPr>
              <w:t>. Conclusion</w:t>
            </w:r>
            <w:r w:rsidR="00D76FC6">
              <w:rPr>
                <w:noProof/>
                <w:webHidden/>
              </w:rPr>
              <w:tab/>
            </w:r>
            <w:r w:rsidR="00D76FC6">
              <w:rPr>
                <w:noProof/>
                <w:webHidden/>
              </w:rPr>
              <w:fldChar w:fldCharType="begin"/>
            </w:r>
            <w:r w:rsidR="00D76FC6">
              <w:rPr>
                <w:noProof/>
                <w:webHidden/>
              </w:rPr>
              <w:instrText xml:space="preserve"> PAGEREF _Toc237563142 \h </w:instrText>
            </w:r>
            <w:r w:rsidR="00D76FC6">
              <w:rPr>
                <w:noProof/>
                <w:webHidden/>
              </w:rPr>
            </w:r>
            <w:r w:rsidR="00D76FC6">
              <w:rPr>
                <w:noProof/>
                <w:webHidden/>
              </w:rPr>
              <w:fldChar w:fldCharType="separate"/>
            </w:r>
            <w:r w:rsidR="00D76FC6">
              <w:rPr>
                <w:noProof/>
                <w:webHidden/>
              </w:rPr>
              <w:t>13</w:t>
            </w:r>
            <w:r w:rsidR="00D76FC6">
              <w:rPr>
                <w:noProof/>
                <w:webHidden/>
              </w:rPr>
              <w:fldChar w:fldCharType="end"/>
            </w:r>
          </w:hyperlink>
        </w:p>
        <w:p w14:paraId="47BA4F5A" w14:textId="0B1A43C5" w:rsidR="00D76FC6" w:rsidRDefault="00AE1D34">
          <w:pPr>
            <w:pStyle w:val="TOC1"/>
            <w:tabs>
              <w:tab w:val="right" w:leader="dot" w:pos="9016"/>
            </w:tabs>
            <w:rPr>
              <w:rFonts w:asciiTheme="minorHAnsi" w:eastAsiaTheme="minorEastAsia" w:hAnsiTheme="minorHAnsi"/>
              <w:noProof/>
              <w:lang w:eastAsia="en-GB"/>
            </w:rPr>
          </w:pPr>
          <w:hyperlink w:anchor="_Toc237563143" w:history="1">
            <w:r w:rsidR="00152ECB">
              <w:rPr>
                <w:rStyle w:val="Hyperlink"/>
                <w:noProof/>
              </w:rPr>
              <w:t>6</w:t>
            </w:r>
            <w:r w:rsidR="00D76FC6" w:rsidRPr="007E16BA">
              <w:rPr>
                <w:rStyle w:val="Hyperlink"/>
                <w:noProof/>
              </w:rPr>
              <w:t>. References</w:t>
            </w:r>
            <w:r w:rsidR="00D76FC6">
              <w:rPr>
                <w:noProof/>
                <w:webHidden/>
              </w:rPr>
              <w:tab/>
            </w:r>
            <w:r w:rsidR="00D76FC6">
              <w:rPr>
                <w:noProof/>
                <w:webHidden/>
              </w:rPr>
              <w:fldChar w:fldCharType="begin"/>
            </w:r>
            <w:r w:rsidR="00D76FC6">
              <w:rPr>
                <w:noProof/>
                <w:webHidden/>
              </w:rPr>
              <w:instrText xml:space="preserve"> PAGEREF _Toc237563143 \h </w:instrText>
            </w:r>
            <w:r w:rsidR="00D76FC6">
              <w:rPr>
                <w:noProof/>
                <w:webHidden/>
              </w:rPr>
            </w:r>
            <w:r w:rsidR="00D76FC6">
              <w:rPr>
                <w:noProof/>
                <w:webHidden/>
              </w:rPr>
              <w:fldChar w:fldCharType="separate"/>
            </w:r>
            <w:r w:rsidR="00D76FC6">
              <w:rPr>
                <w:noProof/>
                <w:webHidden/>
              </w:rPr>
              <w:t>14</w:t>
            </w:r>
            <w:r w:rsidR="00D76FC6">
              <w:rPr>
                <w:noProof/>
                <w:webHidden/>
              </w:rPr>
              <w:fldChar w:fldCharType="end"/>
            </w:r>
          </w:hyperlink>
        </w:p>
        <w:p w14:paraId="7B33AE49" w14:textId="51831393" w:rsidR="00526393" w:rsidRDefault="00526393">
          <w:r>
            <w:rPr>
              <w:b/>
              <w:bCs/>
              <w:noProof/>
            </w:rPr>
            <w:fldChar w:fldCharType="end"/>
          </w:r>
        </w:p>
      </w:sdtContent>
    </w:sdt>
    <w:p w14:paraId="72E3B864" w14:textId="2BF0C05B" w:rsidR="008D3A97" w:rsidRDefault="008D3A97" w:rsidP="00526393">
      <w:r>
        <w:br w:type="page"/>
      </w:r>
    </w:p>
    <w:p w14:paraId="08439F2C" w14:textId="2DD4A6CF" w:rsidR="008D3A97" w:rsidRDefault="00D76FC6" w:rsidP="001F777E">
      <w:pPr>
        <w:pStyle w:val="Heading1"/>
      </w:pPr>
      <w:bookmarkStart w:id="0" w:name="_Toc237563131"/>
      <w:r>
        <w:lastRenderedPageBreak/>
        <w:t xml:space="preserve">1. </w:t>
      </w:r>
      <w:r w:rsidR="001F777E">
        <w:t>Introduction</w:t>
      </w:r>
      <w:bookmarkEnd w:id="0"/>
    </w:p>
    <w:p w14:paraId="1E297143" w14:textId="7FB96D97" w:rsidR="001F777E" w:rsidRDefault="001F777E" w:rsidP="001F777E">
      <w:r>
        <w:t>The Final Ockenden Report was published in March 2022 and marked the end of one of the most significant independent maternity services reviews in the UK. The investigation into 23 cases of concern expanded to include experiences of 1,486 families, resulting in the identification of 1,592 clinical incidents, with the majority occurring from 2000 to 2019 (</w:t>
      </w:r>
      <w:r w:rsidR="009F284B">
        <w:t>Iqbal, 2026</w:t>
      </w:r>
      <w:r>
        <w:t>). The report created a sad and pathetic image of recurrent clinical failure, in which more than 200 infants were discovered to have passed away possibly because of preventable mistakes. The human impact was hundreds of still births, neonatal deaths, maternal deaths, and children with lifelong, disabling brain injuries such as cerebral palsy, frequently resulting from lack of recognition and response to warning signs during birth (</w:t>
      </w:r>
      <w:proofErr w:type="spellStart"/>
      <w:r w:rsidR="009F284B">
        <w:t>Borem</w:t>
      </w:r>
      <w:proofErr w:type="spellEnd"/>
      <w:r w:rsidR="009F284B">
        <w:t xml:space="preserve"> et al., 2025).</w:t>
      </w:r>
    </w:p>
    <w:p w14:paraId="6CA6953A" w14:textId="25F2849D" w:rsidR="001F777E" w:rsidRDefault="001F777E" w:rsidP="001F777E">
      <w:r>
        <w:t>The multi-layered collapsing governance is the phenomenon that is under discussion. For many families, attempts to express concerns, which had been made over more than 20 years, were ignored, disregarded, and sometimes even interpreted as an irrational fear</w:t>
      </w:r>
      <w:r w:rsidR="009F284B">
        <w:t xml:space="preserve"> </w:t>
      </w:r>
      <w:r w:rsidR="00526393">
        <w:t>(</w:t>
      </w:r>
      <w:r w:rsidR="009F284B">
        <w:t>Dobson</w:t>
      </w:r>
      <w:r w:rsidR="00526393">
        <w:t xml:space="preserve">, </w:t>
      </w:r>
      <w:r w:rsidR="009F284B">
        <w:t>2022)</w:t>
      </w:r>
      <w:r>
        <w:t xml:space="preserve">. This listening deafness to the family voice is corroborated as a key driver to the scandal, as it allowed clinical mismanagement to run unchecked, without the participation of those who were most interested in the outcomes of that care. The Ockenden review team observed theme patterns in the quality of care, which included delays in admission to </w:t>
      </w:r>
      <w:proofErr w:type="spellStart"/>
      <w:r>
        <w:t>labor</w:t>
      </w:r>
      <w:proofErr w:type="spellEnd"/>
      <w:r>
        <w:t xml:space="preserve"> wards, lack of assessment of women as to emergency interventions and lack of consultancy level review of patients who were at high risk or in ill health (Blair et al., 2022). The culture of not going through any intervention unless it is clinically necessary resulted in a culture at </w:t>
      </w:r>
      <w:r w:rsidRPr="001F777E">
        <w:t xml:space="preserve">Shrewsbury and Telford Hospital </w:t>
      </w:r>
      <w:r>
        <w:t>(</w:t>
      </w:r>
      <w:proofErr w:type="spellStart"/>
      <w:r>
        <w:t>SaTH</w:t>
      </w:r>
      <w:proofErr w:type="spellEnd"/>
      <w:r>
        <w:t xml:space="preserve">) where nurses were encouraged to aim for natural birth and the Trust were commended by the external regulator for their low intervention rates, but at the expense of mother/child safety </w:t>
      </w:r>
      <w:r w:rsidR="00526393">
        <w:t>(England, 2025a).</w:t>
      </w:r>
    </w:p>
    <w:p w14:paraId="25683EE4" w14:textId="2C3E9831" w:rsidR="001F777E" w:rsidRDefault="001F777E" w:rsidP="00526393">
      <w:r>
        <w:t>The organization's responsibility for the welfare of a mother and her new-born is an essential area of its responsibilities, clinical excellence, and public health. These services do not just operate poorly, they cause human tragedies, which are passed on generations. This report is a thorough analysis of the reasons for these failures, drawing on the widely recognised management systems to explore the organisational and environmental factors which contributed to the systemic neglect of patient safety. This paper makes a good case for the need for the service improvements now, through comparing the traditional Total Quality Management (TQM) with the statutory system of Clinical Governance, and through the analytical tools of the Fishbone Diagram and the PESTLE analysis. Furthermore, it offers a recommendation plan based on evidence with the help of the Plan-Do-Study-Act (PDSA) model, which is grounded in current research and clinical practice, to guide the journey to a safer, fairer and family-centred maternity service for the 2024-2026 context.</w:t>
      </w:r>
    </w:p>
    <w:p w14:paraId="1A5B90F1" w14:textId="255B21E2" w:rsidR="001F777E" w:rsidRDefault="00D76FC6" w:rsidP="001F777E">
      <w:pPr>
        <w:pStyle w:val="Heading1"/>
      </w:pPr>
      <w:bookmarkStart w:id="1" w:name="_Toc237563132"/>
      <w:r>
        <w:lastRenderedPageBreak/>
        <w:t xml:space="preserve">2. </w:t>
      </w:r>
      <w:r w:rsidR="001F777E" w:rsidRPr="001F777E">
        <w:t>Main Section: Examination of Quality Management Theories and Strategic Models</w:t>
      </w:r>
      <w:bookmarkEnd w:id="1"/>
    </w:p>
    <w:p w14:paraId="5ABA882B" w14:textId="5B50032A" w:rsidR="001F777E" w:rsidRDefault="001F777E" w:rsidP="001F777E">
      <w:r w:rsidRPr="001F777E">
        <w:t>Quality management in health and social care is governed by many theoretical frameworks designed to standardise service, reduce variability, and ensure accountability</w:t>
      </w:r>
      <w:r w:rsidR="00526393">
        <w:t xml:space="preserve"> </w:t>
      </w:r>
      <w:r w:rsidR="00526393" w:rsidRPr="00526393">
        <w:t xml:space="preserve">(Sara, </w:t>
      </w:r>
      <w:proofErr w:type="spellStart"/>
      <w:r w:rsidR="00526393" w:rsidRPr="00526393">
        <w:t>Niccolini</w:t>
      </w:r>
      <w:proofErr w:type="spellEnd"/>
      <w:r w:rsidR="00526393" w:rsidRPr="00526393">
        <w:t xml:space="preserve"> and </w:t>
      </w:r>
      <w:proofErr w:type="spellStart"/>
      <w:r w:rsidR="00526393" w:rsidRPr="00526393">
        <w:t>Giannini</w:t>
      </w:r>
      <w:proofErr w:type="spellEnd"/>
      <w:r w:rsidR="00526393" w:rsidRPr="00526393">
        <w:t>, 2020)</w:t>
      </w:r>
      <w:r w:rsidRPr="001F777E">
        <w:t xml:space="preserve">. To elucidate the shortcomings at </w:t>
      </w:r>
      <w:proofErr w:type="spellStart"/>
      <w:r w:rsidRPr="001F777E">
        <w:t>SaTH</w:t>
      </w:r>
      <w:proofErr w:type="spellEnd"/>
      <w:r w:rsidRPr="001F777E">
        <w:t>, it is essential to rigorously evaluate the execution (and erroneous application) of these ideas.</w:t>
      </w:r>
    </w:p>
    <w:p w14:paraId="6C1EDDE7" w14:textId="6D0AB320" w:rsidR="00290BBF" w:rsidRDefault="00D76FC6" w:rsidP="00152ECB">
      <w:pPr>
        <w:pStyle w:val="Heading2"/>
      </w:pPr>
      <w:bookmarkStart w:id="2" w:name="_Toc237563133"/>
      <w:r>
        <w:t xml:space="preserve">2.1 </w:t>
      </w:r>
      <w:r w:rsidR="00290BBF" w:rsidRPr="00290BBF">
        <w:t>Theoretical Assessment:</w:t>
      </w:r>
      <w:r w:rsidR="00290BBF">
        <w:t xml:space="preserve"> </w:t>
      </w:r>
      <w:r w:rsidR="00290BBF" w:rsidRPr="00290BBF">
        <w:t>Total Quality Management</w:t>
      </w:r>
      <w:bookmarkEnd w:id="2"/>
    </w:p>
    <w:p w14:paraId="112E30C2" w14:textId="1338A45A" w:rsidR="001C55A5" w:rsidRDefault="001C55A5" w:rsidP="001C55A5">
      <w:r>
        <w:t>Quality healthcare is measured by professional performance, resource use, risk management, and patient satisfaction (</w:t>
      </w:r>
      <w:proofErr w:type="spellStart"/>
      <w:r>
        <w:t>Gauld</w:t>
      </w:r>
      <w:proofErr w:type="spellEnd"/>
      <w:r>
        <w:t xml:space="preserve"> and Horsburgh, 2015). Clinical Governance is the main way NHS entities are held accountable for meeting these objectives. It was founded in 1998 to promote clinical excellence by merging organisational, clinical, and managerial methods (</w:t>
      </w:r>
      <w:proofErr w:type="spellStart"/>
      <w:r>
        <w:t>Borem</w:t>
      </w:r>
      <w:proofErr w:type="spellEnd"/>
      <w:r>
        <w:t xml:space="preserve"> et al., 2025). However, as the Ockenden Report noted, clinical governance may become a show; at </w:t>
      </w:r>
      <w:proofErr w:type="spellStart"/>
      <w:r>
        <w:t>SaTH</w:t>
      </w:r>
      <w:proofErr w:type="spellEnd"/>
      <w:r>
        <w:t>, accountability processes were twisted or disregarded to escape external examination.</w:t>
      </w:r>
    </w:p>
    <w:p w14:paraId="4307FEB8" w14:textId="3411355B" w:rsidR="001F777E" w:rsidRDefault="001C55A5" w:rsidP="001C55A5">
      <w:r>
        <w:t xml:space="preserve">The manufacturing industry developed Total Quality Management (TQM), which emphasises company-wide patient satisfaction. Five pillars of Total Quality Management include leadership, HRM, PM, QC data, and customer (patient) focus (de </w:t>
      </w:r>
      <w:proofErr w:type="spellStart"/>
      <w:r>
        <w:t>Jonge</w:t>
      </w:r>
      <w:proofErr w:type="spellEnd"/>
      <w:r>
        <w:t xml:space="preserve">, De </w:t>
      </w:r>
      <w:proofErr w:type="spellStart"/>
      <w:r>
        <w:t>Vries</w:t>
      </w:r>
      <w:proofErr w:type="spellEnd"/>
      <w:r>
        <w:t xml:space="preserve"> and </w:t>
      </w:r>
      <w:proofErr w:type="spellStart"/>
      <w:r>
        <w:t>Declercq</w:t>
      </w:r>
      <w:proofErr w:type="spellEnd"/>
      <w:r>
        <w:t xml:space="preserve">, 2022). Although the UK has Clinical Governance laws, TQM offers a new approach to incorporate quality into all clinical activities. The leadership and governance structures of </w:t>
      </w:r>
      <w:proofErr w:type="spellStart"/>
      <w:r>
        <w:t>SaTH</w:t>
      </w:r>
      <w:proofErr w:type="spellEnd"/>
      <w:r>
        <w:t xml:space="preserve"> failed to promote a quality culture and supervise the organization, which caused its poor relationship (NHS England, 2023). Research shows that the NHS prioritises quantitative criteria like a low caesarean section rate above its qualitative statutory duty to enhance treatment (Dobson, 2022). </w:t>
      </w:r>
      <w:proofErr w:type="spellStart"/>
      <w:r>
        <w:t>SaTH's</w:t>
      </w:r>
      <w:proofErr w:type="spellEnd"/>
      <w:r>
        <w:t xml:space="preserve"> middle-range performance wasn't tested, therefore the quality curve's mean didn't change toward greatness.</w:t>
      </w:r>
    </w:p>
    <w:p w14:paraId="16816F0B" w14:textId="5CF51F22" w:rsidR="001F777E" w:rsidRDefault="00D76FC6" w:rsidP="00152ECB">
      <w:pPr>
        <w:pStyle w:val="Heading2"/>
      </w:pPr>
      <w:bookmarkStart w:id="3" w:name="_Toc237563134"/>
      <w:r>
        <w:t xml:space="preserve">2.2 </w:t>
      </w:r>
      <w:r w:rsidR="00570885" w:rsidRPr="00570885">
        <w:t>Root Cause Analysis</w:t>
      </w:r>
      <w:r w:rsidR="00570885">
        <w:t xml:space="preserve">: </w:t>
      </w:r>
      <w:r w:rsidR="00570885" w:rsidRPr="00570885">
        <w:t xml:space="preserve">Fishbone </w:t>
      </w:r>
      <w:bookmarkEnd w:id="3"/>
      <w:r w:rsidR="001078E1">
        <w:t>Analysis</w:t>
      </w:r>
    </w:p>
    <w:p w14:paraId="736FB364" w14:textId="72A1D0A7" w:rsidR="00570885" w:rsidRPr="00526393" w:rsidRDefault="00290BBF" w:rsidP="001F777E">
      <w:pPr>
        <w:rPr>
          <w:b/>
          <w:bCs/>
        </w:rPr>
      </w:pPr>
      <w:r w:rsidRPr="00290BBF">
        <w:t xml:space="preserve">The Fishbone (Ishikawa) Diagram provides a methodical visual depiction of elements, which may be used to assess the underlying causes of the quality concerns at </w:t>
      </w:r>
      <w:proofErr w:type="spellStart"/>
      <w:r w:rsidRPr="00290BBF">
        <w:t>SaTH</w:t>
      </w:r>
      <w:proofErr w:type="spellEnd"/>
      <w:r w:rsidRPr="00290BBF">
        <w:t>. Issues with people, regulations, the environment, and equipment are some of the more manageable categories that this tool helps to categorise</w:t>
      </w:r>
      <w:r w:rsidR="00526393">
        <w:t xml:space="preserve"> (Kruk et al., 2022).</w:t>
      </w:r>
    </w:p>
    <w:p w14:paraId="02171100" w14:textId="49F3E918" w:rsidR="00290BBF" w:rsidRDefault="00290BBF" w:rsidP="001F777E"/>
    <w:p w14:paraId="2D420B20" w14:textId="3391116A" w:rsidR="00290BBF" w:rsidRDefault="00290BBF" w:rsidP="00290BBF">
      <w:pPr>
        <w:jc w:val="center"/>
      </w:pPr>
      <w:r>
        <w:rPr>
          <w:noProof/>
          <w:lang w:eastAsia="en-GB"/>
        </w:rPr>
        <w:lastRenderedPageBreak/>
        <w:drawing>
          <wp:inline distT="0" distB="0" distL="0" distR="0" wp14:anchorId="742751FF" wp14:editId="40870071">
            <wp:extent cx="4229100" cy="2589428"/>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32815" cy="2591702"/>
                    </a:xfrm>
                    <a:prstGeom prst="rect">
                      <a:avLst/>
                    </a:prstGeom>
                    <a:noFill/>
                  </pic:spPr>
                </pic:pic>
              </a:graphicData>
            </a:graphic>
          </wp:inline>
        </w:drawing>
      </w:r>
    </w:p>
    <w:p w14:paraId="5F55DF28" w14:textId="4390D2F2" w:rsidR="00290BBF" w:rsidRDefault="00290BBF" w:rsidP="00290BBF">
      <w:pPr>
        <w:jc w:val="center"/>
        <w:rPr>
          <w:b/>
          <w:bCs/>
          <w:i/>
          <w:iCs/>
        </w:rPr>
      </w:pPr>
      <w:r w:rsidRPr="00290BBF">
        <w:rPr>
          <w:b/>
          <w:bCs/>
          <w:i/>
          <w:iCs/>
        </w:rPr>
        <w:t>Figure: Fishbone diagram (</w:t>
      </w:r>
      <w:proofErr w:type="spellStart"/>
      <w:r w:rsidRPr="00290BBF">
        <w:rPr>
          <w:b/>
          <w:bCs/>
          <w:i/>
          <w:iCs/>
        </w:rPr>
        <w:t>Dotse-Gborgbortsi</w:t>
      </w:r>
      <w:proofErr w:type="spellEnd"/>
      <w:r w:rsidRPr="00290BBF">
        <w:rPr>
          <w:b/>
          <w:bCs/>
          <w:i/>
          <w:iCs/>
        </w:rPr>
        <w:t xml:space="preserve"> et al., 2022)</w:t>
      </w:r>
    </w:p>
    <w:p w14:paraId="5BE11FE6" w14:textId="7494C39F" w:rsidR="00290BBF" w:rsidRPr="00290BBF" w:rsidRDefault="00290BBF" w:rsidP="00290BBF">
      <w:pPr>
        <w:rPr>
          <w:b/>
          <w:bCs/>
        </w:rPr>
      </w:pPr>
      <w:r w:rsidRPr="00290BBF">
        <w:rPr>
          <w:b/>
          <w:bCs/>
        </w:rPr>
        <w:t>People and Culture</w:t>
      </w:r>
    </w:p>
    <w:p w14:paraId="533E4AFC" w14:textId="68C70D5D" w:rsidR="00424B46" w:rsidRDefault="00424B46" w:rsidP="00424B46">
      <w:r>
        <w:t xml:space="preserve">The </w:t>
      </w:r>
      <w:proofErr w:type="spellStart"/>
      <w:r>
        <w:t>SaTH</w:t>
      </w:r>
      <w:proofErr w:type="spellEnd"/>
      <w:r>
        <w:t xml:space="preserve"> crisis's main skeleton is the company's personnel and culture. Teams were tense due to the recurrent personnel shortage, unsupervised junior workers, and excessive workloads (Dyer, 2021). Collaborative treatment was impeded by a toxic them-and-us mentality that existed between the obstetric and midwifery personnel. The delay of clinical escalation and the repetition of errors learnt decades ago were both caused by a failure in communication (</w:t>
      </w:r>
      <w:proofErr w:type="spellStart"/>
      <w:r>
        <w:t>Dotse-Gborgbortsi</w:t>
      </w:r>
      <w:proofErr w:type="spellEnd"/>
      <w:r>
        <w:t xml:space="preserve"> et al., 2022). Additionally, the board's leadership was found to be disconnected from the maternity units' reality and to have failed to provide the necessary supervision to guarantee patient safety.</w:t>
      </w:r>
    </w:p>
    <w:p w14:paraId="11B523D8" w14:textId="37588639" w:rsidR="00424B46" w:rsidRPr="00424B46" w:rsidRDefault="00424B46" w:rsidP="00424B46">
      <w:pPr>
        <w:rPr>
          <w:b/>
          <w:bCs/>
        </w:rPr>
      </w:pPr>
      <w:r w:rsidRPr="00424B46">
        <w:rPr>
          <w:b/>
          <w:bCs/>
        </w:rPr>
        <w:t>Policies and Procedures</w:t>
      </w:r>
    </w:p>
    <w:p w14:paraId="0A219F47" w14:textId="5A21FF97" w:rsidR="00290BBF" w:rsidRDefault="00424B46" w:rsidP="00424B46">
      <w:r>
        <w:t>Trust internal procedures have often prioritised the organization's image above patient safety. Incident investigations were often of poor quality and conducted by internal staff members who were biased and failed to identify glaring clinical omissions (</w:t>
      </w:r>
      <w:proofErr w:type="spellStart"/>
      <w:r>
        <w:t>Endalamaw</w:t>
      </w:r>
      <w:proofErr w:type="spellEnd"/>
      <w:r>
        <w:t xml:space="preserve"> et al., 2024). Policies on natural childbirth lacked nuance, leading to non-compliance with NICE guidelines for the monitoring of cardiotocography (CTG) and foetal heart rate. The fact that the data collected did not lead to new policies or procedures reveals a fundamental flaw in clinical audit, a key component of good governance (England, 2025a).</w:t>
      </w:r>
    </w:p>
    <w:p w14:paraId="65571740" w14:textId="52FE8851" w:rsidR="00424B46" w:rsidRPr="00424B46" w:rsidRDefault="00424B46" w:rsidP="00424B46">
      <w:pPr>
        <w:rPr>
          <w:b/>
          <w:bCs/>
        </w:rPr>
      </w:pPr>
      <w:r w:rsidRPr="00424B46">
        <w:rPr>
          <w:b/>
          <w:bCs/>
        </w:rPr>
        <w:t>Environment and Estates</w:t>
      </w:r>
    </w:p>
    <w:p w14:paraId="7972BA45" w14:textId="0F5C30E4" w:rsidR="00424B46" w:rsidRDefault="00424B46" w:rsidP="00424B46">
      <w:r>
        <w:t xml:space="preserve">Infrastructure failures heightened the risk environment. Recent national research on maternity estates in 2024–2025 revealed that the majority of trusts operate out of dilapidated and outdated facilities (England, 2025b). Some services in </w:t>
      </w:r>
      <w:proofErr w:type="spellStart"/>
      <w:r>
        <w:t>SaTH</w:t>
      </w:r>
      <w:proofErr w:type="spellEnd"/>
      <w:r>
        <w:t xml:space="preserve"> were geographically or clinically isolated, making emergency management more difficult. Infrastructure hazards like as water </w:t>
      </w:r>
      <w:r>
        <w:lastRenderedPageBreak/>
        <w:t>leaks, power outages, and insufficient capacity for delivery rooms directly affect staff efficiency and patient dignity. Environmental stresses may lead to surgical delays and safety violations; in the three years leading up to 2023, more than 5,000 occurrences involving water and sewage breakdowns were documented on NHS maternity estates (Foley, McCourt and Yuill, 2025).</w:t>
      </w:r>
    </w:p>
    <w:p w14:paraId="3D4694CC" w14:textId="5ECC654E" w:rsidR="00424B46" w:rsidRPr="00424B46" w:rsidRDefault="00424B46" w:rsidP="00424B46">
      <w:pPr>
        <w:rPr>
          <w:b/>
          <w:bCs/>
        </w:rPr>
      </w:pPr>
      <w:r w:rsidRPr="00424B46">
        <w:rPr>
          <w:b/>
          <w:bCs/>
        </w:rPr>
        <w:t>Tools and Technological Infrastructure</w:t>
      </w:r>
    </w:p>
    <w:p w14:paraId="49457947" w14:textId="5C309C8A" w:rsidR="00424B46" w:rsidRPr="00922E07" w:rsidRDefault="00424B46" w:rsidP="00424B46">
      <w:r>
        <w:t>Equipment breakdowns and over use of technology were prevalent. Neonatal brain damage is often caused by a lack of standardised and high-quality CTG monitoring, as well as staff members' failure to accurately interpret these tracings (</w:t>
      </w:r>
      <w:proofErr w:type="spellStart"/>
      <w:r>
        <w:t>Gauld</w:t>
      </w:r>
      <w:proofErr w:type="spellEnd"/>
      <w:r>
        <w:t xml:space="preserve"> and Horsburgh, 2015). In addition, therapeutic choices were often made without comprehensive information, such as a mother's risk profile or her history of problems, due to inefficient IT systems that led to either missing patient data or incomplete records (Grierson, 2025).</w:t>
      </w:r>
    </w:p>
    <w:p w14:paraId="1EE2B6DF" w14:textId="43A7DC03" w:rsidR="00922E07" w:rsidRDefault="00754F83" w:rsidP="00754F83">
      <w:r w:rsidRPr="00754F83">
        <w:t xml:space="preserve">The Fishbone Diagram reveals how interwoven issues existed in people and culture, policies and procedures, environment and estates, tools and technology, leadership, and communication were all responsible for the </w:t>
      </w:r>
      <w:proofErr w:type="spellStart"/>
      <w:r w:rsidRPr="00754F83">
        <w:t>SaTH</w:t>
      </w:r>
      <w:proofErr w:type="spellEnd"/>
      <w:r w:rsidRPr="00754F83">
        <w:t xml:space="preserve"> maternity failures. These vulnerabilities meant that there were recurring safety issues and the Trust failed to learn from its errors.</w:t>
      </w:r>
    </w:p>
    <w:p w14:paraId="12C52E2E" w14:textId="7DA8A0AA" w:rsidR="00754F83" w:rsidRPr="00754F83" w:rsidRDefault="00754F83" w:rsidP="00754F83">
      <w:pPr>
        <w:spacing w:line="259" w:lineRule="auto"/>
        <w:jc w:val="left"/>
        <w:rPr>
          <w:b/>
          <w:bCs/>
        </w:rPr>
      </w:pPr>
      <w:r w:rsidRPr="00754F83">
        <w:rPr>
          <w:b/>
          <w:bCs/>
        </w:rPr>
        <w:t>Effect of 6 causes</w:t>
      </w:r>
    </w:p>
    <w:p w14:paraId="79809702" w14:textId="65A8431F" w:rsidR="00DE4CEB" w:rsidRDefault="00754F83" w:rsidP="00754F83">
      <w:pPr>
        <w:rPr>
          <w:rFonts w:eastAsiaTheme="majorEastAsia" w:cstheme="majorBidi"/>
          <w:color w:val="2F5496" w:themeColor="accent1" w:themeShade="BF"/>
          <w:sz w:val="28"/>
          <w:szCs w:val="26"/>
        </w:rPr>
      </w:pPr>
      <w:r>
        <w:t xml:space="preserve">The six Fishbone causes had significant impact on the safety of maternity at </w:t>
      </w:r>
      <w:proofErr w:type="spellStart"/>
      <w:r>
        <w:t>SaTH</w:t>
      </w:r>
      <w:proofErr w:type="spellEnd"/>
      <w:r>
        <w:t xml:space="preserve">. Inadequate staffing and poor culture drove staff burn out, lacked team working and reduced the ability of staff to escalate emergencies, putting mothers and babies at risk </w:t>
      </w:r>
      <w:r w:rsidRPr="00754F83">
        <w:t>(Foley et al., 2025)</w:t>
      </w:r>
      <w:r>
        <w:t xml:space="preserve">. Poor policies and inadequate practices resulted in the failure to investigate clinical incidents appropriately, or to learn from them for better care, and the same mistakes were repeated. The substandard physical facilities such as the aged estate, leaking water, power failures and scarce space restricted the ability of staff to function safely and swiftly during emergencies </w:t>
      </w:r>
      <w:r w:rsidRPr="00754F83">
        <w:t>(Dobson, 2022)</w:t>
      </w:r>
      <w:r>
        <w:t xml:space="preserve">. Equipment failures and poor technology also impacted care, particularly with the failure to use or interpret CTG monitoring appropriately and when patient information was incomplete. The issues were exacerbated by weak leadership, as senior staff were detached from ward issues and failed to offer adequate supervision and accountability. Lastly, lack of communications within teams and with families led to a lack of trust, a lack of action and failure to pick up on warning signs </w:t>
      </w:r>
      <w:r w:rsidRPr="00754F83">
        <w:t>(</w:t>
      </w:r>
      <w:proofErr w:type="spellStart"/>
      <w:r w:rsidRPr="00754F83">
        <w:t>Mofidi</w:t>
      </w:r>
      <w:proofErr w:type="spellEnd"/>
      <w:r w:rsidRPr="00754F83">
        <w:t xml:space="preserve"> and Marrow, 2017)</w:t>
      </w:r>
      <w:r>
        <w:t>. Combined, these six causes had the potential for avoidable harm to occur again and again, resulting in serious injury, maternal distress and preventable deaths.</w:t>
      </w:r>
      <w:r w:rsidR="00DE4CEB">
        <w:br w:type="page"/>
      </w:r>
    </w:p>
    <w:p w14:paraId="5B58F928" w14:textId="215FCA13" w:rsidR="00DE4CEB" w:rsidRDefault="00D76FC6" w:rsidP="00152ECB">
      <w:pPr>
        <w:pStyle w:val="Heading2"/>
      </w:pPr>
      <w:bookmarkStart w:id="4" w:name="_Toc237563135"/>
      <w:r>
        <w:lastRenderedPageBreak/>
        <w:t xml:space="preserve">2.3 </w:t>
      </w:r>
      <w:r w:rsidR="00DE4CEB">
        <w:t>Strategic Development using PESTLE Examination</w:t>
      </w:r>
      <w:bookmarkEnd w:id="4"/>
    </w:p>
    <w:p w14:paraId="1CEA1200" w14:textId="552E1977" w:rsidR="00DE4CEB" w:rsidRDefault="00DE4CEB" w:rsidP="00DE4CEB">
      <w:r>
        <w:t>A PESTLE study assesses the external macro-environmental elements affecting the strategic enhancement of maternity services in the NHS.</w:t>
      </w:r>
    </w:p>
    <w:p w14:paraId="6493E03E" w14:textId="0306B62B" w:rsidR="00DE4CEB" w:rsidRDefault="00DE4CEB" w:rsidP="00DE4CEB">
      <w:pPr>
        <w:jc w:val="center"/>
      </w:pPr>
      <w:r>
        <w:rPr>
          <w:noProof/>
          <w:lang w:eastAsia="en-GB"/>
        </w:rPr>
        <w:drawing>
          <wp:inline distT="0" distB="0" distL="0" distR="0" wp14:anchorId="00744FE6" wp14:editId="1489BC3A">
            <wp:extent cx="3422650" cy="3239101"/>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26717" cy="3242950"/>
                    </a:xfrm>
                    <a:prstGeom prst="rect">
                      <a:avLst/>
                    </a:prstGeom>
                    <a:noFill/>
                  </pic:spPr>
                </pic:pic>
              </a:graphicData>
            </a:graphic>
          </wp:inline>
        </w:drawing>
      </w:r>
    </w:p>
    <w:p w14:paraId="338752D5" w14:textId="0A879AE6" w:rsidR="00DE4CEB" w:rsidRPr="00DE4CEB" w:rsidRDefault="00DE4CEB" w:rsidP="00DE4CEB">
      <w:pPr>
        <w:jc w:val="center"/>
        <w:rPr>
          <w:b/>
          <w:bCs/>
          <w:i/>
          <w:iCs/>
        </w:rPr>
      </w:pPr>
      <w:r w:rsidRPr="00DE4CEB">
        <w:rPr>
          <w:b/>
          <w:bCs/>
          <w:i/>
          <w:iCs/>
        </w:rPr>
        <w:t>Figure: PESTLE Analysis (Iqbal, 2025)</w:t>
      </w:r>
    </w:p>
    <w:p w14:paraId="0F4E1DEF" w14:textId="205B392C" w:rsidR="00DE4CEB" w:rsidRDefault="00DE4CEB" w:rsidP="00530CBE">
      <w:pPr>
        <w:rPr>
          <w:b/>
          <w:bCs/>
        </w:rPr>
      </w:pPr>
      <w:r w:rsidRPr="00B53C8D">
        <w:rPr>
          <w:b/>
          <w:bCs/>
        </w:rPr>
        <w:t>Political Factors</w:t>
      </w:r>
    </w:p>
    <w:p w14:paraId="5BB06C06" w14:textId="7C1BF214" w:rsidR="00530CBE" w:rsidRPr="00530CBE" w:rsidRDefault="00530CBE" w:rsidP="00530CBE">
      <w:r w:rsidRPr="00530CBE">
        <w:t>Following the change of administration in 2025, the political climate is now defined by a mission of transformation. In order to hold failing trusts accountable, the National Maternity and Neonatal Taskforce was formed by the Health and Social Care Secretary. A legislative public investigation has been demanded in response to the damaging effects on societal trust and the intense political and media discussion about the scope of inappropriate treatment (</w:t>
      </w:r>
      <w:proofErr w:type="spellStart"/>
      <w:r w:rsidRPr="00530CBE">
        <w:t>Kumah</w:t>
      </w:r>
      <w:proofErr w:type="spellEnd"/>
      <w:r w:rsidRPr="00530CBE">
        <w:t xml:space="preserve"> et al., 2024). The government's pledge to halve the rates of stillbirth and maternal death by 2030 has been a major political driver of reform and financing (</w:t>
      </w:r>
      <w:proofErr w:type="spellStart"/>
      <w:r w:rsidRPr="00530CBE">
        <w:t>Mofidi</w:t>
      </w:r>
      <w:proofErr w:type="spellEnd"/>
      <w:r w:rsidRPr="00530CBE">
        <w:t xml:space="preserve"> and Marrow, 2017).</w:t>
      </w:r>
    </w:p>
    <w:p w14:paraId="4A4043D3" w14:textId="5722EC3D" w:rsidR="00530CBE" w:rsidRPr="00530CBE" w:rsidRDefault="00530CBE" w:rsidP="00530CBE">
      <w:pPr>
        <w:rPr>
          <w:b/>
          <w:bCs/>
        </w:rPr>
      </w:pPr>
      <w:r w:rsidRPr="00530CBE">
        <w:rPr>
          <w:b/>
          <w:bCs/>
        </w:rPr>
        <w:t>Economic Factors</w:t>
      </w:r>
    </w:p>
    <w:p w14:paraId="5075B5C3" w14:textId="7F50C20B" w:rsidR="00530CBE" w:rsidRPr="00530CBE" w:rsidRDefault="00530CBE" w:rsidP="00530CBE">
      <w:r w:rsidRPr="00530CBE">
        <w:t>There is a serious budget squeeze on the NHS maternity services. A workforce problem has resulted from the system's inability to meet the needs of more complicated clinical cases as a result of persistent underfunding. In 2024–2025, maternity care accounted for 42% of all clinical negligence payments, totalling $1.3 billion (</w:t>
      </w:r>
      <w:proofErr w:type="spellStart"/>
      <w:r w:rsidRPr="00530CBE">
        <w:t>Middlemiss</w:t>
      </w:r>
      <w:proofErr w:type="spellEnd"/>
      <w:r w:rsidRPr="00530CBE">
        <w:t xml:space="preserve"> et al., 2025), demonstrating the really staggering financial burden of service failure. Money that might be spent to improve </w:t>
      </w:r>
      <w:r w:rsidRPr="00530CBE">
        <w:lastRenderedPageBreak/>
        <w:t>services ends up paying claims for injuries that could have been avoided, creating a vicious cycle.</w:t>
      </w:r>
    </w:p>
    <w:p w14:paraId="56E82338" w14:textId="71CDCD7A" w:rsidR="00530CBE" w:rsidRPr="00530CBE" w:rsidRDefault="00530CBE" w:rsidP="00530CBE">
      <w:pPr>
        <w:rPr>
          <w:b/>
          <w:bCs/>
        </w:rPr>
      </w:pPr>
      <w:r w:rsidRPr="00530CBE">
        <w:rPr>
          <w:b/>
          <w:bCs/>
        </w:rPr>
        <w:t>Social Factors</w:t>
      </w:r>
    </w:p>
    <w:p w14:paraId="67EE7F79" w14:textId="23D11C66" w:rsidR="00530CBE" w:rsidRPr="00526393" w:rsidRDefault="00530CBE" w:rsidP="00530CBE">
      <w:r w:rsidRPr="00530CBE">
        <w:t>As a result of societal shifts, women are delaying childbearing and presenting with more complicated medical issues (61% will be beyond the age of 30 in 2024) (Naz et al., 2022). In addition, there are still significant societal disparities; for example, Asian women have a double-digit risk of adverse outcomes compared to White women, and Black women face a nearly triple-digit risk during or after delivery</w:t>
      </w:r>
      <w:r w:rsidR="00526393">
        <w:t xml:space="preserve"> (</w:t>
      </w:r>
      <w:proofErr w:type="spellStart"/>
      <w:r w:rsidR="00526393">
        <w:t>Kumah</w:t>
      </w:r>
      <w:proofErr w:type="spellEnd"/>
      <w:r w:rsidR="00526393">
        <w:t xml:space="preserve"> et al., 2024)</w:t>
      </w:r>
      <w:r w:rsidRPr="00530CBE">
        <w:t>. Since these disparities are not going away, members of disadvantaged groups have lost faith in the system because they believe it is not working for them.</w:t>
      </w:r>
    </w:p>
    <w:p w14:paraId="439D37D2" w14:textId="77777777" w:rsidR="00530CBE" w:rsidRPr="00530CBE" w:rsidRDefault="00530CBE" w:rsidP="00530CBE">
      <w:pPr>
        <w:rPr>
          <w:b/>
          <w:bCs/>
        </w:rPr>
      </w:pPr>
      <w:r w:rsidRPr="00530CBE">
        <w:rPr>
          <w:b/>
          <w:bCs/>
        </w:rPr>
        <w:t>Technological Factors</w:t>
      </w:r>
    </w:p>
    <w:p w14:paraId="2802D950" w14:textId="2709984A" w:rsidR="00530CBE" w:rsidRPr="00530CBE" w:rsidRDefault="00530CBE" w:rsidP="00530CBE">
      <w:r w:rsidRPr="00530CBE">
        <w:t xml:space="preserve">With technological progress comes both new possibilities and new difficulties. In an effort to use data for preventative purposes, the NHS is digitising its systems from analogue to digital. Despite this, data quality is still lacking; for example, 9% of </w:t>
      </w:r>
      <w:proofErr w:type="spellStart"/>
      <w:r w:rsidRPr="00530CBE">
        <w:t>SaTH</w:t>
      </w:r>
      <w:proofErr w:type="spellEnd"/>
      <w:r w:rsidRPr="00530CBE">
        <w:t xml:space="preserve"> data is missing ethnicity information, and national data favours hospital-based treatment over patient-reported safety (Norman, Stock and Harmer, 2022). Although the rise of social media has improved patient education, it has also contributed to the spread of false information on clinical risk.</w:t>
      </w:r>
    </w:p>
    <w:p w14:paraId="10578FF5" w14:textId="77777777" w:rsidR="00530CBE" w:rsidRPr="00530CBE" w:rsidRDefault="00530CBE" w:rsidP="00530CBE">
      <w:pPr>
        <w:rPr>
          <w:b/>
          <w:bCs/>
        </w:rPr>
      </w:pPr>
      <w:r w:rsidRPr="00530CBE">
        <w:rPr>
          <w:b/>
          <w:bCs/>
        </w:rPr>
        <w:t>Legal Factors</w:t>
      </w:r>
    </w:p>
    <w:p w14:paraId="7C54C706" w14:textId="70091222" w:rsidR="00530CBE" w:rsidRPr="00530CBE" w:rsidRDefault="00530CBE" w:rsidP="00530CBE">
      <w:r w:rsidRPr="00530CBE">
        <w:t xml:space="preserve">This level of regulatory pressure is unparalleled. The Care Quality Commission (CQC) determined that 65 percent of England's maternity facilities were insufficient or might need improvement in 2024 (O'Dowd, 2025). The ongoing criminal investigations against </w:t>
      </w:r>
      <w:proofErr w:type="spellStart"/>
      <w:r w:rsidRPr="00530CBE">
        <w:t>SaTH</w:t>
      </w:r>
      <w:proofErr w:type="spellEnd"/>
      <w:r w:rsidRPr="00530CBE">
        <w:t xml:space="preserve"> have affected staff morale and highlighted the need for a robust accountability framework under the law. More and more people are looking to Sweden's no-blame compensation concept to encourage an honest work environment.</w:t>
      </w:r>
    </w:p>
    <w:p w14:paraId="2E17CABB" w14:textId="36242520" w:rsidR="00530CBE" w:rsidRPr="00530CBE" w:rsidRDefault="00530CBE" w:rsidP="00530CBE">
      <w:pPr>
        <w:rPr>
          <w:b/>
          <w:bCs/>
        </w:rPr>
      </w:pPr>
      <w:r w:rsidRPr="00530CBE">
        <w:rPr>
          <w:b/>
          <w:bCs/>
        </w:rPr>
        <w:t>Environmental Factors</w:t>
      </w:r>
    </w:p>
    <w:p w14:paraId="66AD1763" w14:textId="23B11917" w:rsidR="00530CBE" w:rsidRDefault="00530CBE" w:rsidP="00530CBE">
      <w:r w:rsidRPr="00530CBE">
        <w:t>The physical design of the NHS property is a major roadblock to effective care. There were about 3,000 reports of inadequate ventilation and heating in the years 2020–2023, according to Ockenden (2022). Staff members feel ignored by the antiquated facilities, which also compromise the Continuity of Care models that rely on specific infrastructure.</w:t>
      </w:r>
    </w:p>
    <w:p w14:paraId="5C1C4060" w14:textId="42DE857B" w:rsidR="00530CBE" w:rsidRDefault="00530CBE">
      <w:pPr>
        <w:spacing w:line="259" w:lineRule="auto"/>
        <w:jc w:val="left"/>
      </w:pPr>
      <w:r>
        <w:br w:type="page"/>
      </w:r>
    </w:p>
    <w:p w14:paraId="6DB39B05" w14:textId="62E8AD96" w:rsidR="00530CBE" w:rsidRDefault="00D76FC6" w:rsidP="00530CBE">
      <w:pPr>
        <w:pStyle w:val="Heading1"/>
      </w:pPr>
      <w:bookmarkStart w:id="5" w:name="_Toc237563136"/>
      <w:r>
        <w:lastRenderedPageBreak/>
        <w:t xml:space="preserve">3. </w:t>
      </w:r>
      <w:r w:rsidR="00530CBE" w:rsidRPr="00530CBE">
        <w:t>Recommendations: Practical Plan to Enhance Service</w:t>
      </w:r>
      <w:bookmarkEnd w:id="5"/>
    </w:p>
    <w:p w14:paraId="0FB8D2C7" w14:textId="38911F4D" w:rsidR="00530CBE" w:rsidRDefault="00922E07" w:rsidP="00530CBE">
      <w:r w:rsidRPr="00922E07">
        <w:t>The Plan-Do-Study-Act (PDSA) cycle is a framework for understanding the efficacy of changes within a specific environment by systematically planning, implementing, evaluating outcomes, and applying insights gained, hence enhancing teams' comprehension of a change's capacity to foster progress in their local setting</w:t>
      </w:r>
      <w:r w:rsidR="00170DAF">
        <w:t xml:space="preserve"> (</w:t>
      </w:r>
      <w:r w:rsidR="00170DAF" w:rsidRPr="00170DAF">
        <w:t>Saeb</w:t>
      </w:r>
      <w:r w:rsidR="00170DAF">
        <w:t xml:space="preserve"> </w:t>
      </w:r>
      <w:r w:rsidR="00170DAF" w:rsidRPr="00170DAF">
        <w:t>and Gregory,</w:t>
      </w:r>
      <w:r w:rsidR="00170DAF">
        <w:t xml:space="preserve"> </w:t>
      </w:r>
      <w:r w:rsidR="00170DAF" w:rsidRPr="00170DAF">
        <w:t>2025</w:t>
      </w:r>
      <w:r w:rsidR="00170DAF">
        <w:t>)</w:t>
      </w:r>
      <w:r w:rsidRPr="00922E07">
        <w:t>. This represents the scientific approach, employed for experiential learning.</w:t>
      </w:r>
    </w:p>
    <w:p w14:paraId="14357B0C" w14:textId="27569CA1" w:rsidR="00530CBE" w:rsidRDefault="00922E07" w:rsidP="00530CBE">
      <w:pPr>
        <w:jc w:val="center"/>
      </w:pPr>
      <w:r>
        <w:rPr>
          <w:noProof/>
          <w:lang w:eastAsia="en-GB"/>
        </w:rPr>
        <w:drawing>
          <wp:inline distT="0" distB="0" distL="0" distR="0" wp14:anchorId="40AD2FE1" wp14:editId="5DB6226E">
            <wp:extent cx="3662407" cy="2439035"/>
            <wp:effectExtent l="0" t="0" r="0" b="0"/>
            <wp:docPr id="5" name="Picture 5" descr="How The PDSA Cycle Can Help You Improve Your Business - Greenhouse Grow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he PDSA Cycle Can Help You Improve Your Business - Greenhouse Growe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65198" cy="2440894"/>
                    </a:xfrm>
                    <a:prstGeom prst="rect">
                      <a:avLst/>
                    </a:prstGeom>
                    <a:noFill/>
                    <a:ln>
                      <a:noFill/>
                    </a:ln>
                  </pic:spPr>
                </pic:pic>
              </a:graphicData>
            </a:graphic>
          </wp:inline>
        </w:drawing>
      </w:r>
    </w:p>
    <w:p w14:paraId="3188554E" w14:textId="4651CC2F" w:rsidR="00530CBE" w:rsidRPr="00530CBE" w:rsidRDefault="00530CBE" w:rsidP="00530CBE">
      <w:pPr>
        <w:jc w:val="center"/>
        <w:rPr>
          <w:b/>
          <w:bCs/>
          <w:i/>
          <w:iCs/>
        </w:rPr>
      </w:pPr>
      <w:r w:rsidRPr="00530CBE">
        <w:rPr>
          <w:b/>
          <w:bCs/>
          <w:i/>
          <w:iCs/>
        </w:rPr>
        <w:t>Figure: PD</w:t>
      </w:r>
      <w:r w:rsidR="00922E07">
        <w:rPr>
          <w:b/>
          <w:bCs/>
          <w:i/>
          <w:iCs/>
        </w:rPr>
        <w:t>S</w:t>
      </w:r>
      <w:r w:rsidRPr="00530CBE">
        <w:rPr>
          <w:b/>
          <w:bCs/>
          <w:i/>
          <w:iCs/>
        </w:rPr>
        <w:t xml:space="preserve">A Cycle (Sara, </w:t>
      </w:r>
      <w:proofErr w:type="spellStart"/>
      <w:r w:rsidRPr="00530CBE">
        <w:rPr>
          <w:b/>
          <w:bCs/>
          <w:i/>
          <w:iCs/>
        </w:rPr>
        <w:t>Niccolini</w:t>
      </w:r>
      <w:proofErr w:type="spellEnd"/>
      <w:r w:rsidRPr="00530CBE">
        <w:rPr>
          <w:b/>
          <w:bCs/>
          <w:i/>
          <w:iCs/>
        </w:rPr>
        <w:t xml:space="preserve"> and </w:t>
      </w:r>
      <w:proofErr w:type="spellStart"/>
      <w:r w:rsidRPr="00530CBE">
        <w:rPr>
          <w:b/>
          <w:bCs/>
          <w:i/>
          <w:iCs/>
        </w:rPr>
        <w:t>Giannini</w:t>
      </w:r>
      <w:proofErr w:type="spellEnd"/>
      <w:r w:rsidRPr="00530CBE">
        <w:rPr>
          <w:b/>
          <w:bCs/>
          <w:i/>
          <w:iCs/>
        </w:rPr>
        <w:t>, 2020)</w:t>
      </w:r>
    </w:p>
    <w:p w14:paraId="33E53C13" w14:textId="1DFE27E5" w:rsidR="00530CBE" w:rsidRDefault="00530CBE" w:rsidP="00530CBE">
      <w:r w:rsidRPr="00530CBE">
        <w:t>The Plan-Do-</w:t>
      </w:r>
      <w:r w:rsidR="00922E07">
        <w:t>Study</w:t>
      </w:r>
      <w:r w:rsidRPr="00530CBE">
        <w:t>-Act (PD</w:t>
      </w:r>
      <w:r w:rsidR="00922E07">
        <w:t>S</w:t>
      </w:r>
      <w:r w:rsidRPr="00530CBE">
        <w:t>A) cycle, referred to as the Deming cycle or Shewhart cycle, is a four-phase iterative framework aimed at ongoing improvement in issue resolution and process administration</w:t>
      </w:r>
      <w:r w:rsidR="00526393">
        <w:t xml:space="preserve"> (Renfrew et al., 2022).</w:t>
      </w:r>
    </w:p>
    <w:p w14:paraId="7DA6535A" w14:textId="38487D51" w:rsidR="00530CBE" w:rsidRPr="00587AA6" w:rsidRDefault="00587AA6" w:rsidP="00530CBE">
      <w:pPr>
        <w:rPr>
          <w:b/>
          <w:bCs/>
        </w:rPr>
      </w:pPr>
      <w:r w:rsidRPr="00587AA6">
        <w:rPr>
          <w:b/>
          <w:bCs/>
        </w:rPr>
        <w:t>Phase 1</w:t>
      </w:r>
      <w:r w:rsidR="00530CBE" w:rsidRPr="00587AA6">
        <w:rPr>
          <w:b/>
          <w:bCs/>
        </w:rPr>
        <w:t>: Staff Safety and Long-Term Employee Engagement</w:t>
      </w:r>
    </w:p>
    <w:p w14:paraId="4125EAF6" w14:textId="438A7441" w:rsidR="00530CBE" w:rsidRDefault="00530CBE" w:rsidP="00530CBE">
      <w:r>
        <w:t>The foundation of great maternity care should be safe staffing levels. It is clear from the Ockenden Report that the "Midwifery Continuity of Carer" (</w:t>
      </w:r>
      <w:proofErr w:type="spellStart"/>
      <w:r>
        <w:t>MCoC</w:t>
      </w:r>
      <w:proofErr w:type="spellEnd"/>
      <w:r>
        <w:t>) should not be implemented nationwide until certain staffing requirements are met (Renfrew et al., 2022).</w:t>
      </w:r>
    </w:p>
    <w:p w14:paraId="174AFE23" w14:textId="319ACB90" w:rsidR="00530CBE" w:rsidRPr="00587AA6" w:rsidRDefault="00530CBE" w:rsidP="00530CBE">
      <w:pPr>
        <w:rPr>
          <w:b/>
          <w:bCs/>
        </w:rPr>
      </w:pPr>
      <w:r w:rsidRPr="00587AA6">
        <w:rPr>
          <w:b/>
          <w:bCs/>
        </w:rPr>
        <w:t>Recommendation:</w:t>
      </w:r>
    </w:p>
    <w:p w14:paraId="5A198168" w14:textId="4FFC522F" w:rsidR="00530CBE" w:rsidRDefault="00530CBE" w:rsidP="00530CBE">
      <w:r>
        <w:t xml:space="preserve">When personnel levels are low, trusts should have a plan for what to do and how to escalate problems. According to </w:t>
      </w:r>
      <w:proofErr w:type="spellStart"/>
      <w:r>
        <w:t>Sheaff</w:t>
      </w:r>
      <w:proofErr w:type="spellEnd"/>
      <w:r>
        <w:t xml:space="preserve"> and Allen (2023), the </w:t>
      </w:r>
      <w:proofErr w:type="spellStart"/>
      <w:r>
        <w:t>Birthrate</w:t>
      </w:r>
      <w:proofErr w:type="spellEnd"/>
      <w:r>
        <w:t xml:space="preserve"> Plus (BR+) standard may be used to back this up and set implementation timelines.</w:t>
      </w:r>
    </w:p>
    <w:p w14:paraId="1C286497" w14:textId="77777777" w:rsidR="00587AA6" w:rsidRPr="00586635" w:rsidRDefault="00587AA6" w:rsidP="00587AA6">
      <w:pPr>
        <w:rPr>
          <w:b/>
          <w:bCs/>
        </w:rPr>
      </w:pPr>
      <w:r w:rsidRPr="00586635">
        <w:rPr>
          <w:b/>
          <w:bCs/>
        </w:rPr>
        <w:t>Implementation (PDSA):</w:t>
      </w:r>
    </w:p>
    <w:p w14:paraId="6E4DB834" w14:textId="3857B1F7" w:rsidR="001C55A5" w:rsidRDefault="00152ECB" w:rsidP="00152ECB">
      <w:pPr>
        <w:pStyle w:val="Heading2"/>
      </w:pPr>
      <w:bookmarkStart w:id="6" w:name="_Toc237563137"/>
      <w:r>
        <w:lastRenderedPageBreak/>
        <w:t xml:space="preserve">3.1 </w:t>
      </w:r>
      <w:r w:rsidR="00587AA6" w:rsidRPr="00587AA6">
        <w:t>Plan</w:t>
      </w:r>
      <w:bookmarkEnd w:id="6"/>
    </w:p>
    <w:p w14:paraId="61FBB76A" w14:textId="67C0E63E" w:rsidR="00587AA6" w:rsidRDefault="00587AA6" w:rsidP="00587AA6">
      <w:r>
        <w:t>One labour ward should have a computerised dashboard installed so that staff-to-patient ratios may be tracked according to clinical acuity in real time.</w:t>
      </w:r>
    </w:p>
    <w:p w14:paraId="27A7F668" w14:textId="2BBC459E" w:rsidR="001C55A5" w:rsidRDefault="00152ECB" w:rsidP="00152ECB">
      <w:pPr>
        <w:pStyle w:val="Heading2"/>
      </w:pPr>
      <w:bookmarkStart w:id="7" w:name="_Toc237563138"/>
      <w:r>
        <w:t xml:space="preserve">3.2 </w:t>
      </w:r>
      <w:r w:rsidR="00587AA6" w:rsidRPr="00587AA6">
        <w:t>Do</w:t>
      </w:r>
      <w:bookmarkEnd w:id="7"/>
    </w:p>
    <w:p w14:paraId="2A4363C5" w14:textId="10F1CF3C" w:rsidR="00587AA6" w:rsidRDefault="00587AA6" w:rsidP="00587AA6">
      <w:r>
        <w:t>The shift coordinator may be supernumerary (not working on a caseload) for one month to oversee safety, but you just need to operate the dashboard (Saeb and Gregory, 2025).</w:t>
      </w:r>
    </w:p>
    <w:p w14:paraId="0D0C4D04" w14:textId="6294F1B9" w:rsidR="001C55A5" w:rsidRDefault="00152ECB" w:rsidP="00152ECB">
      <w:pPr>
        <w:pStyle w:val="Heading2"/>
      </w:pPr>
      <w:bookmarkStart w:id="8" w:name="_Toc237563139"/>
      <w:r>
        <w:t xml:space="preserve">3.3 </w:t>
      </w:r>
      <w:r w:rsidR="00587AA6" w:rsidRPr="00587AA6">
        <w:t>Study</w:t>
      </w:r>
      <w:bookmarkEnd w:id="8"/>
    </w:p>
    <w:p w14:paraId="126E35D8" w14:textId="52A1321C" w:rsidR="00587AA6" w:rsidRDefault="00587AA6" w:rsidP="00587AA6">
      <w:r>
        <w:t>Ascertain whether the supernumerary status aided in the quickening of clinical problem development and the improvement of staff morale.</w:t>
      </w:r>
    </w:p>
    <w:p w14:paraId="2DC9E26E" w14:textId="2047C860" w:rsidR="001C55A5" w:rsidRDefault="00152ECB" w:rsidP="00152ECB">
      <w:pPr>
        <w:pStyle w:val="Heading2"/>
      </w:pPr>
      <w:bookmarkStart w:id="9" w:name="_Toc237563140"/>
      <w:r>
        <w:t xml:space="preserve">3.4 </w:t>
      </w:r>
      <w:r w:rsidR="00587AA6" w:rsidRPr="00587AA6">
        <w:t>Act</w:t>
      </w:r>
      <w:bookmarkEnd w:id="9"/>
    </w:p>
    <w:p w14:paraId="1DE9B309" w14:textId="3E99CFE9" w:rsidR="00587AA6" w:rsidRDefault="00587AA6" w:rsidP="00587AA6">
      <w:r>
        <w:t>Adapt the dashboard to other case mixes and roll it out to all maternity sites in the Trust if it works.</w:t>
      </w:r>
    </w:p>
    <w:p w14:paraId="14C6D400" w14:textId="4D354874" w:rsidR="00587AA6" w:rsidRPr="00587AA6" w:rsidRDefault="00587AA6" w:rsidP="00587AA6">
      <w:pPr>
        <w:rPr>
          <w:b/>
          <w:bCs/>
        </w:rPr>
      </w:pPr>
      <w:r w:rsidRPr="00587AA6">
        <w:rPr>
          <w:b/>
          <w:bCs/>
        </w:rPr>
        <w:t>Phase 2: Effective Clinical Management and Clinically-Based Education</w:t>
      </w:r>
    </w:p>
    <w:p w14:paraId="1A081CD0" w14:textId="1029700C" w:rsidR="00587AA6" w:rsidRDefault="00587AA6" w:rsidP="00587AA6">
      <w:r>
        <w:t xml:space="preserve">The clinical governance system failed miserably at </w:t>
      </w:r>
      <w:proofErr w:type="spellStart"/>
      <w:r>
        <w:t>SaTH</w:t>
      </w:r>
      <w:proofErr w:type="spellEnd"/>
      <w:r>
        <w:t xml:space="preserve"> because it did not learn from its catastrophes.</w:t>
      </w:r>
    </w:p>
    <w:p w14:paraId="4D8FB6E6" w14:textId="20BC3109" w:rsidR="00587AA6" w:rsidRPr="00587AA6" w:rsidRDefault="00587AA6" w:rsidP="00587AA6">
      <w:pPr>
        <w:rPr>
          <w:b/>
          <w:bCs/>
        </w:rPr>
      </w:pPr>
      <w:r w:rsidRPr="00587AA6">
        <w:rPr>
          <w:b/>
          <w:bCs/>
        </w:rPr>
        <w:t>Recommendation:</w:t>
      </w:r>
    </w:p>
    <w:p w14:paraId="4E347590" w14:textId="6EB1F458" w:rsidR="00587AA6" w:rsidRDefault="00587AA6" w:rsidP="00587AA6">
      <w:r>
        <w:t>The trust boards must to keep a close eye on how well and how efficiently their maternity services are running. According to The Lancet Regional Health - Europe (2025), incident investigations should be conducted by impartial, interdisciplinary teams that prioritise the families' needs.</w:t>
      </w:r>
    </w:p>
    <w:p w14:paraId="7106CC2E" w14:textId="77777777" w:rsidR="00587AA6" w:rsidRPr="00586635" w:rsidRDefault="00587AA6" w:rsidP="00587AA6">
      <w:pPr>
        <w:rPr>
          <w:b/>
          <w:bCs/>
        </w:rPr>
      </w:pPr>
      <w:r w:rsidRPr="00586635">
        <w:rPr>
          <w:b/>
          <w:bCs/>
        </w:rPr>
        <w:t>Implementation (PDSA):</w:t>
      </w:r>
    </w:p>
    <w:p w14:paraId="7FD18F0A" w14:textId="2122926A" w:rsidR="00587AA6" w:rsidRDefault="00587AA6" w:rsidP="00587AA6">
      <w:r w:rsidRPr="00587AA6">
        <w:rPr>
          <w:b/>
          <w:bCs/>
        </w:rPr>
        <w:t>Plan:</w:t>
      </w:r>
      <w:r>
        <w:t xml:space="preserve"> For all major accidents, establish a standardised incident investigation form that includes a required area for family comments and appoint an impartial third-party chair (</w:t>
      </w:r>
      <w:proofErr w:type="spellStart"/>
      <w:r>
        <w:t>Unkels</w:t>
      </w:r>
      <w:proofErr w:type="spellEnd"/>
      <w:r>
        <w:t xml:space="preserve"> et al., 2023).</w:t>
      </w:r>
    </w:p>
    <w:p w14:paraId="669CA8C2" w14:textId="5B4A1F98" w:rsidR="00587AA6" w:rsidRDefault="00587AA6" w:rsidP="00587AA6">
      <w:r w:rsidRPr="00587AA6">
        <w:rPr>
          <w:b/>
          <w:bCs/>
        </w:rPr>
        <w:t>Do:</w:t>
      </w:r>
      <w:r>
        <w:t xml:space="preserve"> The following three major occurrences were reported to the Trust; use them to test the new template.</w:t>
      </w:r>
    </w:p>
    <w:p w14:paraId="2079A31F" w14:textId="739723EA" w:rsidR="00587AA6" w:rsidRDefault="00587AA6" w:rsidP="00587AA6">
      <w:r w:rsidRPr="00587AA6">
        <w:rPr>
          <w:b/>
          <w:bCs/>
        </w:rPr>
        <w:t>Study:</w:t>
      </w:r>
      <w:r>
        <w:t xml:space="preserve"> Find out whether including family and other perspectives helps find reasons that would go unnoticed in an internal evaluation alone.</w:t>
      </w:r>
    </w:p>
    <w:p w14:paraId="3BF7B826" w14:textId="4D06A578" w:rsidR="00587AA6" w:rsidRDefault="00587AA6" w:rsidP="00587AA6">
      <w:r w:rsidRPr="00587AA6">
        <w:rPr>
          <w:b/>
          <w:bCs/>
        </w:rPr>
        <w:t>Act:</w:t>
      </w:r>
      <w:r>
        <w:t xml:space="preserve"> Formally adopting the template and sharing the outcomes with the Regional Maternity System may enhance standard learning (Van </w:t>
      </w:r>
      <w:proofErr w:type="spellStart"/>
      <w:r>
        <w:t>Houdt</w:t>
      </w:r>
      <w:proofErr w:type="spellEnd"/>
      <w:r>
        <w:t xml:space="preserve"> et al., 2013).</w:t>
      </w:r>
    </w:p>
    <w:p w14:paraId="06CF088D" w14:textId="7CD54055" w:rsidR="00587AA6" w:rsidRPr="00587AA6" w:rsidRDefault="00587AA6" w:rsidP="00587AA6">
      <w:pPr>
        <w:rPr>
          <w:b/>
          <w:bCs/>
        </w:rPr>
      </w:pPr>
      <w:r w:rsidRPr="00587AA6">
        <w:rPr>
          <w:b/>
          <w:bCs/>
        </w:rPr>
        <w:lastRenderedPageBreak/>
        <w:t>Phase 3: A Focus on Families and the Reduction of Inequalities</w:t>
      </w:r>
    </w:p>
    <w:p w14:paraId="4F87B9B3" w14:textId="77777777" w:rsidR="00587AA6" w:rsidRDefault="00587AA6" w:rsidP="00587AA6">
      <w:r>
        <w:t>It is an important matter of public health to address the "unacceptable care" that families from Black, Asian, and economically disadvantaged backgrounds get.</w:t>
      </w:r>
    </w:p>
    <w:p w14:paraId="0B4450CB" w14:textId="57503459" w:rsidR="00587AA6" w:rsidRPr="00922E07" w:rsidRDefault="00587AA6" w:rsidP="00587AA6">
      <w:pPr>
        <w:rPr>
          <w:b/>
          <w:bCs/>
        </w:rPr>
      </w:pPr>
      <w:r w:rsidRPr="00587AA6">
        <w:rPr>
          <w:b/>
          <w:bCs/>
        </w:rPr>
        <w:t>Recommendation:</w:t>
      </w:r>
    </w:p>
    <w:p w14:paraId="1306BB7F" w14:textId="1C11F404" w:rsidR="00587AA6" w:rsidRDefault="00587AA6" w:rsidP="00587AA6">
      <w:r>
        <w:t xml:space="preserve">A Maternity and Neonatal Senior Independent Advocate (MNISA) should be designated for each trust to ensure that families' voices are heard and their needs are met. According to Webb, Stevens, and Newton (2023), women who come from high-risk backgrounds should get targeted </w:t>
      </w:r>
      <w:proofErr w:type="spellStart"/>
      <w:r>
        <w:t>MCoC</w:t>
      </w:r>
      <w:proofErr w:type="spellEnd"/>
      <w:r>
        <w:t>.</w:t>
      </w:r>
    </w:p>
    <w:p w14:paraId="52098068" w14:textId="77777777" w:rsidR="00587AA6" w:rsidRPr="00586635" w:rsidRDefault="00587AA6" w:rsidP="00587AA6">
      <w:pPr>
        <w:rPr>
          <w:b/>
          <w:bCs/>
        </w:rPr>
      </w:pPr>
      <w:r w:rsidRPr="00586635">
        <w:rPr>
          <w:b/>
          <w:bCs/>
        </w:rPr>
        <w:t>Implementation (PDSA):</w:t>
      </w:r>
    </w:p>
    <w:p w14:paraId="51BA9CC2" w14:textId="34261796" w:rsidR="00587AA6" w:rsidRDefault="00587AA6" w:rsidP="00587AA6">
      <w:r w:rsidRPr="00587AA6">
        <w:rPr>
          <w:b/>
          <w:bCs/>
        </w:rPr>
        <w:t>Plan:</w:t>
      </w:r>
      <w:r>
        <w:t xml:space="preserve"> Get a midwife on a regular basis to help low-income Black and Asian moms in one area by launching a trial program.</w:t>
      </w:r>
    </w:p>
    <w:p w14:paraId="757133C7" w14:textId="6CE2FD39" w:rsidR="00587AA6" w:rsidRDefault="00587AA6" w:rsidP="00587AA6">
      <w:r w:rsidRPr="00587AA6">
        <w:rPr>
          <w:b/>
          <w:bCs/>
        </w:rPr>
        <w:t>Do:</w:t>
      </w:r>
      <w:r>
        <w:t xml:space="preserve"> Keep an eye on the rate of elective procedures, the percentage of babies born naturally, and the number of prenatal appointments.</w:t>
      </w:r>
    </w:p>
    <w:p w14:paraId="73285C28" w14:textId="7A5E04F1" w:rsidR="00587AA6" w:rsidRDefault="00587AA6" w:rsidP="00587AA6">
      <w:r w:rsidRPr="00587AA6">
        <w:rPr>
          <w:b/>
          <w:bCs/>
        </w:rPr>
        <w:t>Study:</w:t>
      </w:r>
      <w:r>
        <w:t xml:space="preserve"> Verify the findings by comparing them to the demographic's historical records. Did earlier difficulties diagnosis correlate with the trusting relationship?</w:t>
      </w:r>
    </w:p>
    <w:p w14:paraId="77CB1019" w14:textId="76E5EA55" w:rsidR="00587AA6" w:rsidRDefault="00587AA6" w:rsidP="00587AA6">
      <w:r w:rsidRPr="00587AA6">
        <w:rPr>
          <w:b/>
          <w:bCs/>
        </w:rPr>
        <w:t>Act:</w:t>
      </w:r>
      <w:r>
        <w:t xml:space="preserve"> When results start to improve, expand the intended </w:t>
      </w:r>
      <w:proofErr w:type="spellStart"/>
      <w:r>
        <w:t>MCoC</w:t>
      </w:r>
      <w:proofErr w:type="spellEnd"/>
      <w:r>
        <w:t xml:space="preserve"> model to include postcode lottery regions.</w:t>
      </w:r>
    </w:p>
    <w:p w14:paraId="409ACB26" w14:textId="729C7880" w:rsidR="009F284B" w:rsidRPr="009F284B" w:rsidRDefault="009F284B" w:rsidP="009F284B">
      <w:pPr>
        <w:rPr>
          <w:b/>
          <w:bCs/>
        </w:rPr>
      </w:pPr>
      <w:r w:rsidRPr="009F284B">
        <w:rPr>
          <w:b/>
          <w:bCs/>
        </w:rPr>
        <w:t>Phase 4: Interdisciplinary Education and Healthcare Protocols</w:t>
      </w:r>
    </w:p>
    <w:p w14:paraId="2964FCAC" w14:textId="77C7B697" w:rsidR="009F284B" w:rsidRDefault="009F284B" w:rsidP="009F284B">
      <w:r>
        <w:t>Collaborative employees need to train together.</w:t>
      </w:r>
    </w:p>
    <w:p w14:paraId="6D5BAF1E" w14:textId="3FE10EB0" w:rsidR="00587AA6" w:rsidRDefault="009F284B" w:rsidP="009F284B">
      <w:r w:rsidRPr="009F284B">
        <w:rPr>
          <w:b/>
          <w:bCs/>
        </w:rPr>
        <w:t>Recommendation:</w:t>
      </w:r>
      <w:r>
        <w:t xml:space="preserve"> Enforce compulsory multi-disciplinary training (PROMPT) including foetal monitoring (CTG), new-born resuscitation, and the handling of obstetric crises (Akhtar, Haleem and Javaid, 2023).</w:t>
      </w:r>
    </w:p>
    <w:p w14:paraId="091E972C" w14:textId="77777777" w:rsidR="009F284B" w:rsidRPr="00586635" w:rsidRDefault="009F284B" w:rsidP="009F284B">
      <w:pPr>
        <w:rPr>
          <w:b/>
          <w:bCs/>
        </w:rPr>
      </w:pPr>
      <w:r w:rsidRPr="00586635">
        <w:rPr>
          <w:b/>
          <w:bCs/>
        </w:rPr>
        <w:t>Implementation (PDSA):</w:t>
      </w:r>
    </w:p>
    <w:p w14:paraId="7889A551" w14:textId="4D28C578" w:rsidR="009F284B" w:rsidRDefault="009F284B" w:rsidP="009F284B">
      <w:r w:rsidRPr="009F284B">
        <w:rPr>
          <w:b/>
          <w:bCs/>
        </w:rPr>
        <w:t>Plan:</w:t>
      </w:r>
      <w:r>
        <w:t xml:space="preserve"> Organise weekly "Fresh Eyes" training sessions in which midwives and obstetricians collaboratively examine anonymised CTG tracings from the preceding week (</w:t>
      </w:r>
      <w:proofErr w:type="spellStart"/>
      <w:r>
        <w:t>Alzoubi</w:t>
      </w:r>
      <w:proofErr w:type="spellEnd"/>
      <w:r>
        <w:t xml:space="preserve"> et al., 2019).</w:t>
      </w:r>
    </w:p>
    <w:p w14:paraId="645EC49B" w14:textId="492DD5E2" w:rsidR="009F284B" w:rsidRDefault="009F284B" w:rsidP="009F284B">
      <w:r w:rsidRPr="009F284B">
        <w:rPr>
          <w:b/>
          <w:bCs/>
        </w:rPr>
        <w:t>Do:</w:t>
      </w:r>
      <w:r>
        <w:t xml:space="preserve"> Facilitate the sessions and record any discrepancies in interpretation among professional cohorts.</w:t>
      </w:r>
    </w:p>
    <w:p w14:paraId="73EE3324" w14:textId="4E402297" w:rsidR="009F284B" w:rsidRDefault="009F284B" w:rsidP="009F284B">
      <w:r w:rsidRPr="009F284B">
        <w:rPr>
          <w:b/>
          <w:bCs/>
        </w:rPr>
        <w:t>Study:</w:t>
      </w:r>
      <w:r>
        <w:t xml:space="preserve"> Employ clinical audit to determine if the incidence of "overlooked" foetal distress indicators decreased in the ward subsequent to the training</w:t>
      </w:r>
      <w:r w:rsidR="00526393">
        <w:t xml:space="preserve"> (Saeb and Gregory, 2025).</w:t>
      </w:r>
    </w:p>
    <w:p w14:paraId="39117D35" w14:textId="57990FDD" w:rsidR="009F284B" w:rsidRDefault="009F284B" w:rsidP="009F284B">
      <w:r w:rsidRPr="009F284B">
        <w:rPr>
          <w:b/>
          <w:bCs/>
        </w:rPr>
        <w:lastRenderedPageBreak/>
        <w:t>Act:</w:t>
      </w:r>
      <w:r>
        <w:t xml:space="preserve"> Establish "Fresh Eyes" as a mandatory daily handover criterion.</w:t>
      </w:r>
    </w:p>
    <w:p w14:paraId="299066A4" w14:textId="59E2B3F6" w:rsidR="009F284B" w:rsidRPr="009F284B" w:rsidRDefault="009F284B" w:rsidP="009F284B">
      <w:pPr>
        <w:rPr>
          <w:b/>
          <w:bCs/>
        </w:rPr>
      </w:pPr>
      <w:r w:rsidRPr="009F284B">
        <w:rPr>
          <w:b/>
          <w:bCs/>
        </w:rPr>
        <w:t>Standard in the Real World: The "4Rs" Method</w:t>
      </w:r>
    </w:p>
    <w:p w14:paraId="2602807B" w14:textId="1DB4D309" w:rsidR="009F284B" w:rsidRDefault="009F284B" w:rsidP="009F284B">
      <w:r>
        <w:t xml:space="preserve">The "Breakthrough Series Collaborative" has been a success in maternity hospitals in Brazil when it comes to lowering mortality. The 4Rs Recognize, Rescue, Reassess, and Refer were implemented using the MEOWS, which stands for Modified Early Obstetric Warning Score. A 34.2% drop in maternal mortality and a 72.9% decrease in </w:t>
      </w:r>
      <w:proofErr w:type="spellStart"/>
      <w:r>
        <w:t>hemorrhage</w:t>
      </w:r>
      <w:proofErr w:type="spellEnd"/>
      <w:r>
        <w:t>-related death were seen as a consequence of this repeatable approach that was evaluated using PDSA cycles (Barclay and Moore, 2024).</w:t>
      </w:r>
    </w:p>
    <w:p w14:paraId="657E652C" w14:textId="61E1A983" w:rsidR="00256219" w:rsidRPr="00152ECB" w:rsidRDefault="00152ECB" w:rsidP="00152ECB">
      <w:pPr>
        <w:pStyle w:val="Heading2"/>
      </w:pPr>
      <w:bookmarkStart w:id="10" w:name="_Toc237563141"/>
      <w:r w:rsidRPr="00152ECB">
        <w:t xml:space="preserve">4. </w:t>
      </w:r>
      <w:r w:rsidR="00256219" w:rsidRPr="00152ECB">
        <w:t>Improvement</w:t>
      </w:r>
      <w:bookmarkEnd w:id="10"/>
    </w:p>
    <w:p w14:paraId="180DD7B8" w14:textId="3DB154C7" w:rsidR="00D76FC6" w:rsidRDefault="00D76FC6" w:rsidP="00D76FC6">
      <w:r>
        <w:t>The Fishbone research shows that improving Shrewsbury and Telford Hospital NHS Trust (</w:t>
      </w:r>
      <w:proofErr w:type="spellStart"/>
      <w:r>
        <w:t>SaTH</w:t>
      </w:r>
      <w:proofErr w:type="spellEnd"/>
      <w:r>
        <w:t>) involves more than fixing clinical errors.</w:t>
      </w:r>
    </w:p>
    <w:p w14:paraId="76080059" w14:textId="78A2FD55" w:rsidR="00D76FC6" w:rsidRDefault="00D76FC6" w:rsidP="00D76FC6">
      <w:r>
        <w:t xml:space="preserve">First, establish safe staffing based on patient acuity and clinical workload. A </w:t>
      </w:r>
      <w:proofErr w:type="spellStart"/>
      <w:r>
        <w:t>Birthrate</w:t>
      </w:r>
      <w:proofErr w:type="spellEnd"/>
      <w:r>
        <w:t xml:space="preserve"> Plus evaluation and real-time staffing dashboard should help </w:t>
      </w:r>
      <w:proofErr w:type="spellStart"/>
      <w:r>
        <w:t>SaTH</w:t>
      </w:r>
      <w:proofErr w:type="spellEnd"/>
      <w:r>
        <w:t xml:space="preserve"> identify dangerous staffing levels </w:t>
      </w:r>
      <w:r w:rsidRPr="00D76FC6">
        <w:t>(Foley et al., 2025)</w:t>
      </w:r>
      <w:r>
        <w:t>. The supernumerary coordinator should assess staff-to-patient ratios, staff experience, and clinical hazards during each shift. Maternity safety reports should be sent to the Trust board weekly.</w:t>
      </w:r>
    </w:p>
    <w:p w14:paraId="6E1B15D5" w14:textId="05075683" w:rsidR="00D76FC6" w:rsidRDefault="00D76FC6" w:rsidP="00D76FC6">
      <w:r>
        <w:t xml:space="preserve">For all significant occurrences, </w:t>
      </w:r>
      <w:proofErr w:type="spellStart"/>
      <w:r>
        <w:t>SaTH</w:t>
      </w:r>
      <w:proofErr w:type="spellEnd"/>
      <w:r>
        <w:t xml:space="preserve"> should implement an impartial, interdisciplinary inquiry. Obstetricians, midwives, neonatologists, governance experts, and independent chairs should conduct investigations </w:t>
      </w:r>
      <w:r w:rsidRPr="00D76FC6">
        <w:t>(Saeb and Gregory, 2025)</w:t>
      </w:r>
      <w:r>
        <w:t xml:space="preserve">. Before the inquiry, families should share their stories. Each inquiry should identify contributing issues, assign tasks to specific personnel, and set timelines. A central activity tracker should be examined at every maternal governance meeting. To assess if each activity enhanced care, the Trust should employ the Plan–Do–Study–Act cycle </w:t>
      </w:r>
      <w:r w:rsidRPr="00D76FC6">
        <w:t>(</w:t>
      </w:r>
      <w:proofErr w:type="spellStart"/>
      <w:r w:rsidRPr="00D76FC6">
        <w:t>Kumah</w:t>
      </w:r>
      <w:proofErr w:type="spellEnd"/>
      <w:r w:rsidRPr="00D76FC6">
        <w:t xml:space="preserve"> et al., 2024)</w:t>
      </w:r>
      <w:r>
        <w:t xml:space="preserve">. </w:t>
      </w:r>
    </w:p>
    <w:p w14:paraId="156F3610" w14:textId="64DF255C" w:rsidR="00D76FC6" w:rsidRDefault="00D76FC6" w:rsidP="00D76FC6">
      <w:r>
        <w:t xml:space="preserve">Midwives, obstetricians, neonatologists, and support personnel should get mandatory interdisciplinary training from </w:t>
      </w:r>
      <w:proofErr w:type="spellStart"/>
      <w:r>
        <w:t>SaTH</w:t>
      </w:r>
      <w:proofErr w:type="spellEnd"/>
      <w:r>
        <w:t xml:space="preserve">. CTG interpretation, neonatal resuscitation, obstetric crises, escalation, and courteous communication should be taught. Weekly “Fresh Eyes” meetings should let members of other professions evaluate anonymised CTG traces </w:t>
      </w:r>
      <w:r w:rsidRPr="00D76FC6">
        <w:t>(</w:t>
      </w:r>
      <w:proofErr w:type="spellStart"/>
      <w:r w:rsidRPr="00D76FC6">
        <w:t>Endalamaw</w:t>
      </w:r>
      <w:proofErr w:type="spellEnd"/>
      <w:r w:rsidRPr="00D76FC6">
        <w:t xml:space="preserve"> et al., 2024)</w:t>
      </w:r>
      <w:r>
        <w:t>. Audit the findings to see whether missed foetal compromising symptoms are diminishing.</w:t>
      </w:r>
    </w:p>
    <w:p w14:paraId="3D10C368" w14:textId="0C117982" w:rsidR="009F284B" w:rsidRDefault="009F284B" w:rsidP="00D76FC6">
      <w:r>
        <w:br w:type="page"/>
      </w:r>
    </w:p>
    <w:p w14:paraId="5BF8BAD3" w14:textId="2E221B16" w:rsidR="009F284B" w:rsidRDefault="00152ECB" w:rsidP="009F284B">
      <w:pPr>
        <w:pStyle w:val="Heading1"/>
      </w:pPr>
      <w:bookmarkStart w:id="11" w:name="_Toc237563142"/>
      <w:r>
        <w:lastRenderedPageBreak/>
        <w:t>5</w:t>
      </w:r>
      <w:r w:rsidR="00D76FC6">
        <w:t xml:space="preserve">. </w:t>
      </w:r>
      <w:r w:rsidR="009F284B">
        <w:t>Conclusion</w:t>
      </w:r>
      <w:bookmarkEnd w:id="11"/>
    </w:p>
    <w:p w14:paraId="53B06D1F" w14:textId="7F2BEB41" w:rsidR="009F284B" w:rsidRDefault="009F284B" w:rsidP="009F284B">
      <w:r>
        <w:t>Clinical safety was not a priority, but ideological birth objectives were, according to the investigation into the maternity disaster at Shrewsbury and Telford Hospital NHS Trust. Other factors that contributed to the violation of quality assurance included an inadequate workforce, a lack of openness, and a toxic organisational culture. Clinical governance was deemed non-functional according to the Ockenden Report. The Trust failed to conduct incident investigations with sufficient rigour or incorporate families' lived experiences into its learning loops. The macro-environmental variables highlighted in PESTLE research a crisis in the workforce, dilapidated physical estates, and larger social inequities in maternal outcomes compound the aforementioned root causes based on Fishbone analysis.</w:t>
      </w:r>
    </w:p>
    <w:p w14:paraId="53E81C3C" w14:textId="0C1C45CD" w:rsidR="009F284B" w:rsidRDefault="009F284B" w:rsidP="009F284B">
      <w:r>
        <w:t xml:space="preserve">A major danger to the NHS's future, according to this report's conclusions, is the inability to learn from previous safety mistakes. If improved using quality improvement tools like PDSA cycles, however, the 15 IEOs provide the ultimate safety blueprint. By implementing standardised interdisciplinary training, placing a higher priority on safe staffing than service development (as seen by the suspension of </w:t>
      </w:r>
      <w:proofErr w:type="spellStart"/>
      <w:r>
        <w:t>MCoC</w:t>
      </w:r>
      <w:proofErr w:type="spellEnd"/>
      <w:r>
        <w:t>), and elevating the so-called family voice via mechanisms such as the MNISA, trusts may begin to repair the tragically broken trust.</w:t>
      </w:r>
    </w:p>
    <w:p w14:paraId="5FA870B5" w14:textId="52ED26C8" w:rsidR="009F284B" w:rsidRDefault="009F284B" w:rsidP="009F284B">
      <w:r>
        <w:t>The ultimate goal of maternity care quality assurance is to put an end to all the individual avoidable tragedies. To achieve this goal, we must replace our present blame-driven culture with one that is proactive and based on facts. Only then will all mothers and infants be able to get the safe and compassionate care that they deserve. In order to ensure that the lives of those lost in Shropshire and other places were not in vain, it is imperative that the unfaltering commitment to reforming the system matches the courage of the 1,486 families who supported the Ockenden Review.</w:t>
      </w:r>
    </w:p>
    <w:p w14:paraId="6EF59E65" w14:textId="5FCA7D6E" w:rsidR="009F284B" w:rsidRDefault="009F284B">
      <w:pPr>
        <w:spacing w:line="259" w:lineRule="auto"/>
        <w:jc w:val="left"/>
      </w:pPr>
      <w:r>
        <w:br w:type="page"/>
      </w:r>
    </w:p>
    <w:p w14:paraId="763ABECC" w14:textId="0EF36067" w:rsidR="009F284B" w:rsidRDefault="00152ECB" w:rsidP="009F284B">
      <w:pPr>
        <w:pStyle w:val="Heading1"/>
      </w:pPr>
      <w:bookmarkStart w:id="12" w:name="_Toc237563143"/>
      <w:r>
        <w:lastRenderedPageBreak/>
        <w:t>6</w:t>
      </w:r>
      <w:bookmarkStart w:id="13" w:name="_GoBack"/>
      <w:bookmarkEnd w:id="13"/>
      <w:r w:rsidR="00D76FC6">
        <w:t xml:space="preserve">. </w:t>
      </w:r>
      <w:r w:rsidR="009F284B">
        <w:t>References</w:t>
      </w:r>
      <w:bookmarkEnd w:id="12"/>
    </w:p>
    <w:p w14:paraId="0AF74474" w14:textId="77777777" w:rsidR="00526393" w:rsidRDefault="00526393" w:rsidP="009F284B">
      <w:r>
        <w:t xml:space="preserve">Van </w:t>
      </w:r>
      <w:proofErr w:type="spellStart"/>
      <w:r>
        <w:t>Houdt</w:t>
      </w:r>
      <w:proofErr w:type="spellEnd"/>
      <w:r>
        <w:t xml:space="preserve">, S., </w:t>
      </w:r>
      <w:proofErr w:type="spellStart"/>
      <w:r>
        <w:t>Heyrman</w:t>
      </w:r>
      <w:proofErr w:type="spellEnd"/>
      <w:r>
        <w:t xml:space="preserve">, J., </w:t>
      </w:r>
      <w:proofErr w:type="spellStart"/>
      <w:r>
        <w:t>Vanhaecht</w:t>
      </w:r>
      <w:proofErr w:type="spellEnd"/>
      <w:r>
        <w:t xml:space="preserve">, K., </w:t>
      </w:r>
      <w:proofErr w:type="spellStart"/>
      <w:r>
        <w:t>Sermeus</w:t>
      </w:r>
      <w:proofErr w:type="spellEnd"/>
      <w:r>
        <w:t xml:space="preserve">, W. and De </w:t>
      </w:r>
      <w:proofErr w:type="spellStart"/>
      <w:r>
        <w:t>Lepeleire</w:t>
      </w:r>
      <w:proofErr w:type="spellEnd"/>
      <w:r>
        <w:t xml:space="preserve">, J. (2013). An in-depth analysis of theoretical frameworks for the study of care coordination. </w:t>
      </w:r>
      <w:r>
        <w:rPr>
          <w:i/>
          <w:iCs/>
        </w:rPr>
        <w:t>International Journal of Integrated Care</w:t>
      </w:r>
      <w:r>
        <w:t xml:space="preserve">, [online] 13(2). </w:t>
      </w:r>
      <w:proofErr w:type="gramStart"/>
      <w:r>
        <w:t>doi</w:t>
      </w:r>
      <w:proofErr w:type="gramEnd"/>
      <w:r>
        <w:t xml:space="preserve">: </w:t>
      </w:r>
      <w:hyperlink r:id="rId11" w:history="1">
        <w:r w:rsidRPr="009F284B">
          <w:t>https://doi.org/10.5334/ijic.1068</w:t>
        </w:r>
      </w:hyperlink>
      <w:r w:rsidRPr="009F284B">
        <w:t>.</w:t>
      </w:r>
    </w:p>
    <w:p w14:paraId="4B09C592" w14:textId="77777777" w:rsidR="00526393" w:rsidRDefault="00526393" w:rsidP="009F284B">
      <w:proofErr w:type="spellStart"/>
      <w:r>
        <w:t>Unkels</w:t>
      </w:r>
      <w:proofErr w:type="spellEnd"/>
      <w:r>
        <w:t xml:space="preserve">, R., </w:t>
      </w:r>
      <w:proofErr w:type="spellStart"/>
      <w:r>
        <w:t>Fadhlun</w:t>
      </w:r>
      <w:proofErr w:type="spellEnd"/>
      <w:r>
        <w:t xml:space="preserve"> </w:t>
      </w:r>
      <w:proofErr w:type="spellStart"/>
      <w:r>
        <w:t>Alwy</w:t>
      </w:r>
      <w:proofErr w:type="spellEnd"/>
      <w:r>
        <w:t xml:space="preserve"> Al-</w:t>
      </w:r>
      <w:proofErr w:type="spellStart"/>
      <w:r>
        <w:t>Beity</w:t>
      </w:r>
      <w:proofErr w:type="spellEnd"/>
      <w:r>
        <w:t xml:space="preserve">, Julius, Z., </w:t>
      </w:r>
      <w:proofErr w:type="spellStart"/>
      <w:r>
        <w:t>Elibariki</w:t>
      </w:r>
      <w:proofErr w:type="spellEnd"/>
      <w:r>
        <w:t xml:space="preserve"> </w:t>
      </w:r>
      <w:proofErr w:type="spellStart"/>
      <w:r>
        <w:t>Mkumbo</w:t>
      </w:r>
      <w:proofErr w:type="spellEnd"/>
      <w:r>
        <w:t xml:space="preserve">, </w:t>
      </w:r>
      <w:proofErr w:type="spellStart"/>
      <w:r>
        <w:t>Pembe</w:t>
      </w:r>
      <w:proofErr w:type="spellEnd"/>
      <w:r>
        <w:t xml:space="preserve">, A.B., Hanson, C. and </w:t>
      </w:r>
      <w:proofErr w:type="spellStart"/>
      <w:r>
        <w:t>Helle</w:t>
      </w:r>
      <w:proofErr w:type="spellEnd"/>
      <w:r>
        <w:t xml:space="preserve"> </w:t>
      </w:r>
      <w:proofErr w:type="spellStart"/>
      <w:r>
        <w:t>Molsted-Alvesson</w:t>
      </w:r>
      <w:proofErr w:type="spellEnd"/>
      <w:r>
        <w:t xml:space="preserve"> (2023). Understanding maternity care providers’ use of data in Southern Tanzania. </w:t>
      </w:r>
      <w:r>
        <w:rPr>
          <w:i/>
          <w:iCs/>
        </w:rPr>
        <w:t>BMJ Global Health</w:t>
      </w:r>
      <w:r>
        <w:t xml:space="preserve">, 8(1), pp.e010937–e010937. </w:t>
      </w:r>
      <w:proofErr w:type="gramStart"/>
      <w:r>
        <w:t>doi</w:t>
      </w:r>
      <w:proofErr w:type="gramEnd"/>
      <w:r>
        <w:t xml:space="preserve">: </w:t>
      </w:r>
      <w:hyperlink r:id="rId12" w:history="1">
        <w:r w:rsidRPr="009F284B">
          <w:t>https://doi.org/10.1136/bmjgh-2022-010937</w:t>
        </w:r>
      </w:hyperlink>
      <w:r w:rsidRPr="009F284B">
        <w:t>.</w:t>
      </w:r>
    </w:p>
    <w:p w14:paraId="50ED4B0E" w14:textId="77777777" w:rsidR="00526393" w:rsidRDefault="00526393" w:rsidP="009F284B">
      <w:r>
        <w:t xml:space="preserve">Renfrew, M.J., Cheyne, H., Burnett, A., Crozier, K., Downe, S., </w:t>
      </w:r>
      <w:proofErr w:type="spellStart"/>
      <w:r>
        <w:t>Heazell</w:t>
      </w:r>
      <w:proofErr w:type="spellEnd"/>
      <w:r>
        <w:t xml:space="preserve">, A., Hundley, V., Hunter, B., King, K., Marshall, J.E., McCourt, C., McFadden, A., </w:t>
      </w:r>
      <w:proofErr w:type="spellStart"/>
      <w:r>
        <w:t>Mondeh</w:t>
      </w:r>
      <w:proofErr w:type="spellEnd"/>
      <w:r>
        <w:t xml:space="preserve">, K., Nightingale, P., Sandall, J., Sinclair, M., Way, S., Page, L. and Gamble, J. (2022). Responding to the Ockenden Review: safe care for all needs evidence-based system change - and strengthened midwifery. </w:t>
      </w:r>
      <w:r>
        <w:rPr>
          <w:i/>
          <w:iCs/>
        </w:rPr>
        <w:t>Midwifery</w:t>
      </w:r>
      <w:r>
        <w:t xml:space="preserve">, 112, p.103391. </w:t>
      </w:r>
      <w:proofErr w:type="gramStart"/>
      <w:r>
        <w:t>doi</w:t>
      </w:r>
      <w:proofErr w:type="gramEnd"/>
      <w:r>
        <w:t xml:space="preserve">: </w:t>
      </w:r>
      <w:hyperlink r:id="rId13" w:history="1">
        <w:r w:rsidRPr="009F284B">
          <w:t>https://doi.org/10.1016/j.midw.2022.103391</w:t>
        </w:r>
      </w:hyperlink>
      <w:r w:rsidRPr="009F284B">
        <w:t>.</w:t>
      </w:r>
    </w:p>
    <w:p w14:paraId="3A6529D5" w14:textId="77777777" w:rsidR="00526393" w:rsidRDefault="00526393" w:rsidP="009F284B">
      <w:r>
        <w:t xml:space="preserve">Naz, S., Saleem, S., Shamsul Islam, Z., </w:t>
      </w:r>
      <w:proofErr w:type="spellStart"/>
      <w:r>
        <w:t>Bhamani</w:t>
      </w:r>
      <w:proofErr w:type="spellEnd"/>
      <w:r>
        <w:t xml:space="preserve">, S. and Sheikh, L. (2022). Obstetric triage improvement process using the Donabedian model of quality care: a quality improvement initiative. </w:t>
      </w:r>
      <w:r>
        <w:rPr>
          <w:i/>
          <w:iCs/>
        </w:rPr>
        <w:t>BMJ Open Quality</w:t>
      </w:r>
      <w:r>
        <w:t xml:space="preserve">, 11(2), p.e001483. </w:t>
      </w:r>
      <w:proofErr w:type="gramStart"/>
      <w:r>
        <w:t>doi</w:t>
      </w:r>
      <w:proofErr w:type="gramEnd"/>
      <w:r>
        <w:t xml:space="preserve">: </w:t>
      </w:r>
      <w:hyperlink r:id="rId14" w:history="1">
        <w:r w:rsidRPr="009F284B">
          <w:t>https://doi.org/10.1136/bmjoq-2021-001483</w:t>
        </w:r>
      </w:hyperlink>
      <w:r w:rsidRPr="009F284B">
        <w:t>.</w:t>
      </w:r>
    </w:p>
    <w:p w14:paraId="5602B0BC" w14:textId="77777777" w:rsidR="00526393" w:rsidRDefault="00526393" w:rsidP="009F284B">
      <w:proofErr w:type="spellStart"/>
      <w:r>
        <w:t>Middlemiss</w:t>
      </w:r>
      <w:proofErr w:type="spellEnd"/>
      <w:r>
        <w:t xml:space="preserve">, A.L., Channon, S., Sanders, J., Strange, H., Milton, R., Kenyon, S., </w:t>
      </w:r>
      <w:proofErr w:type="spellStart"/>
      <w:r>
        <w:t>Prendeville</w:t>
      </w:r>
      <w:proofErr w:type="spellEnd"/>
      <w:r>
        <w:t xml:space="preserve">, T., Barry, S. and Jones, A. (2025). The Moral Regime of Midwifery Continuity of Carer Implementation in England. </w:t>
      </w:r>
      <w:r>
        <w:rPr>
          <w:i/>
          <w:iCs/>
        </w:rPr>
        <w:t>Sociology of Health &amp; Illness</w:t>
      </w:r>
      <w:r>
        <w:t xml:space="preserve">, [online] 47(8). </w:t>
      </w:r>
      <w:proofErr w:type="gramStart"/>
      <w:r>
        <w:t>doi</w:t>
      </w:r>
      <w:proofErr w:type="gramEnd"/>
      <w:r>
        <w:t xml:space="preserve">: </w:t>
      </w:r>
      <w:hyperlink r:id="rId15" w:history="1">
        <w:r w:rsidRPr="009F284B">
          <w:t>https://doi.org/10.1111/1467-9566.70087</w:t>
        </w:r>
      </w:hyperlink>
      <w:r w:rsidRPr="009F284B">
        <w:t>.</w:t>
      </w:r>
    </w:p>
    <w:p w14:paraId="40430CC4" w14:textId="77777777" w:rsidR="00526393" w:rsidRDefault="00526393" w:rsidP="009F284B">
      <w:proofErr w:type="spellStart"/>
      <w:r>
        <w:t>Kumah</w:t>
      </w:r>
      <w:proofErr w:type="spellEnd"/>
      <w:r>
        <w:t xml:space="preserve">, A., </w:t>
      </w:r>
      <w:proofErr w:type="spellStart"/>
      <w:r>
        <w:t>Nwogu</w:t>
      </w:r>
      <w:proofErr w:type="spellEnd"/>
      <w:r>
        <w:t xml:space="preserve">, C.N., </w:t>
      </w:r>
      <w:proofErr w:type="spellStart"/>
      <w:r>
        <w:t>Issah</w:t>
      </w:r>
      <w:proofErr w:type="spellEnd"/>
      <w:r>
        <w:t xml:space="preserve">, A.-R., </w:t>
      </w:r>
      <w:proofErr w:type="spellStart"/>
      <w:r>
        <w:t>Obot</w:t>
      </w:r>
      <w:proofErr w:type="spellEnd"/>
      <w:r>
        <w:t xml:space="preserve">, E., </w:t>
      </w:r>
      <w:proofErr w:type="spellStart"/>
      <w:r>
        <w:t>Kanamitie</w:t>
      </w:r>
      <w:proofErr w:type="spellEnd"/>
      <w:r>
        <w:t xml:space="preserve">, D.T., </w:t>
      </w:r>
      <w:proofErr w:type="spellStart"/>
      <w:r>
        <w:t>Sifa</w:t>
      </w:r>
      <w:proofErr w:type="spellEnd"/>
      <w:r>
        <w:t xml:space="preserve">, J.S. and Aidoo, L.A. (2024). Cause-and-Effect (Fishbone) Diagram: a Tool for Generating and Organizing Quality Improvement Ideas. </w:t>
      </w:r>
      <w:r>
        <w:rPr>
          <w:i/>
          <w:iCs/>
        </w:rPr>
        <w:t>Innovations Journals</w:t>
      </w:r>
      <w:r>
        <w:t xml:space="preserve">, [online] 7(2), pp.85–87. </w:t>
      </w:r>
      <w:proofErr w:type="gramStart"/>
      <w:r>
        <w:t>doi</w:t>
      </w:r>
      <w:proofErr w:type="gramEnd"/>
      <w:r>
        <w:t xml:space="preserve">: </w:t>
      </w:r>
      <w:hyperlink r:id="rId16" w:history="1">
        <w:r w:rsidRPr="009F284B">
          <w:t>https://doi.org/10.36401/JQSH-23-42</w:t>
        </w:r>
      </w:hyperlink>
      <w:r w:rsidRPr="009F284B">
        <w:t>.</w:t>
      </w:r>
    </w:p>
    <w:p w14:paraId="674D8754" w14:textId="77777777" w:rsidR="00526393" w:rsidRDefault="00526393" w:rsidP="009F284B">
      <w:r>
        <w:t xml:space="preserve">Kruk, M.E., Lewis, T.P., Arsenault, C., </w:t>
      </w:r>
      <w:proofErr w:type="spellStart"/>
      <w:r>
        <w:t>Bhutta</w:t>
      </w:r>
      <w:proofErr w:type="spellEnd"/>
      <w:r>
        <w:t xml:space="preserve">, Z.A., </w:t>
      </w:r>
      <w:proofErr w:type="spellStart"/>
      <w:r>
        <w:t>Irimu</w:t>
      </w:r>
      <w:proofErr w:type="spellEnd"/>
      <w:r>
        <w:t xml:space="preserve">, G., </w:t>
      </w:r>
      <w:proofErr w:type="spellStart"/>
      <w:r>
        <w:t>Jeong</w:t>
      </w:r>
      <w:proofErr w:type="spellEnd"/>
      <w:r>
        <w:t xml:space="preserve">, J., Lassi, Z.S., Sawyer, S.M., </w:t>
      </w:r>
      <w:proofErr w:type="spellStart"/>
      <w:r>
        <w:t>Vaivada</w:t>
      </w:r>
      <w:proofErr w:type="spellEnd"/>
      <w:r>
        <w:t xml:space="preserve">, T., </w:t>
      </w:r>
      <w:proofErr w:type="spellStart"/>
      <w:r>
        <w:t>Waiswa</w:t>
      </w:r>
      <w:proofErr w:type="spellEnd"/>
      <w:r>
        <w:t xml:space="preserve">, P. and Yousafzai, A.K. (2022). Improving health and social systems for all children in LMICs: structural innovations to deliver high-quality services. </w:t>
      </w:r>
      <w:r>
        <w:rPr>
          <w:i/>
          <w:iCs/>
        </w:rPr>
        <w:t>The Lancet</w:t>
      </w:r>
      <w:r>
        <w:t xml:space="preserve">, 399(10337). </w:t>
      </w:r>
      <w:proofErr w:type="gramStart"/>
      <w:r>
        <w:t>doi</w:t>
      </w:r>
      <w:proofErr w:type="gramEnd"/>
      <w:r>
        <w:t xml:space="preserve">: </w:t>
      </w:r>
      <w:hyperlink r:id="rId17" w:history="1">
        <w:r w:rsidRPr="009F284B">
          <w:t>https://doi.org/10.1016/s0140-6736(21)02532-0</w:t>
        </w:r>
      </w:hyperlink>
      <w:r w:rsidRPr="009F284B">
        <w:t>.</w:t>
      </w:r>
    </w:p>
    <w:p w14:paraId="244D9056" w14:textId="77777777" w:rsidR="00526393" w:rsidRDefault="00526393" w:rsidP="009F284B">
      <w:proofErr w:type="spellStart"/>
      <w:r>
        <w:t>Endalamaw</w:t>
      </w:r>
      <w:proofErr w:type="spellEnd"/>
      <w:r>
        <w:t xml:space="preserve">, A., Khatri, R.B., </w:t>
      </w:r>
      <w:proofErr w:type="spellStart"/>
      <w:r>
        <w:t>Mengistu</w:t>
      </w:r>
      <w:proofErr w:type="spellEnd"/>
      <w:r>
        <w:t xml:space="preserve">, T.S., </w:t>
      </w:r>
      <w:proofErr w:type="spellStart"/>
      <w:r>
        <w:t>Erku</w:t>
      </w:r>
      <w:proofErr w:type="spellEnd"/>
      <w:r>
        <w:t xml:space="preserve">, D., </w:t>
      </w:r>
      <w:proofErr w:type="spellStart"/>
      <w:r>
        <w:t>Wolka</w:t>
      </w:r>
      <w:proofErr w:type="spellEnd"/>
      <w:r>
        <w:t xml:space="preserve">, E., Zewdie, A. and Assefa, Y. (2024). A scoping review of continuous quality improvement in healthcare system: Conceptualization, models and tools, barriers and facilitators, and impact. </w:t>
      </w:r>
      <w:r>
        <w:rPr>
          <w:i/>
          <w:iCs/>
        </w:rPr>
        <w:t xml:space="preserve">BioMed Central </w:t>
      </w:r>
      <w:r>
        <w:rPr>
          <w:i/>
          <w:iCs/>
        </w:rPr>
        <w:lastRenderedPageBreak/>
        <w:t>health services research</w:t>
      </w:r>
      <w:r>
        <w:t xml:space="preserve">, [online] 24(1), p.487. </w:t>
      </w:r>
      <w:proofErr w:type="gramStart"/>
      <w:r>
        <w:t>doi</w:t>
      </w:r>
      <w:proofErr w:type="gramEnd"/>
      <w:r>
        <w:t xml:space="preserve">: </w:t>
      </w:r>
      <w:hyperlink r:id="rId18" w:history="1">
        <w:r w:rsidRPr="009F284B">
          <w:t>https://doi.org/10.1186/s12913-024-10828-0</w:t>
        </w:r>
      </w:hyperlink>
      <w:r w:rsidRPr="009F284B">
        <w:t>.</w:t>
      </w:r>
    </w:p>
    <w:p w14:paraId="4EA6FF85" w14:textId="77777777" w:rsidR="00526393" w:rsidRDefault="00526393" w:rsidP="009F284B">
      <w:proofErr w:type="spellStart"/>
      <w:r>
        <w:t>Dotse-Gborgbortsi</w:t>
      </w:r>
      <w:proofErr w:type="spellEnd"/>
      <w:r>
        <w:t xml:space="preserve">, W., Nilsen, K., Ofosu, A., Matthews, Z., </w:t>
      </w:r>
      <w:proofErr w:type="spellStart"/>
      <w:r>
        <w:t>Tejedor-Garavito</w:t>
      </w:r>
      <w:proofErr w:type="spellEnd"/>
      <w:r>
        <w:t xml:space="preserve">, N., Wright, J. and </w:t>
      </w:r>
      <w:proofErr w:type="spellStart"/>
      <w:r>
        <w:t>Tatem</w:t>
      </w:r>
      <w:proofErr w:type="spellEnd"/>
      <w:r>
        <w:t xml:space="preserve">, A.J. (2022). Distance is ‘a big problem’: a geographic analysis of reported and modelled proximity to maternal health services in Ghana. </w:t>
      </w:r>
      <w:r>
        <w:rPr>
          <w:i/>
          <w:iCs/>
        </w:rPr>
        <w:t>BMC Pregnancy and Childbirth</w:t>
      </w:r>
      <w:r>
        <w:t xml:space="preserve">, 22(1). </w:t>
      </w:r>
      <w:proofErr w:type="gramStart"/>
      <w:r>
        <w:t>doi</w:t>
      </w:r>
      <w:proofErr w:type="gramEnd"/>
      <w:r>
        <w:t xml:space="preserve">: </w:t>
      </w:r>
      <w:hyperlink r:id="rId19" w:history="1">
        <w:r w:rsidRPr="009F284B">
          <w:t>https://doi.org/10.1186/s12884-022-04998-0</w:t>
        </w:r>
      </w:hyperlink>
      <w:r w:rsidRPr="009F284B">
        <w:t>.</w:t>
      </w:r>
    </w:p>
    <w:p w14:paraId="77A567B5" w14:textId="77777777" w:rsidR="00526393" w:rsidRDefault="00526393" w:rsidP="009F284B">
      <w:proofErr w:type="spellStart"/>
      <w:r>
        <w:t>Borem</w:t>
      </w:r>
      <w:proofErr w:type="spellEnd"/>
      <w:r>
        <w:t xml:space="preserve">, P., </w:t>
      </w:r>
      <w:proofErr w:type="spellStart"/>
      <w:r>
        <w:t>Gushken</w:t>
      </w:r>
      <w:proofErr w:type="spellEnd"/>
      <w:r>
        <w:t xml:space="preserve">, A.K.F., </w:t>
      </w:r>
      <w:proofErr w:type="spellStart"/>
      <w:r>
        <w:t>Gushken</w:t>
      </w:r>
      <w:proofErr w:type="spellEnd"/>
      <w:r>
        <w:t xml:space="preserve">, A.P., </w:t>
      </w:r>
      <w:proofErr w:type="spellStart"/>
      <w:r>
        <w:t>Pacagnella</w:t>
      </w:r>
      <w:proofErr w:type="spellEnd"/>
      <w:r>
        <w:t xml:space="preserve">, R. de C., </w:t>
      </w:r>
      <w:proofErr w:type="spellStart"/>
      <w:r>
        <w:t>Petenate</w:t>
      </w:r>
      <w:proofErr w:type="spellEnd"/>
      <w:r>
        <w:t xml:space="preserve">, A.J., </w:t>
      </w:r>
      <w:proofErr w:type="spellStart"/>
      <w:r>
        <w:t>Tuma</w:t>
      </w:r>
      <w:proofErr w:type="spellEnd"/>
      <w:r>
        <w:t xml:space="preserve">, P., </w:t>
      </w:r>
      <w:proofErr w:type="spellStart"/>
      <w:r>
        <w:t>Pedrilio</w:t>
      </w:r>
      <w:proofErr w:type="spellEnd"/>
      <w:r>
        <w:t xml:space="preserve">, L.S., Nariño, S., Barker, P., Barros, C.G. de and Vernal, S. (2025). A Comprehensive Strategy to Mitigate Institutional Maternal Mortality: Lessons </w:t>
      </w:r>
      <w:proofErr w:type="gramStart"/>
      <w:r>
        <w:t>From</w:t>
      </w:r>
      <w:proofErr w:type="gramEnd"/>
      <w:r>
        <w:t xml:space="preserve"> a Quality Improvement Initiative in Brazilian Maternity Hospitals. </w:t>
      </w:r>
      <w:r>
        <w:rPr>
          <w:i/>
          <w:iCs/>
        </w:rPr>
        <w:t>Global Health: Science and Practice</w:t>
      </w:r>
      <w:r>
        <w:t xml:space="preserve">, [online] 13(2), p.e2400130. </w:t>
      </w:r>
      <w:proofErr w:type="gramStart"/>
      <w:r>
        <w:t>doi</w:t>
      </w:r>
      <w:proofErr w:type="gramEnd"/>
      <w:r>
        <w:t xml:space="preserve">: </w:t>
      </w:r>
      <w:hyperlink r:id="rId20" w:history="1">
        <w:r w:rsidRPr="009F284B">
          <w:t>https://doi.org/10.9745/ghsp-d-24-00130</w:t>
        </w:r>
      </w:hyperlink>
      <w:r w:rsidRPr="009F284B">
        <w:t>.</w:t>
      </w:r>
    </w:p>
    <w:p w14:paraId="64972F61" w14:textId="602B885D" w:rsidR="00526393" w:rsidRDefault="00526393" w:rsidP="009F284B">
      <w:proofErr w:type="spellStart"/>
      <w:r>
        <w:t>Alzoubi</w:t>
      </w:r>
      <w:proofErr w:type="spellEnd"/>
      <w:r>
        <w:t xml:space="preserve">, M.M., </w:t>
      </w:r>
      <w:proofErr w:type="spellStart"/>
      <w:r>
        <w:t>Kadir</w:t>
      </w:r>
      <w:proofErr w:type="spellEnd"/>
      <w:r>
        <w:t xml:space="preserve"> </w:t>
      </w:r>
      <w:proofErr w:type="spellStart"/>
      <w:r>
        <w:t>Shahar</w:t>
      </w:r>
      <w:proofErr w:type="spellEnd"/>
      <w:r>
        <w:t xml:space="preserve">, H., Abdul </w:t>
      </w:r>
      <w:proofErr w:type="spellStart"/>
      <w:r>
        <w:t>Manaf</w:t>
      </w:r>
      <w:proofErr w:type="spellEnd"/>
      <w:r>
        <w:t xml:space="preserve">, R., </w:t>
      </w:r>
      <w:proofErr w:type="spellStart"/>
      <w:r>
        <w:t>Ariffin</w:t>
      </w:r>
      <w:proofErr w:type="spellEnd"/>
      <w:r>
        <w:t xml:space="preserve">, A.A. and Zaid M, A.-H. (2019). Total quality management in the health-care context: Integrating the literature and directing future research. </w:t>
      </w:r>
      <w:r>
        <w:rPr>
          <w:i/>
          <w:iCs/>
        </w:rPr>
        <w:t>Risk Management and Healthcare Policy</w:t>
      </w:r>
      <w:r>
        <w:t xml:space="preserve">, [online] Volume 12(12), pp.167–177. </w:t>
      </w:r>
      <w:proofErr w:type="gramStart"/>
      <w:r>
        <w:t>doi</w:t>
      </w:r>
      <w:proofErr w:type="gramEnd"/>
      <w:r>
        <w:t xml:space="preserve">: </w:t>
      </w:r>
      <w:hyperlink r:id="rId21" w:history="1">
        <w:r w:rsidRPr="009F284B">
          <w:t>https://doi.org/10.2147/rmhp.s197038</w:t>
        </w:r>
      </w:hyperlink>
      <w:r w:rsidRPr="009F284B">
        <w:t>.</w:t>
      </w:r>
    </w:p>
    <w:p w14:paraId="17018358" w14:textId="77777777" w:rsidR="00526393" w:rsidRDefault="00526393" w:rsidP="009F284B">
      <w:r>
        <w:t xml:space="preserve">The Lancet Regional Health – Europe (2025). National investigation must redefine maternity care in the UK. </w:t>
      </w:r>
      <w:r>
        <w:rPr>
          <w:i/>
          <w:iCs/>
        </w:rPr>
        <w:t>The Lancet Regional Health - Europe</w:t>
      </w:r>
      <w:r>
        <w:t xml:space="preserve">, [online] 58, p.101515. </w:t>
      </w:r>
      <w:proofErr w:type="gramStart"/>
      <w:r>
        <w:t>doi</w:t>
      </w:r>
      <w:proofErr w:type="gramEnd"/>
      <w:r>
        <w:t xml:space="preserve">: </w:t>
      </w:r>
      <w:hyperlink r:id="rId22" w:history="1">
        <w:r w:rsidRPr="009F284B">
          <w:t>https://doi.org/10.1016/j.lanepe.2025.101515</w:t>
        </w:r>
      </w:hyperlink>
      <w:r w:rsidRPr="009F284B">
        <w:t>.</w:t>
      </w:r>
    </w:p>
    <w:p w14:paraId="30188F0D" w14:textId="77777777" w:rsidR="00526393" w:rsidRDefault="00526393" w:rsidP="009F284B">
      <w:r>
        <w:t xml:space="preserve">Saeb, S. and Gregory, K.D. (2025). Plan Do Study Act Quality Improvement Model in Maternity Care. </w:t>
      </w:r>
      <w:r>
        <w:rPr>
          <w:i/>
          <w:iCs/>
        </w:rPr>
        <w:t xml:space="preserve">Obstetrics and </w:t>
      </w:r>
      <w:proofErr w:type="spellStart"/>
      <w:r>
        <w:rPr>
          <w:i/>
          <w:iCs/>
        </w:rPr>
        <w:t>Gynecology</w:t>
      </w:r>
      <w:proofErr w:type="spellEnd"/>
      <w:r>
        <w:rPr>
          <w:i/>
          <w:iCs/>
        </w:rPr>
        <w:t xml:space="preserve"> Clinics of North America</w:t>
      </w:r>
      <w:r>
        <w:t xml:space="preserve">. </w:t>
      </w:r>
      <w:proofErr w:type="gramStart"/>
      <w:r>
        <w:t>doi</w:t>
      </w:r>
      <w:proofErr w:type="gramEnd"/>
      <w:r>
        <w:t xml:space="preserve">: </w:t>
      </w:r>
      <w:hyperlink r:id="rId23" w:history="1">
        <w:r w:rsidRPr="009F284B">
          <w:t>https://doi.org/10.1016/j.ogc.2025.09.001</w:t>
        </w:r>
      </w:hyperlink>
      <w:r w:rsidRPr="009F284B">
        <w:t>.</w:t>
      </w:r>
    </w:p>
    <w:p w14:paraId="3934B586" w14:textId="77777777" w:rsidR="00526393" w:rsidRDefault="00526393" w:rsidP="009F284B">
      <w:r>
        <w:t xml:space="preserve">Iqbal, A. (2025). </w:t>
      </w:r>
      <w:r>
        <w:rPr>
          <w:i/>
          <w:iCs/>
        </w:rPr>
        <w:t>PESTLE analysis: The CEO’s guide to future-proofing a business</w:t>
      </w:r>
      <w:r>
        <w:t>. [</w:t>
      </w:r>
      <w:proofErr w:type="gramStart"/>
      <w:r>
        <w:t>online</w:t>
      </w:r>
      <w:proofErr w:type="gramEnd"/>
      <w:r>
        <w:t xml:space="preserve">] </w:t>
      </w:r>
      <w:r>
        <w:rPr>
          <w:i/>
          <w:iCs/>
        </w:rPr>
        <w:t>Medium</w:t>
      </w:r>
      <w:r>
        <w:t>. Techno-</w:t>
      </w:r>
      <w:proofErr w:type="spellStart"/>
      <w:r>
        <w:t>Preneurship</w:t>
      </w:r>
      <w:proofErr w:type="spellEnd"/>
      <w:r>
        <w:t xml:space="preserve">. Available at: </w:t>
      </w:r>
      <w:hyperlink r:id="rId24" w:history="1">
        <w:r w:rsidRPr="00AC3441">
          <w:rPr>
            <w:rStyle w:val="Hyperlink"/>
          </w:rPr>
          <w:t>https://medium.com/techno-preneurship/pestle-analysis-the-ceos-guide-to-future-proofing-a-business-877e6c4e20ea</w:t>
        </w:r>
      </w:hyperlink>
    </w:p>
    <w:p w14:paraId="36249A51" w14:textId="77777777" w:rsidR="00526393" w:rsidRDefault="00526393" w:rsidP="009F284B">
      <w:r>
        <w:t xml:space="preserve">Grierson, J. (2025). </w:t>
      </w:r>
      <w:r>
        <w:rPr>
          <w:i/>
          <w:iCs/>
        </w:rPr>
        <w:t>Victims of NHS maternity failings in England ‘received unacceptable care’</w:t>
      </w:r>
      <w:r>
        <w:t>. [</w:t>
      </w:r>
      <w:proofErr w:type="gramStart"/>
      <w:r>
        <w:t>online</w:t>
      </w:r>
      <w:proofErr w:type="gramEnd"/>
      <w:r>
        <w:t xml:space="preserve">] the Guardian. Available at: </w:t>
      </w:r>
      <w:hyperlink r:id="rId25" w:history="1">
        <w:r w:rsidRPr="00280323">
          <w:rPr>
            <w:rStyle w:val="Hyperlink"/>
          </w:rPr>
          <w:t>https://www.theguardian.com/society/2025/dec/09/victims-of-nhs-maternity-failings-in-england-received-unacceptable-care-says-report-head</w:t>
        </w:r>
      </w:hyperlink>
      <w:r>
        <w:t>.</w:t>
      </w:r>
    </w:p>
    <w:p w14:paraId="3540D797" w14:textId="77777777" w:rsidR="00526393" w:rsidRDefault="00526393" w:rsidP="009F284B">
      <w:r>
        <w:t xml:space="preserve">Foley, C., McCourt, C. and Yuill, C. (2025). An exploration of midwives’ perceptions of the Ockenden review: a qualitative study. </w:t>
      </w:r>
      <w:r>
        <w:rPr>
          <w:i/>
          <w:iCs/>
        </w:rPr>
        <w:t>Sexual &amp; Reproductive Healthcare</w:t>
      </w:r>
      <w:r>
        <w:t xml:space="preserve">, 46, p.101166. </w:t>
      </w:r>
      <w:proofErr w:type="gramStart"/>
      <w:r>
        <w:t>doi</w:t>
      </w:r>
      <w:proofErr w:type="gramEnd"/>
      <w:r>
        <w:t xml:space="preserve">: </w:t>
      </w:r>
      <w:hyperlink r:id="rId26" w:history="1">
        <w:r w:rsidRPr="009F284B">
          <w:t>https://doi.org/10.1016/j.srhc.2025.101166</w:t>
        </w:r>
      </w:hyperlink>
      <w:r w:rsidRPr="009F284B">
        <w:t>.</w:t>
      </w:r>
    </w:p>
    <w:p w14:paraId="139B7E3F" w14:textId="77777777" w:rsidR="00526393" w:rsidRDefault="00526393" w:rsidP="009F284B">
      <w:r>
        <w:t xml:space="preserve">Barclay, K. and Moore, V. (2024). Institutions and their failure to care: Bureaucracy and the practice of emotion. </w:t>
      </w:r>
      <w:r>
        <w:rPr>
          <w:i/>
          <w:iCs/>
        </w:rPr>
        <w:t>Thesis Eleven</w:t>
      </w:r>
      <w:r>
        <w:t xml:space="preserve">, 183(1). </w:t>
      </w:r>
      <w:proofErr w:type="gramStart"/>
      <w:r>
        <w:t>doi</w:t>
      </w:r>
      <w:proofErr w:type="gramEnd"/>
      <w:r>
        <w:t xml:space="preserve">: </w:t>
      </w:r>
      <w:hyperlink r:id="rId27" w:history="1">
        <w:r w:rsidRPr="009F284B">
          <w:t>https://doi.org/10.1177/07255136241285470</w:t>
        </w:r>
      </w:hyperlink>
      <w:r w:rsidRPr="009F284B">
        <w:t>.</w:t>
      </w:r>
    </w:p>
    <w:p w14:paraId="4F46E7D0" w14:textId="77777777" w:rsidR="00526393" w:rsidRDefault="00526393" w:rsidP="009F284B">
      <w:r>
        <w:lastRenderedPageBreak/>
        <w:t xml:space="preserve">Webb, J., Stevens, J. and Newton, P. (2023). Study with us. </w:t>
      </w:r>
      <w:r>
        <w:rPr>
          <w:i/>
          <w:iCs/>
        </w:rPr>
        <w:t>University of Greenwich</w:t>
      </w:r>
      <w:r>
        <w:t>. [</w:t>
      </w:r>
      <w:proofErr w:type="gramStart"/>
      <w:r>
        <w:t>online</w:t>
      </w:r>
      <w:proofErr w:type="gramEnd"/>
      <w:r>
        <w:t xml:space="preserve">] doi: </w:t>
      </w:r>
      <w:hyperlink r:id="rId28" w:history="1">
        <w:r w:rsidRPr="00280323">
          <w:rPr>
            <w:rStyle w:val="Hyperlink"/>
          </w:rPr>
          <w:t>http://gala.gre.ac.uk/id/eprint/45724/7/45724_NEWTON_Evaluation_of_clinical_nurse_tutor_project_at_Dartford_and_Gravesham_NHS_Trust.pdf</w:t>
        </w:r>
      </w:hyperlink>
      <w:r>
        <w:t>.</w:t>
      </w:r>
    </w:p>
    <w:p w14:paraId="6E3807DA" w14:textId="77777777" w:rsidR="00526393" w:rsidRDefault="00526393" w:rsidP="009F284B">
      <w:proofErr w:type="spellStart"/>
      <w:r>
        <w:t>Sheaff</w:t>
      </w:r>
      <w:proofErr w:type="spellEnd"/>
      <w:r>
        <w:t xml:space="preserve">, R. and Allen, P. (2023). NHS hospitals and the bedpan doctrine: the first 75 years. </w:t>
      </w:r>
      <w:r>
        <w:rPr>
          <w:i/>
          <w:iCs/>
        </w:rPr>
        <w:t>Policy Press eBooks</w:t>
      </w:r>
      <w:r>
        <w:t xml:space="preserve">, pp.112–135. </w:t>
      </w:r>
      <w:proofErr w:type="gramStart"/>
      <w:r>
        <w:t>doi</w:t>
      </w:r>
      <w:proofErr w:type="gramEnd"/>
      <w:r>
        <w:t xml:space="preserve">: </w:t>
      </w:r>
      <w:hyperlink r:id="rId29" w:history="1">
        <w:r w:rsidRPr="009F284B">
          <w:t>https://doi.org/10.51952/9781447368625.ch006</w:t>
        </w:r>
      </w:hyperlink>
      <w:r w:rsidRPr="009F284B">
        <w:t>.</w:t>
      </w:r>
    </w:p>
    <w:p w14:paraId="7692289C" w14:textId="77777777" w:rsidR="00526393" w:rsidRDefault="00526393" w:rsidP="009F284B">
      <w:r w:rsidRPr="00605B10">
        <w:t>NHS England (2023)</w:t>
      </w:r>
      <w:r>
        <w:t>.</w:t>
      </w:r>
      <w:r w:rsidRPr="00605B10">
        <w:t xml:space="preserve"> Three-Year Delivery Plan for Maternity and Neonatal Services. Available at: </w:t>
      </w:r>
      <w:hyperlink r:id="rId30" w:history="1">
        <w:r w:rsidRPr="00280323">
          <w:rPr>
            <w:rStyle w:val="Hyperlink"/>
          </w:rPr>
          <w:t>https://www.england.nhs.uk/publication/three-year-delivery-plan-for-maternity-and-neonatal-services</w:t>
        </w:r>
      </w:hyperlink>
    </w:p>
    <w:p w14:paraId="602CD099" w14:textId="77777777" w:rsidR="00526393" w:rsidRDefault="00526393" w:rsidP="009F284B">
      <w:r>
        <w:t xml:space="preserve">Akhtar, M.N., Haleem, A. and Javaid, M. (2023). Scope of health care system in rural areas under Medical 4.0 environment. </w:t>
      </w:r>
      <w:r>
        <w:rPr>
          <w:i/>
          <w:iCs/>
        </w:rPr>
        <w:t>Intelligent Pharmacy</w:t>
      </w:r>
      <w:r>
        <w:t xml:space="preserve">, [online] 1(4). </w:t>
      </w:r>
      <w:proofErr w:type="gramStart"/>
      <w:r>
        <w:t>doi</w:t>
      </w:r>
      <w:proofErr w:type="gramEnd"/>
      <w:r>
        <w:t xml:space="preserve">: </w:t>
      </w:r>
      <w:hyperlink r:id="rId31" w:history="1">
        <w:r w:rsidRPr="009F284B">
          <w:t>https://doi.org/10.1016/j.ipha.2023.07.003</w:t>
        </w:r>
      </w:hyperlink>
      <w:r w:rsidRPr="009F284B">
        <w:t>.</w:t>
      </w:r>
    </w:p>
    <w:p w14:paraId="324B5506" w14:textId="77777777" w:rsidR="00526393" w:rsidRDefault="00526393" w:rsidP="009F284B">
      <w:r>
        <w:t xml:space="preserve">Ockenden, D. (2022). </w:t>
      </w:r>
      <w:r>
        <w:rPr>
          <w:i/>
          <w:iCs/>
        </w:rPr>
        <w:t>Ockenden review: summary of findings, conclusions and essential actions</w:t>
      </w:r>
      <w:r>
        <w:t>. [</w:t>
      </w:r>
      <w:proofErr w:type="gramStart"/>
      <w:r>
        <w:t>online</w:t>
      </w:r>
      <w:proofErr w:type="gramEnd"/>
      <w:r>
        <w:t xml:space="preserve">] GOV.UK. Available at: </w:t>
      </w:r>
      <w:hyperlink r:id="rId32" w:history="1">
        <w:r w:rsidRPr="00280323">
          <w:rPr>
            <w:rStyle w:val="Hyperlink"/>
          </w:rPr>
          <w:t>https://www.gov.uk/government/publications/final-report-of-the-ockenden-review/ockenden-review-summary-of-findings-conclusions-and-essential-actions</w:t>
        </w:r>
      </w:hyperlink>
      <w:r>
        <w:t>.</w:t>
      </w:r>
    </w:p>
    <w:p w14:paraId="0F09A00C" w14:textId="77777777" w:rsidR="00526393" w:rsidRDefault="00526393" w:rsidP="009F284B">
      <w:r>
        <w:t xml:space="preserve">Norman, J.E., Stock, S.J. and Harmer, C. (2022). After the Ockenden review: a chance to reset maternal and perinatal care in the UK? </w:t>
      </w:r>
      <w:r>
        <w:rPr>
          <w:i/>
          <w:iCs/>
        </w:rPr>
        <w:t>The Lancet</w:t>
      </w:r>
      <w:r>
        <w:t xml:space="preserve">. </w:t>
      </w:r>
      <w:proofErr w:type="gramStart"/>
      <w:r>
        <w:t>doi</w:t>
      </w:r>
      <w:proofErr w:type="gramEnd"/>
      <w:r>
        <w:t xml:space="preserve">: </w:t>
      </w:r>
      <w:hyperlink r:id="rId33" w:history="1">
        <w:r w:rsidRPr="009F284B">
          <w:t>https://doi.org/10.1016/s0140-6736(22)00823-6</w:t>
        </w:r>
      </w:hyperlink>
      <w:r w:rsidRPr="009F284B">
        <w:t>.</w:t>
      </w:r>
    </w:p>
    <w:p w14:paraId="7F4DB02A" w14:textId="77777777" w:rsidR="00526393" w:rsidRDefault="00526393" w:rsidP="009F284B">
      <w:r>
        <w:t xml:space="preserve">Dobson, J. (2022). Ignoring women’s experience led to the NHS’s biggest maternity scandal. </w:t>
      </w:r>
      <w:r>
        <w:rPr>
          <w:i/>
          <w:iCs/>
        </w:rPr>
        <w:t>BMJ</w:t>
      </w:r>
      <w:r>
        <w:t xml:space="preserve">, p.o899. </w:t>
      </w:r>
      <w:proofErr w:type="gramStart"/>
      <w:r>
        <w:t>doi</w:t>
      </w:r>
      <w:proofErr w:type="gramEnd"/>
      <w:r>
        <w:t xml:space="preserve">: </w:t>
      </w:r>
      <w:hyperlink r:id="rId34" w:history="1">
        <w:r w:rsidRPr="009F284B">
          <w:t>https://doi.org/10.1136/bmj.o899</w:t>
        </w:r>
      </w:hyperlink>
      <w:r w:rsidRPr="009F284B">
        <w:t>.</w:t>
      </w:r>
    </w:p>
    <w:p w14:paraId="626C4A38" w14:textId="77777777" w:rsidR="00526393" w:rsidRDefault="00526393" w:rsidP="009F284B">
      <w:r w:rsidRPr="00605B10">
        <w:t>Department of Health and Social Care (2022)</w:t>
      </w:r>
      <w:r>
        <w:t>.</w:t>
      </w:r>
      <w:r w:rsidRPr="00605B10">
        <w:t xml:space="preserve"> Government Response to the Ockenden Review. Available at: </w:t>
      </w:r>
      <w:hyperlink r:id="rId35" w:history="1">
        <w:r w:rsidRPr="00280323">
          <w:rPr>
            <w:rStyle w:val="Hyperlink"/>
          </w:rPr>
          <w:t>https://www.gov.uk/government/publications/government-response-to-the-ockenden-review</w:t>
        </w:r>
      </w:hyperlink>
      <w:r>
        <w:t>.</w:t>
      </w:r>
    </w:p>
    <w:p w14:paraId="6F68360F" w14:textId="77777777" w:rsidR="00526393" w:rsidRDefault="00526393" w:rsidP="009F284B">
      <w:proofErr w:type="gramStart"/>
      <w:r>
        <w:t>de</w:t>
      </w:r>
      <w:proofErr w:type="gramEnd"/>
      <w:r>
        <w:t xml:space="preserve"> </w:t>
      </w:r>
      <w:proofErr w:type="spellStart"/>
      <w:r>
        <w:t>Jonge</w:t>
      </w:r>
      <w:proofErr w:type="spellEnd"/>
      <w:r>
        <w:t xml:space="preserve">, A., De Vries, R. and </w:t>
      </w:r>
      <w:proofErr w:type="spellStart"/>
      <w:r>
        <w:t>Declercq</w:t>
      </w:r>
      <w:proofErr w:type="spellEnd"/>
      <w:r>
        <w:t xml:space="preserve">, E. (2022). Where the Ockenden report goes wrong: Let us keep calm and follow the evidence. </w:t>
      </w:r>
      <w:r>
        <w:rPr>
          <w:i/>
          <w:iCs/>
        </w:rPr>
        <w:t>BJOG: An International Journal of Obstetrics &amp; Gynaecology</w:t>
      </w:r>
      <w:r>
        <w:t xml:space="preserve">, [online] 130(1). </w:t>
      </w:r>
      <w:proofErr w:type="gramStart"/>
      <w:r>
        <w:t>doi</w:t>
      </w:r>
      <w:proofErr w:type="gramEnd"/>
      <w:r>
        <w:t xml:space="preserve">: </w:t>
      </w:r>
      <w:hyperlink r:id="rId36" w:history="1">
        <w:r w:rsidRPr="009F284B">
          <w:t>https://doi.org/10.1111/1471-0528.17276</w:t>
        </w:r>
      </w:hyperlink>
      <w:r w:rsidRPr="009F284B">
        <w:t>.</w:t>
      </w:r>
    </w:p>
    <w:p w14:paraId="0BEED6FD" w14:textId="77777777" w:rsidR="00526393" w:rsidRDefault="00526393" w:rsidP="009F284B">
      <w:r>
        <w:t xml:space="preserve">Blair, A., Cao, J., Wilson, A. and Homer, C. (2022). Access to, and experiences of, maternity care for women with physical disabilities: A scoping review. </w:t>
      </w:r>
      <w:r>
        <w:rPr>
          <w:i/>
          <w:iCs/>
        </w:rPr>
        <w:t>Midwifery</w:t>
      </w:r>
      <w:r>
        <w:t xml:space="preserve">, 107(107), p.103273. </w:t>
      </w:r>
      <w:proofErr w:type="gramStart"/>
      <w:r>
        <w:t>doi</w:t>
      </w:r>
      <w:proofErr w:type="gramEnd"/>
      <w:r>
        <w:t xml:space="preserve">: </w:t>
      </w:r>
      <w:hyperlink r:id="rId37" w:history="1">
        <w:r w:rsidRPr="009F284B">
          <w:t>https://doi.org/10.1016/j.midw.2022.103273</w:t>
        </w:r>
      </w:hyperlink>
      <w:r w:rsidRPr="009F284B">
        <w:t>.</w:t>
      </w:r>
    </w:p>
    <w:p w14:paraId="64BA4CFF" w14:textId="77777777" w:rsidR="00526393" w:rsidRDefault="00526393" w:rsidP="009F284B">
      <w:r>
        <w:t xml:space="preserve">Dyer, C. (2021). Midlands trust told to take urgent action over care of young people with mental health needs. </w:t>
      </w:r>
      <w:r>
        <w:rPr>
          <w:i/>
          <w:iCs/>
        </w:rPr>
        <w:t>BMJ</w:t>
      </w:r>
      <w:r>
        <w:t xml:space="preserve">, p.n1020. </w:t>
      </w:r>
      <w:proofErr w:type="gramStart"/>
      <w:r>
        <w:t>doi</w:t>
      </w:r>
      <w:proofErr w:type="gramEnd"/>
      <w:r>
        <w:t xml:space="preserve">: </w:t>
      </w:r>
      <w:hyperlink r:id="rId38" w:history="1">
        <w:r w:rsidRPr="009F284B">
          <w:t>https://doi.org/10.1136/bmj.n1020</w:t>
        </w:r>
      </w:hyperlink>
      <w:r w:rsidRPr="009F284B">
        <w:t>.</w:t>
      </w:r>
    </w:p>
    <w:p w14:paraId="5A28CF77" w14:textId="77777777" w:rsidR="00526393" w:rsidRDefault="00526393" w:rsidP="009F284B">
      <w:r>
        <w:lastRenderedPageBreak/>
        <w:t xml:space="preserve">Sara, D.S., </w:t>
      </w:r>
      <w:proofErr w:type="spellStart"/>
      <w:r>
        <w:t>Niccolini</w:t>
      </w:r>
      <w:proofErr w:type="spellEnd"/>
      <w:r>
        <w:t xml:space="preserve">, F. and Giannini, M. (2020). </w:t>
      </w:r>
      <w:r>
        <w:rPr>
          <w:i/>
          <w:iCs/>
        </w:rPr>
        <w:t>Guidelines for implementing an efficient framework for knowledge triangle</w:t>
      </w:r>
      <w:r>
        <w:t>. [</w:t>
      </w:r>
      <w:proofErr w:type="gramStart"/>
      <w:r>
        <w:t>online</w:t>
      </w:r>
      <w:proofErr w:type="gramEnd"/>
      <w:r>
        <w:t xml:space="preserve">] Available at: </w:t>
      </w:r>
      <w:hyperlink r:id="rId39" w:history="1">
        <w:r w:rsidRPr="00AC3441">
          <w:rPr>
            <w:rStyle w:val="Hyperlink"/>
          </w:rPr>
          <w:t>https://www.researchgate.net/publication/342045247_Guidelines_for_implementing_an_efficient_framework_for_knowledge_triangle</w:t>
        </w:r>
      </w:hyperlink>
    </w:p>
    <w:p w14:paraId="6AABF998" w14:textId="77777777" w:rsidR="00526393" w:rsidRDefault="00526393" w:rsidP="009F284B">
      <w:proofErr w:type="spellStart"/>
      <w:r>
        <w:t>Mofidi</w:t>
      </w:r>
      <w:proofErr w:type="spellEnd"/>
      <w:r>
        <w:t xml:space="preserve">, R. and Marrow, C. (2017). The effects of the NHS reforms on quality of care. </w:t>
      </w:r>
      <w:r>
        <w:rPr>
          <w:i/>
          <w:iCs/>
        </w:rPr>
        <w:t>British Journal of Healthcare Management</w:t>
      </w:r>
      <w:r>
        <w:t xml:space="preserve">, 23(3), pp.120–130. </w:t>
      </w:r>
      <w:proofErr w:type="gramStart"/>
      <w:r>
        <w:t>doi</w:t>
      </w:r>
      <w:proofErr w:type="gramEnd"/>
      <w:r>
        <w:t xml:space="preserve">: </w:t>
      </w:r>
      <w:hyperlink r:id="rId40" w:history="1">
        <w:r w:rsidRPr="009F284B">
          <w:t>https://doi.org/10.12968/bjhc.2017.23.3.120</w:t>
        </w:r>
      </w:hyperlink>
      <w:r w:rsidRPr="009F284B">
        <w:t>.</w:t>
      </w:r>
    </w:p>
    <w:p w14:paraId="6293359A" w14:textId="77777777" w:rsidR="00526393" w:rsidRDefault="00526393" w:rsidP="009F284B">
      <w:proofErr w:type="spellStart"/>
      <w:r>
        <w:t>Gauld</w:t>
      </w:r>
      <w:proofErr w:type="spellEnd"/>
      <w:r>
        <w:t xml:space="preserve">, R. and Horsburgh, S. (2015). Healthcare professionals’ perceptions of clinical governance implementation: a qualitative New Zealand study of 3205 open-ended survey comments. </w:t>
      </w:r>
      <w:r>
        <w:rPr>
          <w:i/>
          <w:iCs/>
        </w:rPr>
        <w:t>BMJ Open</w:t>
      </w:r>
      <w:r>
        <w:t xml:space="preserve">, [online] 5(1), pp.e006157–e006157. </w:t>
      </w:r>
      <w:proofErr w:type="gramStart"/>
      <w:r>
        <w:t>doi</w:t>
      </w:r>
      <w:proofErr w:type="gramEnd"/>
      <w:r>
        <w:t xml:space="preserve">: </w:t>
      </w:r>
      <w:hyperlink r:id="rId41" w:history="1">
        <w:r w:rsidRPr="009F284B">
          <w:t>https://doi.org/10.1136/bmjopen-2014-006157</w:t>
        </w:r>
      </w:hyperlink>
      <w:r w:rsidRPr="009F284B">
        <w:t>.</w:t>
      </w:r>
    </w:p>
    <w:p w14:paraId="447C38AD" w14:textId="77777777" w:rsidR="00526393" w:rsidRDefault="00526393" w:rsidP="009F284B">
      <w:r>
        <w:t xml:space="preserve">O’Dowd, A. (2025). Maternity care: 14 NHS trusts at centre of investigation named. </w:t>
      </w:r>
      <w:r>
        <w:rPr>
          <w:i/>
          <w:iCs/>
        </w:rPr>
        <w:t>BMJ</w:t>
      </w:r>
      <w:r>
        <w:t xml:space="preserve">, [online] 390, pp.r1941–r1941. </w:t>
      </w:r>
      <w:proofErr w:type="gramStart"/>
      <w:r>
        <w:t>doi</w:t>
      </w:r>
      <w:proofErr w:type="gramEnd"/>
      <w:r>
        <w:t xml:space="preserve">: </w:t>
      </w:r>
      <w:hyperlink r:id="rId42" w:history="1">
        <w:r w:rsidRPr="009F284B">
          <w:t>https://doi.org/10.1136/bmj.r1941</w:t>
        </w:r>
      </w:hyperlink>
      <w:r w:rsidRPr="009F284B">
        <w:t>.</w:t>
      </w:r>
    </w:p>
    <w:p w14:paraId="6C97159E" w14:textId="77777777" w:rsidR="00526393" w:rsidRDefault="00526393" w:rsidP="009F284B">
      <w:r>
        <w:t xml:space="preserve">England, N. (2025b). </w:t>
      </w:r>
      <w:r>
        <w:rPr>
          <w:i/>
          <w:iCs/>
        </w:rPr>
        <w:t>NHS England» Performance report</w:t>
      </w:r>
      <w:r>
        <w:t>. [</w:t>
      </w:r>
      <w:proofErr w:type="gramStart"/>
      <w:r>
        <w:t>online</w:t>
      </w:r>
      <w:proofErr w:type="gramEnd"/>
      <w:r>
        <w:t xml:space="preserve">] England.nhs.uk. Available at: </w:t>
      </w:r>
      <w:hyperlink r:id="rId43" w:history="1">
        <w:r w:rsidRPr="00280323">
          <w:rPr>
            <w:rStyle w:val="Hyperlink"/>
          </w:rPr>
          <w:t>https://www.england.nhs.uk/long-read/performance-report-24-25/</w:t>
        </w:r>
      </w:hyperlink>
      <w:r>
        <w:t>.</w:t>
      </w:r>
    </w:p>
    <w:p w14:paraId="7B254741" w14:textId="77777777" w:rsidR="00526393" w:rsidRDefault="00526393" w:rsidP="009F284B">
      <w:r>
        <w:t xml:space="preserve">England, N. (2025a). </w:t>
      </w:r>
      <w:r>
        <w:rPr>
          <w:i/>
          <w:iCs/>
        </w:rPr>
        <w:t>NHS England» Maternity and neonatal infrastructure review findings</w:t>
      </w:r>
      <w:r>
        <w:t>. [</w:t>
      </w:r>
      <w:proofErr w:type="gramStart"/>
      <w:r>
        <w:t>online</w:t>
      </w:r>
      <w:proofErr w:type="gramEnd"/>
      <w:r>
        <w:t xml:space="preserve">] England.nhs.uk. Available at: </w:t>
      </w:r>
      <w:hyperlink r:id="rId44" w:history="1">
        <w:r w:rsidRPr="00280323">
          <w:rPr>
            <w:rStyle w:val="Hyperlink"/>
          </w:rPr>
          <w:t>https://www.england.nhs.uk/long-read/maternity-and-neonatal-infrastructure-review-findings/</w:t>
        </w:r>
      </w:hyperlink>
      <w:r>
        <w:t>.</w:t>
      </w:r>
    </w:p>
    <w:p w14:paraId="6BD73427" w14:textId="77777777" w:rsidR="009F284B" w:rsidRDefault="009F284B" w:rsidP="009F284B"/>
    <w:p w14:paraId="662C0253" w14:textId="77777777" w:rsidR="009F284B" w:rsidRPr="00530CBE" w:rsidRDefault="009F284B" w:rsidP="009F284B"/>
    <w:sectPr w:rsidR="009F284B" w:rsidRPr="00530CBE">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C676D8" w14:textId="77777777" w:rsidR="00AE1D34" w:rsidRDefault="00AE1D34" w:rsidP="00526393">
      <w:pPr>
        <w:spacing w:after="0" w:line="240" w:lineRule="auto"/>
      </w:pPr>
      <w:r>
        <w:separator/>
      </w:r>
    </w:p>
  </w:endnote>
  <w:endnote w:type="continuationSeparator" w:id="0">
    <w:p w14:paraId="290E00AF" w14:textId="77777777" w:rsidR="00AE1D34" w:rsidRDefault="00AE1D34" w:rsidP="005263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70128018"/>
      <w:docPartObj>
        <w:docPartGallery w:val="Page Numbers (Bottom of Page)"/>
        <w:docPartUnique/>
      </w:docPartObj>
    </w:sdtPr>
    <w:sdtEndPr>
      <w:rPr>
        <w:noProof/>
      </w:rPr>
    </w:sdtEndPr>
    <w:sdtContent>
      <w:p w14:paraId="06A59430" w14:textId="54101FD9" w:rsidR="00526393" w:rsidRDefault="00526393">
        <w:pPr>
          <w:pStyle w:val="Footer"/>
          <w:jc w:val="right"/>
        </w:pPr>
        <w:r>
          <w:fldChar w:fldCharType="begin"/>
        </w:r>
        <w:r>
          <w:instrText xml:space="preserve"> PAGE   \* MERGEFORMAT </w:instrText>
        </w:r>
        <w:r>
          <w:fldChar w:fldCharType="separate"/>
        </w:r>
        <w:r w:rsidR="00152ECB">
          <w:rPr>
            <w:noProof/>
          </w:rPr>
          <w:t>17</w:t>
        </w:r>
        <w:r>
          <w:rPr>
            <w:noProof/>
          </w:rPr>
          <w:fldChar w:fldCharType="end"/>
        </w:r>
      </w:p>
    </w:sdtContent>
  </w:sdt>
  <w:p w14:paraId="0B8AC015" w14:textId="77777777" w:rsidR="00526393" w:rsidRDefault="005263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BE07CD3" w14:textId="77777777" w:rsidR="00AE1D34" w:rsidRDefault="00AE1D34" w:rsidP="00526393">
      <w:pPr>
        <w:spacing w:after="0" w:line="240" w:lineRule="auto"/>
      </w:pPr>
      <w:r>
        <w:separator/>
      </w:r>
    </w:p>
  </w:footnote>
  <w:footnote w:type="continuationSeparator" w:id="0">
    <w:p w14:paraId="1B0C37AC" w14:textId="77777777" w:rsidR="00AE1D34" w:rsidRDefault="00AE1D34" w:rsidP="0052639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3A97"/>
    <w:rsid w:val="0010466D"/>
    <w:rsid w:val="001078E1"/>
    <w:rsid w:val="00146109"/>
    <w:rsid w:val="00152ECB"/>
    <w:rsid w:val="00170DAF"/>
    <w:rsid w:val="001C55A5"/>
    <w:rsid w:val="001D7DB2"/>
    <w:rsid w:val="001F777E"/>
    <w:rsid w:val="00256219"/>
    <w:rsid w:val="00290BBF"/>
    <w:rsid w:val="002F757F"/>
    <w:rsid w:val="00413FA8"/>
    <w:rsid w:val="00424B46"/>
    <w:rsid w:val="004407A3"/>
    <w:rsid w:val="004567B3"/>
    <w:rsid w:val="00526393"/>
    <w:rsid w:val="00530CBE"/>
    <w:rsid w:val="00537D14"/>
    <w:rsid w:val="00570885"/>
    <w:rsid w:val="00587AA6"/>
    <w:rsid w:val="00617D0B"/>
    <w:rsid w:val="006920AF"/>
    <w:rsid w:val="006B29A4"/>
    <w:rsid w:val="00754F83"/>
    <w:rsid w:val="007B15E0"/>
    <w:rsid w:val="007B48A9"/>
    <w:rsid w:val="008D3A97"/>
    <w:rsid w:val="00905896"/>
    <w:rsid w:val="009109B0"/>
    <w:rsid w:val="00922E07"/>
    <w:rsid w:val="00955F96"/>
    <w:rsid w:val="009F284B"/>
    <w:rsid w:val="00AE1D34"/>
    <w:rsid w:val="00BE13BA"/>
    <w:rsid w:val="00C12E49"/>
    <w:rsid w:val="00C845EF"/>
    <w:rsid w:val="00D76FC6"/>
    <w:rsid w:val="00DE4CEB"/>
    <w:rsid w:val="00F31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7ADF0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3A97"/>
    <w:pPr>
      <w:spacing w:line="360" w:lineRule="auto"/>
      <w:jc w:val="both"/>
    </w:pPr>
    <w:rPr>
      <w:rFonts w:ascii="Arial" w:hAnsi="Arial"/>
    </w:rPr>
  </w:style>
  <w:style w:type="paragraph" w:styleId="Heading1">
    <w:name w:val="heading 1"/>
    <w:basedOn w:val="Normal"/>
    <w:next w:val="Normal"/>
    <w:link w:val="Heading1Char"/>
    <w:autoRedefine/>
    <w:uiPriority w:val="9"/>
    <w:qFormat/>
    <w:rsid w:val="008D3A9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152ECB"/>
    <w:pPr>
      <w:keepNext/>
      <w:keepLines/>
      <w:spacing w:before="40" w:after="0"/>
      <w:outlineLvl w:val="1"/>
    </w:pPr>
    <w:rPr>
      <w:rFonts w:eastAsiaTheme="majorEastAsia" w:cstheme="majorBidi"/>
      <w:color w:val="2F5496" w:themeColor="accent1" w:themeShade="BF"/>
      <w:sz w:val="32"/>
      <w:szCs w:val="26"/>
    </w:rPr>
  </w:style>
  <w:style w:type="paragraph" w:styleId="Heading3">
    <w:name w:val="heading 3"/>
    <w:basedOn w:val="Normal"/>
    <w:next w:val="Normal"/>
    <w:link w:val="Heading3Char"/>
    <w:autoRedefine/>
    <w:uiPriority w:val="9"/>
    <w:semiHidden/>
    <w:unhideWhenUsed/>
    <w:qFormat/>
    <w:rsid w:val="00D76FC6"/>
    <w:pPr>
      <w:keepNext/>
      <w:keepLines/>
      <w:spacing w:before="40" w:after="0"/>
      <w:outlineLvl w:val="2"/>
    </w:pPr>
    <w:rPr>
      <w:rFonts w:eastAsiaTheme="majorEastAsia" w:cstheme="majorBidi"/>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52ECB"/>
    <w:rPr>
      <w:rFonts w:ascii="Arial" w:eastAsiaTheme="majorEastAsia" w:hAnsi="Arial" w:cstheme="majorBidi"/>
      <w:color w:val="2F5496" w:themeColor="accent1" w:themeShade="BF"/>
      <w:sz w:val="32"/>
      <w:szCs w:val="26"/>
    </w:rPr>
  </w:style>
  <w:style w:type="character" w:customStyle="1" w:styleId="Heading1Char">
    <w:name w:val="Heading 1 Char"/>
    <w:basedOn w:val="DefaultParagraphFont"/>
    <w:link w:val="Heading1"/>
    <w:uiPriority w:val="9"/>
    <w:rsid w:val="008D3A97"/>
    <w:rPr>
      <w:rFonts w:ascii="Arial" w:eastAsiaTheme="majorEastAsia" w:hAnsi="Arial" w:cstheme="majorBidi"/>
      <w:color w:val="2F5496" w:themeColor="accent1" w:themeShade="BF"/>
      <w:sz w:val="32"/>
      <w:szCs w:val="32"/>
    </w:rPr>
  </w:style>
  <w:style w:type="table" w:styleId="TableGrid">
    <w:name w:val="Table Grid"/>
    <w:basedOn w:val="TableNormal"/>
    <w:uiPriority w:val="39"/>
    <w:rsid w:val="008D3A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24B4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9F284B"/>
    <w:rPr>
      <w:color w:val="0563C1" w:themeColor="hyperlink"/>
      <w:u w:val="single"/>
    </w:rPr>
  </w:style>
  <w:style w:type="paragraph" w:styleId="NormalWeb">
    <w:name w:val="Normal (Web)"/>
    <w:basedOn w:val="Normal"/>
    <w:uiPriority w:val="99"/>
    <w:semiHidden/>
    <w:unhideWhenUsed/>
    <w:rsid w:val="009F284B"/>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customStyle="1" w:styleId="UnresolvedMention">
    <w:name w:val="Unresolved Mention"/>
    <w:basedOn w:val="DefaultParagraphFont"/>
    <w:uiPriority w:val="99"/>
    <w:semiHidden/>
    <w:unhideWhenUsed/>
    <w:rsid w:val="009F284B"/>
    <w:rPr>
      <w:color w:val="605E5C"/>
      <w:shd w:val="clear" w:color="auto" w:fill="E1DFDD"/>
    </w:rPr>
  </w:style>
  <w:style w:type="paragraph" w:styleId="Header">
    <w:name w:val="header"/>
    <w:basedOn w:val="Normal"/>
    <w:link w:val="HeaderChar"/>
    <w:uiPriority w:val="99"/>
    <w:unhideWhenUsed/>
    <w:rsid w:val="005263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6393"/>
    <w:rPr>
      <w:rFonts w:ascii="Arial" w:hAnsi="Arial"/>
    </w:rPr>
  </w:style>
  <w:style w:type="paragraph" w:styleId="Footer">
    <w:name w:val="footer"/>
    <w:basedOn w:val="Normal"/>
    <w:link w:val="FooterChar"/>
    <w:uiPriority w:val="99"/>
    <w:unhideWhenUsed/>
    <w:rsid w:val="005263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6393"/>
    <w:rPr>
      <w:rFonts w:ascii="Arial" w:hAnsi="Arial"/>
    </w:rPr>
  </w:style>
  <w:style w:type="paragraph" w:styleId="TOCHeading">
    <w:name w:val="TOC Heading"/>
    <w:basedOn w:val="Heading1"/>
    <w:next w:val="Normal"/>
    <w:uiPriority w:val="39"/>
    <w:unhideWhenUsed/>
    <w:qFormat/>
    <w:rsid w:val="00526393"/>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526393"/>
    <w:pPr>
      <w:spacing w:after="100"/>
    </w:pPr>
  </w:style>
  <w:style w:type="paragraph" w:styleId="TOC2">
    <w:name w:val="toc 2"/>
    <w:basedOn w:val="Normal"/>
    <w:next w:val="Normal"/>
    <w:autoRedefine/>
    <w:uiPriority w:val="39"/>
    <w:unhideWhenUsed/>
    <w:rsid w:val="00526393"/>
    <w:pPr>
      <w:spacing w:after="100"/>
      <w:ind w:left="220"/>
    </w:pPr>
  </w:style>
  <w:style w:type="character" w:customStyle="1" w:styleId="Heading3Char">
    <w:name w:val="Heading 3 Char"/>
    <w:basedOn w:val="DefaultParagraphFont"/>
    <w:link w:val="Heading3"/>
    <w:uiPriority w:val="9"/>
    <w:semiHidden/>
    <w:rsid w:val="00D76FC6"/>
    <w:rPr>
      <w:rFonts w:ascii="Arial" w:eastAsiaTheme="majorEastAsia" w:hAnsi="Arial" w:cstheme="majorBidi"/>
      <w:color w:val="1F3763" w:themeColor="accent1" w:themeShade="7F"/>
      <w:sz w:val="26"/>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74883881">
      <w:bodyDiv w:val="1"/>
      <w:marLeft w:val="0"/>
      <w:marRight w:val="0"/>
      <w:marTop w:val="0"/>
      <w:marBottom w:val="0"/>
      <w:divBdr>
        <w:top w:val="none" w:sz="0" w:space="0" w:color="auto"/>
        <w:left w:val="none" w:sz="0" w:space="0" w:color="auto"/>
        <w:bottom w:val="none" w:sz="0" w:space="0" w:color="auto"/>
        <w:right w:val="none" w:sz="0" w:space="0" w:color="auto"/>
      </w:divBdr>
      <w:divsChild>
        <w:div w:id="16494324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midw.2022.103391" TargetMode="External"/><Relationship Id="rId18" Type="http://schemas.openxmlformats.org/officeDocument/2006/relationships/hyperlink" Target="https://doi.org/10.1186/s12913-024-10828-0" TargetMode="External"/><Relationship Id="rId26" Type="http://schemas.openxmlformats.org/officeDocument/2006/relationships/hyperlink" Target="https://doi.org/10.1016/j.srhc.2025.101166" TargetMode="External"/><Relationship Id="rId39" Type="http://schemas.openxmlformats.org/officeDocument/2006/relationships/hyperlink" Target="https://www.researchgate.net/publication/342045247_Guidelines_for_implementing_an_efficient_framework_for_knowledge_triangle" TargetMode="External"/><Relationship Id="rId21" Type="http://schemas.openxmlformats.org/officeDocument/2006/relationships/hyperlink" Target="https://doi.org/10.2147/rmhp.s197038" TargetMode="External"/><Relationship Id="rId34" Type="http://schemas.openxmlformats.org/officeDocument/2006/relationships/hyperlink" Target="https://doi.org/10.1136/bmj.o899" TargetMode="External"/><Relationship Id="rId42" Type="http://schemas.openxmlformats.org/officeDocument/2006/relationships/hyperlink" Target="https://doi.org/10.1136/bmj.r1941" TargetMode="External"/><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36401/JQSH-23-42" TargetMode="External"/><Relationship Id="rId29" Type="http://schemas.openxmlformats.org/officeDocument/2006/relationships/hyperlink" Target="https://doi.org/10.51952/9781447368625.ch00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5334/ijic.1068" TargetMode="External"/><Relationship Id="rId24" Type="http://schemas.openxmlformats.org/officeDocument/2006/relationships/hyperlink" Target="https://medium.com/techno-preneurship/pestle-analysis-the-ceos-guide-to-future-proofing-a-business-877e6c4e20ea" TargetMode="External"/><Relationship Id="rId32" Type="http://schemas.openxmlformats.org/officeDocument/2006/relationships/hyperlink" Target="https://www.gov.uk/government/publications/final-report-of-the-ockenden-review/ockenden-review-summary-of-findings-conclusions-and-essential-actions" TargetMode="External"/><Relationship Id="rId37" Type="http://schemas.openxmlformats.org/officeDocument/2006/relationships/hyperlink" Target="https://doi.org/10.1016/j.midw.2022.103273" TargetMode="External"/><Relationship Id="rId40" Type="http://schemas.openxmlformats.org/officeDocument/2006/relationships/hyperlink" Target="https://doi.org/10.12968/bjhc.2017.23.3.120"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111/1467-9566.70087" TargetMode="External"/><Relationship Id="rId23" Type="http://schemas.openxmlformats.org/officeDocument/2006/relationships/hyperlink" Target="https://doi.org/10.1016/j.ogc.2025.09.001" TargetMode="External"/><Relationship Id="rId28" Type="http://schemas.openxmlformats.org/officeDocument/2006/relationships/hyperlink" Target="http://gala.gre.ac.uk/id/eprint/45724/7/45724_NEWTON_Evaluation_of_clinical_nurse_tutor_project_at_Dartford_and_Gravesham_NHS_Trust.pdf" TargetMode="External"/><Relationship Id="rId36" Type="http://schemas.openxmlformats.org/officeDocument/2006/relationships/hyperlink" Target="https://doi.org/10.1111/1471-0528.17276" TargetMode="External"/><Relationship Id="rId10" Type="http://schemas.openxmlformats.org/officeDocument/2006/relationships/image" Target="media/image4.jpeg"/><Relationship Id="rId19" Type="http://schemas.openxmlformats.org/officeDocument/2006/relationships/hyperlink" Target="https://doi.org/10.1186/s12884-022-04998-0" TargetMode="External"/><Relationship Id="rId31" Type="http://schemas.openxmlformats.org/officeDocument/2006/relationships/hyperlink" Target="https://doi.org/10.1016/j.ipha.2023.07.003" TargetMode="External"/><Relationship Id="rId44" Type="http://schemas.openxmlformats.org/officeDocument/2006/relationships/hyperlink" Target="https://www.england.nhs.uk/long-read/maternity-and-neonatal-infrastructure-review-finding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136/bmjoq-2021-001483" TargetMode="External"/><Relationship Id="rId22" Type="http://schemas.openxmlformats.org/officeDocument/2006/relationships/hyperlink" Target="https://doi.org/10.1016/j.lanepe.2025.101515" TargetMode="External"/><Relationship Id="rId27" Type="http://schemas.openxmlformats.org/officeDocument/2006/relationships/hyperlink" Target="https://doi.org/10.1177/07255136241285470" TargetMode="External"/><Relationship Id="rId30" Type="http://schemas.openxmlformats.org/officeDocument/2006/relationships/hyperlink" Target="https://www.england.nhs.uk/publication/three-year-delivery-plan-for-maternity-and-neonatal-services" TargetMode="External"/><Relationship Id="rId35" Type="http://schemas.openxmlformats.org/officeDocument/2006/relationships/hyperlink" Target="https://www.gov.uk/government/publications/government-response-to-the-ockenden-review" TargetMode="External"/><Relationship Id="rId43" Type="http://schemas.openxmlformats.org/officeDocument/2006/relationships/hyperlink" Target="https://www.england.nhs.uk/long-read/performance-report-24-25/"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doi.org/10.1136/bmjgh-2022-010937" TargetMode="External"/><Relationship Id="rId17" Type="http://schemas.openxmlformats.org/officeDocument/2006/relationships/hyperlink" Target="https://doi.org/10.1016/s0140-6736(21)02532-0" TargetMode="External"/><Relationship Id="rId25" Type="http://schemas.openxmlformats.org/officeDocument/2006/relationships/hyperlink" Target="https://www.theguardian.com/society/2025/dec/09/victims-of-nhs-maternity-failings-in-england-received-unacceptable-care-says-report-head" TargetMode="External"/><Relationship Id="rId33" Type="http://schemas.openxmlformats.org/officeDocument/2006/relationships/hyperlink" Target="https://doi.org/10.1016/s0140-6736(22)00823-6" TargetMode="External"/><Relationship Id="rId38" Type="http://schemas.openxmlformats.org/officeDocument/2006/relationships/hyperlink" Target="https://doi.org/10.1136/bmj.n1020" TargetMode="External"/><Relationship Id="rId46" Type="http://schemas.openxmlformats.org/officeDocument/2006/relationships/fontTable" Target="fontTable.xml"/><Relationship Id="rId20" Type="http://schemas.openxmlformats.org/officeDocument/2006/relationships/hyperlink" Target="https://doi.org/10.9745/ghsp-d-24-00130" TargetMode="External"/><Relationship Id="rId41" Type="http://schemas.openxmlformats.org/officeDocument/2006/relationships/hyperlink" Target="https://doi.org/10.1136/bmjopen-2014-0061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ADC3FF-2858-4E63-B536-E7FBC1F9A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5256</Words>
  <Characters>29965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2026-08-13T20:51:00Z</dcterms:created>
  <dcterms:modified xsi:type="dcterms:W3CDTF">2026-08-13T11:51:00Z</dcterms:modified>
</cp:coreProperties>
</file>