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50C06B">
      <w:pPr>
        <w:spacing w:line="360" w:lineRule="auto"/>
        <w:rPr>
          <w:rFonts w:hint="default" w:ascii="Arial" w:hAnsi="Arial" w:cs="Arial"/>
          <w:sz w:val="22"/>
          <w:szCs w:val="22"/>
          <w:lang w:val="en-PH"/>
        </w:rPr>
      </w:pPr>
      <w:r>
        <w:rPr>
          <w:rFonts w:hint="default" w:ascii="Arial" w:hAnsi="Arial" w:cs="Arial"/>
          <w:sz w:val="22"/>
          <w:szCs w:val="22"/>
        </w:rPr>
        <w:drawing>
          <wp:inline distT="0" distB="0" distL="114300" distR="114300">
            <wp:extent cx="1651000" cy="674370"/>
            <wp:effectExtent l="0" t="0" r="0" b="0"/>
            <wp:docPr id="11"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1" name="Picture 9" descr="Discover University of Wales Trinity Saint David"/>
                    <pic:cNvPicPr/>
                  </pic:nvPicPr>
                  <pic:blipFill>
                    <a:blip r:embed="rId4"/>
                    <a:srcRect/>
                    <a:stretch>
                      <a:fillRect/>
                    </a:stretch>
                  </pic:blipFill>
                  <pic:spPr>
                    <a:xfrm>
                      <a:off x="0" y="0"/>
                      <a:ext cx="1651000" cy="674370"/>
                    </a:xfrm>
                    <a:prstGeom prst="rect">
                      <a:avLst/>
                    </a:prstGeom>
                    <a:noFill/>
                    <a:ln>
                      <a:noFill/>
                      <a:prstDash val="solid"/>
                    </a:ln>
                  </pic:spPr>
                </pic:pic>
              </a:graphicData>
            </a:graphic>
          </wp:inline>
        </w:drawing>
      </w:r>
    </w:p>
    <w:p w14:paraId="0E49D6BD">
      <w:pPr>
        <w:spacing w:line="360" w:lineRule="auto"/>
        <w:rPr>
          <w:rFonts w:hint="default" w:ascii="Arial" w:hAnsi="Arial" w:cs="Arial"/>
          <w:sz w:val="22"/>
          <w:szCs w:val="22"/>
        </w:rPr>
      </w:pPr>
    </w:p>
    <w:p w14:paraId="5B4E9497">
      <w:pPr>
        <w:spacing w:line="360" w:lineRule="auto"/>
        <w:rPr>
          <w:rFonts w:hint="default" w:ascii="Arial" w:hAnsi="Arial" w:cs="Arial"/>
          <w:sz w:val="22"/>
          <w:szCs w:val="22"/>
        </w:rPr>
      </w:pPr>
    </w:p>
    <w:p w14:paraId="14A487C4">
      <w:pPr>
        <w:spacing w:line="360" w:lineRule="auto"/>
        <w:rPr>
          <w:rFonts w:hint="default" w:ascii="Arial" w:hAnsi="Arial" w:cs="Arial"/>
          <w:sz w:val="22"/>
          <w:szCs w:val="22"/>
        </w:rPr>
      </w:pPr>
    </w:p>
    <w:p w14:paraId="04B8E07C">
      <w:pPr>
        <w:spacing w:line="360" w:lineRule="auto"/>
        <w:rPr>
          <w:rFonts w:hint="default" w:ascii="Arial" w:hAnsi="Arial" w:cs="Arial"/>
          <w:b/>
          <w:bCs/>
          <w:sz w:val="22"/>
          <w:szCs w:val="22"/>
        </w:rPr>
      </w:pPr>
    </w:p>
    <w:p w14:paraId="26E26037">
      <w:pPr>
        <w:spacing w:line="360" w:lineRule="auto"/>
        <w:jc w:val="left"/>
        <w:rPr>
          <w:rFonts w:hint="default" w:ascii="Arial" w:hAnsi="Arial" w:cs="Arial"/>
          <w:sz w:val="22"/>
          <w:szCs w:val="22"/>
          <w:lang w:val="en-PH"/>
        </w:rPr>
      </w:pPr>
      <w:r>
        <w:rPr>
          <w:rFonts w:hint="default" w:ascii="Arial" w:hAnsi="Arial" w:cs="Arial"/>
          <w:b/>
          <w:bCs/>
          <w:sz w:val="22"/>
          <w:szCs w:val="22"/>
        </w:rPr>
        <w:t xml:space="preserve">Student </w:t>
      </w:r>
      <w:r>
        <w:rPr>
          <w:rFonts w:hint="default" w:ascii="Arial" w:hAnsi="Arial" w:cs="Arial"/>
          <w:b/>
          <w:bCs/>
          <w:sz w:val="22"/>
          <w:szCs w:val="22"/>
          <w:lang w:val="en-PH"/>
        </w:rPr>
        <w:t>N</w:t>
      </w:r>
      <w:r>
        <w:rPr>
          <w:rFonts w:hint="default" w:ascii="Arial" w:hAnsi="Arial" w:cs="Arial"/>
          <w:b/>
          <w:bCs/>
          <w:sz w:val="22"/>
          <w:szCs w:val="22"/>
        </w:rPr>
        <w:t>ame:</w:t>
      </w:r>
      <w:r>
        <w:rPr>
          <w:rFonts w:hint="default" w:ascii="Arial" w:hAnsi="Arial" w:cs="Arial"/>
          <w:sz w:val="22"/>
          <w:szCs w:val="22"/>
          <w:lang w:val="en-PH"/>
        </w:rPr>
        <w:t xml:space="preserve"> Erlita Bunda Anisco</w:t>
      </w:r>
    </w:p>
    <w:p w14:paraId="104247EB">
      <w:pPr>
        <w:spacing w:line="360" w:lineRule="auto"/>
        <w:jc w:val="left"/>
        <w:rPr>
          <w:rFonts w:hint="default" w:ascii="Arial" w:hAnsi="Arial" w:cs="Arial"/>
          <w:sz w:val="22"/>
          <w:szCs w:val="22"/>
          <w:lang w:val="en-PH"/>
        </w:rPr>
      </w:pPr>
      <w:r>
        <w:rPr>
          <w:rFonts w:hint="default" w:ascii="Arial" w:hAnsi="Arial" w:cs="Arial"/>
          <w:b/>
          <w:bCs/>
          <w:sz w:val="22"/>
          <w:szCs w:val="22"/>
        </w:rPr>
        <w:t>Student ID:</w:t>
      </w:r>
      <w:r>
        <w:rPr>
          <w:rFonts w:hint="default" w:ascii="Arial" w:hAnsi="Arial" w:cs="Arial"/>
          <w:sz w:val="22"/>
          <w:szCs w:val="22"/>
          <w:lang w:val="en-PH"/>
        </w:rPr>
        <w:t xml:space="preserve"> </w:t>
      </w:r>
      <w:r>
        <w:rPr>
          <w:rFonts w:hint="default" w:ascii="Arial" w:hAnsi="Arial" w:cs="Arial"/>
          <w:sz w:val="22"/>
          <w:szCs w:val="22"/>
        </w:rPr>
        <w:t>2508848</w:t>
      </w:r>
      <w:r>
        <w:rPr>
          <w:rFonts w:hint="default" w:ascii="Arial" w:hAnsi="Arial" w:cs="Arial"/>
          <w:sz w:val="22"/>
          <w:szCs w:val="22"/>
        </w:rPr>
        <w:br w:type="textWrapping"/>
      </w:r>
      <w:r>
        <w:rPr>
          <w:rFonts w:hint="default" w:ascii="Arial" w:hAnsi="Arial" w:cs="Arial"/>
          <w:b/>
          <w:bCs/>
          <w:sz w:val="22"/>
          <w:szCs w:val="22"/>
        </w:rPr>
        <w:t>Module name:</w:t>
      </w:r>
      <w:r>
        <w:rPr>
          <w:rFonts w:hint="default" w:ascii="Arial" w:hAnsi="Arial" w:cs="Arial"/>
          <w:sz w:val="22"/>
          <w:szCs w:val="22"/>
          <w:lang w:val="en-PH"/>
        </w:rPr>
        <w:t xml:space="preserve"> Psychology in Health and Social Care</w:t>
      </w:r>
      <w:r>
        <w:rPr>
          <w:rFonts w:hint="default" w:ascii="Arial" w:hAnsi="Arial" w:cs="Arial"/>
          <w:sz w:val="22"/>
          <w:szCs w:val="22"/>
        </w:rPr>
        <w:t xml:space="preserve"> </w:t>
      </w:r>
      <w:r>
        <w:rPr>
          <w:rFonts w:hint="default" w:ascii="Arial" w:hAnsi="Arial" w:cs="Arial"/>
          <w:sz w:val="22"/>
          <w:szCs w:val="22"/>
        </w:rPr>
        <w:br w:type="textWrapping"/>
      </w:r>
      <w:r>
        <w:rPr>
          <w:rFonts w:hint="default" w:ascii="Arial" w:hAnsi="Arial" w:cs="Arial"/>
          <w:b/>
          <w:bCs/>
          <w:sz w:val="22"/>
          <w:szCs w:val="22"/>
        </w:rPr>
        <w:t>Module code:</w:t>
      </w:r>
      <w:r>
        <w:rPr>
          <w:rFonts w:hint="default" w:ascii="Arial" w:hAnsi="Arial" w:cs="Arial"/>
          <w:sz w:val="22"/>
          <w:szCs w:val="22"/>
          <w:lang w:val="en-PH"/>
        </w:rPr>
        <w:t xml:space="preserve"> LCHS4010</w:t>
      </w:r>
    </w:p>
    <w:p w14:paraId="60587EEE">
      <w:pPr>
        <w:spacing w:line="360" w:lineRule="auto"/>
        <w:jc w:val="left"/>
        <w:rPr>
          <w:rFonts w:hint="default" w:ascii="Arial" w:hAnsi="Arial" w:cs="Arial"/>
          <w:b w:val="0"/>
          <w:bCs w:val="0"/>
          <w:sz w:val="22"/>
          <w:szCs w:val="22"/>
          <w:lang w:val="en-PH"/>
        </w:rPr>
      </w:pPr>
      <w:r>
        <w:rPr>
          <w:rFonts w:hint="default" w:ascii="Arial" w:hAnsi="Arial" w:cs="Arial"/>
          <w:b/>
          <w:bCs/>
          <w:sz w:val="22"/>
          <w:szCs w:val="22"/>
        </w:rPr>
        <w:t xml:space="preserve">Assignment </w:t>
      </w:r>
      <w:r>
        <w:rPr>
          <w:rFonts w:hint="default" w:ascii="Arial" w:hAnsi="Arial" w:cs="Arial"/>
          <w:b/>
          <w:bCs/>
          <w:sz w:val="22"/>
          <w:szCs w:val="22"/>
          <w:lang w:val="en-PH"/>
        </w:rPr>
        <w:t>Title:</w:t>
      </w:r>
      <w:r>
        <w:rPr>
          <w:rFonts w:hint="default" w:ascii="Arial" w:hAnsi="Arial" w:cs="Arial"/>
          <w:sz w:val="22"/>
          <w:szCs w:val="22"/>
          <w:lang w:val="en-PH"/>
        </w:rPr>
        <w:t xml:space="preserve"> Component 2 : Essay</w:t>
      </w:r>
      <w:r>
        <w:rPr>
          <w:rFonts w:hint="default" w:ascii="Arial" w:hAnsi="Arial" w:cs="Arial"/>
          <w:sz w:val="22"/>
          <w:szCs w:val="22"/>
        </w:rPr>
        <w:br w:type="textWrapping"/>
      </w:r>
      <w:r>
        <w:rPr>
          <w:rFonts w:hint="default" w:ascii="Arial" w:hAnsi="Arial" w:cs="Arial"/>
          <w:b/>
          <w:bCs/>
          <w:sz w:val="22"/>
          <w:szCs w:val="22"/>
        </w:rPr>
        <w:t>Lecturer name:</w:t>
      </w:r>
      <w:r>
        <w:rPr>
          <w:rFonts w:hint="default" w:ascii="Arial" w:hAnsi="Arial" w:cs="Arial"/>
          <w:b/>
          <w:bCs/>
          <w:sz w:val="22"/>
          <w:szCs w:val="22"/>
          <w:lang w:val="en-PH"/>
        </w:rPr>
        <w:t xml:space="preserve"> </w:t>
      </w:r>
      <w:r>
        <w:rPr>
          <w:rFonts w:hint="default" w:ascii="Arial" w:hAnsi="Arial" w:cs="Arial"/>
          <w:b w:val="0"/>
          <w:bCs w:val="0"/>
          <w:sz w:val="22"/>
          <w:szCs w:val="22"/>
          <w:lang w:val="en-PH"/>
        </w:rPr>
        <w:t>Peace Ukachukwu</w:t>
      </w:r>
    </w:p>
    <w:p w14:paraId="687E0AFD">
      <w:pPr>
        <w:spacing w:line="360" w:lineRule="auto"/>
        <w:rPr>
          <w:rFonts w:hint="default" w:ascii="Arial" w:hAnsi="Arial" w:cs="Arial"/>
          <w:sz w:val="22"/>
          <w:szCs w:val="22"/>
        </w:rPr>
      </w:pPr>
    </w:p>
    <w:p w14:paraId="2DCD218E">
      <w:pPr>
        <w:spacing w:line="360" w:lineRule="auto"/>
        <w:rPr>
          <w:rFonts w:hint="default" w:ascii="Arial" w:hAnsi="Arial" w:cs="Arial"/>
          <w:sz w:val="22"/>
          <w:szCs w:val="22"/>
        </w:rPr>
      </w:pPr>
    </w:p>
    <w:p w14:paraId="5069C799">
      <w:pPr>
        <w:spacing w:line="360" w:lineRule="auto"/>
        <w:rPr>
          <w:rFonts w:hint="default" w:ascii="Arial" w:hAnsi="Arial" w:cs="Arial"/>
          <w:sz w:val="22"/>
          <w:szCs w:val="22"/>
        </w:rPr>
      </w:pPr>
    </w:p>
    <w:p w14:paraId="1F90395F">
      <w:pPr>
        <w:spacing w:line="360" w:lineRule="auto"/>
        <w:rPr>
          <w:rFonts w:hint="default" w:ascii="Arial" w:hAnsi="Arial" w:cs="Arial"/>
          <w:sz w:val="22"/>
          <w:szCs w:val="22"/>
        </w:rPr>
      </w:pPr>
    </w:p>
    <w:p w14:paraId="347CABC8">
      <w:pPr>
        <w:spacing w:line="360" w:lineRule="auto"/>
        <w:rPr>
          <w:rFonts w:hint="default" w:ascii="Arial" w:hAnsi="Arial" w:cs="Arial"/>
          <w:sz w:val="22"/>
          <w:szCs w:val="22"/>
        </w:rPr>
      </w:pPr>
    </w:p>
    <w:p w14:paraId="47FC5E09">
      <w:pPr>
        <w:spacing w:line="360" w:lineRule="auto"/>
        <w:rPr>
          <w:rFonts w:hint="default" w:ascii="Arial" w:hAnsi="Arial" w:cs="Arial"/>
          <w:sz w:val="22"/>
          <w:szCs w:val="22"/>
        </w:rPr>
      </w:pPr>
    </w:p>
    <w:p w14:paraId="58FA10E7">
      <w:pPr>
        <w:spacing w:line="360" w:lineRule="auto"/>
        <w:rPr>
          <w:rFonts w:hint="default" w:ascii="Arial" w:hAnsi="Arial" w:cs="Arial"/>
          <w:sz w:val="22"/>
          <w:szCs w:val="22"/>
        </w:rPr>
      </w:pPr>
    </w:p>
    <w:p w14:paraId="7020AEC3">
      <w:pPr>
        <w:spacing w:line="360" w:lineRule="auto"/>
        <w:rPr>
          <w:rFonts w:hint="default" w:ascii="Arial" w:hAnsi="Arial" w:cs="Arial"/>
          <w:sz w:val="22"/>
          <w:szCs w:val="22"/>
        </w:rPr>
      </w:pPr>
    </w:p>
    <w:p w14:paraId="703054A3">
      <w:pPr>
        <w:spacing w:line="360" w:lineRule="auto"/>
        <w:rPr>
          <w:rFonts w:hint="default" w:ascii="Arial" w:hAnsi="Arial" w:cs="Arial"/>
          <w:sz w:val="22"/>
          <w:szCs w:val="22"/>
        </w:rPr>
      </w:pPr>
    </w:p>
    <w:p w14:paraId="67B81CBB">
      <w:pPr>
        <w:spacing w:line="360" w:lineRule="auto"/>
        <w:rPr>
          <w:rFonts w:hint="default" w:ascii="Arial" w:hAnsi="Arial" w:cs="Arial"/>
          <w:sz w:val="22"/>
          <w:szCs w:val="22"/>
        </w:rPr>
      </w:pPr>
    </w:p>
    <w:p w14:paraId="26C73336">
      <w:pPr>
        <w:spacing w:line="360" w:lineRule="auto"/>
        <w:rPr>
          <w:rFonts w:hint="default" w:ascii="Arial" w:hAnsi="Arial" w:cs="Arial"/>
          <w:sz w:val="22"/>
          <w:szCs w:val="22"/>
        </w:rPr>
      </w:pPr>
    </w:p>
    <w:p w14:paraId="0BCB4B78">
      <w:pPr>
        <w:spacing w:line="360" w:lineRule="auto"/>
        <w:rPr>
          <w:rFonts w:hint="default" w:ascii="Arial" w:hAnsi="Arial" w:cs="Arial"/>
          <w:sz w:val="22"/>
          <w:szCs w:val="22"/>
        </w:rPr>
      </w:pPr>
    </w:p>
    <w:p w14:paraId="0C8889A7">
      <w:pPr>
        <w:spacing w:line="360" w:lineRule="auto"/>
        <w:rPr>
          <w:rFonts w:hint="default" w:ascii="Arial" w:hAnsi="Arial" w:cs="Arial"/>
          <w:sz w:val="22"/>
          <w:szCs w:val="22"/>
        </w:rPr>
      </w:pPr>
    </w:p>
    <w:p w14:paraId="41821E32">
      <w:pPr>
        <w:spacing w:line="360" w:lineRule="auto"/>
        <w:rPr>
          <w:rFonts w:hint="default" w:ascii="Arial" w:hAnsi="Arial" w:cs="Arial"/>
          <w:sz w:val="22"/>
          <w:szCs w:val="22"/>
        </w:rPr>
      </w:pPr>
    </w:p>
    <w:p w14:paraId="42EE9BCF">
      <w:pPr>
        <w:spacing w:line="360" w:lineRule="auto"/>
        <w:rPr>
          <w:rFonts w:hint="default" w:ascii="Arial" w:hAnsi="Arial" w:cs="Arial"/>
          <w:sz w:val="22"/>
          <w:szCs w:val="22"/>
        </w:rPr>
      </w:pPr>
    </w:p>
    <w:p w14:paraId="184BD35D">
      <w:pPr>
        <w:spacing w:line="360" w:lineRule="auto"/>
        <w:rPr>
          <w:rFonts w:hint="default" w:ascii="Arial" w:hAnsi="Arial" w:cs="Arial"/>
          <w:sz w:val="22"/>
          <w:szCs w:val="22"/>
        </w:rPr>
      </w:pPr>
    </w:p>
    <w:p w14:paraId="3FD617EE">
      <w:pPr>
        <w:spacing w:line="360" w:lineRule="auto"/>
        <w:rPr>
          <w:rFonts w:hint="default" w:ascii="Arial" w:hAnsi="Arial" w:cs="Arial"/>
          <w:sz w:val="22"/>
          <w:szCs w:val="22"/>
        </w:rPr>
      </w:pPr>
    </w:p>
    <w:p w14:paraId="29589A17">
      <w:pPr>
        <w:spacing w:line="360" w:lineRule="auto"/>
        <w:rPr>
          <w:rFonts w:hint="default" w:ascii="Arial" w:hAnsi="Arial" w:cs="Arial"/>
          <w:sz w:val="22"/>
          <w:szCs w:val="22"/>
        </w:rPr>
      </w:pPr>
    </w:p>
    <w:p w14:paraId="43858A49">
      <w:pPr>
        <w:spacing w:line="360" w:lineRule="auto"/>
        <w:rPr>
          <w:rFonts w:hint="default" w:ascii="Arial" w:hAnsi="Arial" w:cs="Arial"/>
          <w:sz w:val="22"/>
          <w:szCs w:val="22"/>
        </w:rPr>
      </w:pPr>
    </w:p>
    <w:p w14:paraId="15441094">
      <w:pPr>
        <w:spacing w:line="360" w:lineRule="auto"/>
        <w:rPr>
          <w:rFonts w:hint="default" w:ascii="Arial" w:hAnsi="Arial" w:cs="Arial"/>
          <w:sz w:val="22"/>
          <w:szCs w:val="22"/>
        </w:rPr>
      </w:pPr>
    </w:p>
    <w:p w14:paraId="5D9AC60D">
      <w:pPr>
        <w:spacing w:line="360" w:lineRule="auto"/>
        <w:rPr>
          <w:rFonts w:hint="default" w:ascii="Arial" w:hAnsi="Arial" w:cs="Arial"/>
          <w:sz w:val="22"/>
          <w:szCs w:val="22"/>
        </w:rPr>
      </w:pPr>
    </w:p>
    <w:p w14:paraId="4D0D5BAB">
      <w:pPr>
        <w:spacing w:line="360" w:lineRule="auto"/>
        <w:rPr>
          <w:rFonts w:hint="default" w:ascii="Arial" w:hAnsi="Arial" w:cs="Arial"/>
          <w:sz w:val="22"/>
          <w:szCs w:val="22"/>
        </w:rPr>
      </w:pPr>
    </w:p>
    <w:p w14:paraId="241B04A5">
      <w:pPr>
        <w:spacing w:line="360" w:lineRule="auto"/>
        <w:rPr>
          <w:rFonts w:hint="default" w:ascii="Arial" w:hAnsi="Arial" w:cs="Arial"/>
          <w:sz w:val="22"/>
          <w:szCs w:val="22"/>
        </w:rPr>
      </w:pPr>
    </w:p>
    <w:p w14:paraId="2A7C7F4F">
      <w:pPr>
        <w:spacing w:line="360" w:lineRule="auto"/>
        <w:jc w:val="center"/>
        <w:rPr>
          <w:rFonts w:hint="default" w:ascii="Arial" w:hAnsi="Arial" w:cs="Arial"/>
          <w:b/>
          <w:bCs/>
          <w:sz w:val="22"/>
          <w:szCs w:val="22"/>
          <w:lang w:val="en-PH"/>
        </w:rPr>
      </w:pPr>
      <w:r>
        <w:rPr>
          <w:rFonts w:hint="default" w:ascii="Arial" w:hAnsi="Arial" w:cs="Arial"/>
          <w:b/>
          <w:bCs/>
          <w:sz w:val="22"/>
          <w:szCs w:val="22"/>
          <w:lang w:val="en-PH"/>
        </w:rPr>
        <w:t>Impact of Social Media on Mental Health Adolescence</w:t>
      </w:r>
    </w:p>
    <w:p w14:paraId="6F7FE57A">
      <w:pPr>
        <w:spacing w:line="360" w:lineRule="auto"/>
        <w:jc w:val="left"/>
        <w:rPr>
          <w:rFonts w:hint="default" w:ascii="Arial" w:hAnsi="Arial" w:cs="Arial"/>
          <w:b/>
          <w:bCs/>
          <w:sz w:val="22"/>
          <w:szCs w:val="22"/>
          <w:lang w:val="en-PH"/>
        </w:rPr>
      </w:pPr>
      <w:r>
        <w:rPr>
          <w:rFonts w:hint="default" w:ascii="Arial" w:hAnsi="Arial" w:cs="Arial"/>
          <w:b/>
          <w:bCs/>
          <w:sz w:val="22"/>
          <w:szCs w:val="22"/>
          <w:lang w:val="en-PH"/>
        </w:rPr>
        <w:t>Introduction</w:t>
      </w:r>
    </w:p>
    <w:p w14:paraId="7F3704F1">
      <w:pPr>
        <w:spacing w:line="360" w:lineRule="auto"/>
        <w:rPr>
          <w:rFonts w:hint="default" w:ascii="Arial" w:hAnsi="Arial" w:cs="Arial"/>
          <w:b w:val="0"/>
          <w:bCs w:val="0"/>
          <w:sz w:val="22"/>
          <w:szCs w:val="22"/>
          <w:lang w:val="en-PH"/>
        </w:rPr>
      </w:pPr>
      <w:r>
        <w:rPr>
          <w:rFonts w:hint="default" w:ascii="Arial" w:hAnsi="Arial" w:cs="Arial"/>
          <w:sz w:val="22"/>
          <w:szCs w:val="22"/>
          <w:lang w:val="en-PH"/>
        </w:rPr>
        <w:t xml:space="preserve">The rapid growth of social media has fundamentallt changed the way adolescents communicate, build relationshups and access information. Platforms such as </w:t>
      </w:r>
      <w:r>
        <w:rPr>
          <w:rFonts w:hint="default" w:ascii="Arial" w:hAnsi="Arial" w:cs="Arial"/>
          <w:b w:val="0"/>
          <w:bCs w:val="0"/>
          <w:sz w:val="22"/>
          <w:szCs w:val="22"/>
          <w:lang w:val="en-PH"/>
        </w:rPr>
        <w:t>Instagram, TikTok, Snapchat and Facebook have become integral to young people’s daily lives, providing opportunities for social interaction, self-espression, learning and access to health-related information. While these platforms can promote social connectedness and emotional support, increasing evidence suggests that excessive or problematic social media use may negatively affect adolescents mental health. Studies have linked frequent or problematic social media use with increased symptoms of anxiety, depression, low self-esteem, body dissatisfaction, sleep disturbances  and experiences of cyberbullying (Keles, McCrae and Grealish, 2020). Conversely  when used responsibly, social media can facilitate peer support, encourage positive identity development and improve access to educational and mental health resources (Odgers and Jensen, 2020)</w:t>
      </w:r>
    </w:p>
    <w:p w14:paraId="5785020C">
      <w:pPr>
        <w:spacing w:line="360" w:lineRule="auto"/>
        <w:rPr>
          <w:rFonts w:hint="default" w:ascii="Arial" w:hAnsi="Arial" w:cs="Arial"/>
          <w:b w:val="0"/>
          <w:bCs w:val="0"/>
          <w:sz w:val="22"/>
          <w:szCs w:val="22"/>
          <w:lang w:val="en-PH"/>
        </w:rPr>
      </w:pPr>
      <w:r>
        <w:rPr>
          <w:rFonts w:hint="default" w:ascii="Arial" w:hAnsi="Arial" w:cs="Arial"/>
          <w:b w:val="0"/>
          <w:bCs w:val="0"/>
          <w:sz w:val="22"/>
          <w:szCs w:val="22"/>
          <w:lang w:val="en-PH"/>
        </w:rPr>
        <w:t>Adolescence is a critical stage of development characterized by significant physical, psychological and social changes. During this period, young people estbalish their personal identity, develop emotional resilience and form meaningful relationships that influence their long term mental well being (WHO, 2021). Understanding how social media affects adolescents mental health is therefore essential for healthcare professionals, educators and families seeking ti promote positive posychological development.</w:t>
      </w:r>
    </w:p>
    <w:p w14:paraId="56F81AEE">
      <w:pPr>
        <w:spacing w:line="360" w:lineRule="auto"/>
        <w:rPr>
          <w:rFonts w:hint="default" w:ascii="Arial" w:hAnsi="Arial" w:cs="Arial"/>
          <w:b w:val="0"/>
          <w:bCs w:val="0"/>
          <w:sz w:val="22"/>
          <w:szCs w:val="22"/>
          <w:lang w:val="en-PH"/>
        </w:rPr>
      </w:pPr>
      <w:r>
        <w:rPr>
          <w:rFonts w:hint="default" w:ascii="Arial" w:hAnsi="Arial" w:cs="Arial"/>
          <w:b w:val="0"/>
          <w:bCs w:val="0"/>
          <w:sz w:val="22"/>
          <w:szCs w:val="22"/>
          <w:lang w:val="en-PH"/>
        </w:rPr>
        <w:t>These essay examines the impact of social media on adolescents mental health by applying Erikson’s Psychosocial Theory and Bowlby’s Attachment Theory. Erikson’s theory is used to explore how social media influences identity formation during adolescence, while Bowlby’s theory explains how early attachment relationships may affect adolescents emotional responses to online experiences. By integrating these theoritical perspectives with current research evidence, the essay critically evaluates both positive and negative effects of social media and considers their implications for supporting adolescents mental health.</w:t>
      </w:r>
    </w:p>
    <w:p w14:paraId="215C5029">
      <w:pPr>
        <w:spacing w:line="360" w:lineRule="auto"/>
        <w:rPr>
          <w:rFonts w:hint="default" w:ascii="Arial" w:hAnsi="Arial" w:cs="Arial"/>
          <w:b w:val="0"/>
          <w:bCs w:val="0"/>
          <w:sz w:val="22"/>
          <w:szCs w:val="22"/>
          <w:lang w:val="en-PH"/>
        </w:rPr>
      </w:pPr>
    </w:p>
    <w:p w14:paraId="7D2AA0D6">
      <w:pPr>
        <w:spacing w:line="360" w:lineRule="auto"/>
        <w:jc w:val="left"/>
        <w:rPr>
          <w:rFonts w:hint="default" w:ascii="Arial" w:hAnsi="Arial" w:cs="Arial"/>
          <w:b/>
          <w:bCs/>
          <w:sz w:val="22"/>
          <w:szCs w:val="22"/>
          <w:lang w:val="en-PH"/>
        </w:rPr>
      </w:pPr>
      <w:r>
        <w:rPr>
          <w:rFonts w:hint="default" w:ascii="Arial" w:hAnsi="Arial" w:cs="Arial"/>
          <w:b/>
          <w:bCs/>
          <w:sz w:val="22"/>
          <w:szCs w:val="22"/>
          <w:lang w:val="en-PH"/>
        </w:rPr>
        <w:t>The Application of Erikson’s Theory in Evaluating the Impact of Social Media on Adolescence Mental Health</w:t>
      </w:r>
    </w:p>
    <w:p w14:paraId="44E39F89">
      <w:pPr>
        <w:spacing w:line="360" w:lineRule="auto"/>
        <w:jc w:val="left"/>
        <w:rPr>
          <w:rFonts w:hint="default" w:ascii="Arial" w:hAnsi="Arial" w:cs="Arial"/>
          <w:b w:val="0"/>
          <w:bCs w:val="0"/>
          <w:sz w:val="22"/>
          <w:szCs w:val="22"/>
          <w:lang w:val="en-PH"/>
        </w:rPr>
      </w:pPr>
      <w:r>
        <w:rPr>
          <w:rFonts w:hint="default" w:ascii="Arial" w:hAnsi="Arial" w:cs="Arial"/>
          <w:b w:val="0"/>
          <w:bCs w:val="0"/>
          <w:sz w:val="22"/>
          <w:szCs w:val="22"/>
          <w:lang w:val="en-PH"/>
        </w:rPr>
        <w:t xml:space="preserve">Erikson’s (1968) argued that adolescence as the developmental stage of identity versus role confusion, during which young people work establish a clear understanding of who they are, their beliefs and values, and the role the wish to play in society.  Successfully resolving this stage leads to confidence, a stable identity and improved emotional well being. However, if adolescents struggle to develop a secure sense of self, the may experience uncertainly, low self-esteem and emotional difficulties. This theory provides a useful perspective for understanding the relationship between social media nad adolescents mental health because digital platforms have become an important environment for identity exploration. Social media enables adolescents to communicate with others, express personal opinions, explore hobbies and interest, and participate in online communities with people who share similar experiences. These opportunities can strengthen social connectedness, increase confidence and provide emotional support, paticularly for adolescents who feel isolated in their offline lives (Odgers and Jensen, 2020). Consequently, postive online experiences may contribute to helathy identity development and improve psychological wellbeing. </w:t>
      </w:r>
    </w:p>
    <w:p w14:paraId="20E435F8">
      <w:pPr>
        <w:spacing w:line="360" w:lineRule="auto"/>
        <w:jc w:val="left"/>
        <w:rPr>
          <w:rFonts w:hint="default" w:ascii="Arial" w:hAnsi="Arial" w:cs="Arial"/>
          <w:b w:val="0"/>
          <w:bCs w:val="0"/>
          <w:sz w:val="22"/>
          <w:szCs w:val="22"/>
          <w:lang w:val="en-PH"/>
        </w:rPr>
      </w:pPr>
      <w:r>
        <w:rPr>
          <w:rFonts w:hint="default" w:ascii="Arial" w:hAnsi="Arial" w:cs="Arial"/>
          <w:b w:val="0"/>
          <w:bCs w:val="0"/>
          <w:sz w:val="22"/>
          <w:szCs w:val="22"/>
          <w:lang w:val="en-PH"/>
        </w:rPr>
        <w:t>Despites these benefits, Erikson’s theory also explains why social media negatively influence mental health. Because adolescents are developing their identity, they are especially sensitive to peerr acceptance and social evaluation. Many social media platforms encourage comparison through photographs, follower counts, likes and comments which may lead young people to judge theur value according to online feedback rather than their personal qualities. When expectations are unrealistics or approval islacking, adolescents may experience dissatisfaction within themselves, reduced confidence and emotional distress. Research by Keles, McCrae and Grealish (2020) found that problematic social media use is associated with higher levels or anxiety, depression and psychological distress among adolescents, suggesting that excessive dependence on online validation interfere with healthy identity development.</w:t>
      </w:r>
    </w:p>
    <w:p w14:paraId="1EB50EAA">
      <w:pPr>
        <w:spacing w:line="360" w:lineRule="auto"/>
        <w:jc w:val="left"/>
        <w:rPr>
          <w:rFonts w:hint="default" w:ascii="Arial" w:hAnsi="Arial" w:cs="Arial"/>
          <w:b w:val="0"/>
          <w:bCs w:val="0"/>
          <w:sz w:val="22"/>
          <w:szCs w:val="22"/>
          <w:lang w:val="en-PH"/>
        </w:rPr>
      </w:pPr>
      <w:r>
        <w:rPr>
          <w:rFonts w:hint="default" w:ascii="Arial" w:hAnsi="Arial" w:cs="Arial"/>
          <w:b w:val="0"/>
          <w:bCs w:val="0"/>
          <w:sz w:val="22"/>
          <w:szCs w:val="22"/>
          <w:lang w:val="en-PH"/>
        </w:rPr>
        <w:t xml:space="preserve">Although Erikson’s theory effectively explain how identity formation influences adolescents responses to social media, it does not fully explain why some young people remain resilient despite negative online experiences. Factors such as family relationships, personality, culture and digital literacy also influence mental health outcomes. Therefore, Erikson’s theory should be considered alongside other developmental theories to provide a broader understanding of adolescent wellbeing. </w:t>
      </w:r>
    </w:p>
    <w:p w14:paraId="4CAD929B">
      <w:pPr>
        <w:spacing w:line="360" w:lineRule="auto"/>
        <w:jc w:val="left"/>
        <w:rPr>
          <w:rFonts w:hint="default" w:ascii="Arial" w:hAnsi="Arial" w:cs="Arial"/>
          <w:b w:val="0"/>
          <w:bCs w:val="0"/>
          <w:sz w:val="22"/>
          <w:szCs w:val="22"/>
          <w:lang w:val="en-PH"/>
        </w:rPr>
      </w:pPr>
    </w:p>
    <w:p w14:paraId="5E61992A">
      <w:pPr>
        <w:spacing w:line="360" w:lineRule="auto"/>
        <w:jc w:val="left"/>
        <w:rPr>
          <w:rFonts w:hint="default" w:ascii="Arial" w:hAnsi="Arial" w:cs="Arial"/>
          <w:b w:val="0"/>
          <w:bCs w:val="0"/>
          <w:sz w:val="22"/>
          <w:szCs w:val="22"/>
          <w:lang w:val="en-PH"/>
        </w:rPr>
      </w:pPr>
      <w:r>
        <w:rPr>
          <w:rFonts w:hint="default" w:ascii="Arial" w:hAnsi="Arial" w:cs="Arial"/>
          <w:b/>
          <w:bCs/>
          <w:sz w:val="22"/>
          <w:szCs w:val="22"/>
          <w:lang w:val="en-PH"/>
        </w:rPr>
        <w:t>The Application of Bowlby’sTheory in Evaluating the Impact of Social Media on Adolescence Mental Health</w:t>
      </w:r>
    </w:p>
    <w:p w14:paraId="321DC28B">
      <w:pPr>
        <w:spacing w:line="360" w:lineRule="auto"/>
        <w:jc w:val="left"/>
        <w:rPr>
          <w:rFonts w:hint="default" w:ascii="Arial" w:hAnsi="Arial" w:eastAsia="SimSun" w:cs="Arial"/>
          <w:sz w:val="22"/>
          <w:szCs w:val="22"/>
        </w:rPr>
      </w:pPr>
      <w:r>
        <w:rPr>
          <w:rFonts w:hint="default" w:ascii="Arial" w:hAnsi="Arial" w:eastAsia="SimSun" w:cs="Arial"/>
          <w:sz w:val="22"/>
          <w:szCs w:val="22"/>
        </w:rPr>
        <w:t>Bowlby’s Attachment Theory proposes that the quality of early relationships with caregivers shapes emotional security, self-esteem and the ability to establish healthy relationships throughout life (Bowlby, 1969). Adolescents who have experienced secure attachment are generally more confident in seeking support, regulating emotions and coping with stressful situations. In contrast, insecure attachment may result in emotional dependence, fear of rejection and greater sensitivity to interpersonal difficulties.</w:t>
      </w:r>
      <w:r>
        <w:rPr>
          <w:rFonts w:hint="default" w:ascii="Arial" w:hAnsi="Arial" w:eastAsia="SimSun" w:cs="Arial"/>
          <w:sz w:val="22"/>
          <w:szCs w:val="22"/>
        </w:rPr>
        <w:br w:type="textWrapping"/>
      </w:r>
      <w:r>
        <w:rPr>
          <w:rFonts w:hint="default" w:ascii="Arial" w:hAnsi="Arial" w:eastAsia="SimSun" w:cs="Arial"/>
          <w:sz w:val="22"/>
          <w:szCs w:val="22"/>
        </w:rPr>
        <w:t>This theory helps explain why adolescents respond differently to social media. Those with secure attachment are more likely to use online platforms to maintain friendships, communicate with others and access useful information without relying on social media as their main source of emotional reassurance. Strong family relationships and supportive friendships provide protection against the negative effects of cyberbullying, social comparison and online conflict, reducing the likelihood of poor mental health outcomes (Odgers and Jensen, 2020).</w:t>
      </w:r>
      <w:r>
        <w:rPr>
          <w:rFonts w:hint="default" w:ascii="Arial" w:hAnsi="Arial" w:eastAsia="SimSun" w:cs="Arial"/>
          <w:sz w:val="22"/>
          <w:szCs w:val="22"/>
        </w:rPr>
        <w:br w:type="textWrapping"/>
      </w:r>
      <w:r>
        <w:rPr>
          <w:rFonts w:hint="default" w:ascii="Arial" w:hAnsi="Arial" w:eastAsia="SimSun" w:cs="Arial"/>
          <w:sz w:val="22"/>
          <w:szCs w:val="22"/>
        </w:rPr>
        <w:t>In contrast, adolescents with insecure attachment may depend more heavily on social media to gain approval and acceptance from others. Rather than viewing online interactions as one aspect of their social life, they may rely on likes, comments and followers to maintain their self-esteem. This dependence can increase vulnerability to feelings of rejection, loneliness and anxiety when online interactions do not meet their expectations. Experiences such as cyberbullying, exclusion, fear of missing out (FOMO) and unrealistic portrayals of appearance or lifestyle may therefore have a greater emotional impact. Evidence from a systematic review by Keles, McCrae and Grealish (2020) demonstrates that problematic social media use is associated with higher levels of anxiety, depression and psychological distress among adolescents, supporting Bowlby’s explanation that insecure emotional relationships may increase vulnerability to negative online experiences.</w:t>
      </w:r>
      <w:r>
        <w:rPr>
          <w:rFonts w:hint="default" w:ascii="Arial" w:hAnsi="Arial" w:eastAsia="SimSun" w:cs="Arial"/>
          <w:sz w:val="22"/>
          <w:szCs w:val="22"/>
        </w:rPr>
        <w:br w:type="textWrapping"/>
      </w:r>
      <w:r>
        <w:rPr>
          <w:rFonts w:hint="default" w:ascii="Arial" w:hAnsi="Arial" w:eastAsia="SimSun" w:cs="Arial"/>
          <w:sz w:val="22"/>
          <w:szCs w:val="22"/>
        </w:rPr>
        <w:t>Although Bowlby’s Attachment Theory provides valuable insight into emotional resilience, it cannot fully explain every aspect of adolescent mental health. Individual personality, peer influences, socioeconomic circumstances, cultural background and patterns of social media use also contribute to wellbeing. Consequently, Bowlby’s theory is most effective when combined with Erikson’s Psychosocial Theory, as together they explain how emotional security and identity development influence adolescents’ experiences of social media.</w:t>
      </w:r>
    </w:p>
    <w:p w14:paraId="1F15BC94">
      <w:pPr>
        <w:spacing w:line="360" w:lineRule="auto"/>
        <w:jc w:val="left"/>
        <w:rPr>
          <w:rFonts w:hint="default" w:ascii="Arial" w:hAnsi="Arial" w:eastAsia="SimSun" w:cs="Arial"/>
          <w:sz w:val="22"/>
          <w:szCs w:val="22"/>
          <w:lang w:val="en-PH"/>
        </w:rPr>
      </w:pPr>
    </w:p>
    <w:p w14:paraId="1D0F1D62">
      <w:pPr>
        <w:spacing w:line="360" w:lineRule="auto"/>
        <w:jc w:val="left"/>
        <w:rPr>
          <w:rFonts w:hint="default" w:ascii="Arial" w:hAnsi="Arial" w:cs="Arial"/>
          <w:b/>
          <w:bCs/>
          <w:sz w:val="22"/>
          <w:szCs w:val="22"/>
          <w:lang w:val="en-PH"/>
        </w:rPr>
      </w:pPr>
      <w:r>
        <w:rPr>
          <w:rFonts w:hint="default" w:ascii="Arial" w:hAnsi="Arial" w:cs="Arial"/>
          <w:b/>
          <w:bCs/>
          <w:sz w:val="22"/>
          <w:szCs w:val="22"/>
          <w:lang w:val="en-PH"/>
        </w:rPr>
        <w:t>Conclusion</w:t>
      </w:r>
    </w:p>
    <w:p w14:paraId="77B0A5A8">
      <w:pPr>
        <w:spacing w:line="360" w:lineRule="auto"/>
        <w:jc w:val="left"/>
        <w:rPr>
          <w:rFonts w:hint="default" w:ascii="Arial" w:hAnsi="Arial" w:cs="Arial"/>
          <w:b w:val="0"/>
          <w:bCs w:val="0"/>
          <w:sz w:val="22"/>
          <w:szCs w:val="22"/>
          <w:lang w:val="en-PH"/>
        </w:rPr>
      </w:pPr>
      <w:r>
        <w:rPr>
          <w:rFonts w:hint="default" w:ascii="Arial" w:hAnsi="Arial" w:eastAsia="SimSun" w:cs="Arial"/>
          <w:sz w:val="22"/>
          <w:szCs w:val="22"/>
        </w:rPr>
        <w:t>In conclusion, the evidence presented in this essay demonstrates that social media has a complex influence on adolescent mental health, offering both opportunities and challenges. When used in a balanced and responsible manner, social media can strengthen communication, encourage self-expression, provide emotional support and improve access to educational and mental health information. However, excessive or inappropriate use has been associated with adverse outcomes, including anxiety, depression, cyberbullying, poor sleep quality, reduced self-esteem and body image concerns (Keles, McCrae and Grealish, 2020). These findings suggest that the impact of social media is determined not only by the amount of time spent online but also by the quality of online interactions and the individual’s personal circumstances.</w:t>
      </w:r>
      <w:r>
        <w:rPr>
          <w:rFonts w:hint="default" w:ascii="Arial" w:hAnsi="Arial" w:eastAsia="SimSun" w:cs="Arial"/>
          <w:sz w:val="22"/>
          <w:szCs w:val="22"/>
        </w:rPr>
        <w:br w:type="textWrapping"/>
      </w:r>
      <w:r>
        <w:rPr>
          <w:rFonts w:hint="default" w:ascii="Arial" w:hAnsi="Arial" w:eastAsia="SimSun" w:cs="Arial"/>
          <w:sz w:val="22"/>
          <w:szCs w:val="22"/>
        </w:rPr>
        <w:t>The application of Erikson’s Psychosocial Theory demonstrates that social media can influence identity development by providing opportunities for exploration and self-expression, while also increasing exposure to social comparison and the need for external approval during the developmental stage of identity versus role confusion (Erikson, 1968). Likewise, Bowlby’s Attachment Theory explains that adolescents who have secure attachment relationships are generally better equipped to manage online challenges, whereas those with insecure attachment may be more likely to seek emotional reassurance through social media, increasing their vulnerability to psychological distress (Bowlby, 1969). Together, these theories provide complementary explanations of how developmental and emotional factors shape adolescents’ experiences of digital environments.</w:t>
      </w:r>
      <w:r>
        <w:rPr>
          <w:rFonts w:hint="default" w:ascii="Arial" w:hAnsi="Arial" w:eastAsia="SimSun" w:cs="Arial"/>
          <w:sz w:val="22"/>
          <w:szCs w:val="22"/>
        </w:rPr>
        <w:br w:type="textWrapping"/>
      </w:r>
      <w:r>
        <w:rPr>
          <w:rFonts w:hint="default" w:ascii="Arial" w:hAnsi="Arial" w:eastAsia="SimSun" w:cs="Arial"/>
          <w:sz w:val="22"/>
          <w:szCs w:val="22"/>
        </w:rPr>
        <w:t>Overall, supporting adolescents to develop healthy online behaviours requires a collaborative approach involving families, schools, healthcare professionals and policymakers. Promoting digital literacy, encouraging open communication, strengthening supportive relationships and providing early mental health support can help young people use social media in ways that enhance, rather than undermine, their psychological wellbeing (World Health Organization, 2021). Therefore, social media should not be viewed as inherently harmful or beneficial; instead, its effects depend on how it is used and the social and emotional support available to adolescents.</w:t>
      </w:r>
    </w:p>
    <w:p w14:paraId="512C267B">
      <w:pPr>
        <w:spacing w:line="360" w:lineRule="auto"/>
        <w:jc w:val="left"/>
        <w:rPr>
          <w:rFonts w:hint="default" w:ascii="Arial" w:hAnsi="Arial" w:cs="Arial"/>
          <w:b w:val="0"/>
          <w:bCs w:val="0"/>
          <w:sz w:val="22"/>
          <w:szCs w:val="22"/>
          <w:lang w:val="en-PH"/>
        </w:rPr>
      </w:pPr>
    </w:p>
    <w:p w14:paraId="725ECBF3">
      <w:pPr>
        <w:spacing w:line="360" w:lineRule="auto"/>
        <w:jc w:val="left"/>
        <w:rPr>
          <w:rFonts w:hint="default" w:ascii="Arial" w:hAnsi="Arial" w:eastAsia="SimSun" w:cs="Arial"/>
          <w:sz w:val="22"/>
          <w:szCs w:val="22"/>
        </w:rPr>
      </w:pPr>
      <w:r>
        <w:rPr>
          <w:rFonts w:hint="default" w:ascii="Arial" w:hAnsi="Arial" w:eastAsia="SimSun" w:cs="Arial"/>
          <w:b/>
          <w:bCs/>
          <w:sz w:val="22"/>
          <w:szCs w:val="22"/>
          <w:lang w:val="en-PH"/>
        </w:rPr>
        <w:t>References</w:t>
      </w:r>
      <w:r>
        <w:rPr>
          <w:rFonts w:hint="default" w:ascii="Arial" w:hAnsi="Arial" w:eastAsia="SimSun" w:cs="Arial"/>
          <w:sz w:val="22"/>
          <w:szCs w:val="22"/>
        </w:rPr>
        <w:br w:type="textWrapping"/>
      </w:r>
      <w:r>
        <w:rPr>
          <w:rFonts w:hint="default" w:ascii="Arial" w:hAnsi="Arial" w:eastAsia="SimSun" w:cs="Arial"/>
          <w:sz w:val="22"/>
          <w:szCs w:val="22"/>
        </w:rPr>
        <w:t>Odgers, C.L. and Jensen, M.R. (2020) ‘Annual Research Review: Adolescent mental health in the digital age: Facts, fears, and future directions’, Journal of Child Psychology and Psychiatry</w:t>
      </w:r>
    </w:p>
    <w:p w14:paraId="62F1FF4E">
      <w:pPr>
        <w:spacing w:line="360" w:lineRule="auto"/>
        <w:jc w:val="left"/>
        <w:rPr>
          <w:rFonts w:hint="default" w:ascii="Arial" w:hAnsi="Arial" w:eastAsia="SimSun" w:cs="Arial"/>
          <w:sz w:val="22"/>
          <w:szCs w:val="22"/>
        </w:rPr>
      </w:pPr>
      <w:r>
        <w:rPr>
          <w:rFonts w:hint="default" w:ascii="Arial" w:hAnsi="Arial" w:eastAsia="SimSun" w:cs="Arial"/>
          <w:sz w:val="22"/>
          <w:szCs w:val="22"/>
        </w:rPr>
        <w:br w:type="textWrapping"/>
      </w:r>
      <w:r>
        <w:rPr>
          <w:rFonts w:hint="default" w:ascii="Arial" w:hAnsi="Arial" w:eastAsia="SimSun" w:cs="Arial"/>
          <w:sz w:val="22"/>
          <w:szCs w:val="22"/>
        </w:rPr>
        <w:t>World Health Organization (2021) Adolescent mental health. Geneva: World Health Organization.</w:t>
      </w:r>
    </w:p>
    <w:p w14:paraId="1B0DEB90">
      <w:pPr>
        <w:spacing w:line="360" w:lineRule="auto"/>
        <w:jc w:val="left"/>
        <w:rPr>
          <w:rFonts w:hint="default" w:ascii="Arial" w:hAnsi="Arial" w:eastAsia="SimSun" w:cs="Arial"/>
          <w:sz w:val="22"/>
          <w:szCs w:val="22"/>
        </w:rPr>
      </w:pPr>
      <w:bookmarkStart w:id="0" w:name="_GoBack"/>
      <w:bookmarkEnd w:id="0"/>
      <w:r>
        <w:rPr>
          <w:rFonts w:hint="default" w:ascii="Arial" w:hAnsi="Arial" w:eastAsia="SimSun" w:cs="Arial"/>
          <w:sz w:val="22"/>
          <w:szCs w:val="22"/>
        </w:rPr>
        <w:br w:type="textWrapping"/>
      </w:r>
      <w:r>
        <w:rPr>
          <w:rFonts w:hint="default" w:ascii="Arial" w:hAnsi="Arial" w:eastAsia="SimSun" w:cs="Arial"/>
          <w:sz w:val="22"/>
          <w:szCs w:val="22"/>
        </w:rPr>
        <w:t>Erikson, E.H. (1968) Identity: Youth and Crisis. New York: W.W. Norton.</w:t>
      </w:r>
      <w:r>
        <w:rPr>
          <w:rFonts w:hint="default" w:ascii="Arial" w:hAnsi="Arial" w:eastAsia="SimSun" w:cs="Arial"/>
          <w:sz w:val="22"/>
          <w:szCs w:val="22"/>
        </w:rPr>
        <w:br w:type="textWrapping"/>
      </w:r>
      <w:r>
        <w:rPr>
          <w:rFonts w:hint="default" w:ascii="Arial" w:hAnsi="Arial" w:eastAsia="SimSun" w:cs="Arial"/>
          <w:sz w:val="22"/>
          <w:szCs w:val="22"/>
        </w:rPr>
        <w:t>Keles, B., McCrae, N. and Grealish, A. (2020) ‘A systematic review: The influence of social media on depression, anxiety and psychological distress in adolescents’, International Journal of Adolescence and Youth.</w:t>
      </w:r>
      <w:r>
        <w:rPr>
          <w:rFonts w:hint="default" w:ascii="Arial" w:hAnsi="Arial" w:eastAsia="SimSun" w:cs="Arial"/>
          <w:sz w:val="22"/>
          <w:szCs w:val="22"/>
        </w:rPr>
        <w:br w:type="textWrapping"/>
      </w:r>
      <w:r>
        <w:rPr>
          <w:rFonts w:hint="default" w:ascii="Arial" w:hAnsi="Arial" w:eastAsia="SimSun" w:cs="Arial"/>
          <w:sz w:val="22"/>
          <w:szCs w:val="22"/>
        </w:rPr>
        <w:t>Bowlby, J. (1969) Attachment and Loss. Volume 1: Attachment. London: Hogarth Press.</w:t>
      </w:r>
    </w:p>
    <w:p w14:paraId="512AFE96">
      <w:pPr>
        <w:spacing w:line="360" w:lineRule="auto"/>
        <w:jc w:val="left"/>
        <w:rPr>
          <w:rFonts w:hint="default" w:ascii="Arial" w:hAnsi="Arial" w:cs="Arial"/>
          <w:b w:val="0"/>
          <w:bCs w:val="0"/>
          <w:sz w:val="22"/>
          <w:szCs w:val="22"/>
          <w:lang w:val="en-PH"/>
        </w:rPr>
      </w:pPr>
      <w:r>
        <w:rPr>
          <w:rFonts w:hint="default" w:ascii="Arial" w:hAnsi="Arial" w:eastAsia="SimSun" w:cs="Arial"/>
          <w:sz w:val="22"/>
          <w:szCs w:val="22"/>
        </w:rPr>
        <w:br w:type="textWrapping"/>
      </w:r>
      <w:r>
        <w:rPr>
          <w:rFonts w:hint="default" w:ascii="Arial" w:hAnsi="Arial" w:eastAsia="SimSun" w:cs="Arial"/>
          <w:sz w:val="22"/>
          <w:szCs w:val="22"/>
        </w:rPr>
        <w:t xml:space="preserve">Keles, B., McCrae, N. and Grealish, A. (2020) ‘A systematic review: The influence of social media on depression, anxiety and psychological distress in adolescents’, International Journal of Adolescence and Youth, </w:t>
      </w:r>
      <w:r>
        <w:rPr>
          <w:rFonts w:hint="default" w:ascii="Arial" w:hAnsi="Arial" w:eastAsia="SimSun" w:cs="Arial"/>
          <w:sz w:val="22"/>
          <w:szCs w:val="22"/>
        </w:rPr>
        <w:br w:type="textWrapping"/>
      </w:r>
      <w:r>
        <w:rPr>
          <w:rFonts w:hint="default" w:ascii="Arial" w:hAnsi="Arial" w:eastAsia="SimSun" w:cs="Arial"/>
          <w:sz w:val="22"/>
          <w:szCs w:val="22"/>
        </w:rPr>
        <w:br w:type="textWrapping"/>
      </w:r>
    </w:p>
    <w:p w14:paraId="58CEB803">
      <w:pPr>
        <w:spacing w:line="360" w:lineRule="auto"/>
        <w:jc w:val="left"/>
        <w:rPr>
          <w:rFonts w:hint="default" w:ascii="Arial" w:hAnsi="Arial" w:cs="Arial"/>
          <w:b w:val="0"/>
          <w:bCs w:val="0"/>
          <w:sz w:val="22"/>
          <w:szCs w:val="22"/>
          <w:lang w:val="en-PH"/>
        </w:rPr>
      </w:pPr>
    </w:p>
    <w:p w14:paraId="328B706A">
      <w:pPr>
        <w:spacing w:line="360" w:lineRule="auto"/>
        <w:jc w:val="left"/>
        <w:rPr>
          <w:rFonts w:hint="default" w:ascii="Arial" w:hAnsi="Arial" w:cs="Arial"/>
          <w:b w:val="0"/>
          <w:bCs w:val="0"/>
          <w:sz w:val="22"/>
          <w:szCs w:val="22"/>
          <w:lang w:val="en-PH"/>
        </w:rPr>
      </w:pPr>
    </w:p>
    <w:p w14:paraId="426B8E33">
      <w:pPr>
        <w:spacing w:line="360" w:lineRule="auto"/>
        <w:rPr>
          <w:rFonts w:hint="default" w:ascii="Arial" w:hAnsi="Arial" w:cs="Arial"/>
          <w:sz w:val="22"/>
          <w:szCs w:val="22"/>
        </w:rPr>
      </w:pPr>
    </w:p>
    <w:p w14:paraId="741300D8">
      <w:pPr>
        <w:spacing w:line="360" w:lineRule="auto"/>
        <w:rPr>
          <w:rFonts w:hint="default" w:ascii="Arial" w:hAnsi="Arial" w:cs="Arial"/>
          <w:sz w:val="22"/>
          <w:szCs w:val="22"/>
        </w:rPr>
      </w:pPr>
    </w:p>
    <w:p w14:paraId="164B602E">
      <w:pPr>
        <w:spacing w:line="360" w:lineRule="auto"/>
        <w:rPr>
          <w:rFonts w:hint="default" w:ascii="Arial" w:hAnsi="Arial" w:cs="Arial"/>
          <w:sz w:val="22"/>
          <w:szCs w:val="22"/>
        </w:rPr>
      </w:pPr>
    </w:p>
    <w:p w14:paraId="7EF69EFF">
      <w:pPr>
        <w:spacing w:line="360" w:lineRule="auto"/>
        <w:rPr>
          <w:rFonts w:hint="default" w:ascii="Arial" w:hAnsi="Arial" w:cs="Arial"/>
          <w:sz w:val="22"/>
          <w:szCs w:val="22"/>
        </w:rPr>
      </w:pPr>
    </w:p>
    <w:p w14:paraId="3059D994">
      <w:pPr>
        <w:spacing w:line="360" w:lineRule="auto"/>
        <w:rPr>
          <w:rFonts w:hint="default" w:ascii="Arial" w:hAnsi="Arial" w:cs="Arial"/>
          <w:sz w:val="22"/>
          <w:szCs w:val="22"/>
        </w:rPr>
      </w:pPr>
    </w:p>
    <w:p w14:paraId="424185B1">
      <w:pPr>
        <w:spacing w:line="360" w:lineRule="auto"/>
        <w:rPr>
          <w:rFonts w:hint="default" w:ascii="Arial" w:hAnsi="Arial" w:cs="Arial"/>
          <w:sz w:val="22"/>
          <w:szCs w:val="22"/>
        </w:rPr>
      </w:pPr>
    </w:p>
    <w:p w14:paraId="75E695A4">
      <w:pPr>
        <w:spacing w:line="360" w:lineRule="auto"/>
        <w:rPr>
          <w:rFonts w:hint="default" w:ascii="Arial" w:hAnsi="Arial" w:cs="Arial"/>
          <w:sz w:val="22"/>
          <w:szCs w:val="22"/>
        </w:rPr>
      </w:pPr>
    </w:p>
    <w:p w14:paraId="45852577">
      <w:pPr>
        <w:spacing w:line="360" w:lineRule="auto"/>
        <w:rPr>
          <w:rFonts w:hint="default" w:ascii="Arial" w:hAnsi="Arial" w:cs="Arial"/>
          <w:sz w:val="22"/>
          <w:szCs w:val="22"/>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4FB2C88"/>
    <w:rsid w:val="12F75BC5"/>
    <w:rsid w:val="18E24DE3"/>
    <w:rsid w:val="49F712AC"/>
    <w:rsid w:val="54FB2C88"/>
    <w:rsid w:val="6F9944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1531</Words>
  <Characters>10118</Characters>
  <Lines>0</Lines>
  <Paragraphs>0</Paragraphs>
  <TotalTime>29</TotalTime>
  <ScaleCrop>false</ScaleCrop>
  <LinksUpToDate>false</LinksUpToDate>
  <CharactersWithSpaces>11622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2026-08-02T14:51:00Z</dcterms:created>
  <dc:creator>Hannah Anisco</dc:creator>
  <cp:lastModifiedBy>Hannah</cp:lastModifiedBy>
  <dcterms:modified xsi:type="dcterms:W3CDTF">2026-08-02T17:54:58Z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609C4F9D7EA644E39E5C70FC6C8E4C14_13</vt:lpwstr>
  </property>
  <property fmtid="{D5CDD505-2E9C-101B-9397-08002B2CF9AE}" pid="4" name="KSOTemplateDocerSaveRecord">
    <vt:lpwstr>eyJoZGlkIjoiYzc3YTAxYTNhNzY3ODhjNjc3N2NmOTdjNmNhYTQyMDIiLCJ1c2VySWQiOiI3MDQ3NDA0MTkxNTQifQ==</vt:lpwstr>
  </property>
</Properties>
</file>