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0715E6" w14:textId="77777777"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p>
    <w:p w14:paraId="3F353774" w14:textId="77777777"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p>
    <w:p w14:paraId="44BB2FAF" w14:textId="14A639C7"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r>
        <w:rPr>
          <w:noProof/>
        </w:rPr>
        <w:drawing>
          <wp:inline distT="0" distB="0" distL="0" distR="0" wp14:anchorId="2D481332" wp14:editId="41151EEF">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7F0A580F" w14:textId="0E7D1463"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r w:rsidRPr="00D475CF">
        <w:rPr>
          <w:rFonts w:eastAsia="Times New Roman" w:cstheme="minorHAnsi"/>
          <w:b/>
          <w:bCs/>
          <w:kern w:val="0"/>
          <w:sz w:val="32"/>
          <w:szCs w:val="32"/>
          <w:lang w:eastAsia="en-GB"/>
          <w14:ligatures w14:val="none"/>
        </w:rPr>
        <w:br/>
      </w:r>
      <w:r w:rsidRPr="00412552">
        <w:rPr>
          <w:rFonts w:eastAsia="Times New Roman" w:cstheme="minorHAnsi"/>
          <w:b/>
          <w:bCs/>
          <w:kern w:val="0"/>
          <w:sz w:val="32"/>
          <w:szCs w:val="32"/>
          <w:lang w:eastAsia="en-GB"/>
          <w14:ligatures w14:val="none"/>
        </w:rPr>
        <w:t xml:space="preserve">University of Wales Trinity Saint David – </w:t>
      </w:r>
      <w:r w:rsidR="00472121">
        <w:rPr>
          <w:rFonts w:eastAsia="Times New Roman" w:cstheme="minorHAnsi"/>
          <w:b/>
          <w:bCs/>
          <w:kern w:val="0"/>
          <w:sz w:val="32"/>
          <w:szCs w:val="32"/>
          <w:lang w:eastAsia="en-GB"/>
          <w14:ligatures w14:val="none"/>
        </w:rPr>
        <w:t>BEng OME</w:t>
      </w:r>
    </w:p>
    <w:p w14:paraId="712F1A97" w14:textId="40D05E85"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r>
        <w:rPr>
          <w:rFonts w:eastAsia="Times New Roman" w:cstheme="minorHAnsi"/>
          <w:b/>
          <w:bCs/>
          <w:kern w:val="0"/>
          <w:sz w:val="32"/>
          <w:szCs w:val="32"/>
          <w:lang w:eastAsia="en-GB"/>
          <w14:ligatures w14:val="none"/>
        </w:rPr>
        <w:t xml:space="preserve">MODULE: </w:t>
      </w:r>
      <w:r w:rsidR="00A4760B">
        <w:rPr>
          <w:rFonts w:eastAsia="Times New Roman" w:cstheme="minorHAnsi"/>
          <w:b/>
          <w:bCs/>
          <w:kern w:val="0"/>
          <w:sz w:val="32"/>
          <w:szCs w:val="32"/>
          <w:lang w:eastAsia="en-GB"/>
          <w14:ligatures w14:val="none"/>
        </w:rPr>
        <w:t>ACDB40</w:t>
      </w:r>
      <w:r w:rsidR="00396078">
        <w:rPr>
          <w:rFonts w:eastAsia="Times New Roman" w:cstheme="minorHAnsi"/>
          <w:b/>
          <w:bCs/>
          <w:kern w:val="0"/>
          <w:sz w:val="32"/>
          <w:szCs w:val="32"/>
          <w:lang w:eastAsia="en-GB"/>
          <w14:ligatures w14:val="none"/>
        </w:rPr>
        <w:t>19</w:t>
      </w:r>
      <w:r w:rsidR="00A4760B">
        <w:rPr>
          <w:rFonts w:eastAsia="Times New Roman" w:cstheme="minorHAnsi"/>
          <w:b/>
          <w:bCs/>
          <w:kern w:val="0"/>
          <w:sz w:val="32"/>
          <w:szCs w:val="32"/>
          <w:lang w:eastAsia="en-GB"/>
          <w14:ligatures w14:val="none"/>
        </w:rPr>
        <w:t xml:space="preserve"> </w:t>
      </w:r>
      <w:r w:rsidR="00396078">
        <w:rPr>
          <w:rFonts w:eastAsia="Times New Roman" w:cstheme="minorHAnsi"/>
          <w:b/>
          <w:bCs/>
          <w:kern w:val="0"/>
          <w:sz w:val="32"/>
          <w:szCs w:val="32"/>
          <w:lang w:eastAsia="en-GB"/>
          <w14:ligatures w14:val="none"/>
        </w:rPr>
        <w:t>Principles of OME</w:t>
      </w:r>
    </w:p>
    <w:p w14:paraId="59C36678" w14:textId="2A836338" w:rsidR="00D475CF" w:rsidRDefault="00396078" w:rsidP="00D475CF">
      <w:pPr>
        <w:spacing w:before="100" w:beforeAutospacing="1" w:after="100" w:afterAutospacing="1"/>
        <w:jc w:val="center"/>
        <w:rPr>
          <w:rFonts w:eastAsia="Times New Roman" w:cstheme="minorHAnsi"/>
          <w:b/>
          <w:bCs/>
          <w:kern w:val="0"/>
          <w:sz w:val="32"/>
          <w:szCs w:val="32"/>
          <w:lang w:eastAsia="en-GB"/>
          <w14:ligatures w14:val="none"/>
        </w:rPr>
      </w:pPr>
      <w:r w:rsidRPr="00396078">
        <w:rPr>
          <w:rFonts w:eastAsia="Times New Roman" w:cstheme="minorHAnsi"/>
          <w:b/>
          <w:bCs/>
          <w:kern w:val="0"/>
          <w:sz w:val="32"/>
          <w:szCs w:val="32"/>
          <w:lang w:eastAsia="en-GB"/>
          <w14:ligatures w14:val="none"/>
        </w:rPr>
        <w:t>CALCULATING THE OXYGEN BALANCE AND PERFORMANCE OF A MIXED EXPLOSIVE FROM DEFINED PARAMETERS</w:t>
      </w:r>
    </w:p>
    <w:p w14:paraId="72A07615" w14:textId="77777777" w:rsidR="00D475CF" w:rsidRDefault="00D475CF" w:rsidP="00D475CF">
      <w:pPr>
        <w:spacing w:before="100" w:beforeAutospacing="1" w:after="100" w:afterAutospacing="1"/>
        <w:rPr>
          <w:rFonts w:eastAsia="Times New Roman" w:cstheme="minorHAnsi"/>
          <w:b/>
          <w:bCs/>
          <w:kern w:val="0"/>
          <w:sz w:val="32"/>
          <w:szCs w:val="32"/>
          <w:lang w:eastAsia="en-GB"/>
          <w14:ligatures w14:val="none"/>
        </w:rPr>
      </w:pPr>
    </w:p>
    <w:p w14:paraId="52D73FD6" w14:textId="77777777"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p>
    <w:p w14:paraId="1D9A3C1E" w14:textId="613D9845"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r>
        <w:rPr>
          <w:rFonts w:eastAsia="Times New Roman" w:cstheme="minorHAnsi"/>
          <w:b/>
          <w:bCs/>
          <w:kern w:val="0"/>
          <w:sz w:val="32"/>
          <w:szCs w:val="32"/>
          <w:lang w:eastAsia="en-GB"/>
          <w14:ligatures w14:val="none"/>
        </w:rPr>
        <w:t xml:space="preserve">Lecturer: </w:t>
      </w:r>
      <w:r w:rsidR="00396078">
        <w:rPr>
          <w:rFonts w:eastAsia="Times New Roman" w:cstheme="minorHAnsi"/>
          <w:b/>
          <w:bCs/>
          <w:kern w:val="0"/>
          <w:sz w:val="32"/>
          <w:szCs w:val="32"/>
          <w:lang w:eastAsia="en-GB"/>
          <w14:ligatures w14:val="none"/>
        </w:rPr>
        <w:t>Gareth Collins</w:t>
      </w:r>
    </w:p>
    <w:p w14:paraId="3C4617F7" w14:textId="7887CB3E" w:rsidR="00D475CF" w:rsidRDefault="00D475CF" w:rsidP="00D475CF">
      <w:pPr>
        <w:spacing w:before="100" w:beforeAutospacing="1" w:after="100" w:afterAutospacing="1"/>
        <w:rPr>
          <w:rFonts w:eastAsia="Times New Roman" w:cstheme="minorHAnsi"/>
          <w:b/>
          <w:bCs/>
          <w:kern w:val="0"/>
          <w:sz w:val="32"/>
          <w:szCs w:val="32"/>
          <w:lang w:eastAsia="en-GB"/>
          <w14:ligatures w14:val="none"/>
        </w:rPr>
      </w:pPr>
    </w:p>
    <w:p w14:paraId="7F301DA6" w14:textId="77777777" w:rsidR="00D475CF" w:rsidRDefault="00D475CF" w:rsidP="00D475CF">
      <w:pPr>
        <w:spacing w:before="100" w:beforeAutospacing="1" w:after="100" w:afterAutospacing="1"/>
        <w:rPr>
          <w:rFonts w:eastAsia="Times New Roman" w:cstheme="minorHAnsi"/>
          <w:b/>
          <w:bCs/>
          <w:kern w:val="0"/>
          <w:sz w:val="32"/>
          <w:szCs w:val="32"/>
          <w:lang w:eastAsia="en-GB"/>
          <w14:ligatures w14:val="none"/>
        </w:rPr>
      </w:pPr>
    </w:p>
    <w:p w14:paraId="5813E816" w14:textId="3D4AFCD4" w:rsidR="00D475CF" w:rsidRPr="00F73CAC" w:rsidRDefault="00D475CF" w:rsidP="00D475CF">
      <w:pPr>
        <w:spacing w:before="100" w:beforeAutospacing="1" w:after="100" w:afterAutospacing="1"/>
        <w:jc w:val="center"/>
        <w:rPr>
          <w:rFonts w:eastAsia="Times New Roman" w:cstheme="minorHAnsi"/>
          <w:kern w:val="0"/>
          <w:sz w:val="32"/>
          <w:szCs w:val="32"/>
          <w:lang w:eastAsia="en-GB"/>
          <w14:ligatures w14:val="none"/>
        </w:rPr>
      </w:pPr>
      <w:r w:rsidRPr="00F73CAC">
        <w:rPr>
          <w:rFonts w:eastAsia="Times New Roman" w:cstheme="minorHAnsi"/>
          <w:kern w:val="0"/>
          <w:sz w:val="32"/>
          <w:szCs w:val="32"/>
          <w:lang w:eastAsia="en-GB"/>
          <w14:ligatures w14:val="none"/>
        </w:rPr>
        <w:t xml:space="preserve">Name: Siti </w:t>
      </w:r>
      <w:proofErr w:type="spellStart"/>
      <w:r w:rsidRPr="00F73CAC">
        <w:rPr>
          <w:rFonts w:eastAsia="Times New Roman" w:cstheme="minorHAnsi"/>
          <w:kern w:val="0"/>
          <w:sz w:val="32"/>
          <w:szCs w:val="32"/>
          <w:lang w:eastAsia="en-GB"/>
          <w14:ligatures w14:val="none"/>
        </w:rPr>
        <w:t>Nurfairuza</w:t>
      </w:r>
      <w:proofErr w:type="spellEnd"/>
      <w:r w:rsidRPr="00F73CAC">
        <w:rPr>
          <w:rFonts w:eastAsia="Times New Roman" w:cstheme="minorHAnsi"/>
          <w:kern w:val="0"/>
          <w:sz w:val="32"/>
          <w:szCs w:val="32"/>
          <w:lang w:eastAsia="en-GB"/>
          <w14:ligatures w14:val="none"/>
        </w:rPr>
        <w:t xml:space="preserve"> Idora Binti Musa</w:t>
      </w:r>
    </w:p>
    <w:p w14:paraId="77571A85" w14:textId="1137C955" w:rsidR="00D475CF" w:rsidRPr="00412552" w:rsidRDefault="00D475CF" w:rsidP="00D475CF">
      <w:pPr>
        <w:spacing w:before="100" w:beforeAutospacing="1" w:after="100" w:afterAutospacing="1"/>
        <w:jc w:val="center"/>
        <w:rPr>
          <w:rFonts w:eastAsia="Times New Roman" w:cstheme="minorHAnsi"/>
          <w:kern w:val="0"/>
          <w:sz w:val="32"/>
          <w:szCs w:val="32"/>
          <w:lang w:eastAsia="en-GB"/>
          <w14:ligatures w14:val="none"/>
        </w:rPr>
      </w:pPr>
      <w:r w:rsidRPr="00F73CAC">
        <w:rPr>
          <w:rFonts w:eastAsia="Times New Roman" w:cstheme="minorHAnsi"/>
          <w:kern w:val="0"/>
          <w:sz w:val="32"/>
          <w:szCs w:val="32"/>
          <w:lang w:eastAsia="en-GB"/>
          <w14:ligatures w14:val="none"/>
        </w:rPr>
        <w:t>Student Number: 2427103</w:t>
      </w:r>
    </w:p>
    <w:p w14:paraId="090010BA"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41BB492A" w14:textId="77777777" w:rsidR="00D475CF" w:rsidRDefault="00D475CF" w:rsidP="00D475CF">
      <w:pPr>
        <w:spacing w:before="100" w:beforeAutospacing="1" w:after="100" w:afterAutospacing="1"/>
        <w:rPr>
          <w:rFonts w:eastAsia="Times New Roman" w:cstheme="minorHAnsi"/>
          <w:b/>
          <w:bCs/>
          <w:kern w:val="0"/>
          <w:lang w:eastAsia="en-GB"/>
          <w14:ligatures w14:val="none"/>
        </w:rPr>
      </w:pPr>
    </w:p>
    <w:p w14:paraId="0838DDC2" w14:textId="77777777" w:rsidR="00D475CF" w:rsidRDefault="00D475CF" w:rsidP="00D475CF">
      <w:pPr>
        <w:rPr>
          <w:rFonts w:eastAsia="Times New Roman" w:cstheme="minorHAnsi"/>
          <w:b/>
          <w:bCs/>
          <w:kern w:val="0"/>
          <w:lang w:eastAsia="en-GB"/>
          <w14:ligatures w14:val="none"/>
        </w:rPr>
      </w:pPr>
    </w:p>
    <w:p w14:paraId="58DB9B94" w14:textId="77777777" w:rsidR="00D475CF" w:rsidRDefault="00D475CF" w:rsidP="00D475CF">
      <w:pPr>
        <w:rPr>
          <w:rFonts w:eastAsia="Times New Roman" w:cstheme="minorHAnsi"/>
          <w:b/>
          <w:bCs/>
          <w:kern w:val="0"/>
          <w:lang w:eastAsia="en-GB"/>
          <w14:ligatures w14:val="none"/>
        </w:rPr>
      </w:pPr>
    </w:p>
    <w:p w14:paraId="35D45DB2" w14:textId="77777777" w:rsidR="00D475CF" w:rsidRDefault="00D475CF" w:rsidP="00D475CF">
      <w:pPr>
        <w:rPr>
          <w:rFonts w:eastAsia="Times New Roman" w:cstheme="minorHAnsi"/>
          <w:b/>
          <w:bCs/>
          <w:kern w:val="0"/>
          <w:lang w:eastAsia="en-GB"/>
          <w14:ligatures w14:val="none"/>
        </w:rPr>
      </w:pPr>
    </w:p>
    <w:p w14:paraId="4489A7C3" w14:textId="77777777" w:rsidR="00D475CF" w:rsidRDefault="00D475CF" w:rsidP="00D475CF">
      <w:pPr>
        <w:rPr>
          <w:rFonts w:eastAsia="Times New Roman" w:cstheme="minorHAnsi"/>
          <w:b/>
          <w:bCs/>
          <w:kern w:val="0"/>
          <w:lang w:eastAsia="en-GB"/>
          <w14:ligatures w14:val="none"/>
        </w:rPr>
      </w:pPr>
    </w:p>
    <w:p w14:paraId="405B1AD1" w14:textId="77777777" w:rsidR="00D475CF" w:rsidRDefault="00D475CF" w:rsidP="00D475CF">
      <w:pPr>
        <w:rPr>
          <w:rFonts w:eastAsia="Times New Roman" w:cstheme="minorHAnsi"/>
          <w:b/>
          <w:bCs/>
          <w:kern w:val="0"/>
          <w:lang w:eastAsia="en-GB"/>
          <w14:ligatures w14:val="none"/>
        </w:rPr>
      </w:pPr>
    </w:p>
    <w:p w14:paraId="287EB3CA" w14:textId="2AAD039F" w:rsidR="00D475CF" w:rsidRPr="00D475CF" w:rsidRDefault="00D475CF" w:rsidP="00D475CF">
      <w:pPr>
        <w:rPr>
          <w:rFonts w:eastAsia="Times New Roman" w:cstheme="minorHAnsi"/>
          <w:b/>
          <w:bCs/>
          <w:kern w:val="0"/>
          <w:sz w:val="28"/>
          <w:szCs w:val="28"/>
          <w:lang w:eastAsia="en-GB"/>
          <w14:ligatures w14:val="none"/>
        </w:rPr>
      </w:pPr>
      <w:r w:rsidRPr="00D475CF">
        <w:rPr>
          <w:rFonts w:eastAsia="Times New Roman" w:cstheme="minorHAnsi"/>
          <w:b/>
          <w:bCs/>
          <w:kern w:val="0"/>
          <w:sz w:val="28"/>
          <w:szCs w:val="28"/>
          <w:lang w:eastAsia="en-GB"/>
          <w14:ligatures w14:val="none"/>
        </w:rPr>
        <w:t>Table of Content</w:t>
      </w:r>
    </w:p>
    <w:p w14:paraId="2E7C5C0A" w14:textId="08352851" w:rsidR="00F75A75" w:rsidRDefault="00D475CF">
      <w:pPr>
        <w:pStyle w:val="TOC1"/>
        <w:tabs>
          <w:tab w:val="right" w:leader="dot" w:pos="9016"/>
        </w:tabs>
        <w:rPr>
          <w:rFonts w:eastAsiaTheme="minorEastAsia"/>
          <w:noProof/>
          <w:lang w:eastAsia="en-GB"/>
        </w:rPr>
      </w:pPr>
      <w:r>
        <w:rPr>
          <w:rFonts w:eastAsia="Times New Roman" w:cstheme="minorHAnsi"/>
          <w:b/>
          <w:bCs/>
          <w:kern w:val="0"/>
          <w:lang w:eastAsia="en-GB"/>
          <w14:ligatures w14:val="none"/>
        </w:rPr>
        <w:fldChar w:fldCharType="begin"/>
      </w:r>
      <w:r>
        <w:rPr>
          <w:rFonts w:eastAsia="Times New Roman" w:cstheme="minorHAnsi"/>
          <w:b/>
          <w:bCs/>
          <w:kern w:val="0"/>
          <w:lang w:eastAsia="en-GB"/>
          <w14:ligatures w14:val="none"/>
        </w:rPr>
        <w:instrText xml:space="preserve"> TOC \o "1-3" \h \z \u </w:instrText>
      </w:r>
      <w:r>
        <w:rPr>
          <w:rFonts w:eastAsia="Times New Roman" w:cstheme="minorHAnsi"/>
          <w:b/>
          <w:bCs/>
          <w:kern w:val="0"/>
          <w:lang w:eastAsia="en-GB"/>
          <w14:ligatures w14:val="none"/>
        </w:rPr>
        <w:fldChar w:fldCharType="separate"/>
      </w:r>
      <w:hyperlink w:anchor="_Toc235737542" w:history="1">
        <w:r w:rsidR="00F75A75" w:rsidRPr="007E4BBC">
          <w:rPr>
            <w:rStyle w:val="Hyperlink"/>
            <w:noProof/>
            <w:lang w:eastAsia="en-GB"/>
          </w:rPr>
          <w:t>List of Figures</w:t>
        </w:r>
        <w:r w:rsidR="00F75A75">
          <w:rPr>
            <w:noProof/>
            <w:webHidden/>
          </w:rPr>
          <w:tab/>
        </w:r>
        <w:r w:rsidR="00F75A75">
          <w:rPr>
            <w:noProof/>
            <w:webHidden/>
          </w:rPr>
          <w:fldChar w:fldCharType="begin"/>
        </w:r>
        <w:r w:rsidR="00F75A75">
          <w:rPr>
            <w:noProof/>
            <w:webHidden/>
          </w:rPr>
          <w:instrText xml:space="preserve"> PAGEREF _Toc235737542 \h </w:instrText>
        </w:r>
        <w:r w:rsidR="00F75A75">
          <w:rPr>
            <w:noProof/>
            <w:webHidden/>
          </w:rPr>
        </w:r>
        <w:r w:rsidR="00F75A75">
          <w:rPr>
            <w:noProof/>
            <w:webHidden/>
          </w:rPr>
          <w:fldChar w:fldCharType="separate"/>
        </w:r>
        <w:r w:rsidR="00F75A75">
          <w:rPr>
            <w:noProof/>
            <w:webHidden/>
          </w:rPr>
          <w:t>3</w:t>
        </w:r>
        <w:r w:rsidR="00F75A75">
          <w:rPr>
            <w:noProof/>
            <w:webHidden/>
          </w:rPr>
          <w:fldChar w:fldCharType="end"/>
        </w:r>
      </w:hyperlink>
    </w:p>
    <w:p w14:paraId="73E3B00A" w14:textId="2CBEC443" w:rsidR="00F75A75" w:rsidRDefault="00F75A75">
      <w:pPr>
        <w:pStyle w:val="TOC1"/>
        <w:tabs>
          <w:tab w:val="right" w:leader="dot" w:pos="9016"/>
        </w:tabs>
        <w:rPr>
          <w:rFonts w:eastAsiaTheme="minorEastAsia"/>
          <w:noProof/>
          <w:lang w:eastAsia="en-GB"/>
        </w:rPr>
      </w:pPr>
      <w:hyperlink w:anchor="_Toc235737543" w:history="1">
        <w:r w:rsidRPr="007E4BBC">
          <w:rPr>
            <w:rStyle w:val="Hyperlink"/>
            <w:noProof/>
            <w:lang w:eastAsia="en-GB"/>
          </w:rPr>
          <w:t>List of Tables</w:t>
        </w:r>
        <w:r>
          <w:rPr>
            <w:noProof/>
            <w:webHidden/>
          </w:rPr>
          <w:tab/>
        </w:r>
        <w:r>
          <w:rPr>
            <w:noProof/>
            <w:webHidden/>
          </w:rPr>
          <w:fldChar w:fldCharType="begin"/>
        </w:r>
        <w:r>
          <w:rPr>
            <w:noProof/>
            <w:webHidden/>
          </w:rPr>
          <w:instrText xml:space="preserve"> PAGEREF _Toc235737543 \h </w:instrText>
        </w:r>
        <w:r>
          <w:rPr>
            <w:noProof/>
            <w:webHidden/>
          </w:rPr>
        </w:r>
        <w:r>
          <w:rPr>
            <w:noProof/>
            <w:webHidden/>
          </w:rPr>
          <w:fldChar w:fldCharType="separate"/>
        </w:r>
        <w:r>
          <w:rPr>
            <w:noProof/>
            <w:webHidden/>
          </w:rPr>
          <w:t>4</w:t>
        </w:r>
        <w:r>
          <w:rPr>
            <w:noProof/>
            <w:webHidden/>
          </w:rPr>
          <w:fldChar w:fldCharType="end"/>
        </w:r>
      </w:hyperlink>
    </w:p>
    <w:p w14:paraId="00E5699F" w14:textId="0A628949" w:rsidR="00F75A75" w:rsidRDefault="00F75A75">
      <w:pPr>
        <w:pStyle w:val="TOC1"/>
        <w:tabs>
          <w:tab w:val="right" w:leader="dot" w:pos="9016"/>
        </w:tabs>
        <w:rPr>
          <w:rFonts w:eastAsiaTheme="minorEastAsia"/>
          <w:noProof/>
          <w:lang w:eastAsia="en-GB"/>
        </w:rPr>
      </w:pPr>
      <w:hyperlink w:anchor="_Toc235737544" w:history="1">
        <w:r w:rsidRPr="007E4BBC">
          <w:rPr>
            <w:rStyle w:val="Hyperlink"/>
            <w:noProof/>
            <w:lang w:eastAsia="en-GB"/>
          </w:rPr>
          <w:t>List of Equations</w:t>
        </w:r>
        <w:r>
          <w:rPr>
            <w:noProof/>
            <w:webHidden/>
          </w:rPr>
          <w:tab/>
        </w:r>
        <w:r>
          <w:rPr>
            <w:noProof/>
            <w:webHidden/>
          </w:rPr>
          <w:fldChar w:fldCharType="begin"/>
        </w:r>
        <w:r>
          <w:rPr>
            <w:noProof/>
            <w:webHidden/>
          </w:rPr>
          <w:instrText xml:space="preserve"> PAGEREF _Toc235737544 \h </w:instrText>
        </w:r>
        <w:r>
          <w:rPr>
            <w:noProof/>
            <w:webHidden/>
          </w:rPr>
        </w:r>
        <w:r>
          <w:rPr>
            <w:noProof/>
            <w:webHidden/>
          </w:rPr>
          <w:fldChar w:fldCharType="separate"/>
        </w:r>
        <w:r>
          <w:rPr>
            <w:noProof/>
            <w:webHidden/>
          </w:rPr>
          <w:t>5</w:t>
        </w:r>
        <w:r>
          <w:rPr>
            <w:noProof/>
            <w:webHidden/>
          </w:rPr>
          <w:fldChar w:fldCharType="end"/>
        </w:r>
      </w:hyperlink>
    </w:p>
    <w:p w14:paraId="7C11A125" w14:textId="14667A53" w:rsidR="00F75A75" w:rsidRDefault="00F75A75">
      <w:pPr>
        <w:pStyle w:val="TOC1"/>
        <w:tabs>
          <w:tab w:val="right" w:leader="dot" w:pos="9016"/>
        </w:tabs>
        <w:rPr>
          <w:rFonts w:eastAsiaTheme="minorEastAsia"/>
          <w:noProof/>
          <w:lang w:eastAsia="en-GB"/>
        </w:rPr>
      </w:pPr>
      <w:hyperlink w:anchor="_Toc235737545" w:history="1">
        <w:r w:rsidRPr="007E4BBC">
          <w:rPr>
            <w:rStyle w:val="Hyperlink"/>
            <w:rFonts w:eastAsia="Times New Roman"/>
            <w:noProof/>
            <w:lang w:eastAsia="en-GB"/>
          </w:rPr>
          <w:t>1.0 INTRODUCTION</w:t>
        </w:r>
        <w:r>
          <w:rPr>
            <w:noProof/>
            <w:webHidden/>
          </w:rPr>
          <w:tab/>
        </w:r>
        <w:r>
          <w:rPr>
            <w:noProof/>
            <w:webHidden/>
          </w:rPr>
          <w:fldChar w:fldCharType="begin"/>
        </w:r>
        <w:r>
          <w:rPr>
            <w:noProof/>
            <w:webHidden/>
          </w:rPr>
          <w:instrText xml:space="preserve"> PAGEREF _Toc235737545 \h </w:instrText>
        </w:r>
        <w:r>
          <w:rPr>
            <w:noProof/>
            <w:webHidden/>
          </w:rPr>
        </w:r>
        <w:r>
          <w:rPr>
            <w:noProof/>
            <w:webHidden/>
          </w:rPr>
          <w:fldChar w:fldCharType="separate"/>
        </w:r>
        <w:r>
          <w:rPr>
            <w:noProof/>
            <w:webHidden/>
          </w:rPr>
          <w:t>6</w:t>
        </w:r>
        <w:r>
          <w:rPr>
            <w:noProof/>
            <w:webHidden/>
          </w:rPr>
          <w:fldChar w:fldCharType="end"/>
        </w:r>
      </w:hyperlink>
    </w:p>
    <w:p w14:paraId="4B6004F9" w14:textId="652DCE8D" w:rsidR="00F75A75" w:rsidRDefault="00F75A75">
      <w:pPr>
        <w:pStyle w:val="TOC1"/>
        <w:tabs>
          <w:tab w:val="right" w:leader="dot" w:pos="9016"/>
        </w:tabs>
        <w:rPr>
          <w:rFonts w:eastAsiaTheme="minorEastAsia"/>
          <w:noProof/>
          <w:lang w:eastAsia="en-GB"/>
        </w:rPr>
      </w:pPr>
      <w:hyperlink w:anchor="_Toc235737546" w:history="1">
        <w:r w:rsidRPr="007E4BBC">
          <w:rPr>
            <w:rStyle w:val="Hyperlink"/>
            <w:rFonts w:eastAsia="Times New Roman"/>
            <w:noProof/>
            <w:lang w:eastAsia="en-GB"/>
          </w:rPr>
          <w:t>2.0 EXPLOSIVES CALCULATIONS, AND ANALYSIS</w:t>
        </w:r>
        <w:r>
          <w:rPr>
            <w:noProof/>
            <w:webHidden/>
          </w:rPr>
          <w:tab/>
        </w:r>
        <w:r>
          <w:rPr>
            <w:noProof/>
            <w:webHidden/>
          </w:rPr>
          <w:fldChar w:fldCharType="begin"/>
        </w:r>
        <w:r>
          <w:rPr>
            <w:noProof/>
            <w:webHidden/>
          </w:rPr>
          <w:instrText xml:space="preserve"> PAGEREF _Toc235737546 \h </w:instrText>
        </w:r>
        <w:r>
          <w:rPr>
            <w:noProof/>
            <w:webHidden/>
          </w:rPr>
        </w:r>
        <w:r>
          <w:rPr>
            <w:noProof/>
            <w:webHidden/>
          </w:rPr>
          <w:fldChar w:fldCharType="separate"/>
        </w:r>
        <w:r>
          <w:rPr>
            <w:noProof/>
            <w:webHidden/>
          </w:rPr>
          <w:t>6</w:t>
        </w:r>
        <w:r>
          <w:rPr>
            <w:noProof/>
            <w:webHidden/>
          </w:rPr>
          <w:fldChar w:fldCharType="end"/>
        </w:r>
      </w:hyperlink>
    </w:p>
    <w:p w14:paraId="3DABA57D" w14:textId="7811C953" w:rsidR="00F75A75" w:rsidRDefault="00F75A75">
      <w:pPr>
        <w:pStyle w:val="TOC2"/>
        <w:tabs>
          <w:tab w:val="right" w:leader="dot" w:pos="9016"/>
        </w:tabs>
        <w:rPr>
          <w:rFonts w:eastAsiaTheme="minorEastAsia"/>
          <w:noProof/>
          <w:lang w:eastAsia="en-GB"/>
        </w:rPr>
      </w:pPr>
      <w:hyperlink w:anchor="_Toc235737547" w:history="1">
        <w:r w:rsidRPr="007E4BBC">
          <w:rPr>
            <w:rStyle w:val="Hyperlink"/>
            <w:noProof/>
            <w:lang w:eastAsia="en-GB"/>
          </w:rPr>
          <w:t>2.1 OXYGEN BALANCE</w:t>
        </w:r>
        <w:r>
          <w:rPr>
            <w:noProof/>
            <w:webHidden/>
          </w:rPr>
          <w:tab/>
        </w:r>
        <w:r>
          <w:rPr>
            <w:noProof/>
            <w:webHidden/>
          </w:rPr>
          <w:fldChar w:fldCharType="begin"/>
        </w:r>
        <w:r>
          <w:rPr>
            <w:noProof/>
            <w:webHidden/>
          </w:rPr>
          <w:instrText xml:space="preserve"> PAGEREF _Toc235737547 \h </w:instrText>
        </w:r>
        <w:r>
          <w:rPr>
            <w:noProof/>
            <w:webHidden/>
          </w:rPr>
        </w:r>
        <w:r>
          <w:rPr>
            <w:noProof/>
            <w:webHidden/>
          </w:rPr>
          <w:fldChar w:fldCharType="separate"/>
        </w:r>
        <w:r>
          <w:rPr>
            <w:noProof/>
            <w:webHidden/>
          </w:rPr>
          <w:t>6</w:t>
        </w:r>
        <w:r>
          <w:rPr>
            <w:noProof/>
            <w:webHidden/>
          </w:rPr>
          <w:fldChar w:fldCharType="end"/>
        </w:r>
      </w:hyperlink>
    </w:p>
    <w:p w14:paraId="7CF88EDD" w14:textId="150C9B92" w:rsidR="00F75A75" w:rsidRDefault="00F75A75">
      <w:pPr>
        <w:pStyle w:val="TOC2"/>
        <w:tabs>
          <w:tab w:val="right" w:leader="dot" w:pos="9016"/>
        </w:tabs>
        <w:rPr>
          <w:rFonts w:eastAsiaTheme="minorEastAsia"/>
          <w:noProof/>
          <w:lang w:eastAsia="en-GB"/>
        </w:rPr>
      </w:pPr>
      <w:hyperlink w:anchor="_Toc235737548" w:history="1">
        <w:r w:rsidRPr="007E4BBC">
          <w:rPr>
            <w:rStyle w:val="Hyperlink"/>
            <w:noProof/>
            <w:lang w:eastAsia="en-GB"/>
          </w:rPr>
          <w:t>2.2 VELOCITY OF DETONATION</w:t>
        </w:r>
        <w:r>
          <w:rPr>
            <w:noProof/>
            <w:webHidden/>
          </w:rPr>
          <w:tab/>
        </w:r>
        <w:r>
          <w:rPr>
            <w:noProof/>
            <w:webHidden/>
          </w:rPr>
          <w:fldChar w:fldCharType="begin"/>
        </w:r>
        <w:r>
          <w:rPr>
            <w:noProof/>
            <w:webHidden/>
          </w:rPr>
          <w:instrText xml:space="preserve"> PAGEREF _Toc235737548 \h </w:instrText>
        </w:r>
        <w:r>
          <w:rPr>
            <w:noProof/>
            <w:webHidden/>
          </w:rPr>
        </w:r>
        <w:r>
          <w:rPr>
            <w:noProof/>
            <w:webHidden/>
          </w:rPr>
          <w:fldChar w:fldCharType="separate"/>
        </w:r>
        <w:r>
          <w:rPr>
            <w:noProof/>
            <w:webHidden/>
          </w:rPr>
          <w:t>7</w:t>
        </w:r>
        <w:r>
          <w:rPr>
            <w:noProof/>
            <w:webHidden/>
          </w:rPr>
          <w:fldChar w:fldCharType="end"/>
        </w:r>
      </w:hyperlink>
    </w:p>
    <w:p w14:paraId="668DA80C" w14:textId="16138D10" w:rsidR="00F75A75" w:rsidRDefault="00F75A75">
      <w:pPr>
        <w:pStyle w:val="TOC2"/>
        <w:tabs>
          <w:tab w:val="right" w:leader="dot" w:pos="9016"/>
        </w:tabs>
        <w:rPr>
          <w:rFonts w:eastAsiaTheme="minorEastAsia"/>
          <w:noProof/>
          <w:lang w:eastAsia="en-GB"/>
        </w:rPr>
      </w:pPr>
      <w:hyperlink w:anchor="_Toc235737549" w:history="1">
        <w:r w:rsidRPr="007E4BBC">
          <w:rPr>
            <w:rStyle w:val="Hyperlink"/>
            <w:noProof/>
            <w:lang w:eastAsia="en-GB"/>
          </w:rPr>
          <w:t>2.3 EXPLOSIVES ANALYSIS</w:t>
        </w:r>
        <w:r>
          <w:rPr>
            <w:noProof/>
            <w:webHidden/>
          </w:rPr>
          <w:tab/>
        </w:r>
        <w:r>
          <w:rPr>
            <w:noProof/>
            <w:webHidden/>
          </w:rPr>
          <w:fldChar w:fldCharType="begin"/>
        </w:r>
        <w:r>
          <w:rPr>
            <w:noProof/>
            <w:webHidden/>
          </w:rPr>
          <w:instrText xml:space="preserve"> PAGEREF _Toc235737549 \h </w:instrText>
        </w:r>
        <w:r>
          <w:rPr>
            <w:noProof/>
            <w:webHidden/>
          </w:rPr>
        </w:r>
        <w:r>
          <w:rPr>
            <w:noProof/>
            <w:webHidden/>
          </w:rPr>
          <w:fldChar w:fldCharType="separate"/>
        </w:r>
        <w:r>
          <w:rPr>
            <w:noProof/>
            <w:webHidden/>
          </w:rPr>
          <w:t>7</w:t>
        </w:r>
        <w:r>
          <w:rPr>
            <w:noProof/>
            <w:webHidden/>
          </w:rPr>
          <w:fldChar w:fldCharType="end"/>
        </w:r>
      </w:hyperlink>
    </w:p>
    <w:p w14:paraId="6374C6A0" w14:textId="274EF4F1" w:rsidR="00F75A75" w:rsidRDefault="00F75A75">
      <w:pPr>
        <w:pStyle w:val="TOC1"/>
        <w:tabs>
          <w:tab w:val="right" w:leader="dot" w:pos="9016"/>
        </w:tabs>
        <w:rPr>
          <w:rFonts w:eastAsiaTheme="minorEastAsia"/>
          <w:noProof/>
          <w:lang w:eastAsia="en-GB"/>
        </w:rPr>
      </w:pPr>
      <w:hyperlink w:anchor="_Toc235737550" w:history="1">
        <w:r w:rsidRPr="007E4BBC">
          <w:rPr>
            <w:rStyle w:val="Hyperlink"/>
            <w:rFonts w:eastAsia="Times New Roman"/>
            <w:noProof/>
            <w:lang w:eastAsia="en-GB"/>
          </w:rPr>
          <w:t>3.0 EXPLOSIVE TRAIN DESIGN AND INITIATION SYSTEM</w:t>
        </w:r>
        <w:r>
          <w:rPr>
            <w:noProof/>
            <w:webHidden/>
          </w:rPr>
          <w:tab/>
        </w:r>
        <w:r>
          <w:rPr>
            <w:noProof/>
            <w:webHidden/>
          </w:rPr>
          <w:fldChar w:fldCharType="begin"/>
        </w:r>
        <w:r>
          <w:rPr>
            <w:noProof/>
            <w:webHidden/>
          </w:rPr>
          <w:instrText xml:space="preserve"> PAGEREF _Toc235737550 \h </w:instrText>
        </w:r>
        <w:r>
          <w:rPr>
            <w:noProof/>
            <w:webHidden/>
          </w:rPr>
        </w:r>
        <w:r>
          <w:rPr>
            <w:noProof/>
            <w:webHidden/>
          </w:rPr>
          <w:fldChar w:fldCharType="separate"/>
        </w:r>
        <w:r>
          <w:rPr>
            <w:noProof/>
            <w:webHidden/>
          </w:rPr>
          <w:t>9</w:t>
        </w:r>
        <w:r>
          <w:rPr>
            <w:noProof/>
            <w:webHidden/>
          </w:rPr>
          <w:fldChar w:fldCharType="end"/>
        </w:r>
      </w:hyperlink>
    </w:p>
    <w:p w14:paraId="11F4C20B" w14:textId="702D657A" w:rsidR="00F75A75" w:rsidRDefault="00F75A75">
      <w:pPr>
        <w:pStyle w:val="TOC1"/>
        <w:tabs>
          <w:tab w:val="right" w:leader="dot" w:pos="9016"/>
        </w:tabs>
        <w:rPr>
          <w:rFonts w:eastAsiaTheme="minorEastAsia"/>
          <w:noProof/>
          <w:lang w:eastAsia="en-GB"/>
        </w:rPr>
      </w:pPr>
      <w:hyperlink w:anchor="_Toc235737551" w:history="1">
        <w:r w:rsidRPr="007E4BBC">
          <w:rPr>
            <w:rStyle w:val="Hyperlink"/>
            <w:rFonts w:eastAsia="Times New Roman"/>
            <w:noProof/>
            <w:lang w:eastAsia="en-GB"/>
          </w:rPr>
          <w:t>4.0 IMPROVING THE EXPLOSIVE FOR A GROUNDED SEA MINE</w:t>
        </w:r>
        <w:r>
          <w:rPr>
            <w:noProof/>
            <w:webHidden/>
          </w:rPr>
          <w:tab/>
        </w:r>
        <w:r>
          <w:rPr>
            <w:noProof/>
            <w:webHidden/>
          </w:rPr>
          <w:fldChar w:fldCharType="begin"/>
        </w:r>
        <w:r>
          <w:rPr>
            <w:noProof/>
            <w:webHidden/>
          </w:rPr>
          <w:instrText xml:space="preserve"> PAGEREF _Toc235737551 \h </w:instrText>
        </w:r>
        <w:r>
          <w:rPr>
            <w:noProof/>
            <w:webHidden/>
          </w:rPr>
        </w:r>
        <w:r>
          <w:rPr>
            <w:noProof/>
            <w:webHidden/>
          </w:rPr>
          <w:fldChar w:fldCharType="separate"/>
        </w:r>
        <w:r>
          <w:rPr>
            <w:noProof/>
            <w:webHidden/>
          </w:rPr>
          <w:t>10</w:t>
        </w:r>
        <w:r>
          <w:rPr>
            <w:noProof/>
            <w:webHidden/>
          </w:rPr>
          <w:fldChar w:fldCharType="end"/>
        </w:r>
      </w:hyperlink>
    </w:p>
    <w:p w14:paraId="75C4D245" w14:textId="0A275517" w:rsidR="00F75A75" w:rsidRDefault="00F75A75">
      <w:pPr>
        <w:pStyle w:val="TOC1"/>
        <w:tabs>
          <w:tab w:val="right" w:leader="dot" w:pos="9016"/>
        </w:tabs>
        <w:rPr>
          <w:rFonts w:eastAsiaTheme="minorEastAsia"/>
          <w:noProof/>
          <w:lang w:eastAsia="en-GB"/>
        </w:rPr>
      </w:pPr>
      <w:hyperlink w:anchor="_Toc235737552" w:history="1">
        <w:r w:rsidRPr="007E4BBC">
          <w:rPr>
            <w:rStyle w:val="Hyperlink"/>
            <w:rFonts w:eastAsia="Times New Roman"/>
            <w:noProof/>
            <w:lang w:eastAsia="en-GB"/>
          </w:rPr>
          <w:t>5.0 CONCLUSION</w:t>
        </w:r>
        <w:r>
          <w:rPr>
            <w:noProof/>
            <w:webHidden/>
          </w:rPr>
          <w:tab/>
        </w:r>
        <w:r>
          <w:rPr>
            <w:noProof/>
            <w:webHidden/>
          </w:rPr>
          <w:fldChar w:fldCharType="begin"/>
        </w:r>
        <w:r>
          <w:rPr>
            <w:noProof/>
            <w:webHidden/>
          </w:rPr>
          <w:instrText xml:space="preserve"> PAGEREF _Toc235737552 \h </w:instrText>
        </w:r>
        <w:r>
          <w:rPr>
            <w:noProof/>
            <w:webHidden/>
          </w:rPr>
        </w:r>
        <w:r>
          <w:rPr>
            <w:noProof/>
            <w:webHidden/>
          </w:rPr>
          <w:fldChar w:fldCharType="separate"/>
        </w:r>
        <w:r>
          <w:rPr>
            <w:noProof/>
            <w:webHidden/>
          </w:rPr>
          <w:t>11</w:t>
        </w:r>
        <w:r>
          <w:rPr>
            <w:noProof/>
            <w:webHidden/>
          </w:rPr>
          <w:fldChar w:fldCharType="end"/>
        </w:r>
      </w:hyperlink>
    </w:p>
    <w:p w14:paraId="1AC39CB3" w14:textId="454472DE" w:rsidR="00F75A75" w:rsidRDefault="00F75A75">
      <w:pPr>
        <w:pStyle w:val="TOC1"/>
        <w:tabs>
          <w:tab w:val="right" w:leader="dot" w:pos="9016"/>
        </w:tabs>
        <w:rPr>
          <w:rFonts w:eastAsiaTheme="minorEastAsia"/>
          <w:noProof/>
          <w:lang w:eastAsia="en-GB"/>
        </w:rPr>
      </w:pPr>
      <w:hyperlink w:anchor="_Toc235737553" w:history="1">
        <w:r w:rsidRPr="007E4BBC">
          <w:rPr>
            <w:rStyle w:val="Hyperlink"/>
            <w:rFonts w:eastAsia="Times New Roman"/>
            <w:noProof/>
            <w:lang w:eastAsia="en-GB"/>
          </w:rPr>
          <w:t>6.0 REFERENCES</w:t>
        </w:r>
        <w:r>
          <w:rPr>
            <w:noProof/>
            <w:webHidden/>
          </w:rPr>
          <w:tab/>
        </w:r>
        <w:r>
          <w:rPr>
            <w:noProof/>
            <w:webHidden/>
          </w:rPr>
          <w:fldChar w:fldCharType="begin"/>
        </w:r>
        <w:r>
          <w:rPr>
            <w:noProof/>
            <w:webHidden/>
          </w:rPr>
          <w:instrText xml:space="preserve"> PAGEREF _Toc235737553 \h </w:instrText>
        </w:r>
        <w:r>
          <w:rPr>
            <w:noProof/>
            <w:webHidden/>
          </w:rPr>
        </w:r>
        <w:r>
          <w:rPr>
            <w:noProof/>
            <w:webHidden/>
          </w:rPr>
          <w:fldChar w:fldCharType="separate"/>
        </w:r>
        <w:r>
          <w:rPr>
            <w:noProof/>
            <w:webHidden/>
          </w:rPr>
          <w:t>11</w:t>
        </w:r>
        <w:r>
          <w:rPr>
            <w:noProof/>
            <w:webHidden/>
          </w:rPr>
          <w:fldChar w:fldCharType="end"/>
        </w:r>
      </w:hyperlink>
    </w:p>
    <w:p w14:paraId="6839B6A0" w14:textId="5D5F4DA0" w:rsidR="00D475CF" w:rsidRDefault="00D475CF" w:rsidP="00542031">
      <w:pPr>
        <w:rPr>
          <w:rFonts w:eastAsia="Times New Roman" w:cstheme="minorHAnsi"/>
          <w:b/>
          <w:bCs/>
          <w:kern w:val="0"/>
          <w:lang w:eastAsia="en-GB"/>
          <w14:ligatures w14:val="none"/>
        </w:rPr>
      </w:pPr>
      <w:r>
        <w:rPr>
          <w:rFonts w:eastAsia="Times New Roman" w:cstheme="minorHAnsi"/>
          <w:b/>
          <w:bCs/>
          <w:kern w:val="0"/>
          <w:lang w:eastAsia="en-GB"/>
          <w14:ligatures w14:val="none"/>
        </w:rPr>
        <w:fldChar w:fldCharType="end"/>
      </w:r>
    </w:p>
    <w:p w14:paraId="1C4B9B3B" w14:textId="2784F1EC" w:rsidR="00542031" w:rsidRDefault="00542031" w:rsidP="00542031">
      <w:pPr>
        <w:pStyle w:val="Heading1"/>
        <w:rPr>
          <w:lang w:eastAsia="en-GB"/>
        </w:rPr>
      </w:pPr>
    </w:p>
    <w:p w14:paraId="6CFF02AD" w14:textId="7C25E2C0" w:rsidR="00542031" w:rsidRPr="00542031" w:rsidRDefault="00542031" w:rsidP="00542031">
      <w:pPr>
        <w:rPr>
          <w:rFonts w:eastAsiaTheme="majorEastAsia" w:cstheme="majorBidi"/>
          <w:b/>
          <w:color w:val="000000" w:themeColor="text1"/>
          <w:szCs w:val="40"/>
          <w:lang w:eastAsia="en-GB"/>
        </w:rPr>
      </w:pPr>
      <w:r>
        <w:rPr>
          <w:lang w:eastAsia="en-GB"/>
        </w:rPr>
        <w:br w:type="page"/>
      </w:r>
    </w:p>
    <w:p w14:paraId="737E1E11" w14:textId="21462D7B" w:rsidR="00542031" w:rsidRDefault="00542031" w:rsidP="00542031">
      <w:pPr>
        <w:pStyle w:val="Heading1"/>
        <w:rPr>
          <w:lang w:eastAsia="en-GB"/>
        </w:rPr>
      </w:pPr>
      <w:bookmarkStart w:id="0" w:name="_Toc235737542"/>
      <w:r>
        <w:rPr>
          <w:lang w:eastAsia="en-GB"/>
        </w:rPr>
        <w:lastRenderedPageBreak/>
        <w:t>List of Figures</w:t>
      </w:r>
      <w:bookmarkEnd w:id="0"/>
    </w:p>
    <w:p w14:paraId="6F919B13" w14:textId="62348C58" w:rsidR="00542031" w:rsidRDefault="00542031">
      <w:pPr>
        <w:pStyle w:val="TableofFigures"/>
        <w:tabs>
          <w:tab w:val="right" w:leader="dot" w:pos="9016"/>
        </w:tabs>
        <w:rPr>
          <w:rFonts w:eastAsiaTheme="minorEastAsia"/>
          <w:noProof/>
          <w:lang w:eastAsia="en-GB"/>
        </w:rPr>
      </w:pPr>
      <w:r>
        <w:rPr>
          <w:rFonts w:eastAsia="Times New Roman" w:cstheme="minorHAnsi"/>
          <w:b/>
          <w:bCs/>
          <w:kern w:val="0"/>
          <w:lang w:eastAsia="en-GB"/>
          <w14:ligatures w14:val="none"/>
        </w:rPr>
        <w:fldChar w:fldCharType="begin"/>
      </w:r>
      <w:r>
        <w:rPr>
          <w:rFonts w:eastAsia="Times New Roman" w:cstheme="minorHAnsi"/>
          <w:b/>
          <w:bCs/>
          <w:kern w:val="0"/>
          <w:lang w:eastAsia="en-GB"/>
          <w14:ligatures w14:val="none"/>
        </w:rPr>
        <w:instrText xml:space="preserve"> TOC \h \z \c "Figure" </w:instrText>
      </w:r>
      <w:r>
        <w:rPr>
          <w:rFonts w:eastAsia="Times New Roman" w:cstheme="minorHAnsi"/>
          <w:b/>
          <w:bCs/>
          <w:kern w:val="0"/>
          <w:lang w:eastAsia="en-GB"/>
          <w14:ligatures w14:val="none"/>
        </w:rPr>
        <w:fldChar w:fldCharType="separate"/>
      </w:r>
      <w:hyperlink w:anchor="_Toc235736691" w:history="1">
        <w:r w:rsidRPr="002973A9">
          <w:rPr>
            <w:rStyle w:val="Hyperlink"/>
            <w:noProof/>
          </w:rPr>
          <w:t>Figure 1: Block diagram showing the sequence of components in a typical explosive train for a 60% RDX / 40% TNT mixture.</w:t>
        </w:r>
        <w:r>
          <w:rPr>
            <w:noProof/>
            <w:webHidden/>
          </w:rPr>
          <w:tab/>
        </w:r>
        <w:r>
          <w:rPr>
            <w:noProof/>
            <w:webHidden/>
          </w:rPr>
          <w:fldChar w:fldCharType="begin"/>
        </w:r>
        <w:r>
          <w:rPr>
            <w:noProof/>
            <w:webHidden/>
          </w:rPr>
          <w:instrText xml:space="preserve"> PAGEREF _Toc235736691 \h </w:instrText>
        </w:r>
        <w:r>
          <w:rPr>
            <w:noProof/>
            <w:webHidden/>
          </w:rPr>
        </w:r>
        <w:r>
          <w:rPr>
            <w:noProof/>
            <w:webHidden/>
          </w:rPr>
          <w:fldChar w:fldCharType="separate"/>
        </w:r>
        <w:r>
          <w:rPr>
            <w:noProof/>
            <w:webHidden/>
          </w:rPr>
          <w:t>6</w:t>
        </w:r>
        <w:r>
          <w:rPr>
            <w:noProof/>
            <w:webHidden/>
          </w:rPr>
          <w:fldChar w:fldCharType="end"/>
        </w:r>
      </w:hyperlink>
    </w:p>
    <w:p w14:paraId="63086368" w14:textId="4DB2F3C7" w:rsidR="00542031" w:rsidRDefault="00542031" w:rsidP="00542031">
      <w:pPr>
        <w:rPr>
          <w:rFonts w:eastAsia="Times New Roman" w:cstheme="minorHAnsi"/>
          <w:b/>
          <w:bCs/>
          <w:kern w:val="0"/>
          <w:lang w:eastAsia="en-GB"/>
          <w14:ligatures w14:val="none"/>
        </w:rPr>
      </w:pPr>
      <w:r>
        <w:rPr>
          <w:rFonts w:eastAsia="Times New Roman" w:cstheme="minorHAnsi"/>
          <w:b/>
          <w:bCs/>
          <w:kern w:val="0"/>
          <w:lang w:eastAsia="en-GB"/>
          <w14:ligatures w14:val="none"/>
        </w:rPr>
        <w:fldChar w:fldCharType="end"/>
      </w:r>
    </w:p>
    <w:p w14:paraId="27C60D87" w14:textId="77777777" w:rsidR="00025636" w:rsidRDefault="00025636" w:rsidP="00025636">
      <w:pPr>
        <w:pStyle w:val="Heading1"/>
        <w:rPr>
          <w:lang w:eastAsia="en-GB"/>
        </w:rPr>
      </w:pPr>
    </w:p>
    <w:p w14:paraId="506C91CA" w14:textId="5968A6D5" w:rsidR="00025636" w:rsidRPr="00025636" w:rsidRDefault="00025636" w:rsidP="00025636">
      <w:pPr>
        <w:rPr>
          <w:rFonts w:eastAsiaTheme="majorEastAsia" w:cstheme="majorBidi"/>
          <w:b/>
          <w:color w:val="000000" w:themeColor="text1"/>
          <w:szCs w:val="40"/>
          <w:lang w:eastAsia="en-GB"/>
        </w:rPr>
      </w:pPr>
    </w:p>
    <w:p w14:paraId="5DC0E010" w14:textId="77777777" w:rsidR="00025636" w:rsidRDefault="00025636">
      <w:pPr>
        <w:rPr>
          <w:rFonts w:eastAsiaTheme="majorEastAsia" w:cstheme="majorBidi"/>
          <w:b/>
          <w:color w:val="000000" w:themeColor="text1"/>
          <w:szCs w:val="40"/>
          <w:lang w:eastAsia="en-GB"/>
        </w:rPr>
      </w:pPr>
      <w:r>
        <w:rPr>
          <w:lang w:eastAsia="en-GB"/>
        </w:rPr>
        <w:br w:type="page"/>
      </w:r>
    </w:p>
    <w:p w14:paraId="688CDDD0" w14:textId="7021DA4E" w:rsidR="00542031" w:rsidRPr="00542031" w:rsidRDefault="00542031" w:rsidP="00025636">
      <w:pPr>
        <w:pStyle w:val="Heading1"/>
        <w:rPr>
          <w:rFonts w:eastAsia="Times New Roman" w:cstheme="minorHAnsi"/>
          <w:bCs/>
          <w:kern w:val="0"/>
          <w:lang w:eastAsia="en-GB"/>
          <w14:ligatures w14:val="none"/>
        </w:rPr>
      </w:pPr>
      <w:bookmarkStart w:id="1" w:name="_Toc235737543"/>
      <w:r>
        <w:rPr>
          <w:lang w:eastAsia="en-GB"/>
        </w:rPr>
        <w:lastRenderedPageBreak/>
        <w:t>List of Tables</w:t>
      </w:r>
      <w:bookmarkEnd w:id="1"/>
    </w:p>
    <w:p w14:paraId="7A74AE51" w14:textId="69EA9C95" w:rsidR="00025636" w:rsidRDefault="00542031">
      <w:pPr>
        <w:pStyle w:val="TableofFigures"/>
        <w:tabs>
          <w:tab w:val="right" w:leader="dot" w:pos="9016"/>
        </w:tabs>
        <w:rPr>
          <w:rFonts w:eastAsiaTheme="minorEastAsia"/>
          <w:noProof/>
          <w:lang w:eastAsia="en-GB"/>
        </w:rPr>
      </w:pPr>
      <w:r>
        <w:rPr>
          <w:rFonts w:eastAsia="Times New Roman" w:cstheme="minorHAnsi"/>
          <w:b/>
          <w:bCs/>
          <w:kern w:val="0"/>
          <w:lang w:eastAsia="en-GB"/>
          <w14:ligatures w14:val="none"/>
        </w:rPr>
        <w:fldChar w:fldCharType="begin"/>
      </w:r>
      <w:r>
        <w:rPr>
          <w:rFonts w:eastAsia="Times New Roman" w:cstheme="minorHAnsi"/>
          <w:b/>
          <w:bCs/>
          <w:kern w:val="0"/>
          <w:lang w:eastAsia="en-GB"/>
          <w14:ligatures w14:val="none"/>
        </w:rPr>
        <w:instrText xml:space="preserve"> TOC \h \z \c "Table" </w:instrText>
      </w:r>
      <w:r>
        <w:rPr>
          <w:rFonts w:eastAsia="Times New Roman" w:cstheme="minorHAnsi"/>
          <w:b/>
          <w:bCs/>
          <w:kern w:val="0"/>
          <w:lang w:eastAsia="en-GB"/>
          <w14:ligatures w14:val="none"/>
        </w:rPr>
        <w:fldChar w:fldCharType="separate"/>
      </w:r>
      <w:hyperlink w:anchor="_Toc235737167" w:history="1">
        <w:r w:rsidR="00025636" w:rsidRPr="00404B9B">
          <w:rPr>
            <w:rStyle w:val="Hyperlink"/>
            <w:noProof/>
          </w:rPr>
          <w:t>Table 1: Explosive Parameters.</w:t>
        </w:r>
        <w:r w:rsidR="00025636">
          <w:rPr>
            <w:noProof/>
            <w:webHidden/>
          </w:rPr>
          <w:tab/>
        </w:r>
        <w:r w:rsidR="00025636">
          <w:rPr>
            <w:noProof/>
            <w:webHidden/>
          </w:rPr>
          <w:fldChar w:fldCharType="begin"/>
        </w:r>
        <w:r w:rsidR="00025636">
          <w:rPr>
            <w:noProof/>
            <w:webHidden/>
          </w:rPr>
          <w:instrText xml:space="preserve"> PAGEREF _Toc235737167 \h </w:instrText>
        </w:r>
        <w:r w:rsidR="00025636">
          <w:rPr>
            <w:noProof/>
            <w:webHidden/>
          </w:rPr>
        </w:r>
        <w:r w:rsidR="00025636">
          <w:rPr>
            <w:noProof/>
            <w:webHidden/>
          </w:rPr>
          <w:fldChar w:fldCharType="separate"/>
        </w:r>
        <w:r w:rsidR="00025636">
          <w:rPr>
            <w:noProof/>
            <w:webHidden/>
          </w:rPr>
          <w:t>5</w:t>
        </w:r>
        <w:r w:rsidR="00025636">
          <w:rPr>
            <w:noProof/>
            <w:webHidden/>
          </w:rPr>
          <w:fldChar w:fldCharType="end"/>
        </w:r>
      </w:hyperlink>
    </w:p>
    <w:p w14:paraId="6950580D" w14:textId="774ED3FB" w:rsidR="00025636" w:rsidRDefault="00025636">
      <w:pPr>
        <w:pStyle w:val="TableofFigures"/>
        <w:tabs>
          <w:tab w:val="right" w:leader="dot" w:pos="9016"/>
        </w:tabs>
        <w:rPr>
          <w:rFonts w:eastAsiaTheme="minorEastAsia"/>
          <w:noProof/>
          <w:lang w:eastAsia="en-GB"/>
        </w:rPr>
      </w:pPr>
      <w:hyperlink w:anchor="_Toc235737168" w:history="1">
        <w:r w:rsidRPr="00404B9B">
          <w:rPr>
            <w:rStyle w:val="Hyperlink"/>
            <w:noProof/>
          </w:rPr>
          <w:t>Table 2: Explosives Property.</w:t>
        </w:r>
        <w:r>
          <w:rPr>
            <w:noProof/>
            <w:webHidden/>
          </w:rPr>
          <w:tab/>
        </w:r>
        <w:r>
          <w:rPr>
            <w:noProof/>
            <w:webHidden/>
          </w:rPr>
          <w:fldChar w:fldCharType="begin"/>
        </w:r>
        <w:r>
          <w:rPr>
            <w:noProof/>
            <w:webHidden/>
          </w:rPr>
          <w:instrText xml:space="preserve"> PAGEREF _Toc235737168 \h </w:instrText>
        </w:r>
        <w:r>
          <w:rPr>
            <w:noProof/>
            <w:webHidden/>
          </w:rPr>
        </w:r>
        <w:r>
          <w:rPr>
            <w:noProof/>
            <w:webHidden/>
          </w:rPr>
          <w:fldChar w:fldCharType="separate"/>
        </w:r>
        <w:r>
          <w:rPr>
            <w:noProof/>
            <w:webHidden/>
          </w:rPr>
          <w:t>6</w:t>
        </w:r>
        <w:r>
          <w:rPr>
            <w:noProof/>
            <w:webHidden/>
          </w:rPr>
          <w:fldChar w:fldCharType="end"/>
        </w:r>
      </w:hyperlink>
    </w:p>
    <w:p w14:paraId="4A4EE9E0" w14:textId="48977CD2" w:rsidR="00025636" w:rsidRDefault="00025636">
      <w:pPr>
        <w:pStyle w:val="TableofFigures"/>
        <w:tabs>
          <w:tab w:val="right" w:leader="dot" w:pos="9016"/>
        </w:tabs>
        <w:rPr>
          <w:rFonts w:eastAsiaTheme="minorEastAsia"/>
          <w:noProof/>
          <w:lang w:eastAsia="en-GB"/>
        </w:rPr>
      </w:pPr>
      <w:hyperlink w:anchor="_Toc235737169" w:history="1">
        <w:r w:rsidRPr="00404B9B">
          <w:rPr>
            <w:rStyle w:val="Hyperlink"/>
            <w:noProof/>
          </w:rPr>
          <w:t>Table 3: Potential Improvements for Grounded Sea Mine.</w:t>
        </w:r>
        <w:r>
          <w:rPr>
            <w:noProof/>
            <w:webHidden/>
          </w:rPr>
          <w:tab/>
        </w:r>
        <w:r>
          <w:rPr>
            <w:noProof/>
            <w:webHidden/>
          </w:rPr>
          <w:fldChar w:fldCharType="begin"/>
        </w:r>
        <w:r>
          <w:rPr>
            <w:noProof/>
            <w:webHidden/>
          </w:rPr>
          <w:instrText xml:space="preserve"> PAGEREF _Toc235737169 \h </w:instrText>
        </w:r>
        <w:r>
          <w:rPr>
            <w:noProof/>
            <w:webHidden/>
          </w:rPr>
        </w:r>
        <w:r>
          <w:rPr>
            <w:noProof/>
            <w:webHidden/>
          </w:rPr>
          <w:fldChar w:fldCharType="separate"/>
        </w:r>
        <w:r>
          <w:rPr>
            <w:noProof/>
            <w:webHidden/>
          </w:rPr>
          <w:t>10</w:t>
        </w:r>
        <w:r>
          <w:rPr>
            <w:noProof/>
            <w:webHidden/>
          </w:rPr>
          <w:fldChar w:fldCharType="end"/>
        </w:r>
      </w:hyperlink>
    </w:p>
    <w:p w14:paraId="3288C9AF" w14:textId="506F1994" w:rsidR="00025636" w:rsidRDefault="00542031" w:rsidP="00025636">
      <w:pPr>
        <w:spacing w:before="100" w:beforeAutospacing="1" w:after="100" w:afterAutospacing="1"/>
        <w:rPr>
          <w:rFonts w:eastAsia="Times New Roman" w:cstheme="minorHAnsi"/>
          <w:b/>
          <w:bCs/>
          <w:kern w:val="0"/>
          <w:lang w:eastAsia="en-GB"/>
          <w14:ligatures w14:val="none"/>
        </w:rPr>
      </w:pPr>
      <w:r>
        <w:rPr>
          <w:rFonts w:eastAsia="Times New Roman" w:cstheme="minorHAnsi"/>
          <w:b/>
          <w:bCs/>
          <w:kern w:val="0"/>
          <w:lang w:eastAsia="en-GB"/>
          <w14:ligatures w14:val="none"/>
        </w:rPr>
        <w:fldChar w:fldCharType="end"/>
      </w:r>
    </w:p>
    <w:p w14:paraId="2A1EE06A" w14:textId="676DB7A2" w:rsidR="00675902" w:rsidRDefault="00025636">
      <w:pPr>
        <w:rPr>
          <w:rFonts w:eastAsia="Times New Roman" w:cstheme="minorHAnsi"/>
          <w:b/>
          <w:bCs/>
          <w:kern w:val="0"/>
          <w:lang w:eastAsia="en-GB"/>
          <w14:ligatures w14:val="none"/>
        </w:rPr>
      </w:pPr>
      <w:r>
        <w:rPr>
          <w:rFonts w:eastAsia="Times New Roman" w:cstheme="minorHAnsi"/>
          <w:b/>
          <w:bCs/>
          <w:kern w:val="0"/>
          <w:lang w:eastAsia="en-GB"/>
          <w14:ligatures w14:val="none"/>
        </w:rPr>
        <w:br w:type="page"/>
      </w:r>
    </w:p>
    <w:p w14:paraId="06443CA3" w14:textId="637B0FDB" w:rsidR="00F75A75" w:rsidRDefault="00F75A75" w:rsidP="00F75A75">
      <w:pPr>
        <w:pStyle w:val="Heading1"/>
        <w:rPr>
          <w:lang w:eastAsia="en-GB"/>
        </w:rPr>
      </w:pPr>
      <w:bookmarkStart w:id="2" w:name="_Toc235737544"/>
      <w:r>
        <w:rPr>
          <w:lang w:eastAsia="en-GB"/>
        </w:rPr>
        <w:lastRenderedPageBreak/>
        <w:t>List of Equations</w:t>
      </w:r>
      <w:bookmarkEnd w:id="2"/>
    </w:p>
    <w:p w14:paraId="063F443D" w14:textId="71132375" w:rsidR="00A57EAA" w:rsidRDefault="00675902">
      <w:pPr>
        <w:pStyle w:val="TableofFigures"/>
        <w:tabs>
          <w:tab w:val="right" w:leader="dot" w:pos="9016"/>
        </w:tabs>
        <w:rPr>
          <w:rFonts w:eastAsiaTheme="minorEastAsia"/>
          <w:noProof/>
          <w:lang w:eastAsia="en-GB"/>
        </w:rPr>
      </w:pPr>
      <w:r>
        <w:rPr>
          <w:rFonts w:eastAsia="Times New Roman" w:cstheme="minorHAnsi"/>
          <w:b/>
          <w:bCs/>
          <w:kern w:val="0"/>
          <w:lang w:eastAsia="en-GB"/>
          <w14:ligatures w14:val="none"/>
        </w:rPr>
        <w:fldChar w:fldCharType="begin"/>
      </w:r>
      <w:r>
        <w:rPr>
          <w:rFonts w:eastAsia="Times New Roman" w:cstheme="minorHAnsi"/>
          <w:b/>
          <w:bCs/>
          <w:kern w:val="0"/>
          <w:lang w:eastAsia="en-GB"/>
          <w14:ligatures w14:val="none"/>
        </w:rPr>
        <w:instrText xml:space="preserve"> TOC \h \z \c "Equation" </w:instrText>
      </w:r>
      <w:r>
        <w:rPr>
          <w:rFonts w:eastAsia="Times New Roman" w:cstheme="minorHAnsi"/>
          <w:b/>
          <w:bCs/>
          <w:kern w:val="0"/>
          <w:lang w:eastAsia="en-GB"/>
          <w14:ligatures w14:val="none"/>
        </w:rPr>
        <w:fldChar w:fldCharType="separate"/>
      </w:r>
      <w:hyperlink w:anchor="_Toc235737512" w:history="1">
        <w:r w:rsidR="00A57EAA" w:rsidRPr="0067144E">
          <w:rPr>
            <w:rStyle w:val="Hyperlink"/>
            <w:noProof/>
          </w:rPr>
          <w:t>Equation 1: (2-1)</w:t>
        </w:r>
        <w:r w:rsidR="00A57EAA">
          <w:rPr>
            <w:noProof/>
            <w:webHidden/>
          </w:rPr>
          <w:tab/>
        </w:r>
        <w:r w:rsidR="00A57EAA">
          <w:rPr>
            <w:noProof/>
            <w:webHidden/>
          </w:rPr>
          <w:fldChar w:fldCharType="begin"/>
        </w:r>
        <w:r w:rsidR="00A57EAA">
          <w:rPr>
            <w:noProof/>
            <w:webHidden/>
          </w:rPr>
          <w:instrText xml:space="preserve"> PAGEREF _Toc235737512 \h </w:instrText>
        </w:r>
        <w:r w:rsidR="00A57EAA">
          <w:rPr>
            <w:noProof/>
            <w:webHidden/>
          </w:rPr>
        </w:r>
        <w:r w:rsidR="00A57EAA">
          <w:rPr>
            <w:noProof/>
            <w:webHidden/>
          </w:rPr>
          <w:fldChar w:fldCharType="separate"/>
        </w:r>
        <w:r w:rsidR="00A57EAA">
          <w:rPr>
            <w:noProof/>
            <w:webHidden/>
          </w:rPr>
          <w:t>6</w:t>
        </w:r>
        <w:r w:rsidR="00A57EAA">
          <w:rPr>
            <w:noProof/>
            <w:webHidden/>
          </w:rPr>
          <w:fldChar w:fldCharType="end"/>
        </w:r>
      </w:hyperlink>
    </w:p>
    <w:p w14:paraId="44297BD3" w14:textId="612FD50E" w:rsidR="00A57EAA" w:rsidRDefault="00A57EAA">
      <w:pPr>
        <w:pStyle w:val="TableofFigures"/>
        <w:tabs>
          <w:tab w:val="right" w:leader="dot" w:pos="9016"/>
        </w:tabs>
        <w:rPr>
          <w:rFonts w:eastAsiaTheme="minorEastAsia"/>
          <w:noProof/>
          <w:lang w:eastAsia="en-GB"/>
        </w:rPr>
      </w:pPr>
      <w:hyperlink w:anchor="_Toc235737513" w:history="1">
        <w:r w:rsidRPr="0067144E">
          <w:rPr>
            <w:rStyle w:val="Hyperlink"/>
            <w:noProof/>
          </w:rPr>
          <w:t>Equation 2: (2-2)</w:t>
        </w:r>
        <w:r>
          <w:rPr>
            <w:noProof/>
            <w:webHidden/>
          </w:rPr>
          <w:tab/>
        </w:r>
        <w:r>
          <w:rPr>
            <w:noProof/>
            <w:webHidden/>
          </w:rPr>
          <w:fldChar w:fldCharType="begin"/>
        </w:r>
        <w:r>
          <w:rPr>
            <w:noProof/>
            <w:webHidden/>
          </w:rPr>
          <w:instrText xml:space="preserve"> PAGEREF _Toc235737513 \h </w:instrText>
        </w:r>
        <w:r>
          <w:rPr>
            <w:noProof/>
            <w:webHidden/>
          </w:rPr>
        </w:r>
        <w:r>
          <w:rPr>
            <w:noProof/>
            <w:webHidden/>
          </w:rPr>
          <w:fldChar w:fldCharType="separate"/>
        </w:r>
        <w:r>
          <w:rPr>
            <w:noProof/>
            <w:webHidden/>
          </w:rPr>
          <w:t>7</w:t>
        </w:r>
        <w:r>
          <w:rPr>
            <w:noProof/>
            <w:webHidden/>
          </w:rPr>
          <w:fldChar w:fldCharType="end"/>
        </w:r>
      </w:hyperlink>
    </w:p>
    <w:p w14:paraId="33EB4CB5" w14:textId="0680392E" w:rsidR="00025636" w:rsidRDefault="00675902">
      <w:pPr>
        <w:rPr>
          <w:rFonts w:eastAsia="Times New Roman" w:cstheme="minorHAnsi"/>
          <w:b/>
          <w:bCs/>
          <w:kern w:val="0"/>
          <w:lang w:eastAsia="en-GB"/>
          <w14:ligatures w14:val="none"/>
        </w:rPr>
      </w:pPr>
      <w:r>
        <w:rPr>
          <w:rFonts w:eastAsia="Times New Roman" w:cstheme="minorHAnsi"/>
          <w:b/>
          <w:bCs/>
          <w:kern w:val="0"/>
          <w:lang w:eastAsia="en-GB"/>
          <w14:ligatures w14:val="none"/>
        </w:rPr>
        <w:fldChar w:fldCharType="end"/>
      </w:r>
      <w:r>
        <w:rPr>
          <w:rFonts w:eastAsia="Times New Roman" w:cstheme="minorHAnsi"/>
          <w:b/>
          <w:bCs/>
          <w:kern w:val="0"/>
          <w:lang w:eastAsia="en-GB"/>
          <w14:ligatures w14:val="none"/>
        </w:rPr>
        <w:br w:type="page"/>
      </w:r>
    </w:p>
    <w:p w14:paraId="7EFC8B0E" w14:textId="68B70531" w:rsidR="00DA02D9" w:rsidRDefault="000677BB" w:rsidP="008F5680">
      <w:pPr>
        <w:pStyle w:val="Heading1"/>
        <w:tabs>
          <w:tab w:val="left" w:pos="2074"/>
        </w:tabs>
        <w:spacing w:line="276" w:lineRule="auto"/>
        <w:rPr>
          <w:rFonts w:eastAsia="Times New Roman"/>
          <w:lang w:eastAsia="en-GB"/>
        </w:rPr>
      </w:pPr>
      <w:bookmarkStart w:id="3" w:name="_Toc235737545"/>
      <w:r>
        <w:rPr>
          <w:rFonts w:eastAsia="Times New Roman"/>
          <w:lang w:eastAsia="en-GB"/>
        </w:rPr>
        <w:lastRenderedPageBreak/>
        <w:t>1.0 INTRODUCTION</w:t>
      </w:r>
      <w:bookmarkEnd w:id="3"/>
      <w:r>
        <w:rPr>
          <w:rFonts w:eastAsia="Times New Roman"/>
          <w:lang w:eastAsia="en-GB"/>
        </w:rPr>
        <w:t xml:space="preserve"> </w:t>
      </w:r>
    </w:p>
    <w:p w14:paraId="47B5D40F" w14:textId="77777777" w:rsidR="000677BB" w:rsidRDefault="000677BB" w:rsidP="000677BB">
      <w:pPr>
        <w:rPr>
          <w:lang w:eastAsia="en-GB"/>
        </w:rPr>
      </w:pPr>
      <w:r>
        <w:rPr>
          <w:lang w:eastAsia="en-GB"/>
        </w:rPr>
        <w:t>Explosives are used in military and engineering applications where a controlled release of energy is required. The performance of an explosive depends on properties such as oxygen balance, velocity of detonation (VoD), detonation pressure, density and brisance. These properties determine how efficiently an explosive releases energy.</w:t>
      </w:r>
    </w:p>
    <w:p w14:paraId="25950F21" w14:textId="77777777" w:rsidR="000677BB" w:rsidRDefault="000677BB" w:rsidP="000677BB">
      <w:pPr>
        <w:rPr>
          <w:lang w:eastAsia="en-GB"/>
        </w:rPr>
      </w:pPr>
    </w:p>
    <w:p w14:paraId="627229FF" w14:textId="77777777" w:rsidR="000677BB" w:rsidRDefault="000677BB" w:rsidP="000677BB">
      <w:pPr>
        <w:rPr>
          <w:lang w:eastAsia="en-GB"/>
        </w:rPr>
      </w:pPr>
      <w:r>
        <w:rPr>
          <w:lang w:eastAsia="en-GB"/>
        </w:rPr>
        <w:t>Many military explosives are mixtures rather than a single explosive. A common example is a mixture containing 60% RDX and 40% TNT. RDX provides high explosive performance, while TNT makes the mixture easier to manufacture by melt casting.</w:t>
      </w:r>
    </w:p>
    <w:p w14:paraId="50C200A4" w14:textId="77777777" w:rsidR="000677BB" w:rsidRDefault="000677BB" w:rsidP="000677BB">
      <w:pPr>
        <w:rPr>
          <w:lang w:eastAsia="en-GB"/>
        </w:rPr>
      </w:pPr>
    </w:p>
    <w:p w14:paraId="7FC1B2B6" w14:textId="3D9F67B9" w:rsidR="00122D13" w:rsidRDefault="000677BB" w:rsidP="000677BB">
      <w:pPr>
        <w:rPr>
          <w:lang w:eastAsia="en-GB"/>
        </w:rPr>
      </w:pPr>
      <w:r>
        <w:rPr>
          <w:lang w:eastAsia="en-GB"/>
        </w:rPr>
        <w:t>This model report examines a 60% RDX and 40% TNT mixture by calculating its oxygen balance and approximate velocity of detonation. It also introduces the explosive's expected performance.</w:t>
      </w:r>
    </w:p>
    <w:p w14:paraId="1A7526EA" w14:textId="0B29FD72" w:rsidR="00D475CF" w:rsidRDefault="000677BB" w:rsidP="008F5680">
      <w:pPr>
        <w:pStyle w:val="Heading1"/>
        <w:tabs>
          <w:tab w:val="left" w:pos="2074"/>
        </w:tabs>
        <w:spacing w:line="276" w:lineRule="auto"/>
        <w:rPr>
          <w:rFonts w:eastAsia="Times New Roman"/>
          <w:b w:val="0"/>
          <w:lang w:eastAsia="en-GB"/>
        </w:rPr>
      </w:pPr>
      <w:bookmarkStart w:id="4" w:name="_Toc235737546"/>
      <w:r>
        <w:rPr>
          <w:rFonts w:eastAsia="Times New Roman"/>
          <w:lang w:eastAsia="en-GB"/>
        </w:rPr>
        <w:t>2.0 EXPLOSIVES CALCULATIONS, AND ANALYSIS</w:t>
      </w:r>
      <w:bookmarkEnd w:id="4"/>
    </w:p>
    <w:p w14:paraId="48B90358" w14:textId="77777777" w:rsidR="00396078" w:rsidRDefault="00396078" w:rsidP="00396078">
      <w:pPr>
        <w:ind w:left="720"/>
        <w:rPr>
          <w:rFonts w:eastAsia="Times New Roman" w:cstheme="minorHAnsi"/>
          <w:kern w:val="0"/>
          <w:lang w:eastAsia="en-GB"/>
          <w14:ligatures w14:val="none"/>
        </w:rPr>
      </w:pPr>
    </w:p>
    <w:p w14:paraId="77D5AB0D" w14:textId="33B1D805" w:rsidR="00396078" w:rsidRDefault="00396078" w:rsidP="00396078">
      <w:pPr>
        <w:rPr>
          <w:rFonts w:ascii="Arial" w:hAnsi="Arial" w:cs="Arial"/>
        </w:rPr>
      </w:pPr>
      <w:r>
        <w:rPr>
          <w:rFonts w:ascii="Arial" w:hAnsi="Arial" w:cs="Arial"/>
        </w:rPr>
        <w:t>A mixed explosive composition comprises 60% RDX and 40% TNT, with the following explosive parameters:</w:t>
      </w:r>
    </w:p>
    <w:p w14:paraId="5B1006FC" w14:textId="77777777" w:rsidR="00396078" w:rsidRDefault="00396078" w:rsidP="00542031">
      <w:pPr>
        <w:ind w:left="720"/>
        <w:jc w:val="center"/>
        <w:rPr>
          <w:rFonts w:ascii="Arial" w:hAnsi="Arial" w:cs="Arial"/>
        </w:rPr>
      </w:pPr>
    </w:p>
    <w:p w14:paraId="38ABBCC9" w14:textId="1D2452A7" w:rsidR="00542031" w:rsidRPr="00542031" w:rsidRDefault="00542031" w:rsidP="00542031">
      <w:pPr>
        <w:ind w:left="720"/>
        <w:jc w:val="center"/>
        <w:rPr>
          <w:rFonts w:ascii="Arial" w:hAnsi="Arial" w:cs="Arial"/>
          <w:i/>
          <w:iCs/>
        </w:rPr>
      </w:pPr>
    </w:p>
    <w:p w14:paraId="16C551A0" w14:textId="7D8AE1F9" w:rsidR="00542031" w:rsidRPr="00542031" w:rsidRDefault="00542031" w:rsidP="00542031">
      <w:pPr>
        <w:pStyle w:val="Caption"/>
      </w:pPr>
      <w:bookmarkStart w:id="5" w:name="_Toc235737167"/>
      <w:r>
        <w:t xml:space="preserve">Table </w:t>
      </w:r>
      <w:r>
        <w:fldChar w:fldCharType="begin"/>
      </w:r>
      <w:r>
        <w:instrText xml:space="preserve"> SEQ Table \* ARABIC </w:instrText>
      </w:r>
      <w:r>
        <w:fldChar w:fldCharType="separate"/>
      </w:r>
      <w:r w:rsidR="00025636">
        <w:rPr>
          <w:noProof/>
        </w:rPr>
        <w:t>1</w:t>
      </w:r>
      <w:r>
        <w:fldChar w:fldCharType="end"/>
      </w:r>
      <w:r>
        <w:t>: Explosive Parameters</w:t>
      </w:r>
      <w:r w:rsidR="00025636">
        <w:t>.</w:t>
      </w:r>
      <w:bookmarkEnd w:id="5"/>
    </w:p>
    <w:tbl>
      <w:tblPr>
        <w:tblStyle w:val="TableGrid"/>
        <w:tblW w:w="9960" w:type="dxa"/>
        <w:jc w:val="center"/>
        <w:tblLook w:val="04A0" w:firstRow="1" w:lastRow="0" w:firstColumn="1" w:lastColumn="0" w:noHBand="0" w:noVBand="1"/>
      </w:tblPr>
      <w:tblGrid>
        <w:gridCol w:w="3515"/>
        <w:gridCol w:w="3228"/>
        <w:gridCol w:w="3217"/>
      </w:tblGrid>
      <w:tr w:rsidR="00396078" w14:paraId="175AC885" w14:textId="77777777" w:rsidTr="000677BB">
        <w:trPr>
          <w:jc w:val="center"/>
        </w:trPr>
        <w:tc>
          <w:tcPr>
            <w:tcW w:w="3515" w:type="dxa"/>
            <w:vAlign w:val="center"/>
          </w:tcPr>
          <w:p w14:paraId="10E8D5BB" w14:textId="77777777" w:rsidR="00396078" w:rsidRPr="000677BB" w:rsidRDefault="00396078" w:rsidP="000677BB">
            <w:pPr>
              <w:jc w:val="center"/>
              <w:rPr>
                <w:rFonts w:ascii="Arial" w:hAnsi="Arial" w:cs="Arial"/>
                <w:b/>
                <w:bCs/>
                <w:sz w:val="24"/>
                <w:szCs w:val="24"/>
              </w:rPr>
            </w:pPr>
            <w:r w:rsidRPr="000677BB">
              <w:rPr>
                <w:rFonts w:ascii="Arial" w:hAnsi="Arial" w:cs="Arial"/>
                <w:b/>
                <w:bCs/>
                <w:sz w:val="24"/>
                <w:szCs w:val="24"/>
              </w:rPr>
              <w:t>Explosive</w:t>
            </w:r>
          </w:p>
        </w:tc>
        <w:tc>
          <w:tcPr>
            <w:tcW w:w="3228" w:type="dxa"/>
            <w:vAlign w:val="center"/>
          </w:tcPr>
          <w:p w14:paraId="4F5C14CA" w14:textId="77777777" w:rsidR="00396078" w:rsidRPr="000677BB" w:rsidRDefault="00396078" w:rsidP="000677BB">
            <w:pPr>
              <w:jc w:val="center"/>
              <w:rPr>
                <w:rFonts w:ascii="Arial" w:hAnsi="Arial" w:cs="Arial"/>
                <w:b/>
                <w:bCs/>
                <w:sz w:val="24"/>
                <w:szCs w:val="24"/>
              </w:rPr>
            </w:pPr>
            <w:r w:rsidRPr="000677BB">
              <w:rPr>
                <w:rFonts w:ascii="Arial" w:hAnsi="Arial" w:cs="Arial"/>
                <w:b/>
                <w:bCs/>
                <w:sz w:val="24"/>
                <w:szCs w:val="24"/>
              </w:rPr>
              <w:t>TNT</w:t>
            </w:r>
          </w:p>
        </w:tc>
        <w:tc>
          <w:tcPr>
            <w:tcW w:w="3217" w:type="dxa"/>
            <w:vAlign w:val="center"/>
          </w:tcPr>
          <w:p w14:paraId="1A966985" w14:textId="77777777" w:rsidR="00396078" w:rsidRPr="000677BB" w:rsidRDefault="00396078" w:rsidP="000677BB">
            <w:pPr>
              <w:jc w:val="center"/>
              <w:rPr>
                <w:rFonts w:ascii="Arial" w:hAnsi="Arial" w:cs="Arial"/>
                <w:b/>
                <w:bCs/>
                <w:sz w:val="24"/>
                <w:szCs w:val="24"/>
              </w:rPr>
            </w:pPr>
            <w:r w:rsidRPr="000677BB">
              <w:rPr>
                <w:rFonts w:ascii="Arial" w:hAnsi="Arial" w:cs="Arial"/>
                <w:b/>
                <w:bCs/>
                <w:sz w:val="24"/>
                <w:szCs w:val="24"/>
              </w:rPr>
              <w:t>RDX</w:t>
            </w:r>
          </w:p>
        </w:tc>
      </w:tr>
      <w:tr w:rsidR="00396078" w14:paraId="16BFA0EB" w14:textId="77777777" w:rsidTr="000677BB">
        <w:trPr>
          <w:jc w:val="center"/>
        </w:trPr>
        <w:tc>
          <w:tcPr>
            <w:tcW w:w="3515" w:type="dxa"/>
            <w:vAlign w:val="center"/>
          </w:tcPr>
          <w:p w14:paraId="10CB4872" w14:textId="77777777" w:rsidR="00396078" w:rsidRDefault="00396078" w:rsidP="000677BB">
            <w:pPr>
              <w:jc w:val="center"/>
              <w:rPr>
                <w:rFonts w:ascii="Arial" w:hAnsi="Arial" w:cs="Arial"/>
                <w:sz w:val="24"/>
                <w:szCs w:val="24"/>
              </w:rPr>
            </w:pPr>
            <w:r>
              <w:rPr>
                <w:rFonts w:ascii="Arial" w:hAnsi="Arial" w:cs="Arial"/>
                <w:sz w:val="24"/>
                <w:szCs w:val="24"/>
              </w:rPr>
              <w:t>Density</w:t>
            </w:r>
          </w:p>
        </w:tc>
        <w:tc>
          <w:tcPr>
            <w:tcW w:w="3228" w:type="dxa"/>
            <w:vAlign w:val="center"/>
          </w:tcPr>
          <w:p w14:paraId="61A704BE" w14:textId="77777777" w:rsidR="00396078" w:rsidRDefault="00396078" w:rsidP="000677BB">
            <w:pPr>
              <w:jc w:val="center"/>
              <w:rPr>
                <w:rFonts w:ascii="Arial" w:hAnsi="Arial" w:cs="Arial"/>
                <w:sz w:val="24"/>
                <w:szCs w:val="24"/>
              </w:rPr>
            </w:pPr>
            <w:r>
              <w:rPr>
                <w:rFonts w:ascii="Arial" w:hAnsi="Arial" w:cs="Arial"/>
                <w:sz w:val="24"/>
                <w:szCs w:val="24"/>
              </w:rPr>
              <w:t>1.654 g cm</w:t>
            </w:r>
            <w:r w:rsidRPr="00DC4B73">
              <w:rPr>
                <w:rFonts w:ascii="Arial" w:hAnsi="Arial" w:cs="Arial"/>
                <w:sz w:val="24"/>
                <w:szCs w:val="24"/>
                <w:vertAlign w:val="superscript"/>
              </w:rPr>
              <w:t>-3</w:t>
            </w:r>
          </w:p>
        </w:tc>
        <w:tc>
          <w:tcPr>
            <w:tcW w:w="3217" w:type="dxa"/>
            <w:vAlign w:val="center"/>
          </w:tcPr>
          <w:p w14:paraId="5F6DEA3A" w14:textId="77777777" w:rsidR="00396078" w:rsidRDefault="00396078" w:rsidP="000677BB">
            <w:pPr>
              <w:jc w:val="center"/>
              <w:rPr>
                <w:rFonts w:ascii="Arial" w:hAnsi="Arial" w:cs="Arial"/>
                <w:sz w:val="24"/>
                <w:szCs w:val="24"/>
              </w:rPr>
            </w:pPr>
            <w:r>
              <w:rPr>
                <w:rFonts w:ascii="Arial" w:hAnsi="Arial" w:cs="Arial"/>
                <w:sz w:val="24"/>
                <w:szCs w:val="24"/>
              </w:rPr>
              <w:t>1.793 g cm</w:t>
            </w:r>
            <w:r w:rsidRPr="00DC4B73">
              <w:rPr>
                <w:rFonts w:ascii="Arial" w:hAnsi="Arial" w:cs="Arial"/>
                <w:sz w:val="24"/>
                <w:szCs w:val="24"/>
                <w:vertAlign w:val="superscript"/>
              </w:rPr>
              <w:t>-3</w:t>
            </w:r>
          </w:p>
        </w:tc>
      </w:tr>
      <w:tr w:rsidR="00396078" w14:paraId="17C8B772" w14:textId="77777777" w:rsidTr="000677BB">
        <w:trPr>
          <w:jc w:val="center"/>
        </w:trPr>
        <w:tc>
          <w:tcPr>
            <w:tcW w:w="3515" w:type="dxa"/>
            <w:vAlign w:val="center"/>
          </w:tcPr>
          <w:p w14:paraId="508D15C9" w14:textId="77777777" w:rsidR="00396078" w:rsidRDefault="00396078" w:rsidP="000677BB">
            <w:pPr>
              <w:jc w:val="center"/>
              <w:rPr>
                <w:rFonts w:ascii="Arial" w:hAnsi="Arial" w:cs="Arial"/>
                <w:sz w:val="24"/>
                <w:szCs w:val="24"/>
              </w:rPr>
            </w:pPr>
            <w:r>
              <w:rPr>
                <w:rFonts w:ascii="Arial" w:hAnsi="Arial" w:cs="Arial"/>
                <w:sz w:val="24"/>
                <w:szCs w:val="24"/>
              </w:rPr>
              <w:t>VoD</w:t>
            </w:r>
          </w:p>
        </w:tc>
        <w:tc>
          <w:tcPr>
            <w:tcW w:w="3228" w:type="dxa"/>
            <w:vAlign w:val="center"/>
          </w:tcPr>
          <w:p w14:paraId="4F89A59F" w14:textId="77777777" w:rsidR="00396078" w:rsidRDefault="00396078" w:rsidP="000677BB">
            <w:pPr>
              <w:jc w:val="center"/>
              <w:rPr>
                <w:rFonts w:ascii="Arial" w:hAnsi="Arial" w:cs="Arial"/>
                <w:sz w:val="24"/>
                <w:szCs w:val="24"/>
              </w:rPr>
            </w:pPr>
            <w:r>
              <w:rPr>
                <w:rFonts w:ascii="Arial" w:hAnsi="Arial" w:cs="Arial"/>
                <w:sz w:val="24"/>
                <w:szCs w:val="24"/>
              </w:rPr>
              <w:t>6850 ms</w:t>
            </w:r>
            <w:r w:rsidRPr="00DC4B73">
              <w:rPr>
                <w:rFonts w:ascii="Arial" w:hAnsi="Arial" w:cs="Arial"/>
                <w:sz w:val="24"/>
                <w:szCs w:val="24"/>
                <w:vertAlign w:val="superscript"/>
              </w:rPr>
              <w:t>-1</w:t>
            </w:r>
          </w:p>
        </w:tc>
        <w:tc>
          <w:tcPr>
            <w:tcW w:w="3217" w:type="dxa"/>
            <w:vAlign w:val="center"/>
          </w:tcPr>
          <w:p w14:paraId="6EA3AA49" w14:textId="77777777" w:rsidR="00396078" w:rsidRDefault="00396078" w:rsidP="000677BB">
            <w:pPr>
              <w:jc w:val="center"/>
              <w:rPr>
                <w:rFonts w:ascii="Arial" w:hAnsi="Arial" w:cs="Arial"/>
                <w:sz w:val="24"/>
                <w:szCs w:val="24"/>
              </w:rPr>
            </w:pPr>
            <w:r>
              <w:rPr>
                <w:rFonts w:ascii="Arial" w:hAnsi="Arial" w:cs="Arial"/>
                <w:sz w:val="24"/>
                <w:szCs w:val="24"/>
              </w:rPr>
              <w:t>8440 ms</w:t>
            </w:r>
            <w:r w:rsidRPr="00DC4B73">
              <w:rPr>
                <w:rFonts w:ascii="Arial" w:hAnsi="Arial" w:cs="Arial"/>
                <w:sz w:val="24"/>
                <w:szCs w:val="24"/>
                <w:vertAlign w:val="superscript"/>
              </w:rPr>
              <w:t>-1</w:t>
            </w:r>
          </w:p>
        </w:tc>
      </w:tr>
      <w:tr w:rsidR="00396078" w14:paraId="784BA6FA" w14:textId="77777777" w:rsidTr="000677BB">
        <w:trPr>
          <w:jc w:val="center"/>
        </w:trPr>
        <w:tc>
          <w:tcPr>
            <w:tcW w:w="3515" w:type="dxa"/>
            <w:vAlign w:val="center"/>
          </w:tcPr>
          <w:p w14:paraId="0A324CBC" w14:textId="77777777" w:rsidR="00396078" w:rsidRDefault="00396078" w:rsidP="000677BB">
            <w:pPr>
              <w:jc w:val="center"/>
              <w:rPr>
                <w:rFonts w:ascii="Arial" w:hAnsi="Arial" w:cs="Arial"/>
                <w:sz w:val="24"/>
                <w:szCs w:val="24"/>
              </w:rPr>
            </w:pPr>
            <w:r>
              <w:rPr>
                <w:rFonts w:ascii="Arial" w:hAnsi="Arial" w:cs="Arial"/>
                <w:sz w:val="24"/>
                <w:szCs w:val="24"/>
              </w:rPr>
              <w:t>Detonation Pressure</w:t>
            </w:r>
          </w:p>
        </w:tc>
        <w:tc>
          <w:tcPr>
            <w:tcW w:w="3228" w:type="dxa"/>
            <w:vAlign w:val="center"/>
          </w:tcPr>
          <w:p w14:paraId="46B6843D" w14:textId="77777777" w:rsidR="00396078" w:rsidRDefault="00396078" w:rsidP="000677BB">
            <w:pPr>
              <w:jc w:val="center"/>
              <w:rPr>
                <w:rFonts w:ascii="Arial" w:hAnsi="Arial" w:cs="Arial"/>
                <w:sz w:val="24"/>
                <w:szCs w:val="24"/>
              </w:rPr>
            </w:pPr>
            <w:r>
              <w:rPr>
                <w:rFonts w:ascii="Arial" w:hAnsi="Arial" w:cs="Arial"/>
                <w:sz w:val="24"/>
                <w:szCs w:val="24"/>
              </w:rPr>
              <w:t xml:space="preserve">19 </w:t>
            </w:r>
            <w:proofErr w:type="spellStart"/>
            <w:r>
              <w:rPr>
                <w:rFonts w:ascii="Arial" w:hAnsi="Arial" w:cs="Arial"/>
                <w:sz w:val="24"/>
                <w:szCs w:val="24"/>
              </w:rPr>
              <w:t>GPa</w:t>
            </w:r>
            <w:proofErr w:type="spellEnd"/>
          </w:p>
        </w:tc>
        <w:tc>
          <w:tcPr>
            <w:tcW w:w="3217" w:type="dxa"/>
            <w:vAlign w:val="center"/>
          </w:tcPr>
          <w:p w14:paraId="62FBFDFC" w14:textId="77777777" w:rsidR="00396078" w:rsidRDefault="00396078" w:rsidP="000677BB">
            <w:pPr>
              <w:jc w:val="center"/>
              <w:rPr>
                <w:rFonts w:ascii="Arial" w:hAnsi="Arial" w:cs="Arial"/>
                <w:sz w:val="24"/>
                <w:szCs w:val="24"/>
              </w:rPr>
            </w:pPr>
            <w:r>
              <w:rPr>
                <w:rFonts w:ascii="Arial" w:hAnsi="Arial" w:cs="Arial"/>
                <w:sz w:val="24"/>
                <w:szCs w:val="24"/>
              </w:rPr>
              <w:t xml:space="preserve">31.9 </w:t>
            </w:r>
            <w:proofErr w:type="spellStart"/>
            <w:r>
              <w:rPr>
                <w:rFonts w:ascii="Arial" w:hAnsi="Arial" w:cs="Arial"/>
                <w:sz w:val="24"/>
                <w:szCs w:val="24"/>
              </w:rPr>
              <w:t>GPa</w:t>
            </w:r>
            <w:proofErr w:type="spellEnd"/>
          </w:p>
        </w:tc>
      </w:tr>
      <w:tr w:rsidR="00396078" w14:paraId="308339ED" w14:textId="77777777" w:rsidTr="000677BB">
        <w:trPr>
          <w:jc w:val="center"/>
        </w:trPr>
        <w:tc>
          <w:tcPr>
            <w:tcW w:w="3515" w:type="dxa"/>
            <w:vAlign w:val="center"/>
          </w:tcPr>
          <w:p w14:paraId="0951BD62" w14:textId="55806A09" w:rsidR="00396078" w:rsidRDefault="00396078" w:rsidP="000677BB">
            <w:pPr>
              <w:jc w:val="center"/>
              <w:rPr>
                <w:rFonts w:ascii="Arial" w:hAnsi="Arial" w:cs="Arial"/>
                <w:sz w:val="24"/>
                <w:szCs w:val="24"/>
              </w:rPr>
            </w:pPr>
            <w:r>
              <w:rPr>
                <w:rFonts w:ascii="Arial" w:hAnsi="Arial" w:cs="Arial"/>
                <w:sz w:val="24"/>
                <w:szCs w:val="24"/>
              </w:rPr>
              <w:t>Critical Diameter</w:t>
            </w:r>
          </w:p>
        </w:tc>
        <w:tc>
          <w:tcPr>
            <w:tcW w:w="3228" w:type="dxa"/>
            <w:vAlign w:val="center"/>
          </w:tcPr>
          <w:p w14:paraId="1FDB161F" w14:textId="77777777" w:rsidR="00396078" w:rsidRDefault="00396078" w:rsidP="000677BB">
            <w:pPr>
              <w:jc w:val="center"/>
              <w:rPr>
                <w:rFonts w:ascii="Arial" w:hAnsi="Arial" w:cs="Arial"/>
                <w:sz w:val="24"/>
                <w:szCs w:val="24"/>
              </w:rPr>
            </w:pPr>
            <w:r>
              <w:rPr>
                <w:rFonts w:ascii="Arial" w:hAnsi="Arial" w:cs="Arial"/>
                <w:sz w:val="24"/>
                <w:szCs w:val="24"/>
              </w:rPr>
              <w:t>2 mm</w:t>
            </w:r>
          </w:p>
        </w:tc>
        <w:tc>
          <w:tcPr>
            <w:tcW w:w="3217" w:type="dxa"/>
            <w:vAlign w:val="center"/>
          </w:tcPr>
          <w:p w14:paraId="32EC5B9C" w14:textId="77777777" w:rsidR="00396078" w:rsidRDefault="00396078" w:rsidP="000677BB">
            <w:pPr>
              <w:jc w:val="center"/>
              <w:rPr>
                <w:rFonts w:ascii="Arial" w:hAnsi="Arial" w:cs="Arial"/>
                <w:sz w:val="24"/>
                <w:szCs w:val="24"/>
              </w:rPr>
            </w:pPr>
            <w:r>
              <w:rPr>
                <w:rFonts w:ascii="Arial" w:hAnsi="Arial" w:cs="Arial"/>
                <w:sz w:val="24"/>
                <w:szCs w:val="24"/>
              </w:rPr>
              <w:t>1.5 mm</w:t>
            </w:r>
          </w:p>
        </w:tc>
      </w:tr>
      <w:tr w:rsidR="00396078" w14:paraId="65480AE5" w14:textId="77777777" w:rsidTr="000677BB">
        <w:trPr>
          <w:jc w:val="center"/>
        </w:trPr>
        <w:tc>
          <w:tcPr>
            <w:tcW w:w="3515" w:type="dxa"/>
            <w:vAlign w:val="center"/>
          </w:tcPr>
          <w:p w14:paraId="3552132A" w14:textId="77777777" w:rsidR="00396078" w:rsidRDefault="00396078" w:rsidP="000677BB">
            <w:pPr>
              <w:jc w:val="center"/>
              <w:rPr>
                <w:rFonts w:ascii="Arial" w:hAnsi="Arial" w:cs="Arial"/>
                <w:sz w:val="24"/>
                <w:szCs w:val="24"/>
              </w:rPr>
            </w:pPr>
            <w:r>
              <w:rPr>
                <w:rFonts w:ascii="Arial" w:hAnsi="Arial" w:cs="Arial"/>
                <w:sz w:val="24"/>
                <w:szCs w:val="24"/>
              </w:rPr>
              <w:t>Oxygen Balance</w:t>
            </w:r>
          </w:p>
        </w:tc>
        <w:tc>
          <w:tcPr>
            <w:tcW w:w="3228" w:type="dxa"/>
            <w:vAlign w:val="center"/>
          </w:tcPr>
          <w:p w14:paraId="28B5F279" w14:textId="77777777" w:rsidR="00396078" w:rsidRDefault="00396078" w:rsidP="000677BB">
            <w:pPr>
              <w:jc w:val="center"/>
              <w:rPr>
                <w:rFonts w:ascii="Arial" w:hAnsi="Arial" w:cs="Arial"/>
                <w:sz w:val="24"/>
                <w:szCs w:val="24"/>
              </w:rPr>
            </w:pPr>
            <w:r>
              <w:rPr>
                <w:rFonts w:ascii="Arial" w:hAnsi="Arial" w:cs="Arial"/>
                <w:sz w:val="24"/>
                <w:szCs w:val="24"/>
              </w:rPr>
              <w:t>-73.96</w:t>
            </w:r>
          </w:p>
        </w:tc>
        <w:tc>
          <w:tcPr>
            <w:tcW w:w="3217" w:type="dxa"/>
            <w:vAlign w:val="center"/>
          </w:tcPr>
          <w:p w14:paraId="6723D8FB" w14:textId="77777777" w:rsidR="00396078" w:rsidRDefault="00396078" w:rsidP="000677BB">
            <w:pPr>
              <w:jc w:val="center"/>
              <w:rPr>
                <w:rFonts w:ascii="Arial" w:hAnsi="Arial" w:cs="Arial"/>
                <w:sz w:val="24"/>
                <w:szCs w:val="24"/>
              </w:rPr>
            </w:pPr>
            <w:r>
              <w:rPr>
                <w:rFonts w:ascii="Arial" w:hAnsi="Arial" w:cs="Arial"/>
                <w:sz w:val="24"/>
                <w:szCs w:val="24"/>
              </w:rPr>
              <w:t>-21.61</w:t>
            </w:r>
          </w:p>
        </w:tc>
      </w:tr>
      <w:tr w:rsidR="00396078" w14:paraId="56B2D1DD" w14:textId="77777777" w:rsidTr="000677BB">
        <w:trPr>
          <w:jc w:val="center"/>
        </w:trPr>
        <w:tc>
          <w:tcPr>
            <w:tcW w:w="3515" w:type="dxa"/>
            <w:vAlign w:val="center"/>
          </w:tcPr>
          <w:p w14:paraId="17D6DABF" w14:textId="77777777" w:rsidR="00396078" w:rsidRDefault="00396078" w:rsidP="000677BB">
            <w:pPr>
              <w:jc w:val="center"/>
              <w:rPr>
                <w:rFonts w:ascii="Arial" w:hAnsi="Arial" w:cs="Arial"/>
                <w:sz w:val="24"/>
                <w:szCs w:val="24"/>
              </w:rPr>
            </w:pPr>
            <w:r>
              <w:rPr>
                <w:rFonts w:ascii="Arial" w:hAnsi="Arial" w:cs="Arial"/>
                <w:sz w:val="24"/>
                <w:szCs w:val="24"/>
              </w:rPr>
              <w:t>Enthalpy of Formation</w:t>
            </w:r>
          </w:p>
        </w:tc>
        <w:tc>
          <w:tcPr>
            <w:tcW w:w="3228" w:type="dxa"/>
            <w:vAlign w:val="center"/>
          </w:tcPr>
          <w:p w14:paraId="289285EA" w14:textId="77777777" w:rsidR="00396078" w:rsidRDefault="00396078" w:rsidP="000677BB">
            <w:pPr>
              <w:jc w:val="center"/>
              <w:rPr>
                <w:rFonts w:ascii="Arial" w:hAnsi="Arial" w:cs="Arial"/>
                <w:sz w:val="24"/>
                <w:szCs w:val="24"/>
              </w:rPr>
            </w:pPr>
            <w:r>
              <w:rPr>
                <w:rFonts w:ascii="Arial" w:hAnsi="Arial" w:cs="Arial"/>
                <w:sz w:val="24"/>
                <w:szCs w:val="24"/>
              </w:rPr>
              <w:t>-62.07 kJ mol</w:t>
            </w:r>
            <w:r w:rsidRPr="00DC4B73">
              <w:rPr>
                <w:rFonts w:ascii="Arial" w:hAnsi="Arial" w:cs="Arial"/>
                <w:sz w:val="24"/>
                <w:szCs w:val="24"/>
                <w:vertAlign w:val="superscript"/>
              </w:rPr>
              <w:t>-1</w:t>
            </w:r>
          </w:p>
        </w:tc>
        <w:tc>
          <w:tcPr>
            <w:tcW w:w="3217" w:type="dxa"/>
            <w:vAlign w:val="center"/>
          </w:tcPr>
          <w:p w14:paraId="18282226" w14:textId="77777777" w:rsidR="00396078" w:rsidRDefault="00396078" w:rsidP="000677BB">
            <w:pPr>
              <w:jc w:val="center"/>
              <w:rPr>
                <w:rFonts w:ascii="Arial" w:hAnsi="Arial" w:cs="Arial"/>
                <w:sz w:val="24"/>
                <w:szCs w:val="24"/>
              </w:rPr>
            </w:pPr>
            <w:r>
              <w:rPr>
                <w:rFonts w:ascii="Arial" w:hAnsi="Arial" w:cs="Arial"/>
                <w:sz w:val="24"/>
                <w:szCs w:val="24"/>
              </w:rPr>
              <w:t>+70.29 kJ mol</w:t>
            </w:r>
            <w:r w:rsidRPr="00DC4B73">
              <w:rPr>
                <w:rFonts w:ascii="Arial" w:hAnsi="Arial" w:cs="Arial"/>
                <w:sz w:val="24"/>
                <w:szCs w:val="24"/>
                <w:vertAlign w:val="superscript"/>
              </w:rPr>
              <w:t>-1</w:t>
            </w:r>
          </w:p>
        </w:tc>
      </w:tr>
    </w:tbl>
    <w:p w14:paraId="191CD53B" w14:textId="0819EDA4" w:rsidR="000677BB" w:rsidRPr="000677BB" w:rsidRDefault="00B33679" w:rsidP="00B33679">
      <w:pPr>
        <w:pStyle w:val="Heading2"/>
        <w:rPr>
          <w:lang w:eastAsia="en-GB"/>
        </w:rPr>
      </w:pPr>
      <w:bookmarkStart w:id="6" w:name="_Toc235737547"/>
      <w:r w:rsidRPr="000677BB">
        <w:rPr>
          <w:lang w:eastAsia="en-GB"/>
        </w:rPr>
        <w:t>2.</w:t>
      </w:r>
      <w:r>
        <w:rPr>
          <w:lang w:eastAsia="en-GB"/>
        </w:rPr>
        <w:t>1</w:t>
      </w:r>
      <w:r w:rsidRPr="000677BB">
        <w:rPr>
          <w:lang w:eastAsia="en-GB"/>
        </w:rPr>
        <w:t xml:space="preserve"> OXYGEN BALANCE</w:t>
      </w:r>
      <w:bookmarkEnd w:id="6"/>
    </w:p>
    <w:p w14:paraId="1DC7CBDE" w14:textId="41EFA059" w:rsidR="00675902" w:rsidRDefault="00675902" w:rsidP="00675902">
      <w:pPr>
        <w:pStyle w:val="Caption"/>
        <w:keepNext/>
      </w:pPr>
      <w:bookmarkStart w:id="7" w:name="_Toc235737512"/>
      <w:r>
        <w:t xml:space="preserve">Equation </w:t>
      </w:r>
      <w:r>
        <w:fldChar w:fldCharType="begin"/>
      </w:r>
      <w:r>
        <w:instrText xml:space="preserve"> SEQ Equation \* ARABIC </w:instrText>
      </w:r>
      <w:r>
        <w:fldChar w:fldCharType="separate"/>
      </w:r>
      <w:r w:rsidR="00A57EAA">
        <w:rPr>
          <w:noProof/>
        </w:rPr>
        <w:t>1</w:t>
      </w:r>
      <w:r>
        <w:fldChar w:fldCharType="end"/>
      </w:r>
      <w:r>
        <w:t xml:space="preserve">: </w:t>
      </w:r>
      <w:r w:rsidR="00A57EAA">
        <w:t>(2-1)</w:t>
      </w:r>
      <w:bookmarkEnd w:id="7"/>
    </w:p>
    <w:p w14:paraId="37C17B18" w14:textId="1D454AB7" w:rsidR="000677BB" w:rsidRPr="000677BB" w:rsidRDefault="000677BB" w:rsidP="000677BB">
      <w:pPr>
        <w:spacing w:before="100" w:beforeAutospacing="1" w:after="100" w:afterAutospacing="1" w:line="276" w:lineRule="auto"/>
        <w:jc w:val="center"/>
        <w:rPr>
          <w:rFonts w:eastAsia="Times New Roman" w:cstheme="minorHAnsi"/>
          <w:i/>
          <w:iCs/>
          <w:kern w:val="0"/>
          <w:lang w:eastAsia="en-GB"/>
          <w14:ligatures w14:val="none"/>
        </w:rPr>
      </w:pPr>
      <w:r w:rsidRPr="000677BB">
        <w:rPr>
          <w:rFonts w:eastAsia="Times New Roman" w:cstheme="minorHAnsi"/>
          <w:i/>
          <w:iCs/>
          <w:kern w:val="0"/>
          <w:lang w:eastAsia="en-GB"/>
          <w14:ligatures w14:val="none"/>
        </w:rPr>
        <w:t>O</w:t>
      </w:r>
      <w:r w:rsidR="003E3E4D">
        <w:rPr>
          <w:rFonts w:eastAsia="Times New Roman" w:cstheme="minorHAnsi"/>
          <w:i/>
          <w:iCs/>
          <w:kern w:val="0"/>
          <w:lang w:eastAsia="en-GB"/>
          <w14:ligatures w14:val="none"/>
        </w:rPr>
        <w:t xml:space="preserve">xygen </w:t>
      </w:r>
      <w:r w:rsidRPr="000677BB">
        <w:rPr>
          <w:rFonts w:eastAsia="Times New Roman" w:cstheme="minorHAnsi"/>
          <w:i/>
          <w:iCs/>
          <w:kern w:val="0"/>
          <w:lang w:eastAsia="en-GB"/>
          <w14:ligatures w14:val="none"/>
        </w:rPr>
        <w:t>B</w:t>
      </w:r>
      <w:r w:rsidR="003E3E4D">
        <w:rPr>
          <w:rFonts w:eastAsia="Times New Roman" w:cstheme="minorHAnsi"/>
          <w:i/>
          <w:iCs/>
          <w:kern w:val="0"/>
          <w:lang w:eastAsia="en-GB"/>
          <w14:ligatures w14:val="none"/>
        </w:rPr>
        <w:t>alance</w:t>
      </w:r>
      <w:r w:rsidRPr="000677BB">
        <w:rPr>
          <w:rFonts w:eastAsia="Times New Roman" w:cstheme="minorHAnsi"/>
          <w:i/>
          <w:iCs/>
          <w:kern w:val="0"/>
          <w:lang w:eastAsia="en-GB"/>
          <w14:ligatures w14:val="none"/>
        </w:rPr>
        <w:t xml:space="preserve"> </w:t>
      </w:r>
      <w:r w:rsidRPr="000677BB">
        <w:rPr>
          <w:rFonts w:eastAsia="Times New Roman" w:cstheme="minorHAnsi"/>
          <w:i/>
          <w:iCs/>
          <w:kern w:val="0"/>
          <w:lang w:eastAsia="en-GB"/>
          <w14:ligatures w14:val="none"/>
        </w:rPr>
        <w:t>= (0.60 × -21.61) + (0.40 × -73.96)</w:t>
      </w:r>
      <w:r w:rsidRPr="000677BB">
        <w:rPr>
          <w:rFonts w:eastAsia="Times New Roman" w:cstheme="minorHAnsi"/>
          <w:i/>
          <w:iCs/>
          <w:kern w:val="0"/>
          <w:lang w:eastAsia="en-GB"/>
          <w14:ligatures w14:val="none"/>
        </w:rPr>
        <w:br/>
      </w:r>
      <w:r w:rsidRPr="000677BB">
        <w:rPr>
          <w:rFonts w:eastAsia="Times New Roman" w:cstheme="minorHAnsi"/>
          <w:i/>
          <w:iCs/>
          <w:kern w:val="0"/>
          <w:lang w:eastAsia="en-GB"/>
          <w14:ligatures w14:val="none"/>
        </w:rPr>
        <w:t>= -42.55%</w:t>
      </w:r>
    </w:p>
    <w:p w14:paraId="02240CF3" w14:textId="15B9AAC2" w:rsidR="000677BB" w:rsidRDefault="00983641" w:rsidP="000677BB">
      <w:pPr>
        <w:spacing w:before="100" w:beforeAutospacing="1" w:after="100" w:afterAutospacing="1" w:line="276" w:lineRule="auto"/>
        <w:rPr>
          <w:rFonts w:eastAsia="Times New Roman" w:cstheme="minorHAnsi"/>
          <w:kern w:val="0"/>
          <w:lang w:eastAsia="en-GB"/>
          <w14:ligatures w14:val="none"/>
        </w:rPr>
      </w:pPr>
      <w:r w:rsidRPr="00983641">
        <w:rPr>
          <w:rFonts w:eastAsia="Times New Roman" w:cstheme="minorHAnsi"/>
          <w:kern w:val="0"/>
          <w:lang w:eastAsia="en-GB"/>
          <w14:ligatures w14:val="none"/>
        </w:rPr>
        <w:t>The oxygen balance of −42.55% shows that there is not enough oxygen to completely react with all the carbon and hydrogen in the explosive. This means that some carbon monoxide (CO) and solid carbon (soot) will be produced during detonation [3]. However, the mixture has a better oxygen balance than TNT on its own (−73.96%), meaning it can release energy more efficiently [4].</w:t>
      </w:r>
    </w:p>
    <w:p w14:paraId="0A03C4C5" w14:textId="66AC7D41" w:rsidR="000677BB" w:rsidRPr="000677BB" w:rsidRDefault="00B33679" w:rsidP="00B33679">
      <w:pPr>
        <w:pStyle w:val="Heading2"/>
        <w:rPr>
          <w:lang w:eastAsia="en-GB"/>
        </w:rPr>
      </w:pPr>
      <w:bookmarkStart w:id="8" w:name="_Toc235737548"/>
      <w:r>
        <w:rPr>
          <w:lang w:eastAsia="en-GB"/>
        </w:rPr>
        <w:lastRenderedPageBreak/>
        <w:t>2</w:t>
      </w:r>
      <w:r w:rsidRPr="000677BB">
        <w:rPr>
          <w:lang w:eastAsia="en-GB"/>
        </w:rPr>
        <w:t>.</w:t>
      </w:r>
      <w:r>
        <w:rPr>
          <w:lang w:eastAsia="en-GB"/>
        </w:rPr>
        <w:t>2</w:t>
      </w:r>
      <w:r w:rsidRPr="000677BB">
        <w:rPr>
          <w:lang w:eastAsia="en-GB"/>
        </w:rPr>
        <w:t xml:space="preserve"> VELOCITY OF DETONATION</w:t>
      </w:r>
      <w:bookmarkEnd w:id="8"/>
    </w:p>
    <w:p w14:paraId="30E3A560" w14:textId="39CA025C" w:rsidR="00A57EAA" w:rsidRDefault="00A57EAA" w:rsidP="00A57EAA">
      <w:pPr>
        <w:pStyle w:val="Caption"/>
        <w:keepNext/>
      </w:pPr>
      <w:bookmarkStart w:id="9" w:name="_Toc235737513"/>
      <w:r>
        <w:t xml:space="preserve">Equation </w:t>
      </w:r>
      <w:r>
        <w:fldChar w:fldCharType="begin"/>
      </w:r>
      <w:r>
        <w:instrText xml:space="preserve"> SEQ Equation \* ARABIC </w:instrText>
      </w:r>
      <w:r>
        <w:fldChar w:fldCharType="separate"/>
      </w:r>
      <w:r>
        <w:rPr>
          <w:noProof/>
        </w:rPr>
        <w:t>2</w:t>
      </w:r>
      <w:r>
        <w:fldChar w:fldCharType="end"/>
      </w:r>
      <w:r>
        <w:t>: (2-2)</w:t>
      </w:r>
      <w:bookmarkEnd w:id="9"/>
    </w:p>
    <w:p w14:paraId="16B0DE82" w14:textId="1220C0BD" w:rsidR="000677BB" w:rsidRPr="000677BB" w:rsidRDefault="000677BB" w:rsidP="000677BB">
      <w:pPr>
        <w:spacing w:before="100" w:beforeAutospacing="1" w:after="100" w:afterAutospacing="1" w:line="276" w:lineRule="auto"/>
        <w:jc w:val="center"/>
        <w:rPr>
          <w:rFonts w:eastAsia="Times New Roman" w:cstheme="minorHAnsi"/>
          <w:i/>
          <w:iCs/>
          <w:kern w:val="0"/>
          <w:lang w:eastAsia="en-GB"/>
          <w14:ligatures w14:val="none"/>
        </w:rPr>
      </w:pPr>
      <w:r w:rsidRPr="000677BB">
        <w:rPr>
          <w:rFonts w:eastAsia="Times New Roman" w:cstheme="minorHAnsi"/>
          <w:i/>
          <w:iCs/>
          <w:kern w:val="0"/>
          <w:lang w:eastAsia="en-GB"/>
          <w14:ligatures w14:val="none"/>
        </w:rPr>
        <w:t>V</w:t>
      </w:r>
      <w:r w:rsidR="003E3E4D">
        <w:rPr>
          <w:rFonts w:eastAsia="Times New Roman" w:cstheme="minorHAnsi"/>
          <w:i/>
          <w:iCs/>
          <w:kern w:val="0"/>
          <w:lang w:eastAsia="en-GB"/>
          <w14:ligatures w14:val="none"/>
        </w:rPr>
        <w:t xml:space="preserve">elocity </w:t>
      </w:r>
      <w:r w:rsidRPr="000677BB">
        <w:rPr>
          <w:rFonts w:eastAsia="Times New Roman" w:cstheme="minorHAnsi"/>
          <w:i/>
          <w:iCs/>
          <w:kern w:val="0"/>
          <w:lang w:eastAsia="en-GB"/>
          <w14:ligatures w14:val="none"/>
        </w:rPr>
        <w:t>o</w:t>
      </w:r>
      <w:r w:rsidR="003E3E4D">
        <w:rPr>
          <w:rFonts w:eastAsia="Times New Roman" w:cstheme="minorHAnsi"/>
          <w:i/>
          <w:iCs/>
          <w:kern w:val="0"/>
          <w:lang w:eastAsia="en-GB"/>
          <w14:ligatures w14:val="none"/>
        </w:rPr>
        <w:t xml:space="preserve">f </w:t>
      </w:r>
      <w:r w:rsidRPr="000677BB">
        <w:rPr>
          <w:rFonts w:eastAsia="Times New Roman" w:cstheme="minorHAnsi"/>
          <w:i/>
          <w:iCs/>
          <w:kern w:val="0"/>
          <w:lang w:eastAsia="en-GB"/>
          <w14:ligatures w14:val="none"/>
        </w:rPr>
        <w:t>D</w:t>
      </w:r>
      <w:r w:rsidR="003E3E4D">
        <w:rPr>
          <w:rFonts w:eastAsia="Times New Roman" w:cstheme="minorHAnsi"/>
          <w:i/>
          <w:iCs/>
          <w:kern w:val="0"/>
          <w:lang w:eastAsia="en-GB"/>
          <w14:ligatures w14:val="none"/>
        </w:rPr>
        <w:t>etonation</w:t>
      </w:r>
      <w:r w:rsidRPr="000677BB">
        <w:rPr>
          <w:rFonts w:eastAsia="Times New Roman" w:cstheme="minorHAnsi"/>
          <w:i/>
          <w:iCs/>
          <w:kern w:val="0"/>
          <w:lang w:eastAsia="en-GB"/>
          <w14:ligatures w14:val="none"/>
        </w:rPr>
        <w:t xml:space="preserve"> = (0.60 × 8440) + (0.40 × 6850)</w:t>
      </w:r>
      <w:r w:rsidRPr="000677BB">
        <w:rPr>
          <w:rFonts w:eastAsia="Times New Roman" w:cstheme="minorHAnsi"/>
          <w:i/>
          <w:iCs/>
          <w:kern w:val="0"/>
          <w:lang w:eastAsia="en-GB"/>
          <w14:ligatures w14:val="none"/>
        </w:rPr>
        <w:br/>
      </w:r>
      <w:r w:rsidRPr="000677BB">
        <w:rPr>
          <w:rFonts w:eastAsia="Times New Roman" w:cstheme="minorHAnsi"/>
          <w:i/>
          <w:iCs/>
          <w:kern w:val="0"/>
          <w:lang w:eastAsia="en-GB"/>
          <w14:ligatures w14:val="none"/>
        </w:rPr>
        <w:t>= 7804 m/s</w:t>
      </w:r>
    </w:p>
    <w:p w14:paraId="682473C8" w14:textId="56CAB2C4" w:rsidR="00396078" w:rsidRDefault="00983641" w:rsidP="000677BB">
      <w:pPr>
        <w:spacing w:before="100" w:beforeAutospacing="1" w:after="100" w:afterAutospacing="1" w:line="276" w:lineRule="auto"/>
        <w:rPr>
          <w:rFonts w:eastAsia="Times New Roman" w:cstheme="minorHAnsi"/>
          <w:kern w:val="0"/>
          <w:lang w:eastAsia="en-GB"/>
          <w14:ligatures w14:val="none"/>
        </w:rPr>
      </w:pPr>
      <w:r w:rsidRPr="00983641">
        <w:rPr>
          <w:rFonts w:eastAsia="Times New Roman" w:cstheme="minorHAnsi"/>
          <w:kern w:val="0"/>
          <w:lang w:eastAsia="en-GB"/>
          <w14:ligatures w14:val="none"/>
        </w:rPr>
        <w:t>The calculated VoD is higher than the velocity of detonation of TNT (6850 m/s). A higher VoD means that the explosive releases its energy more quickly and produces a stronger shock wave. This improves fragmentation and overall explosive performance [1].</w:t>
      </w:r>
    </w:p>
    <w:p w14:paraId="49FA2752" w14:textId="77777777" w:rsidR="000677BB" w:rsidRDefault="000677BB" w:rsidP="00B33679">
      <w:pPr>
        <w:pStyle w:val="Heading2"/>
        <w:rPr>
          <w:lang w:eastAsia="en-GB"/>
        </w:rPr>
      </w:pPr>
      <w:bookmarkStart w:id="10" w:name="_Toc235737549"/>
      <w:r>
        <w:rPr>
          <w:lang w:eastAsia="en-GB"/>
        </w:rPr>
        <w:t>2.3 EXPLOSIVES ANALYSIS</w:t>
      </w:r>
      <w:bookmarkEnd w:id="10"/>
      <w:r>
        <w:rPr>
          <w:lang w:eastAsia="en-GB"/>
        </w:rPr>
        <w:t xml:space="preserve"> </w:t>
      </w:r>
    </w:p>
    <w:p w14:paraId="0D1957BD" w14:textId="77777777" w:rsidR="000677BB" w:rsidRDefault="000677BB" w:rsidP="000677BB">
      <w:pPr>
        <w:spacing w:line="276" w:lineRule="auto"/>
        <w:rPr>
          <w:rFonts w:eastAsia="Times New Roman" w:cstheme="minorHAnsi"/>
          <w:kern w:val="0"/>
          <w:lang w:eastAsia="en-GB"/>
          <w14:ligatures w14:val="none"/>
        </w:rPr>
      </w:pPr>
    </w:p>
    <w:p w14:paraId="1533EF15" w14:textId="1CC35825" w:rsidR="000677BB" w:rsidRPr="000677BB" w:rsidRDefault="000677BB" w:rsidP="000677BB">
      <w:pPr>
        <w:spacing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Brisance is the ability of an explosive to break or shatter materials. It describes how quickly an explosive releases its energy after detonation. Explosives with a high brisance produce a strong shock wave, making them suitable for breaking hard materials such as metal, concrete and rock [5].</w:t>
      </w:r>
    </w:p>
    <w:p w14:paraId="0467BCAB" w14:textId="153B0E8B" w:rsidR="000677BB" w:rsidRPr="000677BB" w:rsidRDefault="000677BB" w:rsidP="000677BB">
      <w:pPr>
        <w:spacing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Brisance mainly depends on the velocity of detonation (VoD), detonation pressure and density of the explosive. In general, an explosive with a higher VoD and higher pressure will have a greater brisance because it releases its energy more quickly [1].</w:t>
      </w:r>
      <w:r>
        <w:rPr>
          <w:rFonts w:eastAsia="Times New Roman" w:cstheme="minorHAnsi"/>
          <w:kern w:val="0"/>
          <w:lang w:eastAsia="en-GB"/>
          <w14:ligatures w14:val="none"/>
        </w:rPr>
        <w:br/>
      </w:r>
    </w:p>
    <w:p w14:paraId="47DB0A56" w14:textId="1ABD9CE7" w:rsidR="00412552" w:rsidRDefault="000677BB" w:rsidP="000677BB">
      <w:pPr>
        <w:spacing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Based on the data provided, RDX has a higher brisance than TNT.</w:t>
      </w:r>
    </w:p>
    <w:p w14:paraId="16374811" w14:textId="77777777" w:rsidR="00542031" w:rsidRDefault="00542031" w:rsidP="000677BB">
      <w:pPr>
        <w:spacing w:line="276" w:lineRule="auto"/>
        <w:rPr>
          <w:rFonts w:eastAsia="Times New Roman" w:cstheme="minorHAnsi"/>
          <w:kern w:val="0"/>
          <w:lang w:eastAsia="en-GB"/>
          <w14:ligatures w14:val="none"/>
        </w:rPr>
      </w:pPr>
    </w:p>
    <w:p w14:paraId="77392191" w14:textId="0813E027" w:rsidR="00542031" w:rsidRPr="00ED159A" w:rsidRDefault="00542031" w:rsidP="00542031">
      <w:pPr>
        <w:pStyle w:val="Caption"/>
        <w:keepNext/>
        <w:rPr>
          <w:rFonts w:cstheme="minorHAnsi"/>
        </w:rPr>
      </w:pPr>
      <w:bookmarkStart w:id="11" w:name="_Toc235737168"/>
      <w:r w:rsidRPr="00ED159A">
        <w:rPr>
          <w:rFonts w:cstheme="minorHAnsi"/>
        </w:rPr>
        <w:t xml:space="preserve">Table </w:t>
      </w:r>
      <w:r w:rsidRPr="00ED159A">
        <w:rPr>
          <w:rFonts w:cstheme="minorHAnsi"/>
        </w:rPr>
        <w:fldChar w:fldCharType="begin"/>
      </w:r>
      <w:r w:rsidRPr="00ED159A">
        <w:rPr>
          <w:rFonts w:cstheme="minorHAnsi"/>
        </w:rPr>
        <w:instrText xml:space="preserve"> SEQ Table \* ARABIC </w:instrText>
      </w:r>
      <w:r w:rsidRPr="00ED159A">
        <w:rPr>
          <w:rFonts w:cstheme="minorHAnsi"/>
        </w:rPr>
        <w:fldChar w:fldCharType="separate"/>
      </w:r>
      <w:r w:rsidR="00025636" w:rsidRPr="00ED159A">
        <w:rPr>
          <w:rFonts w:cstheme="minorHAnsi"/>
          <w:noProof/>
        </w:rPr>
        <w:t>2</w:t>
      </w:r>
      <w:r w:rsidRPr="00ED159A">
        <w:rPr>
          <w:rFonts w:cstheme="minorHAnsi"/>
        </w:rPr>
        <w:fldChar w:fldCharType="end"/>
      </w:r>
      <w:r w:rsidRPr="00ED159A">
        <w:rPr>
          <w:rFonts w:cstheme="minorHAnsi"/>
        </w:rPr>
        <w:t>: Explosives Property</w:t>
      </w:r>
      <w:r w:rsidR="00025636" w:rsidRPr="00ED159A">
        <w:rPr>
          <w:rFonts w:cstheme="minorHAnsi"/>
        </w:rPr>
        <w:t>.</w:t>
      </w:r>
      <w:bookmarkEnd w:id="11"/>
    </w:p>
    <w:tbl>
      <w:tblPr>
        <w:tblStyle w:val="TableGrid"/>
        <w:tblW w:w="0" w:type="auto"/>
        <w:jc w:val="center"/>
        <w:tblLook w:val="04A0" w:firstRow="1" w:lastRow="0" w:firstColumn="1" w:lastColumn="0" w:noHBand="0" w:noVBand="1"/>
      </w:tblPr>
      <w:tblGrid>
        <w:gridCol w:w="2228"/>
        <w:gridCol w:w="1299"/>
        <w:gridCol w:w="1299"/>
      </w:tblGrid>
      <w:tr w:rsidR="000677BB" w:rsidRPr="000677BB" w14:paraId="63C18BAE" w14:textId="77777777" w:rsidTr="000677BB">
        <w:trPr>
          <w:jc w:val="center"/>
        </w:trPr>
        <w:tc>
          <w:tcPr>
            <w:tcW w:w="0" w:type="auto"/>
            <w:vAlign w:val="center"/>
            <w:hideMark/>
          </w:tcPr>
          <w:p w14:paraId="05F7B3C6" w14:textId="77777777" w:rsidR="000677BB" w:rsidRPr="000677BB" w:rsidRDefault="000677BB" w:rsidP="000677BB">
            <w:pPr>
              <w:jc w:val="center"/>
              <w:rPr>
                <w:rFonts w:eastAsia="Times New Roman" w:cstheme="minorHAnsi"/>
                <w:b/>
                <w:bCs/>
                <w:color w:val="000000"/>
                <w:lang w:eastAsia="en-GB"/>
              </w:rPr>
            </w:pPr>
            <w:r w:rsidRPr="000677BB">
              <w:rPr>
                <w:rFonts w:eastAsia="Times New Roman" w:cstheme="minorHAnsi"/>
                <w:b/>
                <w:bCs/>
                <w:color w:val="000000"/>
                <w:lang w:eastAsia="en-GB"/>
              </w:rPr>
              <w:t>Property</w:t>
            </w:r>
          </w:p>
        </w:tc>
        <w:tc>
          <w:tcPr>
            <w:tcW w:w="0" w:type="auto"/>
            <w:vAlign w:val="center"/>
            <w:hideMark/>
          </w:tcPr>
          <w:p w14:paraId="0AB85EC4" w14:textId="77777777" w:rsidR="000677BB" w:rsidRPr="000677BB" w:rsidRDefault="000677BB" w:rsidP="000677BB">
            <w:pPr>
              <w:jc w:val="center"/>
              <w:rPr>
                <w:rFonts w:eastAsia="Times New Roman" w:cstheme="minorHAnsi"/>
                <w:b/>
                <w:bCs/>
                <w:color w:val="000000"/>
                <w:lang w:eastAsia="en-GB"/>
              </w:rPr>
            </w:pPr>
            <w:r w:rsidRPr="000677BB">
              <w:rPr>
                <w:rFonts w:eastAsia="Times New Roman" w:cstheme="minorHAnsi"/>
                <w:b/>
                <w:bCs/>
                <w:color w:val="000000"/>
                <w:lang w:eastAsia="en-GB"/>
              </w:rPr>
              <w:t>TNT</w:t>
            </w:r>
          </w:p>
        </w:tc>
        <w:tc>
          <w:tcPr>
            <w:tcW w:w="0" w:type="auto"/>
            <w:vAlign w:val="center"/>
            <w:hideMark/>
          </w:tcPr>
          <w:p w14:paraId="5E1842A5" w14:textId="77777777" w:rsidR="000677BB" w:rsidRPr="000677BB" w:rsidRDefault="000677BB" w:rsidP="000677BB">
            <w:pPr>
              <w:jc w:val="center"/>
              <w:rPr>
                <w:rFonts w:eastAsia="Times New Roman" w:cstheme="minorHAnsi"/>
                <w:b/>
                <w:bCs/>
                <w:color w:val="000000"/>
                <w:lang w:eastAsia="en-GB"/>
              </w:rPr>
            </w:pPr>
            <w:r w:rsidRPr="000677BB">
              <w:rPr>
                <w:rFonts w:eastAsia="Times New Roman" w:cstheme="minorHAnsi"/>
                <w:b/>
                <w:bCs/>
                <w:color w:val="000000"/>
                <w:lang w:eastAsia="en-GB"/>
              </w:rPr>
              <w:t>RDX</w:t>
            </w:r>
          </w:p>
        </w:tc>
      </w:tr>
      <w:tr w:rsidR="000677BB" w:rsidRPr="000677BB" w14:paraId="14CCF8A6" w14:textId="77777777" w:rsidTr="000677BB">
        <w:trPr>
          <w:jc w:val="center"/>
        </w:trPr>
        <w:tc>
          <w:tcPr>
            <w:tcW w:w="0" w:type="auto"/>
            <w:vAlign w:val="center"/>
            <w:hideMark/>
          </w:tcPr>
          <w:p w14:paraId="131886F4" w14:textId="77777777" w:rsidR="000677BB" w:rsidRPr="000677BB" w:rsidRDefault="000677BB" w:rsidP="000677BB">
            <w:pPr>
              <w:jc w:val="center"/>
              <w:rPr>
                <w:rFonts w:eastAsia="Times New Roman" w:cstheme="minorHAnsi"/>
                <w:color w:val="000000"/>
                <w:lang w:eastAsia="en-GB"/>
              </w:rPr>
            </w:pPr>
            <w:r w:rsidRPr="000677BB">
              <w:rPr>
                <w:rFonts w:eastAsia="Times New Roman" w:cstheme="minorHAnsi"/>
                <w:color w:val="000000"/>
                <w:lang w:eastAsia="en-GB"/>
              </w:rPr>
              <w:t>Velocity of Detonation</w:t>
            </w:r>
          </w:p>
        </w:tc>
        <w:tc>
          <w:tcPr>
            <w:tcW w:w="0" w:type="auto"/>
            <w:vAlign w:val="center"/>
            <w:hideMark/>
          </w:tcPr>
          <w:p w14:paraId="2EFDF1F8" w14:textId="77777777" w:rsidR="000677BB" w:rsidRPr="000677BB" w:rsidRDefault="000677BB" w:rsidP="000677BB">
            <w:pPr>
              <w:jc w:val="center"/>
              <w:rPr>
                <w:rFonts w:eastAsia="Times New Roman" w:cstheme="minorHAnsi"/>
                <w:color w:val="000000"/>
                <w:lang w:eastAsia="en-GB"/>
              </w:rPr>
            </w:pPr>
            <w:r w:rsidRPr="000677BB">
              <w:rPr>
                <w:rFonts w:eastAsia="Times New Roman" w:cstheme="minorHAnsi"/>
                <w:color w:val="000000"/>
                <w:lang w:eastAsia="en-GB"/>
              </w:rPr>
              <w:t>6850 m/s</w:t>
            </w:r>
          </w:p>
        </w:tc>
        <w:tc>
          <w:tcPr>
            <w:tcW w:w="0" w:type="auto"/>
            <w:vAlign w:val="center"/>
            <w:hideMark/>
          </w:tcPr>
          <w:p w14:paraId="5F387AD4" w14:textId="77777777" w:rsidR="000677BB" w:rsidRPr="000677BB" w:rsidRDefault="000677BB" w:rsidP="000677BB">
            <w:pPr>
              <w:jc w:val="center"/>
              <w:rPr>
                <w:rFonts w:eastAsia="Times New Roman" w:cstheme="minorHAnsi"/>
                <w:color w:val="000000"/>
                <w:lang w:eastAsia="en-GB"/>
              </w:rPr>
            </w:pPr>
            <w:r w:rsidRPr="000677BB">
              <w:rPr>
                <w:rFonts w:eastAsia="Times New Roman" w:cstheme="minorHAnsi"/>
                <w:color w:val="000000"/>
                <w:lang w:eastAsia="en-GB"/>
              </w:rPr>
              <w:t>8440 m/s</w:t>
            </w:r>
          </w:p>
        </w:tc>
      </w:tr>
      <w:tr w:rsidR="000677BB" w:rsidRPr="000677BB" w14:paraId="52C48CDE" w14:textId="77777777" w:rsidTr="000677BB">
        <w:trPr>
          <w:jc w:val="center"/>
        </w:trPr>
        <w:tc>
          <w:tcPr>
            <w:tcW w:w="0" w:type="auto"/>
            <w:vAlign w:val="center"/>
            <w:hideMark/>
          </w:tcPr>
          <w:p w14:paraId="166BC5C9" w14:textId="77777777" w:rsidR="000677BB" w:rsidRPr="000677BB" w:rsidRDefault="000677BB" w:rsidP="000677BB">
            <w:pPr>
              <w:jc w:val="center"/>
              <w:rPr>
                <w:rFonts w:eastAsia="Times New Roman" w:cstheme="minorHAnsi"/>
                <w:color w:val="000000"/>
                <w:lang w:eastAsia="en-GB"/>
              </w:rPr>
            </w:pPr>
            <w:r w:rsidRPr="000677BB">
              <w:rPr>
                <w:rFonts w:eastAsia="Times New Roman" w:cstheme="minorHAnsi"/>
                <w:color w:val="000000"/>
                <w:lang w:eastAsia="en-GB"/>
              </w:rPr>
              <w:t>Detonation Pressure</w:t>
            </w:r>
          </w:p>
        </w:tc>
        <w:tc>
          <w:tcPr>
            <w:tcW w:w="0" w:type="auto"/>
            <w:vAlign w:val="center"/>
            <w:hideMark/>
          </w:tcPr>
          <w:p w14:paraId="3F8F5C74" w14:textId="77777777" w:rsidR="000677BB" w:rsidRPr="000677BB" w:rsidRDefault="000677BB" w:rsidP="000677BB">
            <w:pPr>
              <w:jc w:val="center"/>
              <w:rPr>
                <w:rFonts w:eastAsia="Times New Roman" w:cstheme="minorHAnsi"/>
                <w:color w:val="000000"/>
                <w:lang w:eastAsia="en-GB"/>
              </w:rPr>
            </w:pPr>
            <w:r w:rsidRPr="000677BB">
              <w:rPr>
                <w:rFonts w:eastAsia="Times New Roman" w:cstheme="minorHAnsi"/>
                <w:color w:val="000000"/>
                <w:lang w:eastAsia="en-GB"/>
              </w:rPr>
              <w:t xml:space="preserve">19 </w:t>
            </w:r>
            <w:proofErr w:type="spellStart"/>
            <w:r w:rsidRPr="000677BB">
              <w:rPr>
                <w:rFonts w:eastAsia="Times New Roman" w:cstheme="minorHAnsi"/>
                <w:color w:val="000000"/>
                <w:lang w:eastAsia="en-GB"/>
              </w:rPr>
              <w:t>GPa</w:t>
            </w:r>
            <w:proofErr w:type="spellEnd"/>
          </w:p>
        </w:tc>
        <w:tc>
          <w:tcPr>
            <w:tcW w:w="0" w:type="auto"/>
            <w:vAlign w:val="center"/>
            <w:hideMark/>
          </w:tcPr>
          <w:p w14:paraId="79DA9CF6" w14:textId="77777777" w:rsidR="000677BB" w:rsidRPr="000677BB" w:rsidRDefault="000677BB" w:rsidP="000677BB">
            <w:pPr>
              <w:jc w:val="center"/>
              <w:rPr>
                <w:rFonts w:eastAsia="Times New Roman" w:cstheme="minorHAnsi"/>
                <w:color w:val="000000"/>
                <w:lang w:eastAsia="en-GB"/>
              </w:rPr>
            </w:pPr>
            <w:r w:rsidRPr="000677BB">
              <w:rPr>
                <w:rFonts w:eastAsia="Times New Roman" w:cstheme="minorHAnsi"/>
                <w:color w:val="000000"/>
                <w:lang w:eastAsia="en-GB"/>
              </w:rPr>
              <w:t xml:space="preserve">31.9 </w:t>
            </w:r>
            <w:proofErr w:type="spellStart"/>
            <w:r w:rsidRPr="000677BB">
              <w:rPr>
                <w:rFonts w:eastAsia="Times New Roman" w:cstheme="minorHAnsi"/>
                <w:color w:val="000000"/>
                <w:lang w:eastAsia="en-GB"/>
              </w:rPr>
              <w:t>GPa</w:t>
            </w:r>
            <w:proofErr w:type="spellEnd"/>
          </w:p>
        </w:tc>
      </w:tr>
      <w:tr w:rsidR="000677BB" w:rsidRPr="000677BB" w14:paraId="1853B156" w14:textId="77777777" w:rsidTr="000677BB">
        <w:trPr>
          <w:jc w:val="center"/>
        </w:trPr>
        <w:tc>
          <w:tcPr>
            <w:tcW w:w="0" w:type="auto"/>
            <w:vAlign w:val="center"/>
            <w:hideMark/>
          </w:tcPr>
          <w:p w14:paraId="595CF218" w14:textId="77777777" w:rsidR="000677BB" w:rsidRPr="000677BB" w:rsidRDefault="000677BB" w:rsidP="000677BB">
            <w:pPr>
              <w:jc w:val="center"/>
              <w:rPr>
                <w:rFonts w:eastAsia="Times New Roman" w:cstheme="minorHAnsi"/>
                <w:color w:val="000000"/>
                <w:lang w:eastAsia="en-GB"/>
              </w:rPr>
            </w:pPr>
            <w:r w:rsidRPr="000677BB">
              <w:rPr>
                <w:rFonts w:eastAsia="Times New Roman" w:cstheme="minorHAnsi"/>
                <w:color w:val="000000"/>
                <w:lang w:eastAsia="en-GB"/>
              </w:rPr>
              <w:t>Density</w:t>
            </w:r>
          </w:p>
        </w:tc>
        <w:tc>
          <w:tcPr>
            <w:tcW w:w="0" w:type="auto"/>
            <w:vAlign w:val="center"/>
            <w:hideMark/>
          </w:tcPr>
          <w:p w14:paraId="5DC06D91" w14:textId="77777777" w:rsidR="000677BB" w:rsidRPr="000677BB" w:rsidRDefault="000677BB" w:rsidP="000677BB">
            <w:pPr>
              <w:jc w:val="center"/>
              <w:rPr>
                <w:rFonts w:eastAsia="Times New Roman" w:cstheme="minorHAnsi"/>
                <w:color w:val="000000"/>
                <w:lang w:eastAsia="en-GB"/>
              </w:rPr>
            </w:pPr>
            <w:r w:rsidRPr="000677BB">
              <w:rPr>
                <w:rFonts w:eastAsia="Times New Roman" w:cstheme="minorHAnsi"/>
                <w:color w:val="000000"/>
                <w:lang w:eastAsia="en-GB"/>
              </w:rPr>
              <w:t>1.654 g/cm³</w:t>
            </w:r>
          </w:p>
        </w:tc>
        <w:tc>
          <w:tcPr>
            <w:tcW w:w="0" w:type="auto"/>
            <w:vAlign w:val="center"/>
            <w:hideMark/>
          </w:tcPr>
          <w:p w14:paraId="3A382E44" w14:textId="77777777" w:rsidR="000677BB" w:rsidRPr="000677BB" w:rsidRDefault="000677BB" w:rsidP="000677BB">
            <w:pPr>
              <w:jc w:val="center"/>
              <w:rPr>
                <w:rFonts w:eastAsia="Times New Roman" w:cstheme="minorHAnsi"/>
                <w:color w:val="000000"/>
                <w:lang w:eastAsia="en-GB"/>
              </w:rPr>
            </w:pPr>
            <w:r w:rsidRPr="000677BB">
              <w:rPr>
                <w:rFonts w:eastAsia="Times New Roman" w:cstheme="minorHAnsi"/>
                <w:color w:val="000000"/>
                <w:lang w:eastAsia="en-GB"/>
              </w:rPr>
              <w:t>1.793 g/cm³</w:t>
            </w:r>
          </w:p>
        </w:tc>
      </w:tr>
    </w:tbl>
    <w:p w14:paraId="322E3798" w14:textId="77777777" w:rsidR="000677BB" w:rsidRDefault="000677BB" w:rsidP="000677BB">
      <w:pPr>
        <w:spacing w:line="276" w:lineRule="auto"/>
        <w:rPr>
          <w:rFonts w:eastAsia="Times New Roman" w:cstheme="minorHAnsi"/>
          <w:kern w:val="0"/>
          <w:lang w:eastAsia="en-GB"/>
          <w14:ligatures w14:val="none"/>
        </w:rPr>
      </w:pPr>
    </w:p>
    <w:p w14:paraId="495BD8BB" w14:textId="77777777" w:rsidR="000677BB" w:rsidRPr="000677BB" w:rsidRDefault="000677BB" w:rsidP="000677BB">
      <w:pPr>
        <w:spacing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RDX has a much higher detonation pressure and a faster detonation velocity than TNT. This means it produces a stronger shock wave and is better at breaking or fragmenting materials. For this reason, RDX is commonly used in military explosives where high explosive power is needed [5].</w:t>
      </w:r>
    </w:p>
    <w:p w14:paraId="07E45165" w14:textId="6396518D" w:rsidR="000677BB" w:rsidRDefault="000677BB" w:rsidP="000677BB">
      <w:pPr>
        <w:spacing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 xml:space="preserve">The 60% RDX and 40% TNT mixture combines the advantages of both explosives. RDX increases the explosive performance, while TNT makes the mixture easier and safer to manufacture. This type of mixture is </w:t>
      </w:r>
      <w:proofErr w:type="gramStart"/>
      <w:r w:rsidRPr="000677BB">
        <w:rPr>
          <w:rFonts w:eastAsia="Times New Roman" w:cstheme="minorHAnsi"/>
          <w:kern w:val="0"/>
          <w:lang w:eastAsia="en-GB"/>
          <w14:ligatures w14:val="none"/>
        </w:rPr>
        <w:t>similar to</w:t>
      </w:r>
      <w:proofErr w:type="gramEnd"/>
      <w:r w:rsidRPr="000677BB">
        <w:rPr>
          <w:rFonts w:eastAsia="Times New Roman" w:cstheme="minorHAnsi"/>
          <w:kern w:val="0"/>
          <w:lang w:eastAsia="en-GB"/>
          <w14:ligatures w14:val="none"/>
        </w:rPr>
        <w:t xml:space="preserve"> Composition B, which has been widely used in bombs, artillery shells and demolition charges [6].</w:t>
      </w:r>
    </w:p>
    <w:p w14:paraId="78FA567E" w14:textId="77777777" w:rsidR="000677BB" w:rsidRDefault="000677BB" w:rsidP="000677BB">
      <w:pPr>
        <w:spacing w:line="276" w:lineRule="auto"/>
        <w:rPr>
          <w:rFonts w:eastAsia="Times New Roman" w:cstheme="minorHAnsi"/>
          <w:kern w:val="0"/>
          <w:lang w:eastAsia="en-GB"/>
          <w14:ligatures w14:val="none"/>
        </w:rPr>
      </w:pPr>
    </w:p>
    <w:p w14:paraId="02D888F6" w14:textId="77777777" w:rsidR="000677BB" w:rsidRDefault="000677BB" w:rsidP="000677BB">
      <w:pPr>
        <w:spacing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 xml:space="preserve">Detonation is a very fast chemical reaction that travels through an explosive faster than the speed of sound. During detonation, the explosive changes from a solid into hot gases within </w:t>
      </w:r>
      <w:r w:rsidRPr="000677BB">
        <w:rPr>
          <w:rFonts w:eastAsia="Times New Roman" w:cstheme="minorHAnsi"/>
          <w:kern w:val="0"/>
          <w:lang w:eastAsia="en-GB"/>
          <w14:ligatures w14:val="none"/>
        </w:rPr>
        <w:lastRenderedPageBreak/>
        <w:t>a very short time. These gases expand quickly and create the blast wave responsible for the explosion [7].</w:t>
      </w:r>
    </w:p>
    <w:p w14:paraId="3E0AB3AE" w14:textId="77777777" w:rsidR="000677BB" w:rsidRPr="000677BB" w:rsidRDefault="000677BB" w:rsidP="000677BB">
      <w:pPr>
        <w:spacing w:line="276" w:lineRule="auto"/>
        <w:rPr>
          <w:rFonts w:eastAsia="Times New Roman" w:cstheme="minorHAnsi"/>
          <w:kern w:val="0"/>
          <w:lang w:eastAsia="en-GB"/>
          <w14:ligatures w14:val="none"/>
        </w:rPr>
      </w:pPr>
    </w:p>
    <w:p w14:paraId="480AE450" w14:textId="77777777" w:rsidR="000677BB" w:rsidRPr="000677BB" w:rsidRDefault="000677BB" w:rsidP="000677BB">
      <w:pPr>
        <w:spacing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The products formed during detonation depend on the oxygen balance of the explosive.</w:t>
      </w:r>
    </w:p>
    <w:p w14:paraId="64E5AB94" w14:textId="77777777" w:rsidR="000677BB" w:rsidRDefault="000677BB" w:rsidP="000677BB">
      <w:pPr>
        <w:spacing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The oxygen balance of the 60% RDX and 40% TNT mixture is −42.55%. This means there is not enough oxygen to completely react with all the carbon and hydrogen in the explosive.</w:t>
      </w:r>
    </w:p>
    <w:p w14:paraId="6AA9147A" w14:textId="77777777" w:rsidR="000677BB" w:rsidRPr="000677BB" w:rsidRDefault="000677BB" w:rsidP="000677BB">
      <w:pPr>
        <w:spacing w:line="276" w:lineRule="auto"/>
        <w:rPr>
          <w:rFonts w:eastAsia="Times New Roman" w:cstheme="minorHAnsi"/>
          <w:kern w:val="0"/>
          <w:lang w:eastAsia="en-GB"/>
          <w14:ligatures w14:val="none"/>
        </w:rPr>
      </w:pPr>
    </w:p>
    <w:p w14:paraId="59F4276D" w14:textId="77777777" w:rsidR="000677BB" w:rsidRDefault="000677BB" w:rsidP="000677BB">
      <w:pPr>
        <w:spacing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The main products expected after detonation are:</w:t>
      </w:r>
    </w:p>
    <w:p w14:paraId="15826715" w14:textId="77777777" w:rsidR="000677BB" w:rsidRPr="000677BB" w:rsidRDefault="000677BB" w:rsidP="000677BB">
      <w:pPr>
        <w:spacing w:line="276" w:lineRule="auto"/>
        <w:rPr>
          <w:rFonts w:eastAsia="Times New Roman" w:cstheme="minorHAnsi"/>
          <w:kern w:val="0"/>
          <w:lang w:eastAsia="en-GB"/>
          <w14:ligatures w14:val="none"/>
        </w:rPr>
      </w:pPr>
    </w:p>
    <w:p w14:paraId="06997890" w14:textId="77777777" w:rsidR="000677BB" w:rsidRPr="000677BB" w:rsidRDefault="000677BB" w:rsidP="000677BB">
      <w:pPr>
        <w:pStyle w:val="ListParagraph"/>
        <w:numPr>
          <w:ilvl w:val="0"/>
          <w:numId w:val="7"/>
        </w:numPr>
        <w:spacing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Carbon dioxide (CO₂)</w:t>
      </w:r>
    </w:p>
    <w:p w14:paraId="48B2D85F" w14:textId="77777777" w:rsidR="000677BB" w:rsidRPr="000677BB" w:rsidRDefault="000677BB" w:rsidP="000677BB">
      <w:pPr>
        <w:pStyle w:val="ListParagraph"/>
        <w:numPr>
          <w:ilvl w:val="0"/>
          <w:numId w:val="7"/>
        </w:numPr>
        <w:spacing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Water vapour (H₂O)</w:t>
      </w:r>
    </w:p>
    <w:p w14:paraId="102386DC" w14:textId="77777777" w:rsidR="000677BB" w:rsidRPr="000677BB" w:rsidRDefault="000677BB" w:rsidP="000677BB">
      <w:pPr>
        <w:pStyle w:val="ListParagraph"/>
        <w:numPr>
          <w:ilvl w:val="0"/>
          <w:numId w:val="7"/>
        </w:numPr>
        <w:spacing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Nitrogen gas (N₂)</w:t>
      </w:r>
    </w:p>
    <w:p w14:paraId="3DF9714D" w14:textId="77777777" w:rsidR="000677BB" w:rsidRPr="000677BB" w:rsidRDefault="000677BB" w:rsidP="000677BB">
      <w:pPr>
        <w:pStyle w:val="ListParagraph"/>
        <w:numPr>
          <w:ilvl w:val="0"/>
          <w:numId w:val="7"/>
        </w:numPr>
        <w:spacing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Carbon monoxide (CO)</w:t>
      </w:r>
    </w:p>
    <w:p w14:paraId="257C6679" w14:textId="77777777" w:rsidR="000677BB" w:rsidRPr="000677BB" w:rsidRDefault="000677BB" w:rsidP="000677BB">
      <w:pPr>
        <w:pStyle w:val="ListParagraph"/>
        <w:numPr>
          <w:ilvl w:val="0"/>
          <w:numId w:val="7"/>
        </w:numPr>
        <w:spacing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Solid carbon (soot)</w:t>
      </w:r>
    </w:p>
    <w:p w14:paraId="378AA96A" w14:textId="77777777" w:rsidR="000677BB" w:rsidRDefault="000677BB" w:rsidP="000677BB">
      <w:pPr>
        <w:spacing w:line="276" w:lineRule="auto"/>
        <w:rPr>
          <w:rFonts w:eastAsia="Times New Roman" w:cstheme="minorHAnsi"/>
          <w:kern w:val="0"/>
          <w:lang w:eastAsia="en-GB"/>
          <w14:ligatures w14:val="none"/>
        </w:rPr>
      </w:pPr>
    </w:p>
    <w:p w14:paraId="743F9C75" w14:textId="77777777" w:rsidR="00ED159A" w:rsidRDefault="000677BB" w:rsidP="000677BB">
      <w:pPr>
        <w:spacing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Because the oxygen balance is negative, some carbon cannot fully react with oxygen. Instead of producing only carbon dioxide, some carbon forms carbon monoxide and soot. This is common in many military explosives that have a negative oxygen balance [2].</w:t>
      </w:r>
      <w:r w:rsidR="003E3E4D">
        <w:rPr>
          <w:rFonts w:eastAsia="Times New Roman" w:cstheme="minorHAnsi"/>
          <w:kern w:val="0"/>
          <w:lang w:eastAsia="en-GB"/>
          <w14:ligatures w14:val="none"/>
        </w:rPr>
        <w:t xml:space="preserve"> </w:t>
      </w:r>
      <w:r w:rsidR="00ED159A">
        <w:rPr>
          <w:rFonts w:eastAsia="Times New Roman" w:cstheme="minorHAnsi"/>
          <w:kern w:val="0"/>
          <w:lang w:eastAsia="en-GB"/>
          <w14:ligatures w14:val="none"/>
        </w:rPr>
        <w:br/>
      </w:r>
    </w:p>
    <w:p w14:paraId="1CFC2073" w14:textId="0B3E689A" w:rsidR="000677BB" w:rsidRDefault="000677BB" w:rsidP="000677BB">
      <w:pPr>
        <w:spacing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Compared with TNT alone, the addition of RDX improves the oxygen balance. This means the mixture produces less soot and uses more of its chemical energy during detonation, making it more efficient [8].</w:t>
      </w:r>
      <w:r w:rsidR="003E3E4D">
        <w:rPr>
          <w:rFonts w:eastAsia="Times New Roman" w:cstheme="minorHAnsi"/>
          <w:kern w:val="0"/>
          <w:lang w:eastAsia="en-GB"/>
          <w14:ligatures w14:val="none"/>
        </w:rPr>
        <w:t xml:space="preserve"> </w:t>
      </w:r>
      <w:r w:rsidRPr="000677BB">
        <w:rPr>
          <w:rFonts w:eastAsia="Times New Roman" w:cstheme="minorHAnsi"/>
          <w:kern w:val="0"/>
          <w:lang w:eastAsia="en-GB"/>
          <w14:ligatures w14:val="none"/>
        </w:rPr>
        <w:t>The 60% RDX and 40% TNT mixture is more efficient than TNT on its own for several reasons.</w:t>
      </w:r>
    </w:p>
    <w:p w14:paraId="1308DC64" w14:textId="77777777" w:rsidR="000677BB" w:rsidRPr="000677BB" w:rsidRDefault="000677BB" w:rsidP="000677BB">
      <w:pPr>
        <w:spacing w:line="276" w:lineRule="auto"/>
        <w:rPr>
          <w:rFonts w:eastAsia="Times New Roman" w:cstheme="minorHAnsi"/>
          <w:kern w:val="0"/>
          <w:lang w:eastAsia="en-GB"/>
          <w14:ligatures w14:val="none"/>
        </w:rPr>
      </w:pPr>
    </w:p>
    <w:p w14:paraId="0F75928E" w14:textId="77777777" w:rsidR="000677BB" w:rsidRDefault="000677BB" w:rsidP="000677BB">
      <w:pPr>
        <w:spacing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Firstly, the mixture has a higher velocity of detonation. The estimated VoD of the mixture is 7804 m/s, compared with 6850 m/s for TNT. A higher VoD produces a stronger shock wave and increases the explosive's ability to break materials [1].</w:t>
      </w:r>
    </w:p>
    <w:p w14:paraId="34693369" w14:textId="77777777" w:rsidR="000677BB" w:rsidRPr="000677BB" w:rsidRDefault="000677BB" w:rsidP="000677BB">
      <w:pPr>
        <w:spacing w:line="276" w:lineRule="auto"/>
        <w:rPr>
          <w:rFonts w:eastAsia="Times New Roman" w:cstheme="minorHAnsi"/>
          <w:kern w:val="0"/>
          <w:lang w:eastAsia="en-GB"/>
          <w14:ligatures w14:val="none"/>
        </w:rPr>
      </w:pPr>
    </w:p>
    <w:p w14:paraId="2C83FC99" w14:textId="77777777" w:rsidR="000677BB" w:rsidRDefault="000677BB" w:rsidP="000677BB">
      <w:pPr>
        <w:spacing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Secondly, the mixture has a better oxygen balance. TNT has an oxygen balance of −73.96%, while the mixture has an oxygen balance of −42.55%. Although the mixture still has a negative oxygen balance, it is closer to zero, allowing more complete combustion and better energy release [2].</w:t>
      </w:r>
    </w:p>
    <w:p w14:paraId="0D410BC5" w14:textId="77777777" w:rsidR="000677BB" w:rsidRPr="000677BB" w:rsidRDefault="000677BB" w:rsidP="000677BB">
      <w:pPr>
        <w:spacing w:line="276" w:lineRule="auto"/>
        <w:rPr>
          <w:rFonts w:eastAsia="Times New Roman" w:cstheme="minorHAnsi"/>
          <w:kern w:val="0"/>
          <w:lang w:eastAsia="en-GB"/>
          <w14:ligatures w14:val="none"/>
        </w:rPr>
      </w:pPr>
    </w:p>
    <w:p w14:paraId="5E7E3719" w14:textId="77777777" w:rsidR="000677BB" w:rsidRDefault="000677BB" w:rsidP="000677BB">
      <w:pPr>
        <w:spacing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Another advantage is the higher energy content of RDX. RDX has a positive enthalpy of formation, meaning it stores more chemical energy before detonation than TNT. This increases the overall explosive performance of the mixture [6].</w:t>
      </w:r>
    </w:p>
    <w:p w14:paraId="61F199CF" w14:textId="77777777" w:rsidR="000677BB" w:rsidRPr="000677BB" w:rsidRDefault="000677BB" w:rsidP="000677BB">
      <w:pPr>
        <w:spacing w:line="276" w:lineRule="auto"/>
        <w:rPr>
          <w:rFonts w:eastAsia="Times New Roman" w:cstheme="minorHAnsi"/>
          <w:kern w:val="0"/>
          <w:lang w:eastAsia="en-GB"/>
          <w14:ligatures w14:val="none"/>
        </w:rPr>
      </w:pPr>
    </w:p>
    <w:p w14:paraId="2B1498CB" w14:textId="77777777" w:rsidR="000677BB" w:rsidRDefault="000677BB" w:rsidP="000677BB">
      <w:pPr>
        <w:spacing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 xml:space="preserve">Finally, TNT still plays an important role because it melts easily and can be poured into munition casings. Pure RDX cannot be manufactured in the same way because it breaks </w:t>
      </w:r>
      <w:r w:rsidRPr="000677BB">
        <w:rPr>
          <w:rFonts w:eastAsia="Times New Roman" w:cstheme="minorHAnsi"/>
          <w:kern w:val="0"/>
          <w:lang w:eastAsia="en-GB"/>
          <w14:ligatures w14:val="none"/>
        </w:rPr>
        <w:lastRenderedPageBreak/>
        <w:t>down before melting. Mixing RDX with TNT creates an explosive that is both powerful and practical to manufacture.</w:t>
      </w:r>
    </w:p>
    <w:p w14:paraId="6D89DE14" w14:textId="77777777" w:rsidR="000677BB" w:rsidRPr="000677BB" w:rsidRDefault="000677BB" w:rsidP="000677BB">
      <w:pPr>
        <w:spacing w:line="276" w:lineRule="auto"/>
        <w:rPr>
          <w:rFonts w:eastAsia="Times New Roman" w:cstheme="minorHAnsi"/>
          <w:kern w:val="0"/>
          <w:lang w:eastAsia="en-GB"/>
          <w14:ligatures w14:val="none"/>
        </w:rPr>
      </w:pPr>
    </w:p>
    <w:p w14:paraId="09C8228E" w14:textId="50366E00" w:rsidR="000677BB" w:rsidRPr="00412552" w:rsidRDefault="000677BB" w:rsidP="000677BB">
      <w:pPr>
        <w:spacing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Overall, the 60% RDX and 40% TNT mixture performs better than TNT alone. It has a higher detonation velocity, greater brisance and a better oxygen balance while remaining suitable for large-scale military production. For these reasons, similar mixtures have been widely used in military munitions for many years [5].</w:t>
      </w:r>
    </w:p>
    <w:p w14:paraId="7248916B" w14:textId="3D75A936" w:rsidR="00D475CF" w:rsidRDefault="000677BB" w:rsidP="008F5680">
      <w:pPr>
        <w:pStyle w:val="Heading1"/>
        <w:spacing w:line="276" w:lineRule="auto"/>
        <w:rPr>
          <w:rFonts w:eastAsia="Times New Roman"/>
          <w:lang w:eastAsia="en-GB"/>
        </w:rPr>
      </w:pPr>
      <w:bookmarkStart w:id="12" w:name="_Toc235737550"/>
      <w:r>
        <w:rPr>
          <w:rFonts w:eastAsia="Times New Roman"/>
          <w:lang w:eastAsia="en-GB"/>
        </w:rPr>
        <w:t xml:space="preserve">3.0 </w:t>
      </w:r>
      <w:r w:rsidRPr="00396078">
        <w:rPr>
          <w:rFonts w:eastAsia="Times New Roman"/>
          <w:lang w:eastAsia="en-GB"/>
        </w:rPr>
        <w:t>EXPLOSIVE TRAIN DESIGN AND INITIATION SYSTEM</w:t>
      </w:r>
      <w:bookmarkEnd w:id="12"/>
    </w:p>
    <w:p w14:paraId="6EC10D99" w14:textId="77777777" w:rsidR="000677BB" w:rsidRPr="000677BB" w:rsidRDefault="000677BB" w:rsidP="000677BB">
      <w:pPr>
        <w:spacing w:before="100" w:beforeAutospacing="1" w:after="100" w:afterAutospacing="1"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An explosive train is a sequence of explosives that safely transfers energy from the initiation system to the main explosive charge. Each explosive becomes more powerful than the previous one. This ensures that the main charge detonates reliably and safely. An explosive train also reduces the risk of accidental initiation because the main explosive is usually insensitive and cannot be detonated by a small spark or flame alone [9].</w:t>
      </w:r>
    </w:p>
    <w:p w14:paraId="5DE2AE25" w14:textId="7F338C55" w:rsidR="00412552" w:rsidRDefault="000677BB" w:rsidP="000677BB">
      <w:pPr>
        <w:spacing w:before="100" w:beforeAutospacing="1" w:after="100" w:afterAutospacing="1"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For the 60% RDX and 40% TNT mixture, a shock-to-detonation initiation system would be the most suitable choice. This is because RDX is a secondary explosive and requires a strong shock wave to detonate. It cannot normally be initiated by heat or a small flame [1].</w:t>
      </w:r>
    </w:p>
    <w:p w14:paraId="31A26F0B" w14:textId="772D89F2" w:rsidR="000677BB" w:rsidRDefault="000677BB" w:rsidP="000677BB">
      <w:pPr>
        <w:jc w:val="center"/>
      </w:pPr>
    </w:p>
    <w:tbl>
      <w:tblPr>
        <w:tblW w:w="0" w:type="auto"/>
        <w:jc w:val="center"/>
        <w:tblLook w:val="04A0" w:firstRow="1" w:lastRow="0" w:firstColumn="1" w:lastColumn="0" w:noHBand="0" w:noVBand="1"/>
      </w:tblPr>
      <w:tblGrid>
        <w:gridCol w:w="5000"/>
      </w:tblGrid>
      <w:tr w:rsidR="000677BB" w14:paraId="48EA2E64" w14:textId="77777777" w:rsidTr="003666C6">
        <w:trPr>
          <w:jc w:val="center"/>
        </w:trPr>
        <w:tc>
          <w:tcPr>
            <w:tcW w:w="5000" w:type="dxa"/>
            <w:tcBorders>
              <w:top w:val="single" w:sz="12" w:space="0" w:color="000000"/>
              <w:left w:val="single" w:sz="12" w:space="0" w:color="000000"/>
              <w:bottom w:val="single" w:sz="12" w:space="0" w:color="000000"/>
              <w:right w:val="single" w:sz="12" w:space="0" w:color="000000"/>
            </w:tcBorders>
            <w:vAlign w:val="center"/>
          </w:tcPr>
          <w:p w14:paraId="3F8ABFBB" w14:textId="77777777" w:rsidR="000677BB" w:rsidRDefault="000677BB" w:rsidP="003666C6">
            <w:pPr>
              <w:jc w:val="center"/>
            </w:pPr>
            <w:r>
              <w:rPr>
                <w:b/>
              </w:rPr>
              <w:t>Detonator</w:t>
            </w:r>
          </w:p>
        </w:tc>
      </w:tr>
    </w:tbl>
    <w:p w14:paraId="5B029AC7" w14:textId="77777777" w:rsidR="000677BB" w:rsidRDefault="000677BB" w:rsidP="000677BB">
      <w:pPr>
        <w:jc w:val="center"/>
      </w:pPr>
      <w:r>
        <w:rPr>
          <w:b/>
          <w:sz w:val="40"/>
        </w:rPr>
        <w:t>↓</w:t>
      </w:r>
    </w:p>
    <w:tbl>
      <w:tblPr>
        <w:tblW w:w="0" w:type="auto"/>
        <w:jc w:val="center"/>
        <w:tblLook w:val="04A0" w:firstRow="1" w:lastRow="0" w:firstColumn="1" w:lastColumn="0" w:noHBand="0" w:noVBand="1"/>
      </w:tblPr>
      <w:tblGrid>
        <w:gridCol w:w="5000"/>
      </w:tblGrid>
      <w:tr w:rsidR="000677BB" w14:paraId="17080251" w14:textId="77777777" w:rsidTr="003666C6">
        <w:trPr>
          <w:jc w:val="center"/>
        </w:trPr>
        <w:tc>
          <w:tcPr>
            <w:tcW w:w="5000" w:type="dxa"/>
            <w:tcBorders>
              <w:top w:val="single" w:sz="12" w:space="0" w:color="000000"/>
              <w:left w:val="single" w:sz="12" w:space="0" w:color="000000"/>
              <w:bottom w:val="single" w:sz="12" w:space="0" w:color="000000"/>
              <w:right w:val="single" w:sz="12" w:space="0" w:color="000000"/>
            </w:tcBorders>
            <w:vAlign w:val="center"/>
          </w:tcPr>
          <w:p w14:paraId="0DF8A614" w14:textId="77777777" w:rsidR="000677BB" w:rsidRDefault="000677BB" w:rsidP="003666C6">
            <w:pPr>
              <w:jc w:val="center"/>
            </w:pPr>
            <w:r>
              <w:rPr>
                <w:b/>
              </w:rPr>
              <w:t>Primary Explosive</w:t>
            </w:r>
            <w:r>
              <w:rPr>
                <w:b/>
              </w:rPr>
              <w:br/>
              <w:t xml:space="preserve">(Lead </w:t>
            </w:r>
            <w:proofErr w:type="spellStart"/>
            <w:r>
              <w:rPr>
                <w:b/>
              </w:rPr>
              <w:t>Azide</w:t>
            </w:r>
            <w:proofErr w:type="spellEnd"/>
            <w:r>
              <w:rPr>
                <w:b/>
              </w:rPr>
              <w:t>)</w:t>
            </w:r>
          </w:p>
        </w:tc>
      </w:tr>
    </w:tbl>
    <w:p w14:paraId="294DA7FB" w14:textId="77777777" w:rsidR="000677BB" w:rsidRDefault="000677BB" w:rsidP="000677BB">
      <w:pPr>
        <w:jc w:val="center"/>
      </w:pPr>
      <w:r>
        <w:rPr>
          <w:b/>
          <w:sz w:val="40"/>
        </w:rPr>
        <w:t>↓</w:t>
      </w:r>
    </w:p>
    <w:tbl>
      <w:tblPr>
        <w:tblW w:w="0" w:type="auto"/>
        <w:jc w:val="center"/>
        <w:tblLook w:val="04A0" w:firstRow="1" w:lastRow="0" w:firstColumn="1" w:lastColumn="0" w:noHBand="0" w:noVBand="1"/>
      </w:tblPr>
      <w:tblGrid>
        <w:gridCol w:w="5000"/>
      </w:tblGrid>
      <w:tr w:rsidR="000677BB" w14:paraId="53C64391" w14:textId="77777777" w:rsidTr="003666C6">
        <w:trPr>
          <w:jc w:val="center"/>
        </w:trPr>
        <w:tc>
          <w:tcPr>
            <w:tcW w:w="5000" w:type="dxa"/>
            <w:tcBorders>
              <w:top w:val="single" w:sz="12" w:space="0" w:color="000000"/>
              <w:left w:val="single" w:sz="12" w:space="0" w:color="000000"/>
              <w:bottom w:val="single" w:sz="12" w:space="0" w:color="000000"/>
              <w:right w:val="single" w:sz="12" w:space="0" w:color="000000"/>
            </w:tcBorders>
            <w:vAlign w:val="center"/>
          </w:tcPr>
          <w:p w14:paraId="233217C2" w14:textId="77777777" w:rsidR="000677BB" w:rsidRDefault="000677BB" w:rsidP="003666C6">
            <w:pPr>
              <w:jc w:val="center"/>
            </w:pPr>
            <w:r>
              <w:rPr>
                <w:b/>
              </w:rPr>
              <w:t>Booster Charge</w:t>
            </w:r>
            <w:r>
              <w:rPr>
                <w:b/>
              </w:rPr>
              <w:br/>
              <w:t>(PETN)</w:t>
            </w:r>
          </w:p>
        </w:tc>
      </w:tr>
    </w:tbl>
    <w:p w14:paraId="781B0690" w14:textId="77777777" w:rsidR="000677BB" w:rsidRDefault="000677BB" w:rsidP="000677BB">
      <w:pPr>
        <w:jc w:val="center"/>
      </w:pPr>
      <w:r>
        <w:rPr>
          <w:b/>
          <w:sz w:val="40"/>
        </w:rPr>
        <w:t>↓</w:t>
      </w:r>
    </w:p>
    <w:tbl>
      <w:tblPr>
        <w:tblW w:w="0" w:type="auto"/>
        <w:jc w:val="center"/>
        <w:tblLook w:val="04A0" w:firstRow="1" w:lastRow="0" w:firstColumn="1" w:lastColumn="0" w:noHBand="0" w:noVBand="1"/>
      </w:tblPr>
      <w:tblGrid>
        <w:gridCol w:w="5000"/>
      </w:tblGrid>
      <w:tr w:rsidR="000677BB" w14:paraId="4F9F3E1E" w14:textId="77777777" w:rsidTr="003666C6">
        <w:trPr>
          <w:jc w:val="center"/>
        </w:trPr>
        <w:tc>
          <w:tcPr>
            <w:tcW w:w="5000" w:type="dxa"/>
            <w:tcBorders>
              <w:top w:val="single" w:sz="12" w:space="0" w:color="000000"/>
              <w:left w:val="single" w:sz="12" w:space="0" w:color="000000"/>
              <w:bottom w:val="single" w:sz="12" w:space="0" w:color="000000"/>
              <w:right w:val="single" w:sz="12" w:space="0" w:color="000000"/>
            </w:tcBorders>
            <w:vAlign w:val="center"/>
          </w:tcPr>
          <w:p w14:paraId="3FD7A9F0" w14:textId="77777777" w:rsidR="000677BB" w:rsidRDefault="000677BB" w:rsidP="00542031">
            <w:pPr>
              <w:keepNext/>
              <w:jc w:val="center"/>
            </w:pPr>
            <w:r>
              <w:rPr>
                <w:b/>
              </w:rPr>
              <w:t>Main Charge</w:t>
            </w:r>
            <w:r>
              <w:rPr>
                <w:b/>
              </w:rPr>
              <w:br/>
              <w:t>(60% RDX / 40% TNT)</w:t>
            </w:r>
          </w:p>
        </w:tc>
      </w:tr>
    </w:tbl>
    <w:p w14:paraId="2563E25D" w14:textId="6FEA641E" w:rsidR="000677BB" w:rsidRPr="00542031" w:rsidRDefault="00542031" w:rsidP="00542031">
      <w:pPr>
        <w:pStyle w:val="Caption"/>
      </w:pPr>
      <w:bookmarkStart w:id="13" w:name="_Toc235736691"/>
      <w:r w:rsidRPr="00542031">
        <w:t xml:space="preserve">Figure </w:t>
      </w:r>
      <w:r w:rsidRPr="00542031">
        <w:fldChar w:fldCharType="begin"/>
      </w:r>
      <w:r w:rsidRPr="00542031">
        <w:instrText xml:space="preserve"> SEQ Figure \* ARABIC </w:instrText>
      </w:r>
      <w:r w:rsidRPr="00542031">
        <w:fldChar w:fldCharType="separate"/>
      </w:r>
      <w:r w:rsidRPr="00542031">
        <w:t>1</w:t>
      </w:r>
      <w:r w:rsidRPr="00542031">
        <w:fldChar w:fldCharType="end"/>
      </w:r>
      <w:r w:rsidRPr="00542031">
        <w:t>: Block diagram showing the sequence of components in a typical explosive train for a 60% RDX / 40% TNT mixture.</w:t>
      </w:r>
      <w:bookmarkEnd w:id="13"/>
    </w:p>
    <w:p w14:paraId="1C2D98A4" w14:textId="4D764C88" w:rsidR="008E7276" w:rsidRPr="00106579" w:rsidRDefault="008E7276" w:rsidP="00106579">
      <w:pPr>
        <w:spacing w:line="276" w:lineRule="auto"/>
        <w:rPr>
          <w:rFonts w:eastAsia="Times New Roman" w:cstheme="minorHAnsi"/>
          <w:kern w:val="0"/>
          <w:lang w:eastAsia="en-GB"/>
          <w14:ligatures w14:val="none"/>
        </w:rPr>
      </w:pPr>
    </w:p>
    <w:p w14:paraId="59A0A51A" w14:textId="50C29F86" w:rsidR="00396078" w:rsidRPr="00396078" w:rsidRDefault="000677BB" w:rsidP="00396078">
      <w:pPr>
        <w:pStyle w:val="Heading1"/>
        <w:spacing w:line="276" w:lineRule="auto"/>
        <w:rPr>
          <w:rFonts w:eastAsia="Times New Roman"/>
          <w:lang w:eastAsia="en-GB"/>
        </w:rPr>
      </w:pPr>
      <w:bookmarkStart w:id="14" w:name="_Toc235737551"/>
      <w:r>
        <w:rPr>
          <w:rFonts w:eastAsia="Times New Roman"/>
          <w:lang w:eastAsia="en-GB"/>
        </w:rPr>
        <w:lastRenderedPageBreak/>
        <w:t>4.0 IMPROVING THE EXPLOSIVE FOR A GROUNDED SEA MINE</w:t>
      </w:r>
      <w:bookmarkEnd w:id="14"/>
    </w:p>
    <w:p w14:paraId="3CC5F416" w14:textId="77777777" w:rsidR="000677BB" w:rsidRPr="000677BB" w:rsidRDefault="000677BB" w:rsidP="000677BB">
      <w:pPr>
        <w:spacing w:before="100" w:beforeAutospacing="1" w:after="100" w:afterAutospacing="1"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Grounded sea mines are designed to damage or sink ships by exploding underwater. Explosions in water behave differently from explosions in air because water is much denser and transfers pressure more effectively. As a result, underwater explosions create a powerful shock wave followed by a gas bubble that expands and collapses several times. This is known as the bubble pulse, and it can cause serious damage to a ship's hull [9].</w:t>
      </w:r>
    </w:p>
    <w:p w14:paraId="1131BAA0" w14:textId="77777777" w:rsidR="000677BB" w:rsidRPr="000677BB" w:rsidRDefault="000677BB" w:rsidP="000677BB">
      <w:pPr>
        <w:spacing w:before="100" w:beforeAutospacing="1" w:after="100" w:afterAutospacing="1"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The 60% RDX and 40% TNT mixture already has good explosive performance because it has a high detonation velocity and produces a strong shock wave. However, its performance could be improved further for underwater use.</w:t>
      </w:r>
    </w:p>
    <w:p w14:paraId="3BD13C4E" w14:textId="77777777" w:rsidR="000677BB" w:rsidRPr="000677BB" w:rsidRDefault="000677BB" w:rsidP="000677BB">
      <w:pPr>
        <w:spacing w:before="100" w:beforeAutospacing="1" w:after="100" w:afterAutospacing="1"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One possible improvement is to add a small amount of aluminium powder to the explosive. Aluminium reacts with the hot gases produced during detonation and releases additional heat. This extra energy increases the temperature and pressure of the explosion, making the gas bubble larger and increasing the strength of the bubble pulse [10]. This is useful in sea mines because a larger bubble pulse can cause more damage to the underside of a ship.</w:t>
      </w:r>
    </w:p>
    <w:p w14:paraId="65034E4E" w14:textId="77777777" w:rsidR="000677BB" w:rsidRPr="000677BB" w:rsidRDefault="000677BB" w:rsidP="000677BB">
      <w:pPr>
        <w:spacing w:before="100" w:beforeAutospacing="1" w:after="100" w:afterAutospacing="1"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Another improvement is to use a water-resistant binder. A binder helps hold the explosive together and protects it from moisture. Sea mines may remain underwater for long periods before they are activated, so protecting the explosive from water is important. A suitable binder can improve the reliability and storage life of the explosive without significantly reducing its performance [11].</w:t>
      </w:r>
    </w:p>
    <w:p w14:paraId="4ADFFB99" w14:textId="77777777" w:rsidR="000677BB" w:rsidRPr="000677BB" w:rsidRDefault="000677BB" w:rsidP="000677BB">
      <w:pPr>
        <w:spacing w:before="100" w:beforeAutospacing="1" w:after="100" w:afterAutospacing="1"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The design of the mine casing is also important. The casing must be strong enough to protect the explosive during transport and while it is underwater. At the same time, it should allow the explosive energy to be released effectively when the mine detonates. Steel is commonly used because it provides good strength and corrosion resistance. Protective coatings can also be applied to reduce rust and extend the service life of the mine [12].</w:t>
      </w:r>
    </w:p>
    <w:p w14:paraId="0DC400B1" w14:textId="77777777" w:rsidR="000677BB" w:rsidRPr="000677BB" w:rsidRDefault="000677BB" w:rsidP="000677BB">
      <w:pPr>
        <w:spacing w:before="100" w:beforeAutospacing="1" w:after="100" w:afterAutospacing="1"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The position of the sea mine also affects its performance. Grounded sea mines are placed on the seabed where they remain stable until a target passes nearby. Modern sea mines are often fitted with sensors that detect changes in pressure, sound or magnetic fields produced by ships. These sensors help ensure that the mine detonates at the correct time, improving its effectiveness while reducing the chance of accidental activation [13].</w:t>
      </w:r>
    </w:p>
    <w:p w14:paraId="1AA992E6" w14:textId="43A2302B" w:rsidR="000677BB" w:rsidRDefault="000677BB" w:rsidP="000677BB">
      <w:pPr>
        <w:spacing w:before="100" w:beforeAutospacing="1" w:after="100" w:afterAutospacing="1"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Overall, the 60% RDX and 40% TNT mixture is suitable for use in a grounded sea mine because it provides a good balance between explosive power and manufacturability. Adding aluminium powder, using a waterproof binder and designing a durable casing would improve underwater performance and increase the reliability of the munition.</w:t>
      </w:r>
    </w:p>
    <w:p w14:paraId="1B4F386D" w14:textId="515369EF" w:rsidR="00025636" w:rsidRDefault="00025636" w:rsidP="00025636">
      <w:pPr>
        <w:pStyle w:val="Caption"/>
        <w:keepNext/>
      </w:pPr>
      <w:bookmarkStart w:id="15" w:name="_Toc235737169"/>
      <w:r>
        <w:lastRenderedPageBreak/>
        <w:t xml:space="preserve">Table </w:t>
      </w:r>
      <w:r>
        <w:fldChar w:fldCharType="begin"/>
      </w:r>
      <w:r>
        <w:instrText xml:space="preserve"> SEQ Table \* ARABIC </w:instrText>
      </w:r>
      <w:r>
        <w:fldChar w:fldCharType="separate"/>
      </w:r>
      <w:r>
        <w:rPr>
          <w:noProof/>
        </w:rPr>
        <w:t>3</w:t>
      </w:r>
      <w:r>
        <w:fldChar w:fldCharType="end"/>
      </w:r>
      <w:r>
        <w:t>: Potential Improvements for Grounded Sea Mine.</w:t>
      </w:r>
      <w:bookmarkEnd w:id="15"/>
    </w:p>
    <w:tbl>
      <w:tblPr>
        <w:tblStyle w:val="TableGrid"/>
        <w:tblW w:w="0" w:type="auto"/>
        <w:jc w:val="center"/>
        <w:tblLook w:val="04A0" w:firstRow="1" w:lastRow="0" w:firstColumn="1" w:lastColumn="0" w:noHBand="0" w:noVBand="1"/>
      </w:tblPr>
      <w:tblGrid>
        <w:gridCol w:w="2835"/>
        <w:gridCol w:w="5026"/>
      </w:tblGrid>
      <w:tr w:rsidR="000677BB" w:rsidRPr="000677BB" w14:paraId="7922C676" w14:textId="77777777" w:rsidTr="000677BB">
        <w:trPr>
          <w:jc w:val="center"/>
        </w:trPr>
        <w:tc>
          <w:tcPr>
            <w:tcW w:w="0" w:type="auto"/>
            <w:vAlign w:val="center"/>
            <w:hideMark/>
          </w:tcPr>
          <w:p w14:paraId="6ACA8839" w14:textId="77777777" w:rsidR="000677BB" w:rsidRPr="000677BB" w:rsidRDefault="000677BB" w:rsidP="000677BB">
            <w:pPr>
              <w:jc w:val="center"/>
              <w:rPr>
                <w:rFonts w:eastAsia="Times New Roman" w:cstheme="minorHAnsi"/>
                <w:b/>
                <w:bCs/>
                <w:color w:val="000000"/>
                <w:lang w:eastAsia="en-GB"/>
              </w:rPr>
            </w:pPr>
            <w:r w:rsidRPr="000677BB">
              <w:rPr>
                <w:rFonts w:eastAsia="Times New Roman" w:cstheme="minorHAnsi"/>
                <w:b/>
                <w:bCs/>
                <w:color w:val="000000"/>
                <w:lang w:eastAsia="en-GB"/>
              </w:rPr>
              <w:t>Improvement</w:t>
            </w:r>
          </w:p>
        </w:tc>
        <w:tc>
          <w:tcPr>
            <w:tcW w:w="0" w:type="auto"/>
            <w:vAlign w:val="center"/>
            <w:hideMark/>
          </w:tcPr>
          <w:p w14:paraId="76D8E053" w14:textId="77777777" w:rsidR="000677BB" w:rsidRPr="000677BB" w:rsidRDefault="000677BB" w:rsidP="000677BB">
            <w:pPr>
              <w:jc w:val="center"/>
              <w:rPr>
                <w:rFonts w:eastAsia="Times New Roman" w:cstheme="minorHAnsi"/>
                <w:b/>
                <w:bCs/>
                <w:color w:val="000000"/>
                <w:lang w:eastAsia="en-GB"/>
              </w:rPr>
            </w:pPr>
            <w:r w:rsidRPr="000677BB">
              <w:rPr>
                <w:rFonts w:eastAsia="Times New Roman" w:cstheme="minorHAnsi"/>
                <w:b/>
                <w:bCs/>
                <w:color w:val="000000"/>
                <w:lang w:eastAsia="en-GB"/>
              </w:rPr>
              <w:t>Reason</w:t>
            </w:r>
          </w:p>
        </w:tc>
      </w:tr>
      <w:tr w:rsidR="000677BB" w:rsidRPr="000677BB" w14:paraId="20935460" w14:textId="77777777" w:rsidTr="000677BB">
        <w:trPr>
          <w:jc w:val="center"/>
        </w:trPr>
        <w:tc>
          <w:tcPr>
            <w:tcW w:w="0" w:type="auto"/>
            <w:vAlign w:val="center"/>
            <w:hideMark/>
          </w:tcPr>
          <w:p w14:paraId="462495E0" w14:textId="77777777" w:rsidR="000677BB" w:rsidRPr="000677BB" w:rsidRDefault="000677BB" w:rsidP="000677BB">
            <w:pPr>
              <w:jc w:val="center"/>
              <w:rPr>
                <w:rFonts w:eastAsia="Times New Roman" w:cstheme="minorHAnsi"/>
                <w:color w:val="000000"/>
                <w:lang w:eastAsia="en-GB"/>
              </w:rPr>
            </w:pPr>
            <w:r w:rsidRPr="000677BB">
              <w:rPr>
                <w:rFonts w:eastAsia="Times New Roman" w:cstheme="minorHAnsi"/>
                <w:color w:val="000000"/>
                <w:lang w:eastAsia="en-GB"/>
              </w:rPr>
              <w:t>Aluminium powder</w:t>
            </w:r>
          </w:p>
        </w:tc>
        <w:tc>
          <w:tcPr>
            <w:tcW w:w="0" w:type="auto"/>
            <w:vAlign w:val="center"/>
            <w:hideMark/>
          </w:tcPr>
          <w:p w14:paraId="049699B4" w14:textId="77777777" w:rsidR="000677BB" w:rsidRPr="000677BB" w:rsidRDefault="000677BB" w:rsidP="000677BB">
            <w:pPr>
              <w:jc w:val="center"/>
              <w:rPr>
                <w:rFonts w:eastAsia="Times New Roman" w:cstheme="minorHAnsi"/>
                <w:color w:val="000000"/>
                <w:lang w:eastAsia="en-GB"/>
              </w:rPr>
            </w:pPr>
            <w:r w:rsidRPr="000677BB">
              <w:rPr>
                <w:rFonts w:eastAsia="Times New Roman" w:cstheme="minorHAnsi"/>
                <w:color w:val="000000"/>
                <w:lang w:eastAsia="en-GB"/>
              </w:rPr>
              <w:t>Increases blast energy and bubble pulse.</w:t>
            </w:r>
          </w:p>
        </w:tc>
      </w:tr>
      <w:tr w:rsidR="000677BB" w:rsidRPr="000677BB" w14:paraId="651E5704" w14:textId="77777777" w:rsidTr="000677BB">
        <w:trPr>
          <w:jc w:val="center"/>
        </w:trPr>
        <w:tc>
          <w:tcPr>
            <w:tcW w:w="0" w:type="auto"/>
            <w:vAlign w:val="center"/>
            <w:hideMark/>
          </w:tcPr>
          <w:p w14:paraId="4F18B360" w14:textId="77777777" w:rsidR="000677BB" w:rsidRPr="000677BB" w:rsidRDefault="000677BB" w:rsidP="000677BB">
            <w:pPr>
              <w:jc w:val="center"/>
              <w:rPr>
                <w:rFonts w:eastAsia="Times New Roman" w:cstheme="minorHAnsi"/>
                <w:color w:val="000000"/>
                <w:lang w:eastAsia="en-GB"/>
              </w:rPr>
            </w:pPr>
            <w:r w:rsidRPr="000677BB">
              <w:rPr>
                <w:rFonts w:eastAsia="Times New Roman" w:cstheme="minorHAnsi"/>
                <w:color w:val="000000"/>
                <w:lang w:eastAsia="en-GB"/>
              </w:rPr>
              <w:t>Waterproof binder</w:t>
            </w:r>
          </w:p>
        </w:tc>
        <w:tc>
          <w:tcPr>
            <w:tcW w:w="0" w:type="auto"/>
            <w:vAlign w:val="center"/>
            <w:hideMark/>
          </w:tcPr>
          <w:p w14:paraId="01A6552D" w14:textId="77777777" w:rsidR="000677BB" w:rsidRPr="000677BB" w:rsidRDefault="000677BB" w:rsidP="000677BB">
            <w:pPr>
              <w:jc w:val="center"/>
              <w:rPr>
                <w:rFonts w:eastAsia="Times New Roman" w:cstheme="minorHAnsi"/>
                <w:color w:val="000000"/>
                <w:lang w:eastAsia="en-GB"/>
              </w:rPr>
            </w:pPr>
            <w:r w:rsidRPr="000677BB">
              <w:rPr>
                <w:rFonts w:eastAsia="Times New Roman" w:cstheme="minorHAnsi"/>
                <w:color w:val="000000"/>
                <w:lang w:eastAsia="en-GB"/>
              </w:rPr>
              <w:t>Protects the explosive from moisture.</w:t>
            </w:r>
          </w:p>
        </w:tc>
      </w:tr>
      <w:tr w:rsidR="000677BB" w:rsidRPr="000677BB" w14:paraId="62CC094A" w14:textId="77777777" w:rsidTr="000677BB">
        <w:trPr>
          <w:jc w:val="center"/>
        </w:trPr>
        <w:tc>
          <w:tcPr>
            <w:tcW w:w="0" w:type="auto"/>
            <w:vAlign w:val="center"/>
            <w:hideMark/>
          </w:tcPr>
          <w:p w14:paraId="57FD3315" w14:textId="77777777" w:rsidR="000677BB" w:rsidRPr="000677BB" w:rsidRDefault="000677BB" w:rsidP="000677BB">
            <w:pPr>
              <w:jc w:val="center"/>
              <w:rPr>
                <w:rFonts w:eastAsia="Times New Roman" w:cstheme="minorHAnsi"/>
                <w:color w:val="000000"/>
                <w:lang w:eastAsia="en-GB"/>
              </w:rPr>
            </w:pPr>
            <w:r w:rsidRPr="000677BB">
              <w:rPr>
                <w:rFonts w:eastAsia="Times New Roman" w:cstheme="minorHAnsi"/>
                <w:color w:val="000000"/>
                <w:lang w:eastAsia="en-GB"/>
              </w:rPr>
              <w:t>Steel casing</w:t>
            </w:r>
          </w:p>
        </w:tc>
        <w:tc>
          <w:tcPr>
            <w:tcW w:w="0" w:type="auto"/>
            <w:vAlign w:val="center"/>
            <w:hideMark/>
          </w:tcPr>
          <w:p w14:paraId="279D90E3" w14:textId="77777777" w:rsidR="000677BB" w:rsidRPr="000677BB" w:rsidRDefault="000677BB" w:rsidP="000677BB">
            <w:pPr>
              <w:jc w:val="center"/>
              <w:rPr>
                <w:rFonts w:eastAsia="Times New Roman" w:cstheme="minorHAnsi"/>
                <w:color w:val="000000"/>
                <w:lang w:eastAsia="en-GB"/>
              </w:rPr>
            </w:pPr>
            <w:r w:rsidRPr="000677BB">
              <w:rPr>
                <w:rFonts w:eastAsia="Times New Roman" w:cstheme="minorHAnsi"/>
                <w:color w:val="000000"/>
                <w:lang w:eastAsia="en-GB"/>
              </w:rPr>
              <w:t>Protects the explosive and improves durability.</w:t>
            </w:r>
          </w:p>
        </w:tc>
      </w:tr>
      <w:tr w:rsidR="000677BB" w:rsidRPr="000677BB" w14:paraId="3D5E4EF5" w14:textId="77777777" w:rsidTr="000677BB">
        <w:trPr>
          <w:jc w:val="center"/>
        </w:trPr>
        <w:tc>
          <w:tcPr>
            <w:tcW w:w="0" w:type="auto"/>
            <w:vAlign w:val="center"/>
            <w:hideMark/>
          </w:tcPr>
          <w:p w14:paraId="488D37E5" w14:textId="77777777" w:rsidR="000677BB" w:rsidRPr="000677BB" w:rsidRDefault="000677BB" w:rsidP="000677BB">
            <w:pPr>
              <w:jc w:val="center"/>
              <w:rPr>
                <w:rFonts w:eastAsia="Times New Roman" w:cstheme="minorHAnsi"/>
                <w:color w:val="000000"/>
                <w:lang w:eastAsia="en-GB"/>
              </w:rPr>
            </w:pPr>
            <w:r w:rsidRPr="000677BB">
              <w:rPr>
                <w:rFonts w:eastAsia="Times New Roman" w:cstheme="minorHAnsi"/>
                <w:color w:val="000000"/>
                <w:lang w:eastAsia="en-GB"/>
              </w:rPr>
              <w:t>Corrosion-resistant coating</w:t>
            </w:r>
          </w:p>
        </w:tc>
        <w:tc>
          <w:tcPr>
            <w:tcW w:w="0" w:type="auto"/>
            <w:vAlign w:val="center"/>
            <w:hideMark/>
          </w:tcPr>
          <w:p w14:paraId="6CA62820" w14:textId="77777777" w:rsidR="000677BB" w:rsidRPr="000677BB" w:rsidRDefault="000677BB" w:rsidP="000677BB">
            <w:pPr>
              <w:jc w:val="center"/>
              <w:rPr>
                <w:rFonts w:eastAsia="Times New Roman" w:cstheme="minorHAnsi"/>
                <w:color w:val="000000"/>
                <w:lang w:eastAsia="en-GB"/>
              </w:rPr>
            </w:pPr>
            <w:r w:rsidRPr="000677BB">
              <w:rPr>
                <w:rFonts w:eastAsia="Times New Roman" w:cstheme="minorHAnsi"/>
                <w:color w:val="000000"/>
                <w:lang w:eastAsia="en-GB"/>
              </w:rPr>
              <w:t>Extends service life underwater.</w:t>
            </w:r>
          </w:p>
        </w:tc>
      </w:tr>
      <w:tr w:rsidR="000677BB" w:rsidRPr="000677BB" w14:paraId="6BDE218F" w14:textId="77777777" w:rsidTr="000677BB">
        <w:trPr>
          <w:jc w:val="center"/>
        </w:trPr>
        <w:tc>
          <w:tcPr>
            <w:tcW w:w="0" w:type="auto"/>
            <w:vAlign w:val="center"/>
            <w:hideMark/>
          </w:tcPr>
          <w:p w14:paraId="6607E617" w14:textId="77777777" w:rsidR="000677BB" w:rsidRPr="000677BB" w:rsidRDefault="000677BB" w:rsidP="000677BB">
            <w:pPr>
              <w:jc w:val="center"/>
              <w:rPr>
                <w:rFonts w:eastAsia="Times New Roman" w:cstheme="minorHAnsi"/>
                <w:color w:val="000000"/>
                <w:lang w:eastAsia="en-GB"/>
              </w:rPr>
            </w:pPr>
            <w:r w:rsidRPr="000677BB">
              <w:rPr>
                <w:rFonts w:eastAsia="Times New Roman" w:cstheme="minorHAnsi"/>
                <w:color w:val="000000"/>
                <w:lang w:eastAsia="en-GB"/>
              </w:rPr>
              <w:t>Pressure or magnetic sensors</w:t>
            </w:r>
          </w:p>
        </w:tc>
        <w:tc>
          <w:tcPr>
            <w:tcW w:w="0" w:type="auto"/>
            <w:vAlign w:val="center"/>
            <w:hideMark/>
          </w:tcPr>
          <w:p w14:paraId="5812FF6F" w14:textId="77777777" w:rsidR="000677BB" w:rsidRPr="000677BB" w:rsidRDefault="000677BB" w:rsidP="000677BB">
            <w:pPr>
              <w:jc w:val="center"/>
              <w:rPr>
                <w:rFonts w:eastAsia="Times New Roman" w:cstheme="minorHAnsi"/>
                <w:color w:val="000000"/>
                <w:lang w:eastAsia="en-GB"/>
              </w:rPr>
            </w:pPr>
            <w:r w:rsidRPr="000677BB">
              <w:rPr>
                <w:rFonts w:eastAsia="Times New Roman" w:cstheme="minorHAnsi"/>
                <w:color w:val="000000"/>
                <w:lang w:eastAsia="en-GB"/>
              </w:rPr>
              <w:t>Improves reliability and reduces accidental activation.</w:t>
            </w:r>
          </w:p>
        </w:tc>
      </w:tr>
    </w:tbl>
    <w:p w14:paraId="2260577E" w14:textId="77777777" w:rsidR="000677BB" w:rsidRPr="004911A5" w:rsidRDefault="000677BB" w:rsidP="000677BB">
      <w:pPr>
        <w:spacing w:before="100" w:beforeAutospacing="1" w:after="100" w:afterAutospacing="1" w:line="276" w:lineRule="auto"/>
        <w:rPr>
          <w:rFonts w:eastAsia="Times New Roman" w:cstheme="minorHAnsi"/>
          <w:kern w:val="0"/>
          <w:lang w:eastAsia="en-GB"/>
          <w14:ligatures w14:val="none"/>
        </w:rPr>
      </w:pPr>
    </w:p>
    <w:p w14:paraId="4ED5F3A7" w14:textId="66A9BA4A" w:rsidR="004911A5" w:rsidRPr="00B40D64" w:rsidRDefault="000677BB" w:rsidP="00B40D64">
      <w:pPr>
        <w:pStyle w:val="Heading1"/>
        <w:spacing w:line="276" w:lineRule="auto"/>
        <w:rPr>
          <w:rFonts w:eastAsia="Times New Roman"/>
          <w:lang w:eastAsia="en-GB"/>
        </w:rPr>
      </w:pPr>
      <w:bookmarkStart w:id="16" w:name="_Toc235737552"/>
      <w:r>
        <w:rPr>
          <w:rFonts w:eastAsia="Times New Roman"/>
          <w:lang w:eastAsia="en-GB"/>
        </w:rPr>
        <w:t xml:space="preserve">5.0 </w:t>
      </w:r>
      <w:r w:rsidRPr="00396078">
        <w:rPr>
          <w:rFonts w:eastAsia="Times New Roman"/>
          <w:lang w:eastAsia="en-GB"/>
        </w:rPr>
        <w:t>CONCLUSION</w:t>
      </w:r>
      <w:bookmarkEnd w:id="16"/>
    </w:p>
    <w:p w14:paraId="161F7CD1" w14:textId="16688AD1" w:rsidR="00B33679" w:rsidRPr="00B33679" w:rsidRDefault="00B33679" w:rsidP="00B33679">
      <w:pPr>
        <w:spacing w:before="100" w:beforeAutospacing="1" w:after="100" w:afterAutospacing="1" w:line="276" w:lineRule="auto"/>
        <w:rPr>
          <w:rFonts w:eastAsia="Times New Roman" w:cstheme="minorHAnsi"/>
          <w:kern w:val="0"/>
          <w:lang w:eastAsia="en-GB"/>
          <w14:ligatures w14:val="none"/>
        </w:rPr>
      </w:pPr>
      <w:r w:rsidRPr="00B33679">
        <w:rPr>
          <w:rFonts w:eastAsia="Times New Roman" w:cstheme="minorHAnsi"/>
          <w:kern w:val="0"/>
          <w:lang w:eastAsia="en-GB"/>
          <w14:ligatures w14:val="none"/>
        </w:rPr>
        <w:t>This report has looked at the performance of a 60% RDX and 40% TNT explosive mixture. The calculations showed that the mixture has a better oxygen balance and a higher velocity of detonation than TNT alone. This means it releases energy more efficiently and produces a stronger explosion [1].</w:t>
      </w:r>
    </w:p>
    <w:p w14:paraId="510420B0" w14:textId="77777777" w:rsidR="00B33679" w:rsidRPr="00B33679" w:rsidRDefault="00B33679" w:rsidP="00B33679">
      <w:pPr>
        <w:spacing w:before="100" w:beforeAutospacing="1" w:after="100" w:afterAutospacing="1" w:line="276" w:lineRule="auto"/>
        <w:rPr>
          <w:rFonts w:eastAsia="Times New Roman" w:cstheme="minorHAnsi"/>
          <w:kern w:val="0"/>
          <w:lang w:eastAsia="en-GB"/>
          <w14:ligatures w14:val="none"/>
        </w:rPr>
      </w:pPr>
      <w:r w:rsidRPr="00B33679">
        <w:rPr>
          <w:rFonts w:eastAsia="Times New Roman" w:cstheme="minorHAnsi"/>
          <w:kern w:val="0"/>
          <w:lang w:eastAsia="en-GB"/>
          <w14:ligatures w14:val="none"/>
        </w:rPr>
        <w:t xml:space="preserve">The report also explained that RDX provides high brisance, while TNT makes the explosive easier to manufacture and handle. A suitable explosive train using Lead </w:t>
      </w:r>
      <w:proofErr w:type="spellStart"/>
      <w:r w:rsidRPr="00B33679">
        <w:rPr>
          <w:rFonts w:eastAsia="Times New Roman" w:cstheme="minorHAnsi"/>
          <w:kern w:val="0"/>
          <w:lang w:eastAsia="en-GB"/>
          <w14:ligatures w14:val="none"/>
        </w:rPr>
        <w:t>Azide</w:t>
      </w:r>
      <w:proofErr w:type="spellEnd"/>
      <w:r w:rsidRPr="00B33679">
        <w:rPr>
          <w:rFonts w:eastAsia="Times New Roman" w:cstheme="minorHAnsi"/>
          <w:kern w:val="0"/>
          <w:lang w:eastAsia="en-GB"/>
          <w14:ligatures w14:val="none"/>
        </w:rPr>
        <w:t>, PETN, and the RDX/TNT mixture was proposed to ensure reliable detonation [2]. Finally, improvements such as adding aluminium powder, using a waterproof binder, and designing a strong casing were suggested to improve the performance of the explosive as a grounded sea mine [3].</w:t>
      </w:r>
    </w:p>
    <w:p w14:paraId="2CD7E844" w14:textId="4E1BA81F" w:rsidR="00313B63" w:rsidRDefault="00B33679" w:rsidP="00313B63">
      <w:pPr>
        <w:spacing w:before="100" w:beforeAutospacing="1" w:after="100" w:afterAutospacing="1" w:line="276" w:lineRule="auto"/>
        <w:rPr>
          <w:rFonts w:eastAsia="Times New Roman" w:cstheme="minorHAnsi"/>
          <w:kern w:val="0"/>
          <w:lang w:eastAsia="en-GB"/>
          <w14:ligatures w14:val="none"/>
        </w:rPr>
      </w:pPr>
      <w:r w:rsidRPr="00B33679">
        <w:rPr>
          <w:rFonts w:eastAsia="Times New Roman" w:cstheme="minorHAnsi"/>
          <w:kern w:val="0"/>
          <w:lang w:eastAsia="en-GB"/>
          <w14:ligatures w14:val="none"/>
        </w:rPr>
        <w:t>Overall, the 60% RDX and 40% TNT mixture offers a good balance between explosive performance, reliability, and practical use in military applications.</w:t>
      </w:r>
      <w:bookmarkStart w:id="17" w:name="_Toc235737553"/>
    </w:p>
    <w:p w14:paraId="382DBF96" w14:textId="2DDFA6B6" w:rsidR="00313B63" w:rsidRDefault="00313B63" w:rsidP="00313B63">
      <w:pPr>
        <w:rPr>
          <w:rFonts w:eastAsia="Times New Roman" w:cstheme="minorHAnsi"/>
          <w:kern w:val="0"/>
          <w:lang w:eastAsia="en-GB"/>
          <w14:ligatures w14:val="none"/>
        </w:rPr>
      </w:pPr>
    </w:p>
    <w:p w14:paraId="5512B536" w14:textId="77777777" w:rsidR="00313B63" w:rsidRDefault="00313B63">
      <w:pPr>
        <w:rPr>
          <w:rFonts w:eastAsia="Times New Roman" w:cstheme="minorHAnsi"/>
          <w:kern w:val="0"/>
          <w:lang w:eastAsia="en-GB"/>
          <w14:ligatures w14:val="none"/>
        </w:rPr>
      </w:pPr>
      <w:r>
        <w:rPr>
          <w:rFonts w:eastAsia="Times New Roman" w:cstheme="minorHAnsi"/>
          <w:kern w:val="0"/>
          <w:lang w:eastAsia="en-GB"/>
          <w14:ligatures w14:val="none"/>
        </w:rPr>
        <w:br w:type="page"/>
      </w:r>
    </w:p>
    <w:p w14:paraId="15C26072" w14:textId="71F65097" w:rsidR="00D475CF" w:rsidRDefault="00B33679" w:rsidP="008F5680">
      <w:pPr>
        <w:pStyle w:val="Heading1"/>
        <w:spacing w:line="276" w:lineRule="auto"/>
        <w:rPr>
          <w:rFonts w:eastAsia="Times New Roman"/>
          <w:lang w:eastAsia="en-GB"/>
        </w:rPr>
      </w:pPr>
      <w:r>
        <w:rPr>
          <w:rFonts w:eastAsia="Times New Roman"/>
          <w:lang w:eastAsia="en-GB"/>
        </w:rPr>
        <w:lastRenderedPageBreak/>
        <w:t>6</w:t>
      </w:r>
      <w:r w:rsidR="000677BB">
        <w:rPr>
          <w:rFonts w:eastAsia="Times New Roman"/>
          <w:lang w:eastAsia="en-GB"/>
        </w:rPr>
        <w:t xml:space="preserve">.0 </w:t>
      </w:r>
      <w:r w:rsidR="00412552" w:rsidRPr="00412552">
        <w:rPr>
          <w:rFonts w:eastAsia="Times New Roman"/>
          <w:lang w:eastAsia="en-GB"/>
        </w:rPr>
        <w:t>REFERENCES</w:t>
      </w:r>
      <w:bookmarkEnd w:id="17"/>
    </w:p>
    <w:p w14:paraId="21B1880C" w14:textId="77777777" w:rsidR="000677BB" w:rsidRPr="000677BB" w:rsidRDefault="000677BB" w:rsidP="000677BB">
      <w:pPr>
        <w:spacing w:before="100" w:beforeAutospacing="1" w:after="100" w:afterAutospacing="1"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[1] P. W. Cooper, Explosives Engineering. New York, NY, USA: Wiley, 1996.</w:t>
      </w:r>
    </w:p>
    <w:p w14:paraId="32BCF4B9" w14:textId="77777777" w:rsidR="000677BB" w:rsidRPr="000677BB" w:rsidRDefault="000677BB" w:rsidP="000677BB">
      <w:pPr>
        <w:spacing w:before="100" w:beforeAutospacing="1" w:after="100" w:afterAutospacing="1"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[2] T. M. Klapötke, Chemistry of High-Energy Materials, 4th ed. Berlin, Germany: De Gruyter, 2019.</w:t>
      </w:r>
    </w:p>
    <w:p w14:paraId="1605382C" w14:textId="77777777" w:rsidR="000677BB" w:rsidRPr="000677BB" w:rsidRDefault="000677BB" w:rsidP="000677BB">
      <w:pPr>
        <w:spacing w:before="100" w:beforeAutospacing="1" w:after="100" w:afterAutospacing="1"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[3] B. M. Dobratz and P. C. Crawford, LLNL Explosives Handbook: Properties of Chemical Explosives, Lawrence Livermore National Laboratory, Livermore, CA, USA, UCRL-52997, 1985.</w:t>
      </w:r>
    </w:p>
    <w:p w14:paraId="6A44CB7A" w14:textId="6148B717" w:rsidR="000677BB" w:rsidRDefault="000677BB" w:rsidP="000677BB">
      <w:pPr>
        <w:spacing w:before="100" w:beforeAutospacing="1" w:after="100" w:afterAutospacing="1"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[4] S. Zeman, "Sensitivity and performance of energetic materials," Propellants, Explosives, Pyrotechnics, vol. 43, no. 1, pp. 3–15, 2018.</w:t>
      </w:r>
    </w:p>
    <w:p w14:paraId="1CB6ECFE" w14:textId="226A7CDC" w:rsidR="000677BB" w:rsidRPr="000677BB" w:rsidRDefault="000677BB" w:rsidP="000677BB">
      <w:pPr>
        <w:spacing w:before="100" w:beforeAutospacing="1" w:after="100" w:afterAutospacing="1"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[5] P. W. Cooper, Explosives Engineering. New York, NY, USA: Wiley, 1996.</w:t>
      </w:r>
    </w:p>
    <w:p w14:paraId="30AE9854" w14:textId="77777777" w:rsidR="000677BB" w:rsidRPr="000677BB" w:rsidRDefault="000677BB" w:rsidP="000677BB">
      <w:pPr>
        <w:spacing w:before="100" w:beforeAutospacing="1" w:after="100" w:afterAutospacing="1"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[6] T. M. Klapötke, Chemistry of High-Energy Materials, 4th ed. Berlin, Germany: De Gruyter, 2019.</w:t>
      </w:r>
    </w:p>
    <w:p w14:paraId="35169001" w14:textId="77777777" w:rsidR="000677BB" w:rsidRPr="000677BB" w:rsidRDefault="000677BB" w:rsidP="000677BB">
      <w:pPr>
        <w:spacing w:before="100" w:beforeAutospacing="1" w:after="100" w:afterAutospacing="1"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 xml:space="preserve">[7] J. A. Conkling and C. </w:t>
      </w:r>
      <w:proofErr w:type="spellStart"/>
      <w:r w:rsidRPr="000677BB">
        <w:rPr>
          <w:rFonts w:eastAsia="Times New Roman" w:cstheme="minorHAnsi"/>
          <w:kern w:val="0"/>
          <w:lang w:eastAsia="en-GB"/>
          <w14:ligatures w14:val="none"/>
        </w:rPr>
        <w:t>Mocella</w:t>
      </w:r>
      <w:proofErr w:type="spellEnd"/>
      <w:r w:rsidRPr="000677BB">
        <w:rPr>
          <w:rFonts w:eastAsia="Times New Roman" w:cstheme="minorHAnsi"/>
          <w:kern w:val="0"/>
          <w:lang w:eastAsia="en-GB"/>
          <w14:ligatures w14:val="none"/>
        </w:rPr>
        <w:t>, Chemistry of Pyrotechnics: Basic Principles and Theory, 2nd ed. Boca Raton, FL, USA: CRC Press, 2019.</w:t>
      </w:r>
    </w:p>
    <w:p w14:paraId="7CD62BAF" w14:textId="3D9F46C3" w:rsidR="001F0FBD" w:rsidRDefault="000677BB" w:rsidP="000677BB">
      <w:pPr>
        <w:spacing w:before="100" w:beforeAutospacing="1" w:after="100" w:afterAutospacing="1" w:line="276" w:lineRule="auto"/>
        <w:rPr>
          <w:rFonts w:eastAsia="Times New Roman" w:cstheme="minorHAnsi"/>
          <w:kern w:val="0"/>
          <w:lang w:eastAsia="en-GB"/>
          <w14:ligatures w14:val="none"/>
        </w:rPr>
      </w:pPr>
      <w:r w:rsidRPr="000677BB">
        <w:rPr>
          <w:rFonts w:eastAsia="Times New Roman" w:cstheme="minorHAnsi"/>
          <w:kern w:val="0"/>
          <w:lang w:eastAsia="en-GB"/>
          <w14:ligatures w14:val="none"/>
        </w:rPr>
        <w:t>[8] N. Kubota, Propellants and Explosives: Thermochemical Aspects of Combustion, 3rd ed. Weinheim, Germany: Wiley-VCH, 2015.</w:t>
      </w:r>
    </w:p>
    <w:p w14:paraId="73C4D21D" w14:textId="77777777" w:rsidR="000677BB" w:rsidRDefault="000677BB" w:rsidP="000677BB">
      <w:pPr>
        <w:spacing w:before="100" w:beforeAutospacing="1" w:after="100" w:afterAutospacing="1" w:line="276" w:lineRule="auto"/>
        <w:rPr>
          <w:lang w:eastAsia="en-GB"/>
        </w:rPr>
      </w:pPr>
      <w:r>
        <w:rPr>
          <w:lang w:eastAsia="en-GB"/>
        </w:rPr>
        <w:t>[9] N. Kubota, Propellants and Explosives: Thermochemical Aspects of Combustion, 3rd ed. Weinheim, Germany: Wiley-VCH, 2015.</w:t>
      </w:r>
    </w:p>
    <w:p w14:paraId="60BDA116" w14:textId="77777777" w:rsidR="000677BB" w:rsidRDefault="000677BB" w:rsidP="000677BB">
      <w:pPr>
        <w:spacing w:before="100" w:beforeAutospacing="1" w:after="100" w:afterAutospacing="1" w:line="276" w:lineRule="auto"/>
        <w:rPr>
          <w:lang w:eastAsia="en-GB"/>
        </w:rPr>
      </w:pPr>
      <w:r>
        <w:rPr>
          <w:lang w:eastAsia="en-GB"/>
        </w:rPr>
        <w:t>[10] T. M. Klapötke, Chemistry of High-Energy Materials, 4th ed. Berlin, Germany: De Gruyter, 2019.</w:t>
      </w:r>
    </w:p>
    <w:p w14:paraId="65D9C140" w14:textId="77777777" w:rsidR="000677BB" w:rsidRDefault="000677BB" w:rsidP="000677BB">
      <w:pPr>
        <w:spacing w:before="100" w:beforeAutospacing="1" w:after="100" w:afterAutospacing="1" w:line="276" w:lineRule="auto"/>
        <w:rPr>
          <w:lang w:eastAsia="en-GB"/>
        </w:rPr>
      </w:pPr>
      <w:r>
        <w:rPr>
          <w:lang w:eastAsia="en-GB"/>
        </w:rPr>
        <w:t>[11] S. Zeman, “Effect of binders on energetic materials,” Propellants, Explosives, Pyrotechnics, vol. 43, no. 1, pp. 3–15, 2018.</w:t>
      </w:r>
    </w:p>
    <w:p w14:paraId="6DD7A28B" w14:textId="77777777" w:rsidR="000677BB" w:rsidRDefault="000677BB" w:rsidP="000677BB">
      <w:pPr>
        <w:spacing w:before="100" w:beforeAutospacing="1" w:after="100" w:afterAutospacing="1" w:line="276" w:lineRule="auto"/>
        <w:rPr>
          <w:lang w:eastAsia="en-GB"/>
        </w:rPr>
      </w:pPr>
      <w:r>
        <w:rPr>
          <w:lang w:eastAsia="en-GB"/>
        </w:rPr>
        <w:t>[12] P. W. Cooper, Explosives Engineering. New York, NY, USA: Wiley, 1996.</w:t>
      </w:r>
    </w:p>
    <w:p w14:paraId="4B100EA7" w14:textId="048396BA" w:rsidR="000677BB" w:rsidRDefault="000677BB" w:rsidP="000677BB">
      <w:pPr>
        <w:spacing w:before="100" w:beforeAutospacing="1" w:after="100" w:afterAutospacing="1" w:line="276" w:lineRule="auto"/>
        <w:rPr>
          <w:lang w:eastAsia="en-GB"/>
        </w:rPr>
      </w:pPr>
      <w:r>
        <w:rPr>
          <w:lang w:eastAsia="en-GB"/>
        </w:rPr>
        <w:t xml:space="preserve">[13] J. A. Conkling and C. </w:t>
      </w:r>
      <w:proofErr w:type="spellStart"/>
      <w:r>
        <w:rPr>
          <w:lang w:eastAsia="en-GB"/>
        </w:rPr>
        <w:t>Mocella</w:t>
      </w:r>
      <w:proofErr w:type="spellEnd"/>
      <w:r>
        <w:rPr>
          <w:lang w:eastAsia="en-GB"/>
        </w:rPr>
        <w:t>, Chemistry of Pyrotechnics: Basic Principles and Theory, 2nd ed. Boca Raton, FL, USA: CRC Press, 2019.</w:t>
      </w:r>
    </w:p>
    <w:p w14:paraId="19CD9EE2" w14:textId="77777777" w:rsidR="001F0FBD" w:rsidRDefault="001F0FBD" w:rsidP="000358BB">
      <w:pPr>
        <w:rPr>
          <w:lang w:eastAsia="en-GB"/>
        </w:rPr>
      </w:pPr>
    </w:p>
    <w:p w14:paraId="5FBC7764" w14:textId="77777777" w:rsidR="001F0FBD" w:rsidRDefault="001F0FBD" w:rsidP="000358BB">
      <w:pPr>
        <w:rPr>
          <w:lang w:eastAsia="en-GB"/>
        </w:rPr>
      </w:pPr>
    </w:p>
    <w:p w14:paraId="57188A4B" w14:textId="77777777" w:rsidR="000358BB" w:rsidRPr="000358BB" w:rsidRDefault="000358BB" w:rsidP="000358BB">
      <w:pPr>
        <w:rPr>
          <w:lang w:eastAsia="en-GB"/>
        </w:rPr>
      </w:pPr>
    </w:p>
    <w:p w14:paraId="69263274" w14:textId="239DE931" w:rsidR="009B3EF5" w:rsidRDefault="009B3EF5"/>
    <w:sectPr w:rsidR="009B3EF5" w:rsidSect="00D475CF">
      <w:headerReference w:type="default" r:id="rId9"/>
      <w:footerReference w:type="even" r:id="rId10"/>
      <w:footerReference w:type="default" r:id="rId1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D42AA4" w14:textId="77777777" w:rsidR="00435236" w:rsidRDefault="00435236" w:rsidP="00D475CF">
      <w:r>
        <w:separator/>
      </w:r>
    </w:p>
  </w:endnote>
  <w:endnote w:type="continuationSeparator" w:id="0">
    <w:p w14:paraId="1A04BE5C" w14:textId="77777777" w:rsidR="00435236" w:rsidRDefault="00435236" w:rsidP="00D475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50285138"/>
      <w:docPartObj>
        <w:docPartGallery w:val="Page Numbers (Bottom of Page)"/>
        <w:docPartUnique/>
      </w:docPartObj>
    </w:sdtPr>
    <w:sdtContent>
      <w:p w14:paraId="3C467ED5" w14:textId="7E018B84" w:rsidR="00D475CF" w:rsidRDefault="00D475CF" w:rsidP="000D689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320067" w14:textId="77777777" w:rsidR="00D475CF" w:rsidRDefault="00D475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64750479"/>
      <w:docPartObj>
        <w:docPartGallery w:val="Page Numbers (Bottom of Page)"/>
        <w:docPartUnique/>
      </w:docPartObj>
    </w:sdtPr>
    <w:sdtContent>
      <w:p w14:paraId="5763D60A" w14:textId="65895FDD" w:rsidR="00D475CF" w:rsidRDefault="00D475CF" w:rsidP="000D689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2BAE806" w14:textId="77777777" w:rsidR="00D475CF" w:rsidRDefault="00D475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FEB3B1" w14:textId="77777777" w:rsidR="00435236" w:rsidRDefault="00435236" w:rsidP="00D475CF">
      <w:r>
        <w:separator/>
      </w:r>
    </w:p>
  </w:footnote>
  <w:footnote w:type="continuationSeparator" w:id="0">
    <w:p w14:paraId="397F84BA" w14:textId="77777777" w:rsidR="00435236" w:rsidRDefault="00435236" w:rsidP="00D475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28ED99" w14:textId="3DE9F738" w:rsidR="008F5680" w:rsidRPr="008F5680" w:rsidRDefault="00396078" w:rsidP="008F5680">
    <w:pPr>
      <w:spacing w:before="100" w:beforeAutospacing="1" w:after="100" w:afterAutospacing="1"/>
      <w:rPr>
        <w:rFonts w:eastAsia="Times New Roman" w:cstheme="minorHAnsi"/>
        <w:b/>
        <w:bCs/>
        <w:kern w:val="0"/>
        <w:lang w:eastAsia="en-GB"/>
        <w14:ligatures w14:val="none"/>
      </w:rPr>
    </w:pPr>
    <w:r w:rsidRPr="00396078">
      <w:rPr>
        <w:rFonts w:eastAsia="Times New Roman" w:cstheme="minorHAnsi"/>
        <w:b/>
        <w:bCs/>
        <w:i/>
        <w:iCs/>
        <w:kern w:val="0"/>
        <w:lang w:eastAsia="en-GB"/>
        <w14:ligatures w14:val="none"/>
      </w:rPr>
      <w:t>CALCULATING THE OXYGEN BALANCE AND PERFORMANCE OF A MIXED EXPLOSIVE FROM DEFINED PARAMETERS</w:t>
    </w:r>
    <w:r w:rsidR="008F5680">
      <w:rPr>
        <w:rFonts w:eastAsia="Times New Roman" w:cstheme="minorHAnsi"/>
        <w:b/>
        <w:bCs/>
        <w:kern w:val="0"/>
        <w:lang w:eastAsia="en-GB"/>
        <w14:ligatures w14:val="none"/>
      </w:rPr>
      <w:br/>
    </w:r>
    <w:r w:rsidR="008F5680" w:rsidRPr="00412552">
      <w:rPr>
        <w:rFonts w:eastAsia="Times New Roman" w:cstheme="minorHAnsi"/>
        <w:b/>
        <w:bCs/>
        <w:kern w:val="0"/>
        <w:lang w:eastAsia="en-GB"/>
        <w14:ligatures w14:val="none"/>
      </w:rPr>
      <w:t xml:space="preserve">University of Wales Trinity Saint David – </w:t>
    </w:r>
    <w:r w:rsidR="00EA0042">
      <w:rPr>
        <w:rFonts w:eastAsia="Times New Roman" w:cstheme="minorHAnsi"/>
        <w:b/>
        <w:bCs/>
        <w:kern w:val="0"/>
        <w:lang w:eastAsia="en-GB"/>
        <w14:ligatures w14:val="none"/>
      </w:rPr>
      <w:t>BEng OME</w:t>
    </w:r>
    <w:r w:rsidR="008F5680" w:rsidRPr="00412552">
      <w:rPr>
        <w:rFonts w:eastAsia="Times New Roman" w:cstheme="minorHAnsi"/>
        <w:kern w:val="0"/>
        <w:lang w:eastAsia="en-GB"/>
        <w14:ligatures w14:val="none"/>
      </w:rPr>
      <w:br/>
    </w:r>
    <w:r w:rsidR="008F5680" w:rsidRPr="00412552">
      <w:rPr>
        <w:rFonts w:eastAsia="Times New Roman" w:cstheme="minorHAnsi"/>
        <w:b/>
        <w:bCs/>
        <w:kern w:val="0"/>
        <w:lang w:eastAsia="en-GB"/>
        <w14:ligatures w14:val="none"/>
      </w:rPr>
      <w:t>ACDB</w:t>
    </w:r>
    <w:r>
      <w:rPr>
        <w:rFonts w:eastAsia="Times New Roman" w:cstheme="minorHAnsi"/>
        <w:b/>
        <w:bCs/>
        <w:kern w:val="0"/>
        <w:lang w:eastAsia="en-GB"/>
        <w14:ligatures w14:val="none"/>
      </w:rPr>
      <w:t>4019</w:t>
    </w:r>
    <w:r w:rsidR="00913374">
      <w:rPr>
        <w:rFonts w:eastAsia="Times New Roman" w:cstheme="minorHAnsi"/>
        <w:b/>
        <w:bCs/>
        <w:kern w:val="0"/>
        <w:lang w:eastAsia="en-GB"/>
        <w14:ligatures w14:val="none"/>
      </w:rPr>
      <w:t>:</w:t>
    </w:r>
    <w:r w:rsidR="00AD2B62">
      <w:rPr>
        <w:rFonts w:eastAsia="Times New Roman" w:cstheme="minorHAnsi"/>
        <w:b/>
        <w:bCs/>
        <w:kern w:val="0"/>
        <w:lang w:eastAsia="en-GB"/>
        <w14:ligatures w14:val="none"/>
      </w:rPr>
      <w:t xml:space="preserve"> P</w:t>
    </w:r>
    <w:r>
      <w:rPr>
        <w:rFonts w:eastAsia="Times New Roman" w:cstheme="minorHAnsi"/>
        <w:b/>
        <w:bCs/>
        <w:kern w:val="0"/>
        <w:lang w:eastAsia="en-GB"/>
        <w14:ligatures w14:val="none"/>
      </w:rPr>
      <w:t>rinciples of OME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15D0D"/>
    <w:multiLevelType w:val="multilevel"/>
    <w:tmpl w:val="E9483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EE4D79"/>
    <w:multiLevelType w:val="multilevel"/>
    <w:tmpl w:val="A9A6B9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3E1421"/>
    <w:multiLevelType w:val="hybridMultilevel"/>
    <w:tmpl w:val="141CDE3E"/>
    <w:lvl w:ilvl="0" w:tplc="5282C1C4">
      <w:start w:val="3"/>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DB40E3"/>
    <w:multiLevelType w:val="multilevel"/>
    <w:tmpl w:val="0BF86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7F40B8"/>
    <w:multiLevelType w:val="hybridMultilevel"/>
    <w:tmpl w:val="27E03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134ECC"/>
    <w:multiLevelType w:val="hybridMultilevel"/>
    <w:tmpl w:val="F13C2E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320EEF"/>
    <w:multiLevelType w:val="multilevel"/>
    <w:tmpl w:val="19621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2898698">
    <w:abstractNumId w:val="0"/>
  </w:num>
  <w:num w:numId="2" w16cid:durableId="1439059533">
    <w:abstractNumId w:val="6"/>
  </w:num>
  <w:num w:numId="3" w16cid:durableId="810362883">
    <w:abstractNumId w:val="3"/>
  </w:num>
  <w:num w:numId="4" w16cid:durableId="1820996444">
    <w:abstractNumId w:val="1"/>
  </w:num>
  <w:num w:numId="5" w16cid:durableId="11536738">
    <w:abstractNumId w:val="2"/>
  </w:num>
  <w:num w:numId="6" w16cid:durableId="896286833">
    <w:abstractNumId w:val="5"/>
  </w:num>
  <w:num w:numId="7" w16cid:durableId="7922920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552"/>
    <w:rsid w:val="000070BA"/>
    <w:rsid w:val="0001277A"/>
    <w:rsid w:val="00025636"/>
    <w:rsid w:val="000358BB"/>
    <w:rsid w:val="000677BB"/>
    <w:rsid w:val="00081081"/>
    <w:rsid w:val="000D1BFB"/>
    <w:rsid w:val="00106579"/>
    <w:rsid w:val="00122D13"/>
    <w:rsid w:val="00142CA7"/>
    <w:rsid w:val="001546F0"/>
    <w:rsid w:val="00176853"/>
    <w:rsid w:val="001F0FBD"/>
    <w:rsid w:val="00225329"/>
    <w:rsid w:val="00254702"/>
    <w:rsid w:val="00272A08"/>
    <w:rsid w:val="002928B0"/>
    <w:rsid w:val="002F781B"/>
    <w:rsid w:val="00311F16"/>
    <w:rsid w:val="00313B63"/>
    <w:rsid w:val="00396078"/>
    <w:rsid w:val="003D183B"/>
    <w:rsid w:val="003D42A8"/>
    <w:rsid w:val="003E3E4D"/>
    <w:rsid w:val="00412552"/>
    <w:rsid w:val="00435236"/>
    <w:rsid w:val="00465FEE"/>
    <w:rsid w:val="00472121"/>
    <w:rsid w:val="004911A5"/>
    <w:rsid w:val="005012E8"/>
    <w:rsid w:val="00541B22"/>
    <w:rsid w:val="00542031"/>
    <w:rsid w:val="00564433"/>
    <w:rsid w:val="005A2422"/>
    <w:rsid w:val="005C3349"/>
    <w:rsid w:val="005C3B92"/>
    <w:rsid w:val="006064FB"/>
    <w:rsid w:val="00614151"/>
    <w:rsid w:val="00621E1B"/>
    <w:rsid w:val="00632841"/>
    <w:rsid w:val="00632C20"/>
    <w:rsid w:val="00675902"/>
    <w:rsid w:val="0067615C"/>
    <w:rsid w:val="006D1A96"/>
    <w:rsid w:val="0075615F"/>
    <w:rsid w:val="00780D03"/>
    <w:rsid w:val="007856D8"/>
    <w:rsid w:val="007B1DE0"/>
    <w:rsid w:val="007C4056"/>
    <w:rsid w:val="007D079E"/>
    <w:rsid w:val="007F439D"/>
    <w:rsid w:val="00833635"/>
    <w:rsid w:val="008E7276"/>
    <w:rsid w:val="008F5680"/>
    <w:rsid w:val="0090498A"/>
    <w:rsid w:val="00913374"/>
    <w:rsid w:val="0096565A"/>
    <w:rsid w:val="00983071"/>
    <w:rsid w:val="00983641"/>
    <w:rsid w:val="009871CA"/>
    <w:rsid w:val="009B3EF5"/>
    <w:rsid w:val="009B4FB3"/>
    <w:rsid w:val="00A11577"/>
    <w:rsid w:val="00A4760B"/>
    <w:rsid w:val="00A57EAA"/>
    <w:rsid w:val="00A96C3D"/>
    <w:rsid w:val="00AB3986"/>
    <w:rsid w:val="00AD2B62"/>
    <w:rsid w:val="00B33679"/>
    <w:rsid w:val="00B40D64"/>
    <w:rsid w:val="00C1721C"/>
    <w:rsid w:val="00C7038C"/>
    <w:rsid w:val="00C72E98"/>
    <w:rsid w:val="00D10E4D"/>
    <w:rsid w:val="00D25B8B"/>
    <w:rsid w:val="00D27BD7"/>
    <w:rsid w:val="00D475CF"/>
    <w:rsid w:val="00DA02D9"/>
    <w:rsid w:val="00DA7705"/>
    <w:rsid w:val="00DA771B"/>
    <w:rsid w:val="00DE6A1A"/>
    <w:rsid w:val="00E4698A"/>
    <w:rsid w:val="00EA0042"/>
    <w:rsid w:val="00ED159A"/>
    <w:rsid w:val="00F2715F"/>
    <w:rsid w:val="00F73CAC"/>
    <w:rsid w:val="00F75A75"/>
    <w:rsid w:val="00F773C3"/>
    <w:rsid w:val="00FA08B5"/>
    <w:rsid w:val="00FC5E99"/>
    <w:rsid w:val="00FF4FF8"/>
    <w:rsid w:val="00FF7BA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B43D4D"/>
  <w15:chartTrackingRefBased/>
  <w15:docId w15:val="{F9263A81-A528-BB46-A5E6-6500FFDA6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5CF"/>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D475CF"/>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41255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1255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1255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1255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255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255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255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5CF"/>
    <w:rPr>
      <w:rFonts w:eastAsiaTheme="majorEastAsia" w:cstheme="majorBidi"/>
      <w:b/>
      <w:color w:val="000000" w:themeColor="text1"/>
      <w:szCs w:val="40"/>
    </w:rPr>
  </w:style>
  <w:style w:type="character" w:customStyle="1" w:styleId="Heading2Char">
    <w:name w:val="Heading 2 Char"/>
    <w:basedOn w:val="DefaultParagraphFont"/>
    <w:link w:val="Heading2"/>
    <w:uiPriority w:val="9"/>
    <w:rsid w:val="00D475CF"/>
    <w:rPr>
      <w:rFonts w:eastAsiaTheme="majorEastAsia" w:cstheme="majorBidi"/>
      <w:b/>
      <w:color w:val="000000" w:themeColor="text1"/>
      <w:szCs w:val="32"/>
    </w:rPr>
  </w:style>
  <w:style w:type="character" w:customStyle="1" w:styleId="Heading3Char">
    <w:name w:val="Heading 3 Char"/>
    <w:basedOn w:val="DefaultParagraphFont"/>
    <w:link w:val="Heading3"/>
    <w:uiPriority w:val="9"/>
    <w:semiHidden/>
    <w:rsid w:val="0041255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1255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1255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125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25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25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2552"/>
    <w:rPr>
      <w:rFonts w:eastAsiaTheme="majorEastAsia" w:cstheme="majorBidi"/>
      <w:color w:val="272727" w:themeColor="text1" w:themeTint="D8"/>
    </w:rPr>
  </w:style>
  <w:style w:type="paragraph" w:styleId="Title">
    <w:name w:val="Title"/>
    <w:basedOn w:val="Normal"/>
    <w:next w:val="Normal"/>
    <w:link w:val="TitleChar"/>
    <w:uiPriority w:val="10"/>
    <w:qFormat/>
    <w:rsid w:val="0041255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25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255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25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255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12552"/>
    <w:rPr>
      <w:i/>
      <w:iCs/>
      <w:color w:val="404040" w:themeColor="text1" w:themeTint="BF"/>
    </w:rPr>
  </w:style>
  <w:style w:type="paragraph" w:styleId="ListParagraph">
    <w:name w:val="List Paragraph"/>
    <w:basedOn w:val="Normal"/>
    <w:uiPriority w:val="34"/>
    <w:qFormat/>
    <w:rsid w:val="00412552"/>
    <w:pPr>
      <w:ind w:left="720"/>
      <w:contextualSpacing/>
    </w:pPr>
  </w:style>
  <w:style w:type="character" w:styleId="IntenseEmphasis">
    <w:name w:val="Intense Emphasis"/>
    <w:basedOn w:val="DefaultParagraphFont"/>
    <w:uiPriority w:val="21"/>
    <w:qFormat/>
    <w:rsid w:val="00412552"/>
    <w:rPr>
      <w:i/>
      <w:iCs/>
      <w:color w:val="2F5496" w:themeColor="accent1" w:themeShade="BF"/>
    </w:rPr>
  </w:style>
  <w:style w:type="paragraph" w:styleId="IntenseQuote">
    <w:name w:val="Intense Quote"/>
    <w:basedOn w:val="Normal"/>
    <w:next w:val="Normal"/>
    <w:link w:val="IntenseQuoteChar"/>
    <w:uiPriority w:val="30"/>
    <w:qFormat/>
    <w:rsid w:val="0041255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12552"/>
    <w:rPr>
      <w:i/>
      <w:iCs/>
      <w:color w:val="2F5496" w:themeColor="accent1" w:themeShade="BF"/>
    </w:rPr>
  </w:style>
  <w:style w:type="character" w:styleId="IntenseReference">
    <w:name w:val="Intense Reference"/>
    <w:basedOn w:val="DefaultParagraphFont"/>
    <w:uiPriority w:val="32"/>
    <w:qFormat/>
    <w:rsid w:val="00412552"/>
    <w:rPr>
      <w:b/>
      <w:bCs/>
      <w:smallCaps/>
      <w:color w:val="2F5496" w:themeColor="accent1" w:themeShade="BF"/>
      <w:spacing w:val="5"/>
    </w:rPr>
  </w:style>
  <w:style w:type="paragraph" w:styleId="NormalWeb">
    <w:name w:val="Normal (Web)"/>
    <w:basedOn w:val="Normal"/>
    <w:uiPriority w:val="99"/>
    <w:semiHidden/>
    <w:unhideWhenUsed/>
    <w:rsid w:val="0041255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12552"/>
    <w:rPr>
      <w:b/>
      <w:bCs/>
    </w:rPr>
  </w:style>
  <w:style w:type="character" w:styleId="Emphasis">
    <w:name w:val="Emphasis"/>
    <w:basedOn w:val="DefaultParagraphFont"/>
    <w:uiPriority w:val="20"/>
    <w:qFormat/>
    <w:rsid w:val="00412552"/>
    <w:rPr>
      <w:i/>
      <w:iCs/>
    </w:rPr>
  </w:style>
  <w:style w:type="table" w:styleId="TableGrid">
    <w:name w:val="Table Grid"/>
    <w:basedOn w:val="TableNormal"/>
    <w:uiPriority w:val="39"/>
    <w:rsid w:val="007B1DE0"/>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D475CF"/>
    <w:pPr>
      <w:tabs>
        <w:tab w:val="center" w:pos="4513"/>
        <w:tab w:val="right" w:pos="9026"/>
      </w:tabs>
    </w:pPr>
  </w:style>
  <w:style w:type="character" w:customStyle="1" w:styleId="FooterChar">
    <w:name w:val="Footer Char"/>
    <w:basedOn w:val="DefaultParagraphFont"/>
    <w:link w:val="Footer"/>
    <w:uiPriority w:val="99"/>
    <w:rsid w:val="00D475CF"/>
  </w:style>
  <w:style w:type="character" w:styleId="PageNumber">
    <w:name w:val="page number"/>
    <w:basedOn w:val="DefaultParagraphFont"/>
    <w:uiPriority w:val="99"/>
    <w:semiHidden/>
    <w:unhideWhenUsed/>
    <w:rsid w:val="00D475CF"/>
  </w:style>
  <w:style w:type="paragraph" w:styleId="Header">
    <w:name w:val="header"/>
    <w:basedOn w:val="Normal"/>
    <w:link w:val="HeaderChar"/>
    <w:uiPriority w:val="99"/>
    <w:unhideWhenUsed/>
    <w:rsid w:val="00D475CF"/>
    <w:pPr>
      <w:tabs>
        <w:tab w:val="center" w:pos="4513"/>
        <w:tab w:val="right" w:pos="9026"/>
      </w:tabs>
    </w:pPr>
  </w:style>
  <w:style w:type="character" w:customStyle="1" w:styleId="HeaderChar">
    <w:name w:val="Header Char"/>
    <w:basedOn w:val="DefaultParagraphFont"/>
    <w:link w:val="Header"/>
    <w:uiPriority w:val="99"/>
    <w:rsid w:val="00D475CF"/>
  </w:style>
  <w:style w:type="paragraph" w:styleId="TOC1">
    <w:name w:val="toc 1"/>
    <w:basedOn w:val="Normal"/>
    <w:next w:val="Normal"/>
    <w:autoRedefine/>
    <w:uiPriority w:val="39"/>
    <w:unhideWhenUsed/>
    <w:rsid w:val="00D475CF"/>
    <w:pPr>
      <w:spacing w:after="100"/>
    </w:pPr>
  </w:style>
  <w:style w:type="paragraph" w:styleId="TOC2">
    <w:name w:val="toc 2"/>
    <w:basedOn w:val="Normal"/>
    <w:next w:val="Normal"/>
    <w:autoRedefine/>
    <w:uiPriority w:val="39"/>
    <w:unhideWhenUsed/>
    <w:rsid w:val="00D475CF"/>
    <w:pPr>
      <w:spacing w:after="100"/>
      <w:ind w:left="240"/>
    </w:pPr>
  </w:style>
  <w:style w:type="character" w:styleId="Hyperlink">
    <w:name w:val="Hyperlink"/>
    <w:basedOn w:val="DefaultParagraphFont"/>
    <w:uiPriority w:val="99"/>
    <w:unhideWhenUsed/>
    <w:rsid w:val="00D475CF"/>
    <w:rPr>
      <w:color w:val="0563C1" w:themeColor="hyperlink"/>
      <w:u w:val="single"/>
    </w:rPr>
  </w:style>
  <w:style w:type="character" w:styleId="UnresolvedMention">
    <w:name w:val="Unresolved Mention"/>
    <w:basedOn w:val="DefaultParagraphFont"/>
    <w:uiPriority w:val="99"/>
    <w:semiHidden/>
    <w:unhideWhenUsed/>
    <w:rsid w:val="00E4698A"/>
    <w:rPr>
      <w:color w:val="605E5C"/>
      <w:shd w:val="clear" w:color="auto" w:fill="E1DFDD"/>
    </w:rPr>
  </w:style>
  <w:style w:type="paragraph" w:styleId="Caption">
    <w:name w:val="caption"/>
    <w:basedOn w:val="Normal"/>
    <w:next w:val="Normal"/>
    <w:uiPriority w:val="35"/>
    <w:unhideWhenUsed/>
    <w:qFormat/>
    <w:rsid w:val="00542031"/>
    <w:pPr>
      <w:spacing w:after="200"/>
      <w:jc w:val="center"/>
    </w:pPr>
    <w:rPr>
      <w:i/>
      <w:iCs/>
      <w:color w:val="000000" w:themeColor="text1"/>
      <w:sz w:val="22"/>
      <w:szCs w:val="18"/>
    </w:rPr>
  </w:style>
  <w:style w:type="paragraph" w:styleId="TableofFigures">
    <w:name w:val="table of figures"/>
    <w:basedOn w:val="Normal"/>
    <w:next w:val="Normal"/>
    <w:uiPriority w:val="99"/>
    <w:unhideWhenUsed/>
    <w:rsid w:val="005420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0675803">
      <w:bodyDiv w:val="1"/>
      <w:marLeft w:val="0"/>
      <w:marRight w:val="0"/>
      <w:marTop w:val="0"/>
      <w:marBottom w:val="0"/>
      <w:divBdr>
        <w:top w:val="none" w:sz="0" w:space="0" w:color="auto"/>
        <w:left w:val="none" w:sz="0" w:space="0" w:color="auto"/>
        <w:bottom w:val="none" w:sz="0" w:space="0" w:color="auto"/>
        <w:right w:val="none" w:sz="0" w:space="0" w:color="auto"/>
      </w:divBdr>
      <w:divsChild>
        <w:div w:id="1019309754">
          <w:marLeft w:val="0"/>
          <w:marRight w:val="0"/>
          <w:marTop w:val="0"/>
          <w:marBottom w:val="0"/>
          <w:divBdr>
            <w:top w:val="none" w:sz="0" w:space="0" w:color="auto"/>
            <w:left w:val="none" w:sz="0" w:space="0" w:color="auto"/>
            <w:bottom w:val="none" w:sz="0" w:space="0" w:color="auto"/>
            <w:right w:val="none" w:sz="0" w:space="0" w:color="auto"/>
          </w:divBdr>
        </w:div>
        <w:div w:id="537356271">
          <w:marLeft w:val="0"/>
          <w:marRight w:val="0"/>
          <w:marTop w:val="0"/>
          <w:marBottom w:val="0"/>
          <w:divBdr>
            <w:top w:val="none" w:sz="0" w:space="0" w:color="auto"/>
            <w:left w:val="none" w:sz="0" w:space="0" w:color="auto"/>
            <w:bottom w:val="none" w:sz="0" w:space="0" w:color="auto"/>
            <w:right w:val="none" w:sz="0" w:space="0" w:color="auto"/>
          </w:divBdr>
        </w:div>
        <w:div w:id="1573004067">
          <w:marLeft w:val="0"/>
          <w:marRight w:val="0"/>
          <w:marTop w:val="0"/>
          <w:marBottom w:val="0"/>
          <w:divBdr>
            <w:top w:val="none" w:sz="0" w:space="0" w:color="auto"/>
            <w:left w:val="none" w:sz="0" w:space="0" w:color="auto"/>
            <w:bottom w:val="none" w:sz="0" w:space="0" w:color="auto"/>
            <w:right w:val="none" w:sz="0" w:space="0" w:color="auto"/>
          </w:divBdr>
        </w:div>
        <w:div w:id="1881277763">
          <w:marLeft w:val="0"/>
          <w:marRight w:val="0"/>
          <w:marTop w:val="0"/>
          <w:marBottom w:val="0"/>
          <w:divBdr>
            <w:top w:val="none" w:sz="0" w:space="0" w:color="auto"/>
            <w:left w:val="none" w:sz="0" w:space="0" w:color="auto"/>
            <w:bottom w:val="none" w:sz="0" w:space="0" w:color="auto"/>
            <w:right w:val="none" w:sz="0" w:space="0" w:color="auto"/>
          </w:divBdr>
        </w:div>
        <w:div w:id="1839804990">
          <w:marLeft w:val="0"/>
          <w:marRight w:val="0"/>
          <w:marTop w:val="0"/>
          <w:marBottom w:val="0"/>
          <w:divBdr>
            <w:top w:val="none" w:sz="0" w:space="0" w:color="auto"/>
            <w:left w:val="none" w:sz="0" w:space="0" w:color="auto"/>
            <w:bottom w:val="none" w:sz="0" w:space="0" w:color="auto"/>
            <w:right w:val="none" w:sz="0" w:space="0" w:color="auto"/>
          </w:divBdr>
        </w:div>
        <w:div w:id="343825933">
          <w:marLeft w:val="0"/>
          <w:marRight w:val="0"/>
          <w:marTop w:val="0"/>
          <w:marBottom w:val="0"/>
          <w:divBdr>
            <w:top w:val="none" w:sz="0" w:space="0" w:color="auto"/>
            <w:left w:val="none" w:sz="0" w:space="0" w:color="auto"/>
            <w:bottom w:val="none" w:sz="0" w:space="0" w:color="auto"/>
            <w:right w:val="none" w:sz="0" w:space="0" w:color="auto"/>
          </w:divBdr>
        </w:div>
        <w:div w:id="7204480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D30D705-EFD4-3646-AF7D-ED159990FC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246</TotalTime>
  <Pages>13</Pages>
  <Words>2238</Words>
  <Characters>12759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Idora Musa (2427103)</dc:creator>
  <cp:keywords/>
  <dc:description/>
  <cp:lastModifiedBy>Idora Musa (2427103)</cp:lastModifiedBy>
  <cp:revision>53</cp:revision>
  <dcterms:created xsi:type="dcterms:W3CDTF">2025-04-03T07:55:00Z</dcterms:created>
  <dcterms:modified xsi:type="dcterms:W3CDTF">2026-07-23T21:27:00Z</dcterms:modified>
</cp:coreProperties>
</file>