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2DB3F" w14:textId="77777777" w:rsidR="00D53438" w:rsidRPr="00D53438" w:rsidRDefault="00D53438" w:rsidP="00D53438">
      <w:pPr>
        <w:spacing w:after="0" w:line="360" w:lineRule="auto"/>
        <w:jc w:val="center"/>
        <w:rPr>
          <w:rFonts w:ascii="Aptos" w:eastAsia="Aptos" w:hAnsi="Aptos" w:cs="Arial"/>
          <w:lang w:val="en-GB"/>
        </w:rPr>
      </w:pPr>
      <w:bookmarkStart w:id="0" w:name="_Toc211437169"/>
      <w:r w:rsidRPr="00D53438">
        <w:rPr>
          <w:rFonts w:ascii="Aptos" w:eastAsia="Aptos" w:hAnsi="Aptos" w:cs="Arial"/>
          <w:noProof/>
          <w:lang w:val="en-GB"/>
        </w:rPr>
        <w:drawing>
          <wp:inline distT="0" distB="0" distL="0" distR="0" wp14:anchorId="7281C450" wp14:editId="38E743E7">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041CE0A" w14:textId="77777777" w:rsidR="00D53438" w:rsidRPr="00D53438" w:rsidRDefault="00D53438" w:rsidP="00D53438">
      <w:pPr>
        <w:spacing w:after="0" w:line="360" w:lineRule="auto"/>
        <w:jc w:val="center"/>
        <w:rPr>
          <w:rFonts w:ascii="Aptos" w:eastAsia="Aptos" w:hAnsi="Aptos" w:cs="Arial"/>
          <w:lang w:val="en-GB"/>
        </w:rPr>
      </w:pPr>
    </w:p>
    <w:p w14:paraId="178A1A6B" w14:textId="77777777" w:rsidR="00D53438" w:rsidRPr="00D53438" w:rsidRDefault="00D53438" w:rsidP="00D53438">
      <w:pPr>
        <w:spacing w:after="0" w:line="360" w:lineRule="auto"/>
        <w:jc w:val="center"/>
        <w:rPr>
          <w:rFonts w:ascii="Aptos" w:eastAsia="Aptos" w:hAnsi="Aptos" w:cs="Arial"/>
          <w:lang w:val="en-GB"/>
        </w:rPr>
      </w:pPr>
    </w:p>
    <w:p w14:paraId="28244AF9" w14:textId="77777777" w:rsidR="00D53438" w:rsidRPr="00D53438" w:rsidRDefault="00D53438" w:rsidP="00D53438">
      <w:pPr>
        <w:spacing w:after="0" w:line="360" w:lineRule="auto"/>
        <w:jc w:val="center"/>
        <w:rPr>
          <w:rFonts w:ascii="Aptos" w:eastAsia="Aptos" w:hAnsi="Aptos" w:cs="Arial"/>
          <w:lang w:val="en-GB"/>
        </w:rPr>
      </w:pPr>
    </w:p>
    <w:p w14:paraId="135CEC9B" w14:textId="77777777" w:rsidR="00D53438" w:rsidRPr="00D53438" w:rsidRDefault="00D53438" w:rsidP="00D53438">
      <w:pPr>
        <w:spacing w:after="0" w:line="360" w:lineRule="auto"/>
        <w:jc w:val="center"/>
        <w:rPr>
          <w:rFonts w:ascii="Aptos" w:eastAsia="Aptos" w:hAnsi="Aptos" w:cs="Arial"/>
          <w:lang w:val="en-GB"/>
        </w:rPr>
      </w:pPr>
    </w:p>
    <w:p w14:paraId="6EEDA7FC" w14:textId="77777777" w:rsidR="00D53438" w:rsidRPr="00D53438" w:rsidRDefault="00D53438" w:rsidP="00D53438">
      <w:pPr>
        <w:spacing w:after="0" w:line="360" w:lineRule="auto"/>
        <w:jc w:val="center"/>
        <w:rPr>
          <w:rFonts w:ascii="Times New Roman" w:eastAsia="Aptos" w:hAnsi="Times New Roman" w:cs="Times New Roman"/>
          <w:lang w:val="en-GB"/>
        </w:rPr>
      </w:pPr>
    </w:p>
    <w:p w14:paraId="6ACCDE32" w14:textId="77777777" w:rsidR="00150B2F" w:rsidRPr="00150B2F" w:rsidRDefault="00D53438" w:rsidP="00150B2F">
      <w:pPr>
        <w:spacing w:after="0" w:line="360" w:lineRule="auto"/>
        <w:jc w:val="center"/>
        <w:rPr>
          <w:rFonts w:ascii="Times New Roman" w:eastAsia="Aptos" w:hAnsi="Times New Roman" w:cs="Times New Roman"/>
          <w:b/>
          <w:bCs/>
          <w:lang w:val="en"/>
        </w:rPr>
      </w:pPr>
      <w:r w:rsidRPr="00D53438">
        <w:rPr>
          <w:rFonts w:ascii="Times New Roman" w:eastAsia="Aptos" w:hAnsi="Times New Roman" w:cs="Times New Roman"/>
          <w:b/>
          <w:bCs/>
          <w:lang w:val="en-GB"/>
        </w:rPr>
        <w:t>Student Name:</w:t>
      </w:r>
      <w:r w:rsidR="00150B2F">
        <w:rPr>
          <w:rFonts w:ascii="Times New Roman" w:eastAsia="Aptos" w:hAnsi="Times New Roman" w:cs="Times New Roman"/>
          <w:b/>
          <w:bCs/>
          <w:lang w:val="en-GB"/>
        </w:rPr>
        <w:t xml:space="preserve"> </w:t>
      </w:r>
      <w:r w:rsidR="00150B2F" w:rsidRPr="00150B2F">
        <w:rPr>
          <w:rFonts w:ascii="Times New Roman" w:eastAsia="Aptos" w:hAnsi="Times New Roman" w:cs="Times New Roman"/>
          <w:b/>
          <w:bCs/>
          <w:lang w:val="en"/>
        </w:rPr>
        <w:t>Hardeep Vijaysinh Zala</w:t>
      </w:r>
    </w:p>
    <w:p w14:paraId="2E5258CC" w14:textId="50750964" w:rsidR="00D53438" w:rsidRPr="00D53438" w:rsidRDefault="00D53438" w:rsidP="00D53438">
      <w:pPr>
        <w:spacing w:after="0" w:line="360" w:lineRule="auto"/>
        <w:jc w:val="center"/>
        <w:rPr>
          <w:rFonts w:ascii="Times New Roman" w:eastAsia="Aptos" w:hAnsi="Times New Roman" w:cs="Times New Roman"/>
          <w:b/>
          <w:bCs/>
          <w:lang w:val="en-GB"/>
        </w:rPr>
      </w:pPr>
    </w:p>
    <w:p w14:paraId="28255377"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3AFFCF67" w14:textId="4E914A7C" w:rsidR="00D53438" w:rsidRPr="00D53438" w:rsidRDefault="00D53438" w:rsidP="00D53438">
      <w:pPr>
        <w:spacing w:after="0" w:line="360" w:lineRule="auto"/>
        <w:jc w:val="center"/>
        <w:rPr>
          <w:rFonts w:ascii="Times New Roman" w:eastAsia="Aptos" w:hAnsi="Times New Roman" w:cs="Times New Roman"/>
          <w:b/>
          <w:bCs/>
          <w:lang w:val="en-GB"/>
        </w:rPr>
      </w:pPr>
      <w:r w:rsidRPr="00D53438">
        <w:rPr>
          <w:rFonts w:ascii="Times New Roman" w:eastAsia="Aptos" w:hAnsi="Times New Roman" w:cs="Times New Roman"/>
          <w:b/>
          <w:bCs/>
          <w:lang w:val="en-GB"/>
        </w:rPr>
        <w:t>Student ID:</w:t>
      </w:r>
      <w:r w:rsidR="00150B2F">
        <w:rPr>
          <w:rFonts w:ascii="Times New Roman" w:eastAsia="Aptos" w:hAnsi="Times New Roman" w:cs="Times New Roman"/>
          <w:b/>
          <w:bCs/>
          <w:lang w:val="en-GB"/>
        </w:rPr>
        <w:t xml:space="preserve"> </w:t>
      </w:r>
      <w:r w:rsidR="00150B2F" w:rsidRPr="00150B2F">
        <w:rPr>
          <w:rFonts w:ascii="Times New Roman" w:eastAsia="Aptos" w:hAnsi="Times New Roman" w:cs="Times New Roman"/>
          <w:b/>
          <w:bCs/>
        </w:rPr>
        <w:t>2509957</w:t>
      </w:r>
    </w:p>
    <w:p w14:paraId="02C46DBA" w14:textId="77777777" w:rsidR="00D53438" w:rsidRPr="00D53438" w:rsidRDefault="00D53438" w:rsidP="00D53438">
      <w:pPr>
        <w:spacing w:after="0" w:line="360" w:lineRule="auto"/>
        <w:jc w:val="center"/>
        <w:rPr>
          <w:rFonts w:ascii="Times New Roman" w:eastAsia="Aptos" w:hAnsi="Times New Roman" w:cs="Times New Roman"/>
          <w:lang w:val="en-GB"/>
        </w:rPr>
      </w:pPr>
    </w:p>
    <w:p w14:paraId="44B21ABD" w14:textId="77777777" w:rsidR="00D53438" w:rsidRPr="00D53438" w:rsidRDefault="00D53438" w:rsidP="00D53438">
      <w:pPr>
        <w:spacing w:after="0" w:line="360" w:lineRule="auto"/>
        <w:jc w:val="center"/>
        <w:rPr>
          <w:rFonts w:ascii="Times New Roman" w:eastAsia="Aptos" w:hAnsi="Times New Roman" w:cs="Times New Roman"/>
          <w:lang w:val="en-GB"/>
        </w:rPr>
      </w:pPr>
    </w:p>
    <w:p w14:paraId="7FB897E7" w14:textId="77777777" w:rsidR="00D53438" w:rsidRPr="00D53438" w:rsidRDefault="00D53438" w:rsidP="00D53438">
      <w:pPr>
        <w:spacing w:after="0" w:line="360" w:lineRule="auto"/>
        <w:jc w:val="center"/>
        <w:rPr>
          <w:rFonts w:ascii="Times New Roman" w:eastAsia="Aptos" w:hAnsi="Times New Roman" w:cs="Times New Roman"/>
          <w:b/>
          <w:bCs/>
          <w:lang w:val="en-GB"/>
        </w:rPr>
      </w:pPr>
      <w:r w:rsidRPr="00D53438">
        <w:rPr>
          <w:rFonts w:ascii="Times New Roman" w:eastAsia="Aptos" w:hAnsi="Times New Roman" w:cs="Times New Roman"/>
          <w:b/>
          <w:bCs/>
          <w:lang w:val="en-GB"/>
        </w:rPr>
        <w:t>Module Name: Marketing Management</w:t>
      </w:r>
    </w:p>
    <w:p w14:paraId="67A8888E"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478B915E" w14:textId="77777777" w:rsidR="00D53438" w:rsidRPr="00D53438" w:rsidRDefault="00D53438" w:rsidP="00D53438">
      <w:pPr>
        <w:spacing w:after="0" w:line="360" w:lineRule="auto"/>
        <w:jc w:val="center"/>
        <w:rPr>
          <w:rFonts w:ascii="Times New Roman" w:eastAsia="Aptos" w:hAnsi="Times New Roman" w:cs="Times New Roman"/>
          <w:b/>
          <w:bCs/>
          <w:lang w:val="en-GB"/>
        </w:rPr>
      </w:pPr>
      <w:r w:rsidRPr="00D53438">
        <w:rPr>
          <w:rFonts w:ascii="Times New Roman" w:eastAsia="Aptos" w:hAnsi="Times New Roman" w:cs="Times New Roman"/>
          <w:b/>
          <w:bCs/>
          <w:lang w:val="en-GB"/>
        </w:rPr>
        <w:t>Module Code: LCMB7024</w:t>
      </w:r>
    </w:p>
    <w:p w14:paraId="50549E8F"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5953C4DD"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7DB44838"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358C5580" w14:textId="77777777" w:rsidR="00150B2F" w:rsidRPr="00150B2F" w:rsidRDefault="00D53438" w:rsidP="00150B2F">
      <w:pPr>
        <w:spacing w:line="360" w:lineRule="auto"/>
        <w:jc w:val="center"/>
        <w:rPr>
          <w:rFonts w:ascii="Times New Roman" w:eastAsia="Aptos" w:hAnsi="Times New Roman" w:cs="Times New Roman"/>
          <w:b/>
          <w:bCs/>
          <w:lang w:val="en-GB"/>
        </w:rPr>
      </w:pPr>
      <w:r w:rsidRPr="00D53438">
        <w:rPr>
          <w:rFonts w:ascii="Times New Roman" w:eastAsia="Aptos" w:hAnsi="Times New Roman" w:cs="Times New Roman"/>
          <w:b/>
          <w:bCs/>
          <w:lang w:val="en-GB"/>
        </w:rPr>
        <w:t>Lecturer’s Name:</w:t>
      </w:r>
      <w:r w:rsidR="00150B2F">
        <w:rPr>
          <w:rFonts w:ascii="Times New Roman" w:eastAsia="Aptos" w:hAnsi="Times New Roman" w:cs="Times New Roman"/>
          <w:b/>
          <w:bCs/>
          <w:lang w:val="en-GB"/>
        </w:rPr>
        <w:t xml:space="preserve"> </w:t>
      </w:r>
      <w:r w:rsidR="00150B2F" w:rsidRPr="00150B2F">
        <w:rPr>
          <w:rFonts w:ascii="Times New Roman" w:eastAsia="Aptos" w:hAnsi="Times New Roman" w:cs="Times New Roman"/>
          <w:b/>
          <w:bCs/>
          <w:lang w:val="en-GB"/>
        </w:rPr>
        <w:t>Dr Laila Maazouz  ( London )</w:t>
      </w:r>
    </w:p>
    <w:p w14:paraId="084388CE" w14:textId="63B8F121" w:rsidR="00D53438" w:rsidRPr="00D53438" w:rsidRDefault="00D53438" w:rsidP="00D53438">
      <w:pPr>
        <w:spacing w:after="0" w:line="360" w:lineRule="auto"/>
        <w:jc w:val="center"/>
        <w:rPr>
          <w:rFonts w:ascii="Times New Roman" w:eastAsia="Aptos" w:hAnsi="Times New Roman" w:cs="Times New Roman"/>
          <w:b/>
          <w:bCs/>
          <w:lang w:val="en-GB"/>
        </w:rPr>
      </w:pPr>
    </w:p>
    <w:p w14:paraId="21E3EF13"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40577422"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760F1A15" w14:textId="77777777" w:rsidR="00D53438" w:rsidRPr="00D53438" w:rsidRDefault="00D53438" w:rsidP="00D53438">
      <w:pPr>
        <w:spacing w:after="0" w:line="360" w:lineRule="auto"/>
        <w:rPr>
          <w:rFonts w:ascii="Times New Roman" w:eastAsia="Aptos" w:hAnsi="Times New Roman" w:cs="Times New Roman"/>
          <w:b/>
          <w:bCs/>
          <w:lang w:val="en-GB"/>
        </w:rPr>
      </w:pPr>
    </w:p>
    <w:p w14:paraId="3C68A0C0" w14:textId="2F252CBA" w:rsidR="00D53438" w:rsidRPr="00D53438" w:rsidRDefault="00D53438" w:rsidP="00D53438">
      <w:pPr>
        <w:spacing w:after="0" w:line="360" w:lineRule="auto"/>
        <w:jc w:val="center"/>
        <w:rPr>
          <w:rFonts w:ascii="Times New Roman" w:eastAsia="Aptos" w:hAnsi="Times New Roman" w:cs="Times New Roman"/>
          <w:b/>
          <w:bCs/>
          <w:lang w:val="en-GB"/>
        </w:rPr>
      </w:pPr>
      <w:r w:rsidRPr="00D53438">
        <w:rPr>
          <w:rFonts w:ascii="Times New Roman" w:eastAsia="Aptos" w:hAnsi="Times New Roman" w:cs="Times New Roman"/>
          <w:b/>
          <w:bCs/>
          <w:lang w:val="en-GB"/>
        </w:rPr>
        <w:t>Wor</w:t>
      </w:r>
      <w:r w:rsidR="00150B2F">
        <w:rPr>
          <w:rFonts w:ascii="Times New Roman" w:eastAsia="Aptos" w:hAnsi="Times New Roman" w:cs="Times New Roman"/>
          <w:b/>
          <w:bCs/>
          <w:lang w:val="en-GB"/>
        </w:rPr>
        <w:t>d</w:t>
      </w:r>
      <w:r w:rsidRPr="00D53438">
        <w:rPr>
          <w:rFonts w:ascii="Times New Roman" w:eastAsia="Aptos" w:hAnsi="Times New Roman" w:cs="Times New Roman"/>
          <w:b/>
          <w:bCs/>
          <w:lang w:val="en-GB"/>
        </w:rPr>
        <w:t xml:space="preserve"> Count:</w:t>
      </w:r>
      <w:r w:rsidR="00150B2F">
        <w:rPr>
          <w:rFonts w:ascii="Times New Roman" w:eastAsia="Aptos" w:hAnsi="Times New Roman" w:cs="Times New Roman"/>
          <w:b/>
          <w:bCs/>
          <w:lang w:val="en-GB"/>
        </w:rPr>
        <w:t xml:space="preserve"> 2670</w:t>
      </w:r>
    </w:p>
    <w:p w14:paraId="14EBA8D0"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2FB7FCD8" w14:textId="77777777" w:rsidR="00D53438" w:rsidRPr="00D53438" w:rsidRDefault="00D53438" w:rsidP="00D53438">
      <w:pPr>
        <w:spacing w:after="0" w:line="360" w:lineRule="auto"/>
        <w:jc w:val="center"/>
        <w:rPr>
          <w:rFonts w:ascii="Times New Roman" w:eastAsia="Aptos" w:hAnsi="Times New Roman" w:cs="Times New Roman"/>
          <w:b/>
          <w:bCs/>
          <w:lang w:val="en-GB"/>
        </w:rPr>
      </w:pPr>
    </w:p>
    <w:p w14:paraId="406BB6AC" w14:textId="77777777" w:rsidR="00D53438" w:rsidRPr="00D53438" w:rsidRDefault="00D53438" w:rsidP="00D53438">
      <w:pPr>
        <w:spacing w:after="0" w:line="360" w:lineRule="auto"/>
        <w:rPr>
          <w:rFonts w:ascii="Times New Roman" w:eastAsia="Aptos" w:hAnsi="Times New Roman" w:cs="Times New Roman"/>
          <w:b/>
          <w:bCs/>
          <w:lang w:val="en-GB"/>
        </w:rPr>
      </w:pPr>
    </w:p>
    <w:p w14:paraId="7F4BB3E8" w14:textId="77777777" w:rsidR="00D53438" w:rsidRPr="00D53438" w:rsidRDefault="00D53438" w:rsidP="00D53438">
      <w:pPr>
        <w:spacing w:after="0" w:line="360" w:lineRule="auto"/>
        <w:jc w:val="center"/>
        <w:rPr>
          <w:rFonts w:ascii="Times New Roman" w:eastAsia="Aptos" w:hAnsi="Times New Roman" w:cs="Times New Roman"/>
          <w:b/>
          <w:bCs/>
          <w:lang w:val="en-GB"/>
        </w:rPr>
      </w:pPr>
      <w:r w:rsidRPr="00D53438">
        <w:rPr>
          <w:rFonts w:ascii="Times New Roman" w:eastAsia="Aptos" w:hAnsi="Times New Roman" w:cs="Times New Roman"/>
          <w:b/>
          <w:bCs/>
          <w:lang w:val="en-GB"/>
        </w:rPr>
        <w:t>Term 1</w:t>
      </w:r>
    </w:p>
    <w:p w14:paraId="1641B9CE" w14:textId="77777777" w:rsidR="00D53438" w:rsidRPr="00D53438" w:rsidRDefault="00D53438" w:rsidP="00D53438">
      <w:pPr>
        <w:spacing w:after="0" w:line="360" w:lineRule="auto"/>
        <w:rPr>
          <w:rFonts w:ascii="Aptos" w:eastAsia="Aptos" w:hAnsi="Aptos" w:cs="Arial"/>
          <w:b/>
          <w:bCs/>
          <w:lang w:val="en-GB"/>
        </w:rPr>
      </w:pPr>
      <w:r w:rsidRPr="00D53438">
        <w:rPr>
          <w:rFonts w:ascii="Aptos" w:eastAsia="Aptos" w:hAnsi="Aptos" w:cs="Arial"/>
          <w:b/>
          <w:bCs/>
          <w:lang w:val="en-GB"/>
        </w:rPr>
        <w:lastRenderedPageBreak/>
        <w:br w:type="page"/>
      </w:r>
    </w:p>
    <w:sdt>
      <w:sdtPr>
        <w:rPr>
          <w:rFonts w:asciiTheme="minorHAnsi" w:eastAsiaTheme="minorHAnsi" w:hAnsiTheme="minorHAnsi" w:cstheme="minorBidi"/>
          <w:color w:val="auto"/>
          <w:kern w:val="2"/>
          <w:sz w:val="24"/>
          <w:szCs w:val="24"/>
          <w:lang w:val="en-IN"/>
          <w14:ligatures w14:val="standardContextual"/>
        </w:rPr>
        <w:id w:val="592357416"/>
        <w:docPartObj>
          <w:docPartGallery w:val="Table of Contents"/>
          <w:docPartUnique/>
        </w:docPartObj>
      </w:sdtPr>
      <w:sdtEndPr>
        <w:rPr>
          <w:b/>
          <w:bCs/>
          <w:noProof/>
        </w:rPr>
      </w:sdtEndPr>
      <w:sdtContent>
        <w:p w14:paraId="0C202A4F" w14:textId="45A97981" w:rsidR="00F81AD3" w:rsidRPr="00F81AD3" w:rsidRDefault="00F81AD3" w:rsidP="00F81AD3">
          <w:pPr>
            <w:pStyle w:val="TOCHeading"/>
            <w:spacing w:line="360" w:lineRule="auto"/>
            <w:jc w:val="center"/>
            <w:rPr>
              <w:rFonts w:ascii="Times New Roman" w:hAnsi="Times New Roman" w:cs="Times New Roman"/>
              <w:b/>
              <w:bCs/>
              <w:color w:val="auto"/>
              <w:sz w:val="24"/>
              <w:szCs w:val="24"/>
              <w:u w:val="single"/>
            </w:rPr>
          </w:pPr>
          <w:r w:rsidRPr="00F81AD3">
            <w:rPr>
              <w:rFonts w:ascii="Times New Roman" w:hAnsi="Times New Roman" w:cs="Times New Roman"/>
              <w:b/>
              <w:bCs/>
              <w:color w:val="auto"/>
              <w:sz w:val="24"/>
              <w:szCs w:val="24"/>
              <w:u w:val="single"/>
            </w:rPr>
            <w:t>Table of Contents</w:t>
          </w:r>
        </w:p>
        <w:p w14:paraId="79F0AA76" w14:textId="0BABD72F" w:rsidR="00F81AD3" w:rsidRPr="00F81AD3" w:rsidRDefault="00F81AD3" w:rsidP="00F81AD3">
          <w:pPr>
            <w:pStyle w:val="TOC1"/>
            <w:tabs>
              <w:tab w:val="right" w:leader="dot" w:pos="9016"/>
            </w:tabs>
            <w:spacing w:line="360" w:lineRule="auto"/>
            <w:jc w:val="both"/>
            <w:rPr>
              <w:rFonts w:ascii="Times New Roman" w:hAnsi="Times New Roman" w:cs="Times New Roman"/>
              <w:noProof/>
            </w:rPr>
          </w:pPr>
          <w:r w:rsidRPr="00F81AD3">
            <w:rPr>
              <w:rFonts w:ascii="Times New Roman" w:hAnsi="Times New Roman" w:cs="Times New Roman"/>
            </w:rPr>
            <w:fldChar w:fldCharType="begin"/>
          </w:r>
          <w:r w:rsidRPr="00F81AD3">
            <w:rPr>
              <w:rFonts w:ascii="Times New Roman" w:hAnsi="Times New Roman" w:cs="Times New Roman"/>
            </w:rPr>
            <w:instrText xml:space="preserve"> TOC \o "1-3" \h \z \u </w:instrText>
          </w:r>
          <w:r w:rsidRPr="00F81AD3">
            <w:rPr>
              <w:rFonts w:ascii="Times New Roman" w:hAnsi="Times New Roman" w:cs="Times New Roman"/>
            </w:rPr>
            <w:fldChar w:fldCharType="separate"/>
          </w:r>
          <w:hyperlink w:anchor="_Toc214130704" w:history="1">
            <w:r w:rsidRPr="00F81AD3">
              <w:rPr>
                <w:rStyle w:val="Hyperlink"/>
                <w:rFonts w:ascii="Times New Roman" w:hAnsi="Times New Roman" w:cs="Times New Roman"/>
                <w:noProof/>
              </w:rPr>
              <w:t>1. Introduction</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_Toc214130704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3</w:t>
            </w:r>
            <w:r w:rsidRPr="00F81AD3">
              <w:rPr>
                <w:rFonts w:ascii="Times New Roman" w:hAnsi="Times New Roman" w:cs="Times New Roman"/>
                <w:noProof/>
                <w:webHidden/>
              </w:rPr>
              <w:fldChar w:fldCharType="end"/>
            </w:r>
          </w:hyperlink>
        </w:p>
        <w:p w14:paraId="20C87A96" w14:textId="51A9F690" w:rsidR="00F81AD3" w:rsidRPr="00F81AD3" w:rsidRDefault="00F81AD3" w:rsidP="00F81AD3">
          <w:pPr>
            <w:pStyle w:val="TOC1"/>
            <w:tabs>
              <w:tab w:val="right" w:leader="dot" w:pos="9016"/>
            </w:tabs>
            <w:spacing w:line="360" w:lineRule="auto"/>
            <w:jc w:val="both"/>
            <w:rPr>
              <w:rFonts w:ascii="Times New Roman" w:hAnsi="Times New Roman" w:cs="Times New Roman"/>
              <w:noProof/>
            </w:rPr>
          </w:pPr>
          <w:hyperlink w:anchor="_Toc214130705" w:history="1">
            <w:r w:rsidRPr="00F81AD3">
              <w:rPr>
                <w:rStyle w:val="Hyperlink"/>
                <w:rFonts w:ascii="Times New Roman" w:hAnsi="Times New Roman" w:cs="Times New Roman"/>
                <w:noProof/>
              </w:rPr>
              <w:t>2. Task 1: Critical Analysis of the Macro Marketing Environment</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_Toc214130705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3</w:t>
            </w:r>
            <w:r w:rsidRPr="00F81AD3">
              <w:rPr>
                <w:rFonts w:ascii="Times New Roman" w:hAnsi="Times New Roman" w:cs="Times New Roman"/>
                <w:noProof/>
                <w:webHidden/>
              </w:rPr>
              <w:fldChar w:fldCharType="end"/>
            </w:r>
          </w:hyperlink>
        </w:p>
        <w:p w14:paraId="4613A0F0" w14:textId="39629E87" w:rsidR="00F81AD3" w:rsidRPr="00F81AD3" w:rsidRDefault="00F81AD3" w:rsidP="00F81AD3">
          <w:pPr>
            <w:pStyle w:val="TOC2"/>
            <w:tabs>
              <w:tab w:val="right" w:leader="dot" w:pos="9016"/>
            </w:tabs>
            <w:spacing w:line="360" w:lineRule="auto"/>
            <w:jc w:val="both"/>
            <w:rPr>
              <w:rFonts w:ascii="Times New Roman" w:hAnsi="Times New Roman" w:cs="Times New Roman"/>
              <w:noProof/>
            </w:rPr>
          </w:pPr>
          <w:hyperlink w:anchor="_Toc214130706" w:history="1">
            <w:r w:rsidRPr="00F81AD3">
              <w:rPr>
                <w:rStyle w:val="Hyperlink"/>
                <w:rFonts w:ascii="Times New Roman" w:hAnsi="Times New Roman" w:cs="Times New Roman"/>
                <w:noProof/>
              </w:rPr>
              <w:t>2.1 Overview of the Macro Marketing Environment</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_Toc214130706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3</w:t>
            </w:r>
            <w:r w:rsidRPr="00F81AD3">
              <w:rPr>
                <w:rFonts w:ascii="Times New Roman" w:hAnsi="Times New Roman" w:cs="Times New Roman"/>
                <w:noProof/>
                <w:webHidden/>
              </w:rPr>
              <w:fldChar w:fldCharType="end"/>
            </w:r>
          </w:hyperlink>
        </w:p>
        <w:p w14:paraId="7A11E5DC" w14:textId="1A67FC64" w:rsidR="00F81AD3" w:rsidRPr="00F81AD3" w:rsidRDefault="00F81AD3" w:rsidP="00F81AD3">
          <w:pPr>
            <w:pStyle w:val="TOC2"/>
            <w:tabs>
              <w:tab w:val="right" w:leader="dot" w:pos="9016"/>
            </w:tabs>
            <w:spacing w:line="360" w:lineRule="auto"/>
            <w:jc w:val="both"/>
            <w:rPr>
              <w:rFonts w:ascii="Times New Roman" w:hAnsi="Times New Roman" w:cs="Times New Roman"/>
              <w:noProof/>
            </w:rPr>
          </w:pPr>
          <w:hyperlink w:anchor="_Toc214130707" w:history="1">
            <w:r w:rsidRPr="00F81AD3">
              <w:rPr>
                <w:rStyle w:val="Hyperlink"/>
                <w:rFonts w:ascii="Times New Roman" w:hAnsi="Times New Roman" w:cs="Times New Roman"/>
                <w:noProof/>
              </w:rPr>
              <w:t>2.2 Selection of Two External Macro Marketing Actors</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_Toc214130707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4</w:t>
            </w:r>
            <w:r w:rsidRPr="00F81AD3">
              <w:rPr>
                <w:rFonts w:ascii="Times New Roman" w:hAnsi="Times New Roman" w:cs="Times New Roman"/>
                <w:noProof/>
                <w:webHidden/>
              </w:rPr>
              <w:fldChar w:fldCharType="end"/>
            </w:r>
          </w:hyperlink>
        </w:p>
        <w:p w14:paraId="1BAC1E7D" w14:textId="185A77AE" w:rsidR="00F81AD3" w:rsidRPr="00F81AD3" w:rsidRDefault="00F81AD3" w:rsidP="00F81AD3">
          <w:pPr>
            <w:pStyle w:val="TOC2"/>
            <w:tabs>
              <w:tab w:val="right" w:leader="dot" w:pos="9016"/>
            </w:tabs>
            <w:spacing w:line="360" w:lineRule="auto"/>
            <w:jc w:val="both"/>
            <w:rPr>
              <w:rFonts w:ascii="Times New Roman" w:hAnsi="Times New Roman" w:cs="Times New Roman"/>
              <w:noProof/>
            </w:rPr>
          </w:pPr>
          <w:hyperlink w:anchor="_Toc214130708" w:history="1">
            <w:r w:rsidRPr="00F81AD3">
              <w:rPr>
                <w:rStyle w:val="Hyperlink"/>
                <w:rFonts w:ascii="Times New Roman" w:hAnsi="Times New Roman" w:cs="Times New Roman"/>
                <w:noProof/>
              </w:rPr>
              <w:t>2.3 Critical Analysis of Each Actor</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_Toc214130708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5</w:t>
            </w:r>
            <w:r w:rsidRPr="00F81AD3">
              <w:rPr>
                <w:rFonts w:ascii="Times New Roman" w:hAnsi="Times New Roman" w:cs="Times New Roman"/>
                <w:noProof/>
                <w:webHidden/>
              </w:rPr>
              <w:fldChar w:fldCharType="end"/>
            </w:r>
          </w:hyperlink>
        </w:p>
        <w:p w14:paraId="351A54BD" w14:textId="6AF3D513" w:rsidR="00F81AD3" w:rsidRPr="00F81AD3" w:rsidRDefault="00F81AD3" w:rsidP="00F81AD3">
          <w:pPr>
            <w:pStyle w:val="TOC1"/>
            <w:tabs>
              <w:tab w:val="right" w:leader="dot" w:pos="9016"/>
            </w:tabs>
            <w:spacing w:line="360" w:lineRule="auto"/>
            <w:jc w:val="both"/>
            <w:rPr>
              <w:rFonts w:ascii="Times New Roman" w:hAnsi="Times New Roman" w:cs="Times New Roman"/>
              <w:noProof/>
            </w:rPr>
          </w:pPr>
          <w:hyperlink w:anchor="_Toc214130709" w:history="1">
            <w:r w:rsidRPr="00F81AD3">
              <w:rPr>
                <w:rStyle w:val="Hyperlink"/>
                <w:rFonts w:ascii="Times New Roman" w:hAnsi="Times New Roman" w:cs="Times New Roman"/>
                <w:noProof/>
              </w:rPr>
              <w:t>3. Task 2: Strategic Responses of Pioneering and Follower Organisations</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_Toc214130709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6</w:t>
            </w:r>
            <w:r w:rsidRPr="00F81AD3">
              <w:rPr>
                <w:rFonts w:ascii="Times New Roman" w:hAnsi="Times New Roman" w:cs="Times New Roman"/>
                <w:noProof/>
                <w:webHidden/>
              </w:rPr>
              <w:fldChar w:fldCharType="end"/>
            </w:r>
          </w:hyperlink>
        </w:p>
        <w:p w14:paraId="4E319A65" w14:textId="2F0D19FA" w:rsidR="00F81AD3" w:rsidRPr="00F81AD3" w:rsidRDefault="00F81AD3" w:rsidP="00F81AD3">
          <w:pPr>
            <w:pStyle w:val="TOC2"/>
            <w:tabs>
              <w:tab w:val="right" w:leader="dot" w:pos="9016"/>
            </w:tabs>
            <w:spacing w:line="360" w:lineRule="auto"/>
            <w:jc w:val="both"/>
            <w:rPr>
              <w:rFonts w:ascii="Times New Roman" w:hAnsi="Times New Roman" w:cs="Times New Roman"/>
              <w:noProof/>
            </w:rPr>
          </w:pPr>
          <w:hyperlink w:anchor="_Toc214130710" w:history="1">
            <w:r w:rsidRPr="00F81AD3">
              <w:rPr>
                <w:rStyle w:val="Hyperlink"/>
                <w:rFonts w:ascii="Times New Roman" w:hAnsi="Times New Roman" w:cs="Times New Roman"/>
                <w:noProof/>
              </w:rPr>
              <w:t>3.1 Pioneering Organisations’ Strategic Responses</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_Toc214130710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6</w:t>
            </w:r>
            <w:r w:rsidRPr="00F81AD3">
              <w:rPr>
                <w:rFonts w:ascii="Times New Roman" w:hAnsi="Times New Roman" w:cs="Times New Roman"/>
                <w:noProof/>
                <w:webHidden/>
              </w:rPr>
              <w:fldChar w:fldCharType="end"/>
            </w:r>
          </w:hyperlink>
        </w:p>
        <w:p w14:paraId="5FFCF652" w14:textId="349E1D83" w:rsidR="00F81AD3" w:rsidRPr="00F81AD3" w:rsidRDefault="00F81AD3" w:rsidP="00F81AD3">
          <w:pPr>
            <w:pStyle w:val="TOC2"/>
            <w:tabs>
              <w:tab w:val="right" w:leader="dot" w:pos="9016"/>
            </w:tabs>
            <w:spacing w:line="360" w:lineRule="auto"/>
            <w:jc w:val="both"/>
            <w:rPr>
              <w:rFonts w:ascii="Times New Roman" w:hAnsi="Times New Roman" w:cs="Times New Roman"/>
              <w:noProof/>
            </w:rPr>
          </w:pPr>
          <w:hyperlink w:anchor="_Toc214130711" w:history="1">
            <w:r w:rsidRPr="00F81AD3">
              <w:rPr>
                <w:rStyle w:val="Hyperlink"/>
                <w:rFonts w:ascii="Times New Roman" w:hAnsi="Times New Roman" w:cs="Times New Roman"/>
                <w:noProof/>
              </w:rPr>
              <w:t>3.2 Follower Organisations’ Strategic Responses</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_Toc214130711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7</w:t>
            </w:r>
            <w:r w:rsidRPr="00F81AD3">
              <w:rPr>
                <w:rFonts w:ascii="Times New Roman" w:hAnsi="Times New Roman" w:cs="Times New Roman"/>
                <w:noProof/>
                <w:webHidden/>
              </w:rPr>
              <w:fldChar w:fldCharType="end"/>
            </w:r>
          </w:hyperlink>
        </w:p>
        <w:p w14:paraId="06829BA2" w14:textId="754CB20E" w:rsidR="00F81AD3" w:rsidRPr="00F81AD3" w:rsidRDefault="00F81AD3" w:rsidP="00F81AD3">
          <w:pPr>
            <w:pStyle w:val="TOC1"/>
            <w:tabs>
              <w:tab w:val="right" w:leader="dot" w:pos="9016"/>
            </w:tabs>
            <w:spacing w:line="360" w:lineRule="auto"/>
            <w:jc w:val="both"/>
            <w:rPr>
              <w:rFonts w:ascii="Times New Roman" w:hAnsi="Times New Roman" w:cs="Times New Roman"/>
              <w:noProof/>
            </w:rPr>
          </w:pPr>
          <w:hyperlink w:anchor="_Toc214130712" w:history="1">
            <w:r w:rsidRPr="00F81AD3">
              <w:rPr>
                <w:rStyle w:val="Hyperlink"/>
                <w:rFonts w:ascii="Times New Roman" w:hAnsi="Times New Roman" w:cs="Times New Roman"/>
                <w:noProof/>
              </w:rPr>
              <w:t>4. Conclusion</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_Toc214130712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8</w:t>
            </w:r>
            <w:r w:rsidRPr="00F81AD3">
              <w:rPr>
                <w:rFonts w:ascii="Times New Roman" w:hAnsi="Times New Roman" w:cs="Times New Roman"/>
                <w:noProof/>
                <w:webHidden/>
              </w:rPr>
              <w:fldChar w:fldCharType="end"/>
            </w:r>
          </w:hyperlink>
        </w:p>
        <w:p w14:paraId="5B994248" w14:textId="31CC7826" w:rsidR="00F81AD3" w:rsidRPr="00F81AD3" w:rsidRDefault="00F81AD3" w:rsidP="00F81AD3">
          <w:pPr>
            <w:pStyle w:val="TOC1"/>
            <w:tabs>
              <w:tab w:val="right" w:leader="dot" w:pos="9016"/>
            </w:tabs>
            <w:spacing w:line="360" w:lineRule="auto"/>
            <w:jc w:val="both"/>
            <w:rPr>
              <w:rFonts w:ascii="Times New Roman" w:hAnsi="Times New Roman" w:cs="Times New Roman"/>
              <w:noProof/>
            </w:rPr>
          </w:pPr>
          <w:hyperlink w:anchor="_Toc214130713" w:history="1">
            <w:r w:rsidRPr="00F81AD3">
              <w:rPr>
                <w:rStyle w:val="Hyperlink"/>
                <w:rFonts w:ascii="Times New Roman" w:hAnsi="Times New Roman" w:cs="Times New Roman"/>
                <w:noProof/>
              </w:rPr>
              <w:t>5. References</w:t>
            </w:r>
            <w:r w:rsidRPr="00F81AD3">
              <w:rPr>
                <w:rFonts w:ascii="Times New Roman" w:hAnsi="Times New Roman" w:cs="Times New Roman"/>
                <w:noProof/>
                <w:webHidden/>
              </w:rPr>
              <w:tab/>
            </w:r>
            <w:r w:rsidRPr="00F81AD3">
              <w:rPr>
                <w:rFonts w:ascii="Times New Roman" w:hAnsi="Times New Roman" w:cs="Times New Roman"/>
                <w:noProof/>
                <w:webHidden/>
              </w:rPr>
              <w:fldChar w:fldCharType="begin"/>
            </w:r>
            <w:r w:rsidRPr="00F81AD3">
              <w:rPr>
                <w:rFonts w:ascii="Times New Roman" w:hAnsi="Times New Roman" w:cs="Times New Roman"/>
                <w:noProof/>
                <w:webHidden/>
              </w:rPr>
              <w:instrText xml:space="preserve"> PAGEREF _Toc214130713 \h </w:instrText>
            </w:r>
            <w:r w:rsidRPr="00F81AD3">
              <w:rPr>
                <w:rFonts w:ascii="Times New Roman" w:hAnsi="Times New Roman" w:cs="Times New Roman"/>
                <w:noProof/>
                <w:webHidden/>
              </w:rPr>
            </w:r>
            <w:r w:rsidRPr="00F81AD3">
              <w:rPr>
                <w:rFonts w:ascii="Times New Roman" w:hAnsi="Times New Roman" w:cs="Times New Roman"/>
                <w:noProof/>
                <w:webHidden/>
              </w:rPr>
              <w:fldChar w:fldCharType="separate"/>
            </w:r>
            <w:r w:rsidRPr="00F81AD3">
              <w:rPr>
                <w:rFonts w:ascii="Times New Roman" w:hAnsi="Times New Roman" w:cs="Times New Roman"/>
                <w:noProof/>
                <w:webHidden/>
              </w:rPr>
              <w:t>10</w:t>
            </w:r>
            <w:r w:rsidRPr="00F81AD3">
              <w:rPr>
                <w:rFonts w:ascii="Times New Roman" w:hAnsi="Times New Roman" w:cs="Times New Roman"/>
                <w:noProof/>
                <w:webHidden/>
              </w:rPr>
              <w:fldChar w:fldCharType="end"/>
            </w:r>
          </w:hyperlink>
        </w:p>
        <w:p w14:paraId="4903D637" w14:textId="0C2A1663" w:rsidR="00F81AD3" w:rsidRDefault="00F81AD3" w:rsidP="00F81AD3">
          <w:pPr>
            <w:spacing w:line="360" w:lineRule="auto"/>
            <w:jc w:val="both"/>
          </w:pPr>
          <w:r w:rsidRPr="00F81AD3">
            <w:rPr>
              <w:rFonts w:ascii="Times New Roman" w:hAnsi="Times New Roman" w:cs="Times New Roman"/>
              <w:b/>
              <w:bCs/>
              <w:noProof/>
            </w:rPr>
            <w:fldChar w:fldCharType="end"/>
          </w:r>
        </w:p>
      </w:sdtContent>
    </w:sdt>
    <w:p w14:paraId="216683EB" w14:textId="77777777" w:rsidR="00D53438" w:rsidRDefault="00D53438">
      <w:pPr>
        <w:rPr>
          <w:rFonts w:ascii="Times New Roman" w:hAnsi="Times New Roman" w:cs="Times New Roman"/>
          <w:b/>
          <w:bCs/>
          <w:lang w:val="en-GB"/>
        </w:rPr>
      </w:pPr>
      <w:r>
        <w:rPr>
          <w:rFonts w:ascii="Times New Roman" w:hAnsi="Times New Roman" w:cs="Times New Roman"/>
          <w:b/>
          <w:bCs/>
          <w:lang w:val="en-GB"/>
        </w:rPr>
        <w:br w:type="page"/>
      </w:r>
    </w:p>
    <w:p w14:paraId="691B0C17" w14:textId="0151278A" w:rsidR="008F1F4A" w:rsidRPr="008F1F4A" w:rsidRDefault="008F1F4A" w:rsidP="00D53438">
      <w:pPr>
        <w:pStyle w:val="Heading1"/>
      </w:pPr>
      <w:bookmarkStart w:id="1" w:name="_Toc214130704"/>
      <w:r w:rsidRPr="008F1F4A">
        <w:lastRenderedPageBreak/>
        <w:t>1. Introduction</w:t>
      </w:r>
      <w:bookmarkEnd w:id="1"/>
      <w:r w:rsidRPr="008F1F4A">
        <w:t xml:space="preserve"> </w:t>
      </w:r>
      <w:bookmarkEnd w:id="0"/>
    </w:p>
    <w:p w14:paraId="4DABBBAD"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This report will examine how strategic marketing management has assisted organisations in surviving within a constantly dynamic business environment that is highly complex. It is an activity that takes place in a dynamic manner where the means through which the external macro-environmental forces influence the marketing decision-making process is examined alongside the manner in which the pioneering and the follower organisations respond strategically to the emerging challenges and opportunities. These external forces are to be comprehended as they dictate the activities of consumers, competition, expectations of regulations and technological abilities whereas all these directly define the abilities of an organisation to reach sustainable growth.</w:t>
      </w:r>
    </w:p>
    <w:p w14:paraId="504BB636"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The systematic analysis of the macro marketing environment is a highly significant aspect of strategic marketing management since it assists organisations in foreseeing the future, identify the threats and optimize their strategies to the realities of the surrounding environment. PESTEL frameworks are therefore necessary as they offer a checklist approach to the study of the forces of politics, economics, social, technological, environmental, and laws as it controls the forces in the marketplace.</w:t>
      </w:r>
    </w:p>
    <w:p w14:paraId="039A11B5"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This report is of a length that is divided into two tasks. Task 1 represents a critical environment analysis of macro marketing that involves the identification and assessment of the most important external actors. Task 2 discusses the issues of strategic response development in pioneering and follower organisations using already existing strategic models. Together, these arguments demonstrate how crucial environmental scanning is, as well as the advantages of developing an adaptive strategy in the achievement of the long-term competitive advantage.</w:t>
      </w:r>
    </w:p>
    <w:p w14:paraId="48A6094C" w14:textId="77777777" w:rsidR="008F1F4A" w:rsidRPr="008F1F4A" w:rsidRDefault="008F1F4A" w:rsidP="00D53438">
      <w:pPr>
        <w:pStyle w:val="Heading1"/>
      </w:pPr>
      <w:bookmarkStart w:id="2" w:name="_Toc211437170"/>
      <w:bookmarkStart w:id="3" w:name="_Toc214130705"/>
      <w:r w:rsidRPr="008F1F4A">
        <w:t>2. Task 1: Critical Analysis of the Macro Marketing Environment</w:t>
      </w:r>
      <w:bookmarkEnd w:id="2"/>
      <w:bookmarkEnd w:id="3"/>
    </w:p>
    <w:p w14:paraId="24BF7976" w14:textId="4C64965F" w:rsidR="008F1F4A" w:rsidRPr="008F1F4A" w:rsidRDefault="008F1F4A" w:rsidP="00D53438">
      <w:pPr>
        <w:pStyle w:val="Heading2"/>
      </w:pPr>
      <w:bookmarkStart w:id="4" w:name="_Toc211437171"/>
      <w:bookmarkStart w:id="5" w:name="_Toc214130706"/>
      <w:r w:rsidRPr="008F1F4A">
        <w:t>2.1 Overview of the Macro Marketing Environment</w:t>
      </w:r>
      <w:bookmarkEnd w:id="4"/>
      <w:bookmarkEnd w:id="5"/>
    </w:p>
    <w:p w14:paraId="60A356F7" w14:textId="5DD9F583" w:rsid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The macro marketing environment may be defined as forces of outside an organisation that influence the strategic decision of an organisation yet cannot be controlled by the said organisation. They are factors that are affecting the condition of the market, consumer behaviour and long run organisational performance</w:t>
      </w:r>
      <w:r w:rsidR="00F81AD3">
        <w:rPr>
          <w:rFonts w:ascii="Times New Roman" w:hAnsi="Times New Roman" w:cs="Times New Roman"/>
          <w:lang w:val="en-GB"/>
        </w:rPr>
        <w:t xml:space="preserve"> </w:t>
      </w:r>
      <w:r w:rsidR="00F81AD3" w:rsidRPr="00F81AD3">
        <w:rPr>
          <w:rFonts w:ascii="Times New Roman" w:hAnsi="Times New Roman" w:cs="Times New Roman"/>
        </w:rPr>
        <w:t>(Ali et al., 2023)</w:t>
      </w:r>
      <w:r w:rsidRPr="008F1F4A">
        <w:rPr>
          <w:rFonts w:ascii="Times New Roman" w:hAnsi="Times New Roman" w:cs="Times New Roman"/>
          <w:lang w:val="en-GB"/>
        </w:rPr>
        <w:t xml:space="preserve">. The marketers check the macro environment as it helps them to capture the opportunities, manage the risks and align the strategies with the trends in the external environment. The most prolific analytical model </w:t>
      </w:r>
      <w:r w:rsidRPr="008F1F4A">
        <w:rPr>
          <w:rFonts w:ascii="Times New Roman" w:hAnsi="Times New Roman" w:cs="Times New Roman"/>
          <w:lang w:val="en-GB"/>
        </w:rPr>
        <w:lastRenderedPageBreak/>
        <w:t>population leverages when considering these factors is PESTEL which is a force that explores Political, Economic, Social, Technological, Environmental, and Legal forces.</w:t>
      </w:r>
    </w:p>
    <w:p w14:paraId="4AFE4058" w14:textId="77777777" w:rsidR="005E4CE0" w:rsidRPr="00D821E8" w:rsidRDefault="005E4CE0" w:rsidP="005E4CE0">
      <w:pPr>
        <w:spacing w:line="360" w:lineRule="auto"/>
        <w:jc w:val="center"/>
        <w:rPr>
          <w:rFonts w:ascii="Times New Roman" w:hAnsi="Times New Roman" w:cs="Times New Roman"/>
        </w:rPr>
      </w:pPr>
      <w:r w:rsidRPr="00D821E8">
        <w:rPr>
          <w:rFonts w:ascii="Times New Roman" w:hAnsi="Times New Roman" w:cs="Times New Roman"/>
          <w:noProof/>
        </w:rPr>
        <w:drawing>
          <wp:inline distT="0" distB="0" distL="0" distR="0" wp14:anchorId="3901110C" wp14:editId="78F7CB8D">
            <wp:extent cx="5731510" cy="4499610"/>
            <wp:effectExtent l="0" t="0" r="0" b="0"/>
            <wp:docPr id="2043988238" name="Picture 1" descr="The Marketing Environment - The Marketing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rketing Environment - The Marketing Ma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499610"/>
                    </a:xfrm>
                    <a:prstGeom prst="rect">
                      <a:avLst/>
                    </a:prstGeom>
                    <a:noFill/>
                    <a:ln>
                      <a:noFill/>
                    </a:ln>
                  </pic:spPr>
                </pic:pic>
              </a:graphicData>
            </a:graphic>
          </wp:inline>
        </w:drawing>
      </w:r>
    </w:p>
    <w:p w14:paraId="16F75247" w14:textId="77777777" w:rsidR="005E4CE0" w:rsidRPr="00D821E8" w:rsidRDefault="005E4CE0" w:rsidP="005E4CE0">
      <w:pPr>
        <w:spacing w:line="360" w:lineRule="auto"/>
        <w:jc w:val="center"/>
        <w:rPr>
          <w:rFonts w:ascii="Times New Roman" w:hAnsi="Times New Roman" w:cs="Times New Roman"/>
          <w:b/>
          <w:bCs/>
        </w:rPr>
      </w:pPr>
      <w:r w:rsidRPr="00D821E8">
        <w:rPr>
          <w:rFonts w:ascii="Times New Roman" w:hAnsi="Times New Roman" w:cs="Times New Roman"/>
          <w:b/>
          <w:bCs/>
        </w:rPr>
        <w:t>Figure 1: Marketing Environment</w:t>
      </w:r>
    </w:p>
    <w:p w14:paraId="3AA17087" w14:textId="0AF8C154" w:rsidR="005E4CE0" w:rsidRPr="008F1F4A" w:rsidRDefault="005E4CE0" w:rsidP="005E4CE0">
      <w:pPr>
        <w:spacing w:line="360" w:lineRule="auto"/>
        <w:jc w:val="center"/>
        <w:rPr>
          <w:rFonts w:ascii="Times New Roman" w:hAnsi="Times New Roman" w:cs="Times New Roman"/>
        </w:rPr>
      </w:pPr>
      <w:r>
        <w:rPr>
          <w:rFonts w:ascii="Times New Roman" w:hAnsi="Times New Roman" w:cs="Times New Roman"/>
        </w:rPr>
        <w:t xml:space="preserve">(Source: </w:t>
      </w:r>
      <w:r w:rsidRPr="00D821E8">
        <w:rPr>
          <w:rFonts w:ascii="Times New Roman" w:hAnsi="Times New Roman" w:cs="Times New Roman"/>
        </w:rPr>
        <w:t>Dumouchel,</w:t>
      </w:r>
      <w:r>
        <w:rPr>
          <w:rFonts w:ascii="Times New Roman" w:hAnsi="Times New Roman" w:cs="Times New Roman"/>
        </w:rPr>
        <w:t xml:space="preserve"> </w:t>
      </w:r>
      <w:r w:rsidRPr="00D821E8">
        <w:rPr>
          <w:rFonts w:ascii="Times New Roman" w:hAnsi="Times New Roman" w:cs="Times New Roman"/>
        </w:rPr>
        <w:t>2025</w:t>
      </w:r>
      <w:r>
        <w:rPr>
          <w:rFonts w:ascii="Times New Roman" w:hAnsi="Times New Roman" w:cs="Times New Roman"/>
        </w:rPr>
        <w:t>)</w:t>
      </w:r>
    </w:p>
    <w:p w14:paraId="754C3D49" w14:textId="7407F881"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Legal and political factors are concerned with government regulations, trade policy and compliance which are the determinants of the freedom of the operation and freedom of risks. Demand and pricing strategies are influenced by the economic factors including rate of inflation, interest rates and obtained purchasing power of the consumers. The consumer value, the lifestyle preference and the demographic variations are among the trends, where social and cultural conditions come in effect to desired market division and product positioning. Technological forces generate an innovation, digital transformation, and competitive advantage that transform how organisations generate value</w:t>
      </w:r>
      <w:r w:rsidR="00F81AD3">
        <w:rPr>
          <w:rFonts w:ascii="Times New Roman" w:hAnsi="Times New Roman" w:cs="Times New Roman"/>
          <w:lang w:val="en-GB"/>
        </w:rPr>
        <w:t xml:space="preserve"> </w:t>
      </w:r>
      <w:r w:rsidR="00F81AD3" w:rsidRPr="00F81AD3">
        <w:rPr>
          <w:rFonts w:ascii="Times New Roman" w:hAnsi="Times New Roman" w:cs="Times New Roman"/>
        </w:rPr>
        <w:t>(Chemsripong, 2024)</w:t>
      </w:r>
      <w:r w:rsidRPr="008F1F4A">
        <w:rPr>
          <w:rFonts w:ascii="Times New Roman" w:hAnsi="Times New Roman" w:cs="Times New Roman"/>
          <w:lang w:val="en-GB"/>
        </w:rPr>
        <w:t>. The supply chain practices and brand reputation are increasingly affected by the environmental factors, including the climate in the context of sustainability and climate expectations.</w:t>
      </w:r>
    </w:p>
    <w:p w14:paraId="08D80785"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lastRenderedPageBreak/>
        <w:t>One should therefore understand the macro environment so as to be able to generate powerful marketing strategy. PESTEL analysis helps organisations to review externals forces in a methodical way, transition predictive and align their marketing choices to the competitive dynamic markets.</w:t>
      </w:r>
    </w:p>
    <w:p w14:paraId="62A51F4E" w14:textId="77777777" w:rsidR="008F1F4A" w:rsidRPr="008F1F4A" w:rsidRDefault="008F1F4A" w:rsidP="00D53438">
      <w:pPr>
        <w:pStyle w:val="Heading2"/>
      </w:pPr>
      <w:bookmarkStart w:id="6" w:name="_Toc211437172"/>
      <w:bookmarkStart w:id="7" w:name="_Toc214130707"/>
      <w:r w:rsidRPr="008F1F4A">
        <w:t>2.2 Selection of Two External Macro Marketing Actors</w:t>
      </w:r>
      <w:bookmarkEnd w:id="6"/>
      <w:bookmarkEnd w:id="7"/>
    </w:p>
    <w:p w14:paraId="73AED0B2" w14:textId="77777777" w:rsidR="008F1F4A" w:rsidRPr="008F1F4A" w:rsidRDefault="008F1F4A" w:rsidP="00CE310D">
      <w:pPr>
        <w:spacing w:line="360" w:lineRule="auto"/>
        <w:jc w:val="both"/>
        <w:rPr>
          <w:rFonts w:ascii="Times New Roman" w:hAnsi="Times New Roman" w:cs="Times New Roman"/>
          <w:b/>
          <w:bCs/>
          <w:i/>
          <w:iCs/>
          <w:lang w:val="en-GB"/>
        </w:rPr>
      </w:pPr>
      <w:r w:rsidRPr="008F1F4A">
        <w:rPr>
          <w:rFonts w:ascii="Times New Roman" w:hAnsi="Times New Roman" w:cs="Times New Roman"/>
          <w:b/>
          <w:bCs/>
          <w:i/>
          <w:iCs/>
          <w:lang w:val="en-GB"/>
        </w:rPr>
        <w:t>i. Technological Actor: Artificial Intelligence &amp; Marketing Technology</w:t>
      </w:r>
    </w:p>
    <w:p w14:paraId="148922F2" w14:textId="77777777" w:rsid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One of the important external players is the emergence of new technologies of advanced marketing, in this case, artificial intelligence (AI), machine learning, and data-driven marketing tools. According to Adobe (2025), 65 percent of top leaders are interested in the utilization of AI and predictive analytics as the primary developmental drivers. Similarly, a note by a commentator about the market contains an observation that hyper-personalisation, real-time data, voice search and integrated tech stacks are some of the marketing techs that have an impact on the 2025 marketing strategies. This agent influences how companies’ segment, target and interact with the people in consumer goods/retail industry: when a real-time personalisation engine or an algorithmically-based recommendation engine as a democratic convert with higher efficiency. The actor is relevant because actual application of these technologies by companies implies competitive edge (reduced cycle time, less resourceful media investment), and the laggards would have to play the chessboard in the digital economy. It also implies the transformations in the organisations (skills, data regulation, investment in technology) that are included into the marketing strategy.</w:t>
      </w:r>
    </w:p>
    <w:p w14:paraId="06679044" w14:textId="77777777" w:rsidR="005E4CE0" w:rsidRDefault="005E4CE0" w:rsidP="005E4CE0">
      <w:pPr>
        <w:spacing w:line="360" w:lineRule="auto"/>
        <w:jc w:val="center"/>
        <w:rPr>
          <w:rFonts w:ascii="Times New Roman" w:hAnsi="Times New Roman" w:cs="Times New Roman"/>
        </w:rPr>
      </w:pPr>
      <w:r>
        <w:rPr>
          <w:noProof/>
        </w:rPr>
        <w:lastRenderedPageBreak/>
        <w:drawing>
          <wp:inline distT="0" distB="0" distL="0" distR="0" wp14:anchorId="6DCF0FED" wp14:editId="3BA2F62D">
            <wp:extent cx="5381625" cy="4781550"/>
            <wp:effectExtent l="0" t="0" r="9525" b="0"/>
            <wp:docPr id="1132624220" name="Picture 3" descr="AI-powered marketing: What, where, and how?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I-powered marketing: What, where, and how? - ScienceDi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1625" cy="4781550"/>
                    </a:xfrm>
                    <a:prstGeom prst="rect">
                      <a:avLst/>
                    </a:prstGeom>
                    <a:noFill/>
                    <a:ln>
                      <a:noFill/>
                    </a:ln>
                  </pic:spPr>
                </pic:pic>
              </a:graphicData>
            </a:graphic>
          </wp:inline>
        </w:drawing>
      </w:r>
    </w:p>
    <w:p w14:paraId="4E163647" w14:textId="77777777" w:rsidR="005E4CE0" w:rsidRPr="0012230D" w:rsidRDefault="005E4CE0" w:rsidP="005E4CE0">
      <w:pPr>
        <w:spacing w:line="360" w:lineRule="auto"/>
        <w:jc w:val="center"/>
        <w:rPr>
          <w:rFonts w:ascii="Times New Roman" w:hAnsi="Times New Roman" w:cs="Times New Roman"/>
          <w:b/>
          <w:bCs/>
        </w:rPr>
      </w:pPr>
      <w:r w:rsidRPr="0012230D">
        <w:rPr>
          <w:rFonts w:ascii="Times New Roman" w:hAnsi="Times New Roman" w:cs="Times New Roman"/>
          <w:b/>
          <w:bCs/>
        </w:rPr>
        <w:t>Figure 2: AI Driven Marketing Capabilities</w:t>
      </w:r>
    </w:p>
    <w:p w14:paraId="37A9C140" w14:textId="2B75C69E" w:rsidR="005E4CE0" w:rsidRPr="008F1F4A" w:rsidRDefault="005E4CE0" w:rsidP="005E4CE0">
      <w:pPr>
        <w:spacing w:line="360" w:lineRule="auto"/>
        <w:jc w:val="center"/>
        <w:rPr>
          <w:rFonts w:ascii="Times New Roman" w:hAnsi="Times New Roman" w:cs="Times New Roman"/>
        </w:rPr>
      </w:pPr>
      <w:r>
        <w:rPr>
          <w:rFonts w:ascii="Times New Roman" w:hAnsi="Times New Roman" w:cs="Times New Roman"/>
        </w:rPr>
        <w:t xml:space="preserve">(Source: </w:t>
      </w:r>
      <w:r w:rsidRPr="0012230D">
        <w:rPr>
          <w:rFonts w:ascii="Times New Roman" w:hAnsi="Times New Roman" w:cs="Times New Roman"/>
        </w:rPr>
        <w:t>Kumar</w:t>
      </w:r>
      <w:r>
        <w:rPr>
          <w:rFonts w:ascii="Times New Roman" w:hAnsi="Times New Roman" w:cs="Times New Roman"/>
        </w:rPr>
        <w:t xml:space="preserve"> et al., 2024)</w:t>
      </w:r>
    </w:p>
    <w:p w14:paraId="6C0E4F24" w14:textId="77777777" w:rsidR="008F1F4A" w:rsidRPr="008F1F4A" w:rsidRDefault="008F1F4A" w:rsidP="00CE310D">
      <w:pPr>
        <w:spacing w:line="360" w:lineRule="auto"/>
        <w:jc w:val="both"/>
        <w:rPr>
          <w:rFonts w:ascii="Times New Roman" w:hAnsi="Times New Roman" w:cs="Times New Roman"/>
          <w:b/>
          <w:bCs/>
          <w:i/>
          <w:iCs/>
          <w:lang w:val="en-GB"/>
        </w:rPr>
      </w:pPr>
      <w:r w:rsidRPr="008F1F4A">
        <w:rPr>
          <w:rFonts w:ascii="Times New Roman" w:hAnsi="Times New Roman" w:cs="Times New Roman"/>
          <w:b/>
          <w:bCs/>
          <w:i/>
          <w:iCs/>
          <w:lang w:val="en-GB"/>
        </w:rPr>
        <w:t>ii. Environmental Actor: Sustainability &amp; Environmental Regulation</w:t>
      </w:r>
    </w:p>
    <w:p w14:paraId="7BFEFEE0" w14:textId="298C6384" w:rsid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Another external actor is the growing concern with environmental sustainability and the corresponding pressure on the regulations. The different estimates indicate that the environmental technology market in India alone would approximate USD 23 billion by the year 2023 taking note of the increase in environmental regulation within the corporate sustainability programs and the awareness level</w:t>
      </w:r>
      <w:r w:rsidR="00F81AD3">
        <w:rPr>
          <w:rFonts w:ascii="Times New Roman" w:hAnsi="Times New Roman" w:cs="Times New Roman"/>
          <w:lang w:val="en-GB"/>
        </w:rPr>
        <w:t xml:space="preserve"> </w:t>
      </w:r>
      <w:r w:rsidR="00F81AD3" w:rsidRPr="00F81AD3">
        <w:rPr>
          <w:rFonts w:ascii="Times New Roman" w:hAnsi="Times New Roman" w:cs="Times New Roman"/>
        </w:rPr>
        <w:t>(Ken Research, 2024</w:t>
      </w:r>
      <w:r w:rsidR="00F81AD3">
        <w:rPr>
          <w:rFonts w:ascii="Times New Roman" w:hAnsi="Times New Roman" w:cs="Times New Roman"/>
          <w:lang w:val="en-GB"/>
        </w:rPr>
        <w:t>)</w:t>
      </w:r>
      <w:r w:rsidRPr="008F1F4A">
        <w:rPr>
          <w:rFonts w:ascii="Times New Roman" w:hAnsi="Times New Roman" w:cs="Times New Roman"/>
          <w:lang w:val="en-GB"/>
        </w:rPr>
        <w:t xml:space="preserve">. The impact of this actor on the practices applied to marketing is as follows: consumers are increasingly more demanding of green brands (green marketing) and businesses must take notice of their guidelines (waste disposal, emissions, eco-labelling). In consumer goods/retail case, this is doubled, it affects marketing plan in the following way: (a) product positioning (green, sustainable packaging) and (b) the supply chain/brand image threat (non-conformity will make the brand suffer). The </w:t>
      </w:r>
      <w:r w:rsidRPr="008F1F4A">
        <w:rPr>
          <w:rFonts w:ascii="Times New Roman" w:hAnsi="Times New Roman" w:cs="Times New Roman"/>
          <w:lang w:val="en-GB"/>
        </w:rPr>
        <w:lastRenderedPageBreak/>
        <w:t>actor is modern and powerful because now its influence is not on the margins of the consumer decision-making and regulator frameworks but is at its heart and, therefore, is the tactical aspect that should be taken into consideration in the marketing planning.</w:t>
      </w:r>
    </w:p>
    <w:p w14:paraId="6948F06E" w14:textId="77777777" w:rsidR="005E4CE0" w:rsidRDefault="005E4CE0" w:rsidP="005E4CE0">
      <w:pPr>
        <w:spacing w:line="360" w:lineRule="auto"/>
        <w:jc w:val="center"/>
        <w:rPr>
          <w:rFonts w:ascii="Times New Roman" w:hAnsi="Times New Roman" w:cs="Times New Roman"/>
        </w:rPr>
      </w:pPr>
      <w:r>
        <w:rPr>
          <w:noProof/>
        </w:rPr>
        <w:drawing>
          <wp:inline distT="0" distB="0" distL="0" distR="0" wp14:anchorId="6B97F3C6" wp14:editId="068609FB">
            <wp:extent cx="3666947" cy="3743325"/>
            <wp:effectExtent l="0" t="0" r="0" b="0"/>
            <wp:docPr id="2031576992" name="Picture 4" descr="Sustainable Environmental Technologies: Recent Development, Opportunities,  and Key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le Environmental Technologies: Recent Development, Opportunities,  and Key Challen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9220" cy="3745646"/>
                    </a:xfrm>
                    <a:prstGeom prst="rect">
                      <a:avLst/>
                    </a:prstGeom>
                    <a:noFill/>
                    <a:ln>
                      <a:noFill/>
                    </a:ln>
                  </pic:spPr>
                </pic:pic>
              </a:graphicData>
            </a:graphic>
          </wp:inline>
        </w:drawing>
      </w:r>
    </w:p>
    <w:p w14:paraId="2E3C9649" w14:textId="77777777" w:rsidR="005E4CE0" w:rsidRPr="0012230D" w:rsidRDefault="005E4CE0" w:rsidP="005E4CE0">
      <w:pPr>
        <w:spacing w:line="360" w:lineRule="auto"/>
        <w:jc w:val="center"/>
        <w:rPr>
          <w:rFonts w:ascii="Times New Roman" w:hAnsi="Times New Roman" w:cs="Times New Roman"/>
          <w:b/>
          <w:bCs/>
        </w:rPr>
      </w:pPr>
      <w:r w:rsidRPr="0012230D">
        <w:rPr>
          <w:rFonts w:ascii="Times New Roman" w:hAnsi="Times New Roman" w:cs="Times New Roman"/>
          <w:b/>
          <w:bCs/>
        </w:rPr>
        <w:t>Figure 3: Sustainable Environmental Technology</w:t>
      </w:r>
    </w:p>
    <w:p w14:paraId="794BBAC4" w14:textId="76C2B890" w:rsidR="005E4CE0" w:rsidRPr="008F1F4A" w:rsidRDefault="005E4CE0" w:rsidP="005E4CE0">
      <w:pPr>
        <w:spacing w:line="360" w:lineRule="auto"/>
        <w:jc w:val="center"/>
        <w:rPr>
          <w:rFonts w:ascii="Times New Roman" w:hAnsi="Times New Roman" w:cs="Times New Roman"/>
        </w:rPr>
      </w:pPr>
      <w:r>
        <w:rPr>
          <w:rFonts w:ascii="Times New Roman" w:hAnsi="Times New Roman" w:cs="Times New Roman"/>
        </w:rPr>
        <w:t xml:space="preserve">(Source: </w:t>
      </w:r>
      <w:r w:rsidRPr="0012230D">
        <w:rPr>
          <w:rFonts w:ascii="Times New Roman" w:hAnsi="Times New Roman" w:cs="Times New Roman"/>
        </w:rPr>
        <w:t>Sahoo</w:t>
      </w:r>
      <w:r>
        <w:rPr>
          <w:rFonts w:ascii="Times New Roman" w:hAnsi="Times New Roman" w:cs="Times New Roman"/>
        </w:rPr>
        <w:t xml:space="preserve"> et al., 2024)</w:t>
      </w:r>
    </w:p>
    <w:p w14:paraId="0084DFAC" w14:textId="46BD2FDB" w:rsidR="008F1F4A" w:rsidRPr="008F1F4A" w:rsidRDefault="008F1F4A" w:rsidP="00F81AD3">
      <w:pPr>
        <w:pStyle w:val="Heading2"/>
      </w:pPr>
      <w:bookmarkStart w:id="8" w:name="_Toc211437173"/>
      <w:bookmarkStart w:id="9" w:name="_Toc214130708"/>
      <w:r w:rsidRPr="008F1F4A">
        <w:t>2.3 Critical Analysis of Each Actor</w:t>
      </w:r>
      <w:bookmarkStart w:id="10" w:name="_Toc211437174"/>
      <w:bookmarkEnd w:id="8"/>
      <w:bookmarkEnd w:id="9"/>
    </w:p>
    <w:p w14:paraId="04858C8D" w14:textId="77777777" w:rsidR="008F1F4A" w:rsidRPr="008F1F4A" w:rsidRDefault="008F1F4A" w:rsidP="00CE310D">
      <w:pPr>
        <w:spacing w:line="360" w:lineRule="auto"/>
        <w:jc w:val="both"/>
        <w:rPr>
          <w:rFonts w:ascii="Times New Roman" w:hAnsi="Times New Roman" w:cs="Times New Roman"/>
          <w:b/>
          <w:bCs/>
          <w:i/>
          <w:iCs/>
          <w:lang w:val="en-GB"/>
        </w:rPr>
      </w:pPr>
      <w:r w:rsidRPr="008F1F4A">
        <w:rPr>
          <w:rFonts w:ascii="Times New Roman" w:hAnsi="Times New Roman" w:cs="Times New Roman"/>
          <w:b/>
          <w:bCs/>
          <w:i/>
          <w:iCs/>
          <w:lang w:val="en-GB"/>
        </w:rPr>
        <w:t>i. Technological actor - AI &amp; marketing tech</w:t>
      </w:r>
    </w:p>
    <w:p w14:paraId="126DA025" w14:textId="29978BBD" w:rsid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 xml:space="preserve">The proclamation of AI-influenced marketing (predictive analytics, generative content, personalization engines) causes both beneficial and detrimental effects on the first mover and late entrants in disproportionately positive and negative ratios. Startups (e.g. WPP working with Google; IBM testing Adobe Firefly) who have embraced AI at scale are able to lower the cost of creative production, speed up campaign optimization, and deliver highly-personalised experiences that enhance engagement and conversion- the deal WPP had with Google and the pilot project IBM tried record significant improvements and strategic access to the state-of-the-art tools. However, early adoption has its own high initial cost, data handling and legal threats (IP, deepfake concerns) and insufficient competence. The followers receive less time: they will be able to read the playbooks of progenitors and commoditised artificial intelligence tools </w:t>
      </w:r>
      <w:r w:rsidRPr="008F1F4A">
        <w:rPr>
          <w:rFonts w:ascii="Times New Roman" w:hAnsi="Times New Roman" w:cs="Times New Roman"/>
          <w:lang w:val="en-GB"/>
        </w:rPr>
        <w:lastRenderedPageBreak/>
        <w:t>(Adobe reports that lots of companies are shifting over to AI platforms), yet they will have to confront receiving fewer benefits of proprietary data and loss of brand-level trust in case their implementation is not a seamless one</w:t>
      </w:r>
      <w:r w:rsidR="00F81AD3">
        <w:rPr>
          <w:rFonts w:ascii="Times New Roman" w:hAnsi="Times New Roman" w:cs="Times New Roman"/>
          <w:lang w:val="en-GB"/>
        </w:rPr>
        <w:t xml:space="preserve"> </w:t>
      </w:r>
      <w:r w:rsidR="00F81AD3" w:rsidRPr="00F81AD3">
        <w:rPr>
          <w:rFonts w:ascii="Times New Roman" w:hAnsi="Times New Roman" w:cs="Times New Roman"/>
        </w:rPr>
        <w:t>(Saura, 2021)</w:t>
      </w:r>
      <w:r w:rsidRPr="008F1F4A">
        <w:rPr>
          <w:rFonts w:ascii="Times New Roman" w:hAnsi="Times New Roman" w:cs="Times New Roman"/>
          <w:lang w:val="en-GB"/>
        </w:rPr>
        <w:t>. Tactically, pioneers must invest in data architecture, measurement and ethical guardrails to avoid falling prey to outflanking, whereas raised in partnerships and customer trust signs, but not data architecture, is more valuable to the followers.</w:t>
      </w:r>
    </w:p>
    <w:p w14:paraId="707FD225" w14:textId="77777777" w:rsidR="00555B99" w:rsidRDefault="00555B99" w:rsidP="00555B99">
      <w:pPr>
        <w:spacing w:line="360" w:lineRule="auto"/>
        <w:jc w:val="center"/>
        <w:rPr>
          <w:rFonts w:ascii="Times New Roman" w:hAnsi="Times New Roman" w:cs="Times New Roman"/>
        </w:rPr>
      </w:pPr>
      <w:r w:rsidRPr="0012230D">
        <w:rPr>
          <w:rFonts w:ascii="Times New Roman" w:hAnsi="Times New Roman" w:cs="Times New Roman"/>
          <w:noProof/>
        </w:rPr>
        <w:drawing>
          <wp:inline distT="0" distB="0" distL="0" distR="0" wp14:anchorId="039C1157" wp14:editId="1551E8F6">
            <wp:extent cx="5731510" cy="2938145"/>
            <wp:effectExtent l="0" t="0" r="2540" b="0"/>
            <wp:docPr id="187562125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21258" name="Picture 1" descr="A diagram of a process&#10;&#10;AI-generated content may be incorrect."/>
                    <pic:cNvPicPr/>
                  </pic:nvPicPr>
                  <pic:blipFill>
                    <a:blip r:embed="rId11"/>
                    <a:stretch>
                      <a:fillRect/>
                    </a:stretch>
                  </pic:blipFill>
                  <pic:spPr>
                    <a:xfrm>
                      <a:off x="0" y="0"/>
                      <a:ext cx="5731510" cy="2938145"/>
                    </a:xfrm>
                    <a:prstGeom prst="rect">
                      <a:avLst/>
                    </a:prstGeom>
                  </pic:spPr>
                </pic:pic>
              </a:graphicData>
            </a:graphic>
          </wp:inline>
        </w:drawing>
      </w:r>
    </w:p>
    <w:p w14:paraId="72ADCF7F" w14:textId="77777777" w:rsidR="00555B99" w:rsidRPr="0003056B" w:rsidRDefault="00555B99" w:rsidP="00555B99">
      <w:pPr>
        <w:spacing w:line="360" w:lineRule="auto"/>
        <w:jc w:val="center"/>
        <w:rPr>
          <w:rFonts w:ascii="Times New Roman" w:hAnsi="Times New Roman" w:cs="Times New Roman"/>
          <w:b/>
          <w:bCs/>
        </w:rPr>
      </w:pPr>
      <w:r w:rsidRPr="0003056B">
        <w:rPr>
          <w:rFonts w:ascii="Times New Roman" w:hAnsi="Times New Roman" w:cs="Times New Roman"/>
          <w:b/>
          <w:bCs/>
        </w:rPr>
        <w:t>Figure 4: Implementation of AI in Marketing</w:t>
      </w:r>
    </w:p>
    <w:p w14:paraId="10C0D05C" w14:textId="45445292" w:rsidR="00555B99" w:rsidRPr="008F1F4A" w:rsidRDefault="00555B99" w:rsidP="00555B99">
      <w:pPr>
        <w:spacing w:line="360" w:lineRule="auto"/>
        <w:jc w:val="center"/>
        <w:rPr>
          <w:rFonts w:ascii="Times New Roman" w:hAnsi="Times New Roman" w:cs="Times New Roman"/>
        </w:rPr>
      </w:pPr>
      <w:r>
        <w:rPr>
          <w:rFonts w:ascii="Times New Roman" w:hAnsi="Times New Roman" w:cs="Times New Roman"/>
        </w:rPr>
        <w:t xml:space="preserve">(Source: </w:t>
      </w:r>
      <w:r w:rsidRPr="0003056B">
        <w:rPr>
          <w:rFonts w:ascii="Times New Roman" w:hAnsi="Times New Roman" w:cs="Times New Roman"/>
        </w:rPr>
        <w:t>Appinventiv</w:t>
      </w:r>
      <w:r>
        <w:rPr>
          <w:rFonts w:ascii="Times New Roman" w:hAnsi="Times New Roman" w:cs="Times New Roman"/>
        </w:rPr>
        <w:t xml:space="preserve">, </w:t>
      </w:r>
      <w:r w:rsidRPr="0003056B">
        <w:rPr>
          <w:rFonts w:ascii="Times New Roman" w:hAnsi="Times New Roman" w:cs="Times New Roman"/>
        </w:rPr>
        <w:t>2025</w:t>
      </w:r>
      <w:r>
        <w:rPr>
          <w:rFonts w:ascii="Times New Roman" w:hAnsi="Times New Roman" w:cs="Times New Roman"/>
        </w:rPr>
        <w:t>)</w:t>
      </w:r>
    </w:p>
    <w:p w14:paraId="12A55CC8" w14:textId="77777777" w:rsidR="008F1F4A" w:rsidRPr="008F1F4A" w:rsidRDefault="008F1F4A" w:rsidP="00CE310D">
      <w:pPr>
        <w:spacing w:line="360" w:lineRule="auto"/>
        <w:jc w:val="both"/>
        <w:rPr>
          <w:rFonts w:ascii="Times New Roman" w:hAnsi="Times New Roman" w:cs="Times New Roman"/>
          <w:b/>
          <w:bCs/>
          <w:i/>
          <w:iCs/>
          <w:lang w:val="en-GB"/>
        </w:rPr>
      </w:pPr>
      <w:r w:rsidRPr="008F1F4A">
        <w:rPr>
          <w:rFonts w:ascii="Times New Roman" w:hAnsi="Times New Roman" w:cs="Times New Roman"/>
          <w:b/>
          <w:bCs/>
          <w:i/>
          <w:iCs/>
          <w:lang w:val="en-GB"/>
        </w:rPr>
        <w:t>ii. Environmental actor - Sustainability &amp; regulation</w:t>
      </w:r>
    </w:p>
    <w:p w14:paraId="2B598FE1" w14:textId="0E749914" w:rsidR="008F1F4A" w:rsidRPr="008F1F4A" w:rsidRDefault="008F1F4A" w:rsidP="00CE310D">
      <w:pPr>
        <w:spacing w:line="360" w:lineRule="auto"/>
        <w:jc w:val="both"/>
        <w:rPr>
          <w:rFonts w:ascii="Times New Roman" w:hAnsi="Times New Roman" w:cs="Times New Roman"/>
        </w:rPr>
      </w:pPr>
      <w:r w:rsidRPr="008F1F4A">
        <w:rPr>
          <w:rFonts w:ascii="Times New Roman" w:hAnsi="Times New Roman" w:cs="Times New Roman"/>
        </w:rPr>
        <w:t>The supply is mandated and market opportunities exist as a result of the growing regulation pressure and the trend of consumers growing more likely to favour a sustainable product. Major giants, which are actively engaged in sustainability (e.g., the promises and report of Unilever) transform compliance into the brand differentiation and can get the premium which the consumers are willing to pay (the average willingness to pay reached by PwC was 9.7% higher on average). First movers that redesign supply chains, invest in both circulating packaging and transparent reporting can curtail the long-term regulatory risk and conscious consumer lock-in, as well as address supply chain complexity and short-term cost recovery</w:t>
      </w:r>
      <w:r w:rsidR="00F81AD3">
        <w:rPr>
          <w:rFonts w:ascii="Times New Roman" w:hAnsi="Times New Roman" w:cs="Times New Roman"/>
        </w:rPr>
        <w:t xml:space="preserve"> </w:t>
      </w:r>
      <w:r w:rsidR="00F81AD3" w:rsidRPr="00F81AD3">
        <w:rPr>
          <w:rFonts w:ascii="Times New Roman" w:hAnsi="Times New Roman" w:cs="Times New Roman"/>
        </w:rPr>
        <w:t>(Wood et al., 2021)</w:t>
      </w:r>
      <w:r w:rsidRPr="008F1F4A">
        <w:rPr>
          <w:rFonts w:ascii="Times New Roman" w:hAnsi="Times New Roman" w:cs="Times New Roman"/>
        </w:rPr>
        <w:t xml:space="preserve">. The people who find themselves late and face reputational and administrative penalties due to new regulations being formulated (EU/industry on green claims and waste) the later the better and more costly it will be proved. To counter with the pioneers, and the confirmed claims and </w:t>
      </w:r>
      <w:r w:rsidRPr="008F1F4A">
        <w:rPr>
          <w:rFonts w:ascii="Times New Roman" w:hAnsi="Times New Roman" w:cs="Times New Roman"/>
        </w:rPr>
        <w:lastRenderedPageBreak/>
        <w:t>lifecycle marketing as a strategic approach should base the product innovation on sustainability which should be a priority of the followers, and partnership with certified suppliers and open dialogue as well; incremental compliance would become a priority of the followers, too, to regain trust.</w:t>
      </w:r>
    </w:p>
    <w:p w14:paraId="25F1621D" w14:textId="5E57AD06" w:rsidR="008F1F4A" w:rsidRPr="008F1F4A" w:rsidRDefault="008F1F4A" w:rsidP="00F81AD3">
      <w:pPr>
        <w:pStyle w:val="Heading1"/>
      </w:pPr>
      <w:bookmarkStart w:id="11" w:name="_Toc214130709"/>
      <w:r w:rsidRPr="008F1F4A">
        <w:t>3. Task 2: Strategic Responses of Pioneering and Follower Organisations</w:t>
      </w:r>
      <w:bookmarkEnd w:id="10"/>
      <w:bookmarkEnd w:id="11"/>
    </w:p>
    <w:p w14:paraId="384DAEEE" w14:textId="77777777" w:rsidR="008F1F4A" w:rsidRPr="008F1F4A" w:rsidRDefault="008F1F4A" w:rsidP="00F81AD3">
      <w:pPr>
        <w:pStyle w:val="Heading2"/>
      </w:pPr>
      <w:bookmarkStart w:id="12" w:name="_Toc211437175"/>
      <w:bookmarkStart w:id="13" w:name="_Toc214130710"/>
      <w:r w:rsidRPr="008F1F4A">
        <w:t>3.1 Pioneering Organisations’ Strategic Responses</w:t>
      </w:r>
      <w:bookmarkEnd w:id="12"/>
      <w:bookmarkEnd w:id="13"/>
    </w:p>
    <w:p w14:paraId="173CA360"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Innovative organisations are leaders who respond to the trends of external opportunities and threats frequently by engaging in active innovation-oriented strategies which maximize competitive extremities as well as market expectations. Such models as the Growth Matrix that is offered by Ansoff and the Generic Strategies that are offered by Porter can be used to analytically reflect on their practices.</w:t>
      </w:r>
    </w:p>
    <w:p w14:paraId="0C545539" w14:textId="4D82218B"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Ansoff The pioneers are the common target of product development and diversification which are usually in response to either a technological or an environmental threat. Speaking of only one example, these corporations as Tesla and Apple can afford to spend vast amounts of money on research and development to launch disruptive products first before their competitors, the electric vehicles with more AI features or embedded digital platforms</w:t>
      </w:r>
      <w:r w:rsidR="00F81AD3">
        <w:rPr>
          <w:rFonts w:ascii="Times New Roman" w:hAnsi="Times New Roman" w:cs="Times New Roman"/>
          <w:lang w:val="en-GB"/>
        </w:rPr>
        <w:t xml:space="preserve"> </w:t>
      </w:r>
      <w:r w:rsidR="00F81AD3" w:rsidRPr="00F81AD3">
        <w:rPr>
          <w:rFonts w:ascii="Times New Roman" w:hAnsi="Times New Roman" w:cs="Times New Roman"/>
        </w:rPr>
        <w:t>(Shahmohammadi, 2021)</w:t>
      </w:r>
      <w:r w:rsidRPr="008F1F4A">
        <w:rPr>
          <w:rFonts w:ascii="Times New Roman" w:hAnsi="Times New Roman" w:cs="Times New Roman"/>
          <w:lang w:val="en-GB"/>
        </w:rPr>
        <w:t>. Such approach of the strategies allows first-movers to reassess and even redefine the expectations of consumers, set a premium price, and earn an early market share. The second approach used by innovators is to market development in which the player enters new high development regions or divisions that are responsive to technological advancement or sustainability. It will cause companies to usurp new demand before there could be momentum in the followers.</w:t>
      </w:r>
    </w:p>
    <w:p w14:paraId="1A5619CA" w14:textId="6B00B712"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Under the past the pioneers are assumed to initiate differentiation with distinct value creation generally by design, technology, sustainability recommendation or customer encounter as Porter states using the Generic Strategies</w:t>
      </w:r>
      <w:r w:rsidR="00F81AD3">
        <w:rPr>
          <w:rFonts w:ascii="Times New Roman" w:hAnsi="Times New Roman" w:cs="Times New Roman"/>
          <w:lang w:val="en-GB"/>
        </w:rPr>
        <w:t xml:space="preserve"> </w:t>
      </w:r>
      <w:r w:rsidR="00F81AD3" w:rsidRPr="00F81AD3">
        <w:rPr>
          <w:rFonts w:ascii="Times New Roman" w:hAnsi="Times New Roman" w:cs="Times New Roman"/>
        </w:rPr>
        <w:t>(Sharma, 2021)</w:t>
      </w:r>
      <w:r w:rsidRPr="008F1F4A">
        <w:rPr>
          <w:rFonts w:ascii="Times New Roman" w:hAnsi="Times New Roman" w:cs="Times New Roman"/>
          <w:lang w:val="en-GB"/>
        </w:rPr>
        <w:t>. Unilever has sustainable brands, such as recyclable material with lifecycle disclosure as an example, which were the reaction of the pioneers to the environmental forces by incorporating sustainability in core positioning. And, moving on the same point, retail digital innovators, such as Amazon, differentiate based on the innovations of logistics, predictive analytics, and personalised services. It is an expensive long-term investment in its differentiation strategy, but at the same time, the pioneers will have an opportunity to justify a larger margin, a greater brand trust and a difference in the competitive gap.</w:t>
      </w:r>
    </w:p>
    <w:p w14:paraId="7428290E" w14:textId="76355025"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lastRenderedPageBreak/>
        <w:t>Some pioneers use technological efficiencies by cost leadership also. Dyson is an illustrative case of artificial intelligence, and, in this case, the company is less expensive to operate and sell its products by applying artificial intelligence methods like automation and deep-learning decision processes and lean production</w:t>
      </w:r>
      <w:r w:rsidR="00F81AD3">
        <w:rPr>
          <w:rFonts w:ascii="Times New Roman" w:hAnsi="Times New Roman" w:cs="Times New Roman"/>
          <w:lang w:val="en-GB"/>
        </w:rPr>
        <w:t xml:space="preserve"> </w:t>
      </w:r>
      <w:r w:rsidR="00F81AD3" w:rsidRPr="00F81AD3">
        <w:rPr>
          <w:rFonts w:ascii="Times New Roman" w:hAnsi="Times New Roman" w:cs="Times New Roman"/>
        </w:rPr>
        <w:t>(Zaid and Garai, 2024)</w:t>
      </w:r>
      <w:r w:rsidRPr="008F1F4A">
        <w:rPr>
          <w:rFonts w:ascii="Times New Roman" w:hAnsi="Times New Roman" w:cs="Times New Roman"/>
          <w:lang w:val="en-GB"/>
        </w:rPr>
        <w:t>. The two benefits of this reduction of prices and greater value generation allow leaders to generate a greater market power even in the example of leaders, who intend to imitate the pioneers.</w:t>
      </w:r>
    </w:p>
    <w:p w14:paraId="43BBF3A6" w14:textId="56E6FC6C"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The first mover companies, in terms of strategy also uphold the rigid capability building that promises them a re-organization of resources to rapid changes in macro-environment. This includes committing in talent, rapid structures, scientific AI managing and enduring supply-chain reformation</w:t>
      </w:r>
      <w:r w:rsidR="00F81AD3">
        <w:rPr>
          <w:rFonts w:ascii="Times New Roman" w:hAnsi="Times New Roman" w:cs="Times New Roman"/>
          <w:lang w:val="en-GB"/>
        </w:rPr>
        <w:t xml:space="preserve"> </w:t>
      </w:r>
      <w:r w:rsidR="00F81AD3" w:rsidRPr="00F81AD3">
        <w:rPr>
          <w:rFonts w:ascii="Times New Roman" w:hAnsi="Times New Roman" w:cs="Times New Roman"/>
        </w:rPr>
        <w:t>(Bayighomog Likoum et al., 2020)</w:t>
      </w:r>
      <w:r w:rsidRPr="008F1F4A">
        <w:rPr>
          <w:rFonts w:ascii="Times New Roman" w:hAnsi="Times New Roman" w:cs="Times New Roman"/>
          <w:lang w:val="en-GB"/>
        </w:rPr>
        <w:t>. They also lead in terms of innovation whereby they determine how the industry can be regulated where the standards must be adhered to.</w:t>
      </w:r>
    </w:p>
    <w:p w14:paraId="1C7F00FF" w14:textId="0D00827D"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In general, all innovative organisations respond to the macro-environmental conditions by taking risks, developing technological and environmental changes, and implementing the strategic models as the blueprint of innovation-based development</w:t>
      </w:r>
      <w:r w:rsidR="00F81AD3">
        <w:rPr>
          <w:rFonts w:ascii="Times New Roman" w:hAnsi="Times New Roman" w:cs="Times New Roman"/>
          <w:lang w:val="en-GB"/>
        </w:rPr>
        <w:t xml:space="preserve"> </w:t>
      </w:r>
      <w:r w:rsidR="00F81AD3" w:rsidRPr="00F81AD3">
        <w:rPr>
          <w:rFonts w:ascii="Times New Roman" w:hAnsi="Times New Roman" w:cs="Times New Roman"/>
        </w:rPr>
        <w:t>(Omol</w:t>
      </w:r>
      <w:r w:rsidR="00F81AD3">
        <w:rPr>
          <w:rFonts w:ascii="Times New Roman" w:hAnsi="Times New Roman" w:cs="Times New Roman"/>
        </w:rPr>
        <w:t xml:space="preserve"> et al.,</w:t>
      </w:r>
      <w:r w:rsidR="00F81AD3" w:rsidRPr="00F81AD3">
        <w:rPr>
          <w:rFonts w:ascii="Times New Roman" w:hAnsi="Times New Roman" w:cs="Times New Roman"/>
        </w:rPr>
        <w:t xml:space="preserve"> 2024)</w:t>
      </w:r>
      <w:r w:rsidRPr="008F1F4A">
        <w:rPr>
          <w:rFonts w:ascii="Times New Roman" w:hAnsi="Times New Roman" w:cs="Times New Roman"/>
          <w:lang w:val="en-GB"/>
        </w:rPr>
        <w:t>. The capacity to capture the first-mover advantage and influence the market trend and establish a competitive long-term stability is their aggressiveness and it is scarcely emulated by the followers.</w:t>
      </w:r>
    </w:p>
    <w:p w14:paraId="4F55FA5F" w14:textId="77777777" w:rsidR="008F1F4A" w:rsidRPr="008F1F4A" w:rsidRDefault="008F1F4A" w:rsidP="00F81AD3">
      <w:pPr>
        <w:pStyle w:val="Heading2"/>
      </w:pPr>
      <w:bookmarkStart w:id="14" w:name="_Toc211437176"/>
      <w:bookmarkStart w:id="15" w:name="_Toc214130711"/>
      <w:r w:rsidRPr="008F1F4A">
        <w:t>3.2 Follower Organisations’ Strategic Responses</w:t>
      </w:r>
      <w:bookmarkStart w:id="16" w:name="_Toc211437177"/>
      <w:bookmarkEnd w:id="14"/>
      <w:bookmarkEnd w:id="15"/>
    </w:p>
    <w:p w14:paraId="3072F025"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The follower organisations are more responsive to the external opportunity, as well as threats more than pioneers and tend to form risk-averse, cost-efficient and adaptive strategies. Their strategic responses are accessible to critical analysis by the use of the Ansoff Growth Matrix and Porters Generic Strategies, by indicating to the followers the ability to follow through the market emanated by the innovative firms.</w:t>
      </w:r>
    </w:p>
    <w:p w14:paraId="447388EB" w14:textId="5E82B9D0"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In Ansoff Growth Matrix, market penetration and product development has the most prevalent use among the followers in comparison to radical diversification. This makes the supporters tend to hold on to observe the innovations that are embraced by pioneers in the market before committing their resources. E.g. in the retail and FMCG sector, Aldi and Lidl brands can be discussed as a good example of implementing successful product innovations provided by the pioneers yet at a lower price</w:t>
      </w:r>
      <w:r w:rsidR="00F81AD3">
        <w:rPr>
          <w:rFonts w:ascii="Times New Roman" w:hAnsi="Times New Roman" w:cs="Times New Roman"/>
          <w:lang w:val="en-GB"/>
        </w:rPr>
        <w:t xml:space="preserve"> </w:t>
      </w:r>
      <w:r w:rsidR="00F81AD3" w:rsidRPr="00F81AD3">
        <w:rPr>
          <w:rFonts w:ascii="Times New Roman" w:hAnsi="Times New Roman" w:cs="Times New Roman"/>
        </w:rPr>
        <w:t>(de Waal-Andrews and van Vugt, 2020)</w:t>
      </w:r>
      <w:r w:rsidRPr="008F1F4A">
        <w:rPr>
          <w:rFonts w:ascii="Times New Roman" w:hAnsi="Times New Roman" w:cs="Times New Roman"/>
          <w:lang w:val="en-GB"/>
        </w:rPr>
        <w:t xml:space="preserve">. The impact of this fast-follower strategy is a less risky one, but it could also compete in terms of the growth segments. The followers are also involved in the incremental development of the products i.e. only after </w:t>
      </w:r>
      <w:r w:rsidRPr="008F1F4A">
        <w:rPr>
          <w:rFonts w:ascii="Times New Roman" w:hAnsi="Times New Roman" w:cs="Times New Roman"/>
          <w:lang w:val="en-GB"/>
        </w:rPr>
        <w:lastRenderedPageBreak/>
        <w:t>they are widely desired by the regulators or customers, the followers will become part of the development. This is a response that is adaptive and able to help them be in control, as well as pertinent without necessarily incurring high expenses of research and innovation.</w:t>
      </w:r>
    </w:p>
    <w:p w14:paraId="1F58722B" w14:textId="133C919F"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With the assistance of the Porters Generic Strategies, the followers are inclined to apply the cost leadership or differentiation focus. Cost leadership helps them to deal with innovative brands that make high investments under technology or sustainability. So as an illustration, the successful pioneer programs feature low-cost retailers and cheap Airline reducing the effort of maintaining the price low</w:t>
      </w:r>
      <w:r w:rsidR="00F81AD3">
        <w:rPr>
          <w:rFonts w:ascii="Times New Roman" w:hAnsi="Times New Roman" w:cs="Times New Roman"/>
          <w:lang w:val="en-GB"/>
        </w:rPr>
        <w:t xml:space="preserve"> </w:t>
      </w:r>
      <w:r w:rsidR="00F81AD3" w:rsidRPr="00F81AD3">
        <w:rPr>
          <w:rFonts w:ascii="Times New Roman" w:hAnsi="Times New Roman" w:cs="Times New Roman"/>
        </w:rPr>
        <w:t>(Bastardoz and Adriaensen, 2023)</w:t>
      </w:r>
      <w:r w:rsidRPr="008F1F4A">
        <w:rPr>
          <w:rFonts w:ascii="Times New Roman" w:hAnsi="Times New Roman" w:cs="Times New Roman"/>
          <w:lang w:val="en-GB"/>
        </w:rPr>
        <w:t>. It is also conducted through concentrated approaches by the followers where niches which have been left uncovered by the pioneers are targeted. These brands as Xiaomi or Realme, in their turn, have already established themselves in the technology markets as high-value alternative brands that offer many of the pioneer features at low prices. This assists them to take advantage of the demand by others who pioneer and win price-sensitive customers.</w:t>
      </w:r>
    </w:p>
    <w:p w14:paraId="1F20AA73" w14:textId="2537038B"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Another tool that is depended on by followers is benchmarking and imitation at which the leaders follow the success and failures of their predecessors in the hope of refining their strategies</w:t>
      </w:r>
      <w:r w:rsidR="00F81AD3">
        <w:rPr>
          <w:rFonts w:ascii="Times New Roman" w:hAnsi="Times New Roman" w:cs="Times New Roman"/>
          <w:lang w:val="en-GB"/>
        </w:rPr>
        <w:t xml:space="preserve"> </w:t>
      </w:r>
      <w:r w:rsidR="00F81AD3" w:rsidRPr="00F81AD3">
        <w:rPr>
          <w:rFonts w:ascii="Times New Roman" w:hAnsi="Times New Roman" w:cs="Times New Roman"/>
        </w:rPr>
        <w:t>(Matshoba-Ramuedzisi</w:t>
      </w:r>
      <w:r w:rsidR="00F81AD3">
        <w:rPr>
          <w:rFonts w:ascii="Times New Roman" w:hAnsi="Times New Roman" w:cs="Times New Roman"/>
        </w:rPr>
        <w:t xml:space="preserve"> et al.,</w:t>
      </w:r>
      <w:r w:rsidR="00F81AD3" w:rsidRPr="00F81AD3">
        <w:rPr>
          <w:rFonts w:ascii="Times New Roman" w:hAnsi="Times New Roman" w:cs="Times New Roman"/>
        </w:rPr>
        <w:t xml:space="preserve"> 2022)</w:t>
      </w:r>
      <w:r w:rsidRPr="008F1F4A">
        <w:rPr>
          <w:rFonts w:ascii="Times New Roman" w:hAnsi="Times New Roman" w:cs="Times New Roman"/>
          <w:lang w:val="en-GB"/>
        </w:rPr>
        <w:t>. They will have reduced speculation rate, greater awareness of consumer expectation and established regulatory pathways. However, they are less differentiated and slow to enter the market, which might make it hard to remain competitive with time.</w:t>
      </w:r>
    </w:p>
    <w:p w14:paraId="4337B48D"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On the whole, the follower organisations respond in a strategic fashion as being an efficient, selective and adaptive learner. With innovators taking over the market, imitators take advantage of the cost of advantage, justification of risks and targeting of part of the markets that concentrate on low-costs and therefore could survive in the new macro-environmental dynamics that are rapid.</w:t>
      </w:r>
    </w:p>
    <w:p w14:paraId="4B165698" w14:textId="56ACC380" w:rsidR="008F1F4A" w:rsidRPr="008F1F4A" w:rsidRDefault="008F1F4A" w:rsidP="00F81AD3">
      <w:pPr>
        <w:pStyle w:val="Heading1"/>
      </w:pPr>
      <w:bookmarkStart w:id="17" w:name="_Toc214130712"/>
      <w:r w:rsidRPr="008F1F4A">
        <w:t>4. Conclusion</w:t>
      </w:r>
      <w:bookmarkEnd w:id="16"/>
      <w:bookmarkEnd w:id="17"/>
    </w:p>
    <w:p w14:paraId="3304E919"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The discussion of the macro marketing environment illustrates that forces in the external environment like technology development and sustainability pressure impact organisational strategy to a great deal. Task 1 with the PESTEL framework has been used to identify the characteristics of these forces to create the market opportunities and threats, the consumer expectations and obligations to regulations and market competition. The analysis of the technological and environmental players revealed that they transform the value generation, operational patterns and brand positioning throughout the industry.</w:t>
      </w:r>
    </w:p>
    <w:p w14:paraId="5E6F42CA"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lastRenderedPageBreak/>
        <w:t>Task 2 also uncovered the fact that pioneering and follower organisations react to these pressures to a greater degree. Pioneers have leading market strategies that are innovation-based, including differentiation, product development, and diversification, with the help of dynamic capabilities, giving such innovative entrepreneurs the ability to spearhead market transformations. By comparison, follower organisations are dependent on cost-effective, adaptive strategies whereby benchmarking and selective innovation is applied to minimise risk, and at the same time be competitive. Both of them, however, rely on the definite strategic direction based on such models as Growth Matrix developed by Ansoff and Generic Strategies developed by Porter.</w:t>
      </w:r>
    </w:p>
    <w:p w14:paraId="6D622FFF" w14:textId="77777777" w:rsidR="008F1F4A" w:rsidRPr="008F1F4A" w:rsidRDefault="008F1F4A" w:rsidP="00CE310D">
      <w:pPr>
        <w:spacing w:line="360" w:lineRule="auto"/>
        <w:jc w:val="both"/>
        <w:rPr>
          <w:rFonts w:ascii="Times New Roman" w:hAnsi="Times New Roman" w:cs="Times New Roman"/>
          <w:lang w:val="en-GB"/>
        </w:rPr>
      </w:pPr>
      <w:r w:rsidRPr="008F1F4A">
        <w:rPr>
          <w:rFonts w:ascii="Times New Roman" w:hAnsi="Times New Roman" w:cs="Times New Roman"/>
          <w:lang w:val="en-GB"/>
        </w:rPr>
        <w:t>On the whole, the results demonstrate the strategic value of the ongoing process of environmental scanning and responsive marketing. The closer organisations follow changes in the external environment and update their strategy; they are in a better position to develop the resilience and maintain the competitive edge as well as addressing emerging market needs.</w:t>
      </w:r>
    </w:p>
    <w:p w14:paraId="6AD84A10" w14:textId="77777777" w:rsidR="008F1F4A" w:rsidRPr="008F1F4A" w:rsidRDefault="008F1F4A" w:rsidP="00CE310D">
      <w:pPr>
        <w:spacing w:line="360" w:lineRule="auto"/>
        <w:jc w:val="both"/>
        <w:rPr>
          <w:rFonts w:ascii="Times New Roman" w:hAnsi="Times New Roman" w:cs="Times New Roman"/>
          <w:b/>
          <w:bCs/>
          <w:lang w:val="en-GB"/>
        </w:rPr>
      </w:pPr>
      <w:bookmarkStart w:id="18" w:name="_Toc211437178"/>
      <w:r w:rsidRPr="008F1F4A">
        <w:rPr>
          <w:rFonts w:ascii="Times New Roman" w:hAnsi="Times New Roman" w:cs="Times New Roman"/>
          <w:lang w:val="en-GB"/>
        </w:rPr>
        <w:br w:type="page"/>
      </w:r>
    </w:p>
    <w:p w14:paraId="7D6C3F2B" w14:textId="4F433416" w:rsidR="008F1F4A" w:rsidRPr="008F1F4A" w:rsidRDefault="008F1F4A" w:rsidP="00F81AD3">
      <w:pPr>
        <w:pStyle w:val="Heading1"/>
      </w:pPr>
      <w:bookmarkStart w:id="19" w:name="_Toc214130713"/>
      <w:r w:rsidRPr="008F1F4A">
        <w:lastRenderedPageBreak/>
        <w:t>5. References</w:t>
      </w:r>
      <w:bookmarkEnd w:id="18"/>
      <w:bookmarkEnd w:id="19"/>
    </w:p>
    <w:p w14:paraId="1C8F9D97" w14:textId="77777777" w:rsidR="00555B99" w:rsidRPr="00F81AD3" w:rsidRDefault="00555B99" w:rsidP="00F81AD3">
      <w:pPr>
        <w:spacing w:line="360" w:lineRule="auto"/>
        <w:jc w:val="both"/>
        <w:rPr>
          <w:rFonts w:ascii="Times New Roman" w:hAnsi="Times New Roman" w:cs="Times New Roman"/>
          <w:lang w:val="en-GB"/>
        </w:rPr>
      </w:pPr>
      <w:r w:rsidRPr="00F81AD3">
        <w:rPr>
          <w:rFonts w:ascii="Times New Roman" w:hAnsi="Times New Roman" w:cs="Times New Roman"/>
          <w:lang w:val="en-GB"/>
        </w:rPr>
        <w:t xml:space="preserve">Adobe Inc. (2025) 2025 AI and Digital Trends: Key Insights &amp; Future Growth [online]. Available at: </w:t>
      </w:r>
      <w:hyperlink r:id="rId12" w:history="1">
        <w:r w:rsidRPr="009C5EA9">
          <w:rPr>
            <w:rStyle w:val="Hyperlink"/>
            <w:rFonts w:ascii="Times New Roman" w:hAnsi="Times New Roman" w:cs="Times New Roman"/>
            <w:lang w:val="en-GB"/>
          </w:rPr>
          <w:t>https://business.adobe.com/resources/digital-trends-report.html</w:t>
        </w:r>
      </w:hyperlink>
      <w:r>
        <w:rPr>
          <w:rFonts w:ascii="Times New Roman" w:hAnsi="Times New Roman" w:cs="Times New Roman"/>
          <w:lang w:val="en-GB"/>
        </w:rPr>
        <w:t xml:space="preserve"> </w:t>
      </w:r>
      <w:r w:rsidRPr="00F81AD3">
        <w:rPr>
          <w:rFonts w:ascii="Times New Roman" w:hAnsi="Times New Roman" w:cs="Times New Roman"/>
          <w:lang w:val="en-GB"/>
        </w:rPr>
        <w:t>(Accessed: 15 November 2025).</w:t>
      </w:r>
    </w:p>
    <w:p w14:paraId="4C9D5DEE"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Ali, O., Osmanaj, V., Kwiatek, P., Chimhundu, R., Alryalat, M. and Dwivedi, Y.K., 2023. The impact of technological innovation on marketing: individuals, organizations and environment: a systematic review. </w:t>
      </w:r>
      <w:r w:rsidRPr="00F81AD3">
        <w:rPr>
          <w:rFonts w:ascii="Times New Roman" w:hAnsi="Times New Roman" w:cs="Times New Roman"/>
          <w:i/>
          <w:iCs/>
        </w:rPr>
        <w:t>Economic research-Ekonomska istraživanja</w:t>
      </w:r>
      <w:r w:rsidRPr="00F81AD3">
        <w:rPr>
          <w:rFonts w:ascii="Times New Roman" w:hAnsi="Times New Roman" w:cs="Times New Roman"/>
        </w:rPr>
        <w:t>, </w:t>
      </w:r>
      <w:r w:rsidRPr="00F81AD3">
        <w:rPr>
          <w:rFonts w:ascii="Times New Roman" w:hAnsi="Times New Roman" w:cs="Times New Roman"/>
          <w:i/>
          <w:iCs/>
        </w:rPr>
        <w:t>36</w:t>
      </w:r>
      <w:r w:rsidRPr="00F81AD3">
        <w:rPr>
          <w:rFonts w:ascii="Times New Roman" w:hAnsi="Times New Roman" w:cs="Times New Roman"/>
        </w:rPr>
        <w:t>(3).</w:t>
      </w:r>
    </w:p>
    <w:p w14:paraId="4C295684" w14:textId="77777777" w:rsidR="00555B99" w:rsidRDefault="00555B99" w:rsidP="00555B99">
      <w:pPr>
        <w:spacing w:line="360" w:lineRule="auto"/>
        <w:jc w:val="both"/>
        <w:rPr>
          <w:rFonts w:ascii="Times New Roman" w:hAnsi="Times New Roman" w:cs="Times New Roman"/>
        </w:rPr>
      </w:pPr>
      <w:r w:rsidRPr="00555B99">
        <w:rPr>
          <w:rFonts w:ascii="Times New Roman" w:hAnsi="Times New Roman" w:cs="Times New Roman"/>
        </w:rPr>
        <w:t>Appinventiv. (2025) AI in Marketing – Benefits, Use Cases, and Beyond [online]. Available at: https://appinventiv.com/blog/ai-in-marketing/ (Accessed: 15 November 2025).</w:t>
      </w:r>
    </w:p>
    <w:p w14:paraId="68E8E4BC"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Bastardoz, N. and Adriaensen, S., 2023. What does it mean to follow? A critique of the followership literature and a conceptual model of the emergence of downward following. </w:t>
      </w:r>
      <w:r w:rsidRPr="00F81AD3">
        <w:rPr>
          <w:rFonts w:ascii="Times New Roman" w:hAnsi="Times New Roman" w:cs="Times New Roman"/>
          <w:i/>
          <w:iCs/>
        </w:rPr>
        <w:t>Frontiers in Psychology</w:t>
      </w:r>
      <w:r w:rsidRPr="00F81AD3">
        <w:rPr>
          <w:rFonts w:ascii="Times New Roman" w:hAnsi="Times New Roman" w:cs="Times New Roman"/>
        </w:rPr>
        <w:t>, </w:t>
      </w:r>
      <w:r w:rsidRPr="00F81AD3">
        <w:rPr>
          <w:rFonts w:ascii="Times New Roman" w:hAnsi="Times New Roman" w:cs="Times New Roman"/>
          <w:i/>
          <w:iCs/>
        </w:rPr>
        <w:t>14</w:t>
      </w:r>
      <w:r w:rsidRPr="00F81AD3">
        <w:rPr>
          <w:rFonts w:ascii="Times New Roman" w:hAnsi="Times New Roman" w:cs="Times New Roman"/>
        </w:rPr>
        <w:t>, p.1072800.</w:t>
      </w:r>
    </w:p>
    <w:p w14:paraId="499BF7E2"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Bayighomog Likoum, S.W., Shamout, M.D., Harazneh, I. and Abubakar, A.M., 2020. Market-sensing capability, innovativeness, brand management systems, market dynamism, competitive intensity, and performance: an integrative review. </w:t>
      </w:r>
      <w:r w:rsidRPr="00F81AD3">
        <w:rPr>
          <w:rFonts w:ascii="Times New Roman" w:hAnsi="Times New Roman" w:cs="Times New Roman"/>
          <w:i/>
          <w:iCs/>
        </w:rPr>
        <w:t>Journal of the Knowledge Economy</w:t>
      </w:r>
      <w:r w:rsidRPr="00F81AD3">
        <w:rPr>
          <w:rFonts w:ascii="Times New Roman" w:hAnsi="Times New Roman" w:cs="Times New Roman"/>
        </w:rPr>
        <w:t>, </w:t>
      </w:r>
      <w:r w:rsidRPr="00F81AD3">
        <w:rPr>
          <w:rFonts w:ascii="Times New Roman" w:hAnsi="Times New Roman" w:cs="Times New Roman"/>
          <w:i/>
          <w:iCs/>
        </w:rPr>
        <w:t>11</w:t>
      </w:r>
      <w:r w:rsidRPr="00F81AD3">
        <w:rPr>
          <w:rFonts w:ascii="Times New Roman" w:hAnsi="Times New Roman" w:cs="Times New Roman"/>
        </w:rPr>
        <w:t>(2), pp.593-613.</w:t>
      </w:r>
    </w:p>
    <w:p w14:paraId="7F816F0A"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Chemsripong, S., 2024. Influence of business model and marketing environment of Thai gems and jewellery during COVID-19 pandemic: opportunities and challenges. </w:t>
      </w:r>
      <w:r w:rsidRPr="00F81AD3">
        <w:rPr>
          <w:rFonts w:ascii="Times New Roman" w:hAnsi="Times New Roman" w:cs="Times New Roman"/>
          <w:i/>
          <w:iCs/>
        </w:rPr>
        <w:t>International Journal of Learning and Change</w:t>
      </w:r>
      <w:r w:rsidRPr="00F81AD3">
        <w:rPr>
          <w:rFonts w:ascii="Times New Roman" w:hAnsi="Times New Roman" w:cs="Times New Roman"/>
        </w:rPr>
        <w:t>, </w:t>
      </w:r>
      <w:r w:rsidRPr="00F81AD3">
        <w:rPr>
          <w:rFonts w:ascii="Times New Roman" w:hAnsi="Times New Roman" w:cs="Times New Roman"/>
          <w:i/>
          <w:iCs/>
        </w:rPr>
        <w:t>16</w:t>
      </w:r>
      <w:r w:rsidRPr="00F81AD3">
        <w:rPr>
          <w:rFonts w:ascii="Times New Roman" w:hAnsi="Times New Roman" w:cs="Times New Roman"/>
        </w:rPr>
        <w:t>(2-3), pp.262-282.</w:t>
      </w:r>
    </w:p>
    <w:p w14:paraId="238DDFF3"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de Waal-Andrews, W. and van Vugt, M., 2020. The triad model of follower needs: Theory and review. </w:t>
      </w:r>
      <w:r w:rsidRPr="00F81AD3">
        <w:rPr>
          <w:rFonts w:ascii="Times New Roman" w:hAnsi="Times New Roman" w:cs="Times New Roman"/>
          <w:i/>
          <w:iCs/>
        </w:rPr>
        <w:t>Current opinion in psychology</w:t>
      </w:r>
      <w:r w:rsidRPr="00F81AD3">
        <w:rPr>
          <w:rFonts w:ascii="Times New Roman" w:hAnsi="Times New Roman" w:cs="Times New Roman"/>
        </w:rPr>
        <w:t>, </w:t>
      </w:r>
      <w:r w:rsidRPr="00F81AD3">
        <w:rPr>
          <w:rFonts w:ascii="Times New Roman" w:hAnsi="Times New Roman" w:cs="Times New Roman"/>
          <w:i/>
          <w:iCs/>
        </w:rPr>
        <w:t>33</w:t>
      </w:r>
      <w:r w:rsidRPr="00F81AD3">
        <w:rPr>
          <w:rFonts w:ascii="Times New Roman" w:hAnsi="Times New Roman" w:cs="Times New Roman"/>
        </w:rPr>
        <w:t>, pp.142-147.</w:t>
      </w:r>
    </w:p>
    <w:p w14:paraId="14D536EF" w14:textId="77777777" w:rsidR="00555B99" w:rsidRPr="00555B99" w:rsidRDefault="00555B99" w:rsidP="00555B99">
      <w:pPr>
        <w:spacing w:line="360" w:lineRule="auto"/>
        <w:jc w:val="both"/>
        <w:rPr>
          <w:rFonts w:ascii="Times New Roman" w:hAnsi="Times New Roman" w:cs="Times New Roman"/>
        </w:rPr>
      </w:pPr>
      <w:r w:rsidRPr="00555B99">
        <w:rPr>
          <w:rFonts w:ascii="Times New Roman" w:hAnsi="Times New Roman" w:cs="Times New Roman"/>
        </w:rPr>
        <w:t>Dumouchel, L. (2025) The Marketing Environment. In: The Marketing Map: Navigating the Principles of Marketing for Tourism, Hospitality, and Services! [online]. Thompson Rivers University Open Press. Available at: https://marketingmap.pressbooks.tru.ca/chapter/the-marketing-environment/ (Accessed: 15 November 2025).</w:t>
      </w:r>
    </w:p>
    <w:p w14:paraId="52A93781" w14:textId="77777777" w:rsidR="00555B99" w:rsidRPr="00CE310D" w:rsidRDefault="00555B99" w:rsidP="00F81AD3">
      <w:pPr>
        <w:spacing w:line="360" w:lineRule="auto"/>
        <w:jc w:val="both"/>
        <w:rPr>
          <w:rFonts w:ascii="Times New Roman" w:hAnsi="Times New Roman" w:cs="Times New Roman"/>
          <w:lang w:val="en-GB"/>
        </w:rPr>
      </w:pPr>
      <w:r w:rsidRPr="00F81AD3">
        <w:rPr>
          <w:rFonts w:ascii="Times New Roman" w:hAnsi="Times New Roman" w:cs="Times New Roman"/>
          <w:lang w:val="en-GB"/>
        </w:rPr>
        <w:t xml:space="preserve">Ken Research (2024) India Environmental Technology Market Outlook to 2030 [online]. Available at: </w:t>
      </w:r>
      <w:hyperlink r:id="rId13" w:history="1">
        <w:r w:rsidRPr="009C5EA9">
          <w:rPr>
            <w:rStyle w:val="Hyperlink"/>
            <w:rFonts w:ascii="Times New Roman" w:hAnsi="Times New Roman" w:cs="Times New Roman"/>
            <w:lang w:val="en-GB"/>
          </w:rPr>
          <w:t>https://www.kenresearch.com/industry-reports/india-environmental-technology-market</w:t>
        </w:r>
      </w:hyperlink>
      <w:r>
        <w:rPr>
          <w:rFonts w:ascii="Times New Roman" w:hAnsi="Times New Roman" w:cs="Times New Roman"/>
          <w:lang w:val="en-GB"/>
        </w:rPr>
        <w:t xml:space="preserve"> </w:t>
      </w:r>
      <w:r w:rsidRPr="00F81AD3">
        <w:rPr>
          <w:rFonts w:ascii="Times New Roman" w:hAnsi="Times New Roman" w:cs="Times New Roman"/>
          <w:lang w:val="en-GB"/>
        </w:rPr>
        <w:t>(Accessed: 15 November 2025).</w:t>
      </w:r>
      <w:r>
        <w:rPr>
          <w:rFonts w:ascii="Times New Roman" w:hAnsi="Times New Roman" w:cs="Times New Roman"/>
          <w:lang w:val="en-GB"/>
        </w:rPr>
        <w:t xml:space="preserve"> </w:t>
      </w:r>
    </w:p>
    <w:p w14:paraId="40C3310C" w14:textId="77777777" w:rsidR="00555B99" w:rsidRPr="00555B99" w:rsidRDefault="00555B99" w:rsidP="00555B99">
      <w:pPr>
        <w:spacing w:line="360" w:lineRule="auto"/>
        <w:jc w:val="both"/>
        <w:rPr>
          <w:rFonts w:ascii="Times New Roman" w:hAnsi="Times New Roman" w:cs="Times New Roman"/>
        </w:rPr>
      </w:pPr>
      <w:r w:rsidRPr="00555B99">
        <w:rPr>
          <w:rFonts w:ascii="Times New Roman" w:hAnsi="Times New Roman" w:cs="Times New Roman"/>
        </w:rPr>
        <w:t xml:space="preserve">Kumar, V., Ashraf, A.R. &amp; Nadeem, W. (2024) ‘AI-powered marketing: What, where, and how?’, International Journal of Information Management. [online] Available at: </w:t>
      </w:r>
      <w:r w:rsidRPr="00555B99">
        <w:rPr>
          <w:rFonts w:ascii="Times New Roman" w:hAnsi="Times New Roman" w:cs="Times New Roman"/>
        </w:rPr>
        <w:lastRenderedPageBreak/>
        <w:t xml:space="preserve">https://www.sciencedirect.com/science/article/pii/S0268401224000318 (Accessed: 15 November 2025). </w:t>
      </w:r>
    </w:p>
    <w:p w14:paraId="1B3D6364"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Matshoba-Ramuedzisi, T., De Jongh, D. and Fourie, W., 2022. Followership: A review of current and emerging research. </w:t>
      </w:r>
      <w:r w:rsidRPr="00F81AD3">
        <w:rPr>
          <w:rFonts w:ascii="Times New Roman" w:hAnsi="Times New Roman" w:cs="Times New Roman"/>
          <w:i/>
          <w:iCs/>
        </w:rPr>
        <w:t>Leadership &amp; Organization Development Journal</w:t>
      </w:r>
      <w:r w:rsidRPr="00F81AD3">
        <w:rPr>
          <w:rFonts w:ascii="Times New Roman" w:hAnsi="Times New Roman" w:cs="Times New Roman"/>
        </w:rPr>
        <w:t>, </w:t>
      </w:r>
      <w:r w:rsidRPr="00F81AD3">
        <w:rPr>
          <w:rFonts w:ascii="Times New Roman" w:hAnsi="Times New Roman" w:cs="Times New Roman"/>
          <w:i/>
          <w:iCs/>
        </w:rPr>
        <w:t>43</w:t>
      </w:r>
      <w:r w:rsidRPr="00F81AD3">
        <w:rPr>
          <w:rFonts w:ascii="Times New Roman" w:hAnsi="Times New Roman" w:cs="Times New Roman"/>
        </w:rPr>
        <w:t>(4), pp.653-668.</w:t>
      </w:r>
    </w:p>
    <w:p w14:paraId="1D1AB87D"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Omol, E., Mburu, L. and Abuonji, P., 2024. Pioneering digital transformation in Africa: the path to maturity amidst unique challenges and opportunities. </w:t>
      </w:r>
      <w:r w:rsidRPr="00F81AD3">
        <w:rPr>
          <w:rFonts w:ascii="Times New Roman" w:hAnsi="Times New Roman" w:cs="Times New Roman"/>
          <w:i/>
          <w:iCs/>
        </w:rPr>
        <w:t>Can. J. Bus. Inf. Stud</w:t>
      </w:r>
      <w:r w:rsidRPr="00F81AD3">
        <w:rPr>
          <w:rFonts w:ascii="Times New Roman" w:hAnsi="Times New Roman" w:cs="Times New Roman"/>
        </w:rPr>
        <w:t>, </w:t>
      </w:r>
      <w:r w:rsidRPr="00F81AD3">
        <w:rPr>
          <w:rFonts w:ascii="Times New Roman" w:hAnsi="Times New Roman" w:cs="Times New Roman"/>
          <w:i/>
          <w:iCs/>
        </w:rPr>
        <w:t>6</w:t>
      </w:r>
      <w:r w:rsidRPr="00F81AD3">
        <w:rPr>
          <w:rFonts w:ascii="Times New Roman" w:hAnsi="Times New Roman" w:cs="Times New Roman"/>
        </w:rPr>
        <w:t>(2), pp.35-48.</w:t>
      </w:r>
    </w:p>
    <w:p w14:paraId="25245FFD" w14:textId="77777777" w:rsidR="00555B99" w:rsidRPr="00555B99" w:rsidRDefault="00555B99" w:rsidP="00555B99">
      <w:pPr>
        <w:spacing w:line="360" w:lineRule="auto"/>
        <w:jc w:val="both"/>
        <w:rPr>
          <w:rFonts w:ascii="Times New Roman" w:hAnsi="Times New Roman" w:cs="Times New Roman"/>
        </w:rPr>
      </w:pPr>
      <w:r w:rsidRPr="00555B99">
        <w:rPr>
          <w:rFonts w:ascii="Times New Roman" w:hAnsi="Times New Roman" w:cs="Times New Roman"/>
        </w:rPr>
        <w:t>Sahoo, P.K., Datta, R., Rahman, M.M. &amp; Sarkar, D. (2024) ‘Sustainable Environmental Technologies: Recent Development, Opportunities, and Key Challenges’. Applied Sciences, 14(23), 10956. doi: 10.3390/app142310956. Available at: https://www.mdpi.com/2076-3417/14/23/10956 (Accessed: 15 November 2025).</w:t>
      </w:r>
    </w:p>
    <w:p w14:paraId="7F8338CF"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Saura, J.R., 2021. Using data sciences in digital marketing: Framework, methods, and performance metrics. </w:t>
      </w:r>
      <w:r w:rsidRPr="00F81AD3">
        <w:rPr>
          <w:rFonts w:ascii="Times New Roman" w:hAnsi="Times New Roman" w:cs="Times New Roman"/>
          <w:i/>
          <w:iCs/>
        </w:rPr>
        <w:t>Journal of Innovation &amp; Knowledge</w:t>
      </w:r>
      <w:r w:rsidRPr="00F81AD3">
        <w:rPr>
          <w:rFonts w:ascii="Times New Roman" w:hAnsi="Times New Roman" w:cs="Times New Roman"/>
        </w:rPr>
        <w:t>, </w:t>
      </w:r>
      <w:r w:rsidRPr="00F81AD3">
        <w:rPr>
          <w:rFonts w:ascii="Times New Roman" w:hAnsi="Times New Roman" w:cs="Times New Roman"/>
          <w:i/>
          <w:iCs/>
        </w:rPr>
        <w:t>6</w:t>
      </w:r>
      <w:r w:rsidRPr="00F81AD3">
        <w:rPr>
          <w:rFonts w:ascii="Times New Roman" w:hAnsi="Times New Roman" w:cs="Times New Roman"/>
        </w:rPr>
        <w:t>(2), pp.92-102.</w:t>
      </w:r>
    </w:p>
    <w:p w14:paraId="68275D79"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Shahmohammadi, B., 2021. Entrepreneurial marketing and organizational entrepreneurship performance of small and medium enterprises: A systematic review. </w:t>
      </w:r>
      <w:r w:rsidRPr="00F81AD3">
        <w:rPr>
          <w:rFonts w:ascii="Times New Roman" w:hAnsi="Times New Roman" w:cs="Times New Roman"/>
          <w:i/>
          <w:iCs/>
        </w:rPr>
        <w:t>Journal of Management and Entrepreneurship Research</w:t>
      </w:r>
      <w:r w:rsidRPr="00F81AD3">
        <w:rPr>
          <w:rFonts w:ascii="Times New Roman" w:hAnsi="Times New Roman" w:cs="Times New Roman"/>
        </w:rPr>
        <w:t>, </w:t>
      </w:r>
      <w:r w:rsidRPr="00F81AD3">
        <w:rPr>
          <w:rFonts w:ascii="Times New Roman" w:hAnsi="Times New Roman" w:cs="Times New Roman"/>
          <w:i/>
          <w:iCs/>
        </w:rPr>
        <w:t>2</w:t>
      </w:r>
      <w:r w:rsidRPr="00F81AD3">
        <w:rPr>
          <w:rFonts w:ascii="Times New Roman" w:hAnsi="Times New Roman" w:cs="Times New Roman"/>
        </w:rPr>
        <w:t>(2), pp.134-141.</w:t>
      </w:r>
    </w:p>
    <w:p w14:paraId="4939E9F6"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Sharma, A.P., 2021. Consumers’ purchase behaviour and green marketing: A synthesis, review and agenda. </w:t>
      </w:r>
      <w:r w:rsidRPr="00F81AD3">
        <w:rPr>
          <w:rFonts w:ascii="Times New Roman" w:hAnsi="Times New Roman" w:cs="Times New Roman"/>
          <w:i/>
          <w:iCs/>
        </w:rPr>
        <w:t>International Journal of Consumer Studies</w:t>
      </w:r>
      <w:r w:rsidRPr="00F81AD3">
        <w:rPr>
          <w:rFonts w:ascii="Times New Roman" w:hAnsi="Times New Roman" w:cs="Times New Roman"/>
        </w:rPr>
        <w:t>, </w:t>
      </w:r>
      <w:r w:rsidRPr="00F81AD3">
        <w:rPr>
          <w:rFonts w:ascii="Times New Roman" w:hAnsi="Times New Roman" w:cs="Times New Roman"/>
          <w:i/>
          <w:iCs/>
        </w:rPr>
        <w:t>45</w:t>
      </w:r>
      <w:r w:rsidRPr="00F81AD3">
        <w:rPr>
          <w:rFonts w:ascii="Times New Roman" w:hAnsi="Times New Roman" w:cs="Times New Roman"/>
        </w:rPr>
        <w:t>(6), pp.1217-1238.</w:t>
      </w:r>
    </w:p>
    <w:p w14:paraId="4DD157A3"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Wood, B., Williams, O., Nagarajan, V. and Sacks, G., 2021. Market strategies used by processed food manufacturers to increase and consolidate their power: a systematic review and document analysis. </w:t>
      </w:r>
      <w:r w:rsidRPr="00F81AD3">
        <w:rPr>
          <w:rFonts w:ascii="Times New Roman" w:hAnsi="Times New Roman" w:cs="Times New Roman"/>
          <w:i/>
          <w:iCs/>
        </w:rPr>
        <w:t>Globalization and health</w:t>
      </w:r>
      <w:r w:rsidRPr="00F81AD3">
        <w:rPr>
          <w:rFonts w:ascii="Times New Roman" w:hAnsi="Times New Roman" w:cs="Times New Roman"/>
        </w:rPr>
        <w:t>, </w:t>
      </w:r>
      <w:r w:rsidRPr="00F81AD3">
        <w:rPr>
          <w:rFonts w:ascii="Times New Roman" w:hAnsi="Times New Roman" w:cs="Times New Roman"/>
          <w:i/>
          <w:iCs/>
        </w:rPr>
        <w:t>17</w:t>
      </w:r>
      <w:r w:rsidRPr="00F81AD3">
        <w:rPr>
          <w:rFonts w:ascii="Times New Roman" w:hAnsi="Times New Roman" w:cs="Times New Roman"/>
        </w:rPr>
        <w:t>(1), p.17.</w:t>
      </w:r>
    </w:p>
    <w:p w14:paraId="731BD6D0" w14:textId="77777777" w:rsidR="00555B99" w:rsidRDefault="00555B99" w:rsidP="00CE310D">
      <w:pPr>
        <w:spacing w:line="360" w:lineRule="auto"/>
        <w:jc w:val="both"/>
        <w:rPr>
          <w:rFonts w:ascii="Times New Roman" w:hAnsi="Times New Roman" w:cs="Times New Roman"/>
        </w:rPr>
      </w:pPr>
      <w:r w:rsidRPr="00F81AD3">
        <w:rPr>
          <w:rFonts w:ascii="Times New Roman" w:hAnsi="Times New Roman" w:cs="Times New Roman"/>
        </w:rPr>
        <w:t>Zaid, T. and Garai, S., 2024. Emerging trends in cybersecurity: a holistic view on current threats, assessing solutions, and pioneering new frontiers. </w:t>
      </w:r>
      <w:r w:rsidRPr="00F81AD3">
        <w:rPr>
          <w:rFonts w:ascii="Times New Roman" w:hAnsi="Times New Roman" w:cs="Times New Roman"/>
          <w:i/>
          <w:iCs/>
        </w:rPr>
        <w:t>Blockchain in Healthcare Today</w:t>
      </w:r>
      <w:r w:rsidRPr="00F81AD3">
        <w:rPr>
          <w:rFonts w:ascii="Times New Roman" w:hAnsi="Times New Roman" w:cs="Times New Roman"/>
        </w:rPr>
        <w:t>, </w:t>
      </w:r>
      <w:r w:rsidRPr="00F81AD3">
        <w:rPr>
          <w:rFonts w:ascii="Times New Roman" w:hAnsi="Times New Roman" w:cs="Times New Roman"/>
          <w:i/>
          <w:iCs/>
        </w:rPr>
        <w:t>7</w:t>
      </w:r>
      <w:r w:rsidRPr="00F81AD3">
        <w:rPr>
          <w:rFonts w:ascii="Times New Roman" w:hAnsi="Times New Roman" w:cs="Times New Roman"/>
        </w:rPr>
        <w:t>, pp.10-30953.</w:t>
      </w:r>
    </w:p>
    <w:sectPr w:rsidR="00555B99" w:rsidSect="00F81AD3">
      <w:footerReference w:type="default" r:id="rId14"/>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DEE2C" w14:textId="77777777" w:rsidR="00537C0B" w:rsidRDefault="00537C0B" w:rsidP="00F81AD3">
      <w:pPr>
        <w:spacing w:after="0" w:line="240" w:lineRule="auto"/>
      </w:pPr>
      <w:r>
        <w:separator/>
      </w:r>
    </w:p>
  </w:endnote>
  <w:endnote w:type="continuationSeparator" w:id="0">
    <w:p w14:paraId="07885714" w14:textId="77777777" w:rsidR="00537C0B" w:rsidRDefault="00537C0B" w:rsidP="00F81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43366954"/>
      <w:docPartObj>
        <w:docPartGallery w:val="Page Numbers (Bottom of Page)"/>
        <w:docPartUnique/>
      </w:docPartObj>
    </w:sdtPr>
    <w:sdtEndPr>
      <w:rPr>
        <w:noProof/>
      </w:rPr>
    </w:sdtEndPr>
    <w:sdtContent>
      <w:p w14:paraId="07F9D1BF" w14:textId="3F24B80F" w:rsidR="00F81AD3" w:rsidRPr="00F81AD3" w:rsidRDefault="00F81AD3">
        <w:pPr>
          <w:pStyle w:val="Footer"/>
          <w:jc w:val="center"/>
          <w:rPr>
            <w:rFonts w:ascii="Times New Roman" w:hAnsi="Times New Roman" w:cs="Times New Roman"/>
            <w:sz w:val="20"/>
            <w:szCs w:val="20"/>
          </w:rPr>
        </w:pPr>
        <w:r w:rsidRPr="00F81AD3">
          <w:rPr>
            <w:rFonts w:ascii="Times New Roman" w:hAnsi="Times New Roman" w:cs="Times New Roman"/>
            <w:sz w:val="20"/>
            <w:szCs w:val="20"/>
          </w:rPr>
          <w:fldChar w:fldCharType="begin"/>
        </w:r>
        <w:r w:rsidRPr="00F81AD3">
          <w:rPr>
            <w:rFonts w:ascii="Times New Roman" w:hAnsi="Times New Roman" w:cs="Times New Roman"/>
            <w:sz w:val="20"/>
            <w:szCs w:val="20"/>
          </w:rPr>
          <w:instrText xml:space="preserve"> PAGE   \* MERGEFORMAT </w:instrText>
        </w:r>
        <w:r w:rsidRPr="00F81AD3">
          <w:rPr>
            <w:rFonts w:ascii="Times New Roman" w:hAnsi="Times New Roman" w:cs="Times New Roman"/>
            <w:sz w:val="20"/>
            <w:szCs w:val="20"/>
          </w:rPr>
          <w:fldChar w:fldCharType="separate"/>
        </w:r>
        <w:r w:rsidRPr="00F81AD3">
          <w:rPr>
            <w:rFonts w:ascii="Times New Roman" w:hAnsi="Times New Roman" w:cs="Times New Roman"/>
            <w:noProof/>
            <w:sz w:val="20"/>
            <w:szCs w:val="20"/>
          </w:rPr>
          <w:t>2</w:t>
        </w:r>
        <w:r w:rsidRPr="00F81AD3">
          <w:rPr>
            <w:rFonts w:ascii="Times New Roman" w:hAnsi="Times New Roman" w:cs="Times New Roman"/>
            <w:noProof/>
            <w:sz w:val="20"/>
            <w:szCs w:val="20"/>
          </w:rPr>
          <w:fldChar w:fldCharType="end"/>
        </w:r>
      </w:p>
    </w:sdtContent>
  </w:sdt>
  <w:p w14:paraId="78547154" w14:textId="77777777" w:rsidR="00F81AD3" w:rsidRPr="00F81AD3" w:rsidRDefault="00F81AD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B83BD" w14:textId="77777777" w:rsidR="00537C0B" w:rsidRDefault="00537C0B" w:rsidP="00F81AD3">
      <w:pPr>
        <w:spacing w:after="0" w:line="240" w:lineRule="auto"/>
      </w:pPr>
      <w:r>
        <w:separator/>
      </w:r>
    </w:p>
  </w:footnote>
  <w:footnote w:type="continuationSeparator" w:id="0">
    <w:p w14:paraId="07366822" w14:textId="77777777" w:rsidR="00537C0B" w:rsidRDefault="00537C0B" w:rsidP="00F81A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F4A"/>
    <w:rsid w:val="00150B2F"/>
    <w:rsid w:val="00537C0B"/>
    <w:rsid w:val="00555B99"/>
    <w:rsid w:val="005E4CE0"/>
    <w:rsid w:val="008F1F4A"/>
    <w:rsid w:val="009701B1"/>
    <w:rsid w:val="00CE310D"/>
    <w:rsid w:val="00CE4675"/>
    <w:rsid w:val="00D53438"/>
    <w:rsid w:val="00F81AD3"/>
    <w:rsid w:val="00FD11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05FF8"/>
  <w15:chartTrackingRefBased/>
  <w15:docId w15:val="{16FA5060-1CC8-40D9-8204-FFB7E06BD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438"/>
    <w:pPr>
      <w:spacing w:line="360" w:lineRule="auto"/>
      <w:jc w:val="both"/>
      <w:outlineLvl w:val="0"/>
    </w:pPr>
    <w:rPr>
      <w:rFonts w:ascii="Times New Roman" w:hAnsi="Times New Roman" w:cs="Times New Roman"/>
      <w:b/>
      <w:bCs/>
      <w:lang w:val="en-GB"/>
    </w:rPr>
  </w:style>
  <w:style w:type="paragraph" w:styleId="Heading2">
    <w:name w:val="heading 2"/>
    <w:basedOn w:val="Normal"/>
    <w:next w:val="Normal"/>
    <w:link w:val="Heading2Char"/>
    <w:uiPriority w:val="9"/>
    <w:unhideWhenUsed/>
    <w:qFormat/>
    <w:rsid w:val="00D53438"/>
    <w:pPr>
      <w:spacing w:line="360" w:lineRule="auto"/>
      <w:jc w:val="both"/>
      <w:outlineLvl w:val="1"/>
    </w:pPr>
    <w:rPr>
      <w:rFonts w:ascii="Times New Roman" w:hAnsi="Times New Roman" w:cs="Times New Roman"/>
      <w:b/>
      <w:bCs/>
      <w:lang w:val="en-GB"/>
    </w:rPr>
  </w:style>
  <w:style w:type="paragraph" w:styleId="Heading3">
    <w:name w:val="heading 3"/>
    <w:basedOn w:val="Normal"/>
    <w:next w:val="Normal"/>
    <w:link w:val="Heading3Char"/>
    <w:uiPriority w:val="9"/>
    <w:semiHidden/>
    <w:unhideWhenUsed/>
    <w:qFormat/>
    <w:rsid w:val="008F1F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F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F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F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F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F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F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438"/>
    <w:rPr>
      <w:rFonts w:ascii="Times New Roman" w:hAnsi="Times New Roman" w:cs="Times New Roman"/>
      <w:b/>
      <w:bCs/>
      <w:lang w:val="en-GB"/>
    </w:rPr>
  </w:style>
  <w:style w:type="character" w:customStyle="1" w:styleId="Heading2Char">
    <w:name w:val="Heading 2 Char"/>
    <w:basedOn w:val="DefaultParagraphFont"/>
    <w:link w:val="Heading2"/>
    <w:uiPriority w:val="9"/>
    <w:rsid w:val="00D53438"/>
    <w:rPr>
      <w:rFonts w:ascii="Times New Roman" w:hAnsi="Times New Roman" w:cs="Times New Roman"/>
      <w:b/>
      <w:bCs/>
      <w:lang w:val="en-GB"/>
    </w:rPr>
  </w:style>
  <w:style w:type="character" w:customStyle="1" w:styleId="Heading3Char">
    <w:name w:val="Heading 3 Char"/>
    <w:basedOn w:val="DefaultParagraphFont"/>
    <w:link w:val="Heading3"/>
    <w:uiPriority w:val="9"/>
    <w:semiHidden/>
    <w:rsid w:val="008F1F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F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F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F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F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F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F4A"/>
    <w:rPr>
      <w:rFonts w:eastAsiaTheme="majorEastAsia" w:cstheme="majorBidi"/>
      <w:color w:val="272727" w:themeColor="text1" w:themeTint="D8"/>
    </w:rPr>
  </w:style>
  <w:style w:type="paragraph" w:styleId="Title">
    <w:name w:val="Title"/>
    <w:basedOn w:val="Normal"/>
    <w:next w:val="Normal"/>
    <w:link w:val="TitleChar"/>
    <w:uiPriority w:val="10"/>
    <w:qFormat/>
    <w:rsid w:val="008F1F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F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F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F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F4A"/>
    <w:pPr>
      <w:spacing w:before="160"/>
      <w:jc w:val="center"/>
    </w:pPr>
    <w:rPr>
      <w:i/>
      <w:iCs/>
      <w:color w:val="404040" w:themeColor="text1" w:themeTint="BF"/>
    </w:rPr>
  </w:style>
  <w:style w:type="character" w:customStyle="1" w:styleId="QuoteChar">
    <w:name w:val="Quote Char"/>
    <w:basedOn w:val="DefaultParagraphFont"/>
    <w:link w:val="Quote"/>
    <w:uiPriority w:val="29"/>
    <w:rsid w:val="008F1F4A"/>
    <w:rPr>
      <w:i/>
      <w:iCs/>
      <w:color w:val="404040" w:themeColor="text1" w:themeTint="BF"/>
    </w:rPr>
  </w:style>
  <w:style w:type="paragraph" w:styleId="ListParagraph">
    <w:name w:val="List Paragraph"/>
    <w:basedOn w:val="Normal"/>
    <w:uiPriority w:val="34"/>
    <w:qFormat/>
    <w:rsid w:val="008F1F4A"/>
    <w:pPr>
      <w:ind w:left="720"/>
      <w:contextualSpacing/>
    </w:pPr>
  </w:style>
  <w:style w:type="character" w:styleId="IntenseEmphasis">
    <w:name w:val="Intense Emphasis"/>
    <w:basedOn w:val="DefaultParagraphFont"/>
    <w:uiPriority w:val="21"/>
    <w:qFormat/>
    <w:rsid w:val="008F1F4A"/>
    <w:rPr>
      <w:i/>
      <w:iCs/>
      <w:color w:val="0F4761" w:themeColor="accent1" w:themeShade="BF"/>
    </w:rPr>
  </w:style>
  <w:style w:type="paragraph" w:styleId="IntenseQuote">
    <w:name w:val="Intense Quote"/>
    <w:basedOn w:val="Normal"/>
    <w:next w:val="Normal"/>
    <w:link w:val="IntenseQuoteChar"/>
    <w:uiPriority w:val="30"/>
    <w:qFormat/>
    <w:rsid w:val="008F1F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F4A"/>
    <w:rPr>
      <w:i/>
      <w:iCs/>
      <w:color w:val="0F4761" w:themeColor="accent1" w:themeShade="BF"/>
    </w:rPr>
  </w:style>
  <w:style w:type="character" w:styleId="IntenseReference">
    <w:name w:val="Intense Reference"/>
    <w:basedOn w:val="DefaultParagraphFont"/>
    <w:uiPriority w:val="32"/>
    <w:qFormat/>
    <w:rsid w:val="008F1F4A"/>
    <w:rPr>
      <w:b/>
      <w:bCs/>
      <w:smallCaps/>
      <w:color w:val="0F4761" w:themeColor="accent1" w:themeShade="BF"/>
      <w:spacing w:val="5"/>
    </w:rPr>
  </w:style>
  <w:style w:type="paragraph" w:styleId="TOCHeading">
    <w:name w:val="TOC Heading"/>
    <w:basedOn w:val="Heading1"/>
    <w:next w:val="Normal"/>
    <w:uiPriority w:val="39"/>
    <w:unhideWhenUsed/>
    <w:qFormat/>
    <w:rsid w:val="00F81AD3"/>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81AD3"/>
    <w:pPr>
      <w:spacing w:after="100"/>
    </w:pPr>
  </w:style>
  <w:style w:type="paragraph" w:styleId="TOC2">
    <w:name w:val="toc 2"/>
    <w:basedOn w:val="Normal"/>
    <w:next w:val="Normal"/>
    <w:autoRedefine/>
    <w:uiPriority w:val="39"/>
    <w:unhideWhenUsed/>
    <w:rsid w:val="00F81AD3"/>
    <w:pPr>
      <w:spacing w:after="100"/>
      <w:ind w:left="240"/>
    </w:pPr>
  </w:style>
  <w:style w:type="character" w:styleId="Hyperlink">
    <w:name w:val="Hyperlink"/>
    <w:basedOn w:val="DefaultParagraphFont"/>
    <w:uiPriority w:val="99"/>
    <w:unhideWhenUsed/>
    <w:rsid w:val="00F81AD3"/>
    <w:rPr>
      <w:color w:val="467886" w:themeColor="hyperlink"/>
      <w:u w:val="single"/>
    </w:rPr>
  </w:style>
  <w:style w:type="paragraph" w:styleId="Header">
    <w:name w:val="header"/>
    <w:basedOn w:val="Normal"/>
    <w:link w:val="HeaderChar"/>
    <w:uiPriority w:val="99"/>
    <w:unhideWhenUsed/>
    <w:rsid w:val="00F81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AD3"/>
  </w:style>
  <w:style w:type="paragraph" w:styleId="Footer">
    <w:name w:val="footer"/>
    <w:basedOn w:val="Normal"/>
    <w:link w:val="FooterChar"/>
    <w:uiPriority w:val="99"/>
    <w:unhideWhenUsed/>
    <w:rsid w:val="00F81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AD3"/>
  </w:style>
  <w:style w:type="character" w:styleId="UnresolvedMention">
    <w:name w:val="Unresolved Mention"/>
    <w:basedOn w:val="DefaultParagraphFont"/>
    <w:uiPriority w:val="99"/>
    <w:semiHidden/>
    <w:unhideWhenUsed/>
    <w:rsid w:val="00F81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kenresearch.com/industry-reports/india-environmental-technology-marke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usiness.adobe.com/resources/digital-trends-report.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DCF55-A819-4AB9-A22E-9CBB8EBEA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15</Pages>
  <Words>3557</Words>
  <Characters>20278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Raju Manik</dc:creator>
  <cp:keywords/>
  <dc:description/>
  <cp:lastModifiedBy>VAIDIK KOLADIYA</cp:lastModifiedBy>
  <cp:revision>7</cp:revision>
  <dcterms:created xsi:type="dcterms:W3CDTF">2025-11-15T14:52:00Z</dcterms:created>
  <dcterms:modified xsi:type="dcterms:W3CDTF">2025-11-20T16:44:00Z</dcterms:modified>
</cp:coreProperties>
</file>