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48A8E" w14:textId="79C53AAA" w:rsidR="001D6288" w:rsidRPr="001D6288" w:rsidRDefault="001D6288" w:rsidP="001D6288">
      <w:pPr>
        <w:jc w:val="center"/>
        <w:rPr>
          <w:rFonts w:cstheme="minorHAnsi"/>
          <w:b/>
          <w:bCs/>
          <w:u w:val="single"/>
        </w:rPr>
      </w:pPr>
      <w:r w:rsidRPr="001D6288">
        <w:rPr>
          <w:rFonts w:cstheme="minorHAnsi"/>
          <w:b/>
          <w:bCs/>
          <w:u w:val="single"/>
        </w:rPr>
        <w:t xml:space="preserve">A critical evaluation and identification of next teaching </w:t>
      </w:r>
      <w:r w:rsidRPr="001D6288">
        <w:rPr>
          <w:rFonts w:cstheme="minorHAnsi"/>
          <w:b/>
          <w:bCs/>
          <w:u w:val="single"/>
        </w:rPr>
        <w:t>a</w:t>
      </w:r>
      <w:r w:rsidRPr="001D6288">
        <w:rPr>
          <w:rFonts w:cstheme="minorHAnsi"/>
          <w:b/>
          <w:bCs/>
          <w:u w:val="single"/>
        </w:rPr>
        <w:t>nd learning steps focusing on a case study of an individual learner or a group of learners, based on an observed critical incident.</w:t>
      </w:r>
    </w:p>
    <w:p w14:paraId="1E68854B" w14:textId="2ACE59B3" w:rsidR="001D6288" w:rsidRPr="001D6288" w:rsidRDefault="001D6288" w:rsidP="001D6288">
      <w:pPr>
        <w:jc w:val="center"/>
        <w:rPr>
          <w:rFonts w:cstheme="minorHAnsi"/>
          <w:b/>
          <w:bCs/>
          <w:u w:val="single"/>
        </w:rPr>
      </w:pPr>
    </w:p>
    <w:p w14:paraId="379A4331" w14:textId="15AD3FF6" w:rsidR="001D6288" w:rsidRPr="001D6288" w:rsidRDefault="001D6288" w:rsidP="001D6288">
      <w:pPr>
        <w:jc w:val="center"/>
        <w:rPr>
          <w:rFonts w:cstheme="minorHAnsi"/>
        </w:rPr>
      </w:pPr>
      <w:r w:rsidRPr="001D6288">
        <w:rPr>
          <w:rFonts w:cstheme="minorHAnsi"/>
        </w:rPr>
        <w:t>Student Number: 2203181</w:t>
      </w:r>
    </w:p>
    <w:p w14:paraId="75BC16C3" w14:textId="30C25CA0" w:rsidR="001D6288" w:rsidRPr="001D6288" w:rsidRDefault="001D6288" w:rsidP="001D6288">
      <w:pPr>
        <w:jc w:val="center"/>
        <w:rPr>
          <w:rFonts w:cstheme="minorHAnsi"/>
        </w:rPr>
      </w:pPr>
      <w:r w:rsidRPr="001D6288">
        <w:rPr>
          <w:rFonts w:cstheme="minorHAnsi"/>
        </w:rPr>
        <w:t>Word Count: 3666/4000</w:t>
      </w:r>
    </w:p>
    <w:p w14:paraId="27B10AB7" w14:textId="77777777" w:rsidR="001D6288" w:rsidRPr="001D6288" w:rsidRDefault="001D6288" w:rsidP="001D6288">
      <w:pPr>
        <w:jc w:val="center"/>
        <w:rPr>
          <w:rFonts w:cstheme="minorHAnsi"/>
          <w:b/>
          <w:bCs/>
          <w:u w:val="single"/>
        </w:rPr>
      </w:pPr>
    </w:p>
    <w:p w14:paraId="3ACF92F6" w14:textId="77777777" w:rsidR="001D6288" w:rsidRPr="001D6288" w:rsidRDefault="001D6288" w:rsidP="00D47530">
      <w:pPr>
        <w:rPr>
          <w:rFonts w:cstheme="minorHAnsi"/>
          <w:b/>
          <w:bCs/>
          <w:u w:val="single"/>
        </w:rPr>
      </w:pPr>
    </w:p>
    <w:p w14:paraId="3A36FF1F" w14:textId="16043770" w:rsidR="00D47530" w:rsidRPr="001D6288" w:rsidRDefault="00D47530" w:rsidP="00D47530">
      <w:pPr>
        <w:rPr>
          <w:rFonts w:cstheme="minorHAnsi"/>
          <w:b/>
          <w:bCs/>
          <w:u w:val="single"/>
        </w:rPr>
      </w:pPr>
      <w:r w:rsidRPr="001D6288">
        <w:rPr>
          <w:rFonts w:cstheme="minorHAnsi"/>
          <w:b/>
          <w:bCs/>
          <w:u w:val="single"/>
        </w:rPr>
        <w:t>INTRODUCTION</w:t>
      </w:r>
    </w:p>
    <w:p w14:paraId="290A7F25" w14:textId="77777777" w:rsidR="00484AC4" w:rsidRPr="001D6288" w:rsidRDefault="00484AC4" w:rsidP="00484AC4">
      <w:pPr>
        <w:rPr>
          <w:rFonts w:cstheme="minorHAnsi"/>
        </w:rPr>
      </w:pPr>
    </w:p>
    <w:p w14:paraId="0D2A8822" w14:textId="4CC01DB2" w:rsidR="00484AC4" w:rsidRPr="001D6288" w:rsidRDefault="00484AC4" w:rsidP="00484AC4">
      <w:pPr>
        <w:ind w:firstLine="360"/>
        <w:rPr>
          <w:rFonts w:cstheme="minorHAnsi"/>
        </w:rPr>
      </w:pPr>
      <w:r w:rsidRPr="001D6288">
        <w:rPr>
          <w:rFonts w:cstheme="minorHAnsi"/>
        </w:rPr>
        <w:t>A critical incident, despite the impression given by the name, is a</w:t>
      </w:r>
      <w:r w:rsidR="00103D50" w:rsidRPr="001D6288">
        <w:rPr>
          <w:rFonts w:cstheme="minorHAnsi"/>
        </w:rPr>
        <w:t xml:space="preserve"> seemingly ‘normal’</w:t>
      </w:r>
      <w:r w:rsidRPr="001D6288">
        <w:rPr>
          <w:rFonts w:cstheme="minorHAnsi"/>
        </w:rPr>
        <w:t xml:space="preserve"> observation that becomes critical by analysing and reflecting on the meaning of the event (Tripp, 2011). Critical incidents can also</w:t>
      </w:r>
      <w:r w:rsidR="00103D50" w:rsidRPr="001D6288">
        <w:rPr>
          <w:rFonts w:cstheme="minorHAnsi"/>
        </w:rPr>
        <w:t xml:space="preserve"> be</w:t>
      </w:r>
      <w:r w:rsidRPr="001D6288">
        <w:rPr>
          <w:rFonts w:cstheme="minorHAnsi"/>
        </w:rPr>
        <w:t xml:space="preserve"> routines, as </w:t>
      </w:r>
      <w:r w:rsidR="00103D50" w:rsidRPr="001D6288">
        <w:rPr>
          <w:rFonts w:cstheme="minorHAnsi"/>
        </w:rPr>
        <w:t>critical</w:t>
      </w:r>
      <w:r w:rsidRPr="001D6288">
        <w:rPr>
          <w:rFonts w:cstheme="minorHAnsi"/>
        </w:rPr>
        <w:t xml:space="preserve"> incidents </w:t>
      </w:r>
      <w:r w:rsidR="00103D50" w:rsidRPr="001D6288">
        <w:rPr>
          <w:rFonts w:cstheme="minorHAnsi"/>
        </w:rPr>
        <w:t xml:space="preserve">often bring the most frequent practices into light. Richards and Farrell (2005) suggest that analysing critical incidents is important for teachers to do, in part because it prompts the evaluation of established routines and procedures. The topic of the critical incident analysed in this assignment is metacognition, and in particular, the way it is implemented in a Year 6 class. The literature in the field of metacognition is explored, highlighting some key considerations that consolidate understanding of the role of a primary school teacher in implementing metacognition. The </w:t>
      </w:r>
      <w:r w:rsidR="00C85111" w:rsidRPr="001D6288">
        <w:rPr>
          <w:rFonts w:cstheme="minorHAnsi"/>
        </w:rPr>
        <w:t>theory of</w:t>
      </w:r>
      <w:r w:rsidR="00103D50" w:rsidRPr="001D6288">
        <w:rPr>
          <w:rFonts w:cstheme="minorHAnsi"/>
        </w:rPr>
        <w:t xml:space="preserve"> metacognition</w:t>
      </w:r>
      <w:r w:rsidR="00C85111" w:rsidRPr="001D6288">
        <w:rPr>
          <w:rFonts w:cstheme="minorHAnsi"/>
        </w:rPr>
        <w:t xml:space="preserve"> </w:t>
      </w:r>
      <w:r w:rsidR="00103D50" w:rsidRPr="001D6288">
        <w:rPr>
          <w:rFonts w:cstheme="minorHAnsi"/>
        </w:rPr>
        <w:t xml:space="preserve">has </w:t>
      </w:r>
      <w:r w:rsidR="00C85111" w:rsidRPr="001D6288">
        <w:rPr>
          <w:rFonts w:cstheme="minorHAnsi"/>
        </w:rPr>
        <w:t xml:space="preserve">a </w:t>
      </w:r>
      <w:r w:rsidR="00103D50" w:rsidRPr="001D6288">
        <w:rPr>
          <w:rFonts w:cstheme="minorHAnsi"/>
        </w:rPr>
        <w:t xml:space="preserve">clear </w:t>
      </w:r>
      <w:r w:rsidR="00C85111" w:rsidRPr="001D6288">
        <w:rPr>
          <w:rFonts w:cstheme="minorHAnsi"/>
        </w:rPr>
        <w:t>place</w:t>
      </w:r>
      <w:r w:rsidR="00103D50" w:rsidRPr="001D6288">
        <w:rPr>
          <w:rFonts w:cstheme="minorHAnsi"/>
          <w:b/>
          <w:bCs/>
        </w:rPr>
        <w:t xml:space="preserve"> </w:t>
      </w:r>
      <w:r w:rsidR="00103D50" w:rsidRPr="001D6288">
        <w:rPr>
          <w:rFonts w:cstheme="minorHAnsi"/>
        </w:rPr>
        <w:t>in the Curriculum for Wales (2022</w:t>
      </w:r>
      <w:r w:rsidR="00E021CB" w:rsidRPr="001D6288">
        <w:rPr>
          <w:rFonts w:cstheme="minorHAnsi"/>
        </w:rPr>
        <w:t>a</w:t>
      </w:r>
      <w:r w:rsidR="00103D50" w:rsidRPr="001D6288">
        <w:rPr>
          <w:rFonts w:cstheme="minorHAnsi"/>
        </w:rPr>
        <w:t>),</w:t>
      </w:r>
      <w:r w:rsidR="00C85111" w:rsidRPr="001D6288">
        <w:rPr>
          <w:rFonts w:cstheme="minorHAnsi"/>
        </w:rPr>
        <w:t xml:space="preserve"> and metacognition has a place in teaching as well as learning, and reflection plays an important part. Reflective practice is important in keeping teachers accountable and aware of the empirical evidence </w:t>
      </w:r>
      <w:r w:rsidR="00564CA8" w:rsidRPr="001D6288">
        <w:rPr>
          <w:rFonts w:cstheme="minorHAnsi"/>
        </w:rPr>
        <w:t xml:space="preserve">(Farrell, 2012). </w:t>
      </w:r>
    </w:p>
    <w:p w14:paraId="15DA3D9C" w14:textId="707A3B0C" w:rsidR="00D47530" w:rsidRPr="001D6288" w:rsidRDefault="00D47530" w:rsidP="00D47530">
      <w:pPr>
        <w:rPr>
          <w:rFonts w:cstheme="minorHAnsi"/>
        </w:rPr>
      </w:pPr>
    </w:p>
    <w:p w14:paraId="1C38301A" w14:textId="77777777" w:rsidR="00D47530" w:rsidRPr="001D6288" w:rsidRDefault="00D47530" w:rsidP="00D47530">
      <w:pPr>
        <w:rPr>
          <w:rFonts w:cstheme="minorHAnsi"/>
        </w:rPr>
      </w:pPr>
    </w:p>
    <w:p w14:paraId="4AF6BB0B" w14:textId="75FB6449" w:rsidR="004279B2" w:rsidRPr="001D6288" w:rsidRDefault="00564CA8" w:rsidP="00D47530">
      <w:pPr>
        <w:rPr>
          <w:rFonts w:cstheme="minorHAnsi"/>
          <w:b/>
          <w:bCs/>
          <w:u w:val="single"/>
        </w:rPr>
      </w:pPr>
      <w:r w:rsidRPr="001D6288">
        <w:rPr>
          <w:rFonts w:cstheme="minorHAnsi"/>
          <w:b/>
          <w:bCs/>
          <w:u w:val="single"/>
        </w:rPr>
        <w:t xml:space="preserve">THE ROLE OF CRITICAL REFLECTION </w:t>
      </w:r>
    </w:p>
    <w:p w14:paraId="1DB70911" w14:textId="45C581F8" w:rsidR="004279B2" w:rsidRPr="001D6288" w:rsidRDefault="004279B2" w:rsidP="00D47530">
      <w:pPr>
        <w:rPr>
          <w:rFonts w:cstheme="minorHAnsi"/>
        </w:rPr>
      </w:pPr>
    </w:p>
    <w:p w14:paraId="468D9F30" w14:textId="62868343" w:rsidR="00DE3C51" w:rsidRPr="001D6288" w:rsidRDefault="003E51E5" w:rsidP="0044654C">
      <w:pPr>
        <w:ind w:firstLine="720"/>
        <w:rPr>
          <w:rFonts w:cstheme="minorHAnsi"/>
        </w:rPr>
      </w:pPr>
      <w:r w:rsidRPr="001D6288">
        <w:rPr>
          <w:rFonts w:cstheme="minorHAnsi"/>
        </w:rPr>
        <w:t xml:space="preserve">John Dewey had a significant influence on the concept of </w:t>
      </w:r>
      <w:r w:rsidR="00DC5B01" w:rsidRPr="001D6288">
        <w:rPr>
          <w:rFonts w:cstheme="minorHAnsi"/>
        </w:rPr>
        <w:t xml:space="preserve">the </w:t>
      </w:r>
      <w:r w:rsidRPr="001D6288">
        <w:rPr>
          <w:rFonts w:cstheme="minorHAnsi"/>
        </w:rPr>
        <w:t xml:space="preserve">reflective </w:t>
      </w:r>
      <w:r w:rsidR="00DE3C51" w:rsidRPr="001D6288">
        <w:rPr>
          <w:rFonts w:cstheme="minorHAnsi"/>
        </w:rPr>
        <w:t>practitioner</w:t>
      </w:r>
      <w:r w:rsidRPr="001D6288">
        <w:rPr>
          <w:rFonts w:cstheme="minorHAnsi"/>
        </w:rPr>
        <w:t xml:space="preserve"> and professional development.</w:t>
      </w:r>
      <w:r w:rsidR="009F0590" w:rsidRPr="001D6288">
        <w:rPr>
          <w:rFonts w:cstheme="minorHAnsi"/>
        </w:rPr>
        <w:t xml:space="preserve"> Dewey’s definition of reflective thinking is “an </w:t>
      </w:r>
      <w:r w:rsidR="009F0590" w:rsidRPr="001D6288">
        <w:rPr>
          <w:rFonts w:cstheme="minorHAnsi"/>
        </w:rPr>
        <w:t>active, persistent, and careful consideration of any belief or supposed form of knowledge</w:t>
      </w:r>
      <w:r w:rsidR="009F0590" w:rsidRPr="001D6288">
        <w:rPr>
          <w:rFonts w:cstheme="minorHAnsi"/>
        </w:rPr>
        <w:t>” (</w:t>
      </w:r>
      <w:r w:rsidR="00E021CB" w:rsidRPr="001D6288">
        <w:rPr>
          <w:rFonts w:cstheme="minorHAnsi"/>
        </w:rPr>
        <w:t xml:space="preserve">The Open University, </w:t>
      </w:r>
      <w:proofErr w:type="spellStart"/>
      <w:r w:rsidR="00E021CB" w:rsidRPr="001D6288">
        <w:rPr>
          <w:rFonts w:cstheme="minorHAnsi"/>
        </w:rPr>
        <w:t>n.d</w:t>
      </w:r>
      <w:proofErr w:type="spellEnd"/>
      <w:r w:rsidR="009F0590" w:rsidRPr="001D6288">
        <w:rPr>
          <w:rFonts w:cstheme="minorHAnsi"/>
        </w:rPr>
        <w:t>)</w:t>
      </w:r>
      <w:r w:rsidR="0044654C" w:rsidRPr="001D6288">
        <w:rPr>
          <w:rFonts w:cstheme="minorHAnsi"/>
        </w:rPr>
        <w:t xml:space="preserve">. </w:t>
      </w:r>
      <w:r w:rsidRPr="001D6288">
        <w:rPr>
          <w:rFonts w:cstheme="minorHAnsi"/>
        </w:rPr>
        <w:t xml:space="preserve"> He made a distinction between ‘routinised’ teaching and ‘reflective’ teaching</w:t>
      </w:r>
      <w:r w:rsidR="00DE3C51" w:rsidRPr="001D6288">
        <w:rPr>
          <w:rFonts w:cstheme="minorHAnsi"/>
        </w:rPr>
        <w:t xml:space="preserve"> (</w:t>
      </w:r>
      <w:r w:rsidR="00FB2AB5" w:rsidRPr="001D6288">
        <w:rPr>
          <w:rFonts w:cstheme="minorHAnsi"/>
        </w:rPr>
        <w:t>Pollard,</w:t>
      </w:r>
      <w:r w:rsidR="00DE3C51" w:rsidRPr="001D6288">
        <w:rPr>
          <w:rFonts w:cstheme="minorHAnsi"/>
        </w:rPr>
        <w:t xml:space="preserve"> 2014)</w:t>
      </w:r>
      <w:r w:rsidRPr="001D6288">
        <w:rPr>
          <w:rFonts w:cstheme="minorHAnsi"/>
        </w:rPr>
        <w:t xml:space="preserve">. </w:t>
      </w:r>
      <w:r w:rsidR="00DE3C51" w:rsidRPr="001D6288">
        <w:rPr>
          <w:rFonts w:cstheme="minorHAnsi"/>
        </w:rPr>
        <w:t xml:space="preserve">It is important that as teachers, we question why we do things, rather than simply accepting historical ideas of best practice, or ones unsupported by research evidence (Yelland and Kilderry, 2005).  </w:t>
      </w:r>
      <w:r w:rsidR="00DE3C51" w:rsidRPr="001D6288">
        <w:rPr>
          <w:rFonts w:cstheme="minorHAnsi"/>
        </w:rPr>
        <w:t>According to Dewey, the key features of a reflective experience include perplexity or doubt (</w:t>
      </w:r>
      <w:r w:rsidR="00E021CB" w:rsidRPr="001D6288">
        <w:rPr>
          <w:rFonts w:cstheme="minorHAnsi"/>
        </w:rPr>
        <w:t>P</w:t>
      </w:r>
      <w:r w:rsidR="00DE3C51" w:rsidRPr="001D6288">
        <w:rPr>
          <w:rFonts w:cstheme="minorHAnsi"/>
        </w:rPr>
        <w:t>ollard</w:t>
      </w:r>
      <w:r w:rsidR="00E021CB" w:rsidRPr="001D6288">
        <w:rPr>
          <w:rFonts w:cstheme="minorHAnsi"/>
        </w:rPr>
        <w:t>,</w:t>
      </w:r>
      <w:r w:rsidR="00DE3C51" w:rsidRPr="001D6288">
        <w:rPr>
          <w:rFonts w:cstheme="minorHAnsi"/>
        </w:rPr>
        <w:t xml:space="preserve"> 2014</w:t>
      </w:r>
      <w:r w:rsidR="00DE3C51" w:rsidRPr="001D6288">
        <w:rPr>
          <w:rFonts w:cstheme="minorHAnsi"/>
        </w:rPr>
        <w:t>), which was the catalyst for my critical incident observation during Bridging.</w:t>
      </w:r>
      <w:r w:rsidR="00DC5B01" w:rsidRPr="001D6288">
        <w:rPr>
          <w:rFonts w:cstheme="minorHAnsi"/>
        </w:rPr>
        <w:t xml:space="preserve"> </w:t>
      </w:r>
      <w:r w:rsidR="009B5D57" w:rsidRPr="001D6288">
        <w:rPr>
          <w:rFonts w:cstheme="minorHAnsi"/>
        </w:rPr>
        <w:t>Critical reflection, according to (</w:t>
      </w:r>
      <w:proofErr w:type="spellStart"/>
      <w:r w:rsidR="009B5D57" w:rsidRPr="001D6288">
        <w:rPr>
          <w:rFonts w:cstheme="minorHAnsi"/>
        </w:rPr>
        <w:t>Shandomo</w:t>
      </w:r>
      <w:proofErr w:type="spellEnd"/>
      <w:r w:rsidR="009B5D57" w:rsidRPr="001D6288">
        <w:rPr>
          <w:rFonts w:cstheme="minorHAnsi"/>
        </w:rPr>
        <w:t>, 2010) blends learning through experience, with theoretical understanding, to form new knowledge construction and insights.</w:t>
      </w:r>
    </w:p>
    <w:p w14:paraId="4BD01D81" w14:textId="77777777" w:rsidR="00ED30C0" w:rsidRPr="001D6288" w:rsidRDefault="00ED30C0" w:rsidP="0044654C">
      <w:pPr>
        <w:rPr>
          <w:rFonts w:cstheme="minorHAnsi"/>
        </w:rPr>
      </w:pPr>
    </w:p>
    <w:p w14:paraId="6FA109B0" w14:textId="27504D82" w:rsidR="00ED30C0" w:rsidRPr="001D6288" w:rsidRDefault="00DE3C51" w:rsidP="00DC5B01">
      <w:pPr>
        <w:ind w:firstLine="720"/>
        <w:rPr>
          <w:rFonts w:cstheme="minorHAnsi"/>
        </w:rPr>
      </w:pPr>
      <w:r w:rsidRPr="001D6288">
        <w:rPr>
          <w:rFonts w:cstheme="minorHAnsi"/>
        </w:rPr>
        <w:t xml:space="preserve">Considering the requirement of the Welsh curriculum to foster lifelong learning, it would seem counterintuitive for teachers to not adopt </w:t>
      </w:r>
      <w:r w:rsidR="00DC5B01" w:rsidRPr="001D6288">
        <w:rPr>
          <w:rFonts w:cstheme="minorHAnsi"/>
        </w:rPr>
        <w:t>the</w:t>
      </w:r>
      <w:r w:rsidRPr="001D6288">
        <w:rPr>
          <w:rFonts w:cstheme="minorHAnsi"/>
        </w:rPr>
        <w:t xml:space="preserve"> principle </w:t>
      </w:r>
      <w:r w:rsidR="00DC5B01" w:rsidRPr="001D6288">
        <w:rPr>
          <w:rFonts w:cstheme="minorHAnsi"/>
        </w:rPr>
        <w:t xml:space="preserve">of continual development </w:t>
      </w:r>
      <w:r w:rsidRPr="001D6288">
        <w:rPr>
          <w:rFonts w:cstheme="minorHAnsi"/>
        </w:rPr>
        <w:t xml:space="preserve">themselves. </w:t>
      </w:r>
      <w:r w:rsidR="009F0590" w:rsidRPr="001D6288">
        <w:rPr>
          <w:rFonts w:cstheme="minorHAnsi"/>
        </w:rPr>
        <w:t xml:space="preserve"> Hansen </w:t>
      </w:r>
      <w:r w:rsidR="00D11D8D" w:rsidRPr="001D6288">
        <w:rPr>
          <w:rFonts w:cstheme="minorHAnsi"/>
        </w:rPr>
        <w:t xml:space="preserve">(2013) </w:t>
      </w:r>
      <w:r w:rsidR="009F0590" w:rsidRPr="001D6288">
        <w:rPr>
          <w:rFonts w:cstheme="minorHAnsi"/>
        </w:rPr>
        <w:t>refers to teaching and learning as symbiotic, and that reflection is a component within this relationship.</w:t>
      </w:r>
      <w:r w:rsidR="0044654C" w:rsidRPr="001D6288">
        <w:rPr>
          <w:rFonts w:cstheme="minorHAnsi"/>
        </w:rPr>
        <w:t xml:space="preserve"> </w:t>
      </w:r>
      <w:r w:rsidR="00C0068F" w:rsidRPr="001D6288">
        <w:rPr>
          <w:rFonts w:cstheme="minorHAnsi"/>
        </w:rPr>
        <w:t xml:space="preserve">The necessity for teachers to be reflective is evident in the </w:t>
      </w:r>
      <w:r w:rsidR="00ED30C0" w:rsidRPr="001D6288">
        <w:rPr>
          <w:rFonts w:cstheme="minorHAnsi"/>
        </w:rPr>
        <w:t>Professional</w:t>
      </w:r>
      <w:r w:rsidR="00C0068F" w:rsidRPr="001D6288">
        <w:rPr>
          <w:rFonts w:cstheme="minorHAnsi"/>
        </w:rPr>
        <w:t xml:space="preserve"> Standards</w:t>
      </w:r>
      <w:r w:rsidR="00ED30C0" w:rsidRPr="001D6288">
        <w:rPr>
          <w:rFonts w:cstheme="minorHAnsi"/>
        </w:rPr>
        <w:t xml:space="preserve"> for Teaching (2017). Reflection is a core part of continuing professional learning, and </w:t>
      </w:r>
      <w:r w:rsidR="00DC5B01" w:rsidRPr="001D6288">
        <w:rPr>
          <w:rFonts w:cstheme="minorHAnsi"/>
        </w:rPr>
        <w:t xml:space="preserve">the standards state that </w:t>
      </w:r>
      <w:r w:rsidR="00EF008A" w:rsidRPr="001D6288">
        <w:rPr>
          <w:rFonts w:cstheme="minorHAnsi"/>
        </w:rPr>
        <w:t>training teachers should be able to evidence how critical analysis has an impact on the development of pedagogy and practice.</w:t>
      </w:r>
      <w:r w:rsidR="00DC5B01" w:rsidRPr="001D6288">
        <w:rPr>
          <w:rFonts w:cstheme="minorHAnsi"/>
        </w:rPr>
        <w:t xml:space="preserve"> Tarrant (2013) discusses how Initial Teacher Education institutions </w:t>
      </w:r>
      <w:r w:rsidR="00DC5B01" w:rsidRPr="001D6288">
        <w:rPr>
          <w:rFonts w:cstheme="minorHAnsi"/>
        </w:rPr>
        <w:lastRenderedPageBreak/>
        <w:t xml:space="preserve">have mechanisms in place to encourage students to reflect on their teaching and learning experiences. In this course, for example, students are provided with numerous opportunities to practice reflection, such as learning journals, bridging processes, and lesson plan evaluations. </w:t>
      </w:r>
    </w:p>
    <w:p w14:paraId="0F50B7DD" w14:textId="6F5F05FC" w:rsidR="00ED30C0" w:rsidRPr="001D6288" w:rsidRDefault="00ED30C0" w:rsidP="00C0068F">
      <w:pPr>
        <w:ind w:firstLine="720"/>
        <w:rPr>
          <w:rFonts w:cstheme="minorHAnsi"/>
        </w:rPr>
      </w:pPr>
    </w:p>
    <w:p w14:paraId="286CB7A2" w14:textId="13A9B238" w:rsidR="00D47530" w:rsidRPr="001D6288" w:rsidRDefault="00EF008A" w:rsidP="001D6288">
      <w:pPr>
        <w:ind w:firstLine="720"/>
        <w:rPr>
          <w:rFonts w:cstheme="minorHAnsi"/>
        </w:rPr>
      </w:pPr>
      <w:r w:rsidRPr="001D6288">
        <w:rPr>
          <w:rFonts w:cstheme="minorHAnsi"/>
        </w:rPr>
        <w:t xml:space="preserve">The </w:t>
      </w:r>
      <w:r w:rsidR="00ED30C0" w:rsidRPr="001D6288">
        <w:rPr>
          <w:rFonts w:cstheme="minorHAnsi"/>
        </w:rPr>
        <w:t>Curriculum for Wales (2022</w:t>
      </w:r>
      <w:r w:rsidR="00E021CB" w:rsidRPr="001D6288">
        <w:rPr>
          <w:rFonts w:cstheme="minorHAnsi"/>
        </w:rPr>
        <w:t>a</w:t>
      </w:r>
      <w:r w:rsidR="00ED30C0" w:rsidRPr="001D6288">
        <w:rPr>
          <w:rFonts w:cstheme="minorHAnsi"/>
        </w:rPr>
        <w:t xml:space="preserve">) </w:t>
      </w:r>
      <w:r w:rsidRPr="001D6288">
        <w:rPr>
          <w:rFonts w:cstheme="minorHAnsi"/>
        </w:rPr>
        <w:t>reflects the focus on reflective practice</w:t>
      </w:r>
      <w:r w:rsidR="00ED30C0" w:rsidRPr="001D6288">
        <w:rPr>
          <w:rFonts w:cstheme="minorHAnsi"/>
        </w:rPr>
        <w:t xml:space="preserve">, stating that exploring and reflecting on teaching strategies is a key part of effective pedagogy. </w:t>
      </w:r>
      <w:r w:rsidR="00832913" w:rsidRPr="001D6288">
        <w:rPr>
          <w:rFonts w:cstheme="minorHAnsi"/>
        </w:rPr>
        <w:t>Additionally, the National Pedagogy Project in Wales</w:t>
      </w:r>
      <w:r w:rsidR="00E021CB" w:rsidRPr="001D6288">
        <w:rPr>
          <w:rFonts w:cstheme="minorHAnsi"/>
        </w:rPr>
        <w:t xml:space="preserve"> (HWB Cymru, </w:t>
      </w:r>
      <w:proofErr w:type="spellStart"/>
      <w:r w:rsidR="00E021CB" w:rsidRPr="001D6288">
        <w:rPr>
          <w:rFonts w:cstheme="minorHAnsi"/>
        </w:rPr>
        <w:t>n.d</w:t>
      </w:r>
      <w:proofErr w:type="spellEnd"/>
      <w:r w:rsidR="00E021CB" w:rsidRPr="001D6288">
        <w:rPr>
          <w:rFonts w:cstheme="minorHAnsi"/>
        </w:rPr>
        <w:t>)</w:t>
      </w:r>
      <w:r w:rsidR="00832913" w:rsidRPr="001D6288">
        <w:rPr>
          <w:rFonts w:cstheme="minorHAnsi"/>
        </w:rPr>
        <w:t xml:space="preserve"> aims to support professional dialogue and reflection, as well as develop academic research at a national level. One resource emerging from this project, “Talk Pedagogy for Leaders”, aims to facilitate leaders </w:t>
      </w:r>
      <w:r w:rsidR="00E021CB" w:rsidRPr="001D6288">
        <w:rPr>
          <w:rFonts w:cstheme="minorHAnsi"/>
        </w:rPr>
        <w:t>in</w:t>
      </w:r>
      <w:r w:rsidR="00832913" w:rsidRPr="001D6288">
        <w:rPr>
          <w:rFonts w:cstheme="minorHAnsi"/>
        </w:rPr>
        <w:t xml:space="preserve"> having reflective discussions, and provide stimulus questions to promote reflection and enquiring in relation to pedagogy and professional learning.</w:t>
      </w:r>
      <w:r w:rsidR="00373A71" w:rsidRPr="001D6288">
        <w:rPr>
          <w:rFonts w:cstheme="minorHAnsi"/>
        </w:rPr>
        <w:t xml:space="preserve"> Furthermore, the EWC Code of Professional Conduct (2022) outlines the responsibility of teachers to reflect and evaluate their </w:t>
      </w:r>
      <w:r w:rsidR="00EF4B56" w:rsidRPr="001D6288">
        <w:rPr>
          <w:rFonts w:cstheme="minorHAnsi"/>
        </w:rPr>
        <w:t>practice and</w:t>
      </w:r>
      <w:r w:rsidR="00373A71" w:rsidRPr="001D6288">
        <w:rPr>
          <w:rFonts w:cstheme="minorHAnsi"/>
        </w:rPr>
        <w:t xml:space="preserve"> </w:t>
      </w:r>
      <w:r w:rsidR="00EF4B56" w:rsidRPr="001D6288">
        <w:rPr>
          <w:rFonts w:cstheme="minorHAnsi"/>
        </w:rPr>
        <w:t xml:space="preserve">see </w:t>
      </w:r>
      <w:r w:rsidR="00373A71" w:rsidRPr="001D6288">
        <w:rPr>
          <w:rFonts w:cstheme="minorHAnsi"/>
        </w:rPr>
        <w:t>if</w:t>
      </w:r>
      <w:r w:rsidR="00EF4B56" w:rsidRPr="001D6288">
        <w:rPr>
          <w:rFonts w:cstheme="minorHAnsi"/>
        </w:rPr>
        <w:t xml:space="preserve"> </w:t>
      </w:r>
      <w:r w:rsidR="00373A71" w:rsidRPr="001D6288">
        <w:rPr>
          <w:rFonts w:cstheme="minorHAnsi"/>
        </w:rPr>
        <w:t>practice can be improved.</w:t>
      </w:r>
      <w:r w:rsidR="00832913" w:rsidRPr="001D6288">
        <w:rPr>
          <w:rFonts w:cstheme="minorHAnsi"/>
        </w:rPr>
        <w:t xml:space="preserve"> Clearly, reflective practice is viewed as a priority in the current Welsh context. </w:t>
      </w:r>
    </w:p>
    <w:p w14:paraId="0142A4DA" w14:textId="77777777" w:rsidR="00D47530" w:rsidRPr="001D6288" w:rsidRDefault="00D47530" w:rsidP="00D47530">
      <w:pPr>
        <w:rPr>
          <w:rFonts w:cstheme="minorHAnsi"/>
        </w:rPr>
      </w:pPr>
    </w:p>
    <w:p w14:paraId="5EDFD663" w14:textId="77777777" w:rsidR="00D47530" w:rsidRPr="001D6288" w:rsidRDefault="00D47530" w:rsidP="00D47530">
      <w:pPr>
        <w:rPr>
          <w:rFonts w:cstheme="minorHAnsi"/>
        </w:rPr>
      </w:pPr>
    </w:p>
    <w:p w14:paraId="60520BEB" w14:textId="694422E4" w:rsidR="005B1B4D" w:rsidRPr="001D6288" w:rsidRDefault="00D47530" w:rsidP="00D47530">
      <w:pPr>
        <w:rPr>
          <w:rFonts w:cstheme="minorHAnsi"/>
          <w:b/>
          <w:bCs/>
          <w:u w:val="single"/>
        </w:rPr>
      </w:pPr>
      <w:r w:rsidRPr="001D6288">
        <w:rPr>
          <w:rFonts w:cstheme="minorHAnsi"/>
          <w:b/>
          <w:bCs/>
          <w:u w:val="single"/>
        </w:rPr>
        <w:t xml:space="preserve">OBSERVATION School &amp; Class context </w:t>
      </w:r>
    </w:p>
    <w:p w14:paraId="5254973C" w14:textId="5B6B1751" w:rsidR="00134193" w:rsidRPr="001D6288" w:rsidRDefault="00134193" w:rsidP="00D47530">
      <w:pPr>
        <w:rPr>
          <w:rFonts w:cstheme="minorHAnsi"/>
        </w:rPr>
      </w:pPr>
    </w:p>
    <w:p w14:paraId="01D31E76" w14:textId="6A53D283" w:rsidR="00B46FD5" w:rsidRPr="001D6288" w:rsidRDefault="00657D7E" w:rsidP="00EF4B56">
      <w:pPr>
        <w:ind w:firstLine="720"/>
        <w:rPr>
          <w:rFonts w:cstheme="minorHAnsi"/>
        </w:rPr>
      </w:pPr>
      <w:r w:rsidRPr="001D6288">
        <w:rPr>
          <w:rFonts w:cstheme="minorHAnsi"/>
        </w:rPr>
        <w:t xml:space="preserve">Whilst the school </w:t>
      </w:r>
      <w:r w:rsidR="005E607F" w:rsidRPr="001D6288">
        <w:rPr>
          <w:rFonts w:cstheme="minorHAnsi"/>
        </w:rPr>
        <w:t>cannot</w:t>
      </w:r>
      <w:r w:rsidRPr="001D6288">
        <w:rPr>
          <w:rFonts w:cstheme="minorHAnsi"/>
        </w:rPr>
        <w:t xml:space="preserve"> be named </w:t>
      </w:r>
      <w:proofErr w:type="gramStart"/>
      <w:r w:rsidRPr="001D6288">
        <w:rPr>
          <w:rFonts w:cstheme="minorHAnsi"/>
        </w:rPr>
        <w:t xml:space="preserve">in </w:t>
      </w:r>
      <w:r w:rsidR="005E607F" w:rsidRPr="001D6288">
        <w:rPr>
          <w:rFonts w:cstheme="minorHAnsi"/>
        </w:rPr>
        <w:t>order to</w:t>
      </w:r>
      <w:proofErr w:type="gramEnd"/>
      <w:r w:rsidR="005E607F" w:rsidRPr="001D6288">
        <w:rPr>
          <w:rFonts w:cstheme="minorHAnsi"/>
        </w:rPr>
        <w:t xml:space="preserve"> comply</w:t>
      </w:r>
      <w:r w:rsidRPr="001D6288">
        <w:rPr>
          <w:rFonts w:cstheme="minorHAnsi"/>
        </w:rPr>
        <w:t xml:space="preserve"> with the BERA (2018) guidance, some anonymised data is available to provide context for the observations. </w:t>
      </w:r>
      <w:r w:rsidR="00BB5CCF" w:rsidRPr="001D6288">
        <w:rPr>
          <w:rFonts w:cstheme="minorHAnsi"/>
        </w:rPr>
        <w:t>The school attended for Bridging experience was a large</w:t>
      </w:r>
      <w:r w:rsidR="00B46FD5" w:rsidRPr="001D6288">
        <w:rPr>
          <w:rFonts w:cstheme="minorHAnsi"/>
        </w:rPr>
        <w:t xml:space="preserve">, local </w:t>
      </w:r>
      <w:r w:rsidR="004723CB" w:rsidRPr="001D6288">
        <w:rPr>
          <w:rFonts w:cstheme="minorHAnsi"/>
        </w:rPr>
        <w:t>authority-maintained</w:t>
      </w:r>
      <w:r w:rsidR="00BB5CCF" w:rsidRPr="001D6288">
        <w:rPr>
          <w:rFonts w:cstheme="minorHAnsi"/>
        </w:rPr>
        <w:t xml:space="preserve"> primary school in Swansea, with 582 pupils on roll as of September 2022. The school is multiple form entry, and year groups are split into phases. The school has 10% </w:t>
      </w:r>
      <w:r w:rsidR="00B46FD5" w:rsidRPr="001D6288">
        <w:rPr>
          <w:rFonts w:cstheme="minorHAnsi"/>
        </w:rPr>
        <w:t xml:space="preserve">of </w:t>
      </w:r>
      <w:r w:rsidR="00BB5CCF" w:rsidRPr="001D6288">
        <w:rPr>
          <w:rFonts w:cstheme="minorHAnsi"/>
        </w:rPr>
        <w:t xml:space="preserve">pupils eligible for Free School Meals (FSM), which is lower than the national average of 23.3% </w:t>
      </w:r>
      <w:r w:rsidR="00B46FD5" w:rsidRPr="001D6288">
        <w:rPr>
          <w:rFonts w:cstheme="minorHAnsi"/>
        </w:rPr>
        <w:t>(Welsh Government, 2022</w:t>
      </w:r>
      <w:r w:rsidR="00EF4B56" w:rsidRPr="001D6288">
        <w:rPr>
          <w:rFonts w:cstheme="minorHAnsi"/>
        </w:rPr>
        <w:t>b</w:t>
      </w:r>
      <w:r w:rsidR="00B46FD5" w:rsidRPr="001D6288">
        <w:rPr>
          <w:rFonts w:cstheme="minorHAnsi"/>
        </w:rPr>
        <w:t>). The school has 18 pupils with statements, and most of these children attend the infant and junior Special Teaching Facility. It is an English medium school, however</w:t>
      </w:r>
      <w:r w:rsidR="004723CB" w:rsidRPr="001D6288">
        <w:rPr>
          <w:rFonts w:cstheme="minorHAnsi"/>
        </w:rPr>
        <w:t>,</w:t>
      </w:r>
      <w:r w:rsidR="00B46FD5" w:rsidRPr="001D6288">
        <w:rPr>
          <w:rFonts w:cstheme="minorHAnsi"/>
        </w:rPr>
        <w:t xml:space="preserve"> 32% of the children have English as an additional language (EAL), which is significantly higher than the national average of 7% (</w:t>
      </w:r>
      <w:r w:rsidR="00F930F6" w:rsidRPr="001D6288">
        <w:rPr>
          <w:rFonts w:cstheme="minorHAnsi"/>
        </w:rPr>
        <w:t>Welsh Government</w:t>
      </w:r>
      <w:r w:rsidR="00B46FD5" w:rsidRPr="001D6288">
        <w:rPr>
          <w:rFonts w:cstheme="minorHAnsi"/>
        </w:rPr>
        <w:t xml:space="preserve">, 2015). </w:t>
      </w:r>
      <w:r w:rsidR="00770797" w:rsidRPr="001D6288">
        <w:rPr>
          <w:rFonts w:cstheme="minorHAnsi"/>
        </w:rPr>
        <w:t xml:space="preserve">The school was judged as “good” during the most recent Estyn inspection in 2013-2014. </w:t>
      </w:r>
    </w:p>
    <w:p w14:paraId="356FF264" w14:textId="2CBFCE7F" w:rsidR="00134193" w:rsidRPr="001D6288" w:rsidRDefault="00657D7E" w:rsidP="00EF4B56">
      <w:pPr>
        <w:ind w:firstLine="720"/>
        <w:rPr>
          <w:rFonts w:cstheme="minorHAnsi"/>
        </w:rPr>
      </w:pPr>
      <w:r w:rsidRPr="001D6288">
        <w:rPr>
          <w:rFonts w:cstheme="minorHAnsi"/>
        </w:rPr>
        <w:t>The observation</w:t>
      </w:r>
      <w:r w:rsidR="00B46FD5" w:rsidRPr="001D6288">
        <w:rPr>
          <w:rFonts w:cstheme="minorHAnsi"/>
        </w:rPr>
        <w:t xml:space="preserve"> took place in a Year 6 class</w:t>
      </w:r>
      <w:r w:rsidR="004723CB" w:rsidRPr="001D6288">
        <w:rPr>
          <w:rFonts w:cstheme="minorHAnsi"/>
        </w:rPr>
        <w:t xml:space="preserve">, which was a job shared by two teachers. The teacher observed over the two-day period was an NQT, which provided useful insight as the teacher was </w:t>
      </w:r>
      <w:r w:rsidR="00F930F6" w:rsidRPr="001D6288">
        <w:rPr>
          <w:rFonts w:cstheme="minorHAnsi"/>
        </w:rPr>
        <w:t>f</w:t>
      </w:r>
      <w:r w:rsidR="004723CB" w:rsidRPr="001D6288">
        <w:rPr>
          <w:rFonts w:cstheme="minorHAnsi"/>
        </w:rPr>
        <w:t xml:space="preserve">amiliar with the theory and rationale behind the bridging process and critical incidents. </w:t>
      </w:r>
      <w:r w:rsidR="005E607F" w:rsidRPr="001D6288">
        <w:rPr>
          <w:rFonts w:cstheme="minorHAnsi"/>
        </w:rPr>
        <w:t xml:space="preserve">Embedding metacognition, the focus of this critical incident, was one of the priorities in the School Improvement Plans 2019-2020 and 2020-2021. </w:t>
      </w:r>
    </w:p>
    <w:p w14:paraId="515330C5" w14:textId="7F82E415" w:rsidR="00134193" w:rsidRPr="001D6288" w:rsidRDefault="00134193" w:rsidP="00D47530">
      <w:pPr>
        <w:rPr>
          <w:rFonts w:cstheme="minorHAnsi"/>
        </w:rPr>
      </w:pPr>
    </w:p>
    <w:p w14:paraId="5B74F6C2" w14:textId="77777777" w:rsidR="00134193" w:rsidRPr="001D6288" w:rsidRDefault="00134193" w:rsidP="00D47530">
      <w:pPr>
        <w:rPr>
          <w:rFonts w:cstheme="minorHAnsi"/>
        </w:rPr>
      </w:pPr>
    </w:p>
    <w:p w14:paraId="6D9F5B2C" w14:textId="468B4E35" w:rsidR="000A500F" w:rsidRPr="001D6288" w:rsidRDefault="00D47530" w:rsidP="00D47530">
      <w:pPr>
        <w:rPr>
          <w:rFonts w:cstheme="minorHAnsi"/>
          <w:b/>
          <w:bCs/>
          <w:u w:val="single"/>
        </w:rPr>
      </w:pPr>
      <w:r w:rsidRPr="001D6288">
        <w:rPr>
          <w:rFonts w:cstheme="minorHAnsi"/>
          <w:b/>
          <w:bCs/>
          <w:u w:val="single"/>
        </w:rPr>
        <w:t xml:space="preserve">Critical incident linked to Donaldson’s Four Purposes </w:t>
      </w:r>
    </w:p>
    <w:p w14:paraId="4B2284B1" w14:textId="77777777" w:rsidR="000A500F" w:rsidRPr="001D6288" w:rsidRDefault="000A500F" w:rsidP="000A500F">
      <w:pPr>
        <w:rPr>
          <w:rFonts w:cstheme="minorHAnsi"/>
        </w:rPr>
      </w:pPr>
    </w:p>
    <w:p w14:paraId="5220CAFA" w14:textId="7C7E187B" w:rsidR="00D47530" w:rsidRPr="001D6288" w:rsidRDefault="00F930F6" w:rsidP="00F930F6">
      <w:pPr>
        <w:ind w:firstLine="720"/>
        <w:rPr>
          <w:rFonts w:cstheme="minorHAnsi"/>
          <w:b/>
          <w:bCs/>
        </w:rPr>
      </w:pPr>
      <w:r w:rsidRPr="001D6288">
        <w:rPr>
          <w:rFonts w:cstheme="minorHAnsi"/>
        </w:rPr>
        <w:t>The critical incident</w:t>
      </w:r>
      <w:r w:rsidR="005B1B4D" w:rsidRPr="001D6288">
        <w:rPr>
          <w:rFonts w:cstheme="minorHAnsi"/>
        </w:rPr>
        <w:t xml:space="preserve"> </w:t>
      </w:r>
      <w:r w:rsidRPr="001D6288">
        <w:rPr>
          <w:rFonts w:cstheme="minorHAnsi"/>
        </w:rPr>
        <w:t>was observed during a Year 6, higher ability Maths and Numeracy lesson. At the end of the lesson, which happened to fall at the end of a unit, the children were completing a reflective note to their teacher. A particular aspect of this activity that stood out was the reference to their “learning zone”. Children were expected to let the teacher know whether they felt they were in the comfort zone, stretch zone, or danger zone. The teacher also reminded the children to write about what learning behaviour they had used throughout the unit and reflect on what learning behaviour they could try to implement in the future.</w:t>
      </w:r>
      <w:r w:rsidR="009B5D57" w:rsidRPr="001D6288">
        <w:rPr>
          <w:rFonts w:cstheme="minorHAnsi"/>
        </w:rPr>
        <w:t xml:space="preserve"> The learning behaviours the children were encouraged </w:t>
      </w:r>
      <w:r w:rsidR="009B5D57" w:rsidRPr="001D6288">
        <w:rPr>
          <w:rFonts w:cstheme="minorHAnsi"/>
        </w:rPr>
        <w:lastRenderedPageBreak/>
        <w:t>to choose from were resourcefulness; resilience; reflection; perseverance and making improvements</w:t>
      </w:r>
      <w:r w:rsidR="005B1B4D" w:rsidRPr="001D6288">
        <w:rPr>
          <w:rFonts w:cstheme="minorHAnsi"/>
        </w:rPr>
        <w:t xml:space="preserve"> (See </w:t>
      </w:r>
      <w:r w:rsidR="009B5D57" w:rsidRPr="001D6288">
        <w:rPr>
          <w:rFonts w:cstheme="minorHAnsi"/>
        </w:rPr>
        <w:t>Appendix</w:t>
      </w:r>
      <w:r w:rsidR="005B1B4D" w:rsidRPr="001D6288">
        <w:rPr>
          <w:rFonts w:cstheme="minorHAnsi"/>
        </w:rPr>
        <w:t xml:space="preserve"> B for </w:t>
      </w:r>
      <w:r w:rsidR="009B5D57" w:rsidRPr="001D6288">
        <w:rPr>
          <w:rFonts w:cstheme="minorHAnsi"/>
        </w:rPr>
        <w:t>full Observation Notes</w:t>
      </w:r>
      <w:r w:rsidR="005B1B4D" w:rsidRPr="001D6288">
        <w:rPr>
          <w:rFonts w:cstheme="minorHAnsi"/>
        </w:rPr>
        <w:t>).</w:t>
      </w:r>
    </w:p>
    <w:p w14:paraId="73B2484D" w14:textId="7C7EEDCA" w:rsidR="00F930F6" w:rsidRPr="001D6288" w:rsidRDefault="00F930F6" w:rsidP="00F930F6">
      <w:pPr>
        <w:ind w:firstLine="720"/>
        <w:rPr>
          <w:rFonts w:cstheme="minorHAnsi"/>
        </w:rPr>
      </w:pPr>
      <w:r w:rsidRPr="001D6288">
        <w:rPr>
          <w:rFonts w:cstheme="minorHAnsi"/>
        </w:rPr>
        <w:t>This process of reflection</w:t>
      </w:r>
      <w:r w:rsidR="009B5D57" w:rsidRPr="001D6288">
        <w:rPr>
          <w:rFonts w:cstheme="minorHAnsi"/>
        </w:rPr>
        <w:t xml:space="preserve"> using the </w:t>
      </w:r>
      <w:r w:rsidRPr="001D6288">
        <w:rPr>
          <w:rFonts w:cstheme="minorHAnsi"/>
        </w:rPr>
        <w:t>learning behaviours interested me</w:t>
      </w:r>
      <w:r w:rsidRPr="001D6288">
        <w:rPr>
          <w:rFonts w:cstheme="minorHAnsi"/>
          <w:b/>
          <w:bCs/>
        </w:rPr>
        <w:t xml:space="preserve">, </w:t>
      </w:r>
      <w:r w:rsidRPr="001D6288">
        <w:rPr>
          <w:rFonts w:cstheme="minorHAnsi"/>
        </w:rPr>
        <w:t xml:space="preserve">as whilst I expect primary school children to </w:t>
      </w:r>
      <w:r w:rsidR="009B5D57" w:rsidRPr="001D6288">
        <w:rPr>
          <w:rFonts w:cstheme="minorHAnsi"/>
        </w:rPr>
        <w:t>undertake</w:t>
      </w:r>
      <w:r w:rsidRPr="001D6288">
        <w:rPr>
          <w:rFonts w:cstheme="minorHAnsi"/>
        </w:rPr>
        <w:t xml:space="preserve"> some form of </w:t>
      </w:r>
      <w:r w:rsidR="00B3778D" w:rsidRPr="001D6288">
        <w:rPr>
          <w:rFonts w:cstheme="minorHAnsi"/>
        </w:rPr>
        <w:t>self-assessment</w:t>
      </w:r>
      <w:r w:rsidRPr="001D6288">
        <w:rPr>
          <w:rFonts w:cstheme="minorHAnsi"/>
        </w:rPr>
        <w:t xml:space="preserve">, </w:t>
      </w:r>
      <w:r w:rsidRPr="001D6288">
        <w:rPr>
          <w:rFonts w:cstheme="minorHAnsi"/>
          <w:b/>
          <w:bCs/>
        </w:rPr>
        <w:t xml:space="preserve">I </w:t>
      </w:r>
      <w:r w:rsidRPr="001D6288">
        <w:rPr>
          <w:rFonts w:cstheme="minorHAnsi"/>
        </w:rPr>
        <w:t>was surprised at the specific terminology that the children seemed comfortable with using. Posters around the classroom referenced concepts such as Carol Dweck</w:t>
      </w:r>
      <w:r w:rsidR="005E607F" w:rsidRPr="001D6288">
        <w:rPr>
          <w:rFonts w:cstheme="minorHAnsi"/>
        </w:rPr>
        <w:t>’</w:t>
      </w:r>
      <w:r w:rsidRPr="001D6288">
        <w:rPr>
          <w:rFonts w:cstheme="minorHAnsi"/>
        </w:rPr>
        <w:t>s ‘Growth Mindset’</w:t>
      </w:r>
      <w:r w:rsidR="005E607F" w:rsidRPr="001D6288">
        <w:rPr>
          <w:rFonts w:cstheme="minorHAnsi"/>
        </w:rPr>
        <w:t xml:space="preserve"> (2006)</w:t>
      </w:r>
      <w:r w:rsidRPr="001D6288">
        <w:rPr>
          <w:rFonts w:cstheme="minorHAnsi"/>
        </w:rPr>
        <w:t>, learning behaviours, and a ‘metacognition’ dis</w:t>
      </w:r>
      <w:r w:rsidR="00B3778D" w:rsidRPr="001D6288">
        <w:rPr>
          <w:rFonts w:cstheme="minorHAnsi"/>
        </w:rPr>
        <w:t>p</w:t>
      </w:r>
      <w:r w:rsidRPr="001D6288">
        <w:rPr>
          <w:rFonts w:cstheme="minorHAnsi"/>
        </w:rPr>
        <w:t>lay. I realised I did not fully understand the</w:t>
      </w:r>
      <w:r w:rsidR="005E607F" w:rsidRPr="001D6288">
        <w:rPr>
          <w:rFonts w:cstheme="minorHAnsi"/>
        </w:rPr>
        <w:t xml:space="preserve"> depth of </w:t>
      </w:r>
      <w:r w:rsidRPr="001D6288">
        <w:rPr>
          <w:rFonts w:cstheme="minorHAnsi"/>
        </w:rPr>
        <w:t xml:space="preserve">self-reflection </w:t>
      </w:r>
      <w:r w:rsidR="005E607F" w:rsidRPr="001D6288">
        <w:rPr>
          <w:rFonts w:cstheme="minorHAnsi"/>
        </w:rPr>
        <w:t xml:space="preserve">that takes place </w:t>
      </w:r>
      <w:r w:rsidRPr="001D6288">
        <w:rPr>
          <w:rFonts w:cstheme="minorHAnsi"/>
        </w:rPr>
        <w:t>in the primary school classroom and felt this was important to reflect on as a student teacher, as it is something I will need to implement in my future lessons</w:t>
      </w:r>
      <w:r w:rsidR="005B1B4D" w:rsidRPr="001D6288">
        <w:rPr>
          <w:rFonts w:cstheme="minorHAnsi"/>
        </w:rPr>
        <w:t>.</w:t>
      </w:r>
    </w:p>
    <w:p w14:paraId="10AB553E" w14:textId="57AFF07C" w:rsidR="00F930F6" w:rsidRPr="001D6288" w:rsidRDefault="00B3778D" w:rsidP="001D6288">
      <w:pPr>
        <w:ind w:firstLine="720"/>
        <w:rPr>
          <w:rFonts w:cstheme="minorHAnsi"/>
        </w:rPr>
      </w:pPr>
      <w:r w:rsidRPr="001D6288">
        <w:rPr>
          <w:rFonts w:cstheme="minorHAnsi"/>
        </w:rPr>
        <w:t xml:space="preserve">The concept of metacognition and self-regulated learning will be discussed in the literature </w:t>
      </w:r>
      <w:r w:rsidR="00EF4B56" w:rsidRPr="001D6288">
        <w:rPr>
          <w:rFonts w:cstheme="minorHAnsi"/>
        </w:rPr>
        <w:t>review and</w:t>
      </w:r>
      <w:r w:rsidR="005E607F" w:rsidRPr="001D6288">
        <w:rPr>
          <w:rFonts w:cstheme="minorHAnsi"/>
        </w:rPr>
        <w:t xml:space="preserve"> are heavily emphasised in the curriculum </w:t>
      </w:r>
      <w:r w:rsidR="00D11D8D" w:rsidRPr="001D6288">
        <w:rPr>
          <w:rFonts w:cstheme="minorHAnsi"/>
        </w:rPr>
        <w:t>guidance</w:t>
      </w:r>
      <w:r w:rsidR="005E607F" w:rsidRPr="001D6288">
        <w:rPr>
          <w:rFonts w:cstheme="minorHAnsi"/>
        </w:rPr>
        <w:t xml:space="preserve"> and </w:t>
      </w:r>
      <w:r w:rsidRPr="001D6288">
        <w:rPr>
          <w:rFonts w:cstheme="minorHAnsi"/>
        </w:rPr>
        <w:t>the Four Purposes</w:t>
      </w:r>
      <w:r w:rsidR="005E607F" w:rsidRPr="001D6288">
        <w:rPr>
          <w:rFonts w:cstheme="minorHAnsi"/>
        </w:rPr>
        <w:t xml:space="preserve">. </w:t>
      </w:r>
      <w:r w:rsidRPr="001D6288">
        <w:rPr>
          <w:rFonts w:cstheme="minorHAnsi"/>
        </w:rPr>
        <w:t xml:space="preserve">The </w:t>
      </w:r>
      <w:r w:rsidR="005E607F" w:rsidRPr="001D6288">
        <w:rPr>
          <w:rFonts w:cstheme="minorHAnsi"/>
        </w:rPr>
        <w:t>rationale behind the a</w:t>
      </w:r>
      <w:r w:rsidRPr="001D6288">
        <w:rPr>
          <w:rFonts w:cstheme="minorHAnsi"/>
        </w:rPr>
        <w:t xml:space="preserve">mbitious, capable learners strand </w:t>
      </w:r>
      <w:r w:rsidR="005E607F" w:rsidRPr="001D6288">
        <w:rPr>
          <w:rFonts w:cstheme="minorHAnsi"/>
        </w:rPr>
        <w:t xml:space="preserve">is </w:t>
      </w:r>
      <w:r w:rsidRPr="001D6288">
        <w:rPr>
          <w:rFonts w:cstheme="minorHAnsi"/>
        </w:rPr>
        <w:t>the notion of lifelong learning</w:t>
      </w:r>
      <w:r w:rsidR="005E607F" w:rsidRPr="001D6288">
        <w:rPr>
          <w:rFonts w:cstheme="minorHAnsi"/>
        </w:rPr>
        <w:t>.</w:t>
      </w:r>
      <w:r w:rsidRPr="001D6288">
        <w:rPr>
          <w:rFonts w:cstheme="minorHAnsi"/>
        </w:rPr>
        <w:t xml:space="preserve"> Personal effectiveness is a skill claimed to underpin the Four Purposes, aspects of which include independence, evaluation of learning and mistakes, and the ability to identify areas of development. </w:t>
      </w:r>
      <w:r w:rsidR="008E55CB" w:rsidRPr="001D6288">
        <w:rPr>
          <w:rFonts w:cstheme="minorHAnsi"/>
        </w:rPr>
        <w:t>The Curriculum for Wales (2022</w:t>
      </w:r>
      <w:r w:rsidR="00EF4B56" w:rsidRPr="001D6288">
        <w:rPr>
          <w:rFonts w:cstheme="minorHAnsi"/>
        </w:rPr>
        <w:t>a</w:t>
      </w:r>
      <w:r w:rsidR="008E55CB" w:rsidRPr="001D6288">
        <w:rPr>
          <w:rFonts w:cstheme="minorHAnsi"/>
        </w:rPr>
        <w:t>) guidance specifically references metacognition in the pedagogical principles section, stating that</w:t>
      </w:r>
      <w:r w:rsidR="00D11D8D" w:rsidRPr="001D6288">
        <w:rPr>
          <w:rFonts w:cstheme="minorHAnsi"/>
        </w:rPr>
        <w:t xml:space="preserve"> good</w:t>
      </w:r>
      <w:r w:rsidR="008E55CB" w:rsidRPr="001D6288">
        <w:rPr>
          <w:rFonts w:cstheme="minorHAnsi"/>
        </w:rPr>
        <w:t xml:space="preserve"> pedagogy should help learners to </w:t>
      </w:r>
      <w:r w:rsidR="00D11D8D" w:rsidRPr="001D6288">
        <w:rPr>
          <w:rFonts w:cstheme="minorHAnsi"/>
        </w:rPr>
        <w:t xml:space="preserve">develop positive learning dispositions and metacognitive skills. </w:t>
      </w:r>
    </w:p>
    <w:p w14:paraId="59EBDD8D" w14:textId="77777777" w:rsidR="00D47530" w:rsidRPr="001D6288" w:rsidRDefault="00D47530" w:rsidP="00D47530">
      <w:pPr>
        <w:rPr>
          <w:rFonts w:cstheme="minorHAnsi"/>
        </w:rPr>
      </w:pPr>
    </w:p>
    <w:p w14:paraId="28A131F1" w14:textId="136B17A2" w:rsidR="00D47530" w:rsidRPr="001D6288" w:rsidRDefault="00D47530">
      <w:pPr>
        <w:rPr>
          <w:rFonts w:cstheme="minorHAnsi"/>
        </w:rPr>
      </w:pPr>
    </w:p>
    <w:p w14:paraId="4F1CD376" w14:textId="4FE2B01E" w:rsidR="00D47530" w:rsidRPr="001D6288" w:rsidRDefault="00D47530" w:rsidP="00D47530">
      <w:pPr>
        <w:rPr>
          <w:rFonts w:cstheme="minorHAnsi"/>
          <w:b/>
          <w:bCs/>
          <w:u w:val="single"/>
        </w:rPr>
      </w:pPr>
      <w:r w:rsidRPr="001D6288">
        <w:rPr>
          <w:rFonts w:cstheme="minorHAnsi"/>
          <w:b/>
          <w:bCs/>
          <w:u w:val="single"/>
        </w:rPr>
        <w:t>LITERATURE REVIEW</w:t>
      </w:r>
    </w:p>
    <w:p w14:paraId="14241CE4" w14:textId="77777777" w:rsidR="007820D0" w:rsidRPr="001D6288" w:rsidRDefault="007820D0" w:rsidP="007820D0">
      <w:pPr>
        <w:rPr>
          <w:rFonts w:cstheme="minorHAnsi"/>
        </w:rPr>
      </w:pPr>
    </w:p>
    <w:p w14:paraId="4A0E87E5" w14:textId="701ED30A" w:rsidR="007820D0" w:rsidRPr="001D6288" w:rsidRDefault="002C5732" w:rsidP="002C5732">
      <w:pPr>
        <w:ind w:firstLine="720"/>
        <w:rPr>
          <w:rFonts w:cstheme="minorHAnsi"/>
        </w:rPr>
      </w:pPr>
      <w:r w:rsidRPr="001D6288">
        <w:rPr>
          <w:rFonts w:cstheme="minorHAnsi"/>
        </w:rPr>
        <w:t>M</w:t>
      </w:r>
      <w:r w:rsidRPr="001D6288">
        <w:rPr>
          <w:rFonts w:cstheme="minorHAnsi"/>
        </w:rPr>
        <w:t xml:space="preserve">etacognition and self-regulated learning (SRL) </w:t>
      </w:r>
      <w:r w:rsidR="00D11D8D" w:rsidRPr="001D6288">
        <w:rPr>
          <w:rFonts w:cstheme="minorHAnsi"/>
        </w:rPr>
        <w:t>have</w:t>
      </w:r>
      <w:r w:rsidRPr="001D6288">
        <w:rPr>
          <w:rFonts w:cstheme="minorHAnsi"/>
        </w:rPr>
        <w:t xml:space="preserve"> been</w:t>
      </w:r>
      <w:r w:rsidR="00CC2BDD" w:rsidRPr="001D6288">
        <w:rPr>
          <w:rFonts w:cstheme="minorHAnsi"/>
        </w:rPr>
        <w:t xml:space="preserve"> </w:t>
      </w:r>
      <w:r w:rsidRPr="001D6288">
        <w:rPr>
          <w:rFonts w:cstheme="minorHAnsi"/>
        </w:rPr>
        <w:t xml:space="preserve">popular </w:t>
      </w:r>
      <w:r w:rsidR="00D11D8D" w:rsidRPr="001D6288">
        <w:rPr>
          <w:rFonts w:cstheme="minorHAnsi"/>
        </w:rPr>
        <w:t>areas</w:t>
      </w:r>
      <w:r w:rsidRPr="001D6288">
        <w:rPr>
          <w:rFonts w:cstheme="minorHAnsi"/>
        </w:rPr>
        <w:t xml:space="preserve"> of research for around 20 years since academics began to develop models of self-regulated learning in education</w:t>
      </w:r>
      <w:r w:rsidRPr="001D6288">
        <w:rPr>
          <w:rFonts w:cstheme="minorHAnsi"/>
        </w:rPr>
        <w:t xml:space="preserve"> (Boekarts 1999; Zimmerman 2001). T</w:t>
      </w:r>
      <w:r w:rsidR="007820D0" w:rsidRPr="001D6288">
        <w:rPr>
          <w:rFonts w:cstheme="minorHAnsi"/>
        </w:rPr>
        <w:t xml:space="preserve">he quantity of research published in this area has </w:t>
      </w:r>
      <w:r w:rsidRPr="001D6288">
        <w:rPr>
          <w:rFonts w:cstheme="minorHAnsi"/>
        </w:rPr>
        <w:t xml:space="preserve">naturally </w:t>
      </w:r>
      <w:r w:rsidR="007820D0" w:rsidRPr="001D6288">
        <w:rPr>
          <w:rFonts w:cstheme="minorHAnsi"/>
        </w:rPr>
        <w:t>resulted in some divergence in the definitions and key concepts underpinning SRL and metacognition.</w:t>
      </w:r>
      <w:r w:rsidR="007820D0" w:rsidRPr="001D6288">
        <w:rPr>
          <w:rFonts w:cstheme="minorHAnsi"/>
        </w:rPr>
        <w:t xml:space="preserve"> SRL can be </w:t>
      </w:r>
      <w:r w:rsidR="00D11D8D" w:rsidRPr="001D6288">
        <w:rPr>
          <w:rFonts w:cstheme="minorHAnsi"/>
        </w:rPr>
        <w:t>summarised</w:t>
      </w:r>
      <w:r w:rsidR="007820D0" w:rsidRPr="001D6288">
        <w:rPr>
          <w:rFonts w:cstheme="minorHAnsi"/>
        </w:rPr>
        <w:t xml:space="preserve"> as the extent to which a learner is aware of their strengths and weaknesses, and </w:t>
      </w:r>
      <w:r w:rsidR="00D62E5A" w:rsidRPr="001D6288">
        <w:rPr>
          <w:rFonts w:cstheme="minorHAnsi"/>
        </w:rPr>
        <w:t xml:space="preserve">their </w:t>
      </w:r>
      <w:r w:rsidR="007820D0" w:rsidRPr="001D6288">
        <w:rPr>
          <w:rFonts w:cstheme="minorHAnsi"/>
        </w:rPr>
        <w:t xml:space="preserve">ability to use different strategies to learn (Quigley, Mujis </w:t>
      </w:r>
      <w:r w:rsidR="00AF4D4B" w:rsidRPr="001D6288">
        <w:rPr>
          <w:rFonts w:cstheme="minorHAnsi"/>
        </w:rPr>
        <w:t>&amp; Stringer,</w:t>
      </w:r>
      <w:r w:rsidR="007820D0" w:rsidRPr="001D6288">
        <w:rPr>
          <w:rFonts w:cstheme="minorHAnsi"/>
        </w:rPr>
        <w:t xml:space="preserve"> 2018). Academics </w:t>
      </w:r>
      <w:r w:rsidR="00D11D8D" w:rsidRPr="001D6288">
        <w:rPr>
          <w:rFonts w:cstheme="minorHAnsi"/>
        </w:rPr>
        <w:t xml:space="preserve">agree that </w:t>
      </w:r>
      <w:r w:rsidR="007820D0" w:rsidRPr="001D6288">
        <w:rPr>
          <w:rFonts w:cstheme="minorHAnsi"/>
        </w:rPr>
        <w:t xml:space="preserve">SRL </w:t>
      </w:r>
      <w:r w:rsidR="00D11D8D" w:rsidRPr="001D6288">
        <w:rPr>
          <w:rFonts w:cstheme="minorHAnsi"/>
        </w:rPr>
        <w:t xml:space="preserve">is </w:t>
      </w:r>
      <w:r w:rsidR="007820D0" w:rsidRPr="001D6288">
        <w:rPr>
          <w:rFonts w:cstheme="minorHAnsi"/>
        </w:rPr>
        <w:t xml:space="preserve">a cycle, the stages </w:t>
      </w:r>
      <w:r w:rsidR="00D11D8D" w:rsidRPr="001D6288">
        <w:rPr>
          <w:rFonts w:cstheme="minorHAnsi"/>
        </w:rPr>
        <w:t>of</w:t>
      </w:r>
      <w:r w:rsidR="007820D0" w:rsidRPr="001D6288">
        <w:rPr>
          <w:rFonts w:cstheme="minorHAnsi"/>
        </w:rPr>
        <w:t xml:space="preserve"> which differ depending on the model (Dignath, Buettner </w:t>
      </w:r>
      <w:r w:rsidR="00EF4B56" w:rsidRPr="001D6288">
        <w:rPr>
          <w:rFonts w:cstheme="minorHAnsi"/>
        </w:rPr>
        <w:t xml:space="preserve">&amp; </w:t>
      </w:r>
      <w:proofErr w:type="spellStart"/>
      <w:r w:rsidR="00EF4B56" w:rsidRPr="001D6288">
        <w:rPr>
          <w:rFonts w:cstheme="minorHAnsi"/>
        </w:rPr>
        <w:t>Lang</w:t>
      </w:r>
      <w:r w:rsidR="00AF4D4B" w:rsidRPr="001D6288">
        <w:rPr>
          <w:rFonts w:cstheme="minorHAnsi"/>
        </w:rPr>
        <w:t>feldt</w:t>
      </w:r>
      <w:proofErr w:type="spellEnd"/>
      <w:r w:rsidR="00AF4D4B" w:rsidRPr="001D6288">
        <w:rPr>
          <w:rFonts w:cstheme="minorHAnsi"/>
        </w:rPr>
        <w:t xml:space="preserve">, </w:t>
      </w:r>
      <w:r w:rsidR="007820D0" w:rsidRPr="001D6288">
        <w:rPr>
          <w:rFonts w:cstheme="minorHAnsi"/>
        </w:rPr>
        <w:t xml:space="preserve">2008). Whilst there has been some disagreement </w:t>
      </w:r>
      <w:r w:rsidR="00D11D8D" w:rsidRPr="001D6288">
        <w:rPr>
          <w:rFonts w:cstheme="minorHAnsi"/>
        </w:rPr>
        <w:t>about</w:t>
      </w:r>
      <w:r w:rsidR="007820D0" w:rsidRPr="001D6288">
        <w:rPr>
          <w:rFonts w:cstheme="minorHAnsi"/>
        </w:rPr>
        <w:t xml:space="preserve"> how SRL and metacognition interact, the </w:t>
      </w:r>
      <w:r w:rsidR="00D11D8D" w:rsidRPr="001D6288">
        <w:rPr>
          <w:rFonts w:cstheme="minorHAnsi"/>
        </w:rPr>
        <w:t>consensus</w:t>
      </w:r>
      <w:r w:rsidR="007820D0" w:rsidRPr="001D6288">
        <w:rPr>
          <w:rFonts w:cstheme="minorHAnsi"/>
        </w:rPr>
        <w:t xml:space="preserve"> is that metacognition is a component of self-regulation (Mujis</w:t>
      </w:r>
      <w:r w:rsidR="00AF4D4B" w:rsidRPr="001D6288">
        <w:rPr>
          <w:rFonts w:cstheme="minorHAnsi"/>
        </w:rPr>
        <w:t xml:space="preserve"> &amp; </w:t>
      </w:r>
      <w:r w:rsidR="007820D0" w:rsidRPr="001D6288">
        <w:rPr>
          <w:rFonts w:cstheme="minorHAnsi"/>
        </w:rPr>
        <w:t>Bokhove</w:t>
      </w:r>
      <w:r w:rsidR="00AF4D4B" w:rsidRPr="001D6288">
        <w:rPr>
          <w:rFonts w:cstheme="minorHAnsi"/>
        </w:rPr>
        <w:t>,</w:t>
      </w:r>
      <w:r w:rsidR="007820D0" w:rsidRPr="001D6288">
        <w:rPr>
          <w:rFonts w:cstheme="minorHAnsi"/>
        </w:rPr>
        <w:t xml:space="preserve"> 2020). </w:t>
      </w:r>
      <w:r w:rsidRPr="001D6288">
        <w:rPr>
          <w:rFonts w:cstheme="minorHAnsi"/>
        </w:rPr>
        <w:t>In a meta-analysis of articles in the field, Dinsmore</w:t>
      </w:r>
      <w:r w:rsidR="00AF4D4B" w:rsidRPr="001D6288">
        <w:rPr>
          <w:rFonts w:cstheme="minorHAnsi"/>
        </w:rPr>
        <w:t xml:space="preserve">, Alexander and Loughlin </w:t>
      </w:r>
      <w:r w:rsidRPr="001D6288">
        <w:rPr>
          <w:rFonts w:cstheme="minorHAnsi"/>
        </w:rPr>
        <w:t xml:space="preserve">(2008) found that </w:t>
      </w:r>
      <w:r w:rsidR="009F2BF5" w:rsidRPr="001D6288">
        <w:rPr>
          <w:rFonts w:cstheme="minorHAnsi"/>
        </w:rPr>
        <w:t>definitions</w:t>
      </w:r>
      <w:r w:rsidRPr="001D6288">
        <w:rPr>
          <w:rFonts w:cstheme="minorHAnsi"/>
        </w:rPr>
        <w:t xml:space="preserve"> of metacognition referred to monitoring, </w:t>
      </w:r>
      <w:r w:rsidR="00AF4D4B" w:rsidRPr="001D6288">
        <w:rPr>
          <w:rFonts w:cstheme="minorHAnsi"/>
        </w:rPr>
        <w:t>control,</w:t>
      </w:r>
      <w:r w:rsidRPr="001D6288">
        <w:rPr>
          <w:rFonts w:cstheme="minorHAnsi"/>
        </w:rPr>
        <w:t xml:space="preserve"> and knowledge. </w:t>
      </w:r>
      <w:r w:rsidR="009F2BF5" w:rsidRPr="001D6288">
        <w:rPr>
          <w:rFonts w:cstheme="minorHAnsi"/>
        </w:rPr>
        <w:t>Whilst</w:t>
      </w:r>
      <w:r w:rsidRPr="001D6288">
        <w:rPr>
          <w:rFonts w:cstheme="minorHAnsi"/>
        </w:rPr>
        <w:t xml:space="preserve"> these concepts also appear in definitions of self-regulated learning, SRL also encompasses cognition and motivation. As a result of this meta-analysis, Dinsmore et al. (2008) break SRL down into three components: cognition, </w:t>
      </w:r>
      <w:r w:rsidR="00AF4D4B" w:rsidRPr="001D6288">
        <w:rPr>
          <w:rFonts w:cstheme="minorHAnsi"/>
        </w:rPr>
        <w:t>metacognition,</w:t>
      </w:r>
      <w:r w:rsidRPr="001D6288">
        <w:rPr>
          <w:rFonts w:cstheme="minorHAnsi"/>
        </w:rPr>
        <w:t xml:space="preserve"> and motivation. This literature review will predominantly discuss metacognition, as this is specifically linked to the Critical Incident. However, it is important to note that cognition, </w:t>
      </w:r>
      <w:r w:rsidR="00305CFE" w:rsidRPr="001D6288">
        <w:rPr>
          <w:rFonts w:cstheme="minorHAnsi"/>
        </w:rPr>
        <w:t>metacognition,</w:t>
      </w:r>
      <w:r w:rsidRPr="001D6288">
        <w:rPr>
          <w:rFonts w:cstheme="minorHAnsi"/>
        </w:rPr>
        <w:t xml:space="preserve"> and motivation interact during the learning process, and it is impossible to be metacognitive without the other two components (Quigley, Mujis </w:t>
      </w:r>
      <w:r w:rsidR="00AF4D4B" w:rsidRPr="001D6288">
        <w:rPr>
          <w:rFonts w:cstheme="minorHAnsi"/>
        </w:rPr>
        <w:t>&amp; Stringer,</w:t>
      </w:r>
      <w:r w:rsidRPr="001D6288">
        <w:rPr>
          <w:rFonts w:cstheme="minorHAnsi"/>
        </w:rPr>
        <w:t xml:space="preserve"> 2018).</w:t>
      </w:r>
    </w:p>
    <w:p w14:paraId="5023DA3B" w14:textId="0A77DC75" w:rsidR="002C5732" w:rsidRPr="001D6288" w:rsidRDefault="002C5732" w:rsidP="00D47530">
      <w:pPr>
        <w:rPr>
          <w:rFonts w:cstheme="minorHAnsi"/>
        </w:rPr>
      </w:pPr>
    </w:p>
    <w:p w14:paraId="2F439E25" w14:textId="659B01E5" w:rsidR="009F2BF5" w:rsidRPr="001D6288" w:rsidRDefault="00305CFE" w:rsidP="009F2BF5">
      <w:pPr>
        <w:rPr>
          <w:rFonts w:cstheme="minorHAnsi"/>
          <w:color w:val="000000" w:themeColor="text1"/>
        </w:rPr>
      </w:pPr>
      <w:r w:rsidRPr="001D6288">
        <w:rPr>
          <w:rFonts w:cstheme="minorHAnsi"/>
          <w:color w:val="000000" w:themeColor="text1"/>
        </w:rPr>
        <w:tab/>
        <w:t xml:space="preserve">Metacognition can be defined as the way learners </w:t>
      </w:r>
      <w:r w:rsidR="00D62E5A" w:rsidRPr="001D6288">
        <w:rPr>
          <w:rFonts w:cstheme="minorHAnsi"/>
          <w:color w:val="000000" w:themeColor="text1"/>
        </w:rPr>
        <w:t>monitor and</w:t>
      </w:r>
      <w:r w:rsidRPr="001D6288">
        <w:rPr>
          <w:rFonts w:cstheme="minorHAnsi"/>
          <w:color w:val="000000" w:themeColor="text1"/>
        </w:rPr>
        <w:t xml:space="preserve"> direct their learning (Dignath </w:t>
      </w:r>
      <w:r w:rsidR="00AF4D4B" w:rsidRPr="001D6288">
        <w:rPr>
          <w:rFonts w:cstheme="minorHAnsi"/>
          <w:color w:val="000000" w:themeColor="text1"/>
        </w:rPr>
        <w:t xml:space="preserve">&amp; </w:t>
      </w:r>
      <w:proofErr w:type="spellStart"/>
      <w:r w:rsidR="00AF4D4B" w:rsidRPr="001D6288">
        <w:rPr>
          <w:rFonts w:cstheme="minorHAnsi"/>
          <w:color w:val="000000" w:themeColor="text1"/>
        </w:rPr>
        <w:t>Büttner</w:t>
      </w:r>
      <w:proofErr w:type="spellEnd"/>
      <w:r w:rsidR="00AF4D4B" w:rsidRPr="001D6288">
        <w:rPr>
          <w:rFonts w:cstheme="minorHAnsi"/>
          <w:color w:val="000000" w:themeColor="text1"/>
        </w:rPr>
        <w:t xml:space="preserve">, </w:t>
      </w:r>
      <w:r w:rsidRPr="001D6288">
        <w:rPr>
          <w:rFonts w:cstheme="minorHAnsi"/>
          <w:color w:val="000000" w:themeColor="text1"/>
        </w:rPr>
        <w:t xml:space="preserve">2018). Metacognition enables a learner to reflect </w:t>
      </w:r>
      <w:r w:rsidR="00D62E5A" w:rsidRPr="001D6288">
        <w:rPr>
          <w:rFonts w:cstheme="minorHAnsi"/>
          <w:color w:val="000000" w:themeColor="text1"/>
        </w:rPr>
        <w:t>on</w:t>
      </w:r>
      <w:r w:rsidRPr="001D6288">
        <w:rPr>
          <w:rFonts w:cstheme="minorHAnsi"/>
          <w:color w:val="000000" w:themeColor="text1"/>
        </w:rPr>
        <w:t xml:space="preserve"> their own learning process, as well as be able to use strategic activities to enhance learning. Metacognitive knowledge</w:t>
      </w:r>
      <w:r w:rsidR="0085687F" w:rsidRPr="001D6288">
        <w:rPr>
          <w:rFonts w:cstheme="minorHAnsi"/>
          <w:color w:val="000000" w:themeColor="text1"/>
        </w:rPr>
        <w:t xml:space="preserve"> </w:t>
      </w:r>
      <w:r w:rsidRPr="001D6288">
        <w:rPr>
          <w:rFonts w:cstheme="minorHAnsi"/>
          <w:color w:val="000000" w:themeColor="text1"/>
        </w:rPr>
        <w:t xml:space="preserve">comprises of a </w:t>
      </w:r>
      <w:r w:rsidR="0085687F" w:rsidRPr="001D6288">
        <w:rPr>
          <w:rFonts w:cstheme="minorHAnsi"/>
          <w:color w:val="000000" w:themeColor="text1"/>
        </w:rPr>
        <w:t>learner's</w:t>
      </w:r>
      <w:r w:rsidRPr="001D6288">
        <w:rPr>
          <w:rFonts w:cstheme="minorHAnsi"/>
          <w:color w:val="000000" w:themeColor="text1"/>
        </w:rPr>
        <w:t xml:space="preserve"> understanding of their own brain, </w:t>
      </w:r>
      <w:r w:rsidR="00D62E5A" w:rsidRPr="001D6288">
        <w:rPr>
          <w:rFonts w:cstheme="minorHAnsi"/>
          <w:color w:val="000000" w:themeColor="text1"/>
        </w:rPr>
        <w:t>knowledge,</w:t>
      </w:r>
      <w:r w:rsidRPr="001D6288">
        <w:rPr>
          <w:rFonts w:cstheme="minorHAnsi"/>
          <w:color w:val="000000" w:themeColor="text1"/>
        </w:rPr>
        <w:t xml:space="preserve"> and their learning styles. Metacognitive skills, on the other hand, are the planning activities, </w:t>
      </w:r>
      <w:r w:rsidRPr="001D6288">
        <w:rPr>
          <w:rFonts w:cstheme="minorHAnsi"/>
          <w:color w:val="000000" w:themeColor="text1"/>
        </w:rPr>
        <w:lastRenderedPageBreak/>
        <w:t>monitoring strategies and evaluative processes a learner partakes in prior to, during and after learning (Dignath</w:t>
      </w:r>
      <w:r w:rsidR="00AF4D4B" w:rsidRPr="001D6288">
        <w:rPr>
          <w:rFonts w:cstheme="minorHAnsi"/>
          <w:color w:val="000000" w:themeColor="text1"/>
        </w:rPr>
        <w:t xml:space="preserve"> et al.,</w:t>
      </w:r>
      <w:r w:rsidRPr="001D6288">
        <w:rPr>
          <w:rFonts w:cstheme="minorHAnsi"/>
          <w:color w:val="000000" w:themeColor="text1"/>
        </w:rPr>
        <w:t xml:space="preserve"> 2008). This is </w:t>
      </w:r>
      <w:r w:rsidR="00AD3FD5" w:rsidRPr="001D6288">
        <w:rPr>
          <w:rFonts w:cstheme="minorHAnsi"/>
          <w:color w:val="000000" w:themeColor="text1"/>
        </w:rPr>
        <w:t xml:space="preserve">an </w:t>
      </w:r>
      <w:r w:rsidRPr="001D6288">
        <w:rPr>
          <w:rFonts w:cstheme="minorHAnsi"/>
          <w:color w:val="000000" w:themeColor="text1"/>
        </w:rPr>
        <w:t xml:space="preserve">important </w:t>
      </w:r>
      <w:r w:rsidR="00AD3FD5" w:rsidRPr="001D6288">
        <w:rPr>
          <w:rFonts w:cstheme="minorHAnsi"/>
          <w:color w:val="000000" w:themeColor="text1"/>
        </w:rPr>
        <w:t>underlying theme of the literature, that metacognition should be embedded throughout learning</w:t>
      </w:r>
      <w:r w:rsidR="009F2BF5" w:rsidRPr="001D6288">
        <w:rPr>
          <w:rFonts w:cstheme="minorHAnsi"/>
          <w:color w:val="000000" w:themeColor="text1"/>
        </w:rPr>
        <w:t xml:space="preserve">. This </w:t>
      </w:r>
      <w:r w:rsidR="005F1FD2" w:rsidRPr="001D6288">
        <w:rPr>
          <w:rFonts w:cstheme="minorHAnsi"/>
          <w:color w:val="000000" w:themeColor="text1"/>
        </w:rPr>
        <w:t>was evident in</w:t>
      </w:r>
      <w:r w:rsidR="009F2BF5" w:rsidRPr="001D6288">
        <w:rPr>
          <w:rFonts w:cstheme="minorHAnsi"/>
          <w:color w:val="000000" w:themeColor="text1"/>
        </w:rPr>
        <w:t xml:space="preserve"> the critical incident because the </w:t>
      </w:r>
      <w:r w:rsidR="0085687F" w:rsidRPr="001D6288">
        <w:rPr>
          <w:rFonts w:cstheme="minorHAnsi"/>
          <w:color w:val="000000" w:themeColor="text1"/>
        </w:rPr>
        <w:t>learners'</w:t>
      </w:r>
      <w:r w:rsidR="00AD3FD5" w:rsidRPr="001D6288">
        <w:rPr>
          <w:rFonts w:cstheme="minorHAnsi"/>
          <w:color w:val="000000" w:themeColor="text1"/>
        </w:rPr>
        <w:t xml:space="preserve"> books showed clear evidence of the cyclical process of metacognition. </w:t>
      </w:r>
    </w:p>
    <w:p w14:paraId="7D19255B" w14:textId="77777777" w:rsidR="009F2BF5" w:rsidRPr="001D6288" w:rsidRDefault="009F2BF5" w:rsidP="009F2BF5">
      <w:pPr>
        <w:rPr>
          <w:rFonts w:cstheme="minorHAnsi"/>
          <w:color w:val="000000" w:themeColor="text1"/>
          <w:highlight w:val="yellow"/>
        </w:rPr>
      </w:pPr>
    </w:p>
    <w:p w14:paraId="1CC686AF" w14:textId="3EFF0E3F" w:rsidR="005F1FD2" w:rsidRPr="001D6288" w:rsidRDefault="00AD3FD5" w:rsidP="005F1FD2">
      <w:pPr>
        <w:ind w:firstLine="720"/>
        <w:rPr>
          <w:rFonts w:cstheme="minorHAnsi"/>
          <w:color w:val="000000" w:themeColor="text1"/>
          <w:u w:val="single"/>
        </w:rPr>
      </w:pPr>
      <w:r w:rsidRPr="001D6288">
        <w:rPr>
          <w:rFonts w:cstheme="minorHAnsi"/>
          <w:color w:val="000000" w:themeColor="text1"/>
        </w:rPr>
        <w:t xml:space="preserve">Prior to </w:t>
      </w:r>
      <w:r w:rsidR="0085687F" w:rsidRPr="001D6288">
        <w:rPr>
          <w:rFonts w:cstheme="minorHAnsi"/>
          <w:color w:val="000000" w:themeColor="text1"/>
        </w:rPr>
        <w:t>starting</w:t>
      </w:r>
      <w:r w:rsidRPr="001D6288">
        <w:rPr>
          <w:rFonts w:cstheme="minorHAnsi"/>
          <w:color w:val="000000" w:themeColor="text1"/>
        </w:rPr>
        <w:t xml:space="preserve"> a new unit of work, the learners engaged in Activating Prior Knowledge (APK). APK is </w:t>
      </w:r>
      <w:r w:rsidR="0085687F" w:rsidRPr="001D6288">
        <w:rPr>
          <w:rFonts w:cstheme="minorHAnsi"/>
          <w:color w:val="000000" w:themeColor="text1"/>
        </w:rPr>
        <w:t>underpinned</w:t>
      </w:r>
      <w:r w:rsidRPr="001D6288">
        <w:rPr>
          <w:rFonts w:cstheme="minorHAnsi"/>
          <w:color w:val="000000" w:themeColor="text1"/>
        </w:rPr>
        <w:t xml:space="preserve"> by constructivist theory and is a technique that aims to help learners make connections between their </w:t>
      </w:r>
      <w:r w:rsidR="00D62E5A" w:rsidRPr="001D6288">
        <w:rPr>
          <w:rFonts w:cstheme="minorHAnsi"/>
          <w:color w:val="000000" w:themeColor="text1"/>
        </w:rPr>
        <w:t>previous knowledge and experiences (</w:t>
      </w:r>
      <w:r w:rsidR="00D62E5A" w:rsidRPr="001D6288">
        <w:rPr>
          <w:rFonts w:cstheme="minorHAnsi"/>
          <w:b/>
          <w:bCs/>
          <w:color w:val="000000" w:themeColor="text1"/>
        </w:rPr>
        <w:t>ref</w:t>
      </w:r>
      <w:r w:rsidR="00D62E5A" w:rsidRPr="001D6288">
        <w:rPr>
          <w:rFonts w:cstheme="minorHAnsi"/>
          <w:color w:val="000000" w:themeColor="text1"/>
        </w:rPr>
        <w:t>). Activating prior knowledge could be done in terms of both subject content, as well as specific cognitive or metacognitive skills (</w:t>
      </w:r>
      <w:proofErr w:type="spellStart"/>
      <w:r w:rsidR="00AF4D4B" w:rsidRPr="001D6288">
        <w:rPr>
          <w:rFonts w:cstheme="minorHAnsi"/>
          <w:color w:val="000000" w:themeColor="text1"/>
        </w:rPr>
        <w:t>T</w:t>
      </w:r>
      <w:r w:rsidR="00D62E5A" w:rsidRPr="001D6288">
        <w:rPr>
          <w:rFonts w:cstheme="minorHAnsi"/>
          <w:color w:val="000000" w:themeColor="text1"/>
        </w:rPr>
        <w:t>archi</w:t>
      </w:r>
      <w:proofErr w:type="spellEnd"/>
      <w:r w:rsidR="00AF4D4B" w:rsidRPr="001D6288">
        <w:rPr>
          <w:rFonts w:cstheme="minorHAnsi"/>
          <w:color w:val="000000" w:themeColor="text1"/>
        </w:rPr>
        <w:t>,</w:t>
      </w:r>
      <w:r w:rsidR="00D62E5A" w:rsidRPr="001D6288">
        <w:rPr>
          <w:rFonts w:cstheme="minorHAnsi"/>
          <w:color w:val="000000" w:themeColor="text1"/>
        </w:rPr>
        <w:t xml:space="preserve"> 2015). Activating prior knowledge is seen by some researchers </w:t>
      </w:r>
      <w:r w:rsidR="009F2BF5" w:rsidRPr="001D6288">
        <w:rPr>
          <w:rFonts w:cstheme="minorHAnsi"/>
          <w:color w:val="000000" w:themeColor="text1"/>
        </w:rPr>
        <w:t>as an e</w:t>
      </w:r>
      <w:r w:rsidR="00D62E5A" w:rsidRPr="001D6288">
        <w:rPr>
          <w:rFonts w:cstheme="minorHAnsi"/>
          <w:color w:val="000000" w:themeColor="text1"/>
        </w:rPr>
        <w:t xml:space="preserve">xample of indirect promotion of SRL </w:t>
      </w:r>
      <w:r w:rsidR="00D62E5A" w:rsidRPr="001D6288">
        <w:rPr>
          <w:rFonts w:cstheme="minorHAnsi"/>
          <w:color w:val="000000" w:themeColor="text1"/>
        </w:rPr>
        <w:t xml:space="preserve">(Dignath </w:t>
      </w:r>
      <w:r w:rsidR="00AF4D4B" w:rsidRPr="001D6288">
        <w:rPr>
          <w:rFonts w:cstheme="minorHAnsi"/>
          <w:color w:val="000000" w:themeColor="text1"/>
        </w:rPr>
        <w:t xml:space="preserve">&amp; </w:t>
      </w:r>
      <w:proofErr w:type="spellStart"/>
      <w:r w:rsidR="00AF4D4B" w:rsidRPr="001D6288">
        <w:rPr>
          <w:rFonts w:cstheme="minorHAnsi"/>
          <w:color w:val="000000" w:themeColor="text1"/>
        </w:rPr>
        <w:t>Büttner</w:t>
      </w:r>
      <w:proofErr w:type="spellEnd"/>
      <w:r w:rsidR="00AF4D4B" w:rsidRPr="001D6288">
        <w:rPr>
          <w:rFonts w:cstheme="minorHAnsi"/>
          <w:color w:val="000000" w:themeColor="text1"/>
        </w:rPr>
        <w:t xml:space="preserve">, </w:t>
      </w:r>
      <w:r w:rsidR="00D62E5A" w:rsidRPr="001D6288">
        <w:rPr>
          <w:rFonts w:cstheme="minorHAnsi"/>
          <w:color w:val="000000" w:themeColor="text1"/>
        </w:rPr>
        <w:t>2018</w:t>
      </w:r>
      <w:r w:rsidR="00D62E5A" w:rsidRPr="001D6288">
        <w:rPr>
          <w:rFonts w:cstheme="minorHAnsi"/>
          <w:color w:val="000000" w:themeColor="text1"/>
        </w:rPr>
        <w:t>), where teachers present new information in a meaningful context. However, the recommendations from the Educational Endowment Foundation</w:t>
      </w:r>
      <w:r w:rsidR="00605BF2" w:rsidRPr="001D6288">
        <w:rPr>
          <w:rFonts w:cstheme="minorHAnsi"/>
          <w:color w:val="000000" w:themeColor="text1"/>
        </w:rPr>
        <w:t xml:space="preserve"> (EEF)</w:t>
      </w:r>
      <w:r w:rsidR="00D62E5A" w:rsidRPr="001D6288">
        <w:rPr>
          <w:rFonts w:cstheme="minorHAnsi"/>
          <w:color w:val="000000" w:themeColor="text1"/>
        </w:rPr>
        <w:t xml:space="preserve"> list APK as the first of a seven-step model for explicitly teaching metacognition to learners. Dignath</w:t>
      </w:r>
      <w:r w:rsidR="00AF4D4B" w:rsidRPr="001D6288">
        <w:rPr>
          <w:rFonts w:cstheme="minorHAnsi"/>
          <w:color w:val="000000" w:themeColor="text1"/>
        </w:rPr>
        <w:t xml:space="preserve"> and </w:t>
      </w:r>
      <w:proofErr w:type="spellStart"/>
      <w:r w:rsidR="00AF4D4B" w:rsidRPr="001D6288">
        <w:rPr>
          <w:rFonts w:cstheme="minorHAnsi"/>
          <w:color w:val="000000" w:themeColor="text1"/>
        </w:rPr>
        <w:t>Büttner</w:t>
      </w:r>
      <w:proofErr w:type="spellEnd"/>
      <w:r w:rsidR="00D62E5A" w:rsidRPr="001D6288">
        <w:rPr>
          <w:rFonts w:cstheme="minorHAnsi"/>
          <w:color w:val="000000" w:themeColor="text1"/>
        </w:rPr>
        <w:t xml:space="preserve"> (2018) </w:t>
      </w:r>
      <w:r w:rsidR="00AF4D4B" w:rsidRPr="001D6288">
        <w:rPr>
          <w:rFonts w:cstheme="minorHAnsi"/>
          <w:color w:val="000000" w:themeColor="text1"/>
        </w:rPr>
        <w:t>define</w:t>
      </w:r>
      <w:r w:rsidR="00D62E5A" w:rsidRPr="001D6288">
        <w:rPr>
          <w:rFonts w:cstheme="minorHAnsi"/>
          <w:color w:val="000000" w:themeColor="text1"/>
        </w:rPr>
        <w:t xml:space="preserve"> explicit instruction as not only employing a certain strategy, such as APK for example, and then </w:t>
      </w:r>
      <w:r w:rsidR="00CC2BDD" w:rsidRPr="001D6288">
        <w:rPr>
          <w:rFonts w:cstheme="minorHAnsi"/>
          <w:color w:val="000000" w:themeColor="text1"/>
        </w:rPr>
        <w:t>providing</w:t>
      </w:r>
      <w:r w:rsidR="00D62E5A" w:rsidRPr="001D6288">
        <w:rPr>
          <w:rFonts w:cstheme="minorHAnsi"/>
          <w:color w:val="000000" w:themeColor="text1"/>
        </w:rPr>
        <w:t xml:space="preserve"> learners with explicit information about why it is important to activate prior knowledge.</w:t>
      </w:r>
      <w:r w:rsidR="00CC2BDD" w:rsidRPr="001D6288">
        <w:rPr>
          <w:rFonts w:cstheme="minorHAnsi"/>
          <w:color w:val="000000" w:themeColor="text1"/>
        </w:rPr>
        <w:t xml:space="preserve"> Based on this, it seems that Activating Prior Knowledge</w:t>
      </w:r>
      <w:r w:rsidR="00BB15FB" w:rsidRPr="001D6288">
        <w:rPr>
          <w:rFonts w:cstheme="minorHAnsi"/>
          <w:color w:val="000000" w:themeColor="text1"/>
        </w:rPr>
        <w:t>, whether explicit or implicit,</w:t>
      </w:r>
      <w:r w:rsidR="00CC2BDD" w:rsidRPr="001D6288">
        <w:rPr>
          <w:rFonts w:cstheme="minorHAnsi"/>
          <w:color w:val="000000" w:themeColor="text1"/>
        </w:rPr>
        <w:t xml:space="preserve"> is an essential part of metacognition, and the frequency </w:t>
      </w:r>
      <w:r w:rsidR="00605BF2" w:rsidRPr="001D6288">
        <w:rPr>
          <w:rFonts w:cstheme="minorHAnsi"/>
          <w:color w:val="000000" w:themeColor="text1"/>
        </w:rPr>
        <w:t>with</w:t>
      </w:r>
      <w:r w:rsidR="00CC2BDD" w:rsidRPr="001D6288">
        <w:rPr>
          <w:rFonts w:cstheme="minorHAnsi"/>
          <w:color w:val="000000" w:themeColor="text1"/>
        </w:rPr>
        <w:t xml:space="preserve"> which this is used in schools seems justified</w:t>
      </w:r>
      <w:r w:rsidR="00862904" w:rsidRPr="001D6288">
        <w:rPr>
          <w:rFonts w:cstheme="minorHAnsi"/>
          <w:color w:val="000000" w:themeColor="text1"/>
        </w:rPr>
        <w:t>.</w:t>
      </w:r>
      <w:r w:rsidR="005F1FD2" w:rsidRPr="001D6288">
        <w:rPr>
          <w:rFonts w:cstheme="minorHAnsi"/>
          <w:color w:val="000000" w:themeColor="text1"/>
        </w:rPr>
        <w:t xml:space="preserve"> The children returned to their APK mind map at the end of the unit to add information in a new colour. Based on the literature, this seems to be a good way of making the metacognitive process more cyclical and helping the children to make strong mental connections. </w:t>
      </w:r>
    </w:p>
    <w:p w14:paraId="6CD7F674" w14:textId="3416B362" w:rsidR="00862904" w:rsidRPr="001D6288" w:rsidRDefault="00862904" w:rsidP="00D47530">
      <w:pPr>
        <w:rPr>
          <w:rFonts w:cstheme="minorHAnsi"/>
          <w:color w:val="000000" w:themeColor="text1"/>
        </w:rPr>
      </w:pPr>
    </w:p>
    <w:p w14:paraId="074A4FF9" w14:textId="406FD1A4" w:rsidR="00BB15FB" w:rsidRPr="001D6288" w:rsidRDefault="00605BF2" w:rsidP="00D47530">
      <w:pPr>
        <w:rPr>
          <w:rFonts w:cstheme="minorHAnsi"/>
          <w:color w:val="000000" w:themeColor="text1"/>
        </w:rPr>
      </w:pPr>
      <w:r w:rsidRPr="001D6288">
        <w:rPr>
          <w:rFonts w:cstheme="minorHAnsi"/>
          <w:color w:val="000000" w:themeColor="text1"/>
        </w:rPr>
        <w:tab/>
        <w:t xml:space="preserve">A reoccurring theme in the literature is the importance of </w:t>
      </w:r>
      <w:r w:rsidR="005F1FD2" w:rsidRPr="001D6288">
        <w:rPr>
          <w:rFonts w:cstheme="minorHAnsi"/>
          <w:color w:val="000000" w:themeColor="text1"/>
        </w:rPr>
        <w:t xml:space="preserve">the </w:t>
      </w:r>
      <w:r w:rsidRPr="001D6288">
        <w:rPr>
          <w:rFonts w:cstheme="minorHAnsi"/>
          <w:color w:val="000000" w:themeColor="text1"/>
        </w:rPr>
        <w:t xml:space="preserve">context </w:t>
      </w:r>
      <w:r w:rsidR="005F1FD2" w:rsidRPr="001D6288">
        <w:rPr>
          <w:rFonts w:cstheme="minorHAnsi"/>
          <w:color w:val="000000" w:themeColor="text1"/>
        </w:rPr>
        <w:t xml:space="preserve">when teaching </w:t>
      </w:r>
      <w:r w:rsidRPr="001D6288">
        <w:rPr>
          <w:rFonts w:cstheme="minorHAnsi"/>
          <w:color w:val="000000" w:themeColor="text1"/>
        </w:rPr>
        <w:t xml:space="preserve">metacognition. Importantly, metacognition </w:t>
      </w:r>
      <w:r w:rsidR="005F1FD2" w:rsidRPr="001D6288">
        <w:rPr>
          <w:rFonts w:cstheme="minorHAnsi"/>
          <w:color w:val="000000" w:themeColor="text1"/>
        </w:rPr>
        <w:t>cannot</w:t>
      </w:r>
      <w:r w:rsidRPr="001D6288">
        <w:rPr>
          <w:rFonts w:cstheme="minorHAnsi"/>
          <w:color w:val="000000" w:themeColor="text1"/>
        </w:rPr>
        <w:t xml:space="preserve"> be separated from subject knowledge (Quigley</w:t>
      </w:r>
      <w:r w:rsidR="00AF4D4B" w:rsidRPr="001D6288">
        <w:rPr>
          <w:rFonts w:cstheme="minorHAnsi"/>
          <w:color w:val="000000" w:themeColor="text1"/>
        </w:rPr>
        <w:t xml:space="preserve"> et al. 2018</w:t>
      </w:r>
      <w:r w:rsidRPr="001D6288">
        <w:rPr>
          <w:rFonts w:cstheme="minorHAnsi"/>
          <w:color w:val="000000" w:themeColor="text1"/>
        </w:rPr>
        <w:t>), and the EEF guidance argues that isolated ‘thinking skills’ lessons are less effective for developing learners’ metacognition, because children find it hard to transfer these skills to specific tasks</w:t>
      </w:r>
      <w:r w:rsidR="009460DD" w:rsidRPr="001D6288">
        <w:rPr>
          <w:rFonts w:cstheme="minorHAnsi"/>
          <w:color w:val="000000" w:themeColor="text1"/>
        </w:rPr>
        <w:t>. For example, an evaluation of a metacognition training programme called ‘Mind the Gap’ found that whilst the programme had a positive impact on pupils’ metacognition, there was no evidence for an impact on attainment (Dorsett et al.</w:t>
      </w:r>
      <w:r w:rsidR="00AF4D4B" w:rsidRPr="001D6288">
        <w:rPr>
          <w:rFonts w:cstheme="minorHAnsi"/>
          <w:color w:val="000000" w:themeColor="text1"/>
        </w:rPr>
        <w:t>,</w:t>
      </w:r>
      <w:r w:rsidR="009460DD" w:rsidRPr="001D6288">
        <w:rPr>
          <w:rFonts w:cstheme="minorHAnsi"/>
          <w:color w:val="000000" w:themeColor="text1"/>
        </w:rPr>
        <w:t xml:space="preserve"> 2014). Mujis et al</w:t>
      </w:r>
      <w:r w:rsidR="00AF4D4B" w:rsidRPr="001D6288">
        <w:rPr>
          <w:rFonts w:cstheme="minorHAnsi"/>
          <w:color w:val="000000" w:themeColor="text1"/>
        </w:rPr>
        <w:t>.</w:t>
      </w:r>
      <w:r w:rsidR="009460DD" w:rsidRPr="001D6288">
        <w:rPr>
          <w:rFonts w:cstheme="minorHAnsi"/>
          <w:color w:val="000000" w:themeColor="text1"/>
        </w:rPr>
        <w:t xml:space="preserve"> (2020) suggest these results may have been due to a lack of integration between the metacognitive interventions, and specific subjects. As a result, the </w:t>
      </w:r>
      <w:r w:rsidR="000F32D4" w:rsidRPr="001D6288">
        <w:rPr>
          <w:rFonts w:cstheme="minorHAnsi"/>
          <w:color w:val="000000" w:themeColor="text1"/>
        </w:rPr>
        <w:t xml:space="preserve">new </w:t>
      </w:r>
      <w:r w:rsidR="009460DD" w:rsidRPr="001D6288">
        <w:rPr>
          <w:rFonts w:cstheme="minorHAnsi"/>
          <w:color w:val="000000" w:themeColor="text1"/>
        </w:rPr>
        <w:t xml:space="preserve">Curriculum </w:t>
      </w:r>
      <w:r w:rsidR="000F32D4" w:rsidRPr="001D6288">
        <w:rPr>
          <w:rFonts w:cstheme="minorHAnsi"/>
          <w:color w:val="000000" w:themeColor="text1"/>
        </w:rPr>
        <w:t xml:space="preserve">for Wales </w:t>
      </w:r>
      <w:r w:rsidR="009460DD" w:rsidRPr="001D6288">
        <w:rPr>
          <w:rFonts w:cstheme="minorHAnsi"/>
          <w:color w:val="000000" w:themeColor="text1"/>
        </w:rPr>
        <w:t xml:space="preserve">may be </w:t>
      </w:r>
      <w:r w:rsidR="005F1FD2" w:rsidRPr="001D6288">
        <w:rPr>
          <w:rFonts w:cstheme="minorHAnsi"/>
          <w:color w:val="000000" w:themeColor="text1"/>
        </w:rPr>
        <w:t>well</w:t>
      </w:r>
      <w:r w:rsidR="009460DD" w:rsidRPr="001D6288">
        <w:rPr>
          <w:rFonts w:cstheme="minorHAnsi"/>
          <w:color w:val="000000" w:themeColor="text1"/>
        </w:rPr>
        <w:t xml:space="preserve"> designed to support metacognitive instruction, due to the </w:t>
      </w:r>
      <w:r w:rsidR="000F32D4" w:rsidRPr="001D6288">
        <w:rPr>
          <w:rFonts w:cstheme="minorHAnsi"/>
          <w:color w:val="000000" w:themeColor="text1"/>
        </w:rPr>
        <w:t>focus on cross-curricular pedagogy and links between the Areas of Learning and Experiences.</w:t>
      </w:r>
      <w:r w:rsidR="00C83641" w:rsidRPr="001D6288">
        <w:rPr>
          <w:rFonts w:cstheme="minorHAnsi"/>
          <w:color w:val="000000" w:themeColor="text1"/>
        </w:rPr>
        <w:t xml:space="preserve"> Specifically, Dignath (2018) recommends that the teaching of metacognition is embedded in the curriculum, as metacognitive and self-regulated learning </w:t>
      </w:r>
      <w:r w:rsidR="005F1FD2" w:rsidRPr="001D6288">
        <w:rPr>
          <w:rFonts w:cstheme="minorHAnsi"/>
          <w:color w:val="000000" w:themeColor="text1"/>
        </w:rPr>
        <w:t>is</w:t>
      </w:r>
      <w:r w:rsidR="00C83641" w:rsidRPr="001D6288">
        <w:rPr>
          <w:rFonts w:cstheme="minorHAnsi"/>
          <w:color w:val="000000" w:themeColor="text1"/>
        </w:rPr>
        <w:t xml:space="preserve"> highly important in becoming a lifelong learner (</w:t>
      </w:r>
      <w:proofErr w:type="spellStart"/>
      <w:r w:rsidR="00AF4D4B" w:rsidRPr="001D6288">
        <w:rPr>
          <w:rFonts w:cstheme="minorHAnsi"/>
          <w:color w:val="000000" w:themeColor="text1"/>
        </w:rPr>
        <w:t>S</w:t>
      </w:r>
      <w:r w:rsidR="00C83641" w:rsidRPr="001D6288">
        <w:rPr>
          <w:rFonts w:cstheme="minorHAnsi"/>
          <w:color w:val="000000" w:themeColor="text1"/>
        </w:rPr>
        <w:t>uteu</w:t>
      </w:r>
      <w:proofErr w:type="spellEnd"/>
      <w:r w:rsidR="00AF4D4B" w:rsidRPr="001D6288">
        <w:rPr>
          <w:rFonts w:cstheme="minorHAnsi"/>
          <w:color w:val="000000" w:themeColor="text1"/>
        </w:rPr>
        <w:t xml:space="preserve">, </w:t>
      </w:r>
      <w:r w:rsidR="00C83641" w:rsidRPr="001D6288">
        <w:rPr>
          <w:rFonts w:cstheme="minorHAnsi"/>
          <w:color w:val="000000" w:themeColor="text1"/>
        </w:rPr>
        <w:t xml:space="preserve">2021; </w:t>
      </w:r>
      <w:r w:rsidR="00AF4D4B" w:rsidRPr="001D6288">
        <w:rPr>
          <w:rFonts w:cstheme="minorHAnsi"/>
          <w:color w:val="000000" w:themeColor="text1"/>
        </w:rPr>
        <w:t>Di</w:t>
      </w:r>
      <w:r w:rsidR="00C83641" w:rsidRPr="001D6288">
        <w:rPr>
          <w:rFonts w:cstheme="minorHAnsi"/>
          <w:color w:val="000000" w:themeColor="text1"/>
        </w:rPr>
        <w:t xml:space="preserve">gnath </w:t>
      </w:r>
      <w:r w:rsidR="00AF4D4B" w:rsidRPr="001D6288">
        <w:rPr>
          <w:rFonts w:cstheme="minorHAnsi"/>
          <w:color w:val="000000" w:themeColor="text1"/>
        </w:rPr>
        <w:t xml:space="preserve">et al., </w:t>
      </w:r>
      <w:r w:rsidR="00C83641" w:rsidRPr="001D6288">
        <w:rPr>
          <w:rFonts w:cstheme="minorHAnsi"/>
          <w:color w:val="000000" w:themeColor="text1"/>
        </w:rPr>
        <w:t>2008). This is particularly in alignment with the Welsh curriculum</w:t>
      </w:r>
      <w:r w:rsidR="005F1FD2" w:rsidRPr="001D6288">
        <w:rPr>
          <w:rFonts w:cstheme="minorHAnsi"/>
          <w:color w:val="000000" w:themeColor="text1"/>
        </w:rPr>
        <w:t xml:space="preserve">, with the emphasis on pedagogy that gives children the metacognitive skills and dispositions to learn throughout their lives. </w:t>
      </w:r>
    </w:p>
    <w:p w14:paraId="1EEA56E3" w14:textId="77777777" w:rsidR="00401984" w:rsidRPr="001D6288" w:rsidRDefault="00401984" w:rsidP="00D47530">
      <w:pPr>
        <w:rPr>
          <w:rFonts w:cstheme="minorHAnsi"/>
          <w:color w:val="000000" w:themeColor="text1"/>
        </w:rPr>
      </w:pPr>
    </w:p>
    <w:p w14:paraId="2B21863E" w14:textId="3CB3795B" w:rsidR="00147B0C" w:rsidRPr="001D6288" w:rsidRDefault="00EC2A0B" w:rsidP="005F1FD2">
      <w:pPr>
        <w:ind w:firstLine="720"/>
        <w:rPr>
          <w:rFonts w:cstheme="minorHAnsi"/>
        </w:rPr>
      </w:pPr>
      <w:r w:rsidRPr="001D6288">
        <w:rPr>
          <w:rFonts w:cstheme="minorHAnsi"/>
          <w:color w:val="000000" w:themeColor="text1"/>
        </w:rPr>
        <w:t>A common misconception around metacognition</w:t>
      </w:r>
      <w:r w:rsidR="00E22A05" w:rsidRPr="001D6288">
        <w:rPr>
          <w:rFonts w:cstheme="minorHAnsi"/>
          <w:color w:val="000000" w:themeColor="text1"/>
        </w:rPr>
        <w:t>,</w:t>
      </w:r>
      <w:r w:rsidR="005F1FD2" w:rsidRPr="001D6288">
        <w:rPr>
          <w:rFonts w:cstheme="minorHAnsi"/>
          <w:color w:val="000000" w:themeColor="text1"/>
        </w:rPr>
        <w:t xml:space="preserve"> according to the literature,</w:t>
      </w:r>
      <w:r w:rsidR="00E22A05" w:rsidRPr="001D6288">
        <w:rPr>
          <w:rFonts w:cstheme="minorHAnsi"/>
          <w:color w:val="000000" w:themeColor="text1"/>
        </w:rPr>
        <w:t xml:space="preserve"> is the false</w:t>
      </w:r>
      <w:r w:rsidRPr="001D6288">
        <w:rPr>
          <w:rFonts w:cstheme="minorHAnsi"/>
          <w:color w:val="000000" w:themeColor="text1"/>
        </w:rPr>
        <w:t xml:space="preserve"> belief that metacognition </w:t>
      </w:r>
      <w:r w:rsidR="00F9509B" w:rsidRPr="001D6288">
        <w:rPr>
          <w:rFonts w:cstheme="minorHAnsi"/>
          <w:color w:val="000000" w:themeColor="text1"/>
        </w:rPr>
        <w:t xml:space="preserve">is not present in young children. The age at which metacognition develops varies between academics, with some claiming metacognitive </w:t>
      </w:r>
      <w:r w:rsidR="00FD0BAA" w:rsidRPr="001D6288">
        <w:rPr>
          <w:rFonts w:cstheme="minorHAnsi"/>
          <w:color w:val="000000" w:themeColor="text1"/>
        </w:rPr>
        <w:t xml:space="preserve">skills start to develop between the ages of 8-10 </w:t>
      </w:r>
      <w:r w:rsidR="00FD0BAA" w:rsidRPr="001D6288">
        <w:rPr>
          <w:rFonts w:cstheme="minorHAnsi"/>
          <w:color w:val="000000" w:themeColor="text1"/>
        </w:rPr>
        <w:t>(</w:t>
      </w:r>
      <w:proofErr w:type="spellStart"/>
      <w:r w:rsidR="00FD0BAA" w:rsidRPr="001D6288">
        <w:rPr>
          <w:rFonts w:cstheme="minorHAnsi"/>
          <w:color w:val="000000" w:themeColor="text1"/>
        </w:rPr>
        <w:t>Veen</w:t>
      </w:r>
      <w:r w:rsidR="00401984" w:rsidRPr="001D6288">
        <w:rPr>
          <w:rFonts w:cstheme="minorHAnsi"/>
          <w:color w:val="000000" w:themeColor="text1"/>
        </w:rPr>
        <w:t>man</w:t>
      </w:r>
      <w:proofErr w:type="spellEnd"/>
      <w:r w:rsidR="00FD0BAA" w:rsidRPr="001D6288">
        <w:rPr>
          <w:rFonts w:cstheme="minorHAnsi"/>
          <w:color w:val="000000" w:themeColor="text1"/>
        </w:rPr>
        <w:t xml:space="preserve"> et al</w:t>
      </w:r>
      <w:r w:rsidR="00AF4D4B" w:rsidRPr="001D6288">
        <w:rPr>
          <w:rFonts w:cstheme="minorHAnsi"/>
          <w:color w:val="000000" w:themeColor="text1"/>
        </w:rPr>
        <w:t>.,</w:t>
      </w:r>
      <w:r w:rsidR="00FD0BAA" w:rsidRPr="001D6288">
        <w:rPr>
          <w:rFonts w:cstheme="minorHAnsi"/>
          <w:color w:val="000000" w:themeColor="text1"/>
        </w:rPr>
        <w:t xml:space="preserve"> 2004)</w:t>
      </w:r>
      <w:r w:rsidR="00FD0BAA" w:rsidRPr="001D6288">
        <w:rPr>
          <w:rFonts w:cstheme="minorHAnsi"/>
          <w:color w:val="000000" w:themeColor="text1"/>
        </w:rPr>
        <w:t>, whilst other researchers claim metacognitive behaviours</w:t>
      </w:r>
      <w:r w:rsidR="00F9509B" w:rsidRPr="001D6288">
        <w:rPr>
          <w:rFonts w:cstheme="minorHAnsi"/>
          <w:color w:val="000000" w:themeColor="text1"/>
        </w:rPr>
        <w:t xml:space="preserve"> are evident </w:t>
      </w:r>
      <w:r w:rsidR="00FD0BAA" w:rsidRPr="001D6288">
        <w:rPr>
          <w:rFonts w:cstheme="minorHAnsi"/>
          <w:color w:val="000000" w:themeColor="text1"/>
        </w:rPr>
        <w:t>when children are a</w:t>
      </w:r>
      <w:r w:rsidR="00F9509B" w:rsidRPr="001D6288">
        <w:rPr>
          <w:rFonts w:cstheme="minorHAnsi"/>
          <w:color w:val="000000" w:themeColor="text1"/>
        </w:rPr>
        <w:t>s young as three (</w:t>
      </w:r>
      <w:proofErr w:type="spellStart"/>
      <w:r w:rsidR="00AF4D4B" w:rsidRPr="001D6288">
        <w:rPr>
          <w:rFonts w:cstheme="minorHAnsi"/>
          <w:color w:val="000000" w:themeColor="text1"/>
        </w:rPr>
        <w:t>W</w:t>
      </w:r>
      <w:r w:rsidR="00F9509B" w:rsidRPr="001D6288">
        <w:rPr>
          <w:rFonts w:cstheme="minorHAnsi"/>
          <w:color w:val="000000" w:themeColor="text1"/>
        </w:rPr>
        <w:t>hitebread</w:t>
      </w:r>
      <w:proofErr w:type="spellEnd"/>
      <w:r w:rsidR="00F9509B" w:rsidRPr="001D6288">
        <w:rPr>
          <w:rFonts w:cstheme="minorHAnsi"/>
          <w:color w:val="000000" w:themeColor="text1"/>
        </w:rPr>
        <w:t xml:space="preserve"> and </w:t>
      </w:r>
      <w:proofErr w:type="spellStart"/>
      <w:r w:rsidR="00401984" w:rsidRPr="001D6288">
        <w:rPr>
          <w:rFonts w:cstheme="minorHAnsi"/>
          <w:color w:val="000000" w:themeColor="text1"/>
        </w:rPr>
        <w:t>Coltman</w:t>
      </w:r>
      <w:proofErr w:type="spellEnd"/>
      <w:r w:rsidR="00F9509B" w:rsidRPr="001D6288">
        <w:rPr>
          <w:rFonts w:cstheme="minorHAnsi"/>
          <w:color w:val="000000" w:themeColor="text1"/>
        </w:rPr>
        <w:t xml:space="preserve"> 2010)</w:t>
      </w:r>
      <w:r w:rsidR="00FD0BAA" w:rsidRPr="001D6288">
        <w:rPr>
          <w:rFonts w:cstheme="minorHAnsi"/>
          <w:color w:val="000000" w:themeColor="text1"/>
        </w:rPr>
        <w:t xml:space="preserve">. </w:t>
      </w:r>
      <w:proofErr w:type="spellStart"/>
      <w:r w:rsidR="00FD0BAA" w:rsidRPr="001D6288">
        <w:rPr>
          <w:rFonts w:cstheme="minorHAnsi"/>
          <w:color w:val="000000" w:themeColor="text1"/>
        </w:rPr>
        <w:t>Veen</w:t>
      </w:r>
      <w:r w:rsidR="00401984" w:rsidRPr="001D6288">
        <w:rPr>
          <w:rFonts w:cstheme="minorHAnsi"/>
          <w:color w:val="000000" w:themeColor="text1"/>
        </w:rPr>
        <w:t>man</w:t>
      </w:r>
      <w:proofErr w:type="spellEnd"/>
      <w:r w:rsidR="00FD0BAA" w:rsidRPr="001D6288">
        <w:rPr>
          <w:rFonts w:cstheme="minorHAnsi"/>
          <w:color w:val="000000" w:themeColor="text1"/>
        </w:rPr>
        <w:t xml:space="preserve"> et al</w:t>
      </w:r>
      <w:r w:rsidR="00AF4D4B" w:rsidRPr="001D6288">
        <w:rPr>
          <w:rFonts w:cstheme="minorHAnsi"/>
          <w:color w:val="000000" w:themeColor="text1"/>
        </w:rPr>
        <w:t>.</w:t>
      </w:r>
      <w:r w:rsidR="00FD0BAA" w:rsidRPr="001D6288">
        <w:rPr>
          <w:rFonts w:cstheme="minorHAnsi"/>
          <w:color w:val="000000" w:themeColor="text1"/>
        </w:rPr>
        <w:t xml:space="preserve"> </w:t>
      </w:r>
      <w:r w:rsidR="00AF4D4B" w:rsidRPr="001D6288">
        <w:rPr>
          <w:rFonts w:cstheme="minorHAnsi"/>
          <w:color w:val="000000" w:themeColor="text1"/>
        </w:rPr>
        <w:t>(</w:t>
      </w:r>
      <w:r w:rsidR="00FD0BAA" w:rsidRPr="001D6288">
        <w:rPr>
          <w:rFonts w:cstheme="minorHAnsi"/>
          <w:color w:val="000000" w:themeColor="text1"/>
        </w:rPr>
        <w:t>2004</w:t>
      </w:r>
      <w:r w:rsidR="00AF4D4B" w:rsidRPr="001D6288">
        <w:rPr>
          <w:rFonts w:cstheme="minorHAnsi"/>
          <w:color w:val="000000" w:themeColor="text1"/>
        </w:rPr>
        <w:t>)</w:t>
      </w:r>
      <w:r w:rsidR="00FD0BAA" w:rsidRPr="001D6288">
        <w:rPr>
          <w:rFonts w:cstheme="minorHAnsi"/>
          <w:color w:val="000000" w:themeColor="text1"/>
        </w:rPr>
        <w:t xml:space="preserve"> found that metacognitive skills </w:t>
      </w:r>
      <w:r w:rsidR="00FD0BAA" w:rsidRPr="001D6288">
        <w:rPr>
          <w:rFonts w:cstheme="minorHAnsi"/>
          <w:color w:val="000000" w:themeColor="text1"/>
        </w:rPr>
        <w:lastRenderedPageBreak/>
        <w:t>accounted for 54% of</w:t>
      </w:r>
      <w:r w:rsidR="00401984" w:rsidRPr="001D6288">
        <w:rPr>
          <w:rFonts w:cstheme="minorHAnsi"/>
          <w:color w:val="000000" w:themeColor="text1"/>
        </w:rPr>
        <w:t xml:space="preserve"> </w:t>
      </w:r>
      <w:r w:rsidR="005F1FD2" w:rsidRPr="001D6288">
        <w:rPr>
          <w:rFonts w:cstheme="minorHAnsi"/>
          <w:color w:val="000000" w:themeColor="text1"/>
        </w:rPr>
        <w:t xml:space="preserve">the </w:t>
      </w:r>
      <w:r w:rsidR="00FD0BAA" w:rsidRPr="001D6288">
        <w:rPr>
          <w:rFonts w:cstheme="minorHAnsi"/>
          <w:color w:val="000000" w:themeColor="text1"/>
        </w:rPr>
        <w:t xml:space="preserve">variance in learning performance in grade 4 (year 5), and that metacognitive skills helped the children approach </w:t>
      </w:r>
      <w:r w:rsidR="009D648B" w:rsidRPr="001D6288">
        <w:rPr>
          <w:rFonts w:cstheme="minorHAnsi"/>
          <w:color w:val="000000" w:themeColor="text1"/>
        </w:rPr>
        <w:t>co</w:t>
      </w:r>
      <w:r w:rsidR="00FD0BAA" w:rsidRPr="001D6288">
        <w:rPr>
          <w:rFonts w:cstheme="minorHAnsi"/>
          <w:color w:val="000000" w:themeColor="text1"/>
        </w:rPr>
        <w:t xml:space="preserve">mplex </w:t>
      </w:r>
      <w:r w:rsidR="009D648B" w:rsidRPr="001D6288">
        <w:rPr>
          <w:rFonts w:cstheme="minorHAnsi"/>
          <w:color w:val="000000" w:themeColor="text1"/>
        </w:rPr>
        <w:t>tasks</w:t>
      </w:r>
      <w:r w:rsidR="00FD0BAA" w:rsidRPr="001D6288">
        <w:rPr>
          <w:rFonts w:cstheme="minorHAnsi"/>
          <w:color w:val="000000" w:themeColor="text1"/>
        </w:rPr>
        <w:t xml:space="preserve">. </w:t>
      </w:r>
      <w:r w:rsidR="00401984" w:rsidRPr="001D6288">
        <w:rPr>
          <w:rFonts w:cstheme="minorHAnsi"/>
          <w:color w:val="000000" w:themeColor="text1"/>
        </w:rPr>
        <w:t>The study is limited by the focus on discovery-</w:t>
      </w:r>
      <w:r w:rsidR="005F1FD2" w:rsidRPr="001D6288">
        <w:rPr>
          <w:rFonts w:cstheme="minorHAnsi"/>
          <w:color w:val="000000" w:themeColor="text1"/>
        </w:rPr>
        <w:t>learning;</w:t>
      </w:r>
      <w:r w:rsidR="00401984" w:rsidRPr="001D6288">
        <w:rPr>
          <w:rFonts w:cstheme="minorHAnsi"/>
          <w:color w:val="000000" w:themeColor="text1"/>
        </w:rPr>
        <w:t xml:space="preserve"> however, this study was one of the first to highlight the role of metacognition in primary school-age children and was therefore highly influential. </w:t>
      </w:r>
      <w:r w:rsidR="00E22A05" w:rsidRPr="001D6288">
        <w:rPr>
          <w:rFonts w:cstheme="minorHAnsi"/>
          <w:color w:val="000000" w:themeColor="text1"/>
        </w:rPr>
        <w:t xml:space="preserve">Interestingly, interventions in metacognition evaluated by the Education Endowment Foundation have more often been successful in primary school than in secondary (Mujis </w:t>
      </w:r>
      <w:r w:rsidR="00AF4D4B" w:rsidRPr="001D6288">
        <w:rPr>
          <w:rFonts w:cstheme="minorHAnsi"/>
          <w:color w:val="000000" w:themeColor="text1"/>
        </w:rPr>
        <w:t xml:space="preserve">&amp; Bokhove, </w:t>
      </w:r>
      <w:r w:rsidR="00E22A05" w:rsidRPr="001D6288">
        <w:rPr>
          <w:rFonts w:cstheme="minorHAnsi"/>
          <w:color w:val="000000" w:themeColor="text1"/>
        </w:rPr>
        <w:t xml:space="preserve">2020). </w:t>
      </w:r>
      <w:proofErr w:type="spellStart"/>
      <w:r w:rsidR="00147B0C" w:rsidRPr="001D6288">
        <w:rPr>
          <w:rFonts w:cstheme="minorHAnsi"/>
          <w:color w:val="000000" w:themeColor="text1"/>
        </w:rPr>
        <w:t>Veenman</w:t>
      </w:r>
      <w:proofErr w:type="spellEnd"/>
      <w:r w:rsidR="00147B0C" w:rsidRPr="001D6288">
        <w:rPr>
          <w:rFonts w:cstheme="minorHAnsi"/>
          <w:color w:val="000000" w:themeColor="text1"/>
        </w:rPr>
        <w:t xml:space="preserve"> et al</w:t>
      </w:r>
      <w:r w:rsidR="00AF4D4B" w:rsidRPr="001D6288">
        <w:rPr>
          <w:rFonts w:cstheme="minorHAnsi"/>
          <w:color w:val="000000" w:themeColor="text1"/>
        </w:rPr>
        <w:t>.</w:t>
      </w:r>
      <w:r w:rsidR="00147B0C" w:rsidRPr="001D6288">
        <w:rPr>
          <w:rFonts w:cstheme="minorHAnsi"/>
          <w:color w:val="000000" w:themeColor="text1"/>
        </w:rPr>
        <w:t xml:space="preserve"> </w:t>
      </w:r>
      <w:r w:rsidR="00AF4D4B" w:rsidRPr="001D6288">
        <w:rPr>
          <w:rFonts w:cstheme="minorHAnsi"/>
          <w:color w:val="000000" w:themeColor="text1"/>
        </w:rPr>
        <w:t>(</w:t>
      </w:r>
      <w:r w:rsidR="00147B0C" w:rsidRPr="001D6288">
        <w:rPr>
          <w:rFonts w:cstheme="minorHAnsi"/>
          <w:color w:val="000000" w:themeColor="text1"/>
        </w:rPr>
        <w:t>2006</w:t>
      </w:r>
      <w:r w:rsidR="00AF4D4B" w:rsidRPr="001D6288">
        <w:rPr>
          <w:rFonts w:cstheme="minorHAnsi"/>
          <w:color w:val="000000" w:themeColor="text1"/>
        </w:rPr>
        <w:t>)</w:t>
      </w:r>
      <w:r w:rsidR="00147B0C" w:rsidRPr="001D6288">
        <w:rPr>
          <w:rFonts w:cstheme="minorHAnsi"/>
          <w:color w:val="000000" w:themeColor="text1"/>
        </w:rPr>
        <w:t xml:space="preserve"> suggest </w:t>
      </w:r>
      <w:r w:rsidR="00147B0C" w:rsidRPr="001D6288">
        <w:rPr>
          <w:rFonts w:cstheme="minorHAnsi"/>
        </w:rPr>
        <w:t>that</w:t>
      </w:r>
      <w:r w:rsidR="00147B0C" w:rsidRPr="001D6288">
        <w:rPr>
          <w:rFonts w:cstheme="minorHAnsi"/>
        </w:rPr>
        <w:t xml:space="preserve"> metacognitive knowledge and skills </w:t>
      </w:r>
      <w:r w:rsidR="00147B0C" w:rsidRPr="001D6288">
        <w:rPr>
          <w:rFonts w:cstheme="minorHAnsi"/>
        </w:rPr>
        <w:t xml:space="preserve">have already begun to develop </w:t>
      </w:r>
      <w:r w:rsidR="00147B0C" w:rsidRPr="001D6288">
        <w:rPr>
          <w:rFonts w:cstheme="minorHAnsi"/>
        </w:rPr>
        <w:t xml:space="preserve">during </w:t>
      </w:r>
      <w:r w:rsidR="00147B0C" w:rsidRPr="001D6288">
        <w:rPr>
          <w:rFonts w:cstheme="minorHAnsi"/>
        </w:rPr>
        <w:t>the early years</w:t>
      </w:r>
      <w:r w:rsidR="00147B0C" w:rsidRPr="001D6288">
        <w:rPr>
          <w:rFonts w:cstheme="minorHAnsi"/>
        </w:rPr>
        <w:t xml:space="preserve"> but become more sophisticated</w:t>
      </w:r>
      <w:r w:rsidR="00147B0C" w:rsidRPr="001D6288">
        <w:rPr>
          <w:rFonts w:cstheme="minorHAnsi"/>
        </w:rPr>
        <w:t xml:space="preserve"> the more metacognition is explicitly taught in the classroom. The implication of this is that teachers should not be afraid to teach metacognitive strategies, even if the children may seem too ‘young’ to fully understand the neuroscience behind it. With developmentally appropriate practice and </w:t>
      </w:r>
      <w:r w:rsidR="008F7FB0" w:rsidRPr="001D6288">
        <w:rPr>
          <w:rFonts w:cstheme="minorHAnsi"/>
        </w:rPr>
        <w:t>scaffolding, teachers can model metacognitive thinking and provide children with the opportunity to engage in guided practice of metacognitive strategies (Quigley et al</w:t>
      </w:r>
      <w:r w:rsidR="00AF4D4B" w:rsidRPr="001D6288">
        <w:rPr>
          <w:rFonts w:cstheme="minorHAnsi"/>
        </w:rPr>
        <w:t>.,</w:t>
      </w:r>
      <w:r w:rsidR="008F7FB0" w:rsidRPr="001D6288">
        <w:rPr>
          <w:rFonts w:cstheme="minorHAnsi"/>
        </w:rPr>
        <w:t xml:space="preserve"> 2018). </w:t>
      </w:r>
      <w:r w:rsidR="00AF4D4B" w:rsidRPr="001D6288">
        <w:rPr>
          <w:rFonts w:cstheme="minorHAnsi"/>
        </w:rPr>
        <w:t>They</w:t>
      </w:r>
      <w:r w:rsidR="00147B0C" w:rsidRPr="001D6288">
        <w:rPr>
          <w:rFonts w:cstheme="minorHAnsi"/>
        </w:rPr>
        <w:t xml:space="preserve"> argue that implicit modelling is ineffective for younger learners and that teachers need to make the processes they do explicit as they model the metacognitive skill.</w:t>
      </w:r>
      <w:r w:rsidR="009D648B" w:rsidRPr="001D6288">
        <w:rPr>
          <w:rFonts w:cstheme="minorHAnsi"/>
        </w:rPr>
        <w:t xml:space="preserve"> Whilst this explicit teaching of metacognition was not observed during the bridging period, this cannot be interpreted to mean it never happens, as the observer was only present for </w:t>
      </w:r>
      <w:r w:rsidR="00AF4D4B" w:rsidRPr="001D6288">
        <w:rPr>
          <w:rFonts w:cstheme="minorHAnsi"/>
        </w:rPr>
        <w:t xml:space="preserve">two </w:t>
      </w:r>
      <w:r w:rsidR="009D648B" w:rsidRPr="001D6288">
        <w:rPr>
          <w:rFonts w:cstheme="minorHAnsi"/>
        </w:rPr>
        <w:t>days. A longer-term observation would be necessary to fully understand the strategies used by the teacher in both explicitly and implicitly teaching metacognition.</w:t>
      </w:r>
    </w:p>
    <w:p w14:paraId="75D1A8A8" w14:textId="3E4248DB" w:rsidR="00147B0C" w:rsidRPr="001D6288" w:rsidRDefault="00147B0C" w:rsidP="00147B0C">
      <w:pPr>
        <w:ind w:firstLine="720"/>
        <w:rPr>
          <w:rFonts w:cstheme="minorHAnsi"/>
        </w:rPr>
      </w:pPr>
    </w:p>
    <w:p w14:paraId="4EA76176" w14:textId="77777777" w:rsidR="005B1B4D" w:rsidRPr="001D6288" w:rsidRDefault="005B1B4D" w:rsidP="005B1B4D">
      <w:pPr>
        <w:rPr>
          <w:rFonts w:cstheme="minorHAnsi"/>
          <w:color w:val="000000" w:themeColor="text1"/>
        </w:rPr>
      </w:pPr>
    </w:p>
    <w:p w14:paraId="2C549EA6" w14:textId="317CBDDE" w:rsidR="00D47530" w:rsidRPr="001D6288" w:rsidRDefault="005B1B4D" w:rsidP="00D47530">
      <w:pPr>
        <w:rPr>
          <w:rFonts w:cstheme="minorHAnsi"/>
          <w:color w:val="000000" w:themeColor="text1"/>
        </w:rPr>
      </w:pPr>
      <w:r w:rsidRPr="001D6288">
        <w:rPr>
          <w:rFonts w:cstheme="minorHAnsi"/>
          <w:color w:val="000000" w:themeColor="text1"/>
        </w:rPr>
        <w:tab/>
        <w:t xml:space="preserve">Interestingly, the research seems to point to the idea that teachers own metacognitive abilities is related to that of their pupils. </w:t>
      </w:r>
      <w:proofErr w:type="spellStart"/>
      <w:r w:rsidRPr="001D6288">
        <w:rPr>
          <w:rFonts w:cstheme="minorHAnsi"/>
          <w:color w:val="000000" w:themeColor="text1"/>
        </w:rPr>
        <w:t>Soodla</w:t>
      </w:r>
      <w:proofErr w:type="spellEnd"/>
      <w:r w:rsidRPr="001D6288">
        <w:rPr>
          <w:rFonts w:cstheme="minorHAnsi"/>
          <w:color w:val="000000" w:themeColor="text1"/>
        </w:rPr>
        <w:t xml:space="preserve"> et al</w:t>
      </w:r>
      <w:r w:rsidR="00AF4D4B" w:rsidRPr="001D6288">
        <w:rPr>
          <w:rFonts w:cstheme="minorHAnsi"/>
          <w:color w:val="000000" w:themeColor="text1"/>
        </w:rPr>
        <w:t>. (2</w:t>
      </w:r>
      <w:r w:rsidRPr="001D6288">
        <w:rPr>
          <w:rFonts w:cstheme="minorHAnsi"/>
          <w:color w:val="000000" w:themeColor="text1"/>
        </w:rPr>
        <w:t>017</w:t>
      </w:r>
      <w:r w:rsidR="00AF4D4B" w:rsidRPr="001D6288">
        <w:rPr>
          <w:rFonts w:cstheme="minorHAnsi"/>
          <w:color w:val="000000" w:themeColor="text1"/>
        </w:rPr>
        <w:t>)</w:t>
      </w:r>
      <w:r w:rsidRPr="001D6288">
        <w:rPr>
          <w:rFonts w:cstheme="minorHAnsi"/>
          <w:color w:val="000000" w:themeColor="text1"/>
        </w:rPr>
        <w:t xml:space="preserve"> found that teachers’ metacognitive knowledge of strategies to help reading comprehension, were significantly related to their students’ metacognitive knowledge. The authors argue that teachers need to have knowledge of metacognitive strategies, as well as </w:t>
      </w:r>
      <w:r w:rsidR="009D648B" w:rsidRPr="001D6288">
        <w:rPr>
          <w:rFonts w:cstheme="minorHAnsi"/>
          <w:color w:val="000000" w:themeColor="text1"/>
        </w:rPr>
        <w:t xml:space="preserve">an </w:t>
      </w:r>
      <w:r w:rsidRPr="001D6288">
        <w:rPr>
          <w:rFonts w:cstheme="minorHAnsi"/>
          <w:color w:val="000000" w:themeColor="text1"/>
        </w:rPr>
        <w:t xml:space="preserve">understanding of how to teach these </w:t>
      </w:r>
      <w:proofErr w:type="spellStart"/>
      <w:r w:rsidRPr="001D6288">
        <w:rPr>
          <w:rFonts w:cstheme="minorHAnsi"/>
          <w:color w:val="000000" w:themeColor="text1"/>
        </w:rPr>
        <w:t>to</w:t>
      </w:r>
      <w:proofErr w:type="spellEnd"/>
      <w:r w:rsidRPr="001D6288">
        <w:rPr>
          <w:rFonts w:cstheme="minorHAnsi"/>
          <w:color w:val="000000" w:themeColor="text1"/>
        </w:rPr>
        <w:t xml:space="preserve"> children. A drawback of this study is the lack of generalisability, due to the focus on teaching reading. Additionally, the relationship between teachers’ and students’ metacognitive knowledge cannot be interpreted as causal, but it is still an interesting link to bear in mind. Conversely, a comparison of professional development interventions to boost students’ justifications in </w:t>
      </w:r>
      <w:r w:rsidR="009D648B" w:rsidRPr="001D6288">
        <w:rPr>
          <w:rFonts w:cstheme="minorHAnsi"/>
          <w:color w:val="000000" w:themeColor="text1"/>
        </w:rPr>
        <w:t>science</w:t>
      </w:r>
      <w:r w:rsidRPr="001D6288">
        <w:rPr>
          <w:rFonts w:cstheme="minorHAnsi"/>
          <w:color w:val="000000" w:themeColor="text1"/>
        </w:rPr>
        <w:t xml:space="preserve"> found that a Metacognitive Analysis did not raise the teachers’ or students’ scores on written justifications (H</w:t>
      </w:r>
      <w:r w:rsidR="00AF4D4B" w:rsidRPr="001D6288">
        <w:rPr>
          <w:rFonts w:cstheme="minorHAnsi"/>
          <w:color w:val="000000" w:themeColor="text1"/>
        </w:rPr>
        <w:t>el</w:t>
      </w:r>
      <w:r w:rsidRPr="001D6288">
        <w:rPr>
          <w:rFonts w:cstheme="minorHAnsi"/>
          <w:color w:val="000000" w:themeColor="text1"/>
        </w:rPr>
        <w:t>ler et al</w:t>
      </w:r>
      <w:r w:rsidR="00AF4D4B" w:rsidRPr="001D6288">
        <w:rPr>
          <w:rFonts w:cstheme="minorHAnsi"/>
          <w:color w:val="000000" w:themeColor="text1"/>
        </w:rPr>
        <w:t>.,</w:t>
      </w:r>
      <w:r w:rsidRPr="001D6288">
        <w:rPr>
          <w:rFonts w:cstheme="minorHAnsi"/>
          <w:color w:val="000000" w:themeColor="text1"/>
        </w:rPr>
        <w:t xml:space="preserve"> 2012). The researchers proposed that teacher metacognition about their own learning may not increase insight into students’ difficulties, so an alternative method for</w:t>
      </w:r>
      <w:r w:rsidR="00AF4D4B" w:rsidRPr="001D6288">
        <w:rPr>
          <w:rFonts w:cstheme="minorHAnsi"/>
          <w:color w:val="000000" w:themeColor="text1"/>
        </w:rPr>
        <w:t xml:space="preserve"> </w:t>
      </w:r>
      <w:r w:rsidRPr="001D6288">
        <w:rPr>
          <w:rFonts w:cstheme="minorHAnsi"/>
          <w:color w:val="000000" w:themeColor="text1"/>
        </w:rPr>
        <w:t xml:space="preserve">professional development </w:t>
      </w:r>
      <w:r w:rsidR="00AF4D4B" w:rsidRPr="001D6288">
        <w:rPr>
          <w:rFonts w:cstheme="minorHAnsi"/>
          <w:color w:val="000000" w:themeColor="text1"/>
        </w:rPr>
        <w:t xml:space="preserve">in metacognition </w:t>
      </w:r>
      <w:r w:rsidRPr="001D6288">
        <w:rPr>
          <w:rFonts w:cstheme="minorHAnsi"/>
          <w:color w:val="000000" w:themeColor="text1"/>
        </w:rPr>
        <w:t>may be more effective</w:t>
      </w:r>
      <w:r w:rsidR="00AF4D4B" w:rsidRPr="001D6288">
        <w:rPr>
          <w:rFonts w:cstheme="minorHAnsi"/>
          <w:color w:val="000000" w:themeColor="text1"/>
        </w:rPr>
        <w:t>.</w:t>
      </w:r>
      <w:r w:rsidR="009D648B" w:rsidRPr="001D6288">
        <w:rPr>
          <w:rFonts w:cstheme="minorHAnsi"/>
          <w:color w:val="000000" w:themeColor="text1"/>
        </w:rPr>
        <w:t xml:space="preserve"> </w:t>
      </w:r>
      <w:r w:rsidR="00AF4D4B" w:rsidRPr="001D6288">
        <w:rPr>
          <w:rFonts w:cstheme="minorHAnsi"/>
          <w:color w:val="000000" w:themeColor="text1"/>
        </w:rPr>
        <w:t xml:space="preserve">In hindsight, it would have been interesting to find out the professional development the teachers in the bridging school had access to, considering it was a priority in the School Improvement Plan for two consecutive years. </w:t>
      </w:r>
    </w:p>
    <w:p w14:paraId="729DE118" w14:textId="2DD156AC" w:rsidR="00FD0BAA" w:rsidRPr="001D6288" w:rsidRDefault="00FD0BAA" w:rsidP="00D47530">
      <w:pPr>
        <w:rPr>
          <w:rFonts w:cstheme="minorHAnsi"/>
        </w:rPr>
      </w:pPr>
    </w:p>
    <w:p w14:paraId="4FF847E1" w14:textId="51A0FF12" w:rsidR="00CB03A3" w:rsidRPr="001D6288" w:rsidRDefault="00B61A91" w:rsidP="009D648B">
      <w:pPr>
        <w:rPr>
          <w:rFonts w:cstheme="minorHAnsi"/>
        </w:rPr>
      </w:pPr>
      <w:r w:rsidRPr="001D6288">
        <w:rPr>
          <w:rFonts w:cstheme="minorHAnsi"/>
        </w:rPr>
        <w:tab/>
        <w:t>The literature on metacognition makes links to other pedagogical concepts and theories, including cognitive load theory</w:t>
      </w:r>
      <w:r w:rsidR="00AF4D4B" w:rsidRPr="001D6288">
        <w:rPr>
          <w:rFonts w:cstheme="minorHAnsi"/>
        </w:rPr>
        <w:t xml:space="preserve">. </w:t>
      </w:r>
      <w:r w:rsidRPr="001D6288">
        <w:rPr>
          <w:rFonts w:cstheme="minorHAnsi"/>
        </w:rPr>
        <w:t xml:space="preserve">Cognitive Load Theory (CLT) was developed by </w:t>
      </w:r>
      <w:proofErr w:type="spellStart"/>
      <w:r w:rsidRPr="001D6288">
        <w:rPr>
          <w:rFonts w:cstheme="minorHAnsi"/>
        </w:rPr>
        <w:t>Sweller</w:t>
      </w:r>
      <w:proofErr w:type="spellEnd"/>
      <w:r w:rsidR="00CB03A3" w:rsidRPr="001D6288">
        <w:rPr>
          <w:rFonts w:cstheme="minorHAnsi"/>
        </w:rPr>
        <w:t xml:space="preserve"> (1988</w:t>
      </w:r>
      <w:r w:rsidR="002E73EE" w:rsidRPr="001D6288">
        <w:rPr>
          <w:rFonts w:cstheme="minorHAnsi"/>
        </w:rPr>
        <w:t>) and</w:t>
      </w:r>
      <w:r w:rsidRPr="001D6288">
        <w:rPr>
          <w:rFonts w:cstheme="minorHAnsi"/>
        </w:rPr>
        <w:t xml:space="preserve"> </w:t>
      </w:r>
      <w:proofErr w:type="gramStart"/>
      <w:r w:rsidRPr="001D6288">
        <w:rPr>
          <w:rFonts w:cstheme="minorHAnsi"/>
        </w:rPr>
        <w:t>is based on the assumption</w:t>
      </w:r>
      <w:proofErr w:type="gramEnd"/>
      <w:r w:rsidRPr="001D6288">
        <w:rPr>
          <w:rFonts w:cstheme="minorHAnsi"/>
        </w:rPr>
        <w:t xml:space="preserve"> that humans have a very limited working memory, and that when learning, some factors can overload the working memory. Intrinsic cognitive load can occur when learners do not have the relevant schema to understand the information, and extraneous cognitive load can be a result of design flaws in materials or resources (</w:t>
      </w:r>
      <w:proofErr w:type="spellStart"/>
      <w:r w:rsidRPr="001D6288">
        <w:rPr>
          <w:rFonts w:cstheme="minorHAnsi"/>
        </w:rPr>
        <w:t>Bannert</w:t>
      </w:r>
      <w:proofErr w:type="spellEnd"/>
      <w:r w:rsidRPr="001D6288">
        <w:rPr>
          <w:rFonts w:cstheme="minorHAnsi"/>
        </w:rPr>
        <w:t>, 200</w:t>
      </w:r>
      <w:r w:rsidR="00F602F4" w:rsidRPr="001D6288">
        <w:rPr>
          <w:rFonts w:cstheme="minorHAnsi"/>
        </w:rPr>
        <w:t>2</w:t>
      </w:r>
      <w:r w:rsidRPr="001D6288">
        <w:rPr>
          <w:rFonts w:cstheme="minorHAnsi"/>
        </w:rPr>
        <w:t xml:space="preserve">). </w:t>
      </w:r>
      <w:r w:rsidR="00CB03A3" w:rsidRPr="001D6288">
        <w:rPr>
          <w:rFonts w:cstheme="minorHAnsi"/>
        </w:rPr>
        <w:t xml:space="preserve">Cognitive load theory is relevant to metacognition, as teachers </w:t>
      </w:r>
      <w:r w:rsidR="00CB03A3" w:rsidRPr="001D6288">
        <w:rPr>
          <w:rFonts w:cstheme="minorHAnsi"/>
        </w:rPr>
        <w:lastRenderedPageBreak/>
        <w:t>can support pupils to maximise their working memory with metacognitive strategies (Quigley</w:t>
      </w:r>
      <w:r w:rsidR="00AF4D4B" w:rsidRPr="001D6288">
        <w:rPr>
          <w:rFonts w:cstheme="minorHAnsi"/>
        </w:rPr>
        <w:t xml:space="preserve"> et al., 2018</w:t>
      </w:r>
      <w:r w:rsidR="00CB03A3" w:rsidRPr="001D6288">
        <w:rPr>
          <w:rFonts w:cstheme="minorHAnsi"/>
        </w:rPr>
        <w:t>). In terms of pedagogical practice, this means teachers need to ensure information is presented at the right level and pace, modelling and worked examples, and the use of structured planning or reflective templates</w:t>
      </w:r>
      <w:r w:rsidR="009D648B" w:rsidRPr="001D6288">
        <w:rPr>
          <w:rFonts w:cstheme="minorHAnsi"/>
        </w:rPr>
        <w:t xml:space="preserve">. </w:t>
      </w:r>
      <w:r w:rsidR="00CB03A3" w:rsidRPr="001D6288">
        <w:rPr>
          <w:rFonts w:cstheme="minorHAnsi"/>
        </w:rPr>
        <w:t>This is relevant to the Critical Incident, as the children completed a semi-structured reflection template at the end of the unit</w:t>
      </w:r>
      <w:r w:rsidR="009D648B" w:rsidRPr="001D6288">
        <w:rPr>
          <w:rFonts w:cstheme="minorHAnsi"/>
        </w:rPr>
        <w:t xml:space="preserve">. </w:t>
      </w:r>
      <w:r w:rsidR="0058575F" w:rsidRPr="001D6288">
        <w:rPr>
          <w:rFonts w:cstheme="minorHAnsi"/>
        </w:rPr>
        <w:t>Structured thinking activities (STAs)</w:t>
      </w:r>
      <w:r w:rsidR="009D648B" w:rsidRPr="001D6288">
        <w:rPr>
          <w:rFonts w:cstheme="minorHAnsi"/>
        </w:rPr>
        <w:t xml:space="preserve">, such as the template observed in the critical incident, </w:t>
      </w:r>
      <w:r w:rsidR="0058575F" w:rsidRPr="001D6288">
        <w:rPr>
          <w:rFonts w:cstheme="minorHAnsi"/>
        </w:rPr>
        <w:t xml:space="preserve">can provide an opportunity for a learner to reflect on learning, and regulate their cognition through planning, monitoring and reflection. </w:t>
      </w:r>
      <w:r w:rsidR="009D648B" w:rsidRPr="001D6288">
        <w:rPr>
          <w:rFonts w:cstheme="minorHAnsi"/>
        </w:rPr>
        <w:t xml:space="preserve">Branigan and Donaldson </w:t>
      </w:r>
      <w:r w:rsidR="00F602F4" w:rsidRPr="001D6288">
        <w:rPr>
          <w:rFonts w:cstheme="minorHAnsi"/>
        </w:rPr>
        <w:t xml:space="preserve">(2019) </w:t>
      </w:r>
      <w:r w:rsidR="009D648B" w:rsidRPr="001D6288">
        <w:rPr>
          <w:rFonts w:cstheme="minorHAnsi"/>
        </w:rPr>
        <w:t xml:space="preserve">observed the way two pupils completed STAs in a year 4 class. </w:t>
      </w:r>
      <w:r w:rsidR="00CB03A3" w:rsidRPr="001D6288">
        <w:rPr>
          <w:rFonts w:cstheme="minorHAnsi"/>
        </w:rPr>
        <w:t xml:space="preserve">Despite differences in </w:t>
      </w:r>
      <w:r w:rsidR="0058575F" w:rsidRPr="001D6288">
        <w:rPr>
          <w:rFonts w:cstheme="minorHAnsi"/>
        </w:rPr>
        <w:t xml:space="preserve">academic ability and the surface appearance of their responses, it transpired that neither of them </w:t>
      </w:r>
      <w:proofErr w:type="gramStart"/>
      <w:r w:rsidR="009D648B" w:rsidRPr="001D6288">
        <w:rPr>
          <w:rFonts w:cstheme="minorHAnsi"/>
        </w:rPr>
        <w:t>were</w:t>
      </w:r>
      <w:proofErr w:type="gramEnd"/>
      <w:r w:rsidR="009D648B" w:rsidRPr="001D6288">
        <w:rPr>
          <w:rFonts w:cstheme="minorHAnsi"/>
        </w:rPr>
        <w:t xml:space="preserve"> actually</w:t>
      </w:r>
      <w:r w:rsidR="0058575F" w:rsidRPr="001D6288">
        <w:rPr>
          <w:rFonts w:cstheme="minorHAnsi"/>
        </w:rPr>
        <w:t xml:space="preserve"> using the STAs as metacognitive tools, either giving ‘stock’ responses or ‘bare minimum’ answers. The researchers urge that teachers cannot assume the presence of STAs will influence pupils’ metacognition, as the process of completing the STA can be very different from the product. Additionally, literacy ability can act as a large barrier to completing these metacognitive activities, and this is an important implication for practice. Differentiation and making sure activities are accessible to all pupils is a key pedagogical principle, and this must be true for metacognitive activities too. Branigan and Donaldson </w:t>
      </w:r>
      <w:r w:rsidR="00F602F4" w:rsidRPr="001D6288">
        <w:rPr>
          <w:rFonts w:cstheme="minorHAnsi"/>
        </w:rPr>
        <w:t xml:space="preserve">(2019) </w:t>
      </w:r>
      <w:r w:rsidR="0058575F" w:rsidRPr="001D6288">
        <w:rPr>
          <w:rFonts w:cstheme="minorHAnsi"/>
        </w:rPr>
        <w:t>argue that STAs are more a gauge of pupils’ ability to meet teacher expectations, than their true metacognition.</w:t>
      </w:r>
      <w:r w:rsidR="005B1C30" w:rsidRPr="001D6288">
        <w:rPr>
          <w:rFonts w:cstheme="minorHAnsi"/>
        </w:rPr>
        <w:t xml:space="preserve"> This study was on a small scale, so is not evidence to get rid of structured thinking activities and reflections completely, but the findings of this research serve as a reminder to not rely on only one method for encouraging pupils to think about their learning.</w:t>
      </w:r>
      <w:r w:rsidR="009D648B" w:rsidRPr="001D6288">
        <w:rPr>
          <w:rFonts w:cstheme="minorHAnsi"/>
        </w:rPr>
        <w:t xml:space="preserve"> </w:t>
      </w:r>
      <w:r w:rsidR="00F602F4" w:rsidRPr="001D6288">
        <w:rPr>
          <w:rFonts w:cstheme="minorHAnsi"/>
        </w:rPr>
        <w:t>Therefore,</w:t>
      </w:r>
      <w:r w:rsidR="009D648B" w:rsidRPr="001D6288">
        <w:rPr>
          <w:rFonts w:cstheme="minorHAnsi"/>
        </w:rPr>
        <w:t xml:space="preserve"> it is positive to see that the end-of-lesson reflection template was not the only metacognitive approach observed during </w:t>
      </w:r>
      <w:proofErr w:type="gramStart"/>
      <w:r w:rsidR="002E73EE" w:rsidRPr="001D6288">
        <w:rPr>
          <w:rFonts w:cstheme="minorHAnsi"/>
        </w:rPr>
        <w:t>bridging, but</w:t>
      </w:r>
      <w:proofErr w:type="gramEnd"/>
      <w:r w:rsidR="009D648B" w:rsidRPr="001D6288">
        <w:rPr>
          <w:rFonts w:cstheme="minorHAnsi"/>
        </w:rPr>
        <w:t xml:space="preserve"> was </w:t>
      </w:r>
      <w:r w:rsidR="002E73EE" w:rsidRPr="001D6288">
        <w:rPr>
          <w:rFonts w:cstheme="minorHAnsi"/>
        </w:rPr>
        <w:t>one of many</w:t>
      </w:r>
      <w:r w:rsidR="009D648B" w:rsidRPr="001D6288">
        <w:rPr>
          <w:rFonts w:cstheme="minorHAnsi"/>
        </w:rPr>
        <w:t xml:space="preserve"> techniques. </w:t>
      </w:r>
    </w:p>
    <w:p w14:paraId="74D5A619" w14:textId="77777777" w:rsidR="002E73EE" w:rsidRPr="001D6288" w:rsidRDefault="002E73EE" w:rsidP="00CB03A3">
      <w:pPr>
        <w:tabs>
          <w:tab w:val="left" w:pos="6766"/>
        </w:tabs>
        <w:rPr>
          <w:rFonts w:cstheme="minorHAnsi"/>
        </w:rPr>
      </w:pPr>
    </w:p>
    <w:p w14:paraId="3729D521" w14:textId="77777777" w:rsidR="00FD0BAA" w:rsidRPr="001D6288" w:rsidRDefault="00FD0BAA" w:rsidP="00D47530">
      <w:pPr>
        <w:rPr>
          <w:rFonts w:cstheme="minorHAnsi"/>
        </w:rPr>
      </w:pPr>
    </w:p>
    <w:p w14:paraId="22AAD517" w14:textId="4CCEE486" w:rsidR="00D47530" w:rsidRPr="001D6288" w:rsidRDefault="00D47530" w:rsidP="00D47530">
      <w:pPr>
        <w:rPr>
          <w:rFonts w:cstheme="minorHAnsi"/>
          <w:b/>
          <w:bCs/>
          <w:u w:val="single"/>
        </w:rPr>
      </w:pPr>
      <w:r w:rsidRPr="001D6288">
        <w:rPr>
          <w:rFonts w:cstheme="minorHAnsi"/>
          <w:b/>
          <w:bCs/>
          <w:u w:val="single"/>
        </w:rPr>
        <w:t xml:space="preserve">REFLECTION / EVALUATION &amp; NEXT STEPS </w:t>
      </w:r>
    </w:p>
    <w:p w14:paraId="6B0460C7" w14:textId="77777777" w:rsidR="00CF4CDD" w:rsidRPr="001D6288" w:rsidRDefault="00CF4CDD" w:rsidP="00F602F4">
      <w:pPr>
        <w:rPr>
          <w:rFonts w:cstheme="minorHAnsi"/>
        </w:rPr>
      </w:pPr>
    </w:p>
    <w:p w14:paraId="4C6FF2C5" w14:textId="2F54C7BD" w:rsidR="00C85111" w:rsidRPr="001D6288" w:rsidRDefault="00CF4CDD" w:rsidP="00CF4CDD">
      <w:pPr>
        <w:ind w:firstLine="720"/>
        <w:rPr>
          <w:rFonts w:cstheme="minorHAnsi"/>
        </w:rPr>
      </w:pPr>
      <w:r w:rsidRPr="001D6288">
        <w:rPr>
          <w:rFonts w:cstheme="minorHAnsi"/>
        </w:rPr>
        <w:t>An interesting question is posed by “</w:t>
      </w:r>
      <w:r w:rsidR="00C85111" w:rsidRPr="001D6288">
        <w:rPr>
          <w:rStyle w:val="notion-enable-hover"/>
          <w:rFonts w:cstheme="minorHAnsi"/>
        </w:rPr>
        <w:t>Now that you have reflected on this critical incident, would you react any differently if it happened again? Why or why not?</w:t>
      </w:r>
      <w:r w:rsidRPr="001D6288">
        <w:rPr>
          <w:rStyle w:val="notion-enable-hover"/>
          <w:rFonts w:cstheme="minorHAnsi"/>
        </w:rPr>
        <w:t>”</w:t>
      </w:r>
      <w:r w:rsidR="00F602F4" w:rsidRPr="001D6288">
        <w:rPr>
          <w:rStyle w:val="notion-enable-hover"/>
          <w:rFonts w:cstheme="minorHAnsi"/>
        </w:rPr>
        <w:t xml:space="preserve"> (Joshi, 2018)</w:t>
      </w:r>
      <w:r w:rsidRPr="001D6288">
        <w:rPr>
          <w:rStyle w:val="notion-enable-hover"/>
          <w:rFonts w:cstheme="minorHAnsi"/>
        </w:rPr>
        <w:t xml:space="preserve">. Based on the understanding of metacognition gained from the literature review, I certainly would not react with surprise to see a year 6 class engaging in metacognitive strategies throughout the day. </w:t>
      </w:r>
      <w:r w:rsidR="00F602F4" w:rsidRPr="001D6288">
        <w:rPr>
          <w:rStyle w:val="notion-enable-hover"/>
          <w:rFonts w:cstheme="minorHAnsi"/>
        </w:rPr>
        <w:t>Tarrant (2013)</w:t>
      </w:r>
      <w:r w:rsidRPr="001D6288">
        <w:rPr>
          <w:rStyle w:val="notion-enable-hover"/>
          <w:rFonts w:cstheme="minorHAnsi"/>
        </w:rPr>
        <w:t xml:space="preserve"> argues that reflection </w:t>
      </w:r>
      <w:proofErr w:type="gramStart"/>
      <w:r w:rsidRPr="001D6288">
        <w:rPr>
          <w:rStyle w:val="notion-enable-hover"/>
          <w:rFonts w:cstheme="minorHAnsi"/>
        </w:rPr>
        <w:t>has to</w:t>
      </w:r>
      <w:proofErr w:type="gramEnd"/>
      <w:r w:rsidRPr="001D6288">
        <w:rPr>
          <w:rStyle w:val="notion-enable-hover"/>
          <w:rFonts w:cstheme="minorHAnsi"/>
        </w:rPr>
        <w:t xml:space="preserve"> be followed by action; there needs to be some impact on the learning of the reflector or those in their care. I </w:t>
      </w:r>
      <w:r w:rsidR="00C64099" w:rsidRPr="001D6288">
        <w:rPr>
          <w:rStyle w:val="notion-enable-hover"/>
          <w:rFonts w:cstheme="minorHAnsi"/>
        </w:rPr>
        <w:t>think</w:t>
      </w:r>
      <w:r w:rsidRPr="001D6288">
        <w:rPr>
          <w:rStyle w:val="notion-enable-hover"/>
          <w:rFonts w:cstheme="minorHAnsi"/>
        </w:rPr>
        <w:t xml:space="preserve"> this reflection has certainly changed my ideas about the role of metacognition in the classroom, and it is now a much bigger aspect of my personal pedagogical beliefs. Whilst the </w:t>
      </w:r>
      <w:r w:rsidR="00C64099" w:rsidRPr="001D6288">
        <w:rPr>
          <w:rStyle w:val="notion-enable-hover"/>
          <w:rFonts w:cstheme="minorHAnsi"/>
        </w:rPr>
        <w:t>reflection</w:t>
      </w:r>
      <w:r w:rsidRPr="001D6288">
        <w:rPr>
          <w:rStyle w:val="notion-enable-hover"/>
          <w:rFonts w:cstheme="minorHAnsi"/>
        </w:rPr>
        <w:t xml:space="preserve"> will not </w:t>
      </w:r>
      <w:r w:rsidR="00C64099" w:rsidRPr="001D6288">
        <w:rPr>
          <w:rStyle w:val="notion-enable-hover"/>
          <w:rFonts w:cstheme="minorHAnsi"/>
        </w:rPr>
        <w:t>impact</w:t>
      </w:r>
      <w:r w:rsidRPr="001D6288">
        <w:rPr>
          <w:rStyle w:val="notion-enable-hover"/>
          <w:rFonts w:cstheme="minorHAnsi"/>
        </w:rPr>
        <w:t xml:space="preserve"> the children of the observation class, due to the nature of the bridging experience, I think the knowledge gained will benefit the children in my future placement classes, as I feel more </w:t>
      </w:r>
      <w:r w:rsidR="00C64099" w:rsidRPr="001D6288">
        <w:rPr>
          <w:rStyle w:val="notion-enable-hover"/>
          <w:rFonts w:cstheme="minorHAnsi"/>
        </w:rPr>
        <w:t>confident</w:t>
      </w:r>
      <w:r w:rsidRPr="001D6288">
        <w:rPr>
          <w:rStyle w:val="notion-enable-hover"/>
          <w:rFonts w:cstheme="minorHAnsi"/>
        </w:rPr>
        <w:t xml:space="preserve"> to embed metacognitive strategies both through implicit and explicit teaching.</w:t>
      </w:r>
      <w:r w:rsidR="00C64099" w:rsidRPr="001D6288">
        <w:rPr>
          <w:rStyle w:val="notion-enable-hover"/>
          <w:rFonts w:cstheme="minorHAnsi"/>
        </w:rPr>
        <w:t xml:space="preserve"> For example, explicit teaching of metacognition could be explaining to children the purpose of Activating Prior Knowledge, or the ways different learning behaviours can help us.</w:t>
      </w:r>
      <w:r w:rsidR="00C64099" w:rsidRPr="001D6288">
        <w:rPr>
          <w:rFonts w:cstheme="minorHAnsi"/>
        </w:rPr>
        <w:t xml:space="preserve"> A willingness to apply new, </w:t>
      </w:r>
      <w:r w:rsidR="00F602F4" w:rsidRPr="001D6288">
        <w:rPr>
          <w:rFonts w:cstheme="minorHAnsi"/>
        </w:rPr>
        <w:t>evidence-based</w:t>
      </w:r>
      <w:r w:rsidR="00C64099" w:rsidRPr="001D6288">
        <w:rPr>
          <w:rFonts w:cstheme="minorHAnsi"/>
        </w:rPr>
        <w:t xml:space="preserve"> techniques is an aspect of the ‘Developing new techniques’ Teacher Standard, and</w:t>
      </w:r>
      <w:r w:rsidR="00C64099" w:rsidRPr="001D6288">
        <w:rPr>
          <w:rFonts w:cstheme="minorHAnsi"/>
        </w:rPr>
        <w:t xml:space="preserve"> I am aware there are many more theories and pedagogical techniques out there to be researched. However</w:t>
      </w:r>
      <w:r w:rsidR="00F602F4" w:rsidRPr="001D6288">
        <w:rPr>
          <w:rFonts w:cstheme="minorHAnsi"/>
        </w:rPr>
        <w:t>,</w:t>
      </w:r>
      <w:r w:rsidR="00C64099" w:rsidRPr="001D6288">
        <w:rPr>
          <w:rFonts w:cstheme="minorHAnsi"/>
        </w:rPr>
        <w:t xml:space="preserve"> the theory of metacognition and </w:t>
      </w:r>
      <w:r w:rsidR="00F602F4" w:rsidRPr="001D6288">
        <w:rPr>
          <w:rFonts w:cstheme="minorHAnsi"/>
        </w:rPr>
        <w:t xml:space="preserve">the </w:t>
      </w:r>
      <w:r w:rsidR="00C64099" w:rsidRPr="001D6288">
        <w:rPr>
          <w:rFonts w:cstheme="minorHAnsi"/>
        </w:rPr>
        <w:t>techniques to develop it is one I am keen to implement in my teaching practice.</w:t>
      </w:r>
    </w:p>
    <w:p w14:paraId="17902B61" w14:textId="10DCF20C" w:rsidR="00CF4CDD" w:rsidRPr="001D6288" w:rsidRDefault="00CF4CDD" w:rsidP="00CF4CDD">
      <w:pPr>
        <w:ind w:firstLine="720"/>
        <w:rPr>
          <w:rFonts w:cstheme="minorHAnsi"/>
        </w:rPr>
      </w:pPr>
    </w:p>
    <w:p w14:paraId="5ECC0AC8" w14:textId="46187FF9" w:rsidR="009F6AA1" w:rsidRPr="001D6288" w:rsidRDefault="00CF4CDD" w:rsidP="00B57A1A">
      <w:pPr>
        <w:ind w:firstLine="720"/>
        <w:rPr>
          <w:rFonts w:cstheme="minorHAnsi"/>
        </w:rPr>
      </w:pPr>
      <w:r w:rsidRPr="001D6288">
        <w:rPr>
          <w:rFonts w:cstheme="minorHAnsi"/>
        </w:rPr>
        <w:lastRenderedPageBreak/>
        <w:t xml:space="preserve">An important takeaway from the experience and the research evidence is the importance of making metacognitive activities accessible to all children. This means that </w:t>
      </w:r>
      <w:r w:rsidR="00C64099" w:rsidRPr="001D6288">
        <w:rPr>
          <w:rFonts w:cstheme="minorHAnsi"/>
        </w:rPr>
        <w:t>teaching cannot be done purely through literacy-based activities, as this restricts the benefit of metacognition to only older children who have the literacy ability to convey their ideas (Branigan</w:t>
      </w:r>
      <w:r w:rsidR="00F602F4" w:rsidRPr="001D6288">
        <w:rPr>
          <w:rFonts w:cstheme="minorHAnsi"/>
        </w:rPr>
        <w:t xml:space="preserve"> &amp; Donaldson, 2019</w:t>
      </w:r>
      <w:r w:rsidR="00C64099" w:rsidRPr="001D6288">
        <w:rPr>
          <w:rFonts w:cstheme="minorHAnsi"/>
        </w:rPr>
        <w:t>).</w:t>
      </w:r>
      <w:r w:rsidR="00F602F4" w:rsidRPr="001D6288">
        <w:rPr>
          <w:rFonts w:cstheme="minorHAnsi"/>
        </w:rPr>
        <w:t xml:space="preserve"> </w:t>
      </w:r>
      <w:r w:rsidR="00C64099" w:rsidRPr="001D6288">
        <w:rPr>
          <w:rFonts w:cstheme="minorHAnsi"/>
        </w:rPr>
        <w:t xml:space="preserve">I will make sure to incorporate include verbal feedback and reflective conversations with children, to make sure that metacognitive practice is accessible for all the children. Furthermore, I will make sure not to rely purely on STAs as the only marker of a child’s metacognition, since evidence seems to suggest that these don’t always convey the true thought processes of the children. The ‘wider reading and research findings’ Teaching Standard </w:t>
      </w:r>
      <w:r w:rsidR="00B57A1A" w:rsidRPr="001D6288">
        <w:rPr>
          <w:rFonts w:cstheme="minorHAnsi"/>
        </w:rPr>
        <w:t xml:space="preserve">requires a trainee teacher to show a developing understanding of theories and research about pedagogy and child development. To be highly effective, this means engagement in action research, and metacognition is a concept I will consider exploring during the research project in the ECAD7004 module. </w:t>
      </w:r>
    </w:p>
    <w:p w14:paraId="543983FF" w14:textId="34F25A69" w:rsidR="009F6AA1" w:rsidRPr="001D6288" w:rsidRDefault="009F6AA1" w:rsidP="00D47530">
      <w:pPr>
        <w:rPr>
          <w:rFonts w:cstheme="minorHAnsi"/>
        </w:rPr>
      </w:pPr>
    </w:p>
    <w:p w14:paraId="508337A6" w14:textId="77777777" w:rsidR="00F602F4" w:rsidRPr="001D6288" w:rsidRDefault="00F602F4" w:rsidP="00D47530">
      <w:pPr>
        <w:rPr>
          <w:rFonts w:cstheme="minorHAnsi"/>
        </w:rPr>
      </w:pPr>
    </w:p>
    <w:p w14:paraId="1E24BB98" w14:textId="3B6D56F1" w:rsidR="00D47530" w:rsidRPr="001D6288" w:rsidRDefault="00D47530" w:rsidP="00D47530">
      <w:pPr>
        <w:rPr>
          <w:rFonts w:cstheme="minorHAnsi"/>
          <w:b/>
          <w:bCs/>
          <w:u w:val="single"/>
        </w:rPr>
      </w:pPr>
      <w:r w:rsidRPr="001D6288">
        <w:rPr>
          <w:rFonts w:cstheme="minorHAnsi"/>
          <w:b/>
          <w:bCs/>
          <w:u w:val="single"/>
        </w:rPr>
        <w:t xml:space="preserve">CONCLUSION </w:t>
      </w:r>
    </w:p>
    <w:p w14:paraId="6CAD3B75" w14:textId="77777777" w:rsidR="002E73EE" w:rsidRPr="001D6288" w:rsidRDefault="002E73EE" w:rsidP="00D47530">
      <w:pPr>
        <w:rPr>
          <w:rFonts w:cstheme="minorHAnsi"/>
        </w:rPr>
      </w:pPr>
    </w:p>
    <w:p w14:paraId="1C831096" w14:textId="653BDAC8" w:rsidR="001D6288" w:rsidRDefault="00CF4CDD" w:rsidP="00FB2AB5">
      <w:pPr>
        <w:ind w:firstLine="720"/>
        <w:rPr>
          <w:rStyle w:val="notion-enable-hover"/>
          <w:rFonts w:cstheme="minorHAnsi"/>
        </w:rPr>
      </w:pPr>
      <w:r w:rsidRPr="001D6288">
        <w:rPr>
          <w:rStyle w:val="notion-enable-hover"/>
          <w:rFonts w:cstheme="minorHAnsi"/>
        </w:rPr>
        <w:t>The bridging experience and assignment</w:t>
      </w:r>
      <w:r w:rsidR="0068484C" w:rsidRPr="001D6288">
        <w:rPr>
          <w:rStyle w:val="notion-enable-hover"/>
          <w:rFonts w:cstheme="minorHAnsi"/>
        </w:rPr>
        <w:t xml:space="preserve"> have challenged my </w:t>
      </w:r>
      <w:r w:rsidRPr="001D6288">
        <w:rPr>
          <w:rStyle w:val="notion-enable-hover"/>
          <w:rFonts w:cstheme="minorHAnsi"/>
        </w:rPr>
        <w:t>false</w:t>
      </w:r>
      <w:r w:rsidR="0068484C" w:rsidRPr="001D6288">
        <w:rPr>
          <w:rStyle w:val="notion-enable-hover"/>
          <w:rFonts w:cstheme="minorHAnsi"/>
        </w:rPr>
        <w:t xml:space="preserve"> assumption that metacognition was above the </w:t>
      </w:r>
      <w:r w:rsidRPr="001D6288">
        <w:rPr>
          <w:rStyle w:val="notion-enable-hover"/>
          <w:rFonts w:cstheme="minorHAnsi"/>
        </w:rPr>
        <w:t>developmental</w:t>
      </w:r>
      <w:r w:rsidR="0068484C" w:rsidRPr="001D6288">
        <w:rPr>
          <w:rStyle w:val="notion-enable-hover"/>
          <w:rFonts w:cstheme="minorHAnsi"/>
        </w:rPr>
        <w:t xml:space="preserve"> level of the children in the year 6 </w:t>
      </w:r>
      <w:r w:rsidR="00F602F4" w:rsidRPr="001D6288">
        <w:rPr>
          <w:rStyle w:val="notion-enable-hover"/>
          <w:rFonts w:cstheme="minorHAnsi"/>
        </w:rPr>
        <w:t>class and</w:t>
      </w:r>
      <w:r w:rsidR="0068484C" w:rsidRPr="001D6288">
        <w:rPr>
          <w:rStyle w:val="notion-enable-hover"/>
          <w:rFonts w:cstheme="minorHAnsi"/>
        </w:rPr>
        <w:t xml:space="preserve"> have even learned that there are ways to embed it into early years pedagogy. This is something I will aim to implement throughout my placement, to ensure that children are getting the proper chance to develop skills and dispositions that are needed throughout their lives. Taking a step back to question my </w:t>
      </w:r>
      <w:r w:rsidRPr="001D6288">
        <w:rPr>
          <w:rStyle w:val="notion-enable-hover"/>
          <w:rFonts w:cstheme="minorHAnsi"/>
        </w:rPr>
        <w:t>assumptions and</w:t>
      </w:r>
      <w:r w:rsidR="0068484C" w:rsidRPr="001D6288">
        <w:rPr>
          <w:rStyle w:val="notion-enable-hover"/>
          <w:rFonts w:cstheme="minorHAnsi"/>
        </w:rPr>
        <w:t xml:space="preserve"> delve into the literature surrounding a commonplace teaching practice has proved </w:t>
      </w:r>
      <w:r w:rsidR="00F602F4" w:rsidRPr="001D6288">
        <w:rPr>
          <w:rStyle w:val="notion-enable-hover"/>
          <w:rFonts w:cstheme="minorHAnsi"/>
        </w:rPr>
        <w:t>valuable and</w:t>
      </w:r>
      <w:r w:rsidR="0068484C" w:rsidRPr="001D6288">
        <w:rPr>
          <w:rStyle w:val="notion-enable-hover"/>
          <w:rFonts w:cstheme="minorHAnsi"/>
        </w:rPr>
        <w:t xml:space="preserve"> has resulted in a more accurate understanding of the concept of metacognition. I was surprised at the frequency with which it was referred to in Welsh curriculum guidance and policy, but this adds to the importance of exploring ‘buzzword’ concepts in more detail. I feel that the </w:t>
      </w:r>
      <w:r w:rsidR="00F82542" w:rsidRPr="001D6288">
        <w:rPr>
          <w:rStyle w:val="notion-enable-hover"/>
          <w:rFonts w:cstheme="minorHAnsi"/>
        </w:rPr>
        <w:t xml:space="preserve">strategies I have learned about during the literature review will help me to meet two of the Teaching Standards (2017) in the pedagogy strand. Firstly, pedagogy that encourages ‘sustained effort and </w:t>
      </w:r>
      <w:r w:rsidR="00F602F4" w:rsidRPr="001D6288">
        <w:rPr>
          <w:rStyle w:val="notion-enable-hover"/>
          <w:rFonts w:cstheme="minorHAnsi"/>
        </w:rPr>
        <w:t>resilience’</w:t>
      </w:r>
      <w:r w:rsidR="00F82542" w:rsidRPr="001D6288">
        <w:rPr>
          <w:rStyle w:val="notion-enable-hover"/>
          <w:rFonts w:cstheme="minorHAnsi"/>
        </w:rPr>
        <w:t xml:space="preserve"> in learners </w:t>
      </w:r>
      <w:r w:rsidR="00F602F4" w:rsidRPr="001D6288">
        <w:rPr>
          <w:rStyle w:val="notion-enable-hover"/>
          <w:rFonts w:cstheme="minorHAnsi"/>
        </w:rPr>
        <w:t>means ensuring</w:t>
      </w:r>
      <w:r w:rsidR="00F82542" w:rsidRPr="001D6288">
        <w:rPr>
          <w:rStyle w:val="notion-enable-hover"/>
          <w:rFonts w:cstheme="minorHAnsi"/>
        </w:rPr>
        <w:t xml:space="preserve"> children are appropriately </w:t>
      </w:r>
      <w:r w:rsidRPr="001D6288">
        <w:rPr>
          <w:rStyle w:val="notion-enable-hover"/>
          <w:rFonts w:cstheme="minorHAnsi"/>
        </w:rPr>
        <w:t>challenged and</w:t>
      </w:r>
      <w:r w:rsidR="00F82542" w:rsidRPr="001D6288">
        <w:rPr>
          <w:rStyle w:val="notion-enable-hover"/>
          <w:rFonts w:cstheme="minorHAnsi"/>
        </w:rPr>
        <w:t xml:space="preserve"> </w:t>
      </w:r>
      <w:r w:rsidR="00F602F4" w:rsidRPr="001D6288">
        <w:rPr>
          <w:rStyle w:val="notion-enable-hover"/>
          <w:rFonts w:cstheme="minorHAnsi"/>
        </w:rPr>
        <w:t>can</w:t>
      </w:r>
      <w:r w:rsidR="00F82542" w:rsidRPr="001D6288">
        <w:rPr>
          <w:rStyle w:val="notion-enable-hover"/>
          <w:rFonts w:cstheme="minorHAnsi"/>
        </w:rPr>
        <w:t xml:space="preserve"> reflect on the appropriateness of this level of challenge. To do this, I plan to implement the “learning zone” approach used in the bridging school, where </w:t>
      </w:r>
      <w:r w:rsidR="00F602F4" w:rsidRPr="001D6288">
        <w:rPr>
          <w:rStyle w:val="notion-enable-hover"/>
          <w:rFonts w:cstheme="minorHAnsi"/>
        </w:rPr>
        <w:t>learners</w:t>
      </w:r>
      <w:r w:rsidR="00F82542" w:rsidRPr="001D6288">
        <w:rPr>
          <w:rStyle w:val="notion-enable-hover"/>
          <w:rFonts w:cstheme="minorHAnsi"/>
        </w:rPr>
        <w:t xml:space="preserve"> are encouraged to write a short reflection at the end of the lesson, discussing whether they were in the comfort zone, stretch zone or danger zone. </w:t>
      </w:r>
      <w:r w:rsidRPr="001D6288">
        <w:rPr>
          <w:rStyle w:val="notion-enable-hover"/>
          <w:rFonts w:cstheme="minorHAnsi"/>
        </w:rPr>
        <w:t>‘Reflection on learning’ is another Teaching Standard that has clear links to metacognition, and exploring the links between metacognition, lifelong learning, and the Four Purposes will help me to embed these ideas in my teaching practice. Importantly</w:t>
      </w:r>
      <w:r w:rsidRPr="001D6288">
        <w:rPr>
          <w:rStyle w:val="notion-enable-hover"/>
          <w:rFonts w:cstheme="minorHAnsi"/>
        </w:rPr>
        <w:t xml:space="preserve"> critical incident reflection is</w:t>
      </w:r>
      <w:r w:rsidRPr="001D6288">
        <w:rPr>
          <w:rStyle w:val="notion-enable-hover"/>
          <w:rFonts w:cstheme="minorHAnsi"/>
        </w:rPr>
        <w:t xml:space="preserve"> defined by</w:t>
      </w:r>
      <w:r w:rsidRPr="001D6288">
        <w:rPr>
          <w:rStyle w:val="notion-enable-hover"/>
          <w:rFonts w:cstheme="minorHAnsi"/>
        </w:rPr>
        <w:t xml:space="preserve"> a lack of closure, and continuous reflection (Tripp</w:t>
      </w:r>
      <w:r w:rsidR="00F602F4" w:rsidRPr="001D6288">
        <w:rPr>
          <w:rStyle w:val="notion-enable-hover"/>
          <w:rFonts w:cstheme="minorHAnsi"/>
        </w:rPr>
        <w:t>,</w:t>
      </w:r>
      <w:r w:rsidRPr="001D6288">
        <w:rPr>
          <w:rStyle w:val="notion-enable-hover"/>
          <w:rFonts w:cstheme="minorHAnsi"/>
        </w:rPr>
        <w:t xml:space="preserve"> 201</w:t>
      </w:r>
      <w:r w:rsidR="00F602F4" w:rsidRPr="001D6288">
        <w:rPr>
          <w:rStyle w:val="notion-enable-hover"/>
          <w:rFonts w:cstheme="minorHAnsi"/>
        </w:rPr>
        <w:t>1</w:t>
      </w:r>
      <w:r w:rsidRPr="001D6288">
        <w:rPr>
          <w:rStyle w:val="notion-enable-hover"/>
          <w:rFonts w:cstheme="minorHAnsi"/>
        </w:rPr>
        <w:t>).</w:t>
      </w:r>
      <w:r w:rsidRPr="001D6288">
        <w:rPr>
          <w:rStyle w:val="notion-enable-hover"/>
          <w:rFonts w:cstheme="minorHAnsi"/>
        </w:rPr>
        <w:t xml:space="preserve"> </w:t>
      </w:r>
      <w:r w:rsidR="00F602F4" w:rsidRPr="001D6288">
        <w:rPr>
          <w:rStyle w:val="notion-enable-hover"/>
          <w:rFonts w:cstheme="minorHAnsi"/>
        </w:rPr>
        <w:t>Therefore,</w:t>
      </w:r>
      <w:r w:rsidRPr="001D6288">
        <w:rPr>
          <w:rStyle w:val="notion-enable-hover"/>
          <w:rFonts w:cstheme="minorHAnsi"/>
        </w:rPr>
        <w:t xml:space="preserve"> this assignment, or even meeting QTS standards will not mark the end of my reflective practice, as teaching requires continual adaptation, </w:t>
      </w:r>
      <w:proofErr w:type="gramStart"/>
      <w:r w:rsidRPr="001D6288">
        <w:rPr>
          <w:rStyle w:val="notion-enable-hover"/>
          <w:rFonts w:cstheme="minorHAnsi"/>
        </w:rPr>
        <w:t>research</w:t>
      </w:r>
      <w:proofErr w:type="gramEnd"/>
      <w:r w:rsidRPr="001D6288">
        <w:rPr>
          <w:rStyle w:val="notion-enable-hover"/>
          <w:rFonts w:cstheme="minorHAnsi"/>
        </w:rPr>
        <w:t xml:space="preserve"> and reflection. </w:t>
      </w:r>
      <w:r w:rsidR="001D6288">
        <w:rPr>
          <w:rStyle w:val="notion-enable-hover"/>
          <w:rFonts w:cstheme="minorHAnsi"/>
        </w:rPr>
        <w:t xml:space="preserve"> </w:t>
      </w:r>
    </w:p>
    <w:p w14:paraId="44452803" w14:textId="77777777" w:rsidR="001D6288" w:rsidRDefault="001D6288">
      <w:pPr>
        <w:rPr>
          <w:rStyle w:val="notion-enable-hover"/>
          <w:rFonts w:cstheme="minorHAnsi"/>
        </w:rPr>
      </w:pPr>
      <w:r>
        <w:rPr>
          <w:rStyle w:val="notion-enable-hover"/>
          <w:rFonts w:cstheme="minorHAnsi"/>
        </w:rPr>
        <w:br w:type="page"/>
      </w:r>
    </w:p>
    <w:p w14:paraId="268384DA" w14:textId="360DB6C6" w:rsidR="001D6288" w:rsidRPr="001D6288" w:rsidRDefault="001D6288" w:rsidP="001D6288">
      <w:pPr>
        <w:tabs>
          <w:tab w:val="left" w:pos="6233"/>
        </w:tabs>
        <w:spacing w:line="360" w:lineRule="auto"/>
        <w:ind w:left="720" w:hanging="720"/>
        <w:jc w:val="center"/>
        <w:rPr>
          <w:rFonts w:cstheme="minorHAnsi"/>
          <w:b/>
          <w:bCs/>
          <w:color w:val="222222"/>
          <w:u w:val="single"/>
          <w:shd w:val="clear" w:color="auto" w:fill="FFFFFF"/>
        </w:rPr>
      </w:pPr>
      <w:r w:rsidRPr="001D6288">
        <w:rPr>
          <w:rFonts w:cstheme="minorHAnsi"/>
          <w:b/>
          <w:bCs/>
          <w:color w:val="222222"/>
          <w:u w:val="single"/>
          <w:shd w:val="clear" w:color="auto" w:fill="FFFFFF"/>
        </w:rPr>
        <w:lastRenderedPageBreak/>
        <w:t>Reference List</w:t>
      </w:r>
    </w:p>
    <w:p w14:paraId="2C1CD082" w14:textId="79E021F4" w:rsidR="001D6288" w:rsidRPr="001D6288" w:rsidRDefault="001D6288" w:rsidP="001D6288">
      <w:pPr>
        <w:tabs>
          <w:tab w:val="left" w:pos="6233"/>
        </w:tabs>
        <w:spacing w:line="360" w:lineRule="auto"/>
        <w:ind w:left="720" w:hanging="720"/>
        <w:rPr>
          <w:rFonts w:cstheme="minorHAnsi"/>
          <w:color w:val="000000" w:themeColor="text1"/>
          <w:shd w:val="clear" w:color="auto" w:fill="FFFFFF"/>
        </w:rPr>
      </w:pPr>
      <w:proofErr w:type="spellStart"/>
      <w:r w:rsidRPr="001D6288">
        <w:rPr>
          <w:rFonts w:cstheme="minorHAnsi"/>
          <w:color w:val="000000" w:themeColor="text1"/>
          <w:shd w:val="clear" w:color="auto" w:fill="FFFFFF"/>
        </w:rPr>
        <w:t>Bannert</w:t>
      </w:r>
      <w:proofErr w:type="spellEnd"/>
      <w:r w:rsidRPr="001D6288">
        <w:rPr>
          <w:rFonts w:cstheme="minorHAnsi"/>
          <w:color w:val="000000" w:themeColor="text1"/>
          <w:shd w:val="clear" w:color="auto" w:fill="FFFFFF"/>
        </w:rPr>
        <w:t>, M. (2002). "Managing cognitive load—recent trends in cognitive load theory." </w:t>
      </w:r>
      <w:r w:rsidRPr="001D6288">
        <w:rPr>
          <w:rFonts w:cstheme="minorHAnsi"/>
          <w:i/>
          <w:iCs/>
          <w:color w:val="000000" w:themeColor="text1"/>
          <w:shd w:val="clear" w:color="auto" w:fill="FFFFFF"/>
        </w:rPr>
        <w:t>Learning and instruction,</w:t>
      </w:r>
      <w:r w:rsidRPr="001D6288">
        <w:rPr>
          <w:rFonts w:cstheme="minorHAnsi"/>
          <w:color w:val="000000" w:themeColor="text1"/>
          <w:shd w:val="clear" w:color="auto" w:fill="FFFFFF"/>
        </w:rPr>
        <w:t> 12(1), pp.139-146.</w:t>
      </w:r>
    </w:p>
    <w:p w14:paraId="6877E7C3" w14:textId="77777777" w:rsidR="001D6288" w:rsidRPr="001D6288" w:rsidRDefault="001D6288" w:rsidP="001D6288">
      <w:pPr>
        <w:tabs>
          <w:tab w:val="left" w:pos="6233"/>
        </w:tabs>
        <w:spacing w:line="360" w:lineRule="auto"/>
        <w:ind w:left="720" w:hanging="720"/>
        <w:rPr>
          <w:rFonts w:cstheme="minorHAnsi"/>
          <w:color w:val="000000" w:themeColor="text1"/>
        </w:rPr>
      </w:pPr>
    </w:p>
    <w:p w14:paraId="5B030A31" w14:textId="77777777" w:rsidR="001D6288" w:rsidRPr="001D6288" w:rsidRDefault="001D6288" w:rsidP="001D6288">
      <w:pPr>
        <w:tabs>
          <w:tab w:val="left" w:pos="6233"/>
        </w:tabs>
        <w:spacing w:line="360" w:lineRule="auto"/>
        <w:ind w:left="720" w:hanging="720"/>
        <w:rPr>
          <w:rFonts w:cstheme="minorHAnsi"/>
          <w:color w:val="000000" w:themeColor="text1"/>
        </w:rPr>
      </w:pPr>
      <w:proofErr w:type="spellStart"/>
      <w:r w:rsidRPr="00BC12DA">
        <w:rPr>
          <w:rFonts w:cstheme="minorHAnsi"/>
          <w:color w:val="000000" w:themeColor="text1"/>
        </w:rPr>
        <w:t>Boekaerts</w:t>
      </w:r>
      <w:proofErr w:type="spellEnd"/>
      <w:r w:rsidRPr="00BC12DA">
        <w:rPr>
          <w:rFonts w:cstheme="minorHAnsi"/>
          <w:color w:val="000000" w:themeColor="text1"/>
        </w:rPr>
        <w:t>, M. (1999). Self-regulated learning: Where we are today. International Journal of Educational research, 31(6), 445–457],</w:t>
      </w:r>
    </w:p>
    <w:p w14:paraId="1EAAD84A" w14:textId="77777777" w:rsidR="001D6288" w:rsidRPr="001D6288" w:rsidRDefault="001D6288" w:rsidP="001D6288">
      <w:pPr>
        <w:tabs>
          <w:tab w:val="left" w:pos="6233"/>
        </w:tabs>
        <w:spacing w:line="360" w:lineRule="auto"/>
        <w:ind w:left="720" w:hanging="720"/>
        <w:rPr>
          <w:rFonts w:cstheme="minorHAnsi"/>
          <w:color w:val="000000" w:themeColor="text1"/>
        </w:rPr>
      </w:pPr>
      <w:r w:rsidRPr="00BC12DA">
        <w:rPr>
          <w:rFonts w:cstheme="minorHAnsi"/>
          <w:color w:val="000000" w:themeColor="text1"/>
        </w:rPr>
        <w:t>.</w:t>
      </w:r>
    </w:p>
    <w:p w14:paraId="1B38443C" w14:textId="77777777" w:rsidR="001D6288" w:rsidRPr="001D6288" w:rsidRDefault="001D6288" w:rsidP="001D6288">
      <w:pPr>
        <w:shd w:val="clear" w:color="auto" w:fill="FFFFFF"/>
        <w:spacing w:line="360" w:lineRule="auto"/>
        <w:ind w:left="720" w:hanging="720"/>
        <w:rPr>
          <w:rFonts w:cstheme="minorHAnsi"/>
          <w:color w:val="000000" w:themeColor="text1"/>
        </w:rPr>
      </w:pPr>
      <w:r w:rsidRPr="001D6288">
        <w:rPr>
          <w:rFonts w:cstheme="minorHAnsi"/>
          <w:color w:val="000000" w:themeColor="text1"/>
        </w:rPr>
        <w:t xml:space="preserve">Branigan, H.E. and Donaldson, D.I. (2019). “Learning from learning logs: A case study of metacognition in the primary school classroom”. </w:t>
      </w:r>
      <w:r w:rsidRPr="001D6288">
        <w:rPr>
          <w:rFonts w:cstheme="minorHAnsi"/>
          <w:i/>
          <w:iCs/>
          <w:color w:val="000000" w:themeColor="text1"/>
        </w:rPr>
        <w:t>British Educational Research Journal</w:t>
      </w:r>
      <w:r w:rsidRPr="001D6288">
        <w:rPr>
          <w:rFonts w:cstheme="minorHAnsi"/>
          <w:color w:val="000000" w:themeColor="text1"/>
        </w:rPr>
        <w:t>, 45, pp. 791-820. </w:t>
      </w:r>
      <w:hyperlink r:id="rId7" w:history="1">
        <w:r w:rsidRPr="001D6288">
          <w:rPr>
            <w:rStyle w:val="Hyperlink"/>
            <w:rFonts w:cstheme="minorHAnsi"/>
            <w:color w:val="000000" w:themeColor="text1"/>
          </w:rPr>
          <w:t>https://doi.org/10.1002/berj.3526</w:t>
        </w:r>
      </w:hyperlink>
    </w:p>
    <w:p w14:paraId="589E71DC" w14:textId="77777777" w:rsidR="001D6288" w:rsidRPr="001D6288" w:rsidRDefault="001D6288" w:rsidP="001D6288">
      <w:pPr>
        <w:shd w:val="clear" w:color="auto" w:fill="FFFFFF"/>
        <w:spacing w:line="360" w:lineRule="auto"/>
        <w:ind w:left="720" w:hanging="720"/>
        <w:rPr>
          <w:rFonts w:cstheme="minorHAnsi"/>
          <w:color w:val="000000" w:themeColor="text1"/>
        </w:rPr>
      </w:pPr>
    </w:p>
    <w:p w14:paraId="5182EA60" w14:textId="77777777" w:rsidR="001D6288" w:rsidRPr="001D6288" w:rsidRDefault="001D6288" w:rsidP="001D6288">
      <w:pPr>
        <w:spacing w:line="360" w:lineRule="auto"/>
        <w:ind w:left="720" w:hanging="720"/>
        <w:rPr>
          <w:rFonts w:cstheme="minorHAnsi"/>
          <w:color w:val="000000" w:themeColor="text1"/>
        </w:rPr>
      </w:pPr>
      <w:r w:rsidRPr="001D6288">
        <w:rPr>
          <w:rFonts w:cstheme="minorHAnsi"/>
          <w:color w:val="000000" w:themeColor="text1"/>
        </w:rPr>
        <w:t xml:space="preserve">British Educational Research Association (BERA). (2018). </w:t>
      </w:r>
      <w:r w:rsidRPr="001D6288">
        <w:rPr>
          <w:rFonts w:cstheme="minorHAnsi"/>
          <w:i/>
          <w:iCs/>
          <w:color w:val="000000" w:themeColor="text1"/>
        </w:rPr>
        <w:t>Ethical Guidelines for Educational Research</w:t>
      </w:r>
      <w:r w:rsidRPr="001D6288">
        <w:rPr>
          <w:rFonts w:cstheme="minorHAnsi"/>
          <w:color w:val="000000" w:themeColor="text1"/>
        </w:rPr>
        <w:t xml:space="preserve"> (Fourth edition). London. Retrieved from </w:t>
      </w:r>
      <w:hyperlink r:id="rId8" w:history="1">
        <w:r w:rsidRPr="001D6288">
          <w:rPr>
            <w:rStyle w:val="Hyperlink"/>
            <w:rFonts w:cstheme="minorHAnsi"/>
            <w:color w:val="000000" w:themeColor="text1"/>
          </w:rPr>
          <w:t>https://www.bera.ac.uk/publication/ethical-guidelines-for-educational-research-2018</w:t>
        </w:r>
      </w:hyperlink>
      <w:r w:rsidRPr="001D6288">
        <w:rPr>
          <w:rFonts w:cstheme="minorHAnsi"/>
          <w:color w:val="000000" w:themeColor="text1"/>
        </w:rPr>
        <w:t xml:space="preserve"> </w:t>
      </w:r>
    </w:p>
    <w:p w14:paraId="26663C78" w14:textId="77777777" w:rsidR="001D6288" w:rsidRPr="001D6288" w:rsidRDefault="001D6288" w:rsidP="001D6288">
      <w:pPr>
        <w:pStyle w:val="NormalWeb"/>
        <w:shd w:val="clear" w:color="auto" w:fill="FFFFFF"/>
        <w:spacing w:before="0" w:beforeAutospacing="0" w:after="173" w:afterAutospacing="0" w:line="360" w:lineRule="auto"/>
        <w:ind w:left="720" w:hanging="720"/>
        <w:rPr>
          <w:rFonts w:asciiTheme="minorHAnsi" w:hAnsiTheme="minorHAnsi" w:cstheme="minorHAnsi"/>
          <w:color w:val="000000" w:themeColor="text1"/>
        </w:rPr>
      </w:pPr>
      <w:r w:rsidRPr="001D6288">
        <w:rPr>
          <w:rFonts w:asciiTheme="minorHAnsi" w:hAnsiTheme="minorHAnsi" w:cstheme="minorHAnsi"/>
          <w:color w:val="000000" w:themeColor="text1"/>
        </w:rPr>
        <w:t>Clark, I. &amp; Dumas, G. 2016, "The Regulation of Task Performance: A Trans-Disciplinary Review", </w:t>
      </w:r>
      <w:r w:rsidRPr="001D6288">
        <w:rPr>
          <w:rFonts w:asciiTheme="minorHAnsi" w:hAnsiTheme="minorHAnsi" w:cstheme="minorHAnsi"/>
          <w:i/>
          <w:iCs/>
          <w:color w:val="000000" w:themeColor="text1"/>
        </w:rPr>
        <w:t xml:space="preserve">Frontiers in psychology, </w:t>
      </w:r>
      <w:r w:rsidRPr="001D6288">
        <w:rPr>
          <w:rFonts w:asciiTheme="minorHAnsi" w:hAnsiTheme="minorHAnsi" w:cstheme="minorHAnsi"/>
          <w:color w:val="000000" w:themeColor="text1"/>
        </w:rPr>
        <w:t>6, pp. 1862.</w:t>
      </w:r>
    </w:p>
    <w:p w14:paraId="3B2A8808" w14:textId="77777777" w:rsidR="001D6288" w:rsidRPr="001D6288" w:rsidRDefault="001D6288" w:rsidP="001D6288">
      <w:pPr>
        <w:pStyle w:val="NormalWeb"/>
        <w:shd w:val="clear" w:color="auto" w:fill="FFFFFF"/>
        <w:spacing w:before="0" w:beforeAutospacing="0" w:after="173" w:afterAutospacing="0" w:line="360" w:lineRule="auto"/>
        <w:ind w:left="720" w:hanging="720"/>
        <w:rPr>
          <w:rFonts w:asciiTheme="minorHAnsi" w:hAnsiTheme="minorHAnsi" w:cstheme="minorHAnsi"/>
          <w:color w:val="000000" w:themeColor="text1"/>
        </w:rPr>
      </w:pPr>
      <w:r w:rsidRPr="001D6288">
        <w:rPr>
          <w:rFonts w:asciiTheme="minorHAnsi" w:hAnsiTheme="minorHAnsi" w:cstheme="minorHAnsi"/>
          <w:color w:val="000000" w:themeColor="text1"/>
        </w:rPr>
        <w:t xml:space="preserve">Dignath, C., Buettner, G. &amp; </w:t>
      </w:r>
      <w:proofErr w:type="spellStart"/>
      <w:r w:rsidRPr="001D6288">
        <w:rPr>
          <w:rFonts w:asciiTheme="minorHAnsi" w:hAnsiTheme="minorHAnsi" w:cstheme="minorHAnsi"/>
          <w:color w:val="000000" w:themeColor="text1"/>
        </w:rPr>
        <w:t>Langfeldt</w:t>
      </w:r>
      <w:proofErr w:type="spellEnd"/>
      <w:r w:rsidRPr="001D6288">
        <w:rPr>
          <w:rFonts w:asciiTheme="minorHAnsi" w:hAnsiTheme="minorHAnsi" w:cstheme="minorHAnsi"/>
          <w:color w:val="000000" w:themeColor="text1"/>
        </w:rPr>
        <w:t xml:space="preserve">, H. 2008, "How can primary school students learn self-regulated learning strategies most </w:t>
      </w:r>
      <w:proofErr w:type="gramStart"/>
      <w:r w:rsidRPr="001D6288">
        <w:rPr>
          <w:rFonts w:asciiTheme="minorHAnsi" w:hAnsiTheme="minorHAnsi" w:cstheme="minorHAnsi"/>
          <w:color w:val="000000" w:themeColor="text1"/>
        </w:rPr>
        <w:t>effectively?:</w:t>
      </w:r>
      <w:proofErr w:type="gramEnd"/>
      <w:r w:rsidRPr="001D6288">
        <w:rPr>
          <w:rFonts w:asciiTheme="minorHAnsi" w:hAnsiTheme="minorHAnsi" w:cstheme="minorHAnsi"/>
          <w:color w:val="000000" w:themeColor="text1"/>
        </w:rPr>
        <w:t xml:space="preserve"> A meta-analysis on self-regulation training programmes", </w:t>
      </w:r>
      <w:r w:rsidRPr="001D6288">
        <w:rPr>
          <w:rFonts w:asciiTheme="minorHAnsi" w:hAnsiTheme="minorHAnsi" w:cstheme="minorHAnsi"/>
          <w:i/>
          <w:iCs/>
          <w:color w:val="000000" w:themeColor="text1"/>
        </w:rPr>
        <w:t>Educational Research Review, </w:t>
      </w:r>
      <w:r w:rsidRPr="001D6288">
        <w:rPr>
          <w:rFonts w:asciiTheme="minorHAnsi" w:hAnsiTheme="minorHAnsi" w:cstheme="minorHAnsi"/>
          <w:color w:val="000000" w:themeColor="text1"/>
        </w:rPr>
        <w:t>3(2), pp. 101-129.</w:t>
      </w:r>
    </w:p>
    <w:p w14:paraId="69B17CD6" w14:textId="77777777" w:rsidR="001D6288" w:rsidRPr="001D6288" w:rsidRDefault="001D6288" w:rsidP="001D6288">
      <w:pPr>
        <w:spacing w:line="360" w:lineRule="auto"/>
        <w:ind w:left="720" w:hanging="720"/>
        <w:rPr>
          <w:rFonts w:cstheme="minorHAnsi"/>
          <w:b/>
          <w:bCs/>
          <w:color w:val="000000" w:themeColor="text1"/>
        </w:rPr>
      </w:pPr>
      <w:r w:rsidRPr="001D6288">
        <w:rPr>
          <w:rFonts w:cstheme="minorHAnsi"/>
          <w:color w:val="000000" w:themeColor="text1"/>
        </w:rPr>
        <w:t xml:space="preserve">Dignath, C. &amp; </w:t>
      </w:r>
      <w:proofErr w:type="spellStart"/>
      <w:r w:rsidRPr="001D6288">
        <w:rPr>
          <w:rFonts w:cstheme="minorHAnsi"/>
          <w:color w:val="000000" w:themeColor="text1"/>
        </w:rPr>
        <w:t>Büttner</w:t>
      </w:r>
      <w:proofErr w:type="spellEnd"/>
      <w:r w:rsidRPr="001D6288">
        <w:rPr>
          <w:rFonts w:cstheme="minorHAnsi"/>
          <w:color w:val="000000" w:themeColor="text1"/>
        </w:rPr>
        <w:t>, G. 2018, "Teachers’ direct and indirect promotion of self-regulated learning in primary and secondary school mathematics classes – insights from video-based classroom observations and teacher interviews", </w:t>
      </w:r>
      <w:r w:rsidRPr="001D6288">
        <w:rPr>
          <w:rFonts w:cstheme="minorHAnsi"/>
          <w:i/>
          <w:iCs/>
          <w:color w:val="000000" w:themeColor="text1"/>
        </w:rPr>
        <w:t>Metacognition and Learning, </w:t>
      </w:r>
      <w:r w:rsidRPr="001D6288">
        <w:rPr>
          <w:rFonts w:cstheme="minorHAnsi"/>
          <w:color w:val="000000" w:themeColor="text1"/>
        </w:rPr>
        <w:t>13(2), pp. 127-157.</w:t>
      </w:r>
      <w:r w:rsidRPr="001D6288">
        <w:rPr>
          <w:rFonts w:cstheme="minorHAnsi"/>
          <w:b/>
          <w:bCs/>
          <w:color w:val="000000" w:themeColor="text1"/>
        </w:rPr>
        <w:t xml:space="preserve"> </w:t>
      </w:r>
    </w:p>
    <w:p w14:paraId="590F0717" w14:textId="77777777" w:rsidR="001D6288" w:rsidRPr="001D6288" w:rsidRDefault="001D6288" w:rsidP="001D6288">
      <w:pPr>
        <w:spacing w:line="360" w:lineRule="auto"/>
        <w:ind w:left="720" w:hanging="720"/>
        <w:rPr>
          <w:rFonts w:cstheme="minorHAnsi"/>
          <w:b/>
          <w:bCs/>
          <w:color w:val="000000" w:themeColor="text1"/>
        </w:rPr>
      </w:pPr>
    </w:p>
    <w:p w14:paraId="308FE608" w14:textId="77777777" w:rsidR="001D6288" w:rsidRPr="001D6288" w:rsidRDefault="001D6288" w:rsidP="001D6288">
      <w:pPr>
        <w:spacing w:line="360" w:lineRule="auto"/>
        <w:ind w:left="720" w:hanging="720"/>
        <w:rPr>
          <w:rFonts w:cstheme="minorHAnsi"/>
          <w:color w:val="000000" w:themeColor="text1"/>
        </w:rPr>
      </w:pPr>
      <w:r w:rsidRPr="00890527">
        <w:rPr>
          <w:rFonts w:cstheme="minorHAnsi"/>
          <w:color w:val="000000" w:themeColor="text1"/>
        </w:rPr>
        <w:t>Dinsmore, D., Alexander, P. &amp; Loughlin, S. (2008). Focusing the Conceptual Lens on Metacognition, Self-regulation, and Self-regulated Learning. Educational Psychology Review, 20(4), 391-409.</w:t>
      </w:r>
    </w:p>
    <w:p w14:paraId="1B78913B" w14:textId="77777777" w:rsidR="001D6288" w:rsidRPr="001D6288" w:rsidRDefault="001D6288" w:rsidP="001D6288">
      <w:pPr>
        <w:spacing w:line="360" w:lineRule="auto"/>
        <w:ind w:left="720" w:hanging="720"/>
        <w:rPr>
          <w:rFonts w:cstheme="minorHAnsi"/>
          <w:b/>
          <w:bCs/>
          <w:color w:val="000000" w:themeColor="text1"/>
        </w:rPr>
      </w:pPr>
    </w:p>
    <w:p w14:paraId="7B68537B" w14:textId="77777777" w:rsidR="001D6288" w:rsidRPr="001D6288" w:rsidRDefault="001D6288" w:rsidP="001D6288">
      <w:pPr>
        <w:spacing w:line="360" w:lineRule="auto"/>
        <w:ind w:left="720" w:hanging="720"/>
        <w:rPr>
          <w:rFonts w:cstheme="minorHAnsi"/>
          <w:i/>
          <w:iCs/>
          <w:color w:val="000000" w:themeColor="text1"/>
        </w:rPr>
      </w:pPr>
      <w:r w:rsidRPr="001D6288">
        <w:rPr>
          <w:rFonts w:cstheme="minorHAnsi"/>
          <w:color w:val="000000" w:themeColor="text1"/>
        </w:rPr>
        <w:t xml:space="preserve">Dorsett, R., </w:t>
      </w:r>
      <w:proofErr w:type="spellStart"/>
      <w:r w:rsidRPr="001D6288">
        <w:rPr>
          <w:rFonts w:cstheme="minorHAnsi"/>
          <w:color w:val="000000" w:themeColor="text1"/>
        </w:rPr>
        <w:t>Rienzo</w:t>
      </w:r>
      <w:proofErr w:type="spellEnd"/>
      <w:r w:rsidRPr="001D6288">
        <w:rPr>
          <w:rFonts w:cstheme="minorHAnsi"/>
          <w:color w:val="000000" w:themeColor="text1"/>
        </w:rPr>
        <w:t>, C., Rolfe, H., Burns, H., Robertson, B., Thorpe, B. &amp; Wall, K. 2014, </w:t>
      </w:r>
      <w:r w:rsidRPr="001D6288">
        <w:rPr>
          <w:rFonts w:cstheme="minorHAnsi"/>
          <w:i/>
          <w:iCs/>
          <w:color w:val="000000" w:themeColor="text1"/>
        </w:rPr>
        <w:t xml:space="preserve">Mind the Gap Evaluation: Report and Executive Summary. </w:t>
      </w:r>
    </w:p>
    <w:p w14:paraId="6C5787B9" w14:textId="77777777" w:rsidR="001D6288" w:rsidRPr="001D6288" w:rsidRDefault="001D6288" w:rsidP="001D6288">
      <w:pPr>
        <w:spacing w:line="360" w:lineRule="auto"/>
        <w:ind w:left="720" w:hanging="720"/>
        <w:rPr>
          <w:rFonts w:cstheme="minorHAnsi"/>
          <w:i/>
          <w:iCs/>
          <w:color w:val="000000" w:themeColor="text1"/>
        </w:rPr>
      </w:pPr>
    </w:p>
    <w:p w14:paraId="74FEAFBA" w14:textId="77777777" w:rsidR="001D6288" w:rsidRPr="001D6288" w:rsidRDefault="001D6288" w:rsidP="001D6288">
      <w:pPr>
        <w:spacing w:line="360" w:lineRule="auto"/>
        <w:ind w:left="720" w:hanging="720"/>
        <w:rPr>
          <w:rFonts w:cstheme="minorHAnsi"/>
          <w:color w:val="000000" w:themeColor="text1"/>
        </w:rPr>
      </w:pPr>
      <w:r w:rsidRPr="001D6288">
        <w:rPr>
          <w:rFonts w:cstheme="minorHAnsi"/>
          <w:color w:val="000000" w:themeColor="text1"/>
        </w:rPr>
        <w:t>Dweck, C.S. 2006. Mindset: The new psychology of success. New York: Random House.</w:t>
      </w:r>
    </w:p>
    <w:p w14:paraId="69A86595" w14:textId="77777777" w:rsidR="001D6288" w:rsidRPr="001D6288" w:rsidRDefault="001D6288" w:rsidP="001D6288">
      <w:pPr>
        <w:pStyle w:val="NormalWeb"/>
        <w:shd w:val="clear" w:color="auto" w:fill="FFFFFF"/>
        <w:spacing w:after="173" w:line="360" w:lineRule="auto"/>
        <w:ind w:left="720" w:hanging="720"/>
        <w:rPr>
          <w:rFonts w:asciiTheme="minorHAnsi" w:hAnsiTheme="minorHAnsi" w:cstheme="minorHAnsi"/>
          <w:color w:val="000000" w:themeColor="text1"/>
        </w:rPr>
      </w:pPr>
      <w:r w:rsidRPr="00BC12DA">
        <w:rPr>
          <w:rFonts w:asciiTheme="minorHAnsi" w:hAnsiTheme="minorHAnsi" w:cstheme="minorHAnsi"/>
          <w:color w:val="000000" w:themeColor="text1"/>
        </w:rPr>
        <w:t xml:space="preserve">Education Workforce Council (2022). Code of Professional Conduct and Practice. Retrieved from </w:t>
      </w:r>
      <w:hyperlink r:id="rId9" w:history="1">
        <w:r w:rsidRPr="00BC12DA">
          <w:rPr>
            <w:rStyle w:val="Hyperlink"/>
            <w:rFonts w:asciiTheme="minorHAnsi" w:hAnsiTheme="minorHAnsi" w:cstheme="minorHAnsi"/>
            <w:color w:val="000000" w:themeColor="text1"/>
          </w:rPr>
          <w:t>https://www.ewc.wales/site</w:t>
        </w:r>
        <w:r w:rsidRPr="00BC12DA">
          <w:rPr>
            <w:rStyle w:val="Hyperlink"/>
            <w:rFonts w:asciiTheme="minorHAnsi" w:hAnsiTheme="minorHAnsi" w:cstheme="minorHAnsi"/>
            <w:color w:val="000000" w:themeColor="text1"/>
          </w:rPr>
          <w:t>/</w:t>
        </w:r>
        <w:r w:rsidRPr="00BC12DA">
          <w:rPr>
            <w:rStyle w:val="Hyperlink"/>
            <w:rFonts w:asciiTheme="minorHAnsi" w:hAnsiTheme="minorHAnsi" w:cstheme="minorHAnsi"/>
            <w:color w:val="000000" w:themeColor="text1"/>
          </w:rPr>
          <w:t>index.php/en/fitness-to-practise/code-of-professional-conduct-and-practice-pdf.html</w:t>
        </w:r>
      </w:hyperlink>
      <w:r w:rsidRPr="00BC12DA">
        <w:rPr>
          <w:rFonts w:asciiTheme="minorHAnsi" w:hAnsiTheme="minorHAnsi" w:cstheme="minorHAnsi"/>
          <w:color w:val="000000" w:themeColor="text1"/>
        </w:rPr>
        <w:t xml:space="preserve"> </w:t>
      </w:r>
    </w:p>
    <w:p w14:paraId="7C4DFE6F" w14:textId="77777777" w:rsidR="001D6288" w:rsidRPr="001D6288" w:rsidRDefault="001D6288" w:rsidP="001D6288">
      <w:pPr>
        <w:pStyle w:val="NormalWeb"/>
        <w:shd w:val="clear" w:color="auto" w:fill="FFFFFF"/>
        <w:spacing w:before="0" w:beforeAutospacing="0" w:after="173" w:afterAutospacing="0" w:line="360" w:lineRule="auto"/>
        <w:ind w:left="720" w:hanging="720"/>
        <w:rPr>
          <w:rFonts w:asciiTheme="minorHAnsi" w:hAnsiTheme="minorHAnsi" w:cstheme="minorHAnsi"/>
          <w:color w:val="000000" w:themeColor="text1"/>
        </w:rPr>
      </w:pPr>
      <w:r w:rsidRPr="001D6288">
        <w:rPr>
          <w:rFonts w:asciiTheme="minorHAnsi" w:hAnsiTheme="minorHAnsi" w:cstheme="minorHAnsi"/>
          <w:color w:val="000000" w:themeColor="text1"/>
        </w:rPr>
        <w:t>Farrell, T.S.C. 2012, "Reflecting on Reflective Practice: (Re)Visiting Dewey and Schön", </w:t>
      </w:r>
      <w:r w:rsidRPr="001D6288">
        <w:rPr>
          <w:rFonts w:asciiTheme="minorHAnsi" w:hAnsiTheme="minorHAnsi" w:cstheme="minorHAnsi"/>
          <w:i/>
          <w:iCs/>
          <w:color w:val="000000" w:themeColor="text1"/>
        </w:rPr>
        <w:t>TESOL Journal, 3(1</w:t>
      </w:r>
      <w:proofErr w:type="gramStart"/>
      <w:r w:rsidRPr="001D6288">
        <w:rPr>
          <w:rFonts w:asciiTheme="minorHAnsi" w:hAnsiTheme="minorHAnsi" w:cstheme="minorHAnsi"/>
          <w:i/>
          <w:iCs/>
          <w:color w:val="000000" w:themeColor="text1"/>
        </w:rPr>
        <w:t xml:space="preserve">), </w:t>
      </w:r>
      <w:r w:rsidRPr="001D6288">
        <w:rPr>
          <w:rFonts w:asciiTheme="minorHAnsi" w:hAnsiTheme="minorHAnsi" w:cstheme="minorHAnsi"/>
          <w:color w:val="000000" w:themeColor="text1"/>
        </w:rPr>
        <w:t xml:space="preserve"> pp.</w:t>
      </w:r>
      <w:proofErr w:type="gramEnd"/>
      <w:r w:rsidRPr="001D6288">
        <w:rPr>
          <w:rFonts w:asciiTheme="minorHAnsi" w:hAnsiTheme="minorHAnsi" w:cstheme="minorHAnsi"/>
          <w:color w:val="000000" w:themeColor="text1"/>
        </w:rPr>
        <w:t xml:space="preserve"> 7-16. </w:t>
      </w:r>
      <w:hyperlink r:id="rId10" w:history="1">
        <w:r w:rsidRPr="001D6288">
          <w:rPr>
            <w:rStyle w:val="Hyperlink"/>
            <w:rFonts w:asciiTheme="minorHAnsi" w:hAnsiTheme="minorHAnsi" w:cstheme="minorHAnsi"/>
            <w:color w:val="000000" w:themeColor="text1"/>
          </w:rPr>
          <w:t>https://doi.org/10.1002/tesj.10</w:t>
        </w:r>
      </w:hyperlink>
      <w:r w:rsidRPr="001D6288">
        <w:rPr>
          <w:rFonts w:asciiTheme="minorHAnsi" w:hAnsiTheme="minorHAnsi" w:cstheme="minorHAnsi"/>
          <w:color w:val="000000" w:themeColor="text1"/>
        </w:rPr>
        <w:t xml:space="preserve"> </w:t>
      </w:r>
    </w:p>
    <w:p w14:paraId="5726EB73" w14:textId="77777777" w:rsidR="001D6288" w:rsidRPr="001D6288" w:rsidRDefault="001D6288" w:rsidP="001D6288">
      <w:pPr>
        <w:pStyle w:val="NormalWeb"/>
        <w:shd w:val="clear" w:color="auto" w:fill="FFFFFF"/>
        <w:spacing w:before="0" w:beforeAutospacing="0" w:after="173" w:afterAutospacing="0" w:line="360" w:lineRule="auto"/>
        <w:ind w:left="720" w:hanging="720"/>
        <w:rPr>
          <w:rFonts w:asciiTheme="minorHAnsi" w:hAnsiTheme="minorHAnsi" w:cstheme="minorHAnsi"/>
          <w:color w:val="000000" w:themeColor="text1"/>
        </w:rPr>
      </w:pPr>
      <w:r w:rsidRPr="001D6288">
        <w:rPr>
          <w:rFonts w:asciiTheme="minorHAnsi" w:hAnsiTheme="minorHAnsi" w:cstheme="minorHAnsi"/>
          <w:color w:val="000000" w:themeColor="text1"/>
        </w:rPr>
        <w:t>Hansen, A. (ed) 2013, </w:t>
      </w:r>
      <w:r w:rsidRPr="001D6288">
        <w:rPr>
          <w:rFonts w:asciiTheme="minorHAnsi" w:hAnsiTheme="minorHAnsi" w:cstheme="minorHAnsi"/>
          <w:i/>
          <w:iCs/>
          <w:color w:val="000000" w:themeColor="text1"/>
        </w:rPr>
        <w:t>Reflective Learning and Teaching in Primary Schools</w:t>
      </w:r>
      <w:r w:rsidRPr="001D6288">
        <w:rPr>
          <w:rFonts w:asciiTheme="minorHAnsi" w:hAnsiTheme="minorHAnsi" w:cstheme="minorHAnsi"/>
          <w:color w:val="000000" w:themeColor="text1"/>
        </w:rPr>
        <w:t xml:space="preserve">, SAGE Publications, Ltd. </w:t>
      </w:r>
    </w:p>
    <w:p w14:paraId="0B236FD3" w14:textId="77777777" w:rsidR="001D6288" w:rsidRPr="001D6288" w:rsidRDefault="001D6288" w:rsidP="001D6288">
      <w:pPr>
        <w:pStyle w:val="NormalWeb"/>
        <w:shd w:val="clear" w:color="auto" w:fill="FFFFFF"/>
        <w:spacing w:before="0" w:beforeAutospacing="0" w:after="173" w:afterAutospacing="0" w:line="360" w:lineRule="auto"/>
        <w:ind w:left="720" w:hanging="720"/>
        <w:rPr>
          <w:rFonts w:asciiTheme="minorHAnsi" w:hAnsiTheme="minorHAnsi" w:cstheme="minorHAnsi"/>
          <w:color w:val="000000" w:themeColor="text1"/>
        </w:rPr>
      </w:pPr>
      <w:r w:rsidRPr="001D6288">
        <w:rPr>
          <w:rFonts w:asciiTheme="minorHAnsi" w:hAnsiTheme="minorHAnsi" w:cstheme="minorHAnsi"/>
          <w:color w:val="000000" w:themeColor="text1"/>
        </w:rPr>
        <w:t>Hartman, H.J. 2001, "Teaching Metacognitively" in </w:t>
      </w:r>
      <w:r w:rsidRPr="001D6288">
        <w:rPr>
          <w:rFonts w:asciiTheme="minorHAnsi" w:hAnsiTheme="minorHAnsi" w:cstheme="minorHAnsi"/>
          <w:i/>
          <w:iCs/>
          <w:color w:val="000000" w:themeColor="text1"/>
        </w:rPr>
        <w:t>Metacognition in Learning and Instruction: Theory, Research and Practice</w:t>
      </w:r>
      <w:r w:rsidRPr="001D6288">
        <w:rPr>
          <w:rFonts w:asciiTheme="minorHAnsi" w:hAnsiTheme="minorHAnsi" w:cstheme="minorHAnsi"/>
          <w:color w:val="000000" w:themeColor="text1"/>
        </w:rPr>
        <w:t>, ed. H.J. Hartman, Springer Netherlands, Dordrecht, pp. 149-172.</w:t>
      </w:r>
    </w:p>
    <w:p w14:paraId="6985AB58" w14:textId="77777777" w:rsidR="001D6288" w:rsidRPr="001D6288" w:rsidRDefault="001D6288" w:rsidP="001D6288">
      <w:pPr>
        <w:pStyle w:val="NormalWeb"/>
        <w:shd w:val="clear" w:color="auto" w:fill="FFFFFF"/>
        <w:spacing w:before="0" w:beforeAutospacing="0" w:after="173" w:afterAutospacing="0" w:line="360" w:lineRule="auto"/>
        <w:ind w:left="720" w:hanging="720"/>
        <w:rPr>
          <w:rFonts w:asciiTheme="minorHAnsi" w:hAnsiTheme="minorHAnsi" w:cstheme="minorHAnsi"/>
          <w:color w:val="000000" w:themeColor="text1"/>
        </w:rPr>
      </w:pPr>
      <w:r w:rsidRPr="001D6288">
        <w:rPr>
          <w:rFonts w:asciiTheme="minorHAnsi" w:hAnsiTheme="minorHAnsi" w:cstheme="minorHAnsi"/>
          <w:color w:val="000000" w:themeColor="text1"/>
        </w:rPr>
        <w:t xml:space="preserve">Heller, J., Daehler, K., Wong, N., Shinohara, M. &amp; </w:t>
      </w:r>
      <w:proofErr w:type="spellStart"/>
      <w:r w:rsidRPr="001D6288">
        <w:rPr>
          <w:rFonts w:asciiTheme="minorHAnsi" w:hAnsiTheme="minorHAnsi" w:cstheme="minorHAnsi"/>
          <w:color w:val="000000" w:themeColor="text1"/>
        </w:rPr>
        <w:t>Miratrix</w:t>
      </w:r>
      <w:proofErr w:type="spellEnd"/>
      <w:r w:rsidRPr="001D6288">
        <w:rPr>
          <w:rFonts w:asciiTheme="minorHAnsi" w:hAnsiTheme="minorHAnsi" w:cstheme="minorHAnsi"/>
          <w:color w:val="000000" w:themeColor="text1"/>
        </w:rPr>
        <w:t>, L. 2012, "Differential effects of three professional development models on teacher knowledge and student achievement in elementary science", </w:t>
      </w:r>
      <w:r w:rsidRPr="001D6288">
        <w:rPr>
          <w:rFonts w:asciiTheme="minorHAnsi" w:hAnsiTheme="minorHAnsi" w:cstheme="minorHAnsi"/>
          <w:i/>
          <w:iCs/>
          <w:color w:val="000000" w:themeColor="text1"/>
        </w:rPr>
        <w:t>Journal of Research in Science Teaching,</w:t>
      </w:r>
      <w:r w:rsidRPr="001D6288">
        <w:rPr>
          <w:rFonts w:asciiTheme="minorHAnsi" w:hAnsiTheme="minorHAnsi" w:cstheme="minorHAnsi"/>
          <w:color w:val="000000" w:themeColor="text1"/>
        </w:rPr>
        <w:t xml:space="preserve"> 49, pp. 333-362.</w:t>
      </w:r>
    </w:p>
    <w:p w14:paraId="480B49ED" w14:textId="77777777" w:rsidR="001D6288" w:rsidRPr="00B31940" w:rsidRDefault="001D6288" w:rsidP="001D6288">
      <w:pPr>
        <w:pStyle w:val="NormalWeb"/>
        <w:shd w:val="clear" w:color="auto" w:fill="FFFFFF"/>
        <w:spacing w:after="173" w:line="360" w:lineRule="auto"/>
        <w:ind w:left="720" w:hanging="720"/>
        <w:rPr>
          <w:rFonts w:asciiTheme="minorHAnsi" w:hAnsiTheme="minorHAnsi" w:cstheme="minorHAnsi"/>
          <w:color w:val="000000" w:themeColor="text1"/>
        </w:rPr>
      </w:pPr>
      <w:r w:rsidRPr="00B31940">
        <w:rPr>
          <w:rFonts w:asciiTheme="minorHAnsi" w:hAnsiTheme="minorHAnsi" w:cstheme="minorHAnsi"/>
          <w:color w:val="000000" w:themeColor="text1"/>
        </w:rPr>
        <w:t xml:space="preserve">HWB Cymru (n.d.) The National Pedagogy Project. Retrieved from </w:t>
      </w:r>
      <w:hyperlink r:id="rId11" w:history="1">
        <w:r w:rsidRPr="00B31940">
          <w:rPr>
            <w:rStyle w:val="Hyperlink"/>
            <w:rFonts w:asciiTheme="minorHAnsi" w:hAnsiTheme="minorHAnsi" w:cstheme="minorHAnsi"/>
            <w:color w:val="000000" w:themeColor="text1"/>
          </w:rPr>
          <w:t>https://hwb.gov.wales/professional-development/national-pedagogy-project/the-national-pedagogy-project/</w:t>
        </w:r>
      </w:hyperlink>
      <w:r w:rsidRPr="00B31940">
        <w:rPr>
          <w:rFonts w:asciiTheme="minorHAnsi" w:hAnsiTheme="minorHAnsi" w:cstheme="minorHAnsi"/>
          <w:color w:val="000000" w:themeColor="text1"/>
        </w:rPr>
        <w:t xml:space="preserve"> </w:t>
      </w:r>
    </w:p>
    <w:p w14:paraId="741FE5B5" w14:textId="77777777" w:rsidR="001D6288" w:rsidRPr="001D6288" w:rsidRDefault="001D6288" w:rsidP="001D6288">
      <w:pPr>
        <w:pStyle w:val="NormalWeb"/>
        <w:shd w:val="clear" w:color="auto" w:fill="FFFFFF"/>
        <w:spacing w:after="173" w:line="360" w:lineRule="auto"/>
        <w:ind w:left="720" w:hanging="720"/>
        <w:rPr>
          <w:rFonts w:asciiTheme="minorHAnsi" w:hAnsiTheme="minorHAnsi" w:cstheme="minorHAnsi"/>
          <w:color w:val="000000" w:themeColor="text1"/>
        </w:rPr>
      </w:pPr>
      <w:r w:rsidRPr="00B31940">
        <w:rPr>
          <w:rFonts w:asciiTheme="minorHAnsi" w:hAnsiTheme="minorHAnsi" w:cstheme="minorHAnsi"/>
          <w:color w:val="000000" w:themeColor="text1"/>
        </w:rPr>
        <w:t>HWB Cymru (</w:t>
      </w:r>
      <w:proofErr w:type="spellStart"/>
      <w:r w:rsidRPr="00B31940">
        <w:rPr>
          <w:rFonts w:asciiTheme="minorHAnsi" w:hAnsiTheme="minorHAnsi" w:cstheme="minorHAnsi"/>
          <w:color w:val="000000" w:themeColor="text1"/>
        </w:rPr>
        <w:t>n.d</w:t>
      </w:r>
      <w:proofErr w:type="spellEnd"/>
      <w:r w:rsidRPr="00B31940">
        <w:rPr>
          <w:rFonts w:asciiTheme="minorHAnsi" w:hAnsiTheme="minorHAnsi" w:cstheme="minorHAnsi"/>
          <w:color w:val="000000" w:themeColor="text1"/>
        </w:rPr>
        <w:t xml:space="preserve">). Talk Pedagogy for Leaders. Retrieved from </w:t>
      </w:r>
      <w:hyperlink r:id="rId12" w:history="1">
        <w:r w:rsidRPr="00B31940">
          <w:rPr>
            <w:rStyle w:val="Hyperlink"/>
            <w:rFonts w:asciiTheme="minorHAnsi" w:hAnsiTheme="minorHAnsi" w:cstheme="minorHAnsi"/>
            <w:color w:val="000000" w:themeColor="text1"/>
          </w:rPr>
          <w:t>https://hwb.gov.wales/playlists/view/882beb78-987a-4191-b55c-988220</w:t>
        </w:r>
        <w:r w:rsidRPr="00B31940">
          <w:rPr>
            <w:rStyle w:val="Hyperlink"/>
            <w:rFonts w:asciiTheme="minorHAnsi" w:hAnsiTheme="minorHAnsi" w:cstheme="minorHAnsi"/>
            <w:color w:val="000000" w:themeColor="text1"/>
          </w:rPr>
          <w:t>6e82ad/en/1</w:t>
        </w:r>
      </w:hyperlink>
      <w:r w:rsidRPr="00B31940">
        <w:rPr>
          <w:rFonts w:asciiTheme="minorHAnsi" w:hAnsiTheme="minorHAnsi" w:cstheme="minorHAnsi"/>
          <w:color w:val="000000" w:themeColor="text1"/>
        </w:rPr>
        <w:t xml:space="preserve"> </w:t>
      </w:r>
    </w:p>
    <w:p w14:paraId="06BC3E14" w14:textId="77777777" w:rsidR="001D6288" w:rsidRPr="001D6288" w:rsidRDefault="001D6288" w:rsidP="001D6288">
      <w:pPr>
        <w:pStyle w:val="NormalWeb"/>
        <w:spacing w:after="173" w:line="360" w:lineRule="auto"/>
        <w:ind w:left="720" w:hanging="720"/>
        <w:rPr>
          <w:rFonts w:asciiTheme="minorHAnsi" w:hAnsiTheme="minorHAnsi" w:cstheme="minorHAnsi"/>
          <w:color w:val="000000" w:themeColor="text1"/>
        </w:rPr>
      </w:pPr>
      <w:r w:rsidRPr="00801E9B">
        <w:rPr>
          <w:rFonts w:asciiTheme="minorHAnsi" w:hAnsiTheme="minorHAnsi" w:cstheme="minorHAnsi"/>
          <w:color w:val="000000" w:themeColor="text1"/>
        </w:rPr>
        <w:t>Joshi, K. R. (2018) “Critical Incidents for Teachers’ Professional Development”, </w:t>
      </w:r>
      <w:r w:rsidRPr="00801E9B">
        <w:rPr>
          <w:rFonts w:asciiTheme="minorHAnsi" w:hAnsiTheme="minorHAnsi" w:cstheme="minorHAnsi"/>
          <w:i/>
          <w:iCs/>
          <w:color w:val="000000" w:themeColor="text1"/>
        </w:rPr>
        <w:t xml:space="preserve">Journal of NELTA </w:t>
      </w:r>
      <w:proofErr w:type="spellStart"/>
      <w:r w:rsidRPr="00801E9B">
        <w:rPr>
          <w:rFonts w:asciiTheme="minorHAnsi" w:hAnsiTheme="minorHAnsi" w:cstheme="minorHAnsi"/>
          <w:i/>
          <w:iCs/>
          <w:color w:val="000000" w:themeColor="text1"/>
        </w:rPr>
        <w:t>Surkhet</w:t>
      </w:r>
      <w:proofErr w:type="spellEnd"/>
      <w:r w:rsidRPr="00801E9B">
        <w:rPr>
          <w:rFonts w:asciiTheme="minorHAnsi" w:hAnsiTheme="minorHAnsi" w:cstheme="minorHAnsi"/>
          <w:color w:val="000000" w:themeColor="text1"/>
        </w:rPr>
        <w:t>, 5, pp. 82–88.</w:t>
      </w:r>
      <w:r w:rsidRPr="001D6288">
        <w:rPr>
          <w:rFonts w:asciiTheme="minorHAnsi" w:hAnsiTheme="minorHAnsi" w:cstheme="minorHAnsi"/>
          <w:color w:val="000000" w:themeColor="text1"/>
        </w:rPr>
        <w:t xml:space="preserve"> </w:t>
      </w:r>
      <w:hyperlink r:id="rId13" w:history="1">
        <w:r w:rsidRPr="001D6288">
          <w:rPr>
            <w:rStyle w:val="Hyperlink"/>
            <w:rFonts w:asciiTheme="minorHAnsi" w:hAnsiTheme="minorHAnsi" w:cstheme="minorHAnsi"/>
            <w:color w:val="000000" w:themeColor="text1"/>
            <w:shd w:val="clear" w:color="auto" w:fill="FFFFFF"/>
          </w:rPr>
          <w:t>https://doi.org/10.3126/jns.v5i0.19493</w:t>
        </w:r>
      </w:hyperlink>
      <w:r w:rsidRPr="001D6288">
        <w:rPr>
          <w:rFonts w:asciiTheme="minorHAnsi" w:hAnsiTheme="minorHAnsi" w:cstheme="minorHAnsi"/>
          <w:color w:val="000000" w:themeColor="text1"/>
        </w:rPr>
        <w:t xml:space="preserve"> </w:t>
      </w:r>
    </w:p>
    <w:p w14:paraId="7EA63956" w14:textId="77777777" w:rsidR="001D6288" w:rsidRPr="001D6288" w:rsidRDefault="001D6288" w:rsidP="001D6288">
      <w:pPr>
        <w:pStyle w:val="NormalWeb"/>
        <w:shd w:val="clear" w:color="auto" w:fill="FFFFFF"/>
        <w:spacing w:before="0" w:beforeAutospacing="0" w:after="173" w:afterAutospacing="0" w:line="360" w:lineRule="auto"/>
        <w:ind w:left="720" w:hanging="720"/>
        <w:rPr>
          <w:rFonts w:asciiTheme="minorHAnsi" w:hAnsiTheme="minorHAnsi" w:cstheme="minorHAnsi"/>
          <w:color w:val="000000" w:themeColor="text1"/>
        </w:rPr>
      </w:pPr>
      <w:proofErr w:type="spellStart"/>
      <w:r w:rsidRPr="001D6288">
        <w:rPr>
          <w:rFonts w:asciiTheme="minorHAnsi" w:hAnsiTheme="minorHAnsi" w:cstheme="minorHAnsi"/>
          <w:color w:val="000000" w:themeColor="text1"/>
        </w:rPr>
        <w:t>Muijs</w:t>
      </w:r>
      <w:proofErr w:type="spellEnd"/>
      <w:r w:rsidRPr="001D6288">
        <w:rPr>
          <w:rFonts w:asciiTheme="minorHAnsi" w:hAnsiTheme="minorHAnsi" w:cstheme="minorHAnsi"/>
          <w:color w:val="000000" w:themeColor="text1"/>
        </w:rPr>
        <w:t>, D. &amp; Bokhove, C. 2020, "Metacognition and Self-Regulation: Evidence Review.", </w:t>
      </w:r>
      <w:r w:rsidRPr="001D6288">
        <w:rPr>
          <w:rFonts w:asciiTheme="minorHAnsi" w:hAnsiTheme="minorHAnsi" w:cstheme="minorHAnsi"/>
          <w:i/>
          <w:iCs/>
          <w:color w:val="000000" w:themeColor="text1"/>
        </w:rPr>
        <w:t>Education Endowment Foundation.</w:t>
      </w:r>
    </w:p>
    <w:p w14:paraId="49F2A1A9" w14:textId="77777777" w:rsidR="001D6288" w:rsidRPr="001D6288" w:rsidRDefault="001D6288" w:rsidP="001D6288">
      <w:pPr>
        <w:pStyle w:val="NormalWeb"/>
        <w:shd w:val="clear" w:color="auto" w:fill="FFFFFF"/>
        <w:spacing w:before="0" w:beforeAutospacing="0" w:after="173" w:afterAutospacing="0" w:line="360" w:lineRule="auto"/>
        <w:ind w:left="720" w:hanging="720"/>
        <w:rPr>
          <w:rFonts w:asciiTheme="minorHAnsi" w:hAnsiTheme="minorHAnsi" w:cstheme="minorHAnsi"/>
          <w:color w:val="000000" w:themeColor="text1"/>
        </w:rPr>
      </w:pPr>
      <w:r w:rsidRPr="001D6288">
        <w:rPr>
          <w:rFonts w:asciiTheme="minorHAnsi" w:hAnsiTheme="minorHAnsi" w:cstheme="minorHAnsi"/>
          <w:color w:val="000000" w:themeColor="text1"/>
        </w:rPr>
        <w:lastRenderedPageBreak/>
        <w:t>Pollard, A. 2014, </w:t>
      </w:r>
      <w:r w:rsidRPr="001D6288">
        <w:rPr>
          <w:rFonts w:asciiTheme="minorHAnsi" w:hAnsiTheme="minorHAnsi" w:cstheme="minorHAnsi"/>
          <w:i/>
          <w:iCs/>
          <w:color w:val="000000" w:themeColor="text1"/>
        </w:rPr>
        <w:t>Readings for reflective teaching in schools. </w:t>
      </w:r>
      <w:r w:rsidRPr="001D6288">
        <w:rPr>
          <w:rFonts w:asciiTheme="minorHAnsi" w:hAnsiTheme="minorHAnsi" w:cstheme="minorHAnsi"/>
          <w:color w:val="000000" w:themeColor="text1"/>
        </w:rPr>
        <w:t>Bloomsbury, London.</w:t>
      </w:r>
    </w:p>
    <w:p w14:paraId="7C30AF53" w14:textId="77777777" w:rsidR="001D6288" w:rsidRPr="001D6288" w:rsidRDefault="001D6288" w:rsidP="001D6288">
      <w:pPr>
        <w:pStyle w:val="NormalWeb"/>
        <w:shd w:val="clear" w:color="auto" w:fill="FFFFFF"/>
        <w:spacing w:before="0" w:beforeAutospacing="0" w:after="173" w:afterAutospacing="0" w:line="360" w:lineRule="auto"/>
        <w:ind w:left="720" w:hanging="720"/>
        <w:rPr>
          <w:rFonts w:asciiTheme="minorHAnsi" w:hAnsiTheme="minorHAnsi" w:cstheme="minorHAnsi"/>
          <w:color w:val="000000" w:themeColor="text1"/>
        </w:rPr>
      </w:pPr>
      <w:r w:rsidRPr="001D6288">
        <w:rPr>
          <w:rFonts w:asciiTheme="minorHAnsi" w:hAnsiTheme="minorHAnsi" w:cstheme="minorHAnsi"/>
          <w:color w:val="000000" w:themeColor="text1"/>
        </w:rPr>
        <w:t xml:space="preserve">Quigley, A., </w:t>
      </w:r>
      <w:proofErr w:type="spellStart"/>
      <w:r w:rsidRPr="001D6288">
        <w:rPr>
          <w:rFonts w:asciiTheme="minorHAnsi" w:hAnsiTheme="minorHAnsi" w:cstheme="minorHAnsi"/>
          <w:color w:val="000000" w:themeColor="text1"/>
        </w:rPr>
        <w:t>Muijs</w:t>
      </w:r>
      <w:proofErr w:type="spellEnd"/>
      <w:r w:rsidRPr="001D6288">
        <w:rPr>
          <w:rFonts w:asciiTheme="minorHAnsi" w:hAnsiTheme="minorHAnsi" w:cstheme="minorHAnsi"/>
          <w:color w:val="000000" w:themeColor="text1"/>
        </w:rPr>
        <w:t xml:space="preserve">, D. &amp; Stringer, E. 2018, "Metacognition and self-regulated learning: guidance report" Available from </w:t>
      </w:r>
      <w:hyperlink r:id="rId14" w:history="1">
        <w:r w:rsidRPr="001D6288">
          <w:rPr>
            <w:rStyle w:val="Hyperlink"/>
            <w:rFonts w:asciiTheme="minorHAnsi" w:hAnsiTheme="minorHAnsi" w:cstheme="minorHAnsi"/>
            <w:color w:val="000000" w:themeColor="text1"/>
          </w:rPr>
          <w:t>https://educationendowmentfoundation.org.uk/education-evidence/guidance-reports/metacognition</w:t>
        </w:r>
      </w:hyperlink>
      <w:r w:rsidRPr="001D6288">
        <w:rPr>
          <w:rFonts w:asciiTheme="minorHAnsi" w:hAnsiTheme="minorHAnsi" w:cstheme="minorHAnsi"/>
          <w:color w:val="000000" w:themeColor="text1"/>
        </w:rPr>
        <w:t xml:space="preserve"> </w:t>
      </w:r>
    </w:p>
    <w:p w14:paraId="72C308AC" w14:textId="77777777" w:rsidR="001D6288" w:rsidRPr="001D6288" w:rsidRDefault="001D6288" w:rsidP="001D6288">
      <w:pPr>
        <w:pStyle w:val="NormalWeb"/>
        <w:shd w:val="clear" w:color="auto" w:fill="FFFFFF"/>
        <w:spacing w:after="173" w:line="360" w:lineRule="auto"/>
        <w:ind w:left="720" w:hanging="720"/>
        <w:rPr>
          <w:rFonts w:asciiTheme="minorHAnsi" w:hAnsiTheme="minorHAnsi" w:cstheme="minorHAnsi"/>
          <w:color w:val="000000" w:themeColor="text1"/>
        </w:rPr>
      </w:pPr>
      <w:r w:rsidRPr="00801E9B">
        <w:rPr>
          <w:rFonts w:asciiTheme="minorHAnsi" w:hAnsiTheme="minorHAnsi" w:cstheme="minorHAnsi"/>
          <w:color w:val="000000" w:themeColor="text1"/>
        </w:rPr>
        <w:t>Richards, J., &amp; Farrell, T. (2005). </w:t>
      </w:r>
      <w:r w:rsidRPr="00801E9B">
        <w:rPr>
          <w:rFonts w:asciiTheme="minorHAnsi" w:hAnsiTheme="minorHAnsi" w:cstheme="minorHAnsi"/>
          <w:i/>
          <w:iCs/>
          <w:color w:val="000000" w:themeColor="text1"/>
        </w:rPr>
        <w:t>Professional Development for Language Teachers: Strategies for Teacher Learning</w:t>
      </w:r>
      <w:r w:rsidRPr="00801E9B">
        <w:rPr>
          <w:rFonts w:asciiTheme="minorHAnsi" w:hAnsiTheme="minorHAnsi" w:cstheme="minorHAnsi"/>
          <w:color w:val="000000" w:themeColor="text1"/>
        </w:rPr>
        <w:t> (Cambridge Language Education). Cambridge: Cambridge University Press</w:t>
      </w:r>
      <w:r w:rsidRPr="001D6288">
        <w:rPr>
          <w:rFonts w:asciiTheme="minorHAnsi" w:hAnsiTheme="minorHAnsi" w:cstheme="minorHAnsi"/>
          <w:color w:val="000000" w:themeColor="text1"/>
        </w:rPr>
        <w:t xml:space="preserve">. </w:t>
      </w:r>
      <w:hyperlink r:id="rId15" w:history="1">
        <w:r w:rsidRPr="001D6288">
          <w:rPr>
            <w:rStyle w:val="Hyperlink"/>
            <w:rFonts w:asciiTheme="minorHAnsi" w:hAnsiTheme="minorHAnsi" w:cstheme="minorHAnsi"/>
            <w:color w:val="000000" w:themeColor="text1"/>
          </w:rPr>
          <w:t>https://doi.org/10.1017/CBO9780511667237</w:t>
        </w:r>
      </w:hyperlink>
      <w:r w:rsidRPr="001D6288">
        <w:rPr>
          <w:rFonts w:asciiTheme="minorHAnsi" w:hAnsiTheme="minorHAnsi" w:cstheme="minorHAnsi"/>
          <w:color w:val="000000" w:themeColor="text1"/>
        </w:rPr>
        <w:t xml:space="preserve"> </w:t>
      </w:r>
    </w:p>
    <w:p w14:paraId="3F30A2B3" w14:textId="77777777" w:rsidR="001D6288" w:rsidRPr="001D6288" w:rsidRDefault="001D6288" w:rsidP="001D6288">
      <w:pPr>
        <w:pStyle w:val="NormalWeb"/>
        <w:shd w:val="clear" w:color="auto" w:fill="FFFFFF"/>
        <w:spacing w:before="0" w:beforeAutospacing="0" w:after="173" w:afterAutospacing="0" w:line="360" w:lineRule="auto"/>
        <w:ind w:left="720" w:hanging="720"/>
        <w:rPr>
          <w:rFonts w:asciiTheme="minorHAnsi" w:hAnsiTheme="minorHAnsi" w:cstheme="minorHAnsi"/>
          <w:color w:val="000000" w:themeColor="text1"/>
        </w:rPr>
      </w:pPr>
      <w:r w:rsidRPr="001D6288">
        <w:rPr>
          <w:rFonts w:asciiTheme="minorHAnsi" w:hAnsiTheme="minorHAnsi" w:cstheme="minorHAnsi"/>
          <w:color w:val="000000" w:themeColor="text1"/>
        </w:rPr>
        <w:t>Schneider, W. (2008). "The Development of Metacognitive Knowledge in Children and Adolescents: Major Trends and Implications for Education", </w:t>
      </w:r>
      <w:r w:rsidRPr="001D6288">
        <w:rPr>
          <w:rFonts w:asciiTheme="minorHAnsi" w:hAnsiTheme="minorHAnsi" w:cstheme="minorHAnsi"/>
          <w:i/>
          <w:iCs/>
          <w:color w:val="000000" w:themeColor="text1"/>
        </w:rPr>
        <w:t>Mind, Brain, and Education, </w:t>
      </w:r>
      <w:r w:rsidRPr="001D6288">
        <w:rPr>
          <w:rFonts w:asciiTheme="minorHAnsi" w:hAnsiTheme="minorHAnsi" w:cstheme="minorHAnsi"/>
          <w:color w:val="000000" w:themeColor="text1"/>
        </w:rPr>
        <w:t>2(3), pp. 114-121.</w:t>
      </w:r>
    </w:p>
    <w:p w14:paraId="47DE7C60" w14:textId="77777777" w:rsidR="001D6288" w:rsidRPr="001D6288" w:rsidRDefault="001D6288" w:rsidP="001D6288">
      <w:pPr>
        <w:pStyle w:val="NormalWeb"/>
        <w:shd w:val="clear" w:color="auto" w:fill="FFFFFF"/>
        <w:spacing w:before="0" w:beforeAutospacing="0" w:after="173" w:afterAutospacing="0" w:line="360" w:lineRule="auto"/>
        <w:ind w:left="720" w:hanging="720"/>
        <w:rPr>
          <w:rFonts w:asciiTheme="minorHAnsi" w:hAnsiTheme="minorHAnsi" w:cstheme="minorHAnsi"/>
          <w:color w:val="000000" w:themeColor="text1"/>
        </w:rPr>
      </w:pPr>
      <w:proofErr w:type="spellStart"/>
      <w:r w:rsidRPr="001D6288">
        <w:rPr>
          <w:rFonts w:asciiTheme="minorHAnsi" w:hAnsiTheme="minorHAnsi" w:cstheme="minorHAnsi"/>
          <w:color w:val="000000" w:themeColor="text1"/>
        </w:rPr>
        <w:t>Shandomo</w:t>
      </w:r>
      <w:proofErr w:type="spellEnd"/>
      <w:r w:rsidRPr="001D6288">
        <w:rPr>
          <w:rFonts w:asciiTheme="minorHAnsi" w:hAnsiTheme="minorHAnsi" w:cstheme="minorHAnsi"/>
          <w:color w:val="000000" w:themeColor="text1"/>
        </w:rPr>
        <w:t>, H.M. (2010). "The role of critical reflection in teacher education.", </w:t>
      </w:r>
      <w:r w:rsidRPr="001D6288">
        <w:rPr>
          <w:rFonts w:asciiTheme="minorHAnsi" w:hAnsiTheme="minorHAnsi" w:cstheme="minorHAnsi"/>
          <w:i/>
          <w:iCs/>
          <w:color w:val="000000" w:themeColor="text1"/>
        </w:rPr>
        <w:t>School-University Partnerships, </w:t>
      </w:r>
      <w:r w:rsidRPr="001D6288">
        <w:rPr>
          <w:rFonts w:asciiTheme="minorHAnsi" w:hAnsiTheme="minorHAnsi" w:cstheme="minorHAnsi"/>
          <w:color w:val="000000" w:themeColor="text1"/>
        </w:rPr>
        <w:t>4(1), pp. 101-113.</w:t>
      </w:r>
    </w:p>
    <w:p w14:paraId="3D56566D" w14:textId="77777777" w:rsidR="001D6288" w:rsidRPr="001D6288" w:rsidRDefault="001D6288" w:rsidP="001D6288">
      <w:pPr>
        <w:pStyle w:val="NormalWeb"/>
        <w:shd w:val="clear" w:color="auto" w:fill="FFFFFF"/>
        <w:spacing w:before="0" w:beforeAutospacing="0" w:after="173" w:afterAutospacing="0" w:line="360" w:lineRule="auto"/>
        <w:ind w:left="720" w:hanging="720"/>
        <w:rPr>
          <w:rFonts w:asciiTheme="minorHAnsi" w:hAnsiTheme="minorHAnsi" w:cstheme="minorHAnsi"/>
          <w:color w:val="000000" w:themeColor="text1"/>
        </w:rPr>
      </w:pPr>
      <w:proofErr w:type="spellStart"/>
      <w:r w:rsidRPr="001D6288">
        <w:rPr>
          <w:rFonts w:asciiTheme="minorHAnsi" w:hAnsiTheme="minorHAnsi" w:cstheme="minorHAnsi"/>
          <w:color w:val="000000" w:themeColor="text1"/>
        </w:rPr>
        <w:t>Soodla</w:t>
      </w:r>
      <w:proofErr w:type="spellEnd"/>
      <w:r w:rsidRPr="001D6288">
        <w:rPr>
          <w:rFonts w:asciiTheme="minorHAnsi" w:hAnsiTheme="minorHAnsi" w:cstheme="minorHAnsi"/>
          <w:color w:val="000000" w:themeColor="text1"/>
        </w:rPr>
        <w:t xml:space="preserve">, P., </w:t>
      </w:r>
      <w:proofErr w:type="spellStart"/>
      <w:r w:rsidRPr="001D6288">
        <w:rPr>
          <w:rFonts w:asciiTheme="minorHAnsi" w:hAnsiTheme="minorHAnsi" w:cstheme="minorHAnsi"/>
          <w:color w:val="000000" w:themeColor="text1"/>
        </w:rPr>
        <w:t>Jõgi</w:t>
      </w:r>
      <w:proofErr w:type="spellEnd"/>
      <w:r w:rsidRPr="001D6288">
        <w:rPr>
          <w:rFonts w:asciiTheme="minorHAnsi" w:hAnsiTheme="minorHAnsi" w:cstheme="minorHAnsi"/>
          <w:color w:val="000000" w:themeColor="text1"/>
        </w:rPr>
        <w:t xml:space="preserve">, A. &amp; </w:t>
      </w:r>
      <w:proofErr w:type="spellStart"/>
      <w:r w:rsidRPr="001D6288">
        <w:rPr>
          <w:rFonts w:asciiTheme="minorHAnsi" w:hAnsiTheme="minorHAnsi" w:cstheme="minorHAnsi"/>
          <w:color w:val="000000" w:themeColor="text1"/>
        </w:rPr>
        <w:t>Kikas</w:t>
      </w:r>
      <w:proofErr w:type="spellEnd"/>
      <w:r w:rsidRPr="001D6288">
        <w:rPr>
          <w:rFonts w:asciiTheme="minorHAnsi" w:hAnsiTheme="minorHAnsi" w:cstheme="minorHAnsi"/>
          <w:color w:val="000000" w:themeColor="text1"/>
        </w:rPr>
        <w:t>, E. (2017), "Relationships between teachers’ metacognitive knowledge and students’ metacognitive knowledge and reading achievement", </w:t>
      </w:r>
      <w:r w:rsidRPr="001D6288">
        <w:rPr>
          <w:rFonts w:asciiTheme="minorHAnsi" w:hAnsiTheme="minorHAnsi" w:cstheme="minorHAnsi"/>
          <w:i/>
          <w:iCs/>
          <w:color w:val="000000" w:themeColor="text1"/>
        </w:rPr>
        <w:t>European Journal of Psychology of Education,</w:t>
      </w:r>
      <w:r w:rsidRPr="001D6288">
        <w:rPr>
          <w:rFonts w:asciiTheme="minorHAnsi" w:hAnsiTheme="minorHAnsi" w:cstheme="minorHAnsi"/>
          <w:color w:val="000000" w:themeColor="text1"/>
        </w:rPr>
        <w:t xml:space="preserve"> 32(2), pp. 201-218.</w:t>
      </w:r>
    </w:p>
    <w:p w14:paraId="343E6E7D" w14:textId="77777777" w:rsidR="001D6288" w:rsidRPr="001D6288" w:rsidRDefault="001D6288" w:rsidP="001D6288">
      <w:pPr>
        <w:pStyle w:val="NormalWeb"/>
        <w:shd w:val="clear" w:color="auto" w:fill="FFFFFF"/>
        <w:spacing w:before="0" w:beforeAutospacing="0" w:after="173" w:afterAutospacing="0" w:line="360" w:lineRule="auto"/>
        <w:ind w:left="720" w:hanging="720"/>
        <w:rPr>
          <w:rFonts w:asciiTheme="minorHAnsi" w:hAnsiTheme="minorHAnsi" w:cstheme="minorHAnsi"/>
          <w:color w:val="000000" w:themeColor="text1"/>
        </w:rPr>
      </w:pPr>
      <w:proofErr w:type="spellStart"/>
      <w:r w:rsidRPr="001D6288">
        <w:rPr>
          <w:rFonts w:asciiTheme="minorHAnsi" w:hAnsiTheme="minorHAnsi" w:cstheme="minorHAnsi"/>
          <w:color w:val="000000" w:themeColor="text1"/>
        </w:rPr>
        <w:t>Șuteu</w:t>
      </w:r>
      <w:proofErr w:type="spellEnd"/>
      <w:r w:rsidRPr="001D6288">
        <w:rPr>
          <w:rFonts w:asciiTheme="minorHAnsi" w:hAnsiTheme="minorHAnsi" w:cstheme="minorHAnsi"/>
          <w:color w:val="000000" w:themeColor="text1"/>
        </w:rPr>
        <w:t>, l. (2021), "Teachers' beliefs about classroom practices that develop students’ metacognition and self-regulated learning skills", Acta</w:t>
      </w:r>
      <w:r w:rsidRPr="001D6288">
        <w:rPr>
          <w:rFonts w:asciiTheme="minorHAnsi" w:hAnsiTheme="minorHAnsi" w:cstheme="minorHAnsi"/>
          <w:i/>
          <w:iCs/>
          <w:color w:val="000000" w:themeColor="text1"/>
        </w:rPr>
        <w:t xml:space="preserve"> </w:t>
      </w:r>
      <w:proofErr w:type="spellStart"/>
      <w:r w:rsidRPr="001D6288">
        <w:rPr>
          <w:rFonts w:asciiTheme="minorHAnsi" w:hAnsiTheme="minorHAnsi" w:cstheme="minorHAnsi"/>
          <w:i/>
          <w:iCs/>
          <w:color w:val="000000" w:themeColor="text1"/>
        </w:rPr>
        <w:t>Didactica</w:t>
      </w:r>
      <w:proofErr w:type="spellEnd"/>
      <w:r w:rsidRPr="001D6288">
        <w:rPr>
          <w:rFonts w:asciiTheme="minorHAnsi" w:hAnsiTheme="minorHAnsi" w:cstheme="minorHAnsi"/>
          <w:i/>
          <w:iCs/>
          <w:color w:val="000000" w:themeColor="text1"/>
        </w:rPr>
        <w:t xml:space="preserve"> </w:t>
      </w:r>
      <w:proofErr w:type="spellStart"/>
      <w:r w:rsidRPr="001D6288">
        <w:rPr>
          <w:rFonts w:asciiTheme="minorHAnsi" w:hAnsiTheme="minorHAnsi" w:cstheme="minorHAnsi"/>
          <w:i/>
          <w:iCs/>
          <w:color w:val="000000" w:themeColor="text1"/>
        </w:rPr>
        <w:t>Napocensia</w:t>
      </w:r>
      <w:proofErr w:type="spellEnd"/>
      <w:r w:rsidRPr="001D6288">
        <w:rPr>
          <w:rFonts w:asciiTheme="minorHAnsi" w:hAnsiTheme="minorHAnsi" w:cstheme="minorHAnsi"/>
          <w:i/>
          <w:iCs/>
          <w:color w:val="000000" w:themeColor="text1"/>
        </w:rPr>
        <w:t>, </w:t>
      </w:r>
      <w:r w:rsidRPr="001D6288">
        <w:rPr>
          <w:rFonts w:asciiTheme="minorHAnsi" w:hAnsiTheme="minorHAnsi" w:cstheme="minorHAnsi"/>
          <w:color w:val="000000" w:themeColor="text1"/>
        </w:rPr>
        <w:t>14(1).</w:t>
      </w:r>
    </w:p>
    <w:p w14:paraId="5A21718C" w14:textId="77777777" w:rsidR="001D6288" w:rsidRPr="001D6288" w:rsidRDefault="001D6288" w:rsidP="001D6288">
      <w:pPr>
        <w:pStyle w:val="NormalWeb"/>
        <w:shd w:val="clear" w:color="auto" w:fill="FFFFFF"/>
        <w:spacing w:before="0" w:beforeAutospacing="0" w:after="173" w:afterAutospacing="0" w:line="360" w:lineRule="auto"/>
        <w:ind w:left="720" w:hanging="720"/>
        <w:rPr>
          <w:rFonts w:asciiTheme="minorHAnsi" w:hAnsiTheme="minorHAnsi" w:cstheme="minorHAnsi"/>
          <w:color w:val="000000" w:themeColor="text1"/>
        </w:rPr>
      </w:pPr>
      <w:proofErr w:type="spellStart"/>
      <w:r w:rsidRPr="001D6288">
        <w:rPr>
          <w:rFonts w:asciiTheme="minorHAnsi" w:hAnsiTheme="minorHAnsi" w:cstheme="minorHAnsi"/>
          <w:color w:val="000000" w:themeColor="text1"/>
        </w:rPr>
        <w:t>Sweller</w:t>
      </w:r>
      <w:proofErr w:type="spellEnd"/>
      <w:r w:rsidRPr="001D6288">
        <w:rPr>
          <w:rFonts w:asciiTheme="minorHAnsi" w:hAnsiTheme="minorHAnsi" w:cstheme="minorHAnsi"/>
          <w:color w:val="000000" w:themeColor="text1"/>
        </w:rPr>
        <w:t>, J. (1988), "Cognitive load during problem solving: Effects on learning", </w:t>
      </w:r>
      <w:r w:rsidRPr="001D6288">
        <w:rPr>
          <w:rFonts w:asciiTheme="minorHAnsi" w:hAnsiTheme="minorHAnsi" w:cstheme="minorHAnsi"/>
          <w:i/>
          <w:iCs/>
          <w:color w:val="000000" w:themeColor="text1"/>
        </w:rPr>
        <w:t>Cognitive science, </w:t>
      </w:r>
      <w:r w:rsidRPr="001D6288">
        <w:rPr>
          <w:rFonts w:asciiTheme="minorHAnsi" w:hAnsiTheme="minorHAnsi" w:cstheme="minorHAnsi"/>
          <w:color w:val="000000" w:themeColor="text1"/>
        </w:rPr>
        <w:t>12(2), pp. 257-285.</w:t>
      </w:r>
    </w:p>
    <w:p w14:paraId="500DF448" w14:textId="77777777" w:rsidR="001D6288" w:rsidRPr="001D6288" w:rsidRDefault="001D6288" w:rsidP="001D6288">
      <w:pPr>
        <w:pStyle w:val="NormalWeb"/>
        <w:shd w:val="clear" w:color="auto" w:fill="FFFFFF"/>
        <w:spacing w:before="0" w:beforeAutospacing="0" w:after="173" w:afterAutospacing="0" w:line="360" w:lineRule="auto"/>
        <w:ind w:left="720" w:hanging="720"/>
        <w:rPr>
          <w:rFonts w:asciiTheme="minorHAnsi" w:hAnsiTheme="minorHAnsi" w:cstheme="minorHAnsi"/>
          <w:color w:val="000000" w:themeColor="text1"/>
        </w:rPr>
      </w:pPr>
      <w:proofErr w:type="spellStart"/>
      <w:r w:rsidRPr="001D6288">
        <w:rPr>
          <w:rFonts w:asciiTheme="minorHAnsi" w:hAnsiTheme="minorHAnsi" w:cstheme="minorHAnsi"/>
          <w:color w:val="000000" w:themeColor="text1"/>
        </w:rPr>
        <w:t>Tarchi</w:t>
      </w:r>
      <w:proofErr w:type="spellEnd"/>
      <w:r w:rsidRPr="001D6288">
        <w:rPr>
          <w:rFonts w:asciiTheme="minorHAnsi" w:hAnsiTheme="minorHAnsi" w:cstheme="minorHAnsi"/>
          <w:color w:val="000000" w:themeColor="text1"/>
        </w:rPr>
        <w:t>, C. (2015), "Fostering reading comprehension of expository texts through the activation of readers’ prior knowledge and inference-making skills", </w:t>
      </w:r>
      <w:r w:rsidRPr="001D6288">
        <w:rPr>
          <w:rFonts w:asciiTheme="minorHAnsi" w:hAnsiTheme="minorHAnsi" w:cstheme="minorHAnsi"/>
          <w:i/>
          <w:iCs/>
          <w:color w:val="000000" w:themeColor="text1"/>
        </w:rPr>
        <w:t>International Journal of Educational Research, </w:t>
      </w:r>
      <w:r w:rsidRPr="001D6288">
        <w:rPr>
          <w:rFonts w:asciiTheme="minorHAnsi" w:hAnsiTheme="minorHAnsi" w:cstheme="minorHAnsi"/>
          <w:color w:val="000000" w:themeColor="text1"/>
        </w:rPr>
        <w:t>72, pp. 80-88.</w:t>
      </w:r>
    </w:p>
    <w:p w14:paraId="426141A0" w14:textId="77777777" w:rsidR="001D6288" w:rsidRPr="001D6288" w:rsidRDefault="001D6288" w:rsidP="001D6288">
      <w:pPr>
        <w:pStyle w:val="NormalWeb"/>
        <w:shd w:val="clear" w:color="auto" w:fill="FFFFFF"/>
        <w:spacing w:before="0" w:beforeAutospacing="0" w:after="173" w:afterAutospacing="0" w:line="360" w:lineRule="auto"/>
        <w:ind w:left="720" w:hanging="720"/>
        <w:rPr>
          <w:rFonts w:asciiTheme="minorHAnsi" w:hAnsiTheme="minorHAnsi" w:cstheme="minorHAnsi"/>
          <w:color w:val="000000" w:themeColor="text1"/>
        </w:rPr>
      </w:pPr>
      <w:r w:rsidRPr="001D6288">
        <w:rPr>
          <w:rFonts w:asciiTheme="minorHAnsi" w:hAnsiTheme="minorHAnsi" w:cstheme="minorHAnsi"/>
          <w:color w:val="000000" w:themeColor="text1"/>
        </w:rPr>
        <w:t>Tarrant, P. (2013), </w:t>
      </w:r>
      <w:r w:rsidRPr="001D6288">
        <w:rPr>
          <w:rFonts w:asciiTheme="minorHAnsi" w:hAnsiTheme="minorHAnsi" w:cstheme="minorHAnsi"/>
          <w:i/>
          <w:iCs/>
          <w:color w:val="000000" w:themeColor="text1"/>
        </w:rPr>
        <w:t>Reflective Practice and Professional Development, </w:t>
      </w:r>
      <w:r w:rsidRPr="001D6288">
        <w:rPr>
          <w:rFonts w:asciiTheme="minorHAnsi" w:hAnsiTheme="minorHAnsi" w:cstheme="minorHAnsi"/>
          <w:color w:val="000000" w:themeColor="text1"/>
        </w:rPr>
        <w:t>SAGE Publications, Limited, London.</w:t>
      </w:r>
    </w:p>
    <w:p w14:paraId="281F7E4E" w14:textId="77777777" w:rsidR="001D6288" w:rsidRPr="001D6288" w:rsidRDefault="001D6288" w:rsidP="001D6288">
      <w:pPr>
        <w:pStyle w:val="NormalWeb"/>
        <w:shd w:val="clear" w:color="auto" w:fill="FFFFFF"/>
        <w:spacing w:after="173" w:line="360" w:lineRule="auto"/>
        <w:ind w:left="720" w:hanging="720"/>
        <w:rPr>
          <w:rFonts w:asciiTheme="minorHAnsi" w:hAnsiTheme="minorHAnsi" w:cstheme="minorHAnsi"/>
          <w:color w:val="000000" w:themeColor="text1"/>
        </w:rPr>
      </w:pPr>
      <w:r w:rsidRPr="001D6288">
        <w:rPr>
          <w:rFonts w:asciiTheme="minorHAnsi" w:hAnsiTheme="minorHAnsi" w:cstheme="minorHAnsi"/>
          <w:color w:val="000000" w:themeColor="text1"/>
        </w:rPr>
        <w:lastRenderedPageBreak/>
        <w:t>The Open University (</w:t>
      </w:r>
      <w:proofErr w:type="spellStart"/>
      <w:r w:rsidRPr="001D6288">
        <w:rPr>
          <w:rFonts w:asciiTheme="minorHAnsi" w:hAnsiTheme="minorHAnsi" w:cstheme="minorHAnsi"/>
          <w:color w:val="000000" w:themeColor="text1"/>
        </w:rPr>
        <w:t>n.d</w:t>
      </w:r>
      <w:proofErr w:type="spellEnd"/>
      <w:r w:rsidRPr="001D6288">
        <w:rPr>
          <w:rFonts w:asciiTheme="minorHAnsi" w:hAnsiTheme="minorHAnsi" w:cstheme="minorHAnsi"/>
          <w:color w:val="000000" w:themeColor="text1"/>
        </w:rPr>
        <w:t xml:space="preserve">) </w:t>
      </w:r>
      <w:r w:rsidRPr="001D6288">
        <w:rPr>
          <w:rFonts w:asciiTheme="minorHAnsi" w:hAnsiTheme="minorHAnsi" w:cstheme="minorHAnsi"/>
          <w:i/>
          <w:iCs/>
          <w:color w:val="000000" w:themeColor="text1"/>
        </w:rPr>
        <w:t xml:space="preserve">Learning to </w:t>
      </w:r>
      <w:proofErr w:type="gramStart"/>
      <w:r w:rsidRPr="001D6288">
        <w:rPr>
          <w:rFonts w:asciiTheme="minorHAnsi" w:hAnsiTheme="minorHAnsi" w:cstheme="minorHAnsi"/>
          <w:i/>
          <w:iCs/>
          <w:color w:val="000000" w:themeColor="text1"/>
        </w:rPr>
        <w:t>teach:</w:t>
      </w:r>
      <w:proofErr w:type="gramEnd"/>
      <w:r w:rsidRPr="001D6288">
        <w:rPr>
          <w:rFonts w:asciiTheme="minorHAnsi" w:hAnsiTheme="minorHAnsi" w:cstheme="minorHAnsi"/>
          <w:i/>
          <w:iCs/>
          <w:color w:val="000000" w:themeColor="text1"/>
        </w:rPr>
        <w:t xml:space="preserve"> becoming a reflective practitioner. </w:t>
      </w:r>
      <w:r w:rsidRPr="001D6288">
        <w:rPr>
          <w:rFonts w:asciiTheme="minorHAnsi" w:hAnsiTheme="minorHAnsi" w:cstheme="minorHAnsi"/>
          <w:color w:val="000000" w:themeColor="text1"/>
        </w:rPr>
        <w:t xml:space="preserve">Available at </w:t>
      </w:r>
      <w:hyperlink r:id="rId16" w:history="1">
        <w:r w:rsidRPr="001D6288">
          <w:rPr>
            <w:rStyle w:val="Hyperlink"/>
            <w:rFonts w:asciiTheme="minorHAnsi" w:hAnsiTheme="minorHAnsi" w:cstheme="minorHAnsi"/>
            <w:color w:val="000000" w:themeColor="text1"/>
          </w:rPr>
          <w:t>https://www.open.edu/openlearn/education-development/learning-teach-becoming-reflective-practitioner/content-section-2.1</w:t>
        </w:r>
      </w:hyperlink>
      <w:r w:rsidRPr="001D6288">
        <w:rPr>
          <w:rFonts w:asciiTheme="minorHAnsi" w:hAnsiTheme="minorHAnsi" w:cstheme="minorHAnsi"/>
          <w:color w:val="000000" w:themeColor="text1"/>
        </w:rPr>
        <w:t xml:space="preserve"> </w:t>
      </w:r>
    </w:p>
    <w:p w14:paraId="5B3D2E62" w14:textId="77777777" w:rsidR="001D6288" w:rsidRPr="001D6288" w:rsidRDefault="001D6288" w:rsidP="001D6288">
      <w:pPr>
        <w:pStyle w:val="NormalWeb"/>
        <w:shd w:val="clear" w:color="auto" w:fill="FFFFFF"/>
        <w:spacing w:before="0" w:beforeAutospacing="0" w:after="173" w:afterAutospacing="0" w:line="360" w:lineRule="auto"/>
        <w:ind w:left="720" w:hanging="720"/>
        <w:rPr>
          <w:rFonts w:asciiTheme="minorHAnsi" w:hAnsiTheme="minorHAnsi" w:cstheme="minorHAnsi"/>
          <w:color w:val="000000" w:themeColor="text1"/>
        </w:rPr>
      </w:pPr>
      <w:r w:rsidRPr="001D6288">
        <w:rPr>
          <w:rFonts w:asciiTheme="minorHAnsi" w:hAnsiTheme="minorHAnsi" w:cstheme="minorHAnsi"/>
          <w:color w:val="000000" w:themeColor="text1"/>
        </w:rPr>
        <w:t>Tripp, D. (2011), </w:t>
      </w:r>
      <w:r w:rsidRPr="001D6288">
        <w:rPr>
          <w:rFonts w:asciiTheme="minorHAnsi" w:hAnsiTheme="minorHAnsi" w:cstheme="minorHAnsi"/>
          <w:i/>
          <w:iCs/>
          <w:color w:val="000000" w:themeColor="text1"/>
        </w:rPr>
        <w:t>Critical Incidents in Teaching (Classic Edition): Developing Professional Judgement, </w:t>
      </w:r>
      <w:r w:rsidRPr="001D6288">
        <w:rPr>
          <w:rFonts w:asciiTheme="minorHAnsi" w:hAnsiTheme="minorHAnsi" w:cstheme="minorHAnsi"/>
          <w:color w:val="000000" w:themeColor="text1"/>
        </w:rPr>
        <w:t>Taylor &amp; Francis Group, London.</w:t>
      </w:r>
    </w:p>
    <w:p w14:paraId="55293A58" w14:textId="77777777" w:rsidR="001D6288" w:rsidRPr="001D6288" w:rsidRDefault="001D6288" w:rsidP="001D6288">
      <w:pPr>
        <w:pStyle w:val="NormalWeb"/>
        <w:shd w:val="clear" w:color="auto" w:fill="FFFFFF"/>
        <w:spacing w:before="0" w:beforeAutospacing="0" w:after="173" w:afterAutospacing="0" w:line="360" w:lineRule="auto"/>
        <w:ind w:left="720" w:hanging="720"/>
        <w:rPr>
          <w:rFonts w:asciiTheme="minorHAnsi" w:hAnsiTheme="minorHAnsi" w:cstheme="minorHAnsi"/>
          <w:color w:val="000000" w:themeColor="text1"/>
        </w:rPr>
      </w:pPr>
      <w:proofErr w:type="spellStart"/>
      <w:r w:rsidRPr="001D6288">
        <w:rPr>
          <w:rFonts w:asciiTheme="minorHAnsi" w:hAnsiTheme="minorHAnsi" w:cstheme="minorHAnsi"/>
          <w:color w:val="000000" w:themeColor="text1"/>
        </w:rPr>
        <w:t>Veenman</w:t>
      </w:r>
      <w:proofErr w:type="spellEnd"/>
      <w:r w:rsidRPr="001D6288">
        <w:rPr>
          <w:rFonts w:asciiTheme="minorHAnsi" w:hAnsiTheme="minorHAnsi" w:cstheme="minorHAnsi"/>
          <w:color w:val="000000" w:themeColor="text1"/>
        </w:rPr>
        <w:t xml:space="preserve">, M.V.J., Van </w:t>
      </w:r>
      <w:proofErr w:type="spellStart"/>
      <w:r w:rsidRPr="001D6288">
        <w:rPr>
          <w:rFonts w:asciiTheme="minorHAnsi" w:hAnsiTheme="minorHAnsi" w:cstheme="minorHAnsi"/>
          <w:color w:val="000000" w:themeColor="text1"/>
        </w:rPr>
        <w:t>Hout</w:t>
      </w:r>
      <w:proofErr w:type="spellEnd"/>
      <w:r w:rsidRPr="001D6288">
        <w:rPr>
          <w:rFonts w:asciiTheme="minorHAnsi" w:hAnsiTheme="minorHAnsi" w:cstheme="minorHAnsi"/>
          <w:color w:val="000000" w:themeColor="text1"/>
        </w:rPr>
        <w:t xml:space="preserve">-Wolters, B.H.A.M. &amp; </w:t>
      </w:r>
      <w:proofErr w:type="spellStart"/>
      <w:r w:rsidRPr="001D6288">
        <w:rPr>
          <w:rFonts w:asciiTheme="minorHAnsi" w:hAnsiTheme="minorHAnsi" w:cstheme="minorHAnsi"/>
          <w:color w:val="000000" w:themeColor="text1"/>
        </w:rPr>
        <w:t>Afflerbach</w:t>
      </w:r>
      <w:proofErr w:type="spellEnd"/>
      <w:r w:rsidRPr="001D6288">
        <w:rPr>
          <w:rFonts w:asciiTheme="minorHAnsi" w:hAnsiTheme="minorHAnsi" w:cstheme="minorHAnsi"/>
          <w:color w:val="000000" w:themeColor="text1"/>
        </w:rPr>
        <w:t>, P. (2006), "Metacognition and learning: conceptual and methodological considerations", </w:t>
      </w:r>
      <w:r w:rsidRPr="001D6288">
        <w:rPr>
          <w:rFonts w:asciiTheme="minorHAnsi" w:hAnsiTheme="minorHAnsi" w:cstheme="minorHAnsi"/>
          <w:i/>
          <w:iCs/>
          <w:color w:val="000000" w:themeColor="text1"/>
        </w:rPr>
        <w:t xml:space="preserve">Metacognition and Learning, </w:t>
      </w:r>
      <w:r w:rsidRPr="001D6288">
        <w:rPr>
          <w:rFonts w:asciiTheme="minorHAnsi" w:hAnsiTheme="minorHAnsi" w:cstheme="minorHAnsi"/>
          <w:color w:val="000000" w:themeColor="text1"/>
        </w:rPr>
        <w:t>1(1), pp. 3-14.</w:t>
      </w:r>
    </w:p>
    <w:p w14:paraId="29B02C85" w14:textId="77777777" w:rsidR="001D6288" w:rsidRPr="001D6288" w:rsidRDefault="001D6288" w:rsidP="001D6288">
      <w:pPr>
        <w:pStyle w:val="NormalWeb"/>
        <w:shd w:val="clear" w:color="auto" w:fill="FFFFFF"/>
        <w:spacing w:before="0" w:beforeAutospacing="0" w:after="173" w:afterAutospacing="0" w:line="360" w:lineRule="auto"/>
        <w:ind w:left="720" w:hanging="720"/>
        <w:rPr>
          <w:rFonts w:asciiTheme="minorHAnsi" w:hAnsiTheme="minorHAnsi" w:cstheme="minorHAnsi"/>
          <w:color w:val="000000" w:themeColor="text1"/>
        </w:rPr>
      </w:pPr>
      <w:proofErr w:type="spellStart"/>
      <w:r w:rsidRPr="001D6288">
        <w:rPr>
          <w:rFonts w:asciiTheme="minorHAnsi" w:hAnsiTheme="minorHAnsi" w:cstheme="minorHAnsi"/>
          <w:color w:val="000000" w:themeColor="text1"/>
        </w:rPr>
        <w:t>Veenman</w:t>
      </w:r>
      <w:proofErr w:type="spellEnd"/>
      <w:r w:rsidRPr="001D6288">
        <w:rPr>
          <w:rFonts w:asciiTheme="minorHAnsi" w:hAnsiTheme="minorHAnsi" w:cstheme="minorHAnsi"/>
          <w:color w:val="000000" w:themeColor="text1"/>
        </w:rPr>
        <w:t xml:space="preserve">, M.V.J., Wilhelm, P. &amp; </w:t>
      </w:r>
      <w:proofErr w:type="spellStart"/>
      <w:r w:rsidRPr="001D6288">
        <w:rPr>
          <w:rFonts w:asciiTheme="minorHAnsi" w:hAnsiTheme="minorHAnsi" w:cstheme="minorHAnsi"/>
          <w:color w:val="000000" w:themeColor="text1"/>
        </w:rPr>
        <w:t>Beishuizen</w:t>
      </w:r>
      <w:proofErr w:type="spellEnd"/>
      <w:r w:rsidRPr="001D6288">
        <w:rPr>
          <w:rFonts w:asciiTheme="minorHAnsi" w:hAnsiTheme="minorHAnsi" w:cstheme="minorHAnsi"/>
          <w:color w:val="000000" w:themeColor="text1"/>
        </w:rPr>
        <w:t>, J.J. (2004), "The relation between intellectual and metacognitive skills from a developmental perspective", </w:t>
      </w:r>
      <w:r w:rsidRPr="001D6288">
        <w:rPr>
          <w:rFonts w:asciiTheme="minorHAnsi" w:hAnsiTheme="minorHAnsi" w:cstheme="minorHAnsi"/>
          <w:i/>
          <w:iCs/>
          <w:color w:val="000000" w:themeColor="text1"/>
        </w:rPr>
        <w:t>Learning and Instruction,</w:t>
      </w:r>
      <w:r w:rsidRPr="001D6288">
        <w:rPr>
          <w:rFonts w:asciiTheme="minorHAnsi" w:hAnsiTheme="minorHAnsi" w:cstheme="minorHAnsi"/>
          <w:color w:val="000000" w:themeColor="text1"/>
        </w:rPr>
        <w:t xml:space="preserve"> 14(1), pp. 89-109.</w:t>
      </w:r>
    </w:p>
    <w:p w14:paraId="66A8A908" w14:textId="77777777" w:rsidR="001D6288" w:rsidRPr="001D6288" w:rsidRDefault="001D6288" w:rsidP="001D6288">
      <w:pPr>
        <w:pStyle w:val="NormalWeb"/>
        <w:shd w:val="clear" w:color="auto" w:fill="FFFFFF"/>
        <w:spacing w:after="173" w:line="360" w:lineRule="auto"/>
        <w:ind w:left="720" w:hanging="720"/>
        <w:rPr>
          <w:rFonts w:asciiTheme="minorHAnsi" w:hAnsiTheme="minorHAnsi" w:cstheme="minorHAnsi"/>
          <w:color w:val="000000" w:themeColor="text1"/>
        </w:rPr>
      </w:pPr>
      <w:r w:rsidRPr="00B31940">
        <w:rPr>
          <w:rFonts w:asciiTheme="minorHAnsi" w:hAnsiTheme="minorHAnsi" w:cstheme="minorHAnsi"/>
          <w:color w:val="000000" w:themeColor="text1"/>
        </w:rPr>
        <w:t xml:space="preserve">Welsh Government (2017). Professional standards for teaching and leadership. Retrieved from </w:t>
      </w:r>
      <w:hyperlink r:id="rId17" w:history="1">
        <w:r w:rsidRPr="00B31940">
          <w:rPr>
            <w:rStyle w:val="Hyperlink"/>
            <w:rFonts w:asciiTheme="minorHAnsi" w:hAnsiTheme="minorHAnsi" w:cstheme="minorHAnsi"/>
            <w:color w:val="000000" w:themeColor="text1"/>
          </w:rPr>
          <w:t>https://hwb.gov.wales/professional-development/professional-standards</w:t>
        </w:r>
      </w:hyperlink>
      <w:r w:rsidRPr="00B31940">
        <w:rPr>
          <w:rFonts w:asciiTheme="minorHAnsi" w:hAnsiTheme="minorHAnsi" w:cstheme="minorHAnsi"/>
          <w:color w:val="000000" w:themeColor="text1"/>
        </w:rPr>
        <w:t xml:space="preserve"> </w:t>
      </w:r>
    </w:p>
    <w:p w14:paraId="6F697304" w14:textId="77777777" w:rsidR="001D6288" w:rsidRPr="001D6288" w:rsidRDefault="001D6288" w:rsidP="001D6288">
      <w:pPr>
        <w:pStyle w:val="NormalWeb"/>
        <w:shd w:val="clear" w:color="auto" w:fill="FFFFFF"/>
        <w:spacing w:after="173" w:line="360" w:lineRule="auto"/>
        <w:ind w:left="720" w:hanging="720"/>
        <w:rPr>
          <w:rFonts w:asciiTheme="minorHAnsi" w:hAnsiTheme="minorHAnsi" w:cstheme="minorHAnsi"/>
          <w:color w:val="000000" w:themeColor="text1"/>
        </w:rPr>
      </w:pPr>
      <w:r w:rsidRPr="00B31940">
        <w:rPr>
          <w:rFonts w:asciiTheme="minorHAnsi" w:hAnsiTheme="minorHAnsi" w:cstheme="minorHAnsi"/>
          <w:color w:val="000000" w:themeColor="text1"/>
        </w:rPr>
        <w:t>Welsh Government (2018). Evaluation report on capacity building approaches to support the delivery of English as an additional language in Wales. Retrieved from</w:t>
      </w:r>
      <w:r w:rsidRPr="001D6288">
        <w:rPr>
          <w:rFonts w:asciiTheme="minorHAnsi" w:hAnsiTheme="minorHAnsi" w:cstheme="minorHAnsi"/>
          <w:color w:val="000000" w:themeColor="text1"/>
        </w:rPr>
        <w:t xml:space="preserve"> </w:t>
      </w:r>
      <w:hyperlink r:id="rId18" w:history="1">
        <w:r w:rsidRPr="00B31940">
          <w:rPr>
            <w:rStyle w:val="Hyperlink"/>
            <w:rFonts w:asciiTheme="minorHAnsi" w:hAnsiTheme="minorHAnsi" w:cstheme="minorHAnsi"/>
            <w:color w:val="000000" w:themeColor="text1"/>
          </w:rPr>
          <w:t>https://gov.wales/sites/default/</w:t>
        </w:r>
        <w:r w:rsidRPr="00B31940">
          <w:rPr>
            <w:rStyle w:val="Hyperlink"/>
            <w:rFonts w:asciiTheme="minorHAnsi" w:hAnsiTheme="minorHAnsi" w:cstheme="minorHAnsi"/>
            <w:color w:val="000000" w:themeColor="text1"/>
          </w:rPr>
          <w:t>f</w:t>
        </w:r>
        <w:r w:rsidRPr="00B31940">
          <w:rPr>
            <w:rStyle w:val="Hyperlink"/>
            <w:rFonts w:asciiTheme="minorHAnsi" w:hAnsiTheme="minorHAnsi" w:cstheme="minorHAnsi"/>
            <w:color w:val="000000" w:themeColor="text1"/>
          </w:rPr>
          <w:t>iles/publications/2018-11/evaluation-report-on-capacity-building-appr</w:t>
        </w:r>
        <w:r w:rsidRPr="00B31940">
          <w:rPr>
            <w:rStyle w:val="Hyperlink"/>
            <w:rFonts w:asciiTheme="minorHAnsi" w:hAnsiTheme="minorHAnsi" w:cstheme="minorHAnsi"/>
            <w:color w:val="000000" w:themeColor="text1"/>
          </w:rPr>
          <w:t>o</w:t>
        </w:r>
        <w:r w:rsidRPr="00B31940">
          <w:rPr>
            <w:rStyle w:val="Hyperlink"/>
            <w:rFonts w:asciiTheme="minorHAnsi" w:hAnsiTheme="minorHAnsi" w:cstheme="minorHAnsi"/>
            <w:color w:val="000000" w:themeColor="text1"/>
          </w:rPr>
          <w:t>aches-t</w:t>
        </w:r>
        <w:r w:rsidRPr="00B31940">
          <w:rPr>
            <w:rStyle w:val="Hyperlink"/>
            <w:rFonts w:asciiTheme="minorHAnsi" w:hAnsiTheme="minorHAnsi" w:cstheme="minorHAnsi"/>
            <w:color w:val="000000" w:themeColor="text1"/>
          </w:rPr>
          <w:t>o</w:t>
        </w:r>
        <w:r w:rsidRPr="00B31940">
          <w:rPr>
            <w:rStyle w:val="Hyperlink"/>
            <w:rFonts w:asciiTheme="minorHAnsi" w:hAnsiTheme="minorHAnsi" w:cstheme="minorHAnsi"/>
            <w:color w:val="000000" w:themeColor="text1"/>
          </w:rPr>
          <w:t>-support-the-delivery-of-english-as-an-additional-language-in-wales.pdf</w:t>
        </w:r>
      </w:hyperlink>
      <w:r w:rsidRPr="00B31940">
        <w:rPr>
          <w:rFonts w:asciiTheme="minorHAnsi" w:hAnsiTheme="minorHAnsi" w:cstheme="minorHAnsi"/>
          <w:color w:val="000000" w:themeColor="text1"/>
        </w:rPr>
        <w:t xml:space="preserve"> </w:t>
      </w:r>
    </w:p>
    <w:p w14:paraId="3B6E5BDC" w14:textId="77777777" w:rsidR="001D6288" w:rsidRPr="001D6288" w:rsidRDefault="001D6288" w:rsidP="001D6288">
      <w:pPr>
        <w:pStyle w:val="NormalWeb"/>
        <w:shd w:val="clear" w:color="auto" w:fill="FFFFFF"/>
        <w:spacing w:after="173" w:line="360" w:lineRule="auto"/>
        <w:ind w:left="720" w:hanging="720"/>
        <w:rPr>
          <w:rFonts w:asciiTheme="minorHAnsi" w:hAnsiTheme="minorHAnsi" w:cstheme="minorHAnsi"/>
          <w:color w:val="000000" w:themeColor="text1"/>
        </w:rPr>
      </w:pPr>
      <w:r w:rsidRPr="00B31940">
        <w:rPr>
          <w:rFonts w:asciiTheme="minorHAnsi" w:hAnsiTheme="minorHAnsi" w:cstheme="minorHAnsi"/>
          <w:color w:val="000000" w:themeColor="text1"/>
        </w:rPr>
        <w:t>Welsh Government (2022</w:t>
      </w:r>
      <w:r w:rsidRPr="001D6288">
        <w:rPr>
          <w:rFonts w:asciiTheme="minorHAnsi" w:hAnsiTheme="minorHAnsi" w:cstheme="minorHAnsi"/>
          <w:color w:val="000000" w:themeColor="text1"/>
        </w:rPr>
        <w:t>a</w:t>
      </w:r>
      <w:r w:rsidRPr="00B31940">
        <w:rPr>
          <w:rFonts w:asciiTheme="minorHAnsi" w:hAnsiTheme="minorHAnsi" w:cstheme="minorHAnsi"/>
          <w:color w:val="000000" w:themeColor="text1"/>
        </w:rPr>
        <w:t xml:space="preserve">). Curriculum for Wales Framework. </w:t>
      </w:r>
      <w:r w:rsidRPr="001D6288">
        <w:rPr>
          <w:rFonts w:asciiTheme="minorHAnsi" w:hAnsiTheme="minorHAnsi" w:cstheme="minorHAnsi"/>
          <w:color w:val="000000" w:themeColor="text1"/>
        </w:rPr>
        <w:t xml:space="preserve">Retrieved from </w:t>
      </w:r>
      <w:hyperlink r:id="rId19" w:history="1">
        <w:r w:rsidRPr="001D6288">
          <w:rPr>
            <w:rStyle w:val="Hyperlink"/>
            <w:rFonts w:asciiTheme="minorHAnsi" w:hAnsiTheme="minorHAnsi" w:cstheme="minorHAnsi"/>
            <w:color w:val="000000" w:themeColor="text1"/>
          </w:rPr>
          <w:t>https://hwb.gov.wales/curriculum-for-wales/</w:t>
        </w:r>
      </w:hyperlink>
      <w:r w:rsidRPr="001D6288">
        <w:rPr>
          <w:rFonts w:asciiTheme="minorHAnsi" w:hAnsiTheme="minorHAnsi" w:cstheme="minorHAnsi"/>
          <w:color w:val="000000" w:themeColor="text1"/>
        </w:rPr>
        <w:t xml:space="preserve"> </w:t>
      </w:r>
    </w:p>
    <w:p w14:paraId="13C6E70F" w14:textId="77777777" w:rsidR="001D6288" w:rsidRPr="001D6288" w:rsidRDefault="001D6288" w:rsidP="001D6288">
      <w:pPr>
        <w:pStyle w:val="NormalWeb"/>
        <w:shd w:val="clear" w:color="auto" w:fill="FFFFFF"/>
        <w:spacing w:before="0" w:beforeAutospacing="0" w:after="173" w:afterAutospacing="0" w:line="360" w:lineRule="auto"/>
        <w:ind w:left="720" w:hanging="720"/>
        <w:rPr>
          <w:rFonts w:asciiTheme="minorHAnsi" w:hAnsiTheme="minorHAnsi" w:cstheme="minorHAnsi"/>
          <w:color w:val="000000" w:themeColor="text1"/>
        </w:rPr>
      </w:pPr>
      <w:r w:rsidRPr="00B31940">
        <w:rPr>
          <w:rFonts w:asciiTheme="minorHAnsi" w:hAnsiTheme="minorHAnsi" w:cstheme="minorHAnsi"/>
          <w:color w:val="000000" w:themeColor="text1"/>
        </w:rPr>
        <w:t>Welsh Government (2022</w:t>
      </w:r>
      <w:r w:rsidRPr="001D6288">
        <w:rPr>
          <w:rFonts w:asciiTheme="minorHAnsi" w:hAnsiTheme="minorHAnsi" w:cstheme="minorHAnsi"/>
          <w:color w:val="000000" w:themeColor="text1"/>
        </w:rPr>
        <w:t>b</w:t>
      </w:r>
      <w:r w:rsidRPr="00B31940">
        <w:rPr>
          <w:rFonts w:asciiTheme="minorHAnsi" w:hAnsiTheme="minorHAnsi" w:cstheme="minorHAnsi"/>
          <w:color w:val="000000" w:themeColor="text1"/>
        </w:rPr>
        <w:t>). School census results. Retrieved from</w:t>
      </w:r>
      <w:r w:rsidRPr="001D6288">
        <w:rPr>
          <w:rFonts w:asciiTheme="minorHAnsi" w:hAnsiTheme="minorHAnsi" w:cstheme="minorHAnsi"/>
          <w:color w:val="000000" w:themeColor="text1"/>
        </w:rPr>
        <w:t xml:space="preserve"> </w:t>
      </w:r>
      <w:hyperlink r:id="rId20" w:history="1">
        <w:r w:rsidRPr="00B31940">
          <w:rPr>
            <w:rStyle w:val="Hyperlink"/>
            <w:rFonts w:asciiTheme="minorHAnsi" w:hAnsiTheme="minorHAnsi" w:cstheme="minorHAnsi"/>
            <w:color w:val="000000" w:themeColor="text1"/>
          </w:rPr>
          <w:t>https://gov.wales/sites/default/</w:t>
        </w:r>
        <w:r w:rsidRPr="00B31940">
          <w:rPr>
            <w:rStyle w:val="Hyperlink"/>
            <w:rFonts w:asciiTheme="minorHAnsi" w:hAnsiTheme="minorHAnsi" w:cstheme="minorHAnsi"/>
            <w:color w:val="000000" w:themeColor="text1"/>
          </w:rPr>
          <w:t>f</w:t>
        </w:r>
        <w:r w:rsidRPr="00B31940">
          <w:rPr>
            <w:rStyle w:val="Hyperlink"/>
            <w:rFonts w:asciiTheme="minorHAnsi" w:hAnsiTheme="minorHAnsi" w:cstheme="minorHAnsi"/>
            <w:color w:val="000000" w:themeColor="text1"/>
          </w:rPr>
          <w:t>iles/pdf-ve</w:t>
        </w:r>
        <w:r w:rsidRPr="00B31940">
          <w:rPr>
            <w:rStyle w:val="Hyperlink"/>
            <w:rFonts w:asciiTheme="minorHAnsi" w:hAnsiTheme="minorHAnsi" w:cstheme="minorHAnsi"/>
            <w:color w:val="000000" w:themeColor="text1"/>
          </w:rPr>
          <w:t>r</w:t>
        </w:r>
        <w:r w:rsidRPr="00B31940">
          <w:rPr>
            <w:rStyle w:val="Hyperlink"/>
            <w:rFonts w:asciiTheme="minorHAnsi" w:hAnsiTheme="minorHAnsi" w:cstheme="minorHAnsi"/>
            <w:color w:val="000000" w:themeColor="text1"/>
          </w:rPr>
          <w:t>sions/2022/8/3/1661934615/schools-census-results-february-2022.pdf</w:t>
        </w:r>
      </w:hyperlink>
    </w:p>
    <w:p w14:paraId="509ADFA6" w14:textId="77777777" w:rsidR="001D6288" w:rsidRPr="001D6288" w:rsidRDefault="001D6288" w:rsidP="001D6288">
      <w:pPr>
        <w:pStyle w:val="NormalWeb"/>
        <w:shd w:val="clear" w:color="auto" w:fill="FFFFFF"/>
        <w:spacing w:before="0" w:beforeAutospacing="0" w:after="173" w:afterAutospacing="0" w:line="360" w:lineRule="auto"/>
        <w:ind w:left="720" w:hanging="720"/>
        <w:rPr>
          <w:rFonts w:asciiTheme="minorHAnsi" w:hAnsiTheme="minorHAnsi" w:cstheme="minorHAnsi"/>
          <w:color w:val="000000" w:themeColor="text1"/>
        </w:rPr>
      </w:pPr>
      <w:proofErr w:type="spellStart"/>
      <w:r w:rsidRPr="001D6288">
        <w:rPr>
          <w:rFonts w:asciiTheme="minorHAnsi" w:hAnsiTheme="minorHAnsi" w:cstheme="minorHAnsi"/>
          <w:color w:val="000000" w:themeColor="text1"/>
        </w:rPr>
        <w:t>Whitebread</w:t>
      </w:r>
      <w:proofErr w:type="spellEnd"/>
      <w:r w:rsidRPr="001D6288">
        <w:rPr>
          <w:rFonts w:asciiTheme="minorHAnsi" w:hAnsiTheme="minorHAnsi" w:cstheme="minorHAnsi"/>
          <w:color w:val="000000" w:themeColor="text1"/>
        </w:rPr>
        <w:t xml:space="preserve">, D. &amp; </w:t>
      </w:r>
      <w:proofErr w:type="spellStart"/>
      <w:r w:rsidRPr="001D6288">
        <w:rPr>
          <w:rFonts w:asciiTheme="minorHAnsi" w:hAnsiTheme="minorHAnsi" w:cstheme="minorHAnsi"/>
          <w:color w:val="000000" w:themeColor="text1"/>
        </w:rPr>
        <w:t>Coltman</w:t>
      </w:r>
      <w:proofErr w:type="spellEnd"/>
      <w:r w:rsidRPr="001D6288">
        <w:rPr>
          <w:rFonts w:asciiTheme="minorHAnsi" w:hAnsiTheme="minorHAnsi" w:cstheme="minorHAnsi"/>
          <w:color w:val="000000" w:themeColor="text1"/>
        </w:rPr>
        <w:t>, P. (2010), "Aspects of pedagogy supporting metacognition and self-regulation in mathematical learning of young children: Evidence from an observational study", </w:t>
      </w:r>
      <w:r w:rsidRPr="001D6288">
        <w:rPr>
          <w:rFonts w:asciiTheme="minorHAnsi" w:hAnsiTheme="minorHAnsi" w:cstheme="minorHAnsi"/>
          <w:i/>
          <w:iCs/>
          <w:color w:val="000000" w:themeColor="text1"/>
        </w:rPr>
        <w:t>ZDM, </w:t>
      </w:r>
      <w:r w:rsidRPr="001D6288">
        <w:rPr>
          <w:rFonts w:asciiTheme="minorHAnsi" w:hAnsiTheme="minorHAnsi" w:cstheme="minorHAnsi"/>
          <w:color w:val="000000" w:themeColor="text1"/>
        </w:rPr>
        <w:t>42, pp. 163-178.</w:t>
      </w:r>
    </w:p>
    <w:p w14:paraId="6082BBCB" w14:textId="77777777" w:rsidR="001D6288" w:rsidRPr="001D6288" w:rsidRDefault="001D6288" w:rsidP="001D6288">
      <w:pPr>
        <w:pStyle w:val="NormalWeb"/>
        <w:shd w:val="clear" w:color="auto" w:fill="FFFFFF"/>
        <w:spacing w:after="173" w:line="360" w:lineRule="auto"/>
        <w:ind w:left="720" w:hanging="720"/>
        <w:rPr>
          <w:rFonts w:asciiTheme="minorHAnsi" w:hAnsiTheme="minorHAnsi" w:cstheme="minorHAnsi"/>
          <w:color w:val="000000" w:themeColor="text1"/>
        </w:rPr>
      </w:pPr>
      <w:r w:rsidRPr="00B31940">
        <w:rPr>
          <w:rFonts w:asciiTheme="minorHAnsi" w:hAnsiTheme="minorHAnsi" w:cstheme="minorHAnsi"/>
          <w:color w:val="000000" w:themeColor="text1"/>
        </w:rPr>
        <w:lastRenderedPageBreak/>
        <w:t xml:space="preserve">Yelland, N. and Kilderry, A. (2005) Against the tide: new ways in early childhood education, in </w:t>
      </w:r>
      <w:proofErr w:type="spellStart"/>
      <w:proofErr w:type="gramStart"/>
      <w:r w:rsidRPr="00B31940">
        <w:rPr>
          <w:rFonts w:asciiTheme="minorHAnsi" w:hAnsiTheme="minorHAnsi" w:cstheme="minorHAnsi"/>
          <w:color w:val="000000" w:themeColor="text1"/>
        </w:rPr>
        <w:t>N.Yelland</w:t>
      </w:r>
      <w:proofErr w:type="spellEnd"/>
      <w:proofErr w:type="gramEnd"/>
      <w:r w:rsidRPr="00B31940">
        <w:rPr>
          <w:rFonts w:asciiTheme="minorHAnsi" w:hAnsiTheme="minorHAnsi" w:cstheme="minorHAnsi"/>
          <w:color w:val="000000" w:themeColor="text1"/>
        </w:rPr>
        <w:t xml:space="preserve"> (ed.) Critical Issues in Early Childhood Education. Maidenhead: Open University Press/McGraw-Hill Education.</w:t>
      </w:r>
      <w:r w:rsidRPr="001D6288">
        <w:rPr>
          <w:rFonts w:asciiTheme="minorHAnsi" w:hAnsiTheme="minorHAnsi" w:cstheme="minorHAnsi"/>
          <w:color w:val="000000" w:themeColor="text1"/>
        </w:rPr>
        <w:t xml:space="preserve"> </w:t>
      </w:r>
    </w:p>
    <w:p w14:paraId="7AF6B2F2" w14:textId="21C68383" w:rsidR="00B57A1A" w:rsidRPr="001D6288" w:rsidRDefault="001D6288" w:rsidP="001D6288">
      <w:pPr>
        <w:pStyle w:val="NormalWeb"/>
        <w:shd w:val="clear" w:color="auto" w:fill="FFFFFF"/>
        <w:spacing w:after="173" w:line="360" w:lineRule="auto"/>
        <w:ind w:left="720" w:hanging="720"/>
        <w:rPr>
          <w:rFonts w:asciiTheme="minorHAnsi" w:hAnsiTheme="minorHAnsi" w:cstheme="minorHAnsi"/>
          <w:color w:val="000000" w:themeColor="text1"/>
        </w:rPr>
      </w:pPr>
      <w:r w:rsidRPr="001D6288">
        <w:rPr>
          <w:rFonts w:asciiTheme="minorHAnsi" w:hAnsiTheme="minorHAnsi" w:cstheme="minorHAnsi"/>
          <w:color w:val="000000" w:themeColor="text1"/>
        </w:rPr>
        <w:t>Zimmerman, B.J. and Schunk, D.H. (2001). </w:t>
      </w:r>
      <w:r w:rsidRPr="001D6288">
        <w:rPr>
          <w:rFonts w:asciiTheme="minorHAnsi" w:hAnsiTheme="minorHAnsi" w:cstheme="minorHAnsi"/>
          <w:i/>
          <w:iCs/>
          <w:color w:val="000000" w:themeColor="text1"/>
        </w:rPr>
        <w:t>Self-regulated learning and academic achievement: Theoretical perspectives</w:t>
      </w:r>
      <w:r w:rsidRPr="001D6288">
        <w:rPr>
          <w:rFonts w:asciiTheme="minorHAnsi" w:hAnsiTheme="minorHAnsi" w:cstheme="minorHAnsi"/>
          <w:color w:val="000000" w:themeColor="text1"/>
        </w:rPr>
        <w:t>. Routledge.</w:t>
      </w:r>
    </w:p>
    <w:sectPr w:rsidR="00B57A1A" w:rsidRPr="001D62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A14A1" w14:textId="77777777" w:rsidR="00300A8E" w:rsidRDefault="00300A8E" w:rsidP="00147B0C">
      <w:r>
        <w:separator/>
      </w:r>
    </w:p>
  </w:endnote>
  <w:endnote w:type="continuationSeparator" w:id="0">
    <w:p w14:paraId="5EA9A9D8" w14:textId="77777777" w:rsidR="00300A8E" w:rsidRDefault="00300A8E" w:rsidP="00147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B845" w14:textId="77777777" w:rsidR="00300A8E" w:rsidRDefault="00300A8E" w:rsidP="00147B0C">
      <w:r>
        <w:separator/>
      </w:r>
    </w:p>
  </w:footnote>
  <w:footnote w:type="continuationSeparator" w:id="0">
    <w:p w14:paraId="02675ECE" w14:textId="77777777" w:rsidR="00300A8E" w:rsidRDefault="00300A8E" w:rsidP="00147B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2D2EEB"/>
    <w:multiLevelType w:val="hybridMultilevel"/>
    <w:tmpl w:val="440A9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107BFC"/>
    <w:multiLevelType w:val="hybridMultilevel"/>
    <w:tmpl w:val="4F805424"/>
    <w:lvl w:ilvl="0" w:tplc="7B08598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2C7785"/>
    <w:multiLevelType w:val="hybridMultilevel"/>
    <w:tmpl w:val="65C24EE0"/>
    <w:lvl w:ilvl="0" w:tplc="20E65F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1B7183"/>
    <w:multiLevelType w:val="hybridMultilevel"/>
    <w:tmpl w:val="0F824AC8"/>
    <w:lvl w:ilvl="0" w:tplc="7B08598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1740A7"/>
    <w:multiLevelType w:val="hybridMultilevel"/>
    <w:tmpl w:val="E1DA218E"/>
    <w:lvl w:ilvl="0" w:tplc="384C056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976876"/>
    <w:multiLevelType w:val="multilevel"/>
    <w:tmpl w:val="70447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A63F7F"/>
    <w:multiLevelType w:val="hybridMultilevel"/>
    <w:tmpl w:val="79ECCB78"/>
    <w:lvl w:ilvl="0" w:tplc="7B08598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3C017E"/>
    <w:multiLevelType w:val="hybridMultilevel"/>
    <w:tmpl w:val="B7EC4848"/>
    <w:lvl w:ilvl="0" w:tplc="7B08598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2B5395"/>
    <w:multiLevelType w:val="hybridMultilevel"/>
    <w:tmpl w:val="920AFFCC"/>
    <w:lvl w:ilvl="0" w:tplc="7B08598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167006"/>
    <w:multiLevelType w:val="multilevel"/>
    <w:tmpl w:val="D80E0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9029055">
    <w:abstractNumId w:val="2"/>
  </w:num>
  <w:num w:numId="2" w16cid:durableId="1374842050">
    <w:abstractNumId w:val="0"/>
  </w:num>
  <w:num w:numId="3" w16cid:durableId="1758400529">
    <w:abstractNumId w:val="4"/>
  </w:num>
  <w:num w:numId="4" w16cid:durableId="1554078603">
    <w:abstractNumId w:val="1"/>
  </w:num>
  <w:num w:numId="5" w16cid:durableId="456602194">
    <w:abstractNumId w:val="3"/>
  </w:num>
  <w:num w:numId="6" w16cid:durableId="1061752404">
    <w:abstractNumId w:val="8"/>
  </w:num>
  <w:num w:numId="7" w16cid:durableId="1232692429">
    <w:abstractNumId w:val="7"/>
  </w:num>
  <w:num w:numId="8" w16cid:durableId="1838760654">
    <w:abstractNumId w:val="9"/>
  </w:num>
  <w:num w:numId="9" w16cid:durableId="582643501">
    <w:abstractNumId w:val="6"/>
  </w:num>
  <w:num w:numId="10" w16cid:durableId="7301585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530"/>
    <w:rsid w:val="000A500F"/>
    <w:rsid w:val="000C1BCC"/>
    <w:rsid w:val="000F32D4"/>
    <w:rsid w:val="00103D50"/>
    <w:rsid w:val="00134193"/>
    <w:rsid w:val="00147B0C"/>
    <w:rsid w:val="001969AC"/>
    <w:rsid w:val="001D6288"/>
    <w:rsid w:val="001D6800"/>
    <w:rsid w:val="00230E54"/>
    <w:rsid w:val="002420DA"/>
    <w:rsid w:val="002C5732"/>
    <w:rsid w:val="002D3EC2"/>
    <w:rsid w:val="002E73EE"/>
    <w:rsid w:val="00300A8E"/>
    <w:rsid w:val="00305CFE"/>
    <w:rsid w:val="00373A71"/>
    <w:rsid w:val="003E51E5"/>
    <w:rsid w:val="00401984"/>
    <w:rsid w:val="004279B2"/>
    <w:rsid w:val="0044654C"/>
    <w:rsid w:val="004723CB"/>
    <w:rsid w:val="00484AC4"/>
    <w:rsid w:val="005467C6"/>
    <w:rsid w:val="00564CA8"/>
    <w:rsid w:val="0058575F"/>
    <w:rsid w:val="005B1B4D"/>
    <w:rsid w:val="005B1C30"/>
    <w:rsid w:val="005E607F"/>
    <w:rsid w:val="005F1FD2"/>
    <w:rsid w:val="00605BF2"/>
    <w:rsid w:val="00657D7E"/>
    <w:rsid w:val="0068484C"/>
    <w:rsid w:val="00770797"/>
    <w:rsid w:val="007820D0"/>
    <w:rsid w:val="00832913"/>
    <w:rsid w:val="0085687F"/>
    <w:rsid w:val="00862904"/>
    <w:rsid w:val="00893958"/>
    <w:rsid w:val="008E55CB"/>
    <w:rsid w:val="008F7FB0"/>
    <w:rsid w:val="009460DD"/>
    <w:rsid w:val="00965E44"/>
    <w:rsid w:val="009B5D57"/>
    <w:rsid w:val="009D648B"/>
    <w:rsid w:val="009F0590"/>
    <w:rsid w:val="009F2BF5"/>
    <w:rsid w:val="009F6AA1"/>
    <w:rsid w:val="00A27C43"/>
    <w:rsid w:val="00AD3FD5"/>
    <w:rsid w:val="00AF4D4B"/>
    <w:rsid w:val="00B3778D"/>
    <w:rsid w:val="00B46FD5"/>
    <w:rsid w:val="00B57A1A"/>
    <w:rsid w:val="00B61A91"/>
    <w:rsid w:val="00BB15FB"/>
    <w:rsid w:val="00BB5CCF"/>
    <w:rsid w:val="00BC30AE"/>
    <w:rsid w:val="00C0068F"/>
    <w:rsid w:val="00C26138"/>
    <w:rsid w:val="00C64099"/>
    <w:rsid w:val="00C83641"/>
    <w:rsid w:val="00C85111"/>
    <w:rsid w:val="00CB03A3"/>
    <w:rsid w:val="00CC2BDD"/>
    <w:rsid w:val="00CF4CDD"/>
    <w:rsid w:val="00D11D8D"/>
    <w:rsid w:val="00D47530"/>
    <w:rsid w:val="00D62E5A"/>
    <w:rsid w:val="00DC5B01"/>
    <w:rsid w:val="00DE3C51"/>
    <w:rsid w:val="00E021CB"/>
    <w:rsid w:val="00E22A05"/>
    <w:rsid w:val="00EB005B"/>
    <w:rsid w:val="00EC2A0B"/>
    <w:rsid w:val="00ED30C0"/>
    <w:rsid w:val="00EF008A"/>
    <w:rsid w:val="00EF4B56"/>
    <w:rsid w:val="00F602F4"/>
    <w:rsid w:val="00F82542"/>
    <w:rsid w:val="00F930F6"/>
    <w:rsid w:val="00F9509B"/>
    <w:rsid w:val="00FB2AB5"/>
    <w:rsid w:val="00FD0B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14EFF"/>
  <w15:chartTrackingRefBased/>
  <w15:docId w15:val="{F26EEC1B-175E-BC41-AB8B-BB773D4D1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7530"/>
    <w:pPr>
      <w:ind w:left="720"/>
      <w:contextualSpacing/>
    </w:pPr>
  </w:style>
  <w:style w:type="paragraph" w:styleId="NormalWeb">
    <w:name w:val="Normal (Web)"/>
    <w:basedOn w:val="Normal"/>
    <w:uiPriority w:val="99"/>
    <w:unhideWhenUsed/>
    <w:rsid w:val="00D47530"/>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B46FD5"/>
    <w:rPr>
      <w:color w:val="0563C1" w:themeColor="hyperlink"/>
      <w:u w:val="single"/>
    </w:rPr>
  </w:style>
  <w:style w:type="character" w:styleId="UnresolvedMention">
    <w:name w:val="Unresolved Mention"/>
    <w:basedOn w:val="DefaultParagraphFont"/>
    <w:uiPriority w:val="99"/>
    <w:semiHidden/>
    <w:unhideWhenUsed/>
    <w:rsid w:val="00B46FD5"/>
    <w:rPr>
      <w:color w:val="605E5C"/>
      <w:shd w:val="clear" w:color="auto" w:fill="E1DFDD"/>
    </w:rPr>
  </w:style>
  <w:style w:type="character" w:styleId="FollowedHyperlink">
    <w:name w:val="FollowedHyperlink"/>
    <w:basedOn w:val="DefaultParagraphFont"/>
    <w:uiPriority w:val="99"/>
    <w:semiHidden/>
    <w:unhideWhenUsed/>
    <w:rsid w:val="00F930F6"/>
    <w:rPr>
      <w:color w:val="954F72" w:themeColor="followedHyperlink"/>
      <w:u w:val="single"/>
    </w:rPr>
  </w:style>
  <w:style w:type="paragraph" w:styleId="Caption">
    <w:name w:val="caption"/>
    <w:basedOn w:val="Normal"/>
    <w:next w:val="Normal"/>
    <w:uiPriority w:val="35"/>
    <w:semiHidden/>
    <w:unhideWhenUsed/>
    <w:qFormat/>
    <w:rsid w:val="00147B0C"/>
    <w:pPr>
      <w:spacing w:after="200"/>
    </w:pPr>
    <w:rPr>
      <w:i/>
      <w:iCs/>
      <w:color w:val="44546A" w:themeColor="text2"/>
      <w:sz w:val="18"/>
      <w:szCs w:val="18"/>
    </w:rPr>
  </w:style>
  <w:style w:type="paragraph" w:styleId="Header">
    <w:name w:val="header"/>
    <w:basedOn w:val="Normal"/>
    <w:link w:val="HeaderChar"/>
    <w:uiPriority w:val="99"/>
    <w:unhideWhenUsed/>
    <w:rsid w:val="00147B0C"/>
    <w:pPr>
      <w:tabs>
        <w:tab w:val="center" w:pos="4513"/>
        <w:tab w:val="right" w:pos="9026"/>
      </w:tabs>
    </w:pPr>
  </w:style>
  <w:style w:type="character" w:customStyle="1" w:styleId="HeaderChar">
    <w:name w:val="Header Char"/>
    <w:basedOn w:val="DefaultParagraphFont"/>
    <w:link w:val="Header"/>
    <w:uiPriority w:val="99"/>
    <w:rsid w:val="00147B0C"/>
  </w:style>
  <w:style w:type="paragraph" w:styleId="Footer">
    <w:name w:val="footer"/>
    <w:basedOn w:val="Normal"/>
    <w:link w:val="FooterChar"/>
    <w:uiPriority w:val="99"/>
    <w:unhideWhenUsed/>
    <w:rsid w:val="00147B0C"/>
    <w:pPr>
      <w:tabs>
        <w:tab w:val="center" w:pos="4513"/>
        <w:tab w:val="right" w:pos="9026"/>
      </w:tabs>
    </w:pPr>
  </w:style>
  <w:style w:type="character" w:customStyle="1" w:styleId="FooterChar">
    <w:name w:val="Footer Char"/>
    <w:basedOn w:val="DefaultParagraphFont"/>
    <w:link w:val="Footer"/>
    <w:uiPriority w:val="99"/>
    <w:rsid w:val="00147B0C"/>
  </w:style>
  <w:style w:type="character" w:customStyle="1" w:styleId="notion-enable-hover">
    <w:name w:val="notion-enable-hover"/>
    <w:basedOn w:val="DefaultParagraphFont"/>
    <w:rsid w:val="00484A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75769">
      <w:bodyDiv w:val="1"/>
      <w:marLeft w:val="0"/>
      <w:marRight w:val="0"/>
      <w:marTop w:val="0"/>
      <w:marBottom w:val="0"/>
      <w:divBdr>
        <w:top w:val="none" w:sz="0" w:space="0" w:color="auto"/>
        <w:left w:val="none" w:sz="0" w:space="0" w:color="auto"/>
        <w:bottom w:val="none" w:sz="0" w:space="0" w:color="auto"/>
        <w:right w:val="none" w:sz="0" w:space="0" w:color="auto"/>
      </w:divBdr>
    </w:div>
    <w:div w:id="339309103">
      <w:bodyDiv w:val="1"/>
      <w:marLeft w:val="0"/>
      <w:marRight w:val="0"/>
      <w:marTop w:val="0"/>
      <w:marBottom w:val="0"/>
      <w:divBdr>
        <w:top w:val="none" w:sz="0" w:space="0" w:color="auto"/>
        <w:left w:val="none" w:sz="0" w:space="0" w:color="auto"/>
        <w:bottom w:val="none" w:sz="0" w:space="0" w:color="auto"/>
        <w:right w:val="none" w:sz="0" w:space="0" w:color="auto"/>
      </w:divBdr>
    </w:div>
    <w:div w:id="466507113">
      <w:bodyDiv w:val="1"/>
      <w:marLeft w:val="0"/>
      <w:marRight w:val="0"/>
      <w:marTop w:val="0"/>
      <w:marBottom w:val="0"/>
      <w:divBdr>
        <w:top w:val="none" w:sz="0" w:space="0" w:color="auto"/>
        <w:left w:val="none" w:sz="0" w:space="0" w:color="auto"/>
        <w:bottom w:val="none" w:sz="0" w:space="0" w:color="auto"/>
        <w:right w:val="none" w:sz="0" w:space="0" w:color="auto"/>
      </w:divBdr>
    </w:div>
    <w:div w:id="582103769">
      <w:bodyDiv w:val="1"/>
      <w:marLeft w:val="0"/>
      <w:marRight w:val="0"/>
      <w:marTop w:val="0"/>
      <w:marBottom w:val="0"/>
      <w:divBdr>
        <w:top w:val="none" w:sz="0" w:space="0" w:color="auto"/>
        <w:left w:val="none" w:sz="0" w:space="0" w:color="auto"/>
        <w:bottom w:val="none" w:sz="0" w:space="0" w:color="auto"/>
        <w:right w:val="none" w:sz="0" w:space="0" w:color="auto"/>
      </w:divBdr>
    </w:div>
    <w:div w:id="669676309">
      <w:bodyDiv w:val="1"/>
      <w:marLeft w:val="0"/>
      <w:marRight w:val="0"/>
      <w:marTop w:val="0"/>
      <w:marBottom w:val="0"/>
      <w:divBdr>
        <w:top w:val="none" w:sz="0" w:space="0" w:color="auto"/>
        <w:left w:val="none" w:sz="0" w:space="0" w:color="auto"/>
        <w:bottom w:val="none" w:sz="0" w:space="0" w:color="auto"/>
        <w:right w:val="none" w:sz="0" w:space="0" w:color="auto"/>
      </w:divBdr>
    </w:div>
    <w:div w:id="890574546">
      <w:bodyDiv w:val="1"/>
      <w:marLeft w:val="0"/>
      <w:marRight w:val="0"/>
      <w:marTop w:val="0"/>
      <w:marBottom w:val="0"/>
      <w:divBdr>
        <w:top w:val="none" w:sz="0" w:space="0" w:color="auto"/>
        <w:left w:val="none" w:sz="0" w:space="0" w:color="auto"/>
        <w:bottom w:val="none" w:sz="0" w:space="0" w:color="auto"/>
        <w:right w:val="none" w:sz="0" w:space="0" w:color="auto"/>
      </w:divBdr>
    </w:div>
    <w:div w:id="930045887">
      <w:bodyDiv w:val="1"/>
      <w:marLeft w:val="0"/>
      <w:marRight w:val="0"/>
      <w:marTop w:val="0"/>
      <w:marBottom w:val="0"/>
      <w:divBdr>
        <w:top w:val="none" w:sz="0" w:space="0" w:color="auto"/>
        <w:left w:val="none" w:sz="0" w:space="0" w:color="auto"/>
        <w:bottom w:val="none" w:sz="0" w:space="0" w:color="auto"/>
        <w:right w:val="none" w:sz="0" w:space="0" w:color="auto"/>
      </w:divBdr>
    </w:div>
    <w:div w:id="1013579907">
      <w:bodyDiv w:val="1"/>
      <w:marLeft w:val="0"/>
      <w:marRight w:val="0"/>
      <w:marTop w:val="0"/>
      <w:marBottom w:val="0"/>
      <w:divBdr>
        <w:top w:val="none" w:sz="0" w:space="0" w:color="auto"/>
        <w:left w:val="none" w:sz="0" w:space="0" w:color="auto"/>
        <w:bottom w:val="none" w:sz="0" w:space="0" w:color="auto"/>
        <w:right w:val="none" w:sz="0" w:space="0" w:color="auto"/>
      </w:divBdr>
    </w:div>
    <w:div w:id="1145470347">
      <w:bodyDiv w:val="1"/>
      <w:marLeft w:val="0"/>
      <w:marRight w:val="0"/>
      <w:marTop w:val="0"/>
      <w:marBottom w:val="0"/>
      <w:divBdr>
        <w:top w:val="none" w:sz="0" w:space="0" w:color="auto"/>
        <w:left w:val="none" w:sz="0" w:space="0" w:color="auto"/>
        <w:bottom w:val="none" w:sz="0" w:space="0" w:color="auto"/>
        <w:right w:val="none" w:sz="0" w:space="0" w:color="auto"/>
      </w:divBdr>
      <w:divsChild>
        <w:div w:id="288628916">
          <w:marLeft w:val="0"/>
          <w:marRight w:val="0"/>
          <w:marTop w:val="0"/>
          <w:marBottom w:val="0"/>
          <w:divBdr>
            <w:top w:val="none" w:sz="0" w:space="0" w:color="auto"/>
            <w:left w:val="none" w:sz="0" w:space="0" w:color="auto"/>
            <w:bottom w:val="none" w:sz="0" w:space="0" w:color="auto"/>
            <w:right w:val="none" w:sz="0" w:space="0" w:color="auto"/>
          </w:divBdr>
        </w:div>
        <w:div w:id="627248267">
          <w:marLeft w:val="0"/>
          <w:marRight w:val="0"/>
          <w:marTop w:val="240"/>
          <w:marBottom w:val="240"/>
          <w:divBdr>
            <w:top w:val="single" w:sz="6" w:space="12" w:color="5FC3B3"/>
            <w:left w:val="single" w:sz="6" w:space="18" w:color="5FC3B3"/>
            <w:bottom w:val="none" w:sz="0" w:space="0" w:color="auto"/>
            <w:right w:val="single" w:sz="6" w:space="18" w:color="5FC3B3"/>
          </w:divBdr>
        </w:div>
      </w:divsChild>
    </w:div>
    <w:div w:id="1336415252">
      <w:bodyDiv w:val="1"/>
      <w:marLeft w:val="0"/>
      <w:marRight w:val="0"/>
      <w:marTop w:val="0"/>
      <w:marBottom w:val="0"/>
      <w:divBdr>
        <w:top w:val="none" w:sz="0" w:space="0" w:color="auto"/>
        <w:left w:val="none" w:sz="0" w:space="0" w:color="auto"/>
        <w:bottom w:val="none" w:sz="0" w:space="0" w:color="auto"/>
        <w:right w:val="none" w:sz="0" w:space="0" w:color="auto"/>
      </w:divBdr>
    </w:div>
    <w:div w:id="1456098658">
      <w:bodyDiv w:val="1"/>
      <w:marLeft w:val="0"/>
      <w:marRight w:val="0"/>
      <w:marTop w:val="0"/>
      <w:marBottom w:val="0"/>
      <w:divBdr>
        <w:top w:val="none" w:sz="0" w:space="0" w:color="auto"/>
        <w:left w:val="none" w:sz="0" w:space="0" w:color="auto"/>
        <w:bottom w:val="none" w:sz="0" w:space="0" w:color="auto"/>
        <w:right w:val="none" w:sz="0" w:space="0" w:color="auto"/>
      </w:divBdr>
    </w:div>
    <w:div w:id="1468813987">
      <w:bodyDiv w:val="1"/>
      <w:marLeft w:val="0"/>
      <w:marRight w:val="0"/>
      <w:marTop w:val="0"/>
      <w:marBottom w:val="0"/>
      <w:divBdr>
        <w:top w:val="none" w:sz="0" w:space="0" w:color="auto"/>
        <w:left w:val="none" w:sz="0" w:space="0" w:color="auto"/>
        <w:bottom w:val="none" w:sz="0" w:space="0" w:color="auto"/>
        <w:right w:val="none" w:sz="0" w:space="0" w:color="auto"/>
      </w:divBdr>
      <w:divsChild>
        <w:div w:id="1552883371">
          <w:marLeft w:val="0"/>
          <w:marRight w:val="0"/>
          <w:marTop w:val="0"/>
          <w:marBottom w:val="0"/>
          <w:divBdr>
            <w:top w:val="none" w:sz="0" w:space="0" w:color="auto"/>
            <w:left w:val="none" w:sz="0" w:space="0" w:color="auto"/>
            <w:bottom w:val="none" w:sz="0" w:space="0" w:color="auto"/>
            <w:right w:val="none" w:sz="0" w:space="0" w:color="auto"/>
          </w:divBdr>
        </w:div>
        <w:div w:id="609169931">
          <w:marLeft w:val="0"/>
          <w:marRight w:val="0"/>
          <w:marTop w:val="0"/>
          <w:marBottom w:val="0"/>
          <w:divBdr>
            <w:top w:val="none" w:sz="0" w:space="0" w:color="auto"/>
            <w:left w:val="none" w:sz="0" w:space="0" w:color="auto"/>
            <w:bottom w:val="none" w:sz="0" w:space="0" w:color="auto"/>
            <w:right w:val="none" w:sz="0" w:space="0" w:color="auto"/>
          </w:divBdr>
        </w:div>
        <w:div w:id="1568026919">
          <w:marLeft w:val="0"/>
          <w:marRight w:val="0"/>
          <w:marTop w:val="0"/>
          <w:marBottom w:val="0"/>
          <w:divBdr>
            <w:top w:val="none" w:sz="0" w:space="0" w:color="auto"/>
            <w:left w:val="none" w:sz="0" w:space="0" w:color="auto"/>
            <w:bottom w:val="none" w:sz="0" w:space="0" w:color="auto"/>
            <w:right w:val="none" w:sz="0" w:space="0" w:color="auto"/>
          </w:divBdr>
        </w:div>
        <w:div w:id="1086609251">
          <w:marLeft w:val="0"/>
          <w:marRight w:val="0"/>
          <w:marTop w:val="0"/>
          <w:marBottom w:val="0"/>
          <w:divBdr>
            <w:top w:val="none" w:sz="0" w:space="0" w:color="auto"/>
            <w:left w:val="none" w:sz="0" w:space="0" w:color="auto"/>
            <w:bottom w:val="none" w:sz="0" w:space="0" w:color="auto"/>
            <w:right w:val="none" w:sz="0" w:space="0" w:color="auto"/>
          </w:divBdr>
        </w:div>
        <w:div w:id="306327237">
          <w:marLeft w:val="0"/>
          <w:marRight w:val="0"/>
          <w:marTop w:val="0"/>
          <w:marBottom w:val="0"/>
          <w:divBdr>
            <w:top w:val="none" w:sz="0" w:space="0" w:color="auto"/>
            <w:left w:val="none" w:sz="0" w:space="0" w:color="auto"/>
            <w:bottom w:val="none" w:sz="0" w:space="0" w:color="auto"/>
            <w:right w:val="none" w:sz="0" w:space="0" w:color="auto"/>
          </w:divBdr>
        </w:div>
      </w:divsChild>
    </w:div>
    <w:div w:id="1581402716">
      <w:bodyDiv w:val="1"/>
      <w:marLeft w:val="0"/>
      <w:marRight w:val="0"/>
      <w:marTop w:val="0"/>
      <w:marBottom w:val="0"/>
      <w:divBdr>
        <w:top w:val="none" w:sz="0" w:space="0" w:color="auto"/>
        <w:left w:val="none" w:sz="0" w:space="0" w:color="auto"/>
        <w:bottom w:val="none" w:sz="0" w:space="0" w:color="auto"/>
        <w:right w:val="none" w:sz="0" w:space="0" w:color="auto"/>
      </w:divBdr>
    </w:div>
    <w:div w:id="1827088715">
      <w:bodyDiv w:val="1"/>
      <w:marLeft w:val="0"/>
      <w:marRight w:val="0"/>
      <w:marTop w:val="0"/>
      <w:marBottom w:val="0"/>
      <w:divBdr>
        <w:top w:val="none" w:sz="0" w:space="0" w:color="auto"/>
        <w:left w:val="none" w:sz="0" w:space="0" w:color="auto"/>
        <w:bottom w:val="none" w:sz="0" w:space="0" w:color="auto"/>
        <w:right w:val="none" w:sz="0" w:space="0" w:color="auto"/>
      </w:divBdr>
    </w:div>
    <w:div w:id="2045135030">
      <w:bodyDiv w:val="1"/>
      <w:marLeft w:val="0"/>
      <w:marRight w:val="0"/>
      <w:marTop w:val="0"/>
      <w:marBottom w:val="0"/>
      <w:divBdr>
        <w:top w:val="none" w:sz="0" w:space="0" w:color="auto"/>
        <w:left w:val="none" w:sz="0" w:space="0" w:color="auto"/>
        <w:bottom w:val="none" w:sz="0" w:space="0" w:color="auto"/>
        <w:right w:val="none" w:sz="0" w:space="0" w:color="auto"/>
      </w:divBdr>
    </w:div>
    <w:div w:id="2083867215">
      <w:bodyDiv w:val="1"/>
      <w:marLeft w:val="0"/>
      <w:marRight w:val="0"/>
      <w:marTop w:val="0"/>
      <w:marBottom w:val="0"/>
      <w:divBdr>
        <w:top w:val="none" w:sz="0" w:space="0" w:color="auto"/>
        <w:left w:val="none" w:sz="0" w:space="0" w:color="auto"/>
        <w:bottom w:val="none" w:sz="0" w:space="0" w:color="auto"/>
        <w:right w:val="none" w:sz="0" w:space="0" w:color="auto"/>
      </w:divBdr>
    </w:div>
    <w:div w:id="2128354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ethical-guidelines-for-educational-research-2018" TargetMode="External"/><Relationship Id="rId13" Type="http://schemas.openxmlformats.org/officeDocument/2006/relationships/hyperlink" Target="https://doi.org/10.3126/jns.v5i0.19493" TargetMode="External"/><Relationship Id="rId18" Type="http://schemas.openxmlformats.org/officeDocument/2006/relationships/hyperlink" Target="https://gov.wales/sites/default/files/publications/2018-11/evaluation-report-on-capacity-building-approaches-to-support-the-delivery-of-english-as-an-additional-language-in-wales.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10.1002/berj.3526" TargetMode="External"/><Relationship Id="rId12" Type="http://schemas.openxmlformats.org/officeDocument/2006/relationships/hyperlink" Target="https://hwb.gov.wales/playlists/view/882beb78-987a-4191-b55c-9882206e82ad/en/1" TargetMode="External"/><Relationship Id="rId17" Type="http://schemas.openxmlformats.org/officeDocument/2006/relationships/hyperlink" Target="https://hwb.gov.wales/professional-development/professional-standards" TargetMode="External"/><Relationship Id="rId2" Type="http://schemas.openxmlformats.org/officeDocument/2006/relationships/styles" Target="styles.xml"/><Relationship Id="rId16" Type="http://schemas.openxmlformats.org/officeDocument/2006/relationships/hyperlink" Target="https://www.open.edu/openlearn/education-development/learning-teach-becoming-reflective-practitioner/content-section-2.1" TargetMode="External"/><Relationship Id="rId20" Type="http://schemas.openxmlformats.org/officeDocument/2006/relationships/hyperlink" Target="https://gov.wales/sites/default/files/pdf-versions/2022/8/3/1661934615/schools-census-results-february-2022.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professional-development/national-pedagogy-project/the-national-pedagogy-project/" TargetMode="External"/><Relationship Id="rId5" Type="http://schemas.openxmlformats.org/officeDocument/2006/relationships/footnotes" Target="footnotes.xml"/><Relationship Id="rId15" Type="http://schemas.openxmlformats.org/officeDocument/2006/relationships/hyperlink" Target="https://doi.org/10.1017/CBO9780511667237" TargetMode="External"/><Relationship Id="rId10" Type="http://schemas.openxmlformats.org/officeDocument/2006/relationships/hyperlink" Target="https://doi.org/10.1002/tesj.10" TargetMode="External"/><Relationship Id="rId19" Type="http://schemas.openxmlformats.org/officeDocument/2006/relationships/hyperlink" Target="https://hwb.gov.wales/curriculum-for-wales/" TargetMode="External"/><Relationship Id="rId4" Type="http://schemas.openxmlformats.org/officeDocument/2006/relationships/webSettings" Target="webSettings.xml"/><Relationship Id="rId9" Type="http://schemas.openxmlformats.org/officeDocument/2006/relationships/hyperlink" Target="https://www.ewc.wales/site/index.php/en/fitness-to-practise/code-of-professional-conduct-and-practice-pdf.html" TargetMode="External"/><Relationship Id="rId14" Type="http://schemas.openxmlformats.org/officeDocument/2006/relationships/hyperlink" Target="https://educationendowmentfoundation.org.uk/education-evidence/guidance-reports/metacognit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344</TotalTime>
  <Pages>12</Pages>
  <Words>4905</Words>
  <Characters>27864</Characters>
  <Application>Microsoft Office Word</Application>
  <DocSecurity>0</DocSecurity>
  <Lines>633</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Morris (2203181)</dc:creator>
  <cp:keywords/>
  <dc:description/>
  <cp:lastModifiedBy>Emma Morris (2203181)</cp:lastModifiedBy>
  <cp:revision>7</cp:revision>
  <dcterms:created xsi:type="dcterms:W3CDTF">2022-11-05T20:03:00Z</dcterms:created>
  <dcterms:modified xsi:type="dcterms:W3CDTF">2022-11-07T21:59:00Z</dcterms:modified>
</cp:coreProperties>
</file>