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DA4C4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9D8E439"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proofErr w:type="spellStart"/>
      <w:r w:rsidR="009C1BFA">
        <w:rPr>
          <w:rFonts w:ascii="Arial" w:hAnsi="Arial" w:cs="Arial"/>
          <w:sz w:val="28"/>
          <w:szCs w:val="28"/>
          <w:lang w:val="nl-NL"/>
        </w:rPr>
        <w:t>Introduction</w:t>
      </w:r>
      <w:proofErr w:type="spellEnd"/>
      <w:r w:rsidR="009C1BFA">
        <w:rPr>
          <w:rFonts w:ascii="Arial" w:hAnsi="Arial" w:cs="Arial"/>
          <w:sz w:val="28"/>
          <w:szCs w:val="28"/>
          <w:lang w:val="nl-NL"/>
        </w:rPr>
        <w:t xml:space="preserve"> </w:t>
      </w:r>
      <w:proofErr w:type="spellStart"/>
      <w:r w:rsidR="009C1BFA">
        <w:rPr>
          <w:rFonts w:ascii="Arial" w:hAnsi="Arial" w:cs="Arial"/>
          <w:sz w:val="28"/>
          <w:szCs w:val="28"/>
          <w:lang w:val="nl-NL"/>
        </w:rPr>
        <w:t>to</w:t>
      </w:r>
      <w:proofErr w:type="spellEnd"/>
      <w:r w:rsidR="009C1BFA">
        <w:rPr>
          <w:rFonts w:ascii="Arial" w:hAnsi="Arial" w:cs="Arial"/>
          <w:sz w:val="28"/>
          <w:szCs w:val="28"/>
          <w:lang w:val="nl-NL"/>
        </w:rPr>
        <w:t xml:space="preserve"> Health </w:t>
      </w:r>
      <w:proofErr w:type="spellStart"/>
      <w:r w:rsidR="009C1BFA">
        <w:rPr>
          <w:rFonts w:ascii="Arial" w:hAnsi="Arial" w:cs="Arial"/>
          <w:sz w:val="28"/>
          <w:szCs w:val="28"/>
          <w:lang w:val="nl-NL"/>
        </w:rPr>
        <w:t>and</w:t>
      </w:r>
      <w:proofErr w:type="spellEnd"/>
      <w:r w:rsidR="009C1BFA">
        <w:rPr>
          <w:rFonts w:ascii="Arial" w:hAnsi="Arial" w:cs="Arial"/>
          <w:sz w:val="28"/>
          <w:szCs w:val="28"/>
          <w:lang w:val="nl-NL"/>
        </w:rPr>
        <w:t xml:space="preserve"> </w:t>
      </w:r>
      <w:proofErr w:type="spellStart"/>
      <w:r w:rsidR="009C1BFA">
        <w:rPr>
          <w:rFonts w:ascii="Arial" w:hAnsi="Arial" w:cs="Arial"/>
          <w:sz w:val="28"/>
          <w:szCs w:val="28"/>
          <w:lang w:val="nl-NL"/>
        </w:rPr>
        <w:t>social</w:t>
      </w:r>
      <w:proofErr w:type="spellEnd"/>
      <w:r w:rsidR="009C1BFA">
        <w:rPr>
          <w:rFonts w:ascii="Arial" w:hAnsi="Arial" w:cs="Arial"/>
          <w:sz w:val="28"/>
          <w:szCs w:val="28"/>
          <w:lang w:val="nl-NL"/>
        </w:rPr>
        <w:t xml:space="preserve"> care </w:t>
      </w:r>
    </w:p>
    <w:p w14:paraId="529D7354" w14:textId="25A39C1B" w:rsidR="00CD33A8" w:rsidRPr="00A40F53"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296377">
        <w:rPr>
          <w:rFonts w:ascii="Arial" w:hAnsi="Arial" w:cs="Arial"/>
          <w:sz w:val="28"/>
          <w:szCs w:val="28"/>
        </w:rPr>
        <w:t>(</w:t>
      </w:r>
      <w:r w:rsidR="00D16E99">
        <w:rPr>
          <w:rFonts w:ascii="Arial" w:hAnsi="Arial" w:cs="Arial"/>
          <w:sz w:val="28"/>
          <w:szCs w:val="28"/>
        </w:rPr>
        <w:t>LCHS4003_LON)</w:t>
      </w:r>
    </w:p>
    <w:p w14:paraId="0A48766D" w14:textId="6104882C"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 xml:space="preserve">Student </w:t>
      </w:r>
      <w:proofErr w:type="spellStart"/>
      <w:r w:rsidRPr="00CD33A8">
        <w:rPr>
          <w:rFonts w:ascii="Arial" w:hAnsi="Arial" w:cs="Arial"/>
          <w:b/>
          <w:bCs/>
          <w:sz w:val="28"/>
          <w:szCs w:val="28"/>
          <w:lang w:val="nl-NL"/>
        </w:rPr>
        <w:t>name</w:t>
      </w:r>
      <w:r w:rsidRPr="00CD33A8">
        <w:rPr>
          <w:rFonts w:ascii="Arial" w:hAnsi="Arial" w:cs="Arial"/>
          <w:sz w:val="28"/>
          <w:szCs w:val="28"/>
          <w:lang w:val="nl-NL"/>
        </w:rPr>
        <w:t>:</w:t>
      </w:r>
      <w:r w:rsidR="00D16E99">
        <w:rPr>
          <w:rFonts w:ascii="Arial" w:hAnsi="Arial" w:cs="Arial"/>
          <w:sz w:val="28"/>
          <w:szCs w:val="28"/>
          <w:lang w:val="nl-NL"/>
        </w:rPr>
        <w:t>Johanna</w:t>
      </w:r>
      <w:proofErr w:type="spellEnd"/>
      <w:r w:rsidR="00D16E99">
        <w:rPr>
          <w:rFonts w:ascii="Arial" w:hAnsi="Arial" w:cs="Arial"/>
          <w:sz w:val="28"/>
          <w:szCs w:val="28"/>
          <w:lang w:val="nl-NL"/>
        </w:rPr>
        <w:t xml:space="preserve"> </w:t>
      </w:r>
      <w:proofErr w:type="spellStart"/>
      <w:r w:rsidR="00D16E99">
        <w:rPr>
          <w:rFonts w:ascii="Arial" w:hAnsi="Arial" w:cs="Arial"/>
          <w:sz w:val="28"/>
          <w:szCs w:val="28"/>
          <w:lang w:val="nl-NL"/>
        </w:rPr>
        <w:t>Itohan</w:t>
      </w:r>
      <w:proofErr w:type="spellEnd"/>
      <w:r w:rsidR="00D16E99">
        <w:rPr>
          <w:rFonts w:ascii="Arial" w:hAnsi="Arial" w:cs="Arial"/>
          <w:sz w:val="28"/>
          <w:szCs w:val="28"/>
          <w:lang w:val="nl-NL"/>
        </w:rPr>
        <w:t xml:space="preserve"> </w:t>
      </w:r>
      <w:proofErr w:type="spellStart"/>
      <w:r w:rsidR="00D16E99">
        <w:rPr>
          <w:rFonts w:ascii="Arial" w:hAnsi="Arial" w:cs="Arial"/>
          <w:sz w:val="28"/>
          <w:szCs w:val="28"/>
          <w:lang w:val="nl-NL"/>
        </w:rPr>
        <w:t>Erhunmwunse</w:t>
      </w:r>
      <w:proofErr w:type="spellEnd"/>
      <w:r w:rsidR="00D16E99">
        <w:rPr>
          <w:rFonts w:ascii="Arial" w:hAnsi="Arial" w:cs="Arial"/>
          <w:sz w:val="28"/>
          <w:szCs w:val="28"/>
          <w:lang w:val="nl-NL"/>
        </w:rPr>
        <w:t xml:space="preserve"> </w:t>
      </w:r>
    </w:p>
    <w:p w14:paraId="5E81F6AD" w14:textId="7D1ACF0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D16E99">
        <w:rPr>
          <w:rFonts w:ascii="Arial" w:hAnsi="Arial" w:cs="Arial"/>
          <w:sz w:val="28"/>
          <w:szCs w:val="28"/>
          <w:lang w:val="nl-NL"/>
        </w:rPr>
        <w:t>2517217</w:t>
      </w:r>
    </w:p>
    <w:p w14:paraId="420ADE33" w14:textId="3F3DE959" w:rsidR="00B87E75" w:rsidRPr="00A40F53" w:rsidRDefault="008E3943" w:rsidP="00A40F53">
      <w:pPr>
        <w:tabs>
          <w:tab w:val="left" w:pos="6540"/>
        </w:tabs>
        <w:spacing w:line="360" w:lineRule="auto"/>
        <w:rPr>
          <w:rFonts w:ascii="Arial" w:hAnsi="Arial" w:cs="Arial"/>
          <w:sz w:val="28"/>
          <w:szCs w:val="28"/>
        </w:rPr>
      </w:pPr>
      <w:r>
        <w:rPr>
          <w:rFonts w:ascii="Arial" w:hAnsi="Arial" w:cs="Arial"/>
          <w:b/>
          <w:bCs/>
          <w:sz w:val="28"/>
          <w:szCs w:val="28"/>
        </w:rPr>
        <w:t xml:space="preserve">Lecturer’s </w:t>
      </w:r>
      <w:proofErr w:type="spellStart"/>
      <w:r>
        <w:rPr>
          <w:rFonts w:ascii="Arial" w:hAnsi="Arial" w:cs="Arial"/>
          <w:b/>
          <w:bCs/>
          <w:sz w:val="28"/>
          <w:szCs w:val="28"/>
        </w:rPr>
        <w:t>name</w:t>
      </w:r>
      <w:r w:rsidR="00074402" w:rsidRPr="00CD33A8">
        <w:rPr>
          <w:rFonts w:ascii="Arial" w:hAnsi="Arial" w:cs="Arial"/>
          <w:sz w:val="28"/>
          <w:szCs w:val="28"/>
        </w:rPr>
        <w:t>:</w:t>
      </w:r>
      <w:r w:rsidR="00D16E99">
        <w:rPr>
          <w:rFonts w:ascii="Arial" w:hAnsi="Arial" w:cs="Arial"/>
          <w:sz w:val="28"/>
          <w:szCs w:val="28"/>
        </w:rPr>
        <w:t>Jolly</w:t>
      </w:r>
      <w:proofErr w:type="spellEnd"/>
      <w:r w:rsidR="00D16E99">
        <w:rPr>
          <w:rFonts w:ascii="Arial" w:hAnsi="Arial" w:cs="Arial"/>
          <w:sz w:val="28"/>
          <w:szCs w:val="28"/>
        </w:rPr>
        <w:t xml:space="preserve"> </w:t>
      </w:r>
      <w:proofErr w:type="spellStart"/>
      <w:r w:rsidR="00D16E99">
        <w:rPr>
          <w:rFonts w:ascii="Arial" w:hAnsi="Arial" w:cs="Arial"/>
          <w:sz w:val="28"/>
          <w:szCs w:val="28"/>
        </w:rPr>
        <w:t>Nwankwo</w:t>
      </w:r>
      <w:proofErr w:type="spellEnd"/>
      <w:r w:rsidR="00D16E99">
        <w:rPr>
          <w:rFonts w:ascii="Arial" w:hAnsi="Arial" w:cs="Arial"/>
          <w:sz w:val="28"/>
          <w:szCs w:val="28"/>
        </w:rPr>
        <w:t xml:space="preserve"> </w:t>
      </w:r>
    </w:p>
    <w:p w14:paraId="4F7320CB" w14:textId="65EF64C4" w:rsidR="00B87E75" w:rsidRPr="00CD33A8" w:rsidRDefault="00B87E75" w:rsidP="00CD33A8">
      <w:pPr>
        <w:spacing w:line="360" w:lineRule="auto"/>
        <w:rPr>
          <w:rFonts w:asciiTheme="minorBidi" w:hAnsiTheme="minorBidi"/>
          <w:sz w:val="22"/>
        </w:rPr>
      </w:pPr>
    </w:p>
    <w:p w14:paraId="12D76753" w14:textId="393172FB" w:rsidR="00B87E75" w:rsidRPr="00CD33A8" w:rsidRDefault="00B87E75" w:rsidP="00E620E7">
      <w:pPr>
        <w:pStyle w:val="Heading1"/>
      </w:pPr>
      <w:r w:rsidRPr="00CD33A8">
        <w:t>1. Introduction</w:t>
      </w:r>
    </w:p>
    <w:p w14:paraId="109D5EDE" w14:textId="77777777" w:rsidR="00B31446" w:rsidRDefault="00B31446">
      <w:pPr>
        <w:pStyle w:val="NormalWeb"/>
      </w:pPr>
      <w:r>
        <w:t>Mrs Thompson is an 84-year-old woman who has recently returned home after receiving hospital treatment for pneumonia. She lives independently in sheltered accommodation and receives support from domiciliary care workers twice each day. Mrs Thompson has mild dementia, which has affected her memory and has led to concerns about missed medication, confusion, and difficulties managing some aspects of daily living. A further concern was identified when she was found outside during cold weather without suitable clothing, raising questions about her safety and ability to remain independent. Due to these concerns, the local authority is reviewing her circumstances and a medication assessment has been requested.</w:t>
      </w:r>
    </w:p>
    <w:p w14:paraId="52010A5E" w14:textId="28E2CACD" w:rsidR="0026393A" w:rsidRPr="00B31446" w:rsidRDefault="00B31446" w:rsidP="00B31446">
      <w:pPr>
        <w:pStyle w:val="NormalWeb"/>
      </w:pPr>
      <w:r>
        <w:t>This report will explore three areas of health and social care practice that are important when supporting Mrs Thompson. The first section will discuss the role of communication when working with individuals and their families, including the importance of equality and inclusion under the Equality Act 2010. The second section will examine administrative responsibilities, focusing on accurate documentation, confidentiality, and the requirements of the Data Protection Act 2018. The final section will consider how professionals from different services can work together to provide coordinated and appropriate support for Mrs Thompson.</w:t>
      </w: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7E40A47A" w14:textId="77777777" w:rsidR="0077634F" w:rsidRDefault="0077634F">
      <w:pPr>
        <w:pStyle w:val="NormalWeb"/>
      </w:pPr>
      <w:r>
        <w:t>Communication is a vital part of health and social care because it allows professionals to understand a person’s needs, preferences, and concerns. Good communication can help develop positive relationships between service users and professionals, while also ensuring that care is provided safely and respectfully. For individuals living with dementia, communication may require additional consideration because memory problems and confusion can affect how information is understood and remembered.</w:t>
      </w:r>
    </w:p>
    <w:p w14:paraId="10F2C779" w14:textId="77777777" w:rsidR="0077634F" w:rsidRDefault="0077634F">
      <w:pPr>
        <w:pStyle w:val="NormalWeb"/>
      </w:pPr>
      <w:r>
        <w:t>In Mrs Thompson’s case, her mild dementia means that health and social care workers need to adjust their approach when providing support. Professionals should avoid using complicated language and instead provide information in a clear and straightforward way. Allowing extra time for Mrs Thompson to respond, listening carefully, and checking her understanding can help her feel involved in decisions about her own care. This approach supports her dignity and encourages independence.</w:t>
      </w:r>
    </w:p>
    <w:p w14:paraId="4CDB16B1" w14:textId="77777777" w:rsidR="0077634F" w:rsidRDefault="0077634F">
      <w:pPr>
        <w:pStyle w:val="NormalWeb"/>
      </w:pPr>
      <w:r>
        <w:t>A person-centred approach recognises that Mrs Thompson is an individual with her own history, preferences, and abilities. Although she has dementia, professionals should not focus only on her condition. Care workers should continue to involve her in discussions about her daily routine, medication, and support needs. For example, when discussing medication, staff should explain information clearly and encourage Mrs Thompson to ask questions rather than making decisions without her involvement.</w:t>
      </w:r>
    </w:p>
    <w:p w14:paraId="0C0264D0" w14:textId="77777777" w:rsidR="0077634F" w:rsidRDefault="0077634F">
      <w:pPr>
        <w:pStyle w:val="NormalWeb"/>
      </w:pPr>
      <w:r>
        <w:t>Communication may also involve using alternative methods to support memory difficulties. Written reminders, medication charts, calendars, or visual information may help Mrs Thompson manage important tasks. The most suitable method will depend on her individual needs and should be reviewed regularly as her circumstances change.</w:t>
      </w:r>
    </w:p>
    <w:p w14:paraId="52E2313D" w14:textId="77777777" w:rsidR="0077634F" w:rsidRDefault="0077634F">
      <w:pPr>
        <w:pStyle w:val="NormalWeb"/>
      </w:pPr>
      <w:r>
        <w:t>Family communication can also contribute to effective support. Relatives may be able to provide useful information about changes in Mrs Thompson’s behaviour, routines, or general wellbeing. However, professionals must respect her confidentiality and right to control her own personal information. Details about her health and care should only be shared appropriately and with consideration of the Data Protection Act 2018.</w:t>
      </w:r>
    </w:p>
    <w:p w14:paraId="4A87DB68" w14:textId="77777777" w:rsidR="0077634F" w:rsidRDefault="0077634F">
      <w:pPr>
        <w:pStyle w:val="NormalWeb"/>
      </w:pPr>
      <w:r>
        <w:t>The Equality Act 2010 is also relevant to Mrs Thompson’s situation because it protects individuals from unfair treatment and discrimination. Age and disability are recognised as protected characteristics under the legislation. Health and social care professionals must therefore ensure that Mrs Thompson receives equal access to services and that reasonable adjustments are considered. For example, adapting communication methods may help ensure that her dementia does not prevent her from understanding information or participating in decisions about her care.</w:t>
      </w:r>
    </w:p>
    <w:p w14:paraId="58F91459" w14:textId="77777777" w:rsidR="0077634F" w:rsidRDefault="0077634F">
      <w:pPr>
        <w:pStyle w:val="NormalWeb"/>
      </w:pPr>
      <w:proofErr w:type="spellStart"/>
      <w:r>
        <w:t>Berlo’s</w:t>
      </w:r>
      <w:proofErr w:type="spellEnd"/>
      <w:r>
        <w:t xml:space="preserve"> SMCR Model of Communication (1960) can be used to understand how communication takes place between professionals and service users. The model includes four elements: Source, Message, Channel, and Receiver. The source is the person delivering the information, the message is what is being communicated, the channel is the method used, and the receiver is the person receiving and interpreting the information.</w:t>
      </w:r>
    </w:p>
    <w:p w14:paraId="668E85ED" w14:textId="77777777" w:rsidR="0077634F" w:rsidRDefault="0077634F">
      <w:pPr>
        <w:pStyle w:val="NormalWeb"/>
      </w:pPr>
      <w:r>
        <w:t>When applying this model to Mrs Thompson, professionals must consider whether the communication method is suitable for her needs. For example, a care worker explaining medication instructions should consider her memory difficulties and use a calm approach, simple explanations, and repetition where required. This can improve understanding and reduce the possibility of mistakes.</w:t>
      </w:r>
    </w:p>
    <w:p w14:paraId="3398AF2B" w14:textId="7C701493" w:rsidR="008E3943" w:rsidRPr="001D3B05" w:rsidRDefault="0077634F" w:rsidP="001D3B05">
      <w:pPr>
        <w:pStyle w:val="NormalWeb"/>
      </w:pPr>
      <w:r>
        <w:t>Effective communication is therefore essential when supporting Mrs Thompson. By adapting their approach, respecting her rights, and encouraging her involvement, professionals can provide care that promotes her safety, confidence, and independence.</w:t>
      </w:r>
    </w:p>
    <w:p w14:paraId="60B2CDC3" w14:textId="12EE5464" w:rsidR="00B87E75" w:rsidRDefault="0026393A" w:rsidP="00E620E7">
      <w:pPr>
        <w:pStyle w:val="Heading1"/>
      </w:pPr>
      <w:r w:rsidRPr="00CD33A8">
        <w:t>3</w:t>
      </w:r>
      <w:r w:rsidR="00B87E75" w:rsidRPr="00CD33A8">
        <w:t>.</w:t>
      </w:r>
      <w:r w:rsidR="008E3943">
        <w:t xml:space="preserve"> I</w:t>
      </w:r>
      <w:r w:rsidR="008E3943" w:rsidRPr="008E3943">
        <w:t xml:space="preserve">mportance of good administrative skills </w:t>
      </w:r>
    </w:p>
    <w:p w14:paraId="60568C54" w14:textId="77777777" w:rsidR="004F6ADF" w:rsidRDefault="004F6ADF">
      <w:pPr>
        <w:pStyle w:val="NormalWeb"/>
      </w:pPr>
      <w:r>
        <w:t>Administrative responsibilities are an important part of health and social care because they help professionals provide organised, safe, and consistent support. Accurate records allow different members of a care team to understand a person’s situation and make appropriate decisions. In Mrs Thompson’s case, good record keeping is particularly important because there are concerns about missed medication, confusion, and risks to her safety.</w:t>
      </w:r>
    </w:p>
    <w:p w14:paraId="735258A4" w14:textId="77777777" w:rsidR="004F6ADF" w:rsidRDefault="004F6ADF">
      <w:pPr>
        <w:pStyle w:val="NormalWeb"/>
      </w:pPr>
      <w:r>
        <w:t>Care records should provide clear and factual information about the support provided. Domiciliary care workers should record important details, such as whether Mrs Thompson has taken her medication, any changes in her behaviour, and any concerns noticed during visits. These records allow other professionals involved in her care to identify changes and respond quickly when additional support may be required.</w:t>
      </w:r>
    </w:p>
    <w:p w14:paraId="391F7B86" w14:textId="77777777" w:rsidR="004F6ADF" w:rsidRDefault="004F6ADF">
      <w:pPr>
        <w:pStyle w:val="NormalWeb"/>
      </w:pPr>
      <w:r>
        <w:t>Poor documentation can create risks for service users. If information is incomplete, inaccurate, or not updated, professionals may not have a full understanding of an individual’s needs. This could result in delays in responding to health concerns or safeguarding issues. For this reason, all records should be completed accurately, professionally, and at the appropriate time.</w:t>
      </w:r>
    </w:p>
    <w:p w14:paraId="07D28565" w14:textId="77777777" w:rsidR="004F6ADF" w:rsidRDefault="004F6ADF">
      <w:pPr>
        <w:pStyle w:val="NormalWeb"/>
      </w:pPr>
      <w:r>
        <w:t>Confidentiality is another important responsibility when managing personal information. The Data Protection Act 2018 sets out requirements for how personal data should be handled. Mrs Thompson’s medical details, care information, and personal circumstances must be protected and only accessed by people who have a legitimate reason to use this information.</w:t>
      </w:r>
    </w:p>
    <w:p w14:paraId="325432A2" w14:textId="77777777" w:rsidR="004F6ADF" w:rsidRDefault="004F6ADF">
      <w:pPr>
        <w:pStyle w:val="NormalWeb"/>
      </w:pPr>
      <w:r>
        <w:t>Although confidentiality is important, there are situations where information sharing is necessary to protect a person’s wellbeing. For example, Mrs Thompson’s GP, community nurse, and care workers may need to share relevant information about her medication difficulties or changes in her condition. Any sharing of information should be appropriate, necessary, and completed according to legal and professional guidance.</w:t>
      </w:r>
    </w:p>
    <w:p w14:paraId="63273A81" w14:textId="77777777" w:rsidR="004F6ADF" w:rsidRDefault="004F6ADF">
      <w:pPr>
        <w:pStyle w:val="NormalWeb"/>
      </w:pPr>
      <w:r>
        <w:t>Good administrative practice also supports accountability within health and social care organisations. Records provide evidence of the care that has been delivered and help professionals review whether support plans are effective. In Mrs Thompson’s situation, accurate documentation may help identify risks and ensure that suitable interventions are introduced to support her continued independence.</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7DA95F2D" w14:textId="77777777" w:rsidR="00A16B7A" w:rsidRDefault="00A16B7A">
      <w:pPr>
        <w:pStyle w:val="NormalWeb"/>
      </w:pPr>
      <w:r>
        <w:t>Collaborative working is an essential part of health and social care because individuals often require support from different professionals and services. Working together allows professionals to combine their knowledge and provide a more complete approach to meeting a person’s needs.</w:t>
      </w:r>
    </w:p>
    <w:p w14:paraId="65B54811" w14:textId="77777777" w:rsidR="00A16B7A" w:rsidRDefault="00A16B7A">
      <w:pPr>
        <w:pStyle w:val="NormalWeb"/>
      </w:pPr>
      <w:r>
        <w:t>Mrs Thompson’s care may involve several professionals, including her GP, community nurses, social care workers, and domiciliary care staff. Each professional has a specific role in supporting her wellbeing. For example, the GP may review her medication and health following her recent illness, while care workers may identify concerns during their daily visits and report any changes in her condition.</w:t>
      </w:r>
    </w:p>
    <w:p w14:paraId="769AA4A4" w14:textId="77777777" w:rsidR="00A16B7A" w:rsidRDefault="00A16B7A">
      <w:pPr>
        <w:pStyle w:val="NormalWeb"/>
      </w:pPr>
      <w:r>
        <w:t>Effective teamwork depends on good communication and appropriate information sharing. When professionals work together, they can develop a clearer understanding of Mrs Thompson’s needs and make decisions that support her safety. For example, concerns about missed medication can be discussed between healthcare and social care professionals to identify possible solutions.</w:t>
      </w:r>
    </w:p>
    <w:p w14:paraId="25AB1A12" w14:textId="77777777" w:rsidR="00A16B7A" w:rsidRDefault="00A16B7A">
      <w:pPr>
        <w:pStyle w:val="NormalWeb"/>
      </w:pPr>
      <w:r>
        <w:t>Collaborative working can also help reduce risks. Mrs Thompson’s recent experience of being found outside in cold weather shows the importance of professionals communicating concerns and working together to assess whether additional support is needed. A coordinated approach can help prevent future incidents and promote a safer living environment.</w:t>
      </w:r>
    </w:p>
    <w:p w14:paraId="3013ECFF" w14:textId="77777777" w:rsidR="00A16B7A" w:rsidRDefault="00A16B7A">
      <w:pPr>
        <w:pStyle w:val="NormalWeb"/>
      </w:pPr>
      <w:r>
        <w:t>However, there can be challenges when different services work together. These may include poor communication, unclear responsibilities, or delays in sharing important information. To overcome these problems, professionals should establish clear communication processes, understand their individual responsibilities, and work towards shared goals.</w:t>
      </w:r>
    </w:p>
    <w:p w14:paraId="0777BEEB" w14:textId="77777777" w:rsidR="00A16B7A" w:rsidRDefault="00A16B7A">
      <w:pPr>
        <w:pStyle w:val="NormalWeb"/>
      </w:pPr>
      <w:r>
        <w:t>Although professionals provide support, Mrs Thompson should remain at the centre of decisions about her care. Her opinions, wishes, and independence should be respected as much as possible. A collaborative approach should not remove her involvement but should help her receive the right support while maintaining control over her life.</w:t>
      </w:r>
    </w:p>
    <w:p w14:paraId="3A742EE2" w14:textId="78EF0E82" w:rsidR="008E3943" w:rsidRPr="00A16B7A" w:rsidRDefault="00A16B7A" w:rsidP="00A16B7A">
      <w:pPr>
        <w:pStyle w:val="NormalWeb"/>
      </w:pPr>
      <w:r>
        <w:t>Overall, effective partnership working can improve the quality of care provided to Mrs Thompson. By combining professional knowledge, sharing relevant information, and respecting her choices, health and social care workers can help her remain safe and maintain her independence.</w:t>
      </w:r>
    </w:p>
    <w:p w14:paraId="6DBC958B" w14:textId="06D6E5E2" w:rsidR="00CD33A8" w:rsidRDefault="008E3943" w:rsidP="008E3943">
      <w:pPr>
        <w:tabs>
          <w:tab w:val="left" w:pos="6540"/>
        </w:tabs>
        <w:spacing w:line="360" w:lineRule="auto"/>
      </w:pPr>
      <w:r>
        <w:t>5</w:t>
      </w:r>
      <w:r w:rsidR="00B87E75" w:rsidRPr="00CD33A8">
        <w:t xml:space="preserve">. </w:t>
      </w:r>
      <w:r w:rsidR="0094221B">
        <w:t xml:space="preserve">Conclusion </w:t>
      </w:r>
    </w:p>
    <w:p w14:paraId="3F0F4666" w14:textId="77777777" w:rsidR="005B142F" w:rsidRDefault="005B142F">
      <w:pPr>
        <w:pStyle w:val="NormalWeb"/>
      </w:pPr>
      <w:r>
        <w:t>Mrs Thompson’s situation demonstrates the importance of effective communication, accurate record keeping, and collaborative working within health and social care. Due to her age and mild dementia, she requires support that recognises her individual needs while protecting her dignity, independence, and wellbeing.</w:t>
      </w:r>
    </w:p>
    <w:p w14:paraId="480C7D0A" w14:textId="77777777" w:rsidR="005B142F" w:rsidRDefault="005B142F">
      <w:pPr>
        <w:pStyle w:val="NormalWeb"/>
      </w:pPr>
      <w:r>
        <w:t>Communication plays a significant role in ensuring that Mrs Thompson understands information and remains involved in decisions about her care. By adapting communication methods and following the principles of the Equality Act 2010, professionals can provide inclusive support that respects her rights.</w:t>
      </w:r>
    </w:p>
    <w:p w14:paraId="2225B523" w14:textId="77777777" w:rsidR="005B142F" w:rsidRDefault="005B142F">
      <w:pPr>
        <w:pStyle w:val="NormalWeb"/>
      </w:pPr>
      <w:r>
        <w:t>Accurate record keeping and responsible information management are also essential. Following the Data Protection Act 2018 ensures that Mrs Thompson’s personal information remains confidential while allowing appropriate sharing between professionals when necessary for her care.</w:t>
      </w:r>
    </w:p>
    <w:p w14:paraId="1BA2C4A7" w14:textId="77777777" w:rsidR="005B142F" w:rsidRDefault="005B142F">
      <w:pPr>
        <w:pStyle w:val="NormalWeb"/>
      </w:pPr>
      <w:r>
        <w:t>Furthermore, collaboration between different professionals enables a coordinated response to Mrs Thompson’s needs. By working together, healthcare and social care teams can identify risks, manage concerns, and provide support that helps her remain as independent as possible.</w:t>
      </w:r>
    </w:p>
    <w:p w14:paraId="18999130" w14:textId="0FF4BA92" w:rsidR="00CD33A8" w:rsidRPr="005B142F" w:rsidRDefault="005B142F" w:rsidP="005B142F">
      <w:pPr>
        <w:pStyle w:val="NormalWeb"/>
      </w:pPr>
      <w:r>
        <w:t>Providing care for older adults with complex needs requires compassion, effective communication, and professional responsibility. Through person-centred practice and teamwork, health and social care professionals can improve outcomes and support individuals to live with dignity and respect.</w:t>
      </w:r>
    </w:p>
    <w:p w14:paraId="33F8F0BD" w14:textId="597FD84B" w:rsidR="00B87E75" w:rsidRDefault="00B87E75" w:rsidP="00E620E7">
      <w:pPr>
        <w:pStyle w:val="Heading1"/>
      </w:pPr>
      <w:r w:rsidRPr="00CD33A8">
        <w:t>References</w:t>
      </w:r>
    </w:p>
    <w:p w14:paraId="0DB6D617" w14:textId="77777777" w:rsidR="00115055" w:rsidRDefault="00115055">
      <w:pPr>
        <w:pStyle w:val="NormalWeb"/>
      </w:pPr>
      <w:r>
        <w:t xml:space="preserve">Adler, R.B., Rosenfeld, L.B. and Proctor, R.F. (2020) </w:t>
      </w:r>
      <w:r>
        <w:rPr>
          <w:rStyle w:val="Emphasis"/>
        </w:rPr>
        <w:t>Interplay: The Process of Interpersonal Communication</w:t>
      </w:r>
      <w:r>
        <w:t xml:space="preserve">. 15th </w:t>
      </w:r>
      <w:proofErr w:type="spellStart"/>
      <w:r>
        <w:t>edn</w:t>
      </w:r>
      <w:proofErr w:type="spellEnd"/>
      <w:r>
        <w:t>. New York: Oxford University Press.</w:t>
      </w:r>
    </w:p>
    <w:p w14:paraId="3A3FE3D5" w14:textId="77777777" w:rsidR="00115055" w:rsidRDefault="00115055">
      <w:pPr>
        <w:pStyle w:val="NormalWeb"/>
      </w:pPr>
      <w:proofErr w:type="spellStart"/>
      <w:r>
        <w:t>Berlo</w:t>
      </w:r>
      <w:proofErr w:type="spellEnd"/>
      <w:r>
        <w:t xml:space="preserve">, D.K. (1960) </w:t>
      </w:r>
      <w:r>
        <w:rPr>
          <w:rStyle w:val="Emphasis"/>
        </w:rPr>
        <w:t>The Process of Communication: An Introduction to Theory and Practice</w:t>
      </w:r>
      <w:r>
        <w:t>. New York: Holt, Rinehart and Winston.</w:t>
      </w:r>
    </w:p>
    <w:p w14:paraId="4014340D" w14:textId="77777777" w:rsidR="00115055" w:rsidRDefault="00115055">
      <w:pPr>
        <w:pStyle w:val="NormalWeb"/>
      </w:pPr>
      <w:r>
        <w:t>Care Act 2014. London: The Stationery Office.</w:t>
      </w:r>
    </w:p>
    <w:p w14:paraId="621DB01C" w14:textId="77777777" w:rsidR="00115055" w:rsidRDefault="00115055">
      <w:pPr>
        <w:pStyle w:val="NormalWeb"/>
      </w:pPr>
      <w:r>
        <w:t>Data Protection Act 2018. London: The Stationery Office.</w:t>
      </w:r>
    </w:p>
    <w:p w14:paraId="27FA16C3" w14:textId="77777777" w:rsidR="00115055" w:rsidRDefault="00115055">
      <w:pPr>
        <w:pStyle w:val="NormalWeb"/>
      </w:pPr>
      <w:r>
        <w:t>Equality Act 2010. London: The Stationery Office.</w:t>
      </w:r>
    </w:p>
    <w:p w14:paraId="40480298" w14:textId="77777777" w:rsidR="00115055" w:rsidRDefault="00115055">
      <w:pPr>
        <w:pStyle w:val="NormalWeb"/>
      </w:pPr>
      <w:r>
        <w:t xml:space="preserve">National Institute for Health and Care Excellence (NICE) (2018) </w:t>
      </w:r>
      <w:r>
        <w:rPr>
          <w:rStyle w:val="Emphasis"/>
        </w:rPr>
        <w:t>Dementia: Assessment, Management and Support for People Living with Dementia and Their Carers (NG97).</w:t>
      </w:r>
      <w:r>
        <w:t xml:space="preserve"> London: NICE.</w:t>
      </w:r>
    </w:p>
    <w:p w14:paraId="25984D33" w14:textId="77777777" w:rsidR="00115055" w:rsidRDefault="00115055">
      <w:pPr>
        <w:pStyle w:val="NormalWeb"/>
      </w:pPr>
      <w:r>
        <w:t xml:space="preserve">National Institute for Health and Care Excellence (NICE) (2023) </w:t>
      </w:r>
      <w:r>
        <w:rPr>
          <w:rStyle w:val="Emphasis"/>
        </w:rPr>
        <w:t>Medicines Optimisation: The Safe and Effective Use of Medicines to Enable the Best Possible Outcomes.</w:t>
      </w:r>
      <w:r>
        <w:t xml:space="preserve"> London: NICE.</w:t>
      </w:r>
    </w:p>
    <w:p w14:paraId="5ED6580B" w14:textId="77777777" w:rsidR="00115055" w:rsidRDefault="00115055">
      <w:pPr>
        <w:pStyle w:val="NormalWeb"/>
      </w:pPr>
      <w:r>
        <w:t xml:space="preserve">Nursing and Midwifery Council (NMC) (2018) </w:t>
      </w:r>
      <w:r>
        <w:rPr>
          <w:rStyle w:val="Emphasis"/>
        </w:rPr>
        <w:t>The Code: Professional Standards of Practice and Behaviour for Nurses, Midwives and Nursing Associates.</w:t>
      </w:r>
      <w:r>
        <w:t xml:space="preserve"> London: NMC.</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1A8D0" w14:textId="77777777" w:rsidR="007A1B8D" w:rsidRDefault="007A1B8D" w:rsidP="003E4ECF">
      <w:pPr>
        <w:spacing w:after="0" w:line="240" w:lineRule="auto"/>
      </w:pPr>
      <w:r>
        <w:separator/>
      </w:r>
    </w:p>
  </w:endnote>
  <w:endnote w:type="continuationSeparator" w:id="0">
    <w:p w14:paraId="21833636" w14:textId="77777777" w:rsidR="007A1B8D" w:rsidRDefault="007A1B8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E3639" w14:textId="77777777" w:rsidR="007A1B8D" w:rsidRDefault="007A1B8D" w:rsidP="003E4ECF">
      <w:pPr>
        <w:spacing w:after="0" w:line="240" w:lineRule="auto"/>
      </w:pPr>
      <w:r>
        <w:separator/>
      </w:r>
    </w:p>
  </w:footnote>
  <w:footnote w:type="continuationSeparator" w:id="0">
    <w:p w14:paraId="5764AEE1" w14:textId="77777777" w:rsidR="007A1B8D" w:rsidRDefault="007A1B8D"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15055"/>
    <w:rsid w:val="001D3B05"/>
    <w:rsid w:val="001D7C03"/>
    <w:rsid w:val="00216C85"/>
    <w:rsid w:val="0026393A"/>
    <w:rsid w:val="00273EDD"/>
    <w:rsid w:val="00296377"/>
    <w:rsid w:val="002C3965"/>
    <w:rsid w:val="00321C4C"/>
    <w:rsid w:val="00325882"/>
    <w:rsid w:val="00392BBC"/>
    <w:rsid w:val="003E4ECF"/>
    <w:rsid w:val="004A736E"/>
    <w:rsid w:val="004F6ADF"/>
    <w:rsid w:val="00532BC1"/>
    <w:rsid w:val="005B142F"/>
    <w:rsid w:val="006925AA"/>
    <w:rsid w:val="00725177"/>
    <w:rsid w:val="0077634F"/>
    <w:rsid w:val="007A1B8D"/>
    <w:rsid w:val="00814A9E"/>
    <w:rsid w:val="008E3943"/>
    <w:rsid w:val="0090040D"/>
    <w:rsid w:val="0094221B"/>
    <w:rsid w:val="009C1BFA"/>
    <w:rsid w:val="009D052C"/>
    <w:rsid w:val="009D1D1E"/>
    <w:rsid w:val="00A035FD"/>
    <w:rsid w:val="00A16B7A"/>
    <w:rsid w:val="00A40F53"/>
    <w:rsid w:val="00AD23A0"/>
    <w:rsid w:val="00B31446"/>
    <w:rsid w:val="00B87E75"/>
    <w:rsid w:val="00CD33A8"/>
    <w:rsid w:val="00D16E99"/>
    <w:rsid w:val="00DA4C45"/>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unhideWhenUsed/>
    <w:rsid w:val="00B31446"/>
    <w:pPr>
      <w:spacing w:before="100" w:beforeAutospacing="1" w:after="100" w:afterAutospacing="1" w:line="240" w:lineRule="auto"/>
    </w:pPr>
    <w:rPr>
      <w:rFonts w:eastAsiaTheme="minorEastAsia" w:cs="Times New Roman"/>
      <w:szCs w:val="24"/>
    </w:rPr>
  </w:style>
  <w:style w:type="character" w:styleId="Emphasis">
    <w:name w:val="Emphasis"/>
    <w:basedOn w:val="DefaultParagraphFont"/>
    <w:uiPriority w:val="20"/>
    <w:qFormat/>
    <w:rsid w:val="001150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image" Target="cid:image001.png@01D0EA4A.2BD679A0"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1900</Words>
  <Characters>10835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Johanna Erhunmwunse</cp:lastModifiedBy>
  <cp:revision>2</cp:revision>
  <dcterms:created xsi:type="dcterms:W3CDTF">2026-07-30T16:39:00Z</dcterms:created>
  <dcterms:modified xsi:type="dcterms:W3CDTF">2026-07-30T16:39:00Z</dcterms:modified>
</cp:coreProperties>
</file>