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EDEC3B" w14:textId="2D9F640E" w:rsidR="20980F33" w:rsidRDefault="20980F33" w:rsidP="20980F33">
      <w:pPr>
        <w:jc w:val="center"/>
        <w:rPr>
          <w:b/>
          <w:bCs/>
          <w:sz w:val="48"/>
          <w:szCs w:val="48"/>
        </w:rPr>
      </w:pPr>
    </w:p>
    <w:p w14:paraId="56CE46BD" w14:textId="77777777" w:rsidR="00212E68" w:rsidRDefault="00212E68" w:rsidP="20980F33">
      <w:pPr>
        <w:jc w:val="center"/>
        <w:rPr>
          <w:b/>
          <w:bCs/>
          <w:sz w:val="48"/>
          <w:szCs w:val="48"/>
        </w:rPr>
      </w:pPr>
    </w:p>
    <w:p w14:paraId="7B3F8BC1" w14:textId="784F2FEE" w:rsidR="20980F33" w:rsidRDefault="20980F33" w:rsidP="20980F33">
      <w:pPr>
        <w:jc w:val="center"/>
        <w:rPr>
          <w:b/>
          <w:bCs/>
          <w:sz w:val="48"/>
          <w:szCs w:val="48"/>
        </w:rPr>
      </w:pPr>
      <w:r w:rsidRPr="20980F33">
        <w:rPr>
          <w:b/>
          <w:bCs/>
          <w:sz w:val="48"/>
          <w:szCs w:val="48"/>
        </w:rPr>
        <w:t xml:space="preserve">BA Business Managment </w:t>
      </w:r>
    </w:p>
    <w:p w14:paraId="780F2A79" w14:textId="0F068197" w:rsidR="009B1215" w:rsidRDefault="20980F33" w:rsidP="20980F33">
      <w:pPr>
        <w:jc w:val="center"/>
        <w:rPr>
          <w:b/>
          <w:bCs/>
          <w:i/>
          <w:iCs/>
          <w:sz w:val="40"/>
          <w:szCs w:val="40"/>
        </w:rPr>
      </w:pPr>
      <w:r w:rsidRPr="20980F33">
        <w:rPr>
          <w:b/>
          <w:bCs/>
          <w:i/>
          <w:iCs/>
          <w:sz w:val="40"/>
          <w:szCs w:val="40"/>
        </w:rPr>
        <w:t>Strategic Management and Sustainability: Case study of Unilever</w:t>
      </w:r>
    </w:p>
    <w:p w14:paraId="1A9182B1" w14:textId="57528ADD" w:rsidR="20980F33" w:rsidRDefault="20980F33" w:rsidP="20980F33">
      <w:pPr>
        <w:jc w:val="center"/>
        <w:rPr>
          <w:i/>
          <w:iCs/>
          <w:sz w:val="40"/>
          <w:szCs w:val="40"/>
        </w:rPr>
      </w:pPr>
      <w:r w:rsidRPr="20980F33">
        <w:rPr>
          <w:i/>
          <w:iCs/>
          <w:sz w:val="40"/>
          <w:szCs w:val="40"/>
        </w:rPr>
        <w:t>Assignment Title: Component 1, Coursework: Written Report</w:t>
      </w:r>
    </w:p>
    <w:p w14:paraId="41126F8E" w14:textId="1EBDA334" w:rsidR="20980F33" w:rsidRDefault="20980F33" w:rsidP="20980F33">
      <w:pPr>
        <w:jc w:val="center"/>
        <w:rPr>
          <w:b/>
          <w:bCs/>
          <w:i/>
          <w:iCs/>
          <w:sz w:val="40"/>
          <w:szCs w:val="40"/>
        </w:rPr>
      </w:pPr>
    </w:p>
    <w:p w14:paraId="333506D3" w14:textId="1040A4D9" w:rsidR="20980F33" w:rsidRDefault="20980F33" w:rsidP="20980F33">
      <w:pPr>
        <w:jc w:val="center"/>
        <w:rPr>
          <w:b/>
          <w:bCs/>
          <w:i/>
          <w:iCs/>
          <w:sz w:val="40"/>
          <w:szCs w:val="40"/>
        </w:rPr>
      </w:pPr>
    </w:p>
    <w:p w14:paraId="51FBF3E3" w14:textId="11F99D52" w:rsidR="20980F33" w:rsidRDefault="20980F33" w:rsidP="20980F33">
      <w:pPr>
        <w:jc w:val="center"/>
        <w:rPr>
          <w:b/>
          <w:bCs/>
          <w:i/>
          <w:iCs/>
          <w:sz w:val="40"/>
          <w:szCs w:val="40"/>
        </w:rPr>
      </w:pPr>
    </w:p>
    <w:p w14:paraId="2C43D697" w14:textId="11D9B9C7" w:rsidR="20980F33" w:rsidRDefault="00E57492" w:rsidP="00E57492">
      <w:pPr>
        <w:tabs>
          <w:tab w:val="left" w:pos="840"/>
        </w:tabs>
        <w:rPr>
          <w:b/>
          <w:bCs/>
          <w:i/>
          <w:iCs/>
          <w:sz w:val="40"/>
          <w:szCs w:val="40"/>
        </w:rPr>
      </w:pPr>
      <w:r>
        <w:rPr>
          <w:b/>
          <w:bCs/>
          <w:i/>
          <w:iCs/>
          <w:sz w:val="40"/>
          <w:szCs w:val="40"/>
        </w:rPr>
        <w:tab/>
      </w:r>
    </w:p>
    <w:p w14:paraId="68B8C867" w14:textId="77777777" w:rsidR="00E57492" w:rsidRDefault="00E57492" w:rsidP="00E57492">
      <w:pPr>
        <w:tabs>
          <w:tab w:val="left" w:pos="840"/>
        </w:tabs>
        <w:rPr>
          <w:b/>
          <w:bCs/>
          <w:i/>
          <w:iCs/>
          <w:sz w:val="40"/>
          <w:szCs w:val="40"/>
        </w:rPr>
      </w:pPr>
    </w:p>
    <w:p w14:paraId="552C0BD5" w14:textId="1ABB5F66" w:rsidR="20980F33" w:rsidRPr="00212E68" w:rsidRDefault="20980F33" w:rsidP="20980F33">
      <w:pPr>
        <w:rPr>
          <w:b/>
          <w:bCs/>
          <w:i/>
          <w:iCs/>
          <w:sz w:val="28"/>
          <w:szCs w:val="28"/>
        </w:rPr>
      </w:pPr>
      <w:r w:rsidRPr="00212E68">
        <w:rPr>
          <w:b/>
          <w:bCs/>
          <w:sz w:val="28"/>
          <w:szCs w:val="28"/>
        </w:rPr>
        <w:t xml:space="preserve">Student Name: Mihail Cristian </w:t>
      </w:r>
    </w:p>
    <w:p w14:paraId="28C93AB8" w14:textId="55578160" w:rsidR="20980F33" w:rsidRPr="00212E68" w:rsidRDefault="20980F33" w:rsidP="20980F33">
      <w:pPr>
        <w:rPr>
          <w:b/>
          <w:bCs/>
          <w:sz w:val="28"/>
          <w:szCs w:val="28"/>
        </w:rPr>
      </w:pPr>
      <w:r w:rsidRPr="00212E68">
        <w:rPr>
          <w:b/>
          <w:bCs/>
          <w:sz w:val="28"/>
          <w:szCs w:val="28"/>
        </w:rPr>
        <w:t>Student ID: 2112321</w:t>
      </w:r>
    </w:p>
    <w:p w14:paraId="4A749CDE" w14:textId="699C512C" w:rsidR="20980F33" w:rsidRPr="00212E68" w:rsidRDefault="20980F33" w:rsidP="20980F33">
      <w:pPr>
        <w:rPr>
          <w:b/>
          <w:bCs/>
          <w:sz w:val="28"/>
          <w:szCs w:val="28"/>
        </w:rPr>
      </w:pPr>
      <w:r w:rsidRPr="00212E68">
        <w:rPr>
          <w:b/>
          <w:bCs/>
          <w:sz w:val="28"/>
          <w:szCs w:val="28"/>
        </w:rPr>
        <w:t xml:space="preserve">Module Code: LCBB6004 </w:t>
      </w:r>
    </w:p>
    <w:p w14:paraId="105C5C5A" w14:textId="60B8F192" w:rsidR="20980F33" w:rsidRPr="00212E68" w:rsidRDefault="20980F33" w:rsidP="20980F33">
      <w:pPr>
        <w:rPr>
          <w:b/>
          <w:bCs/>
          <w:sz w:val="28"/>
          <w:szCs w:val="28"/>
        </w:rPr>
      </w:pPr>
      <w:r w:rsidRPr="00212E68">
        <w:rPr>
          <w:b/>
          <w:bCs/>
          <w:sz w:val="28"/>
          <w:szCs w:val="28"/>
        </w:rPr>
        <w:t xml:space="preserve">Lecturer: Piyumika Kithulgoda Gamage </w:t>
      </w:r>
    </w:p>
    <w:p w14:paraId="3A31AD57" w14:textId="39B99AA8" w:rsidR="00A0722C" w:rsidRDefault="00A0722C" w:rsidP="00C3657A">
      <w:pPr>
        <w:rPr>
          <w:b/>
          <w:bCs/>
          <w:i/>
          <w:iCs/>
          <w:sz w:val="60"/>
          <w:szCs w:val="60"/>
        </w:rPr>
      </w:pPr>
    </w:p>
    <w:p w14:paraId="4FE07780" w14:textId="77777777" w:rsidR="00212E68" w:rsidRPr="00212E68" w:rsidRDefault="00212E68" w:rsidP="00212E68">
      <w:pPr>
        <w:pStyle w:val="1"/>
        <w:rPr>
          <w:sz w:val="28"/>
        </w:rPr>
      </w:pPr>
      <w:bookmarkStart w:id="0" w:name="_Toc163086296"/>
      <w:bookmarkStart w:id="1" w:name="_Toc163084870"/>
      <w:r w:rsidRPr="00212E68">
        <w:rPr>
          <w:sz w:val="28"/>
        </w:rPr>
        <w:lastRenderedPageBreak/>
        <w:t>Contents</w:t>
      </w:r>
    </w:p>
    <w:p w14:paraId="715559F7" w14:textId="55CB4061" w:rsidR="00212E68" w:rsidRPr="00212E68" w:rsidRDefault="00212E68" w:rsidP="00212E68">
      <w:pPr>
        <w:pStyle w:val="1"/>
        <w:rPr>
          <w:sz w:val="24"/>
          <w:szCs w:val="24"/>
        </w:rPr>
      </w:pPr>
      <w:r>
        <w:rPr>
          <w:sz w:val="24"/>
          <w:szCs w:val="24"/>
        </w:rPr>
        <w:t xml:space="preserve">Introduction …………………………………………………………………………….  </w:t>
      </w:r>
      <w:r w:rsidRPr="00212E68">
        <w:rPr>
          <w:sz w:val="24"/>
          <w:szCs w:val="24"/>
        </w:rPr>
        <w:t>3</w:t>
      </w:r>
    </w:p>
    <w:p w14:paraId="72694B38" w14:textId="07B6BB5F" w:rsidR="00212E68" w:rsidRPr="00212E68" w:rsidRDefault="00212E68" w:rsidP="00212E68">
      <w:pPr>
        <w:pStyle w:val="1"/>
        <w:rPr>
          <w:sz w:val="24"/>
          <w:szCs w:val="24"/>
        </w:rPr>
      </w:pPr>
      <w:r>
        <w:rPr>
          <w:sz w:val="24"/>
          <w:szCs w:val="24"/>
        </w:rPr>
        <w:t>Main body …</w:t>
      </w:r>
      <w:r w:rsidR="00525B41">
        <w:rPr>
          <w:sz w:val="24"/>
          <w:szCs w:val="24"/>
        </w:rPr>
        <w:t xml:space="preserve">……………………………………………………………………………. </w:t>
      </w:r>
      <w:r w:rsidR="002B2F5E">
        <w:rPr>
          <w:sz w:val="24"/>
          <w:szCs w:val="24"/>
        </w:rPr>
        <w:t>3</w:t>
      </w:r>
    </w:p>
    <w:p w14:paraId="4C77922A" w14:textId="620BAFCF" w:rsidR="00212E68" w:rsidRPr="00212E68" w:rsidRDefault="00212E68" w:rsidP="00212E68">
      <w:pPr>
        <w:pStyle w:val="1"/>
        <w:rPr>
          <w:sz w:val="24"/>
          <w:szCs w:val="24"/>
        </w:rPr>
      </w:pPr>
      <w:r w:rsidRPr="00212E68">
        <w:rPr>
          <w:sz w:val="24"/>
          <w:szCs w:val="24"/>
        </w:rPr>
        <w:t>Evalua</w:t>
      </w:r>
      <w:r>
        <w:rPr>
          <w:sz w:val="24"/>
          <w:szCs w:val="24"/>
        </w:rPr>
        <w:t xml:space="preserve">tion based on Porter’s 5 forces ……………………………………………......  </w:t>
      </w:r>
      <w:r w:rsidR="002B2F5E">
        <w:rPr>
          <w:sz w:val="24"/>
          <w:szCs w:val="24"/>
        </w:rPr>
        <w:t>3</w:t>
      </w:r>
    </w:p>
    <w:p w14:paraId="222F219D" w14:textId="519B389B" w:rsidR="00212E68" w:rsidRPr="00212E68" w:rsidRDefault="00212E68" w:rsidP="00212E68">
      <w:pPr>
        <w:pStyle w:val="1"/>
        <w:rPr>
          <w:sz w:val="24"/>
          <w:szCs w:val="24"/>
        </w:rPr>
      </w:pPr>
      <w:r w:rsidRPr="00212E68">
        <w:rPr>
          <w:sz w:val="24"/>
          <w:szCs w:val="24"/>
        </w:rPr>
        <w:t>Unilever’s key bu</w:t>
      </w:r>
      <w:r>
        <w:rPr>
          <w:sz w:val="24"/>
          <w:szCs w:val="24"/>
        </w:rPr>
        <w:t>siness and corpo</w:t>
      </w:r>
      <w:r w:rsidR="00525B41">
        <w:rPr>
          <w:sz w:val="24"/>
          <w:szCs w:val="24"/>
        </w:rPr>
        <w:t xml:space="preserve">rate strategies …………………………………… </w:t>
      </w:r>
      <w:r w:rsidR="002B2F5E">
        <w:rPr>
          <w:sz w:val="24"/>
          <w:szCs w:val="24"/>
        </w:rPr>
        <w:t>4</w:t>
      </w:r>
    </w:p>
    <w:p w14:paraId="05293B09" w14:textId="63376920" w:rsidR="00212E68" w:rsidRPr="00212E68" w:rsidRDefault="00212E68" w:rsidP="00212E68">
      <w:pPr>
        <w:pStyle w:val="1"/>
        <w:rPr>
          <w:sz w:val="24"/>
          <w:szCs w:val="24"/>
        </w:rPr>
      </w:pPr>
      <w:r w:rsidRPr="00212E68">
        <w:rPr>
          <w:sz w:val="24"/>
          <w:szCs w:val="24"/>
        </w:rPr>
        <w:t>Resourc</w:t>
      </w:r>
      <w:r>
        <w:rPr>
          <w:sz w:val="24"/>
          <w:szCs w:val="24"/>
        </w:rPr>
        <w:t xml:space="preserve">es and capabilities of Unilever ……………………………………………….  </w:t>
      </w:r>
      <w:r w:rsidR="002B2F5E">
        <w:rPr>
          <w:sz w:val="24"/>
          <w:szCs w:val="24"/>
        </w:rPr>
        <w:t>5</w:t>
      </w:r>
    </w:p>
    <w:p w14:paraId="19CA8830" w14:textId="7153557E" w:rsidR="00212E68" w:rsidRPr="00212E68" w:rsidRDefault="00212E68" w:rsidP="00212E68">
      <w:pPr>
        <w:pStyle w:val="1"/>
        <w:rPr>
          <w:sz w:val="24"/>
          <w:szCs w:val="24"/>
        </w:rPr>
      </w:pPr>
      <w:r>
        <w:rPr>
          <w:sz w:val="24"/>
          <w:szCs w:val="24"/>
        </w:rPr>
        <w:t>Resources acquired by company ……………………………………………………</w:t>
      </w:r>
      <w:r w:rsidR="00DF76E3">
        <w:rPr>
          <w:sz w:val="24"/>
          <w:szCs w:val="24"/>
        </w:rPr>
        <w:t>...</w:t>
      </w:r>
      <w:r>
        <w:rPr>
          <w:sz w:val="24"/>
          <w:szCs w:val="24"/>
        </w:rPr>
        <w:t xml:space="preserve">  </w:t>
      </w:r>
      <w:r w:rsidRPr="00212E68">
        <w:rPr>
          <w:sz w:val="24"/>
          <w:szCs w:val="24"/>
        </w:rPr>
        <w:t>6</w:t>
      </w:r>
    </w:p>
    <w:p w14:paraId="09D74A98" w14:textId="3A00F0CB" w:rsidR="00212E68" w:rsidRPr="00212E68" w:rsidRDefault="00212E68" w:rsidP="00212E68">
      <w:pPr>
        <w:pStyle w:val="1"/>
        <w:rPr>
          <w:sz w:val="24"/>
          <w:szCs w:val="24"/>
        </w:rPr>
      </w:pPr>
      <w:r w:rsidRPr="00212E68">
        <w:rPr>
          <w:sz w:val="24"/>
          <w:szCs w:val="24"/>
        </w:rPr>
        <w:t>Unilever’s capabilities in current</w:t>
      </w:r>
      <w:r>
        <w:rPr>
          <w:sz w:val="24"/>
          <w:szCs w:val="24"/>
        </w:rPr>
        <w:t xml:space="preserve"> scenario …………………………………………</w:t>
      </w:r>
      <w:r w:rsidR="00DF76E3">
        <w:rPr>
          <w:sz w:val="24"/>
          <w:szCs w:val="24"/>
        </w:rPr>
        <w:t>..</w:t>
      </w:r>
      <w:r>
        <w:rPr>
          <w:sz w:val="24"/>
          <w:szCs w:val="24"/>
        </w:rPr>
        <w:t xml:space="preserve">  </w:t>
      </w:r>
      <w:r w:rsidR="002B2F5E">
        <w:rPr>
          <w:sz w:val="24"/>
          <w:szCs w:val="24"/>
        </w:rPr>
        <w:t>6</w:t>
      </w:r>
    </w:p>
    <w:p w14:paraId="235562B1" w14:textId="334E1FF0" w:rsidR="00212E68" w:rsidRPr="00212E68" w:rsidRDefault="00212E68" w:rsidP="00212E68">
      <w:pPr>
        <w:pStyle w:val="1"/>
        <w:rPr>
          <w:sz w:val="24"/>
          <w:szCs w:val="24"/>
        </w:rPr>
      </w:pPr>
      <w:r w:rsidRPr="00212E68">
        <w:rPr>
          <w:sz w:val="24"/>
          <w:szCs w:val="24"/>
        </w:rPr>
        <w:t>Success rate of Unileve</w:t>
      </w:r>
      <w:r>
        <w:rPr>
          <w:sz w:val="24"/>
          <w:szCs w:val="24"/>
        </w:rPr>
        <w:t xml:space="preserve">r based on competitive position …………………………….  </w:t>
      </w:r>
      <w:r w:rsidRPr="00212E68">
        <w:rPr>
          <w:sz w:val="24"/>
          <w:szCs w:val="24"/>
        </w:rPr>
        <w:t>7</w:t>
      </w:r>
    </w:p>
    <w:p w14:paraId="1DB7DFFE" w14:textId="2E60A4A6" w:rsidR="00212E68" w:rsidRPr="00212E68" w:rsidRDefault="00212E68" w:rsidP="00212E68">
      <w:pPr>
        <w:pStyle w:val="1"/>
        <w:rPr>
          <w:sz w:val="24"/>
          <w:szCs w:val="24"/>
        </w:rPr>
      </w:pPr>
      <w:r w:rsidRPr="00212E68">
        <w:rPr>
          <w:sz w:val="24"/>
          <w:szCs w:val="24"/>
        </w:rPr>
        <w:t>Considering susta</w:t>
      </w:r>
      <w:r>
        <w:rPr>
          <w:sz w:val="24"/>
          <w:szCs w:val="24"/>
        </w:rPr>
        <w:t>inability and environmental CSR ……………………………….</w:t>
      </w:r>
      <w:r w:rsidR="00DF76E3">
        <w:rPr>
          <w:sz w:val="24"/>
          <w:szCs w:val="24"/>
        </w:rPr>
        <w:t>.</w:t>
      </w:r>
      <w:r>
        <w:rPr>
          <w:sz w:val="24"/>
          <w:szCs w:val="24"/>
        </w:rPr>
        <w:t xml:space="preserve">  </w:t>
      </w:r>
      <w:r w:rsidRPr="00212E68">
        <w:rPr>
          <w:sz w:val="24"/>
          <w:szCs w:val="24"/>
        </w:rPr>
        <w:t>8</w:t>
      </w:r>
    </w:p>
    <w:p w14:paraId="3218D5E3" w14:textId="4DA9E085" w:rsidR="00212E68" w:rsidRPr="00212E68" w:rsidRDefault="00B207C3" w:rsidP="00212E68">
      <w:pPr>
        <w:pStyle w:val="1"/>
        <w:rPr>
          <w:sz w:val="24"/>
          <w:szCs w:val="24"/>
        </w:rPr>
      </w:pPr>
      <w:r>
        <w:rPr>
          <w:sz w:val="24"/>
          <w:szCs w:val="24"/>
        </w:rPr>
        <w:t>Strategic direction for Unilever in Future …………</w:t>
      </w:r>
      <w:r w:rsidR="00212E68">
        <w:rPr>
          <w:sz w:val="24"/>
          <w:szCs w:val="24"/>
        </w:rPr>
        <w:t xml:space="preserve">………………………………...  </w:t>
      </w:r>
      <w:r w:rsidR="002B2F5E">
        <w:rPr>
          <w:sz w:val="24"/>
          <w:szCs w:val="24"/>
        </w:rPr>
        <w:t>9</w:t>
      </w:r>
    </w:p>
    <w:p w14:paraId="7DD22B4B" w14:textId="1FE2439C" w:rsidR="00212E68" w:rsidRPr="00212E68" w:rsidRDefault="00212E68" w:rsidP="00212E68">
      <w:pPr>
        <w:pStyle w:val="1"/>
        <w:rPr>
          <w:sz w:val="24"/>
          <w:szCs w:val="24"/>
        </w:rPr>
      </w:pPr>
      <w:r w:rsidRPr="00212E68">
        <w:rPr>
          <w:sz w:val="24"/>
          <w:szCs w:val="24"/>
        </w:rPr>
        <w:t>Conclusion and recommendations</w:t>
      </w:r>
      <w:r w:rsidRPr="00212E68">
        <w:rPr>
          <w:sz w:val="24"/>
          <w:szCs w:val="24"/>
        </w:rPr>
        <w:tab/>
      </w:r>
      <w:r>
        <w:rPr>
          <w:sz w:val="24"/>
          <w:szCs w:val="24"/>
        </w:rPr>
        <w:t xml:space="preserve"> ……………………………………………………  </w:t>
      </w:r>
      <w:r w:rsidRPr="00212E68">
        <w:rPr>
          <w:sz w:val="24"/>
          <w:szCs w:val="24"/>
        </w:rPr>
        <w:t>1</w:t>
      </w:r>
      <w:r w:rsidR="002B2F5E">
        <w:rPr>
          <w:sz w:val="24"/>
          <w:szCs w:val="24"/>
        </w:rPr>
        <w:t>0</w:t>
      </w:r>
    </w:p>
    <w:p w14:paraId="3FF84A29" w14:textId="672C81BD" w:rsidR="00446091" w:rsidRPr="00446091" w:rsidRDefault="00446091" w:rsidP="00446091">
      <w:pPr>
        <w:rPr>
          <w:b/>
          <w:bCs/>
        </w:rPr>
      </w:pPr>
      <w:r w:rsidRPr="00446091">
        <w:rPr>
          <w:b/>
          <w:bCs/>
        </w:rPr>
        <w:t>Recommendations</w:t>
      </w:r>
      <w:r>
        <w:rPr>
          <w:b/>
          <w:bCs/>
        </w:rPr>
        <w:t xml:space="preserve"> ………………………………………………………………………..  1</w:t>
      </w:r>
      <w:r w:rsidR="002B2F5E">
        <w:rPr>
          <w:b/>
          <w:bCs/>
        </w:rPr>
        <w:t>0</w:t>
      </w:r>
      <w:r w:rsidRPr="00446091">
        <w:rPr>
          <w:b/>
          <w:bCs/>
        </w:rPr>
        <w:t xml:space="preserve"> </w:t>
      </w:r>
    </w:p>
    <w:p w14:paraId="02D3E78B" w14:textId="1CC8958E" w:rsidR="00212E68" w:rsidRPr="00212E68" w:rsidRDefault="00212E68" w:rsidP="00212E68">
      <w:pPr>
        <w:pStyle w:val="1"/>
        <w:rPr>
          <w:sz w:val="24"/>
          <w:szCs w:val="24"/>
        </w:rPr>
      </w:pPr>
      <w:r>
        <w:rPr>
          <w:sz w:val="24"/>
          <w:szCs w:val="24"/>
        </w:rPr>
        <w:t xml:space="preserve">References ………………………………………………………………………………  </w:t>
      </w:r>
      <w:r w:rsidRPr="00212E68">
        <w:rPr>
          <w:sz w:val="24"/>
          <w:szCs w:val="24"/>
        </w:rPr>
        <w:t>1</w:t>
      </w:r>
      <w:r w:rsidR="002B2F5E">
        <w:rPr>
          <w:sz w:val="24"/>
          <w:szCs w:val="24"/>
        </w:rPr>
        <w:t>1</w:t>
      </w:r>
    </w:p>
    <w:p w14:paraId="70756C77" w14:textId="57278B24" w:rsidR="00212E68" w:rsidRPr="00212E68" w:rsidRDefault="00212E68" w:rsidP="00212E68">
      <w:pPr>
        <w:pStyle w:val="1"/>
        <w:rPr>
          <w:sz w:val="24"/>
          <w:szCs w:val="24"/>
        </w:rPr>
      </w:pPr>
      <w:r>
        <w:rPr>
          <w:sz w:val="24"/>
          <w:szCs w:val="24"/>
        </w:rPr>
        <w:t>Appendices …………………………………………………………………………</w:t>
      </w:r>
      <w:r w:rsidR="00DF76E3">
        <w:rPr>
          <w:sz w:val="24"/>
          <w:szCs w:val="24"/>
        </w:rPr>
        <w:t>..</w:t>
      </w:r>
      <w:r>
        <w:rPr>
          <w:sz w:val="24"/>
          <w:szCs w:val="24"/>
        </w:rPr>
        <w:t xml:space="preserve">…  </w:t>
      </w:r>
      <w:r w:rsidRPr="00212E68">
        <w:rPr>
          <w:sz w:val="24"/>
          <w:szCs w:val="24"/>
        </w:rPr>
        <w:t>13</w:t>
      </w:r>
    </w:p>
    <w:p w14:paraId="12A82219" w14:textId="3A13813E" w:rsidR="00212E68" w:rsidRDefault="00212E68" w:rsidP="00212E68">
      <w:pPr>
        <w:pStyle w:val="1"/>
        <w:rPr>
          <w:sz w:val="24"/>
          <w:szCs w:val="24"/>
        </w:rPr>
      </w:pPr>
    </w:p>
    <w:p w14:paraId="4A0B6354" w14:textId="22F84794" w:rsidR="00B207C3" w:rsidRDefault="00B207C3" w:rsidP="00212E68">
      <w:pPr>
        <w:pStyle w:val="1"/>
        <w:rPr>
          <w:rFonts w:eastAsiaTheme="minorHAnsi" w:cs="Times New Roman"/>
          <w:b w:val="0"/>
          <w:bCs w:val="0"/>
          <w:spacing w:val="0"/>
          <w:sz w:val="24"/>
          <w:szCs w:val="24"/>
        </w:rPr>
      </w:pPr>
    </w:p>
    <w:p w14:paraId="29DEC498" w14:textId="5E98D8A9" w:rsidR="00654020" w:rsidRDefault="00654020" w:rsidP="00654020"/>
    <w:p w14:paraId="28BCBAD1" w14:textId="2CCF5039" w:rsidR="00654020" w:rsidRDefault="00654020" w:rsidP="00654020"/>
    <w:p w14:paraId="28456437" w14:textId="7986DD5A" w:rsidR="00654020" w:rsidRDefault="00654020" w:rsidP="00654020"/>
    <w:p w14:paraId="45E6CCB7" w14:textId="77777777" w:rsidR="00654020" w:rsidRPr="00654020" w:rsidRDefault="00654020" w:rsidP="00654020"/>
    <w:p w14:paraId="5201620F" w14:textId="54833EC1" w:rsidR="007F3E55" w:rsidRDefault="007F3E55" w:rsidP="00212E68">
      <w:pPr>
        <w:pStyle w:val="1"/>
      </w:pPr>
      <w:r>
        <w:t>Introduction</w:t>
      </w:r>
      <w:bookmarkEnd w:id="0"/>
      <w:bookmarkEnd w:id="1"/>
      <w:r>
        <w:t xml:space="preserve"> </w:t>
      </w:r>
    </w:p>
    <w:p w14:paraId="5106BD46" w14:textId="77777777" w:rsidR="000D0CD9" w:rsidRDefault="007F3E55" w:rsidP="000D0CD9">
      <w:r>
        <w:t xml:space="preserve">Micro environmental analysis of </w:t>
      </w:r>
      <w:r w:rsidR="0096062C">
        <w:t xml:space="preserve">a </w:t>
      </w:r>
      <w:r>
        <w:t xml:space="preserve">business is necessary to understand its internal environment and success probabilities for </w:t>
      </w:r>
      <w:r w:rsidR="0096062C">
        <w:t xml:space="preserve">the </w:t>
      </w:r>
      <w:r>
        <w:t>future</w:t>
      </w:r>
      <w:r w:rsidR="0096062C">
        <w:t xml:space="preserve"> (Cherunilam, 2021)</w:t>
      </w:r>
      <w:r>
        <w:t xml:space="preserve">. The evaluation based on microenvironmental aspects of a business or organisation refers to understanding the strategies taken into consideration for revenue generation and corporate sustainability. </w:t>
      </w:r>
      <w:r w:rsidR="006F33EA">
        <w:t xml:space="preserve">This report is dedicated to a strategic review for </w:t>
      </w:r>
      <w:r w:rsidR="006F33EA" w:rsidRPr="006F33EA">
        <w:rPr>
          <w:b/>
          <w:bCs/>
          <w:i/>
          <w:iCs/>
        </w:rPr>
        <w:t>Unilever</w:t>
      </w:r>
      <w:r w:rsidR="006F33EA">
        <w:t xml:space="preserve"> which is known for its large-scale </w:t>
      </w:r>
      <w:r w:rsidR="0096062C">
        <w:t>availability</w:t>
      </w:r>
      <w:r w:rsidR="006F33EA">
        <w:t xml:space="preserve"> of fast-moving consumer goods (FMCG) products. This organisation is also listed </w:t>
      </w:r>
      <w:r w:rsidR="0096062C">
        <w:t>on</w:t>
      </w:r>
      <w:r w:rsidR="006F33EA">
        <w:t xml:space="preserve"> the London Stock Exchange as being a renowned British PLC company as being originated in the United Kingdom and ha</w:t>
      </w:r>
      <w:r w:rsidR="0096062C">
        <w:t>s</w:t>
      </w:r>
      <w:r w:rsidR="006F33EA">
        <w:t xml:space="preserve"> business in around 190 countries around the world. The report includes a strategic review </w:t>
      </w:r>
      <w:r w:rsidR="0096062C">
        <w:t>of</w:t>
      </w:r>
      <w:r w:rsidR="006F33EA">
        <w:t xml:space="preserve"> the corporate and business approaches of this organisation along with its competitive advantage over contemporary rivals. The further segments also include an evaluation of </w:t>
      </w:r>
      <w:r w:rsidR="0096062C">
        <w:t xml:space="preserve">the </w:t>
      </w:r>
      <w:r w:rsidR="006F33EA">
        <w:t>core resources, assets and capabilities of Unilever along with its consideration of corporate social responsibilities (CSR) and sustainability concerns.</w:t>
      </w:r>
      <w:bookmarkStart w:id="2" w:name="_Toc163084871"/>
      <w:bookmarkStart w:id="3" w:name="_Toc163086297"/>
    </w:p>
    <w:p w14:paraId="3C96B535" w14:textId="272C7A08" w:rsidR="007F3E55" w:rsidRPr="00DF76E3" w:rsidRDefault="006F33EA" w:rsidP="00DF76E3">
      <w:pPr>
        <w:spacing w:before="0" w:after="160" w:line="259" w:lineRule="auto"/>
        <w:jc w:val="left"/>
        <w:rPr>
          <w:b/>
          <w:sz w:val="36"/>
          <w:szCs w:val="36"/>
        </w:rPr>
      </w:pPr>
      <w:r w:rsidRPr="00DF76E3">
        <w:rPr>
          <w:b/>
          <w:sz w:val="36"/>
          <w:szCs w:val="36"/>
        </w:rPr>
        <w:t>Main body</w:t>
      </w:r>
      <w:bookmarkEnd w:id="2"/>
      <w:bookmarkEnd w:id="3"/>
      <w:r w:rsidRPr="00DF76E3">
        <w:rPr>
          <w:b/>
          <w:sz w:val="36"/>
          <w:szCs w:val="36"/>
        </w:rPr>
        <w:t xml:space="preserve"> </w:t>
      </w:r>
    </w:p>
    <w:p w14:paraId="386A418A" w14:textId="442FB80B" w:rsidR="00E2478C" w:rsidRDefault="00E2478C" w:rsidP="00E2478C">
      <w:pPr>
        <w:pStyle w:val="2"/>
      </w:pPr>
      <w:bookmarkStart w:id="4" w:name="_Toc163084872"/>
      <w:bookmarkStart w:id="5" w:name="_Toc163086298"/>
      <w:r>
        <w:t>Evaluation based on Porter’s 5 forces</w:t>
      </w:r>
      <w:bookmarkEnd w:id="4"/>
      <w:bookmarkEnd w:id="5"/>
      <w:r>
        <w:t xml:space="preserve"> </w:t>
      </w:r>
    </w:p>
    <w:p w14:paraId="4F45DC17" w14:textId="37737E9C" w:rsidR="000940D9" w:rsidRDefault="006F33EA" w:rsidP="006F33EA">
      <w:r>
        <w:t>It is important to understand the key business and corporate strategies of Unilever by evaluating certain micro</w:t>
      </w:r>
      <w:r w:rsidR="0096062C">
        <w:t>-</w:t>
      </w:r>
      <w:r>
        <w:t xml:space="preserve">environmental aspects by utilising an authentic model of analysing the internal aspects of a business environment called </w:t>
      </w:r>
      <w:r w:rsidRPr="006F33EA">
        <w:rPr>
          <w:b/>
          <w:bCs/>
          <w:i/>
          <w:iCs/>
        </w:rPr>
        <w:t>Porter’s 5 forces</w:t>
      </w:r>
      <w:r>
        <w:rPr>
          <w:b/>
          <w:bCs/>
          <w:i/>
          <w:iCs/>
        </w:rPr>
        <w:t xml:space="preserve">. </w:t>
      </w:r>
      <w:r w:rsidRPr="006F33EA">
        <w:t>The below</w:t>
      </w:r>
      <w:r w:rsidR="0096062C">
        <w:t>-</w:t>
      </w:r>
      <w:r w:rsidRPr="006F33EA">
        <w:t>mentioned segments are dedicated to evaluat</w:t>
      </w:r>
      <w:r w:rsidR="0096062C">
        <w:t>ing</w:t>
      </w:r>
      <w:r w:rsidRPr="006F33EA">
        <w:t xml:space="preserve"> certain internal factors impacting the strategies of this organisation such as </w:t>
      </w:r>
      <w:r w:rsidR="0096062C">
        <w:t xml:space="preserve">the </w:t>
      </w:r>
      <w:r w:rsidRPr="006F33EA">
        <w:t xml:space="preserve">threat of contemporary organisations and substitutes. </w:t>
      </w:r>
    </w:p>
    <w:tbl>
      <w:tblPr>
        <w:tblStyle w:val="a3"/>
        <w:tblW w:w="0" w:type="auto"/>
        <w:tblLook w:val="04A0" w:firstRow="1" w:lastRow="0" w:firstColumn="1" w:lastColumn="0" w:noHBand="0" w:noVBand="1"/>
      </w:tblPr>
      <w:tblGrid>
        <w:gridCol w:w="1696"/>
        <w:gridCol w:w="5954"/>
        <w:gridCol w:w="1366"/>
      </w:tblGrid>
      <w:tr w:rsidR="00FC2788" w14:paraId="16E3CD2A" w14:textId="740603E9" w:rsidTr="00FC2788">
        <w:tc>
          <w:tcPr>
            <w:tcW w:w="1696" w:type="dxa"/>
            <w:shd w:val="clear" w:color="auto" w:fill="D0CECE" w:themeFill="background2" w:themeFillShade="E6"/>
          </w:tcPr>
          <w:p w14:paraId="6670692C" w14:textId="2E451D0E" w:rsidR="00FC2788" w:rsidRPr="00FC2788" w:rsidRDefault="00FC2788" w:rsidP="00FC2788">
            <w:pPr>
              <w:jc w:val="center"/>
              <w:rPr>
                <w:b/>
                <w:bCs/>
                <w:i/>
                <w:iCs/>
              </w:rPr>
            </w:pPr>
            <w:r w:rsidRPr="00FC2788">
              <w:rPr>
                <w:b/>
                <w:bCs/>
                <w:i/>
                <w:iCs/>
              </w:rPr>
              <w:t>Business aspect</w:t>
            </w:r>
          </w:p>
        </w:tc>
        <w:tc>
          <w:tcPr>
            <w:tcW w:w="5954" w:type="dxa"/>
            <w:shd w:val="clear" w:color="auto" w:fill="D0CECE" w:themeFill="background2" w:themeFillShade="E6"/>
          </w:tcPr>
          <w:p w14:paraId="017F9780" w14:textId="37ED869D" w:rsidR="00FC2788" w:rsidRPr="00FC2788" w:rsidRDefault="00FC2788" w:rsidP="00FC2788">
            <w:pPr>
              <w:jc w:val="center"/>
              <w:rPr>
                <w:b/>
                <w:bCs/>
                <w:i/>
                <w:iCs/>
              </w:rPr>
            </w:pPr>
            <w:r w:rsidRPr="00FC2788">
              <w:rPr>
                <w:b/>
                <w:bCs/>
                <w:i/>
                <w:iCs/>
              </w:rPr>
              <w:t>Significance of the factor in corporate strategies of Unilever</w:t>
            </w:r>
          </w:p>
        </w:tc>
        <w:tc>
          <w:tcPr>
            <w:tcW w:w="1366" w:type="dxa"/>
            <w:shd w:val="clear" w:color="auto" w:fill="D9D9D9" w:themeFill="background1" w:themeFillShade="D9"/>
          </w:tcPr>
          <w:p w14:paraId="25D0E992" w14:textId="3401B1AE" w:rsidR="00FC2788" w:rsidRPr="00FC2788" w:rsidRDefault="00FC2788" w:rsidP="00FC2788">
            <w:pPr>
              <w:jc w:val="center"/>
              <w:rPr>
                <w:b/>
                <w:bCs/>
                <w:i/>
                <w:iCs/>
              </w:rPr>
            </w:pPr>
            <w:r>
              <w:rPr>
                <w:b/>
                <w:bCs/>
                <w:i/>
                <w:iCs/>
              </w:rPr>
              <w:t xml:space="preserve">Impact of factor </w:t>
            </w:r>
          </w:p>
        </w:tc>
      </w:tr>
      <w:tr w:rsidR="00FC2788" w14:paraId="786E2477" w14:textId="5A9D5D7B" w:rsidTr="00FC2788">
        <w:tc>
          <w:tcPr>
            <w:tcW w:w="1696" w:type="dxa"/>
            <w:shd w:val="clear" w:color="auto" w:fill="D9D9D9" w:themeFill="background1" w:themeFillShade="D9"/>
          </w:tcPr>
          <w:p w14:paraId="3C42788F" w14:textId="4506DFF8" w:rsidR="00FC2788" w:rsidRPr="00FC2788" w:rsidRDefault="00FC2788" w:rsidP="00FC2788">
            <w:pPr>
              <w:jc w:val="left"/>
              <w:rPr>
                <w:b/>
                <w:bCs/>
                <w:i/>
                <w:iCs/>
              </w:rPr>
            </w:pPr>
            <w:r w:rsidRPr="00FC2788">
              <w:rPr>
                <w:b/>
                <w:bCs/>
                <w:i/>
                <w:iCs/>
              </w:rPr>
              <w:t xml:space="preserve">New entrants’ threat </w:t>
            </w:r>
          </w:p>
        </w:tc>
        <w:tc>
          <w:tcPr>
            <w:tcW w:w="5954" w:type="dxa"/>
            <w:shd w:val="clear" w:color="auto" w:fill="FFFFFF" w:themeFill="background1"/>
          </w:tcPr>
          <w:p w14:paraId="5D17E30C" w14:textId="4EA28E3E" w:rsidR="00FC2788" w:rsidRDefault="00FC2788" w:rsidP="006F33EA">
            <w:r>
              <w:t xml:space="preserve">Unilever has established a prestigious and remarkable brand value in the industry of fast-moving consumer goods (FMCG) and daily essential products for consumers. However, </w:t>
            </w:r>
            <w:r w:rsidR="0096062C">
              <w:t xml:space="preserve">the </w:t>
            </w:r>
            <w:r>
              <w:t>threat of new entrants remains potential due to rapidly emerging small and medium</w:t>
            </w:r>
            <w:r w:rsidR="0096062C">
              <w:t>-</w:t>
            </w:r>
            <w:r>
              <w:t xml:space="preserve">sized enterprises (SMEs) in </w:t>
            </w:r>
            <w:r w:rsidR="0096062C">
              <w:t xml:space="preserve">the </w:t>
            </w:r>
            <w:r>
              <w:t>retail sector</w:t>
            </w:r>
            <w:r w:rsidR="000D0CD9">
              <w:t xml:space="preserve"> (Oluwatayo, 2022)</w:t>
            </w:r>
            <w:r>
              <w:t>.</w:t>
            </w:r>
          </w:p>
        </w:tc>
        <w:tc>
          <w:tcPr>
            <w:tcW w:w="1366" w:type="dxa"/>
            <w:shd w:val="clear" w:color="auto" w:fill="FFFFFF" w:themeFill="background1"/>
          </w:tcPr>
          <w:p w14:paraId="6218108C" w14:textId="1C9F1486" w:rsidR="00FC2788" w:rsidRDefault="00FC2788" w:rsidP="006F33EA">
            <w:r>
              <w:t>Moderate to high</w:t>
            </w:r>
          </w:p>
        </w:tc>
      </w:tr>
      <w:tr w:rsidR="00FC2788" w14:paraId="6C19E922" w14:textId="503FB508" w:rsidTr="00FC2788">
        <w:tc>
          <w:tcPr>
            <w:tcW w:w="1696" w:type="dxa"/>
            <w:shd w:val="clear" w:color="auto" w:fill="D9D9D9" w:themeFill="background1" w:themeFillShade="D9"/>
          </w:tcPr>
          <w:p w14:paraId="3479D2A8" w14:textId="20408E38" w:rsidR="00FC2788" w:rsidRPr="00FC2788" w:rsidRDefault="00FC2788" w:rsidP="00FC2788">
            <w:pPr>
              <w:jc w:val="left"/>
              <w:rPr>
                <w:b/>
                <w:bCs/>
                <w:i/>
                <w:iCs/>
              </w:rPr>
            </w:pPr>
            <w:r w:rsidRPr="00FC2788">
              <w:rPr>
                <w:b/>
                <w:bCs/>
                <w:i/>
                <w:iCs/>
              </w:rPr>
              <w:lastRenderedPageBreak/>
              <w:t xml:space="preserve">Power of bargaining for suppliers </w:t>
            </w:r>
          </w:p>
        </w:tc>
        <w:tc>
          <w:tcPr>
            <w:tcW w:w="5954" w:type="dxa"/>
            <w:shd w:val="clear" w:color="auto" w:fill="FFFFFF" w:themeFill="background1"/>
          </w:tcPr>
          <w:p w14:paraId="40934063" w14:textId="6C078B5D" w:rsidR="00FC2788" w:rsidRDefault="00243CFB" w:rsidP="006F33EA">
            <w:r>
              <w:t>Although, the availability of suppliers and the United Kingdom and other countries of business is good; however, Only the large and most established suppliers need to be associated with Unilever which makes their bargaining power relatively higher. Therefore, their bargaining power can be stated as moderate</w:t>
            </w:r>
            <w:r w:rsidR="000D0CD9">
              <w:t xml:space="preserve"> (Shaikat, 2020)</w:t>
            </w:r>
            <w:r>
              <w:t xml:space="preserve">. </w:t>
            </w:r>
          </w:p>
        </w:tc>
        <w:tc>
          <w:tcPr>
            <w:tcW w:w="1366" w:type="dxa"/>
            <w:shd w:val="clear" w:color="auto" w:fill="FFFFFF" w:themeFill="background1"/>
          </w:tcPr>
          <w:p w14:paraId="3710DC82" w14:textId="2110891E" w:rsidR="00FC2788" w:rsidRDefault="00243CFB" w:rsidP="006F33EA">
            <w:r>
              <w:t xml:space="preserve">Moderate </w:t>
            </w:r>
          </w:p>
        </w:tc>
      </w:tr>
      <w:tr w:rsidR="00FC2788" w14:paraId="5F4CD872" w14:textId="1CE83095" w:rsidTr="00FC2788">
        <w:tc>
          <w:tcPr>
            <w:tcW w:w="1696" w:type="dxa"/>
            <w:shd w:val="clear" w:color="auto" w:fill="D9D9D9" w:themeFill="background1" w:themeFillShade="D9"/>
          </w:tcPr>
          <w:p w14:paraId="3911AF05" w14:textId="1B2F116A" w:rsidR="00FC2788" w:rsidRPr="00FC2788" w:rsidRDefault="00FC2788" w:rsidP="00FC2788">
            <w:pPr>
              <w:jc w:val="left"/>
              <w:rPr>
                <w:b/>
                <w:bCs/>
                <w:i/>
                <w:iCs/>
              </w:rPr>
            </w:pPr>
            <w:r w:rsidRPr="00FC2788">
              <w:rPr>
                <w:b/>
                <w:bCs/>
                <w:i/>
                <w:iCs/>
              </w:rPr>
              <w:t xml:space="preserve">Power of bargaining for buyers </w:t>
            </w:r>
          </w:p>
        </w:tc>
        <w:tc>
          <w:tcPr>
            <w:tcW w:w="5954" w:type="dxa"/>
            <w:shd w:val="clear" w:color="auto" w:fill="FFFFFF" w:themeFill="background1"/>
          </w:tcPr>
          <w:p w14:paraId="76741B6B" w14:textId="575A250F" w:rsidR="00FC2788" w:rsidRDefault="00243CFB" w:rsidP="006F33EA">
            <w:r>
              <w:t xml:space="preserve">Due to the emergence of several small and large enterprises in the retail sector in the United Kingdom (UK) along with other countries, consumers have several options and alternatives. Therefore, their bargaining power is relatively higher for Unilever which needs to be considered while deciding the prices of goods. </w:t>
            </w:r>
          </w:p>
        </w:tc>
        <w:tc>
          <w:tcPr>
            <w:tcW w:w="1366" w:type="dxa"/>
            <w:shd w:val="clear" w:color="auto" w:fill="FFFFFF" w:themeFill="background1"/>
          </w:tcPr>
          <w:p w14:paraId="129C974D" w14:textId="094E46DF" w:rsidR="00FC2788" w:rsidRDefault="00243CFB" w:rsidP="006F33EA">
            <w:r>
              <w:t>Relatively higher</w:t>
            </w:r>
          </w:p>
        </w:tc>
      </w:tr>
      <w:tr w:rsidR="00FC2788" w14:paraId="47A2DCFC" w14:textId="1C653047" w:rsidTr="00FC2788">
        <w:tc>
          <w:tcPr>
            <w:tcW w:w="1696" w:type="dxa"/>
            <w:shd w:val="clear" w:color="auto" w:fill="D9D9D9" w:themeFill="background1" w:themeFillShade="D9"/>
          </w:tcPr>
          <w:p w14:paraId="221881EE" w14:textId="0D066663" w:rsidR="00FC2788" w:rsidRPr="00FC2788" w:rsidRDefault="00FC2788" w:rsidP="00FC2788">
            <w:pPr>
              <w:jc w:val="left"/>
              <w:rPr>
                <w:b/>
                <w:bCs/>
                <w:i/>
                <w:iCs/>
              </w:rPr>
            </w:pPr>
            <w:r w:rsidRPr="00FC2788">
              <w:rPr>
                <w:b/>
                <w:bCs/>
                <w:i/>
                <w:iCs/>
              </w:rPr>
              <w:t>T</w:t>
            </w:r>
            <w:r w:rsidR="0096062C">
              <w:rPr>
                <w:b/>
                <w:bCs/>
                <w:i/>
                <w:iCs/>
              </w:rPr>
              <w:t>he t</w:t>
            </w:r>
            <w:r w:rsidRPr="00FC2788">
              <w:rPr>
                <w:b/>
                <w:bCs/>
                <w:i/>
                <w:iCs/>
              </w:rPr>
              <w:t xml:space="preserve">hreat posed by substitutes </w:t>
            </w:r>
          </w:p>
        </w:tc>
        <w:tc>
          <w:tcPr>
            <w:tcW w:w="5954" w:type="dxa"/>
            <w:shd w:val="clear" w:color="auto" w:fill="FFFFFF" w:themeFill="background1"/>
          </w:tcPr>
          <w:p w14:paraId="213D4C3F" w14:textId="05FEB43D" w:rsidR="00FC2788" w:rsidRDefault="00243CFB" w:rsidP="006F33EA">
            <w:r>
              <w:t>Observably, the threat posed by substitute products and alternatives is extremely high for Unilever since the portfolio of goods offered is not exclusive and can be replaced with alternative products in the category of daily essential goods and edibles</w:t>
            </w:r>
            <w:r w:rsidR="000D0CD9">
              <w:t xml:space="preserve"> (Iglesias, 2023)</w:t>
            </w:r>
            <w:r>
              <w:t xml:space="preserve">. </w:t>
            </w:r>
          </w:p>
        </w:tc>
        <w:tc>
          <w:tcPr>
            <w:tcW w:w="1366" w:type="dxa"/>
            <w:shd w:val="clear" w:color="auto" w:fill="FFFFFF" w:themeFill="background1"/>
          </w:tcPr>
          <w:p w14:paraId="70F9DC52" w14:textId="5CA0C426" w:rsidR="00FC2788" w:rsidRDefault="00243CFB" w:rsidP="006F33EA">
            <w:r>
              <w:t>Extremely high</w:t>
            </w:r>
          </w:p>
        </w:tc>
      </w:tr>
      <w:tr w:rsidR="00FC2788" w14:paraId="372A52E0" w14:textId="3C862F66" w:rsidTr="00FC2788">
        <w:tc>
          <w:tcPr>
            <w:tcW w:w="1696" w:type="dxa"/>
            <w:shd w:val="clear" w:color="auto" w:fill="D9D9D9" w:themeFill="background1" w:themeFillShade="D9"/>
          </w:tcPr>
          <w:p w14:paraId="4E04900E" w14:textId="0F342179" w:rsidR="00FC2788" w:rsidRPr="00FC2788" w:rsidRDefault="00FC2788" w:rsidP="006F33EA">
            <w:pPr>
              <w:rPr>
                <w:b/>
                <w:bCs/>
                <w:i/>
                <w:iCs/>
              </w:rPr>
            </w:pPr>
            <w:r w:rsidRPr="00FC2788">
              <w:rPr>
                <w:b/>
                <w:bCs/>
                <w:i/>
                <w:iCs/>
              </w:rPr>
              <w:t>Competitive business rivalry</w:t>
            </w:r>
          </w:p>
        </w:tc>
        <w:tc>
          <w:tcPr>
            <w:tcW w:w="5954" w:type="dxa"/>
            <w:shd w:val="clear" w:color="auto" w:fill="FFFFFF" w:themeFill="background1"/>
          </w:tcPr>
          <w:p w14:paraId="20174121" w14:textId="499298CA" w:rsidR="00FC2788" w:rsidRDefault="00243CFB" w:rsidP="006F33EA">
            <w:r>
              <w:t xml:space="preserve">Several well-established giant companies in the fast-moving consumer goods sectors have established their exclusive position in this sector such as Nestle. Therefore, competitive rivalry is a potential challenge for the organisation in current and future business operations. </w:t>
            </w:r>
          </w:p>
        </w:tc>
        <w:tc>
          <w:tcPr>
            <w:tcW w:w="1366" w:type="dxa"/>
            <w:shd w:val="clear" w:color="auto" w:fill="FFFFFF" w:themeFill="background1"/>
          </w:tcPr>
          <w:p w14:paraId="02D52E68" w14:textId="78116D99" w:rsidR="00FC2788" w:rsidRDefault="00243CFB" w:rsidP="006F33EA">
            <w:r>
              <w:t>Moderate to high</w:t>
            </w:r>
          </w:p>
        </w:tc>
      </w:tr>
    </w:tbl>
    <w:p w14:paraId="22AC12CE" w14:textId="5E49D77F" w:rsidR="00E2478C" w:rsidRPr="00E2478C" w:rsidRDefault="00E2478C" w:rsidP="00E2478C">
      <w:pPr>
        <w:pStyle w:val="2"/>
      </w:pPr>
      <w:bookmarkStart w:id="6" w:name="_Toc163084873"/>
      <w:bookmarkStart w:id="7" w:name="_Toc163086299"/>
      <w:r>
        <w:t>Unilever’s key business and corporate strategies</w:t>
      </w:r>
      <w:bookmarkEnd w:id="6"/>
      <w:bookmarkEnd w:id="7"/>
      <w:r>
        <w:t xml:space="preserve"> </w:t>
      </w:r>
    </w:p>
    <w:p w14:paraId="3AC1356F" w14:textId="17FC5966" w:rsidR="006F33EA" w:rsidRDefault="00243CFB" w:rsidP="006F33EA">
      <w:r>
        <w:t xml:space="preserve">Based on the above evaluation of Unilever related to the microenvironmental aspects affecting its business and corporate strategies, there are certain initiatives and approaches adopted by this company to attain a competitive advantage over rivals and substitutes. These observable strategies of Unilever are presented in the below segment. </w:t>
      </w:r>
    </w:p>
    <w:p w14:paraId="458838B9" w14:textId="642822EE" w:rsidR="000940D9" w:rsidRDefault="000940D9" w:rsidP="000940D9">
      <w:pPr>
        <w:pStyle w:val="a4"/>
        <w:numPr>
          <w:ilvl w:val="0"/>
          <w:numId w:val="1"/>
        </w:numPr>
      </w:pPr>
      <w:r w:rsidRPr="000940D9">
        <w:rPr>
          <w:i/>
          <w:iCs/>
        </w:rPr>
        <w:t>Establishing E-commerce platforms:</w:t>
      </w:r>
      <w:r>
        <w:t xml:space="preserve"> The presence of products and brands offered by Unilever is prominently available on several e</w:t>
      </w:r>
      <w:r w:rsidR="0096062C">
        <w:t>-</w:t>
      </w:r>
      <w:r>
        <w:t xml:space="preserve">commerce and online platforms on which convenience of purchasing is highly appreciated by the potential consumer bases. </w:t>
      </w:r>
      <w:r>
        <w:lastRenderedPageBreak/>
        <w:t>E</w:t>
      </w:r>
      <w:r w:rsidR="0096062C">
        <w:t>-</w:t>
      </w:r>
      <w:r>
        <w:t>commerce platforms and sales related to them are also accountable for ensuring an omnichannel presence of the institution</w:t>
      </w:r>
      <w:r w:rsidR="000D0CD9">
        <w:t xml:space="preserve"> (Bettencourt, 2021)</w:t>
      </w:r>
      <w:r>
        <w:t xml:space="preserve">. </w:t>
      </w:r>
    </w:p>
    <w:p w14:paraId="0300B35C" w14:textId="28473547" w:rsidR="000940D9" w:rsidRDefault="000940D9" w:rsidP="000940D9">
      <w:pPr>
        <w:pStyle w:val="a4"/>
        <w:numPr>
          <w:ilvl w:val="0"/>
          <w:numId w:val="1"/>
        </w:numPr>
      </w:pPr>
      <w:r w:rsidRPr="000940D9">
        <w:rPr>
          <w:i/>
          <w:iCs/>
        </w:rPr>
        <w:t>Acclaiming environmental sustainability:</w:t>
      </w:r>
      <w:r>
        <w:t xml:space="preserve"> Making public claims of environmentally sustainable manufacturing processes and supply chain operations has turned out to be an advantageous strategy to win the confidence of consumers and retain them. Corporate social responsibilities (CSR) and their sustainability consideration are also highly appealing </w:t>
      </w:r>
      <w:r w:rsidR="0096062C">
        <w:t>to</w:t>
      </w:r>
      <w:r>
        <w:t xml:space="preserve"> Millennials and Gen-Z consumers</w:t>
      </w:r>
      <w:r w:rsidR="000D0CD9">
        <w:t xml:space="preserve"> (Prado Perez, 2020)</w:t>
      </w:r>
      <w:r>
        <w:t>.</w:t>
      </w:r>
    </w:p>
    <w:p w14:paraId="76A18B53" w14:textId="0162A30D" w:rsidR="000D0CD9" w:rsidRDefault="000940D9" w:rsidP="000D0CD9">
      <w:pPr>
        <w:pStyle w:val="a4"/>
        <w:numPr>
          <w:ilvl w:val="0"/>
          <w:numId w:val="1"/>
        </w:numPr>
      </w:pPr>
      <w:r w:rsidRPr="000940D9">
        <w:rPr>
          <w:i/>
          <w:iCs/>
        </w:rPr>
        <w:t>Consistent expansion of portfolio:</w:t>
      </w:r>
      <w:r>
        <w:t xml:space="preserve"> The consistent expansion of its portfolio by Unilever has turned out to be one of its most beneficial strategies to generate return on investment (ROI) and considerable revenue every year. As depicted in the below graph, Unilever earn</w:t>
      </w:r>
      <w:r w:rsidR="0096062C">
        <w:t>ed</w:t>
      </w:r>
      <w:r>
        <w:t xml:space="preserve"> a major proportion of revenue by selling a certain category of products in the year 2022 Including cosmetic products and edibles</w:t>
      </w:r>
      <w:r w:rsidR="000D0CD9">
        <w:t xml:space="preserve"> (Gabrielli and Baghi, 2020)</w:t>
      </w:r>
      <w:r>
        <w:t>.</w:t>
      </w:r>
    </w:p>
    <w:p w14:paraId="0A38FF0F" w14:textId="77777777" w:rsidR="000940D9" w:rsidRDefault="000940D9" w:rsidP="00533F45">
      <w:pPr>
        <w:keepNext/>
        <w:jc w:val="center"/>
      </w:pPr>
      <w:r w:rsidRPr="000940D9">
        <w:rPr>
          <w:noProof/>
          <w:lang w:val="ru-RU" w:eastAsia="ru-RU"/>
        </w:rPr>
        <w:drawing>
          <wp:inline distT="0" distB="0" distL="0" distR="0" wp14:anchorId="618F8727" wp14:editId="4396A814">
            <wp:extent cx="5242007" cy="3316182"/>
            <wp:effectExtent l="0" t="0" r="0" b="0"/>
            <wp:docPr id="1568485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85126" name=""/>
                    <pic:cNvPicPr/>
                  </pic:nvPicPr>
                  <pic:blipFill>
                    <a:blip r:embed="rId8"/>
                    <a:stretch>
                      <a:fillRect/>
                    </a:stretch>
                  </pic:blipFill>
                  <pic:spPr>
                    <a:xfrm>
                      <a:off x="0" y="0"/>
                      <a:ext cx="5255803" cy="3324910"/>
                    </a:xfrm>
                    <a:prstGeom prst="rect">
                      <a:avLst/>
                    </a:prstGeom>
                  </pic:spPr>
                </pic:pic>
              </a:graphicData>
            </a:graphic>
          </wp:inline>
        </w:drawing>
      </w:r>
    </w:p>
    <w:p w14:paraId="44A2D3CF" w14:textId="46061558" w:rsidR="000940D9" w:rsidRPr="00533F45" w:rsidRDefault="000940D9" w:rsidP="000940D9">
      <w:pPr>
        <w:pStyle w:val="a5"/>
        <w:jc w:val="center"/>
        <w:rPr>
          <w:b/>
          <w:bCs/>
          <w:color w:val="auto"/>
          <w:sz w:val="24"/>
          <w:szCs w:val="24"/>
        </w:rPr>
      </w:pPr>
      <w:r w:rsidRPr="00533F45">
        <w:rPr>
          <w:b/>
          <w:bCs/>
          <w:color w:val="auto"/>
          <w:sz w:val="24"/>
          <w:szCs w:val="24"/>
        </w:rPr>
        <w:t xml:space="preserve">Figure </w:t>
      </w:r>
      <w:r w:rsidRPr="00533F45">
        <w:rPr>
          <w:b/>
          <w:bCs/>
          <w:color w:val="auto"/>
          <w:sz w:val="24"/>
          <w:szCs w:val="24"/>
        </w:rPr>
        <w:fldChar w:fldCharType="begin"/>
      </w:r>
      <w:r w:rsidRPr="00533F45">
        <w:rPr>
          <w:b/>
          <w:bCs/>
          <w:color w:val="auto"/>
          <w:sz w:val="24"/>
          <w:szCs w:val="24"/>
        </w:rPr>
        <w:instrText xml:space="preserve"> SEQ Figure \* ARABIC </w:instrText>
      </w:r>
      <w:r w:rsidRPr="00533F45">
        <w:rPr>
          <w:b/>
          <w:bCs/>
          <w:color w:val="auto"/>
          <w:sz w:val="24"/>
          <w:szCs w:val="24"/>
        </w:rPr>
        <w:fldChar w:fldCharType="separate"/>
      </w:r>
      <w:r w:rsidR="00E57492">
        <w:rPr>
          <w:b/>
          <w:bCs/>
          <w:noProof/>
          <w:color w:val="auto"/>
          <w:sz w:val="24"/>
          <w:szCs w:val="24"/>
        </w:rPr>
        <w:t>1</w:t>
      </w:r>
      <w:r w:rsidRPr="00533F45">
        <w:rPr>
          <w:b/>
          <w:bCs/>
          <w:color w:val="auto"/>
          <w:sz w:val="24"/>
          <w:szCs w:val="24"/>
        </w:rPr>
        <w:fldChar w:fldCharType="end"/>
      </w:r>
      <w:r w:rsidRPr="00533F45">
        <w:rPr>
          <w:b/>
          <w:bCs/>
          <w:color w:val="auto"/>
          <w:sz w:val="24"/>
          <w:szCs w:val="24"/>
        </w:rPr>
        <w:t xml:space="preserve">. </w:t>
      </w:r>
      <w:r w:rsidR="00533F45">
        <w:rPr>
          <w:b/>
          <w:bCs/>
          <w:color w:val="auto"/>
          <w:sz w:val="24"/>
          <w:szCs w:val="24"/>
        </w:rPr>
        <w:t>Most profitable p</w:t>
      </w:r>
      <w:r w:rsidRPr="00533F45">
        <w:rPr>
          <w:b/>
          <w:bCs/>
          <w:color w:val="auto"/>
          <w:sz w:val="24"/>
          <w:szCs w:val="24"/>
        </w:rPr>
        <w:t>roduct</w:t>
      </w:r>
      <w:r w:rsidR="00533F45">
        <w:rPr>
          <w:b/>
          <w:bCs/>
          <w:color w:val="auto"/>
          <w:sz w:val="24"/>
          <w:szCs w:val="24"/>
        </w:rPr>
        <w:t>s</w:t>
      </w:r>
      <w:r w:rsidRPr="00533F45">
        <w:rPr>
          <w:b/>
          <w:bCs/>
          <w:color w:val="auto"/>
          <w:sz w:val="24"/>
          <w:szCs w:val="24"/>
        </w:rPr>
        <w:t xml:space="preserve"> portfoli</w:t>
      </w:r>
      <w:r w:rsidR="00533F45">
        <w:rPr>
          <w:b/>
          <w:bCs/>
          <w:color w:val="auto"/>
          <w:sz w:val="24"/>
          <w:szCs w:val="24"/>
        </w:rPr>
        <w:t>o</w:t>
      </w:r>
      <w:r w:rsidRPr="00533F45">
        <w:rPr>
          <w:b/>
          <w:bCs/>
          <w:color w:val="auto"/>
          <w:sz w:val="24"/>
          <w:szCs w:val="24"/>
        </w:rPr>
        <w:t xml:space="preserve"> of Unilever in 2022</w:t>
      </w:r>
    </w:p>
    <w:p w14:paraId="7C591522" w14:textId="07E589F0" w:rsidR="00533F45" w:rsidRDefault="000940D9" w:rsidP="000940D9">
      <w:pPr>
        <w:jc w:val="center"/>
        <w:rPr>
          <w:b/>
          <w:bCs/>
          <w:i/>
          <w:iCs/>
        </w:rPr>
      </w:pPr>
      <w:r w:rsidRPr="000940D9">
        <w:rPr>
          <w:b/>
          <w:bCs/>
          <w:i/>
          <w:iCs/>
        </w:rPr>
        <w:t>Source: (Statista, 2022</w:t>
      </w:r>
      <w:r w:rsidR="00533F45">
        <w:rPr>
          <w:b/>
          <w:bCs/>
          <w:i/>
          <w:iCs/>
        </w:rPr>
        <w:t>)</w:t>
      </w:r>
    </w:p>
    <w:p w14:paraId="7F583CB3" w14:textId="77777777" w:rsidR="00533F45" w:rsidRDefault="00533F45" w:rsidP="00533F45">
      <w:pPr>
        <w:pStyle w:val="2"/>
      </w:pPr>
      <w:bookmarkStart w:id="8" w:name="_Toc163084874"/>
      <w:bookmarkStart w:id="9" w:name="_Toc163086300"/>
      <w:r>
        <w:t>Resources and capabilities of Unilever</w:t>
      </w:r>
      <w:bookmarkEnd w:id="8"/>
      <w:bookmarkEnd w:id="9"/>
      <w:r>
        <w:t xml:space="preserve"> </w:t>
      </w:r>
    </w:p>
    <w:p w14:paraId="3952DD8E" w14:textId="19B0BADF" w:rsidR="00533F45" w:rsidRDefault="00533F45" w:rsidP="00533F45">
      <w:r>
        <w:t>Understanding the resources and assets acquired by Unilever can be important to understand</w:t>
      </w:r>
      <w:r w:rsidR="0096062C">
        <w:t>ing</w:t>
      </w:r>
      <w:r>
        <w:t xml:space="preserve"> its business inclinations and </w:t>
      </w:r>
      <w:r w:rsidR="0096062C">
        <w:t xml:space="preserve">the </w:t>
      </w:r>
      <w:r>
        <w:t xml:space="preserve">feasibility of strategies that it has decided to implement in the routine operations. The resources and capabilities of a business organisation refer to both tangible and non-tangible assets acquired by it to sustain the routine operations. The below </w:t>
      </w:r>
      <w:r>
        <w:lastRenderedPageBreak/>
        <w:t xml:space="preserve">mentioned segments are dedicated to evaluate the alignment of these resources and capabilities for Unilever in the FMCG and retail market. </w:t>
      </w:r>
    </w:p>
    <w:p w14:paraId="4D272692" w14:textId="34BAEB94" w:rsidR="00533F45" w:rsidRPr="00E57492" w:rsidRDefault="00473B7A" w:rsidP="00473B7A">
      <w:pPr>
        <w:pStyle w:val="3"/>
        <w:rPr>
          <w:i w:val="0"/>
          <w:sz w:val="28"/>
          <w:szCs w:val="28"/>
          <w:u w:val="none"/>
        </w:rPr>
      </w:pPr>
      <w:bookmarkStart w:id="10" w:name="_Toc163084875"/>
      <w:bookmarkStart w:id="11" w:name="_Toc163086301"/>
      <w:r w:rsidRPr="00E57492">
        <w:rPr>
          <w:i w:val="0"/>
          <w:sz w:val="28"/>
          <w:szCs w:val="28"/>
          <w:u w:val="none"/>
        </w:rPr>
        <w:t>Resources acquired by company</w:t>
      </w:r>
      <w:bookmarkEnd w:id="10"/>
      <w:bookmarkEnd w:id="11"/>
    </w:p>
    <w:p w14:paraId="5B977847" w14:textId="1DFBFA01" w:rsidR="00473B7A" w:rsidRDefault="00473B7A" w:rsidP="00473B7A">
      <w:pPr>
        <w:pStyle w:val="a4"/>
        <w:numPr>
          <w:ilvl w:val="0"/>
          <w:numId w:val="2"/>
        </w:numPr>
      </w:pPr>
      <w:r w:rsidRPr="00473B7A">
        <w:rPr>
          <w:i/>
          <w:iCs/>
        </w:rPr>
        <w:t>Diversified range of portfolio:</w:t>
      </w:r>
      <w:r>
        <w:t xml:space="preserve"> One of the most crucial and beneficial assets acquired by Unilever is its large range of products that are associated with well-known brands in the sector of cosmetics edibles and daily essential products related to nutrition and home care. Brands of edible products such as </w:t>
      </w:r>
      <w:r w:rsidRPr="00473B7A">
        <w:rPr>
          <w:i/>
          <w:iCs/>
        </w:rPr>
        <w:t>Knorr</w:t>
      </w:r>
      <w:r>
        <w:t xml:space="preserve"> and </w:t>
      </w:r>
      <w:r w:rsidRPr="00473B7A">
        <w:rPr>
          <w:i/>
          <w:iCs/>
        </w:rPr>
        <w:t>Lipton</w:t>
      </w:r>
      <w:r>
        <w:t xml:space="preserve"> I have been associated with Unilever for considerably long time</w:t>
      </w:r>
      <w:r w:rsidR="000D0CD9">
        <w:t xml:space="preserve"> (Binti-Tsuraya, et al, 2023)</w:t>
      </w:r>
      <w:r>
        <w:t xml:space="preserve">. </w:t>
      </w:r>
    </w:p>
    <w:p w14:paraId="2AF079A3" w14:textId="2BFDC0E6" w:rsidR="00473B7A" w:rsidRDefault="00473B7A" w:rsidP="00473B7A">
      <w:pPr>
        <w:pStyle w:val="a4"/>
        <w:numPr>
          <w:ilvl w:val="0"/>
          <w:numId w:val="2"/>
        </w:numPr>
      </w:pPr>
      <w:r w:rsidRPr="00473B7A">
        <w:rPr>
          <w:i/>
          <w:iCs/>
        </w:rPr>
        <w:t>Interconnected network on global scale:</w:t>
      </w:r>
      <w:r>
        <w:t xml:space="preserve"> The network of stakeholders associated with Unilever is interconnected and well maintained on a global scale with a concrete command chain of supplying manufacturing and distribution. This interconnected network allows the organisation to reach to the most potential consumers and segment them according to the convenience of market expansion. </w:t>
      </w:r>
    </w:p>
    <w:p w14:paraId="1496CCAD" w14:textId="42592AA4" w:rsidR="00473B7A" w:rsidRPr="00E57492" w:rsidRDefault="009754A1" w:rsidP="00473B7A">
      <w:pPr>
        <w:pStyle w:val="3"/>
        <w:rPr>
          <w:i w:val="0"/>
          <w:sz w:val="28"/>
          <w:szCs w:val="28"/>
          <w:u w:val="none"/>
        </w:rPr>
      </w:pPr>
      <w:bookmarkStart w:id="12" w:name="_Toc163084876"/>
      <w:bookmarkStart w:id="13" w:name="_Toc163086302"/>
      <w:r w:rsidRPr="00E57492">
        <w:rPr>
          <w:i w:val="0"/>
          <w:sz w:val="28"/>
          <w:szCs w:val="28"/>
          <w:u w:val="none"/>
        </w:rPr>
        <w:t>Unilever’s c</w:t>
      </w:r>
      <w:r w:rsidR="00473B7A" w:rsidRPr="00E57492">
        <w:rPr>
          <w:i w:val="0"/>
          <w:sz w:val="28"/>
          <w:szCs w:val="28"/>
          <w:u w:val="none"/>
        </w:rPr>
        <w:t>apabilities in current scenario</w:t>
      </w:r>
      <w:bookmarkEnd w:id="12"/>
      <w:bookmarkEnd w:id="13"/>
      <w:r w:rsidR="00473B7A" w:rsidRPr="00E57492">
        <w:rPr>
          <w:i w:val="0"/>
          <w:sz w:val="28"/>
          <w:szCs w:val="28"/>
          <w:u w:val="none"/>
        </w:rPr>
        <w:t xml:space="preserve"> </w:t>
      </w:r>
    </w:p>
    <w:p w14:paraId="476BD31B" w14:textId="006BC9E5" w:rsidR="009754A1" w:rsidRDefault="009754A1" w:rsidP="004B3048">
      <w:pPr>
        <w:pStyle w:val="a4"/>
        <w:numPr>
          <w:ilvl w:val="0"/>
          <w:numId w:val="3"/>
        </w:numPr>
      </w:pPr>
      <w:r w:rsidRPr="004B3048">
        <w:rPr>
          <w:i/>
          <w:iCs/>
        </w:rPr>
        <w:t>Unconventional customer acquisition:</w:t>
      </w:r>
      <w:r>
        <w:t xml:space="preserve"> </w:t>
      </w:r>
      <w:r w:rsidR="004B3048">
        <w:t>Unilever has adopted several traditional and unconventional strategies for acquiring and retaining the consumers which includes alluring the</w:t>
      </w:r>
      <w:r w:rsidR="0096062C">
        <w:t>m</w:t>
      </w:r>
      <w:r w:rsidR="004B3048">
        <w:t xml:space="preserve"> emotionally and segmenting them on the parameters of geographical and demographic background. Brand endorsement by influencers is also one of the most effective strategies for customer acquisition adopted by Unilever</w:t>
      </w:r>
      <w:r w:rsidR="000D0CD9">
        <w:t xml:space="preserve"> (Reza, 2020)</w:t>
      </w:r>
      <w:r w:rsidR="004B3048">
        <w:t>.</w:t>
      </w:r>
    </w:p>
    <w:p w14:paraId="4C989815" w14:textId="7693E1A4" w:rsidR="004B3048" w:rsidRDefault="004B3048" w:rsidP="004B3048">
      <w:pPr>
        <w:pStyle w:val="a4"/>
        <w:numPr>
          <w:ilvl w:val="0"/>
          <w:numId w:val="3"/>
        </w:numPr>
      </w:pPr>
      <w:r>
        <w:t xml:space="preserve">Displaying CSR and sustainable approaches: </w:t>
      </w:r>
      <w:r w:rsidR="001E7F51">
        <w:t xml:space="preserve">following the parameter of environmental sustainability and carbon footprint, Unilever is able to claim its considerations of environment friendly manufacturing and transportation. The approaches of environment friendly business operations are also appreciated by millennials and Gen-Z consumers who are targeted by the company. </w:t>
      </w:r>
    </w:p>
    <w:p w14:paraId="05E1B2AE" w14:textId="212A5E31" w:rsidR="001E7F51" w:rsidRPr="009754A1" w:rsidRDefault="001E7F51" w:rsidP="001E7F51">
      <w:r>
        <w:t>The strategies of the company for aligning the current business environment with potential resources and capabilities are commendable. Multiple streams of generating revenue and return on investment (ROI) are accountable for making the financial balance of concrete and stable</w:t>
      </w:r>
      <w:r w:rsidR="000D0CD9">
        <w:t xml:space="preserve"> (Oluwatayo, 2022)</w:t>
      </w:r>
      <w:r>
        <w:t xml:space="preserve">. With the diversified portfolio and affiliation with the most renowned brands in daily essential goods on retail sector, the organisation has considerably large base of potential consumers. </w:t>
      </w:r>
    </w:p>
    <w:p w14:paraId="39B96BD9" w14:textId="38451269" w:rsidR="00473B7A" w:rsidRPr="00700957" w:rsidRDefault="001E7F51" w:rsidP="00700957">
      <w:pPr>
        <w:pStyle w:val="2"/>
      </w:pPr>
      <w:bookmarkStart w:id="14" w:name="_Toc163084877"/>
      <w:bookmarkStart w:id="15" w:name="_Toc163086303"/>
      <w:r>
        <w:lastRenderedPageBreak/>
        <w:t>Success rate of Unilever based on competitive position</w:t>
      </w:r>
      <w:bookmarkEnd w:id="14"/>
      <w:bookmarkEnd w:id="15"/>
      <w:r>
        <w:t xml:space="preserve"> </w:t>
      </w:r>
    </w:p>
    <w:p w14:paraId="293E2BDC" w14:textId="2803E36B" w:rsidR="001E7F51" w:rsidRDefault="00EF439F" w:rsidP="001E7F51">
      <w:r>
        <w:t xml:space="preserve">Along with internal aspects and operational environment of a business institution, there are also several macro environmental factors such as competitive rivalry that shape the success rate of an institution. Utilisation of </w:t>
      </w:r>
      <w:r w:rsidRPr="00403DA5">
        <w:rPr>
          <w:b/>
          <w:bCs/>
          <w:i/>
          <w:iCs/>
        </w:rPr>
        <w:t>VRIO model</w:t>
      </w:r>
      <w:r>
        <w:t xml:space="preserve"> has been done in the further segments To comprehend the competitive position of Unilever by evaluating the rarity, value and limitability of products offered by this institution. </w:t>
      </w:r>
    </w:p>
    <w:tbl>
      <w:tblPr>
        <w:tblStyle w:val="a3"/>
        <w:tblW w:w="0" w:type="auto"/>
        <w:tblLook w:val="04A0" w:firstRow="1" w:lastRow="0" w:firstColumn="1" w:lastColumn="0" w:noHBand="0" w:noVBand="1"/>
      </w:tblPr>
      <w:tblGrid>
        <w:gridCol w:w="1430"/>
        <w:gridCol w:w="1967"/>
        <w:gridCol w:w="2016"/>
        <w:gridCol w:w="1800"/>
        <w:gridCol w:w="1803"/>
      </w:tblGrid>
      <w:tr w:rsidR="00EF439F" w14:paraId="4FA2B4FF" w14:textId="77777777" w:rsidTr="00E14C05">
        <w:tc>
          <w:tcPr>
            <w:tcW w:w="1430" w:type="dxa"/>
            <w:shd w:val="clear" w:color="auto" w:fill="8EAADB" w:themeFill="accent1" w:themeFillTint="99"/>
          </w:tcPr>
          <w:p w14:paraId="0F425CBC" w14:textId="67B4A0E2" w:rsidR="00EF439F" w:rsidRPr="00EF439F" w:rsidRDefault="00EF439F" w:rsidP="00EF439F">
            <w:pPr>
              <w:jc w:val="center"/>
              <w:rPr>
                <w:b/>
                <w:bCs/>
                <w:i/>
                <w:iCs/>
              </w:rPr>
            </w:pPr>
            <w:r>
              <w:rPr>
                <w:b/>
                <w:bCs/>
                <w:i/>
                <w:iCs/>
              </w:rPr>
              <w:t>Strategies</w:t>
            </w:r>
            <w:r w:rsidRPr="00EF439F">
              <w:rPr>
                <w:b/>
                <w:bCs/>
                <w:i/>
                <w:iCs/>
              </w:rPr>
              <w:t xml:space="preserve"> </w:t>
            </w:r>
          </w:p>
        </w:tc>
        <w:tc>
          <w:tcPr>
            <w:tcW w:w="1967" w:type="dxa"/>
            <w:shd w:val="clear" w:color="auto" w:fill="B4C6E7" w:themeFill="accent1" w:themeFillTint="66"/>
          </w:tcPr>
          <w:p w14:paraId="7FEC42C7" w14:textId="7A348381" w:rsidR="00EF439F" w:rsidRPr="00EF439F" w:rsidRDefault="00EF439F" w:rsidP="00EF439F">
            <w:pPr>
              <w:jc w:val="center"/>
              <w:rPr>
                <w:b/>
                <w:bCs/>
                <w:i/>
                <w:iCs/>
              </w:rPr>
            </w:pPr>
            <w:r w:rsidRPr="00EF439F">
              <w:rPr>
                <w:b/>
                <w:bCs/>
                <w:i/>
                <w:iCs/>
              </w:rPr>
              <w:t>Valu</w:t>
            </w:r>
            <w:r w:rsidR="00403DA5">
              <w:rPr>
                <w:b/>
                <w:bCs/>
                <w:i/>
                <w:iCs/>
              </w:rPr>
              <w:t>able</w:t>
            </w:r>
          </w:p>
        </w:tc>
        <w:tc>
          <w:tcPr>
            <w:tcW w:w="2016" w:type="dxa"/>
            <w:shd w:val="clear" w:color="auto" w:fill="B4C6E7" w:themeFill="accent1" w:themeFillTint="66"/>
          </w:tcPr>
          <w:p w14:paraId="25CACC1F" w14:textId="63C289F2" w:rsidR="00EF439F" w:rsidRPr="00EF439F" w:rsidRDefault="00EF439F" w:rsidP="00EF439F">
            <w:pPr>
              <w:jc w:val="center"/>
              <w:rPr>
                <w:b/>
                <w:bCs/>
                <w:i/>
                <w:iCs/>
              </w:rPr>
            </w:pPr>
            <w:r w:rsidRPr="00EF439F">
              <w:rPr>
                <w:b/>
                <w:bCs/>
                <w:i/>
                <w:iCs/>
              </w:rPr>
              <w:t>Rarity</w:t>
            </w:r>
          </w:p>
        </w:tc>
        <w:tc>
          <w:tcPr>
            <w:tcW w:w="1800" w:type="dxa"/>
            <w:shd w:val="clear" w:color="auto" w:fill="B4C6E7" w:themeFill="accent1" w:themeFillTint="66"/>
          </w:tcPr>
          <w:p w14:paraId="7005969A" w14:textId="3932FA9E" w:rsidR="00EF439F" w:rsidRPr="00EF439F" w:rsidRDefault="00EF439F" w:rsidP="00EF439F">
            <w:pPr>
              <w:jc w:val="center"/>
              <w:rPr>
                <w:b/>
                <w:bCs/>
                <w:i/>
                <w:iCs/>
              </w:rPr>
            </w:pPr>
            <w:r w:rsidRPr="00EF439F">
              <w:rPr>
                <w:b/>
                <w:bCs/>
                <w:i/>
                <w:iCs/>
              </w:rPr>
              <w:t>Imitability</w:t>
            </w:r>
          </w:p>
        </w:tc>
        <w:tc>
          <w:tcPr>
            <w:tcW w:w="1803" w:type="dxa"/>
            <w:shd w:val="clear" w:color="auto" w:fill="B4C6E7" w:themeFill="accent1" w:themeFillTint="66"/>
          </w:tcPr>
          <w:p w14:paraId="216F8DE1" w14:textId="73C55E8E" w:rsidR="00EF439F" w:rsidRPr="00EF439F" w:rsidRDefault="00EF439F" w:rsidP="00EF439F">
            <w:pPr>
              <w:jc w:val="center"/>
              <w:rPr>
                <w:b/>
                <w:bCs/>
                <w:i/>
                <w:iCs/>
              </w:rPr>
            </w:pPr>
            <w:r w:rsidRPr="00EF439F">
              <w:rPr>
                <w:b/>
                <w:bCs/>
                <w:i/>
                <w:iCs/>
              </w:rPr>
              <w:t>Organisation</w:t>
            </w:r>
          </w:p>
        </w:tc>
      </w:tr>
      <w:tr w:rsidR="00EF439F" w14:paraId="6EDCE436" w14:textId="77777777" w:rsidTr="00E14C05">
        <w:tc>
          <w:tcPr>
            <w:tcW w:w="1430" w:type="dxa"/>
            <w:shd w:val="clear" w:color="auto" w:fill="BFBFBF" w:themeFill="background1" w:themeFillShade="BF"/>
          </w:tcPr>
          <w:p w14:paraId="300686AF" w14:textId="6CF79C45" w:rsidR="00EF439F" w:rsidRPr="00EF439F" w:rsidRDefault="00EF439F" w:rsidP="00EF439F">
            <w:pPr>
              <w:jc w:val="left"/>
              <w:rPr>
                <w:i/>
                <w:iCs/>
              </w:rPr>
            </w:pPr>
            <w:r w:rsidRPr="00EF439F">
              <w:rPr>
                <w:i/>
                <w:iCs/>
              </w:rPr>
              <w:t xml:space="preserve">Appealing brand portfolio </w:t>
            </w:r>
          </w:p>
        </w:tc>
        <w:tc>
          <w:tcPr>
            <w:tcW w:w="1967" w:type="dxa"/>
          </w:tcPr>
          <w:p w14:paraId="0569BE92" w14:textId="5997FCFE" w:rsidR="00EF439F" w:rsidRDefault="00403DA5" w:rsidP="00403DA5">
            <w:r>
              <w:t>The portfolio based on diversification services is quite valuable and highly appreciated by consumers.</w:t>
            </w:r>
          </w:p>
        </w:tc>
        <w:tc>
          <w:tcPr>
            <w:tcW w:w="2016" w:type="dxa"/>
          </w:tcPr>
          <w:p w14:paraId="44C09618" w14:textId="2E896C23" w:rsidR="00EF439F" w:rsidRDefault="00403DA5" w:rsidP="001E7F51">
            <w:r>
              <w:t xml:space="preserve">Having a large portfolio and retail industry is not a rare characteristic in the current scenario as many retail institutions </w:t>
            </w:r>
            <w:r w:rsidR="000D0CD9">
              <w:t>(Cheng, 2021)</w:t>
            </w:r>
            <w:r>
              <w:t>.</w:t>
            </w:r>
          </w:p>
        </w:tc>
        <w:tc>
          <w:tcPr>
            <w:tcW w:w="1800" w:type="dxa"/>
          </w:tcPr>
          <w:p w14:paraId="2B4AF342" w14:textId="2B1EF53B" w:rsidR="00EF439F" w:rsidRDefault="00403DA5" w:rsidP="001E7F51">
            <w:r>
              <w:t>This strategy is not feasible for small or medium size enterprises but commendable for large corporations.</w:t>
            </w:r>
          </w:p>
        </w:tc>
        <w:tc>
          <w:tcPr>
            <w:tcW w:w="1803" w:type="dxa"/>
          </w:tcPr>
          <w:p w14:paraId="7562EAF6" w14:textId="4CD3A3E7" w:rsidR="00EF439F" w:rsidRDefault="00403DA5" w:rsidP="001E7F51">
            <w:r>
              <w:t>This characteristic is a unique selling point in itself and defines the vision and mission of the Unilever.</w:t>
            </w:r>
          </w:p>
        </w:tc>
      </w:tr>
      <w:tr w:rsidR="00EF439F" w14:paraId="11F32182" w14:textId="77777777" w:rsidTr="00E14C05">
        <w:tc>
          <w:tcPr>
            <w:tcW w:w="1430" w:type="dxa"/>
            <w:shd w:val="clear" w:color="auto" w:fill="BFBFBF" w:themeFill="background1" w:themeFillShade="BF"/>
          </w:tcPr>
          <w:p w14:paraId="2B2BEDC5" w14:textId="6C9E1047" w:rsidR="00EF439F" w:rsidRPr="00EF439F" w:rsidRDefault="00EF439F" w:rsidP="00EF439F">
            <w:pPr>
              <w:jc w:val="left"/>
              <w:rPr>
                <w:i/>
                <w:iCs/>
              </w:rPr>
            </w:pPr>
            <w:r w:rsidRPr="00EF439F">
              <w:rPr>
                <w:i/>
                <w:iCs/>
              </w:rPr>
              <w:t>Vast supply chain and network</w:t>
            </w:r>
          </w:p>
        </w:tc>
        <w:tc>
          <w:tcPr>
            <w:tcW w:w="1967" w:type="dxa"/>
          </w:tcPr>
          <w:p w14:paraId="4F4D65AC" w14:textId="47B5622E" w:rsidR="00EF439F" w:rsidRDefault="00403DA5" w:rsidP="001E7F51">
            <w:r>
              <w:t>Having a large network of suppliers and stakeholders is not only valuable but essential for a renowned retail corporation.</w:t>
            </w:r>
          </w:p>
        </w:tc>
        <w:tc>
          <w:tcPr>
            <w:tcW w:w="2016" w:type="dxa"/>
          </w:tcPr>
          <w:p w14:paraId="67425FC8" w14:textId="47EB8A2D" w:rsidR="00EF439F" w:rsidRDefault="00403DA5" w:rsidP="001E7F51">
            <w:r>
              <w:t>Such vast network of transportation and manufacturers is moderately rare in the retail sector and FMCG institutions over the world</w:t>
            </w:r>
            <w:r w:rsidR="000D0CD9">
              <w:t xml:space="preserve">. </w:t>
            </w:r>
          </w:p>
        </w:tc>
        <w:tc>
          <w:tcPr>
            <w:tcW w:w="1800" w:type="dxa"/>
          </w:tcPr>
          <w:p w14:paraId="786175DC" w14:textId="443CCA0A" w:rsidR="00EF439F" w:rsidRDefault="00403DA5" w:rsidP="001E7F51">
            <w:r>
              <w:t>Due to the excessively high requirement of monitoring investment, this characteristic is not imitable for SMEs.</w:t>
            </w:r>
          </w:p>
        </w:tc>
        <w:tc>
          <w:tcPr>
            <w:tcW w:w="1803" w:type="dxa"/>
          </w:tcPr>
          <w:p w14:paraId="4DF382F0" w14:textId="1CF3C63A" w:rsidR="00EF439F" w:rsidRDefault="00403DA5" w:rsidP="001E7F51">
            <w:r>
              <w:t>The larger scale supplier has become a necessity for the routine operations of Unilever in the retail market.</w:t>
            </w:r>
          </w:p>
        </w:tc>
      </w:tr>
      <w:tr w:rsidR="00EF439F" w14:paraId="7078FA43" w14:textId="77777777" w:rsidTr="00E14C05">
        <w:tc>
          <w:tcPr>
            <w:tcW w:w="1430" w:type="dxa"/>
            <w:shd w:val="clear" w:color="auto" w:fill="BFBFBF" w:themeFill="background1" w:themeFillShade="BF"/>
          </w:tcPr>
          <w:p w14:paraId="3759366B" w14:textId="4595A7C8" w:rsidR="00EF439F" w:rsidRPr="00EF439F" w:rsidRDefault="00EF439F" w:rsidP="00EF439F">
            <w:pPr>
              <w:jc w:val="left"/>
              <w:rPr>
                <w:i/>
                <w:iCs/>
              </w:rPr>
            </w:pPr>
            <w:r w:rsidRPr="00EF439F">
              <w:rPr>
                <w:i/>
                <w:iCs/>
              </w:rPr>
              <w:t xml:space="preserve">Affiliation with renowned brands and stakeholders </w:t>
            </w:r>
          </w:p>
        </w:tc>
        <w:tc>
          <w:tcPr>
            <w:tcW w:w="1967" w:type="dxa"/>
          </w:tcPr>
          <w:p w14:paraId="74897791" w14:textId="116049D1" w:rsidR="00EF439F" w:rsidRDefault="00403DA5" w:rsidP="001E7F51">
            <w:r>
              <w:t xml:space="preserve">Providing the services of most trustable brands is a unique value proposition of Unilever which gives </w:t>
            </w:r>
            <w:r w:rsidR="00E14C05">
              <w:t xml:space="preserve">profitability </w:t>
            </w:r>
          </w:p>
        </w:tc>
        <w:tc>
          <w:tcPr>
            <w:tcW w:w="2016" w:type="dxa"/>
          </w:tcPr>
          <w:p w14:paraId="58BCE791" w14:textId="5547BA49" w:rsidR="00EF439F" w:rsidRDefault="00E14C05" w:rsidP="001E7F51">
            <w:r>
              <w:t xml:space="preserve">Collectively providing such a large and diverse range of products offered by big brands is rare in the retail sector </w:t>
            </w:r>
          </w:p>
        </w:tc>
        <w:tc>
          <w:tcPr>
            <w:tcW w:w="1800" w:type="dxa"/>
          </w:tcPr>
          <w:p w14:paraId="620C831C" w14:textId="1F8F8927" w:rsidR="00EF439F" w:rsidRDefault="00E14C05" w:rsidP="001E7F51">
            <w:r>
              <w:t xml:space="preserve">The imitability of this characteristic of is remarkably low for contemporary organisations. </w:t>
            </w:r>
          </w:p>
        </w:tc>
        <w:tc>
          <w:tcPr>
            <w:tcW w:w="1803" w:type="dxa"/>
          </w:tcPr>
          <w:p w14:paraId="150EB66C" w14:textId="160696EA" w:rsidR="00EF439F" w:rsidRDefault="00E14C05" w:rsidP="001E7F51">
            <w:r>
              <w:t xml:space="preserve">Affiliating with the well-known brands in edible and cosmetic sectors give it an exclusive image in the market. </w:t>
            </w:r>
          </w:p>
        </w:tc>
      </w:tr>
    </w:tbl>
    <w:p w14:paraId="64AE2E99" w14:textId="618F2E31" w:rsidR="00EF439F" w:rsidRDefault="00700957" w:rsidP="00E04D9D">
      <w:r>
        <w:lastRenderedPageBreak/>
        <w:t>Concluding</w:t>
      </w:r>
      <w:r w:rsidR="00E04D9D">
        <w:t xml:space="preserve"> Unilever’s competitive advantage over the contemporary organisations using the VRIO model, it can be stated that some of its approaches are rare and not imitable by rivals. Although, the characteristics of th</w:t>
      </w:r>
      <w:r>
        <w:t>is</w:t>
      </w:r>
      <w:r w:rsidR="00E04D9D">
        <w:t xml:space="preserve"> institution such as having a vast supply chain network and affiliating with the renowned brands is feasible to be meditated by giant retail and fast-moving consumer goods companies</w:t>
      </w:r>
      <w:r w:rsidR="000D0CD9">
        <w:t xml:space="preserve"> (Ullah, 2021)</w:t>
      </w:r>
      <w:r w:rsidR="00E04D9D">
        <w:t xml:space="preserve">. However, these strategies are not feasible for small and medium sized enterprises (SMEs), which shows that they do not pose any considerable threat to Unilever’s business model. </w:t>
      </w:r>
    </w:p>
    <w:p w14:paraId="3F2D448A" w14:textId="003E08D5" w:rsidR="00700957" w:rsidRDefault="00700957" w:rsidP="00700957">
      <w:pPr>
        <w:pStyle w:val="2"/>
      </w:pPr>
      <w:bookmarkStart w:id="16" w:name="_Toc163084878"/>
      <w:bookmarkStart w:id="17" w:name="_Toc163086304"/>
      <w:r>
        <w:t>Considering sustainability and environmental CSR</w:t>
      </w:r>
      <w:bookmarkEnd w:id="16"/>
      <w:bookmarkEnd w:id="17"/>
      <w:r>
        <w:t xml:space="preserve"> </w:t>
      </w:r>
    </w:p>
    <w:p w14:paraId="3CDF93A2" w14:textId="297842F7" w:rsidR="00700957" w:rsidRPr="00700957" w:rsidRDefault="00700957" w:rsidP="00700957">
      <w:r>
        <w:t>The manufacturing and transportation processes of retail and fast-moving consumer goods sector is often accused for contributing in carbon footprint index and deteriorating environmental sustainability. Along with that, a lack of infrastructure for managing the waste is also often absorbed to contribute at this sector being responsible for natural resources’ pollution and over consumption. However, there are numerous claims made by Unilever to successfully counterattack these environment pollution related accusations on a global level</w:t>
      </w:r>
      <w:r w:rsidR="000D0CD9">
        <w:t xml:space="preserve"> (Modreanu, et al, 2021)</w:t>
      </w:r>
      <w:r>
        <w:t xml:space="preserve">. The below mentioned segments are dedicated to evaluate these initiatives are taken by Unilever to claim the considerations of corporate social responsibilities (CSR) for gaining trust of consumers and retaining them for long term. </w:t>
      </w:r>
    </w:p>
    <w:p w14:paraId="2B335413" w14:textId="1FF06B0A" w:rsidR="00700957" w:rsidRDefault="002D6B04" w:rsidP="002D6B04">
      <w:pPr>
        <w:pStyle w:val="a4"/>
        <w:numPr>
          <w:ilvl w:val="0"/>
          <w:numId w:val="4"/>
        </w:numPr>
      </w:pPr>
      <w:r w:rsidRPr="002D6B04">
        <w:rPr>
          <w:i/>
          <w:iCs/>
        </w:rPr>
        <w:t>Decreasing pollutant emissions:</w:t>
      </w:r>
      <w:r>
        <w:t xml:space="preserve"> It is one of the future objectives in the action plan of Unilever to reduce the pollutants and carbon-based emissions to a negligible extent by the year 2039. Utilisation of energy resources that are renewable and elimination of fuels that cannot be replenished on earth’s crust are the strategies that are planned to be implemented in the future operations</w:t>
      </w:r>
      <w:r w:rsidR="000D0CD9">
        <w:t xml:space="preserve"> (Raj, 2023)</w:t>
      </w:r>
      <w:r>
        <w:t>. These energy resources are expected to be utilised in both manufacturing and transportation operations of Unilever.</w:t>
      </w:r>
    </w:p>
    <w:p w14:paraId="7AA3C051" w14:textId="70E9480C" w:rsidR="002D6B04" w:rsidRDefault="002D6B04" w:rsidP="002D6B04">
      <w:pPr>
        <w:pStyle w:val="a4"/>
        <w:numPr>
          <w:ilvl w:val="0"/>
          <w:numId w:val="4"/>
        </w:numPr>
      </w:pPr>
      <w:r w:rsidRPr="002D6B04">
        <w:rPr>
          <w:i/>
          <w:iCs/>
        </w:rPr>
        <w:t>Managing operational waste:</w:t>
      </w:r>
      <w:r>
        <w:t xml:space="preserve"> Cultivation of wastage is one of the most significant problems of corporate sector industries that are based on tangible products especially the daily essential goods that are wrapped in non-biodegradable packaging. These non-biodegradable packaging are made of plastic and polymer products that creates a drastic impact on environmental sustainability and balance in the long run. Only by the year 2015, Unilever aims to decrease the utilisation of such plastic packaging by half. </w:t>
      </w:r>
    </w:p>
    <w:p w14:paraId="4C341A5A" w14:textId="6BA45B32" w:rsidR="00380AA7" w:rsidRDefault="002D6B04" w:rsidP="00380AA7">
      <w:pPr>
        <w:pStyle w:val="a4"/>
        <w:numPr>
          <w:ilvl w:val="0"/>
          <w:numId w:val="4"/>
        </w:numPr>
      </w:pPr>
      <w:r w:rsidRPr="002D6B04">
        <w:rPr>
          <w:i/>
          <w:iCs/>
        </w:rPr>
        <w:t>Mitigating agricultural deteriorations:</w:t>
      </w:r>
      <w:r>
        <w:t xml:space="preserve"> There are certain daily use and FMCG products that are obtained by massive surge of deforestation and unethical practises of agricultural deteriorations</w:t>
      </w:r>
      <w:r w:rsidR="000D0CD9">
        <w:t xml:space="preserve"> (Sabtika, 2021)</w:t>
      </w:r>
      <w:r>
        <w:t xml:space="preserve">. Unilever claims to only affiliate with brands that are not involved in such activities and only support the edible products that are </w:t>
      </w:r>
      <w:r>
        <w:lastRenderedPageBreak/>
        <w:t xml:space="preserve">grown organically without causing any harm to agricultural properties. Suppliers being liable for damaging the natural habitats </w:t>
      </w:r>
      <w:r w:rsidR="00380AA7">
        <w:t xml:space="preserve">is </w:t>
      </w:r>
      <w:r>
        <w:t>an issue addressed by Unilever.</w:t>
      </w:r>
    </w:p>
    <w:p w14:paraId="385C01D0" w14:textId="2B637D35" w:rsidR="00380AA7" w:rsidRDefault="00380AA7" w:rsidP="00380AA7">
      <w:r>
        <w:t>The above-mentioned initiatives are claimed to be taken into consideration by Unilever in its manufacturing and transport related operations. These initiatives also provide a competitive advantage to this organisation since it is appreciated by environmental conscious consumers</w:t>
      </w:r>
      <w:r w:rsidR="000D0CD9">
        <w:t xml:space="preserve"> (Chernobay, et al, 2020)</w:t>
      </w:r>
      <w:r>
        <w:t xml:space="preserve">. However, majority of claims made by Unilever are still in implementation stage and are not accomplished completely till the date. Therefore, not being able to achieve these objectives in the future can also negatively impact the brand image of this organisation. It also needs to be in the consideration of the higher authorities that these claims are not just marketing gimmicks to attract environmental conscious consumers. Lack of transparency in the statistics related to environmentally friendly practises and corporate social responsibility (CSR) approaches can also lead to decreasing trust of consumers. </w:t>
      </w:r>
    </w:p>
    <w:p w14:paraId="67A8E32B" w14:textId="13552ECF" w:rsidR="00786C33" w:rsidRDefault="00786C33" w:rsidP="00786C33">
      <w:pPr>
        <w:pStyle w:val="2"/>
      </w:pPr>
      <w:bookmarkStart w:id="18" w:name="_Toc163084879"/>
      <w:bookmarkStart w:id="19" w:name="_Toc163086305"/>
      <w:r>
        <w:t>Strategic direction for Unilever in future</w:t>
      </w:r>
      <w:bookmarkEnd w:id="18"/>
      <w:bookmarkEnd w:id="19"/>
      <w:r>
        <w:t xml:space="preserve"> </w:t>
      </w:r>
    </w:p>
    <w:p w14:paraId="40B2E0AD" w14:textId="4832B1B2" w:rsidR="00786C33" w:rsidRDefault="00C82F9D" w:rsidP="00786C33">
      <w:r>
        <w:t xml:space="preserve">A well classified action plan for the future operations of Unilever can turn out to be beneficial for mitigating the prospective risks related to different macro environmental aspects </w:t>
      </w:r>
      <w:r w:rsidR="00214692">
        <w:t>and</w:t>
      </w:r>
      <w:r>
        <w:t xml:space="preserve"> influences. </w:t>
      </w:r>
      <w:r w:rsidR="00214692">
        <w:t xml:space="preserve">The below mentioned segments are dedicated to give strategic directions to this organisation by utilising the PESTLE model of analysis. </w:t>
      </w:r>
    </w:p>
    <w:tbl>
      <w:tblPr>
        <w:tblStyle w:val="a3"/>
        <w:tblW w:w="0" w:type="auto"/>
        <w:tblLook w:val="04A0" w:firstRow="1" w:lastRow="0" w:firstColumn="1" w:lastColumn="0" w:noHBand="0" w:noVBand="1"/>
      </w:tblPr>
      <w:tblGrid>
        <w:gridCol w:w="1838"/>
        <w:gridCol w:w="7178"/>
      </w:tblGrid>
      <w:tr w:rsidR="00214692" w14:paraId="4A4ED5A5" w14:textId="77777777" w:rsidTr="00214692">
        <w:tc>
          <w:tcPr>
            <w:tcW w:w="1838" w:type="dxa"/>
          </w:tcPr>
          <w:p w14:paraId="3346DCA7" w14:textId="6BD637D6" w:rsidR="00214692" w:rsidRPr="00214692" w:rsidRDefault="009B1215" w:rsidP="00214692">
            <w:pPr>
              <w:jc w:val="center"/>
              <w:rPr>
                <w:b/>
                <w:bCs/>
                <w:i/>
                <w:iCs/>
              </w:rPr>
            </w:pPr>
            <w:r>
              <w:rPr>
                <w:b/>
                <w:bCs/>
                <w:i/>
                <w:iCs/>
              </w:rPr>
              <w:t>Factors</w:t>
            </w:r>
          </w:p>
        </w:tc>
        <w:tc>
          <w:tcPr>
            <w:tcW w:w="7178" w:type="dxa"/>
          </w:tcPr>
          <w:p w14:paraId="408BB295" w14:textId="240295BD" w:rsidR="00214692" w:rsidRPr="00214692" w:rsidRDefault="00214692" w:rsidP="00214692">
            <w:pPr>
              <w:jc w:val="center"/>
              <w:rPr>
                <w:b/>
                <w:bCs/>
                <w:i/>
                <w:iCs/>
              </w:rPr>
            </w:pPr>
            <w:r w:rsidRPr="00214692">
              <w:rPr>
                <w:b/>
                <w:bCs/>
                <w:i/>
                <w:iCs/>
              </w:rPr>
              <w:t>Action plan based on micro-environmental factor</w:t>
            </w:r>
          </w:p>
        </w:tc>
      </w:tr>
      <w:tr w:rsidR="00214692" w14:paraId="1D9B7D29" w14:textId="77777777" w:rsidTr="00214692">
        <w:tc>
          <w:tcPr>
            <w:tcW w:w="1838" w:type="dxa"/>
          </w:tcPr>
          <w:p w14:paraId="4D66FAC6" w14:textId="7AAA8533" w:rsidR="00214692" w:rsidRDefault="00214692" w:rsidP="00786C33">
            <w:r>
              <w:t xml:space="preserve">Political </w:t>
            </w:r>
          </w:p>
        </w:tc>
        <w:tc>
          <w:tcPr>
            <w:tcW w:w="7178" w:type="dxa"/>
          </w:tcPr>
          <w:p w14:paraId="02AF63FC" w14:textId="4792907E" w:rsidR="00214692" w:rsidRDefault="00214692" w:rsidP="00786C33">
            <w:r>
              <w:t xml:space="preserve">The rules and regulations determined for packaging and labelling the daily essential products can change depending on changing governance in different countries where Unilever operates. Therefore, addressing these criteria of policies is essential for </w:t>
            </w:r>
            <w:r w:rsidR="0096062C">
              <w:t>Unilever to</w:t>
            </w:r>
            <w:r>
              <w:t xml:space="preserve"> maintain brand image</w:t>
            </w:r>
          </w:p>
        </w:tc>
      </w:tr>
      <w:tr w:rsidR="00214692" w14:paraId="6CC6D31F" w14:textId="77777777" w:rsidTr="00214692">
        <w:tc>
          <w:tcPr>
            <w:tcW w:w="1838" w:type="dxa"/>
          </w:tcPr>
          <w:p w14:paraId="711D53BA" w14:textId="70BA43C5" w:rsidR="00214692" w:rsidRDefault="00214692" w:rsidP="00786C33">
            <w:r>
              <w:t xml:space="preserve">Environmental </w:t>
            </w:r>
          </w:p>
        </w:tc>
        <w:tc>
          <w:tcPr>
            <w:tcW w:w="7178" w:type="dxa"/>
          </w:tcPr>
          <w:p w14:paraId="0D220281" w14:textId="1A8E7C86" w:rsidR="00214692" w:rsidRDefault="00214692" w:rsidP="00786C33">
            <w:r>
              <w:t>Unilever meet to adhere by the claims it has made for environmental sustainability initiatives such as endeavouring for reducing the carbon emission and transportation and supplier chain processes. Waste management is also an issue which is not re</w:t>
            </w:r>
            <w:r w:rsidR="000D0CD9">
              <w:t>solved (Pardo Perez, 2020)</w:t>
            </w:r>
            <w:r>
              <w:t xml:space="preserve">. </w:t>
            </w:r>
          </w:p>
        </w:tc>
      </w:tr>
      <w:tr w:rsidR="00214692" w14:paraId="6263EC75" w14:textId="77777777" w:rsidTr="00214692">
        <w:tc>
          <w:tcPr>
            <w:tcW w:w="1838" w:type="dxa"/>
          </w:tcPr>
          <w:p w14:paraId="229E384F" w14:textId="3B256163" w:rsidR="00214692" w:rsidRDefault="00214692" w:rsidP="00786C33">
            <w:r>
              <w:t xml:space="preserve">Socio-cultural </w:t>
            </w:r>
          </w:p>
        </w:tc>
        <w:tc>
          <w:tcPr>
            <w:tcW w:w="7178" w:type="dxa"/>
          </w:tcPr>
          <w:p w14:paraId="2AE305D8" w14:textId="3AAF0F1B" w:rsidR="00214692" w:rsidRDefault="00214692" w:rsidP="00786C33">
            <w:r>
              <w:t>Socio cultural concerns are impactful for the consumer segmentation of different criteria such as geographic and demographic parameters to understand the scalability of products offered by the organisation. These concerns are also important to understand their buying behaviour.</w:t>
            </w:r>
          </w:p>
        </w:tc>
      </w:tr>
      <w:tr w:rsidR="00214692" w14:paraId="53BF8414" w14:textId="77777777" w:rsidTr="00214692">
        <w:tc>
          <w:tcPr>
            <w:tcW w:w="1838" w:type="dxa"/>
          </w:tcPr>
          <w:p w14:paraId="2E733F2A" w14:textId="4D5E19AE" w:rsidR="00214692" w:rsidRDefault="00214692" w:rsidP="00786C33">
            <w:r>
              <w:lastRenderedPageBreak/>
              <w:t xml:space="preserve">Technological </w:t>
            </w:r>
          </w:p>
        </w:tc>
        <w:tc>
          <w:tcPr>
            <w:tcW w:w="7178" w:type="dxa"/>
          </w:tcPr>
          <w:p w14:paraId="164AEF00" w14:textId="4F25BD8B" w:rsidR="00214692" w:rsidRDefault="00214692" w:rsidP="00786C33">
            <w:r>
              <w:t>The organisation needs to continue addressing the adaptation of technological aspects for establishing a potential market on online platforms and portals. E commerce has proven to be essential for ensuring the convenience of consumers while purchasing</w:t>
            </w:r>
            <w:r w:rsidR="000D0CD9">
              <w:t xml:space="preserve"> (Laursen, 2023)</w:t>
            </w:r>
          </w:p>
        </w:tc>
      </w:tr>
      <w:tr w:rsidR="00214692" w14:paraId="3EFE2592" w14:textId="77777777" w:rsidTr="00214692">
        <w:tc>
          <w:tcPr>
            <w:tcW w:w="1838" w:type="dxa"/>
          </w:tcPr>
          <w:p w14:paraId="753ACC21" w14:textId="42113429" w:rsidR="00214692" w:rsidRDefault="00214692" w:rsidP="00786C33">
            <w:r>
              <w:t xml:space="preserve">Legal </w:t>
            </w:r>
          </w:p>
        </w:tc>
        <w:tc>
          <w:tcPr>
            <w:tcW w:w="7178" w:type="dxa"/>
          </w:tcPr>
          <w:p w14:paraId="6BB5F829" w14:textId="269169F6" w:rsidR="00214692" w:rsidRDefault="00214692" w:rsidP="00786C33">
            <w:r>
              <w:t>Unilever needs to assure that the organisation is not making any falsified claims regarding their initiatives and endeavours for mitigating the environmental sustainability challenges. Lack of transparency in such information can lead the organisation to indulge in legal challenges.</w:t>
            </w:r>
          </w:p>
        </w:tc>
      </w:tr>
      <w:tr w:rsidR="00214692" w14:paraId="1B26FF50" w14:textId="77777777" w:rsidTr="00214692">
        <w:tc>
          <w:tcPr>
            <w:tcW w:w="1838" w:type="dxa"/>
          </w:tcPr>
          <w:p w14:paraId="36F42270" w14:textId="32537002" w:rsidR="00214692" w:rsidRDefault="00214692" w:rsidP="00786C33">
            <w:r>
              <w:t xml:space="preserve">Economical </w:t>
            </w:r>
          </w:p>
        </w:tc>
        <w:tc>
          <w:tcPr>
            <w:tcW w:w="7178" w:type="dxa"/>
          </w:tcPr>
          <w:p w14:paraId="4ED9F8B4" w14:textId="28CE1E23" w:rsidR="00214692" w:rsidRDefault="009B1215" w:rsidP="00786C33">
            <w:r>
              <w:t xml:space="preserve">Increasing prices of renewable energy resource investment can be a potential challenge for the organisation in its future operations. </w:t>
            </w:r>
          </w:p>
        </w:tc>
      </w:tr>
    </w:tbl>
    <w:p w14:paraId="030A7FD5" w14:textId="13EB2395" w:rsidR="00214692" w:rsidRDefault="009B1215" w:rsidP="009B1215">
      <w:pPr>
        <w:pStyle w:val="1"/>
      </w:pPr>
      <w:bookmarkStart w:id="20" w:name="_Toc163084880"/>
      <w:bookmarkStart w:id="21" w:name="_Toc163086306"/>
      <w:r>
        <w:t>Conclusion and recommendations</w:t>
      </w:r>
      <w:bookmarkEnd w:id="20"/>
      <w:bookmarkEnd w:id="21"/>
      <w:r>
        <w:t xml:space="preserve"> </w:t>
      </w:r>
    </w:p>
    <w:p w14:paraId="0F1223A4" w14:textId="638DA305" w:rsidR="00C82F9D" w:rsidRDefault="009B1215" w:rsidP="00786C33">
      <w:r>
        <w:t xml:space="preserve">By understanding the current competitive position and corporate strategies of Unilever, It can be concluded that the approaches of customer acquisition and gaining the trust of large consumer bases are commendable. However, the organisation needs to ensure that its claims regarding environmental sustainability and corporate social responsibilities (CSR) are not falsified or partially transparent. Furthermore, the enhancing prices of both renewable and non-renewable energy resources can also pose a potential challenge for Unilever in the future operations. For the future action plans, a detail-oriented evaluation of stakeholders and supply chains is recommended for the institution to sustain its diverse and large product portfolio. </w:t>
      </w:r>
    </w:p>
    <w:p w14:paraId="794014BC" w14:textId="74B4DF58" w:rsidR="009B1215" w:rsidRDefault="009B1215" w:rsidP="009B1215">
      <w:pPr>
        <w:rPr>
          <w:b/>
          <w:bCs/>
          <w:sz w:val="28"/>
          <w:szCs w:val="28"/>
        </w:rPr>
      </w:pPr>
      <w:r w:rsidRPr="009B1215">
        <w:rPr>
          <w:b/>
          <w:bCs/>
          <w:sz w:val="28"/>
          <w:szCs w:val="28"/>
        </w:rPr>
        <w:t xml:space="preserve">Recommendations </w:t>
      </w:r>
    </w:p>
    <w:p w14:paraId="7DB4D1B6" w14:textId="73FF7623" w:rsidR="009B1215" w:rsidRDefault="009B1215" w:rsidP="009B1215">
      <w:r>
        <w:t>Based on the current position and future action plans of Unilever, Certain recommendations can be offered as described below.</w:t>
      </w:r>
    </w:p>
    <w:p w14:paraId="5A85D9D8" w14:textId="0CAD8706" w:rsidR="009B1215" w:rsidRDefault="009B1215" w:rsidP="00A0722C">
      <w:pPr>
        <w:pStyle w:val="a4"/>
        <w:numPr>
          <w:ilvl w:val="0"/>
          <w:numId w:val="5"/>
        </w:numPr>
      </w:pPr>
      <w:r w:rsidRPr="00A0722C">
        <w:rPr>
          <w:b/>
          <w:bCs/>
          <w:i/>
          <w:iCs/>
        </w:rPr>
        <w:t xml:space="preserve">Emphasising reusing and recycling: </w:t>
      </w:r>
      <w:r>
        <w:t>Reusing and recycling are appreciated by environmental conscious consumers and specially millennials and Gen-Z customers Which can be considered to magnify its brand image.</w:t>
      </w:r>
    </w:p>
    <w:p w14:paraId="3D7195CF" w14:textId="01833BAF" w:rsidR="009B1215" w:rsidRDefault="00A0722C" w:rsidP="00A0722C">
      <w:pPr>
        <w:pStyle w:val="a4"/>
        <w:numPr>
          <w:ilvl w:val="0"/>
          <w:numId w:val="5"/>
        </w:numPr>
      </w:pPr>
      <w:r w:rsidRPr="00A0722C">
        <w:rPr>
          <w:b/>
          <w:bCs/>
          <w:i/>
          <w:iCs/>
        </w:rPr>
        <w:t xml:space="preserve">Avoiding misleading claims and information: </w:t>
      </w:r>
      <w:r>
        <w:t xml:space="preserve">The organisation should avoid making the claims that are not feasible in near future in the context of environmental sustainability and carbon pollution mitigation. </w:t>
      </w:r>
    </w:p>
    <w:p w14:paraId="67906B6B" w14:textId="658A4CA5" w:rsidR="00E57492" w:rsidRPr="00446091" w:rsidRDefault="00A0722C" w:rsidP="00DF76E3">
      <w:pPr>
        <w:pStyle w:val="a4"/>
        <w:numPr>
          <w:ilvl w:val="0"/>
          <w:numId w:val="5"/>
        </w:numPr>
      </w:pPr>
      <w:r w:rsidRPr="00A0722C">
        <w:rPr>
          <w:b/>
          <w:bCs/>
          <w:i/>
          <w:iCs/>
        </w:rPr>
        <w:lastRenderedPageBreak/>
        <w:t>Magnifying online presence:</w:t>
      </w:r>
      <w:r>
        <w:t xml:space="preserve"> Being already established in supermarkets and offline platforms, Unilever should now emphasise more on being available on online portals and E-commerce channels to ensure the convenience of consumers. </w:t>
      </w:r>
      <w:bookmarkStart w:id="22" w:name="_Toc163086307"/>
    </w:p>
    <w:p w14:paraId="649B9FAC" w14:textId="77777777" w:rsidR="00C3657A" w:rsidRDefault="00C3657A" w:rsidP="00DF76E3">
      <w:pPr>
        <w:rPr>
          <w:b/>
          <w:sz w:val="36"/>
          <w:szCs w:val="36"/>
        </w:rPr>
      </w:pPr>
    </w:p>
    <w:p w14:paraId="33DE2583" w14:textId="16876E35" w:rsidR="00A0722C" w:rsidRPr="00DF76E3" w:rsidRDefault="00A0722C" w:rsidP="00DF76E3">
      <w:pPr>
        <w:rPr>
          <w:b/>
          <w:sz w:val="36"/>
          <w:szCs w:val="36"/>
        </w:rPr>
      </w:pPr>
      <w:r w:rsidRPr="00DF76E3">
        <w:rPr>
          <w:b/>
          <w:sz w:val="36"/>
          <w:szCs w:val="36"/>
        </w:rPr>
        <w:t>References</w:t>
      </w:r>
      <w:bookmarkEnd w:id="22"/>
      <w:r w:rsidRPr="00DF76E3">
        <w:rPr>
          <w:b/>
          <w:sz w:val="36"/>
          <w:szCs w:val="36"/>
        </w:rPr>
        <w:t xml:space="preserve"> </w:t>
      </w:r>
    </w:p>
    <w:p w14:paraId="0F5C0CFA" w14:textId="77777777" w:rsidR="00DF76E3" w:rsidRPr="00EC424B" w:rsidRDefault="000D0CD9" w:rsidP="00EC424B">
      <w:pPr>
        <w:spacing w:before="0" w:after="160"/>
        <w:jc w:val="left"/>
        <w:rPr>
          <w:color w:val="222222"/>
          <w:shd w:val="clear" w:color="auto" w:fill="FFFFFF"/>
        </w:rPr>
      </w:pPr>
      <w:r w:rsidRPr="00EC424B">
        <w:rPr>
          <w:color w:val="222222"/>
          <w:shd w:val="clear" w:color="auto" w:fill="FFFFFF"/>
        </w:rPr>
        <w:t>BETTENCOURT, A.S.D.A., 2021. MARKET SHARE AS A KEY SENSITIVE FACTOR TO UNILEVER’S PROFITABILITY.</w:t>
      </w:r>
    </w:p>
    <w:p w14:paraId="3B44E125" w14:textId="0702DC28" w:rsidR="00DF76E3" w:rsidRPr="00EC424B" w:rsidRDefault="000D0CD9" w:rsidP="00EC424B">
      <w:pPr>
        <w:spacing w:before="0" w:after="160"/>
        <w:jc w:val="left"/>
        <w:rPr>
          <w:color w:val="222222"/>
          <w:shd w:val="clear" w:color="auto" w:fill="FFFFFF"/>
        </w:rPr>
      </w:pPr>
      <w:r w:rsidRPr="00EC424B">
        <w:rPr>
          <w:color w:val="222222"/>
          <w:shd w:val="clear" w:color="auto" w:fill="FFFFFF"/>
        </w:rPr>
        <w:t>binti Tsuraya, H., Endayani, L., Zahda, F.M., Utami, I.S. and Jayadi, U., 202</w:t>
      </w:r>
      <w:r w:rsidR="00EB6A9C">
        <w:rPr>
          <w:color w:val="222222"/>
          <w:shd w:val="clear" w:color="auto" w:fill="FFFFFF"/>
        </w:rPr>
        <w:t xml:space="preserve">3. Unilever Company Work Model. </w:t>
      </w:r>
      <w:r w:rsidRPr="00EC424B">
        <w:rPr>
          <w:i/>
          <w:iCs/>
          <w:color w:val="222222"/>
          <w:shd w:val="clear" w:color="auto" w:fill="FFFFFF"/>
        </w:rPr>
        <w:t>International Journal of Economics, Management and Accounting (IJEMA)</w:t>
      </w:r>
      <w:r w:rsidR="00EB6A9C">
        <w:rPr>
          <w:color w:val="222222"/>
          <w:shd w:val="clear" w:color="auto" w:fill="FFFFFF"/>
        </w:rPr>
        <w:t xml:space="preserve">, </w:t>
      </w:r>
      <w:r w:rsidRPr="00EC424B">
        <w:rPr>
          <w:i/>
          <w:iCs/>
          <w:color w:val="222222"/>
          <w:shd w:val="clear" w:color="auto" w:fill="FFFFFF"/>
        </w:rPr>
        <w:t>1</w:t>
      </w:r>
      <w:r w:rsidRPr="00EC424B">
        <w:rPr>
          <w:color w:val="222222"/>
          <w:shd w:val="clear" w:color="auto" w:fill="FFFFFF"/>
        </w:rPr>
        <w:t>(1), pp.7-14.</w:t>
      </w:r>
    </w:p>
    <w:p w14:paraId="7143C7E8" w14:textId="65EB8F73" w:rsidR="000D0CD9" w:rsidRPr="00EC424B" w:rsidRDefault="000D0CD9" w:rsidP="00EC424B">
      <w:pPr>
        <w:spacing w:before="0" w:after="160"/>
        <w:jc w:val="left"/>
        <w:rPr>
          <w:color w:val="222222"/>
          <w:shd w:val="clear" w:color="auto" w:fill="FFFFFF"/>
        </w:rPr>
      </w:pPr>
      <w:r w:rsidRPr="00EC424B">
        <w:rPr>
          <w:color w:val="222222"/>
          <w:shd w:val="clear" w:color="auto" w:fill="FFFFFF"/>
        </w:rPr>
        <w:t>Cheng, Y., 2021, February. Analysis on the Opportunities and Challenges of Unilever’s Differentiated Competi</w:t>
      </w:r>
      <w:r w:rsidR="00EB6A9C">
        <w:rPr>
          <w:color w:val="222222"/>
          <w:shd w:val="clear" w:color="auto" w:fill="FFFFFF"/>
        </w:rPr>
        <w:t xml:space="preserve">tion by Using SWOT and PEST. In </w:t>
      </w:r>
      <w:r w:rsidRPr="00EC424B">
        <w:rPr>
          <w:i/>
          <w:iCs/>
          <w:color w:val="222222"/>
          <w:shd w:val="clear" w:color="auto" w:fill="FFFFFF"/>
        </w:rPr>
        <w:t>6th International Conference on Economics, Management, Law and Education (EMLE 2020)</w:t>
      </w:r>
      <w:r w:rsidR="00EB6A9C">
        <w:rPr>
          <w:i/>
          <w:iCs/>
          <w:color w:val="222222"/>
          <w:shd w:val="clear" w:color="auto" w:fill="FFFFFF"/>
        </w:rPr>
        <w:t xml:space="preserve"> </w:t>
      </w:r>
      <w:r w:rsidRPr="00EC424B">
        <w:rPr>
          <w:color w:val="222222"/>
          <w:shd w:val="clear" w:color="auto" w:fill="FFFFFF"/>
        </w:rPr>
        <w:t>(pp. 280-284). Atlantis Press.</w:t>
      </w:r>
    </w:p>
    <w:p w14:paraId="50590059" w14:textId="77777777" w:rsidR="000D0CD9" w:rsidRPr="000D0CD9" w:rsidRDefault="000D0CD9" w:rsidP="000D0CD9">
      <w:pPr>
        <w:spacing w:before="0" w:after="160"/>
        <w:jc w:val="left"/>
      </w:pPr>
      <w:r w:rsidRPr="000D0CD9">
        <w:rPr>
          <w:color w:val="222222"/>
          <w:shd w:val="clear" w:color="auto" w:fill="FFFFFF"/>
        </w:rPr>
        <w:t>Chernobay, L., Yasinska, T. and Malibroda, S., 2020. APPLIED ASPECT OF CORPORATE SOCIAL RESPONSIBILITY IMPACT ON COMPANY COMPETITIVENESS (UNILEVER EXAMPLE). </w:t>
      </w:r>
      <w:r w:rsidRPr="000D0CD9">
        <w:rPr>
          <w:i/>
          <w:iCs/>
          <w:color w:val="222222"/>
          <w:shd w:val="clear" w:color="auto" w:fill="FFFFFF"/>
        </w:rPr>
        <w:t>Предприемачество</w:t>
      </w:r>
      <w:r w:rsidRPr="000D0CD9">
        <w:rPr>
          <w:color w:val="222222"/>
          <w:shd w:val="clear" w:color="auto" w:fill="FFFFFF"/>
        </w:rPr>
        <w:t>, p.32.</w:t>
      </w:r>
      <w:r w:rsidRPr="000D0CD9">
        <w:t xml:space="preserve"> </w:t>
      </w:r>
    </w:p>
    <w:p w14:paraId="016F33EC" w14:textId="71DDB3CF" w:rsidR="000D0CD9" w:rsidRPr="000D0CD9" w:rsidRDefault="00EB6A9C" w:rsidP="000D0CD9">
      <w:pPr>
        <w:rPr>
          <w:color w:val="222222"/>
          <w:shd w:val="clear" w:color="auto" w:fill="FFFFFF"/>
        </w:rPr>
      </w:pPr>
      <w:r>
        <w:rPr>
          <w:color w:val="222222"/>
          <w:shd w:val="clear" w:color="auto" w:fill="FFFFFF"/>
        </w:rPr>
        <w:t xml:space="preserve">Cherunilam, F., 2021. </w:t>
      </w:r>
      <w:r w:rsidR="000D0CD9" w:rsidRPr="000D0CD9">
        <w:rPr>
          <w:i/>
          <w:iCs/>
          <w:color w:val="222222"/>
          <w:shd w:val="clear" w:color="auto" w:fill="FFFFFF"/>
        </w:rPr>
        <w:t>Business environment</w:t>
      </w:r>
      <w:r w:rsidR="000D0CD9" w:rsidRPr="000D0CD9">
        <w:rPr>
          <w:color w:val="222222"/>
          <w:shd w:val="clear" w:color="auto" w:fill="FFFFFF"/>
        </w:rPr>
        <w:t>. Himalaya Publishing House Pvt. Ltd.</w:t>
      </w:r>
    </w:p>
    <w:p w14:paraId="22279331" w14:textId="0D5955E3" w:rsidR="000D0CD9" w:rsidRPr="000D0CD9" w:rsidRDefault="000D0CD9" w:rsidP="000D0CD9">
      <w:pPr>
        <w:rPr>
          <w:color w:val="222222"/>
          <w:shd w:val="clear" w:color="auto" w:fill="FFFFFF"/>
        </w:rPr>
      </w:pPr>
      <w:r w:rsidRPr="000D0CD9">
        <w:rPr>
          <w:color w:val="222222"/>
          <w:shd w:val="clear" w:color="auto" w:fill="FFFFFF"/>
        </w:rPr>
        <w:t>Gabrielli, V. and Baghi, I., 2020. Unveiling the corporate brand: the</w:t>
      </w:r>
      <w:r w:rsidR="00EB6A9C">
        <w:rPr>
          <w:color w:val="222222"/>
          <w:shd w:val="clear" w:color="auto" w:fill="FFFFFF"/>
        </w:rPr>
        <w:t xml:space="preserve"> role of portfolio composition. </w:t>
      </w:r>
      <w:r w:rsidRPr="000D0CD9">
        <w:rPr>
          <w:i/>
          <w:iCs/>
          <w:color w:val="222222"/>
          <w:shd w:val="clear" w:color="auto" w:fill="FFFFFF"/>
        </w:rPr>
        <w:t>Journal of Consumer Marketing</w:t>
      </w:r>
      <w:r w:rsidR="00EB6A9C">
        <w:rPr>
          <w:color w:val="222222"/>
          <w:shd w:val="clear" w:color="auto" w:fill="FFFFFF"/>
        </w:rPr>
        <w:t xml:space="preserve">, </w:t>
      </w:r>
      <w:r w:rsidRPr="000D0CD9">
        <w:rPr>
          <w:i/>
          <w:iCs/>
          <w:color w:val="222222"/>
          <w:shd w:val="clear" w:color="auto" w:fill="FFFFFF"/>
        </w:rPr>
        <w:t>37</w:t>
      </w:r>
      <w:r w:rsidRPr="000D0CD9">
        <w:rPr>
          <w:color w:val="222222"/>
          <w:shd w:val="clear" w:color="auto" w:fill="FFFFFF"/>
        </w:rPr>
        <w:t>(3), pp.279-290.</w:t>
      </w:r>
    </w:p>
    <w:p w14:paraId="634689F4" w14:textId="5F898DD5" w:rsidR="000D0CD9" w:rsidRPr="000D0CD9" w:rsidRDefault="000D0CD9" w:rsidP="000D0CD9">
      <w:pPr>
        <w:rPr>
          <w:color w:val="222222"/>
          <w:shd w:val="clear" w:color="auto" w:fill="FFFFFF"/>
        </w:rPr>
      </w:pPr>
      <w:r w:rsidRPr="000D0CD9">
        <w:rPr>
          <w:color w:val="222222"/>
          <w:shd w:val="clear" w:color="auto" w:fill="FFFFFF"/>
        </w:rPr>
        <w:t>Iglesias, O., Mingione, M., Ind, N. and Markovic, S., 2023. How to build a conscientious corporate brand together with business partners: A case study of Unilever. </w:t>
      </w:r>
      <w:r w:rsidRPr="000D0CD9">
        <w:rPr>
          <w:i/>
          <w:iCs/>
          <w:color w:val="222222"/>
          <w:shd w:val="clear" w:color="auto" w:fill="FFFFFF"/>
        </w:rPr>
        <w:t>Industrial Marketing Management</w:t>
      </w:r>
      <w:r w:rsidR="00EB6A9C">
        <w:rPr>
          <w:color w:val="222222"/>
          <w:shd w:val="clear" w:color="auto" w:fill="FFFFFF"/>
        </w:rPr>
        <w:t xml:space="preserve">, </w:t>
      </w:r>
      <w:r w:rsidRPr="000D0CD9">
        <w:rPr>
          <w:i/>
          <w:iCs/>
          <w:color w:val="222222"/>
          <w:shd w:val="clear" w:color="auto" w:fill="FFFFFF"/>
        </w:rPr>
        <w:t>109</w:t>
      </w:r>
      <w:r w:rsidRPr="000D0CD9">
        <w:rPr>
          <w:color w:val="222222"/>
          <w:shd w:val="clear" w:color="auto" w:fill="FFFFFF"/>
        </w:rPr>
        <w:t>, pp.1-13.</w:t>
      </w:r>
    </w:p>
    <w:p w14:paraId="2427421A" w14:textId="7F40852C" w:rsidR="000D0CD9" w:rsidRPr="000D0CD9" w:rsidRDefault="000D0CD9" w:rsidP="000D0CD9">
      <w:pPr>
        <w:spacing w:before="0" w:after="160"/>
        <w:jc w:val="left"/>
      </w:pPr>
      <w:r w:rsidRPr="000D0CD9">
        <w:rPr>
          <w:color w:val="222222"/>
          <w:shd w:val="clear" w:color="auto" w:fill="FFFFFF"/>
        </w:rPr>
        <w:t>Laursen, L.N. and Andersen, P.H., 2023. Resource and supplier interaction in network innovation governance: The case of innovating at Unilever. </w:t>
      </w:r>
      <w:r w:rsidRPr="000D0CD9">
        <w:rPr>
          <w:i/>
          <w:iCs/>
          <w:color w:val="222222"/>
          <w:shd w:val="clear" w:color="auto" w:fill="FFFFFF"/>
        </w:rPr>
        <w:t>Journal of Business Research</w:t>
      </w:r>
      <w:r w:rsidR="00EB6A9C">
        <w:rPr>
          <w:color w:val="222222"/>
          <w:shd w:val="clear" w:color="auto" w:fill="FFFFFF"/>
        </w:rPr>
        <w:t xml:space="preserve">, </w:t>
      </w:r>
      <w:r w:rsidRPr="000D0CD9">
        <w:rPr>
          <w:i/>
          <w:iCs/>
          <w:color w:val="222222"/>
          <w:shd w:val="clear" w:color="auto" w:fill="FFFFFF"/>
        </w:rPr>
        <w:t>156</w:t>
      </w:r>
      <w:r w:rsidRPr="000D0CD9">
        <w:rPr>
          <w:color w:val="222222"/>
          <w:shd w:val="clear" w:color="auto" w:fill="FFFFFF"/>
        </w:rPr>
        <w:t>, p.113465.</w:t>
      </w:r>
      <w:r w:rsidRPr="000D0CD9">
        <w:t xml:space="preserve"> </w:t>
      </w:r>
    </w:p>
    <w:p w14:paraId="111FA32F" w14:textId="77777777" w:rsidR="000D0CD9" w:rsidRPr="000D0CD9" w:rsidRDefault="000D0CD9" w:rsidP="000D0CD9">
      <w:r w:rsidRPr="000D0CD9">
        <w:rPr>
          <w:color w:val="222222"/>
          <w:shd w:val="clear" w:color="auto" w:fill="FFFFFF"/>
        </w:rPr>
        <w:t>Modreanu, A., Andrișan, G.N., Sârbu, A.M. and Grădinaru, C., Corporate Social Responsibility, a Strategic Tool for Sustainable Value Creation: A Case Study of Unilever’s Sustainable Living Plan.</w:t>
      </w:r>
    </w:p>
    <w:p w14:paraId="05C3FD59" w14:textId="276309D2" w:rsidR="000D0CD9" w:rsidRPr="000D0CD9" w:rsidRDefault="00EB6A9C" w:rsidP="000D0CD9">
      <w:r>
        <w:rPr>
          <w:color w:val="222222"/>
          <w:shd w:val="clear" w:color="auto" w:fill="FFFFFF"/>
        </w:rPr>
        <w:lastRenderedPageBreak/>
        <w:t xml:space="preserve">Oluwatayo, O., 2022. </w:t>
      </w:r>
      <w:r w:rsidR="000D0CD9" w:rsidRPr="000D0CD9">
        <w:rPr>
          <w:i/>
          <w:iCs/>
          <w:color w:val="222222"/>
          <w:shd w:val="clear" w:color="auto" w:fill="FFFFFF"/>
        </w:rPr>
        <w:t>Developing the International Marketing Plan (on the basis of UNILEVER PLC)</w:t>
      </w:r>
      <w:r>
        <w:rPr>
          <w:i/>
          <w:iCs/>
          <w:color w:val="222222"/>
          <w:shd w:val="clear" w:color="auto" w:fill="FFFFFF"/>
        </w:rPr>
        <w:t xml:space="preserve"> </w:t>
      </w:r>
      <w:r w:rsidR="000D0CD9" w:rsidRPr="000D0CD9">
        <w:rPr>
          <w:color w:val="222222"/>
          <w:shd w:val="clear" w:color="auto" w:fill="FFFFFF"/>
        </w:rPr>
        <w:t>(Doctoral dissertation, Private Higher Educational Establishment-Institute “Ukrainian-American Concordia University”).</w:t>
      </w:r>
    </w:p>
    <w:p w14:paraId="4ADAE672" w14:textId="386CE450" w:rsidR="000D0CD9" w:rsidRPr="000D0CD9" w:rsidRDefault="00EB6A9C" w:rsidP="000D0CD9">
      <w:pPr>
        <w:rPr>
          <w:color w:val="222222"/>
          <w:shd w:val="clear" w:color="auto" w:fill="FFFFFF"/>
        </w:rPr>
      </w:pPr>
      <w:r>
        <w:rPr>
          <w:color w:val="222222"/>
          <w:shd w:val="clear" w:color="auto" w:fill="FFFFFF"/>
        </w:rPr>
        <w:t xml:space="preserve">Oluwatayo, O., 2022. </w:t>
      </w:r>
      <w:r w:rsidR="000D0CD9" w:rsidRPr="000D0CD9">
        <w:rPr>
          <w:i/>
          <w:iCs/>
          <w:color w:val="222222"/>
          <w:shd w:val="clear" w:color="auto" w:fill="FFFFFF"/>
        </w:rPr>
        <w:t>Developing the International Marketing Plan (on the basis of UNILEVER PLC)</w:t>
      </w:r>
      <w:r>
        <w:rPr>
          <w:color w:val="222222"/>
          <w:shd w:val="clear" w:color="auto" w:fill="FFFFFF"/>
        </w:rPr>
        <w:t xml:space="preserve"> </w:t>
      </w:r>
      <w:r w:rsidR="000D0CD9" w:rsidRPr="000D0CD9">
        <w:rPr>
          <w:color w:val="222222"/>
          <w:shd w:val="clear" w:color="auto" w:fill="FFFFFF"/>
        </w:rPr>
        <w:t>(Doctoral dissertation, Private Higher Educational Establishment-Institute “Ukrainian-American Concordia University”).</w:t>
      </w:r>
    </w:p>
    <w:p w14:paraId="4AC77636" w14:textId="77777777" w:rsidR="000D0CD9" w:rsidRPr="000D0CD9" w:rsidRDefault="000D0CD9" w:rsidP="000D0CD9">
      <w:pPr>
        <w:spacing w:before="0" w:after="160"/>
        <w:jc w:val="left"/>
      </w:pPr>
      <w:r w:rsidRPr="000D0CD9">
        <w:rPr>
          <w:color w:val="222222"/>
          <w:shd w:val="clear" w:color="auto" w:fill="FFFFFF"/>
        </w:rPr>
        <w:t>Prado Perez, S., 2020. Sustainability Discourse in the Fast-Moving Consumer Goods Sector–A comparison between Procter &amp; Gamble and Unilever.</w:t>
      </w:r>
      <w:r w:rsidRPr="000D0CD9">
        <w:t xml:space="preserve"> </w:t>
      </w:r>
    </w:p>
    <w:p w14:paraId="610EC471" w14:textId="77777777" w:rsidR="000D0CD9" w:rsidRPr="000D0CD9" w:rsidRDefault="000D0CD9" w:rsidP="000D0CD9">
      <w:pPr>
        <w:rPr>
          <w:color w:val="222222"/>
          <w:shd w:val="clear" w:color="auto" w:fill="FFFFFF"/>
        </w:rPr>
      </w:pPr>
      <w:r w:rsidRPr="000D0CD9">
        <w:rPr>
          <w:color w:val="222222"/>
          <w:shd w:val="clear" w:color="auto" w:fill="FFFFFF"/>
        </w:rPr>
        <w:t>Prado Perez, S., 2020. Sustainability Discourse in the Fast-Moving Consumer Goods Sector–A comparison between Procter &amp; Gamble and Unilever.</w:t>
      </w:r>
    </w:p>
    <w:p w14:paraId="0E930031" w14:textId="77777777" w:rsidR="000D0CD9" w:rsidRPr="000D0CD9" w:rsidRDefault="000D0CD9" w:rsidP="000D0CD9">
      <w:pPr>
        <w:spacing w:before="0" w:after="160"/>
        <w:jc w:val="left"/>
      </w:pPr>
      <w:r w:rsidRPr="000D0CD9">
        <w:rPr>
          <w:color w:val="222222"/>
          <w:shd w:val="clear" w:color="auto" w:fill="FFFFFF"/>
        </w:rPr>
        <w:t>Raj, A., 2023. The impact of Unilever’s corporate social responsibility initiatives.</w:t>
      </w:r>
      <w:r w:rsidRPr="000D0CD9">
        <w:t xml:space="preserve"> </w:t>
      </w:r>
    </w:p>
    <w:p w14:paraId="387B02CF" w14:textId="77777777" w:rsidR="000D0CD9" w:rsidRPr="000D0CD9" w:rsidRDefault="000D0CD9" w:rsidP="000D0CD9">
      <w:pPr>
        <w:rPr>
          <w:color w:val="222222"/>
          <w:shd w:val="clear" w:color="auto" w:fill="FFFFFF"/>
        </w:rPr>
      </w:pPr>
      <w:r w:rsidRPr="000D0CD9">
        <w:rPr>
          <w:color w:val="222222"/>
          <w:shd w:val="clear" w:color="auto" w:fill="FFFFFF"/>
        </w:rPr>
        <w:t>Reza, M.H., 2020. Marketing strategy and sustainable plan of Unilever. </w:t>
      </w:r>
      <w:r w:rsidRPr="000D0CD9">
        <w:rPr>
          <w:i/>
          <w:iCs/>
          <w:color w:val="222222"/>
          <w:shd w:val="clear" w:color="auto" w:fill="FFFFFF"/>
        </w:rPr>
        <w:t>International Journal of Scientific Research and Engineering Development</w:t>
      </w:r>
      <w:r w:rsidRPr="000D0CD9">
        <w:rPr>
          <w:color w:val="222222"/>
          <w:shd w:val="clear" w:color="auto" w:fill="FFFFFF"/>
        </w:rPr>
        <w:t>, </w:t>
      </w:r>
      <w:r w:rsidRPr="000D0CD9">
        <w:rPr>
          <w:i/>
          <w:iCs/>
          <w:color w:val="222222"/>
          <w:shd w:val="clear" w:color="auto" w:fill="FFFFFF"/>
        </w:rPr>
        <w:t>3</w:t>
      </w:r>
      <w:r w:rsidRPr="000D0CD9">
        <w:rPr>
          <w:color w:val="222222"/>
          <w:shd w:val="clear" w:color="auto" w:fill="FFFFFF"/>
        </w:rPr>
        <w:t>(4), pp.680-692.</w:t>
      </w:r>
    </w:p>
    <w:p w14:paraId="6227A314" w14:textId="77777777" w:rsidR="000D0CD9" w:rsidRPr="000D0CD9" w:rsidRDefault="000D0CD9" w:rsidP="000D0CD9">
      <w:pPr>
        <w:spacing w:before="0" w:after="160"/>
        <w:jc w:val="left"/>
      </w:pPr>
      <w:r w:rsidRPr="000D0CD9">
        <w:rPr>
          <w:color w:val="222222"/>
          <w:shd w:val="clear" w:color="auto" w:fill="FFFFFF"/>
        </w:rPr>
        <w:t>Sabtika, V. and Marlapa, E., THE EFFECT OF IMPLEMENTATION OF CORPORATE SOCIAL RESPONSIBILITY, GREEN INNOVATION STRATEGY, AND COMMITMENT TO A SUSTAINABLE LIVING ENVIRONMENT IN UNILEVER INDONESIA TBK.</w:t>
      </w:r>
      <w:r w:rsidRPr="000D0CD9">
        <w:t xml:space="preserve"> </w:t>
      </w:r>
    </w:p>
    <w:p w14:paraId="25A814FA" w14:textId="77777777" w:rsidR="000D0CD9" w:rsidRPr="000D0CD9" w:rsidRDefault="000D0CD9" w:rsidP="000D0CD9">
      <w:pPr>
        <w:spacing w:before="0" w:after="160"/>
        <w:jc w:val="left"/>
      </w:pPr>
      <w:r w:rsidRPr="000D0CD9">
        <w:rPr>
          <w:shd w:val="clear" w:color="auto" w:fill="FFFFFF"/>
        </w:rPr>
        <w:t>Shaikat, M.D., 2020. A case study on the financial outlook of Unilever in terms of stock valuation.</w:t>
      </w:r>
    </w:p>
    <w:p w14:paraId="3C398513" w14:textId="77777777" w:rsidR="000D0CD9" w:rsidRPr="000D0CD9" w:rsidRDefault="000D0CD9" w:rsidP="000D0CD9">
      <w:r w:rsidRPr="000D0CD9">
        <w:t>Ullah, N., 2021. A Comparative Analysis between Unilever and Johnson &amp; Johnsons.</w:t>
      </w:r>
    </w:p>
    <w:p w14:paraId="57EBC1F0" w14:textId="77777777" w:rsidR="00FF1FB4" w:rsidRDefault="00FF1FB4" w:rsidP="00446091">
      <w:pPr>
        <w:spacing w:before="0" w:after="160" w:line="259" w:lineRule="auto"/>
        <w:jc w:val="left"/>
        <w:rPr>
          <w:b/>
          <w:sz w:val="36"/>
          <w:szCs w:val="36"/>
        </w:rPr>
      </w:pPr>
      <w:bookmarkStart w:id="23" w:name="_Toc163086308"/>
    </w:p>
    <w:p w14:paraId="11FE5F26" w14:textId="77777777" w:rsidR="00FF1FB4" w:rsidRDefault="00FF1FB4" w:rsidP="00446091">
      <w:pPr>
        <w:spacing w:before="0" w:after="160" w:line="259" w:lineRule="auto"/>
        <w:jc w:val="left"/>
        <w:rPr>
          <w:b/>
          <w:sz w:val="36"/>
          <w:szCs w:val="36"/>
        </w:rPr>
      </w:pPr>
    </w:p>
    <w:p w14:paraId="61E0B080" w14:textId="77777777" w:rsidR="00FF1FB4" w:rsidRDefault="00FF1FB4" w:rsidP="00446091">
      <w:pPr>
        <w:spacing w:before="0" w:after="160" w:line="259" w:lineRule="auto"/>
        <w:jc w:val="left"/>
        <w:rPr>
          <w:b/>
          <w:sz w:val="36"/>
          <w:szCs w:val="36"/>
        </w:rPr>
      </w:pPr>
    </w:p>
    <w:p w14:paraId="4C6058DA" w14:textId="77777777" w:rsidR="00FF1FB4" w:rsidRDefault="00FF1FB4" w:rsidP="00446091">
      <w:pPr>
        <w:spacing w:before="0" w:after="160" w:line="259" w:lineRule="auto"/>
        <w:jc w:val="left"/>
        <w:rPr>
          <w:b/>
          <w:sz w:val="36"/>
          <w:szCs w:val="36"/>
        </w:rPr>
      </w:pPr>
    </w:p>
    <w:p w14:paraId="4BC15927" w14:textId="77777777" w:rsidR="00FF1FB4" w:rsidRDefault="00FF1FB4" w:rsidP="00446091">
      <w:pPr>
        <w:spacing w:before="0" w:after="160" w:line="259" w:lineRule="auto"/>
        <w:jc w:val="left"/>
        <w:rPr>
          <w:b/>
          <w:sz w:val="36"/>
          <w:szCs w:val="36"/>
        </w:rPr>
      </w:pPr>
    </w:p>
    <w:p w14:paraId="7A3630C7" w14:textId="77777777" w:rsidR="00FF1FB4" w:rsidRDefault="00FF1FB4" w:rsidP="00446091">
      <w:pPr>
        <w:spacing w:before="0" w:after="160" w:line="259" w:lineRule="auto"/>
        <w:jc w:val="left"/>
        <w:rPr>
          <w:b/>
          <w:sz w:val="36"/>
          <w:szCs w:val="36"/>
        </w:rPr>
      </w:pPr>
    </w:p>
    <w:p w14:paraId="5AA1ABBB" w14:textId="77777777" w:rsidR="00FF1FB4" w:rsidRDefault="00FF1FB4" w:rsidP="00446091">
      <w:pPr>
        <w:spacing w:before="0" w:after="160" w:line="259" w:lineRule="auto"/>
        <w:jc w:val="left"/>
        <w:rPr>
          <w:b/>
          <w:sz w:val="36"/>
          <w:szCs w:val="36"/>
        </w:rPr>
      </w:pPr>
    </w:p>
    <w:p w14:paraId="0A946FA2" w14:textId="77777777" w:rsidR="00FF1FB4" w:rsidRDefault="00FF1FB4" w:rsidP="00446091">
      <w:pPr>
        <w:spacing w:before="0" w:after="160" w:line="259" w:lineRule="auto"/>
        <w:jc w:val="left"/>
        <w:rPr>
          <w:b/>
          <w:sz w:val="36"/>
          <w:szCs w:val="36"/>
        </w:rPr>
      </w:pPr>
    </w:p>
    <w:p w14:paraId="1F94841F" w14:textId="7E6BD9EE" w:rsidR="00FF1FB4" w:rsidRPr="00FF1FB4" w:rsidRDefault="00A0722C" w:rsidP="00446091">
      <w:pPr>
        <w:spacing w:before="0" w:after="160" w:line="259" w:lineRule="auto"/>
        <w:jc w:val="left"/>
        <w:rPr>
          <w:b/>
          <w:sz w:val="36"/>
          <w:szCs w:val="36"/>
        </w:rPr>
      </w:pPr>
      <w:bookmarkStart w:id="24" w:name="_GoBack"/>
      <w:bookmarkEnd w:id="24"/>
      <w:r w:rsidRPr="00446091">
        <w:rPr>
          <w:b/>
          <w:sz w:val="36"/>
          <w:szCs w:val="36"/>
        </w:rPr>
        <w:t>Appendices</w:t>
      </w:r>
      <w:bookmarkEnd w:id="23"/>
      <w:r w:rsidRPr="00446091">
        <w:rPr>
          <w:b/>
          <w:sz w:val="36"/>
          <w:szCs w:val="36"/>
        </w:rPr>
        <w:t xml:space="preserve"> </w:t>
      </w:r>
    </w:p>
    <w:p w14:paraId="34637156" w14:textId="436572CC" w:rsidR="00A0722C" w:rsidRPr="00A0722C" w:rsidRDefault="00A0722C" w:rsidP="00A0722C">
      <w:pPr>
        <w:rPr>
          <w:b/>
          <w:bCs/>
          <w:i/>
          <w:iCs/>
          <w:sz w:val="28"/>
          <w:szCs w:val="28"/>
        </w:rPr>
      </w:pPr>
      <w:r w:rsidRPr="00A0722C">
        <w:rPr>
          <w:b/>
          <w:bCs/>
          <w:i/>
          <w:iCs/>
          <w:sz w:val="28"/>
          <w:szCs w:val="28"/>
        </w:rPr>
        <w:t xml:space="preserve">PESTLE model of macro environmental analysis </w:t>
      </w:r>
    </w:p>
    <w:p w14:paraId="2896EA56" w14:textId="7173DDB5" w:rsidR="00EF439F" w:rsidRPr="001E7F51" w:rsidRDefault="00A0722C" w:rsidP="00A0722C">
      <w:pPr>
        <w:jc w:val="center"/>
      </w:pPr>
      <w:r>
        <w:rPr>
          <w:noProof/>
          <w:lang w:val="ru-RU" w:eastAsia="ru-RU"/>
        </w:rPr>
        <w:drawing>
          <wp:inline distT="0" distB="0" distL="0" distR="0" wp14:anchorId="3D0A0205" wp14:editId="62FE1EA9">
            <wp:extent cx="4505325" cy="3379243"/>
            <wp:effectExtent l="0" t="0" r="0" b="0"/>
            <wp:docPr id="1819685373" name="Picture 3"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A Mechanism for Analysis of Businesses - Entersli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1289" cy="3383717"/>
                    </a:xfrm>
                    <a:prstGeom prst="rect">
                      <a:avLst/>
                    </a:prstGeom>
                    <a:noFill/>
                    <a:ln>
                      <a:noFill/>
                    </a:ln>
                  </pic:spPr>
                </pic:pic>
              </a:graphicData>
            </a:graphic>
          </wp:inline>
        </w:drawing>
      </w:r>
    </w:p>
    <w:p w14:paraId="5E332997" w14:textId="77777777" w:rsidR="00DC6124" w:rsidRDefault="00DC6124" w:rsidP="00A0722C">
      <w:pPr>
        <w:rPr>
          <w:b/>
          <w:bCs/>
          <w:i/>
          <w:iCs/>
          <w:sz w:val="28"/>
          <w:szCs w:val="28"/>
        </w:rPr>
      </w:pPr>
    </w:p>
    <w:p w14:paraId="17986579" w14:textId="49EB2D3C" w:rsidR="00533F45" w:rsidRPr="00A0722C" w:rsidRDefault="00A0722C" w:rsidP="00A0722C">
      <w:pPr>
        <w:rPr>
          <w:b/>
          <w:bCs/>
          <w:i/>
          <w:iCs/>
          <w:sz w:val="28"/>
          <w:szCs w:val="28"/>
        </w:rPr>
      </w:pPr>
      <w:r w:rsidRPr="00A0722C">
        <w:rPr>
          <w:b/>
          <w:bCs/>
          <w:i/>
          <w:iCs/>
          <w:sz w:val="28"/>
          <w:szCs w:val="28"/>
        </w:rPr>
        <w:t xml:space="preserve">Porter’s five forces model </w:t>
      </w:r>
    </w:p>
    <w:p w14:paraId="465E3D7E" w14:textId="77777777" w:rsidR="00A0722C" w:rsidRPr="00A0722C" w:rsidRDefault="00A0722C" w:rsidP="00A0722C"/>
    <w:p w14:paraId="30DCD82A" w14:textId="78629014" w:rsidR="00A0722C" w:rsidRDefault="00DC6124" w:rsidP="000940D9">
      <w:pPr>
        <w:jc w:val="center"/>
        <w:rPr>
          <w:b/>
          <w:bCs/>
          <w:i/>
          <w:iCs/>
        </w:rPr>
      </w:pPr>
      <w:r w:rsidRPr="00DC6124">
        <w:rPr>
          <w:b/>
          <w:bCs/>
          <w:i/>
          <w:iCs/>
          <w:noProof/>
          <w:lang w:val="ru-RU" w:eastAsia="ru-RU"/>
        </w:rPr>
        <w:drawing>
          <wp:inline distT="0" distB="0" distL="0" distR="0" wp14:anchorId="783E3803" wp14:editId="22642F78">
            <wp:extent cx="5731510" cy="3291840"/>
            <wp:effectExtent l="0" t="0" r="2540" b="3810"/>
            <wp:docPr id="190958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85162" name=""/>
                    <pic:cNvPicPr/>
                  </pic:nvPicPr>
                  <pic:blipFill>
                    <a:blip r:embed="rId10"/>
                    <a:stretch>
                      <a:fillRect/>
                    </a:stretch>
                  </pic:blipFill>
                  <pic:spPr>
                    <a:xfrm>
                      <a:off x="0" y="0"/>
                      <a:ext cx="5731510" cy="3291840"/>
                    </a:xfrm>
                    <a:prstGeom prst="rect">
                      <a:avLst/>
                    </a:prstGeom>
                  </pic:spPr>
                </pic:pic>
              </a:graphicData>
            </a:graphic>
          </wp:inline>
        </w:drawing>
      </w:r>
    </w:p>
    <w:p w14:paraId="3FAD4E85" w14:textId="39364EBC" w:rsidR="00A0722C" w:rsidRDefault="00A0722C" w:rsidP="00A0722C">
      <w:pPr>
        <w:spacing w:before="0" w:after="160" w:line="259" w:lineRule="auto"/>
        <w:jc w:val="left"/>
        <w:rPr>
          <w:b/>
          <w:bCs/>
          <w:i/>
          <w:iCs/>
          <w:sz w:val="28"/>
          <w:szCs w:val="28"/>
        </w:rPr>
      </w:pPr>
      <w:r>
        <w:rPr>
          <w:b/>
          <w:bCs/>
          <w:i/>
          <w:iCs/>
        </w:rPr>
        <w:br w:type="page"/>
      </w:r>
      <w:r w:rsidRPr="00A0722C">
        <w:rPr>
          <w:b/>
          <w:bCs/>
          <w:i/>
          <w:iCs/>
          <w:sz w:val="28"/>
          <w:szCs w:val="28"/>
        </w:rPr>
        <w:lastRenderedPageBreak/>
        <w:t xml:space="preserve">VRIO model to analyse competitive position </w:t>
      </w:r>
    </w:p>
    <w:p w14:paraId="1717ABD8" w14:textId="4C26659D" w:rsidR="00DC6124" w:rsidRPr="00A0722C" w:rsidRDefault="00DC6124" w:rsidP="00DC6124">
      <w:pPr>
        <w:spacing w:before="0" w:after="160" w:line="259" w:lineRule="auto"/>
        <w:jc w:val="center"/>
        <w:rPr>
          <w:b/>
          <w:bCs/>
          <w:i/>
          <w:iCs/>
        </w:rPr>
      </w:pPr>
      <w:r w:rsidRPr="00DC6124">
        <w:rPr>
          <w:b/>
          <w:bCs/>
          <w:i/>
          <w:iCs/>
          <w:noProof/>
          <w:lang w:val="ru-RU" w:eastAsia="ru-RU"/>
        </w:rPr>
        <w:drawing>
          <wp:inline distT="0" distB="0" distL="0" distR="0" wp14:anchorId="7815050F" wp14:editId="26F657A9">
            <wp:extent cx="5029200" cy="2672842"/>
            <wp:effectExtent l="0" t="0" r="0" b="0"/>
            <wp:docPr id="927304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04481" name=""/>
                    <pic:cNvPicPr/>
                  </pic:nvPicPr>
                  <pic:blipFill>
                    <a:blip r:embed="rId11"/>
                    <a:stretch>
                      <a:fillRect/>
                    </a:stretch>
                  </pic:blipFill>
                  <pic:spPr>
                    <a:xfrm>
                      <a:off x="0" y="0"/>
                      <a:ext cx="5035756" cy="2676326"/>
                    </a:xfrm>
                    <a:prstGeom prst="rect">
                      <a:avLst/>
                    </a:prstGeom>
                  </pic:spPr>
                </pic:pic>
              </a:graphicData>
            </a:graphic>
          </wp:inline>
        </w:drawing>
      </w:r>
    </w:p>
    <w:p w14:paraId="03D5914B" w14:textId="77777777" w:rsidR="00533F45" w:rsidRPr="000940D9" w:rsidRDefault="00533F45" w:rsidP="000940D9">
      <w:pPr>
        <w:jc w:val="center"/>
        <w:rPr>
          <w:b/>
          <w:bCs/>
          <w:i/>
          <w:iCs/>
        </w:rPr>
      </w:pPr>
    </w:p>
    <w:sectPr w:rsidR="00533F45" w:rsidRPr="000940D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DB2BA" w14:textId="77777777" w:rsidR="000D0CD9" w:rsidRDefault="000D0CD9" w:rsidP="000D0CD9">
      <w:pPr>
        <w:spacing w:before="0" w:after="0" w:line="240" w:lineRule="auto"/>
      </w:pPr>
      <w:r>
        <w:separator/>
      </w:r>
    </w:p>
  </w:endnote>
  <w:endnote w:type="continuationSeparator" w:id="0">
    <w:p w14:paraId="5834F7A3" w14:textId="77777777" w:rsidR="000D0CD9" w:rsidRDefault="000D0CD9" w:rsidP="000D0CD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3305151"/>
      <w:docPartObj>
        <w:docPartGallery w:val="Page Numbers (Bottom of Page)"/>
        <w:docPartUnique/>
      </w:docPartObj>
    </w:sdtPr>
    <w:sdtEndPr>
      <w:rPr>
        <w:noProof/>
      </w:rPr>
    </w:sdtEndPr>
    <w:sdtContent>
      <w:p w14:paraId="1148CD91" w14:textId="689354A8" w:rsidR="000D0CD9" w:rsidRDefault="000D0CD9">
        <w:pPr>
          <w:pStyle w:val="aa"/>
          <w:jc w:val="center"/>
        </w:pPr>
        <w:r>
          <w:fldChar w:fldCharType="begin"/>
        </w:r>
        <w:r>
          <w:instrText xml:space="preserve"> PAGE   \* MERGEFORMAT </w:instrText>
        </w:r>
        <w:r>
          <w:fldChar w:fldCharType="separate"/>
        </w:r>
        <w:r w:rsidR="00FF1FB4">
          <w:rPr>
            <w:noProof/>
          </w:rPr>
          <w:t>14</w:t>
        </w:r>
        <w:r>
          <w:rPr>
            <w:noProof/>
          </w:rPr>
          <w:fldChar w:fldCharType="end"/>
        </w:r>
      </w:p>
    </w:sdtContent>
  </w:sdt>
  <w:p w14:paraId="393AB10A" w14:textId="77777777" w:rsidR="000D0CD9" w:rsidRDefault="000D0CD9">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7C9BA3" w14:textId="77777777" w:rsidR="000D0CD9" w:rsidRDefault="000D0CD9" w:rsidP="000D0CD9">
      <w:pPr>
        <w:spacing w:before="0" w:after="0" w:line="240" w:lineRule="auto"/>
      </w:pPr>
      <w:r>
        <w:separator/>
      </w:r>
    </w:p>
  </w:footnote>
  <w:footnote w:type="continuationSeparator" w:id="0">
    <w:p w14:paraId="67F99C40" w14:textId="77777777" w:rsidR="000D0CD9" w:rsidRDefault="000D0CD9" w:rsidP="000D0CD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EB1EDF"/>
    <w:multiLevelType w:val="hybridMultilevel"/>
    <w:tmpl w:val="05B65D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6E74B6"/>
    <w:multiLevelType w:val="hybridMultilevel"/>
    <w:tmpl w:val="9BD002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E5A5359"/>
    <w:multiLevelType w:val="hybridMultilevel"/>
    <w:tmpl w:val="B87058B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5B6E5D6C"/>
    <w:multiLevelType w:val="hybridMultilevel"/>
    <w:tmpl w:val="76425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1E1DB9"/>
    <w:multiLevelType w:val="hybridMultilevel"/>
    <w:tmpl w:val="E8C0CC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9E2E06"/>
    <w:multiLevelType w:val="hybridMultilevel"/>
    <w:tmpl w:val="94AADB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MzMrW0MDO0NDAxNTBW0lEKTi0uzszPAykwrAUAabiDIywAAAA="/>
  </w:docVars>
  <w:rsids>
    <w:rsidRoot w:val="007F3E55"/>
    <w:rsid w:val="000025E3"/>
    <w:rsid w:val="00084CB1"/>
    <w:rsid w:val="000940D9"/>
    <w:rsid w:val="000D0CD9"/>
    <w:rsid w:val="001E7F51"/>
    <w:rsid w:val="00206F02"/>
    <w:rsid w:val="00212E68"/>
    <w:rsid w:val="00214692"/>
    <w:rsid w:val="00243CFB"/>
    <w:rsid w:val="002B2F5E"/>
    <w:rsid w:val="002D6B04"/>
    <w:rsid w:val="00380AA7"/>
    <w:rsid w:val="00403DA5"/>
    <w:rsid w:val="00446091"/>
    <w:rsid w:val="004709D8"/>
    <w:rsid w:val="00473B7A"/>
    <w:rsid w:val="004B3048"/>
    <w:rsid w:val="004B6B95"/>
    <w:rsid w:val="005144F6"/>
    <w:rsid w:val="0051563C"/>
    <w:rsid w:val="00525B41"/>
    <w:rsid w:val="00533F45"/>
    <w:rsid w:val="0057644E"/>
    <w:rsid w:val="005A62BE"/>
    <w:rsid w:val="00602352"/>
    <w:rsid w:val="006263A4"/>
    <w:rsid w:val="00654020"/>
    <w:rsid w:val="00690663"/>
    <w:rsid w:val="006F33EA"/>
    <w:rsid w:val="00700957"/>
    <w:rsid w:val="0070526D"/>
    <w:rsid w:val="00707C99"/>
    <w:rsid w:val="00732CF8"/>
    <w:rsid w:val="0075078C"/>
    <w:rsid w:val="00786C33"/>
    <w:rsid w:val="007E5587"/>
    <w:rsid w:val="007F3E55"/>
    <w:rsid w:val="008701C4"/>
    <w:rsid w:val="008935A0"/>
    <w:rsid w:val="008C491F"/>
    <w:rsid w:val="00946367"/>
    <w:rsid w:val="009505F8"/>
    <w:rsid w:val="0096062C"/>
    <w:rsid w:val="009754A1"/>
    <w:rsid w:val="009B1215"/>
    <w:rsid w:val="009D3FC6"/>
    <w:rsid w:val="00A0722C"/>
    <w:rsid w:val="00B207C3"/>
    <w:rsid w:val="00B2300B"/>
    <w:rsid w:val="00C3657A"/>
    <w:rsid w:val="00C82F9D"/>
    <w:rsid w:val="00CE3CA7"/>
    <w:rsid w:val="00DC6124"/>
    <w:rsid w:val="00DF76E3"/>
    <w:rsid w:val="00E02EEA"/>
    <w:rsid w:val="00E04D9D"/>
    <w:rsid w:val="00E14C05"/>
    <w:rsid w:val="00E2478C"/>
    <w:rsid w:val="00E57492"/>
    <w:rsid w:val="00EB6A9C"/>
    <w:rsid w:val="00EC424B"/>
    <w:rsid w:val="00EF439F"/>
    <w:rsid w:val="00F07847"/>
    <w:rsid w:val="00F36F7F"/>
    <w:rsid w:val="00F9320B"/>
    <w:rsid w:val="00FA43F8"/>
    <w:rsid w:val="00FC2788"/>
    <w:rsid w:val="00FF1FB4"/>
    <w:rsid w:val="20980F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2B9D9"/>
  <w15:chartTrackingRefBased/>
  <w15:docId w15:val="{3AB68FAB-7F5C-4DD6-8DCF-EAA84F7F9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6B95"/>
    <w:pPr>
      <w:spacing w:before="120" w:after="120" w:line="360" w:lineRule="auto"/>
      <w:jc w:val="both"/>
    </w:pPr>
  </w:style>
  <w:style w:type="paragraph" w:styleId="1">
    <w:name w:val="heading 1"/>
    <w:basedOn w:val="a"/>
    <w:next w:val="a"/>
    <w:link w:val="10"/>
    <w:uiPriority w:val="9"/>
    <w:qFormat/>
    <w:rsid w:val="00E02EEA"/>
    <w:pPr>
      <w:keepNext/>
      <w:keepLines/>
      <w:spacing w:before="320" w:after="40"/>
      <w:outlineLvl w:val="0"/>
    </w:pPr>
    <w:rPr>
      <w:rFonts w:eastAsiaTheme="majorEastAsia" w:cstheme="majorBidi"/>
      <w:b/>
      <w:bCs/>
      <w:spacing w:val="4"/>
      <w:sz w:val="36"/>
      <w:szCs w:val="28"/>
    </w:rPr>
  </w:style>
  <w:style w:type="paragraph" w:styleId="2">
    <w:name w:val="heading 2"/>
    <w:basedOn w:val="a"/>
    <w:next w:val="a"/>
    <w:link w:val="20"/>
    <w:uiPriority w:val="9"/>
    <w:unhideWhenUsed/>
    <w:qFormat/>
    <w:rsid w:val="001E7F51"/>
    <w:pPr>
      <w:keepNext/>
      <w:keepLines/>
      <w:spacing w:after="0" w:line="252" w:lineRule="auto"/>
      <w:outlineLvl w:val="1"/>
    </w:pPr>
    <w:rPr>
      <w:rFonts w:eastAsiaTheme="majorEastAsia" w:cstheme="majorBidi"/>
      <w:b/>
      <w:bCs/>
      <w:sz w:val="32"/>
      <w:szCs w:val="28"/>
    </w:rPr>
  </w:style>
  <w:style w:type="paragraph" w:styleId="3">
    <w:name w:val="heading 3"/>
    <w:basedOn w:val="a"/>
    <w:next w:val="a"/>
    <w:link w:val="30"/>
    <w:uiPriority w:val="9"/>
    <w:unhideWhenUsed/>
    <w:qFormat/>
    <w:rsid w:val="0075078C"/>
    <w:pPr>
      <w:keepNext/>
      <w:keepLines/>
      <w:spacing w:before="40" w:after="0"/>
      <w:outlineLvl w:val="2"/>
    </w:pPr>
    <w:rPr>
      <w:rFonts w:eastAsiaTheme="majorEastAsia" w:cstheme="majorBidi"/>
      <w:b/>
      <w:i/>
      <w:color w:val="000000" w:themeColor="text1"/>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1E7F51"/>
    <w:rPr>
      <w:rFonts w:eastAsiaTheme="majorEastAsia" w:cstheme="majorBidi"/>
      <w:b/>
      <w:bCs/>
      <w:sz w:val="32"/>
      <w:szCs w:val="28"/>
    </w:rPr>
  </w:style>
  <w:style w:type="character" w:customStyle="1" w:styleId="10">
    <w:name w:val="Заголовок 1 Знак"/>
    <w:basedOn w:val="a0"/>
    <w:link w:val="1"/>
    <w:uiPriority w:val="9"/>
    <w:rsid w:val="00E02EEA"/>
    <w:rPr>
      <w:rFonts w:eastAsiaTheme="majorEastAsia" w:cstheme="majorBidi"/>
      <w:b/>
      <w:bCs/>
      <w:spacing w:val="4"/>
      <w:sz w:val="36"/>
      <w:szCs w:val="28"/>
    </w:rPr>
  </w:style>
  <w:style w:type="character" w:customStyle="1" w:styleId="30">
    <w:name w:val="Заголовок 3 Знак"/>
    <w:basedOn w:val="a0"/>
    <w:link w:val="3"/>
    <w:uiPriority w:val="9"/>
    <w:rsid w:val="0075078C"/>
    <w:rPr>
      <w:rFonts w:eastAsiaTheme="majorEastAsia" w:cstheme="majorBidi"/>
      <w:b/>
      <w:i/>
      <w:color w:val="000000" w:themeColor="text1"/>
      <w:u w:val="single"/>
    </w:rPr>
  </w:style>
  <w:style w:type="table" w:styleId="a3">
    <w:name w:val="Table Grid"/>
    <w:basedOn w:val="a1"/>
    <w:uiPriority w:val="39"/>
    <w:rsid w:val="00FC2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0940D9"/>
    <w:pPr>
      <w:ind w:left="720"/>
      <w:contextualSpacing/>
    </w:pPr>
  </w:style>
  <w:style w:type="paragraph" w:styleId="a5">
    <w:name w:val="caption"/>
    <w:basedOn w:val="a"/>
    <w:next w:val="a"/>
    <w:uiPriority w:val="35"/>
    <w:unhideWhenUsed/>
    <w:qFormat/>
    <w:rsid w:val="000940D9"/>
    <w:pPr>
      <w:spacing w:before="0" w:after="200" w:line="240" w:lineRule="auto"/>
    </w:pPr>
    <w:rPr>
      <w:i/>
      <w:iCs/>
      <w:color w:val="44546A" w:themeColor="text2"/>
      <w:sz w:val="18"/>
      <w:szCs w:val="18"/>
    </w:rPr>
  </w:style>
  <w:style w:type="paragraph" w:styleId="a6">
    <w:name w:val="TOC Heading"/>
    <w:basedOn w:val="1"/>
    <w:next w:val="a"/>
    <w:uiPriority w:val="39"/>
    <w:unhideWhenUsed/>
    <w:qFormat/>
    <w:rsid w:val="009B1215"/>
    <w:pPr>
      <w:spacing w:before="240" w:after="0" w:line="259" w:lineRule="auto"/>
      <w:jc w:val="left"/>
      <w:outlineLvl w:val="9"/>
    </w:pPr>
    <w:rPr>
      <w:rFonts w:asciiTheme="majorHAnsi" w:hAnsiTheme="majorHAnsi"/>
      <w:b w:val="0"/>
      <w:bCs w:val="0"/>
      <w:color w:val="2F5496" w:themeColor="accent1" w:themeShade="BF"/>
      <w:spacing w:val="0"/>
      <w:kern w:val="0"/>
      <w:sz w:val="32"/>
      <w:szCs w:val="32"/>
      <w:lang w:val="en-US"/>
      <w14:ligatures w14:val="none"/>
    </w:rPr>
  </w:style>
  <w:style w:type="paragraph" w:styleId="11">
    <w:name w:val="toc 1"/>
    <w:basedOn w:val="a"/>
    <w:next w:val="a"/>
    <w:autoRedefine/>
    <w:uiPriority w:val="39"/>
    <w:unhideWhenUsed/>
    <w:rsid w:val="009B1215"/>
    <w:pPr>
      <w:spacing w:after="100"/>
    </w:pPr>
  </w:style>
  <w:style w:type="paragraph" w:styleId="21">
    <w:name w:val="toc 2"/>
    <w:basedOn w:val="a"/>
    <w:next w:val="a"/>
    <w:autoRedefine/>
    <w:uiPriority w:val="39"/>
    <w:unhideWhenUsed/>
    <w:rsid w:val="009B1215"/>
    <w:pPr>
      <w:spacing w:after="100"/>
      <w:ind w:left="240"/>
    </w:pPr>
  </w:style>
  <w:style w:type="paragraph" w:styleId="31">
    <w:name w:val="toc 3"/>
    <w:basedOn w:val="a"/>
    <w:next w:val="a"/>
    <w:autoRedefine/>
    <w:uiPriority w:val="39"/>
    <w:unhideWhenUsed/>
    <w:rsid w:val="009B1215"/>
    <w:pPr>
      <w:spacing w:after="100"/>
      <w:ind w:left="480"/>
    </w:pPr>
  </w:style>
  <w:style w:type="character" w:styleId="a7">
    <w:name w:val="Hyperlink"/>
    <w:basedOn w:val="a0"/>
    <w:uiPriority w:val="99"/>
    <w:unhideWhenUsed/>
    <w:rsid w:val="009B1215"/>
    <w:rPr>
      <w:color w:val="0563C1" w:themeColor="hyperlink"/>
      <w:u w:val="single"/>
    </w:rPr>
  </w:style>
  <w:style w:type="paragraph" w:styleId="a8">
    <w:name w:val="header"/>
    <w:basedOn w:val="a"/>
    <w:link w:val="a9"/>
    <w:uiPriority w:val="99"/>
    <w:unhideWhenUsed/>
    <w:rsid w:val="000D0CD9"/>
    <w:pPr>
      <w:tabs>
        <w:tab w:val="center" w:pos="4513"/>
        <w:tab w:val="right" w:pos="9026"/>
      </w:tabs>
      <w:spacing w:before="0" w:after="0" w:line="240" w:lineRule="auto"/>
    </w:pPr>
  </w:style>
  <w:style w:type="character" w:customStyle="1" w:styleId="a9">
    <w:name w:val="Верхний колонтитул Знак"/>
    <w:basedOn w:val="a0"/>
    <w:link w:val="a8"/>
    <w:uiPriority w:val="99"/>
    <w:rsid w:val="000D0CD9"/>
  </w:style>
  <w:style w:type="paragraph" w:styleId="aa">
    <w:name w:val="footer"/>
    <w:basedOn w:val="a"/>
    <w:link w:val="ab"/>
    <w:uiPriority w:val="99"/>
    <w:unhideWhenUsed/>
    <w:rsid w:val="000D0CD9"/>
    <w:pPr>
      <w:tabs>
        <w:tab w:val="center" w:pos="4513"/>
        <w:tab w:val="right" w:pos="9026"/>
      </w:tabs>
      <w:spacing w:before="0" w:after="0" w:line="240" w:lineRule="auto"/>
    </w:pPr>
  </w:style>
  <w:style w:type="character" w:customStyle="1" w:styleId="ab">
    <w:name w:val="Нижний колонтитул Знак"/>
    <w:basedOn w:val="a0"/>
    <w:link w:val="aa"/>
    <w:uiPriority w:val="99"/>
    <w:rsid w:val="000D0CD9"/>
  </w:style>
  <w:style w:type="paragraph" w:styleId="ac">
    <w:name w:val="Balloon Text"/>
    <w:basedOn w:val="a"/>
    <w:link w:val="ad"/>
    <w:uiPriority w:val="99"/>
    <w:semiHidden/>
    <w:unhideWhenUsed/>
    <w:rsid w:val="00DF76E3"/>
    <w:pPr>
      <w:spacing w:before="0" w:after="0" w:line="240" w:lineRule="auto"/>
    </w:pPr>
    <w:rPr>
      <w:rFonts w:ascii="Segoe UI" w:hAnsi="Segoe UI" w:cs="Segoe UI"/>
      <w:sz w:val="18"/>
      <w:szCs w:val="18"/>
    </w:rPr>
  </w:style>
  <w:style w:type="character" w:customStyle="1" w:styleId="ad">
    <w:name w:val="Текст выноски Знак"/>
    <w:basedOn w:val="a0"/>
    <w:link w:val="ac"/>
    <w:uiPriority w:val="99"/>
    <w:semiHidden/>
    <w:rsid w:val="00DF76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9664157">
      <w:bodyDiv w:val="1"/>
      <w:marLeft w:val="0"/>
      <w:marRight w:val="0"/>
      <w:marTop w:val="0"/>
      <w:marBottom w:val="0"/>
      <w:divBdr>
        <w:top w:val="none" w:sz="0" w:space="0" w:color="auto"/>
        <w:left w:val="none" w:sz="0" w:space="0" w:color="auto"/>
        <w:bottom w:val="none" w:sz="0" w:space="0" w:color="auto"/>
        <w:right w:val="none" w:sz="0" w:space="0" w:color="auto"/>
      </w:divBdr>
      <w:divsChild>
        <w:div w:id="1677464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7C56150-45E7-4B58-8DFC-56FA1ABC8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3219</Words>
  <Characters>18349</Characters>
  <Application>Microsoft Office Word</Application>
  <DocSecurity>0</DocSecurity>
  <Lines>152</Lines>
  <Paragraphs>43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11</cp:revision>
  <cp:lastPrinted>2024-04-19T06:47:00Z</cp:lastPrinted>
  <dcterms:created xsi:type="dcterms:W3CDTF">2024-04-03T13:53:00Z</dcterms:created>
  <dcterms:modified xsi:type="dcterms:W3CDTF">2024-04-19T07:34:00Z</dcterms:modified>
</cp:coreProperties>
</file>