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99E7C" w14:textId="77777777" w:rsidR="006068E1" w:rsidRDefault="006068E1" w:rsidP="006068E1">
      <w:pPr>
        <w:pStyle w:val="NoSpacing"/>
        <w:spacing w:before="1540" w:after="240"/>
        <w:jc w:val="center"/>
        <w:rPr>
          <w:color w:val="5B9BD5" w:themeColor="accent1"/>
        </w:rPr>
      </w:pPr>
      <w:r>
        <w:rPr>
          <w:noProof/>
          <w:color w:val="5B9BD5" w:themeColor="accent1"/>
          <w:lang w:val="en-GB" w:eastAsia="en-GB"/>
        </w:rPr>
        <w:drawing>
          <wp:inline distT="0" distB="0" distL="0" distR="0" wp14:anchorId="31B0549B" wp14:editId="54AA938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56"/>
          <w:szCs w:val="56"/>
          <w:lang w:val="en-GB"/>
        </w:rPr>
        <w:alias w:val="Title"/>
        <w:tag w:val=""/>
        <w:id w:val="1735040861"/>
        <w:placeholder>
          <w:docPart w:val="C869E0DF71750C449F16808E971B8BF2"/>
        </w:placeholder>
        <w:dataBinding w:prefixMappings="xmlns:ns0='http://purl.org/dc/elements/1.1/' xmlns:ns1='http://schemas.openxmlformats.org/package/2006/metadata/core-properties' " w:xpath="/ns1:coreProperties[1]/ns0:title[1]" w:storeItemID="{6C3C8BC8-F283-45AE-878A-BAB7291924A1}"/>
        <w:text/>
      </w:sdtPr>
      <w:sdtContent>
        <w:p w14:paraId="0BF1D56A" w14:textId="00A8226F" w:rsidR="006068E1" w:rsidRPr="00253505" w:rsidRDefault="00BB7A36" w:rsidP="006068E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56"/>
              <w:szCs w:val="56"/>
            </w:rPr>
          </w:pPr>
          <w:r>
            <w:rPr>
              <w:rFonts w:asciiTheme="majorHAnsi" w:eastAsiaTheme="majorEastAsia" w:hAnsiTheme="majorHAnsi" w:cstheme="majorBidi"/>
              <w:caps/>
              <w:color w:val="5B9BD5" w:themeColor="accent1"/>
              <w:sz w:val="56"/>
              <w:szCs w:val="56"/>
              <w:lang w:val="en-GB"/>
            </w:rPr>
            <w:t>Leadership OPPORTUNITES FOR WOMEN IN Engineering</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5794F93B" w14:textId="7EC0234A" w:rsidR="006068E1" w:rsidRDefault="00BB7A36" w:rsidP="006068E1">
          <w:pPr>
            <w:pStyle w:val="NoSpacing"/>
            <w:jc w:val="center"/>
            <w:rPr>
              <w:color w:val="5B9BD5" w:themeColor="accent1"/>
              <w:sz w:val="28"/>
              <w:szCs w:val="28"/>
            </w:rPr>
          </w:pPr>
          <w:r>
            <w:rPr>
              <w:color w:val="5B9BD5" w:themeColor="accent1"/>
              <w:sz w:val="28"/>
              <w:szCs w:val="28"/>
            </w:rPr>
            <w:t>IMPLEMENTATION PLAN</w:t>
          </w:r>
        </w:p>
      </w:sdtContent>
    </w:sdt>
    <w:p w14:paraId="0E240AA6" w14:textId="7577FD5E" w:rsidR="00862D5A" w:rsidRPr="00253505" w:rsidRDefault="006068E1" w:rsidP="00253505">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EE9837F" wp14:editId="0A95B0E1">
                <wp:simplePos x="0" y="0"/>
                <wp:positionH relativeFrom="margin">
                  <wp:posOffset>48638</wp:posOffset>
                </wp:positionH>
                <wp:positionV relativeFrom="page">
                  <wp:posOffset>7694579</wp:posOffset>
                </wp:positionV>
                <wp:extent cx="5894962" cy="1770434"/>
                <wp:effectExtent l="0" t="0" r="0" b="7620"/>
                <wp:wrapNone/>
                <wp:docPr id="142" name="Text Box 142"/>
                <wp:cNvGraphicFramePr/>
                <a:graphic xmlns:a="http://schemas.openxmlformats.org/drawingml/2006/main">
                  <a:graphicData uri="http://schemas.microsoft.com/office/word/2010/wordprocessingShape">
                    <wps:wsp>
                      <wps:cNvSpPr txBox="1"/>
                      <wps:spPr>
                        <a:xfrm>
                          <a:off x="0" y="0"/>
                          <a:ext cx="5894962" cy="17704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224EFE" w14:textId="77777777" w:rsidR="00253505" w:rsidRDefault="00253505" w:rsidP="006068E1">
                            <w:pPr>
                              <w:pStyle w:val="NoSpacing"/>
                              <w:jc w:val="center"/>
                              <w:rPr>
                                <w:caps/>
                                <w:color w:val="5B9BD5" w:themeColor="accent1"/>
                                <w:sz w:val="28"/>
                                <w:szCs w:val="28"/>
                              </w:rPr>
                            </w:pPr>
                            <w:r>
                              <w:rPr>
                                <w:caps/>
                                <w:color w:val="5B9BD5" w:themeColor="accent1"/>
                                <w:sz w:val="28"/>
                                <w:szCs w:val="28"/>
                              </w:rPr>
                              <w:t xml:space="preserve">IULIAN TAMPAU </w:t>
                            </w:r>
                          </w:p>
                          <w:p w14:paraId="0A77F75B" w14:textId="2BAF688E" w:rsidR="005C2076" w:rsidRDefault="00253505" w:rsidP="006068E1">
                            <w:pPr>
                              <w:pStyle w:val="NoSpacing"/>
                              <w:jc w:val="center"/>
                              <w:rPr>
                                <w:caps/>
                                <w:color w:val="5B9BD5" w:themeColor="accent1"/>
                                <w:sz w:val="28"/>
                                <w:szCs w:val="28"/>
                              </w:rPr>
                            </w:pPr>
                            <w:r>
                              <w:rPr>
                                <w:caps/>
                                <w:color w:val="5B9BD5" w:themeColor="accent1"/>
                                <w:sz w:val="28"/>
                                <w:szCs w:val="28"/>
                              </w:rPr>
                              <w:t>SN 190</w:t>
                            </w:r>
                            <w:r w:rsidR="005C2076">
                              <w:rPr>
                                <w:caps/>
                                <w:color w:val="5B9BD5" w:themeColor="accent1"/>
                                <w:sz w:val="28"/>
                                <w:szCs w:val="28"/>
                              </w:rPr>
                              <w:t>4938</w:t>
                            </w:r>
                          </w:p>
                          <w:p w14:paraId="034AC7A3" w14:textId="6638FBB9" w:rsidR="005C2076" w:rsidRDefault="005C2076" w:rsidP="006068E1">
                            <w:pPr>
                              <w:pStyle w:val="NoSpacing"/>
                              <w:jc w:val="center"/>
                              <w:rPr>
                                <w:caps/>
                                <w:color w:val="5B9BD5" w:themeColor="accent1"/>
                                <w:sz w:val="28"/>
                                <w:szCs w:val="28"/>
                              </w:rPr>
                            </w:pPr>
                            <w:r>
                              <w:rPr>
                                <w:caps/>
                                <w:color w:val="5B9BD5" w:themeColor="accent1"/>
                                <w:sz w:val="28"/>
                                <w:szCs w:val="28"/>
                              </w:rPr>
                              <w:t xml:space="preserve">UWTSD CARDIFF </w:t>
                            </w:r>
                          </w:p>
                          <w:p w14:paraId="331DD827" w14:textId="1EB13DE9" w:rsidR="005C2076" w:rsidRDefault="005C2076" w:rsidP="006068E1">
                            <w:pPr>
                              <w:pStyle w:val="NoSpacing"/>
                              <w:jc w:val="center"/>
                              <w:rPr>
                                <w:caps/>
                                <w:color w:val="5B9BD5" w:themeColor="accent1"/>
                                <w:sz w:val="28"/>
                                <w:szCs w:val="28"/>
                              </w:rPr>
                            </w:pPr>
                            <w:r>
                              <w:rPr>
                                <w:caps/>
                                <w:color w:val="5B9BD5" w:themeColor="accent1"/>
                                <w:sz w:val="28"/>
                                <w:szCs w:val="28"/>
                              </w:rPr>
                              <w:t>13</w:t>
                            </w:r>
                            <w:r w:rsidRPr="005C2076">
                              <w:rPr>
                                <w:caps/>
                                <w:color w:val="5B9BD5" w:themeColor="accent1"/>
                                <w:sz w:val="28"/>
                                <w:szCs w:val="28"/>
                                <w:vertAlign w:val="superscript"/>
                              </w:rPr>
                              <w:t>TH</w:t>
                            </w:r>
                            <w:r>
                              <w:rPr>
                                <w:caps/>
                                <w:color w:val="5B9BD5" w:themeColor="accent1"/>
                                <w:sz w:val="28"/>
                                <w:szCs w:val="28"/>
                              </w:rPr>
                              <w:t xml:space="preserve"> JANUARY 2023</w:t>
                            </w:r>
                          </w:p>
                          <w:p w14:paraId="10A0C57A" w14:textId="77777777" w:rsidR="005C2076" w:rsidRDefault="005C2076" w:rsidP="005C2076">
                            <w:pPr>
                              <w:pStyle w:val="NoSpacing"/>
                              <w:rPr>
                                <w:caps/>
                                <w:color w:val="5B9BD5" w:themeColor="accent1"/>
                                <w:sz w:val="28"/>
                                <w:szCs w:val="28"/>
                              </w:rPr>
                            </w:pPr>
                          </w:p>
                          <w:p w14:paraId="4288A78E" w14:textId="237CEC0A" w:rsidR="006068E1" w:rsidRDefault="006068E1" w:rsidP="006068E1">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14:paraId="0F90CF33" w14:textId="77777777" w:rsidR="006068E1" w:rsidRDefault="006068E1" w:rsidP="006068E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E9837F" id="_x0000_t202" coordsize="21600,21600" o:spt="202" path="m,l,21600r21600,l21600,xe">
                <v:stroke joinstyle="miter"/>
                <v:path gradientshapeok="t" o:connecttype="rect"/>
              </v:shapetype>
              <v:shape id="Text Box 142" o:spid="_x0000_s1026" type="#_x0000_t202" style="position:absolute;left:0;text-align:left;margin-left:3.85pt;margin-top:605.85pt;width:464.15pt;height:139.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" filled="f" stroked="f" strokeweight=".5pt">
                <v:textbox inset="0,0,0,0">
                  <w:txbxContent>
                    <w:p w14:paraId="05224EFE" w14:textId="77777777" w:rsidR="00253505" w:rsidRDefault="00253505" w:rsidP="006068E1">
                      <w:pPr>
                        <w:pStyle w:val="NoSpacing"/>
                        <w:jc w:val="center"/>
                        <w:rPr>
                          <w:caps/>
                          <w:color w:val="5B9BD5" w:themeColor="accent1"/>
                          <w:sz w:val="28"/>
                          <w:szCs w:val="28"/>
                        </w:rPr>
                      </w:pPr>
                      <w:r>
                        <w:rPr>
                          <w:caps/>
                          <w:color w:val="5B9BD5" w:themeColor="accent1"/>
                          <w:sz w:val="28"/>
                          <w:szCs w:val="28"/>
                        </w:rPr>
                        <w:t xml:space="preserve">IULIAN TAMPAU </w:t>
                      </w:r>
                    </w:p>
                    <w:p w14:paraId="0A77F75B" w14:textId="2BAF688E" w:rsidR="005C2076" w:rsidRDefault="00253505" w:rsidP="006068E1">
                      <w:pPr>
                        <w:pStyle w:val="NoSpacing"/>
                        <w:jc w:val="center"/>
                        <w:rPr>
                          <w:caps/>
                          <w:color w:val="5B9BD5" w:themeColor="accent1"/>
                          <w:sz w:val="28"/>
                          <w:szCs w:val="28"/>
                        </w:rPr>
                      </w:pPr>
                      <w:r>
                        <w:rPr>
                          <w:caps/>
                          <w:color w:val="5B9BD5" w:themeColor="accent1"/>
                          <w:sz w:val="28"/>
                          <w:szCs w:val="28"/>
                        </w:rPr>
                        <w:t>SN 190</w:t>
                      </w:r>
                      <w:r w:rsidR="005C2076">
                        <w:rPr>
                          <w:caps/>
                          <w:color w:val="5B9BD5" w:themeColor="accent1"/>
                          <w:sz w:val="28"/>
                          <w:szCs w:val="28"/>
                        </w:rPr>
                        <w:t>4938</w:t>
                      </w:r>
                    </w:p>
                    <w:p w14:paraId="034AC7A3" w14:textId="6638FBB9" w:rsidR="005C2076" w:rsidRDefault="005C2076" w:rsidP="006068E1">
                      <w:pPr>
                        <w:pStyle w:val="NoSpacing"/>
                        <w:jc w:val="center"/>
                        <w:rPr>
                          <w:caps/>
                          <w:color w:val="5B9BD5" w:themeColor="accent1"/>
                          <w:sz w:val="28"/>
                          <w:szCs w:val="28"/>
                        </w:rPr>
                      </w:pPr>
                      <w:r>
                        <w:rPr>
                          <w:caps/>
                          <w:color w:val="5B9BD5" w:themeColor="accent1"/>
                          <w:sz w:val="28"/>
                          <w:szCs w:val="28"/>
                        </w:rPr>
                        <w:t xml:space="preserve">UWTSD CARDIFF </w:t>
                      </w:r>
                    </w:p>
                    <w:p w14:paraId="331DD827" w14:textId="1EB13DE9" w:rsidR="005C2076" w:rsidRDefault="005C2076" w:rsidP="006068E1">
                      <w:pPr>
                        <w:pStyle w:val="NoSpacing"/>
                        <w:jc w:val="center"/>
                        <w:rPr>
                          <w:caps/>
                          <w:color w:val="5B9BD5" w:themeColor="accent1"/>
                          <w:sz w:val="28"/>
                          <w:szCs w:val="28"/>
                        </w:rPr>
                      </w:pPr>
                      <w:r>
                        <w:rPr>
                          <w:caps/>
                          <w:color w:val="5B9BD5" w:themeColor="accent1"/>
                          <w:sz w:val="28"/>
                          <w:szCs w:val="28"/>
                        </w:rPr>
                        <w:t>13</w:t>
                      </w:r>
                      <w:r w:rsidRPr="005C2076">
                        <w:rPr>
                          <w:caps/>
                          <w:color w:val="5B9BD5" w:themeColor="accent1"/>
                          <w:sz w:val="28"/>
                          <w:szCs w:val="28"/>
                          <w:vertAlign w:val="superscript"/>
                        </w:rPr>
                        <w:t>TH</w:t>
                      </w:r>
                      <w:r>
                        <w:rPr>
                          <w:caps/>
                          <w:color w:val="5B9BD5" w:themeColor="accent1"/>
                          <w:sz w:val="28"/>
                          <w:szCs w:val="28"/>
                        </w:rPr>
                        <w:t xml:space="preserve"> JANUARY 2023</w:t>
                      </w:r>
                    </w:p>
                    <w:p w14:paraId="10A0C57A" w14:textId="77777777" w:rsidR="005C2076" w:rsidRDefault="005C2076" w:rsidP="005C2076">
                      <w:pPr>
                        <w:pStyle w:val="NoSpacing"/>
                        <w:rPr>
                          <w:caps/>
                          <w:color w:val="5B9BD5" w:themeColor="accent1"/>
                          <w:sz w:val="28"/>
                          <w:szCs w:val="28"/>
                        </w:rPr>
                      </w:pPr>
                    </w:p>
                    <w:p w14:paraId="4288A78E" w14:textId="237CEC0A" w:rsidR="006068E1" w:rsidRDefault="006068E1" w:rsidP="006068E1">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14:paraId="0F90CF33" w14:textId="77777777" w:rsidR="006068E1" w:rsidRDefault="006068E1" w:rsidP="006068E1">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73677C6" wp14:editId="6F9DA6D7">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862D5A" w:rsidRPr="0006685D">
        <w:rPr>
          <w:rFonts w:ascii="Times New Roman" w:hAnsi="Times New Roman" w:cs="Times New Roman"/>
          <w:b/>
          <w:sz w:val="24"/>
          <w:szCs w:val="24"/>
        </w:rPr>
        <w:br w:type="page"/>
      </w:r>
    </w:p>
    <w:p w14:paraId="17B9400C" w14:textId="77777777" w:rsidR="00862D5A" w:rsidRPr="00AA0E2E" w:rsidRDefault="00862D5A" w:rsidP="00AA0E2E">
      <w:pPr>
        <w:spacing w:line="360" w:lineRule="auto"/>
        <w:jc w:val="center"/>
        <w:rPr>
          <w:rFonts w:ascii="Times New Roman" w:hAnsi="Times New Roman" w:cs="Times New Roman"/>
          <w:b/>
          <w:sz w:val="24"/>
          <w:szCs w:val="24"/>
        </w:rPr>
      </w:pPr>
      <w:r w:rsidRPr="00AA0E2E">
        <w:rPr>
          <w:rFonts w:ascii="Times New Roman" w:hAnsi="Times New Roman" w:cs="Times New Roman"/>
          <w:b/>
          <w:sz w:val="24"/>
          <w:szCs w:val="24"/>
        </w:rPr>
        <w:lastRenderedPageBreak/>
        <w:t>Executive Summary</w:t>
      </w:r>
    </w:p>
    <w:p w14:paraId="38DAD99C" w14:textId="77777777"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This report outlines a plan for implementing the findings expressed in assignment 1. This paper aims to present a critical analysis of existing management and leadership difficulties, make reference to them, and explain how alternative approaches to these issues might be adopted to provide a more diversified leadership structure for women working in mechanical engineering.</w:t>
      </w:r>
    </w:p>
    <w:p w14:paraId="3EDB19ED" w14:textId="19ACFCFF" w:rsidR="00862D5A" w:rsidRDefault="00862D5A">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1002010130"/>
        <w:docPartObj>
          <w:docPartGallery w:val="Table of Contents"/>
          <w:docPartUnique/>
        </w:docPartObj>
      </w:sdtPr>
      <w:sdtEndPr>
        <w:rPr>
          <w:b/>
          <w:bCs/>
          <w:noProof/>
        </w:rPr>
      </w:sdtEndPr>
      <w:sdtContent>
        <w:p w14:paraId="767E7448" w14:textId="77777777" w:rsidR="00F10DA3" w:rsidRPr="00F10DA3" w:rsidRDefault="00F10DA3" w:rsidP="00F10DA3">
          <w:pPr>
            <w:pStyle w:val="TOCHeading"/>
            <w:spacing w:line="360" w:lineRule="auto"/>
            <w:jc w:val="center"/>
            <w:rPr>
              <w:rFonts w:ascii="Times New Roman" w:hAnsi="Times New Roman" w:cs="Times New Roman"/>
              <w:b/>
              <w:color w:val="auto"/>
              <w:sz w:val="28"/>
              <w:szCs w:val="28"/>
            </w:rPr>
          </w:pPr>
          <w:r w:rsidRPr="00F10DA3">
            <w:rPr>
              <w:rFonts w:ascii="Times New Roman" w:hAnsi="Times New Roman" w:cs="Times New Roman"/>
              <w:b/>
              <w:color w:val="auto"/>
              <w:sz w:val="28"/>
              <w:szCs w:val="28"/>
            </w:rPr>
            <w:t>Table of Contents</w:t>
          </w:r>
        </w:p>
        <w:p w14:paraId="7C02758D" w14:textId="4826AD9E" w:rsidR="006068E1" w:rsidRDefault="00F10DA3">
          <w:pPr>
            <w:pStyle w:val="TOC1"/>
            <w:tabs>
              <w:tab w:val="right" w:leader="dot" w:pos="9016"/>
            </w:tabs>
            <w:rPr>
              <w:rFonts w:eastAsiaTheme="minorEastAsia"/>
              <w:noProof/>
              <w:sz w:val="24"/>
              <w:szCs w:val="24"/>
              <w:lang w:eastAsia="en-GB"/>
            </w:rPr>
          </w:pPr>
          <w:r w:rsidRPr="00F10DA3">
            <w:rPr>
              <w:rFonts w:ascii="Times New Roman" w:hAnsi="Times New Roman" w:cs="Times New Roman"/>
              <w:sz w:val="24"/>
              <w:szCs w:val="24"/>
            </w:rPr>
            <w:fldChar w:fldCharType="begin"/>
          </w:r>
          <w:r w:rsidRPr="00F10DA3">
            <w:rPr>
              <w:rFonts w:ascii="Times New Roman" w:hAnsi="Times New Roman" w:cs="Times New Roman"/>
              <w:sz w:val="24"/>
              <w:szCs w:val="24"/>
            </w:rPr>
            <w:instrText xml:space="preserve"> TOC \o "1-3" \h \z \u </w:instrText>
          </w:r>
          <w:r w:rsidRPr="00F10DA3">
            <w:rPr>
              <w:rFonts w:ascii="Times New Roman" w:hAnsi="Times New Roman" w:cs="Times New Roman"/>
              <w:sz w:val="24"/>
              <w:szCs w:val="24"/>
            </w:rPr>
            <w:fldChar w:fldCharType="separate"/>
          </w:r>
          <w:hyperlink w:anchor="_Toc124496532" w:history="1">
            <w:r w:rsidR="006068E1" w:rsidRPr="003327D5">
              <w:rPr>
                <w:rStyle w:val="Hyperlink"/>
                <w:noProof/>
              </w:rPr>
              <w:t>Introduction</w:t>
            </w:r>
            <w:r w:rsidR="006068E1">
              <w:rPr>
                <w:noProof/>
                <w:webHidden/>
              </w:rPr>
              <w:tab/>
            </w:r>
            <w:r w:rsidR="006068E1">
              <w:rPr>
                <w:noProof/>
                <w:webHidden/>
              </w:rPr>
              <w:fldChar w:fldCharType="begin"/>
            </w:r>
            <w:r w:rsidR="006068E1">
              <w:rPr>
                <w:noProof/>
                <w:webHidden/>
              </w:rPr>
              <w:instrText xml:space="preserve"> PAGEREF _Toc124496532 \h </w:instrText>
            </w:r>
            <w:r w:rsidR="006068E1">
              <w:rPr>
                <w:noProof/>
                <w:webHidden/>
              </w:rPr>
            </w:r>
            <w:r w:rsidR="006068E1">
              <w:rPr>
                <w:noProof/>
                <w:webHidden/>
              </w:rPr>
              <w:fldChar w:fldCharType="separate"/>
            </w:r>
            <w:r w:rsidR="005C2076">
              <w:rPr>
                <w:noProof/>
                <w:webHidden/>
              </w:rPr>
              <w:t>4</w:t>
            </w:r>
            <w:r w:rsidR="006068E1">
              <w:rPr>
                <w:noProof/>
                <w:webHidden/>
              </w:rPr>
              <w:fldChar w:fldCharType="end"/>
            </w:r>
          </w:hyperlink>
        </w:p>
        <w:p w14:paraId="05649012" w14:textId="2D41ECE5" w:rsidR="006068E1" w:rsidRDefault="006068E1">
          <w:pPr>
            <w:pStyle w:val="TOC1"/>
            <w:tabs>
              <w:tab w:val="right" w:leader="dot" w:pos="9016"/>
            </w:tabs>
            <w:rPr>
              <w:rFonts w:eastAsiaTheme="minorEastAsia"/>
              <w:noProof/>
              <w:sz w:val="24"/>
              <w:szCs w:val="24"/>
              <w:lang w:eastAsia="en-GB"/>
            </w:rPr>
          </w:pPr>
          <w:hyperlink w:anchor="_Toc124496533" w:history="1">
            <w:r w:rsidRPr="003327D5">
              <w:rPr>
                <w:rStyle w:val="Hyperlink"/>
                <w:noProof/>
              </w:rPr>
              <w:t>Rationale</w:t>
            </w:r>
            <w:r>
              <w:rPr>
                <w:noProof/>
                <w:webHidden/>
              </w:rPr>
              <w:tab/>
            </w:r>
            <w:r>
              <w:rPr>
                <w:noProof/>
                <w:webHidden/>
              </w:rPr>
              <w:fldChar w:fldCharType="begin"/>
            </w:r>
            <w:r>
              <w:rPr>
                <w:noProof/>
                <w:webHidden/>
              </w:rPr>
              <w:instrText xml:space="preserve"> PAGEREF _Toc124496533 \h </w:instrText>
            </w:r>
            <w:r>
              <w:rPr>
                <w:noProof/>
                <w:webHidden/>
              </w:rPr>
            </w:r>
            <w:r>
              <w:rPr>
                <w:noProof/>
                <w:webHidden/>
              </w:rPr>
              <w:fldChar w:fldCharType="separate"/>
            </w:r>
            <w:r w:rsidR="005C2076">
              <w:rPr>
                <w:noProof/>
                <w:webHidden/>
              </w:rPr>
              <w:t>4</w:t>
            </w:r>
            <w:r>
              <w:rPr>
                <w:noProof/>
                <w:webHidden/>
              </w:rPr>
              <w:fldChar w:fldCharType="end"/>
            </w:r>
          </w:hyperlink>
        </w:p>
        <w:p w14:paraId="7DF7C11A" w14:textId="3F13234F" w:rsidR="006068E1" w:rsidRDefault="006068E1">
          <w:pPr>
            <w:pStyle w:val="TOC2"/>
            <w:tabs>
              <w:tab w:val="right" w:leader="dot" w:pos="9016"/>
            </w:tabs>
            <w:rPr>
              <w:rFonts w:eastAsiaTheme="minorEastAsia"/>
              <w:noProof/>
              <w:sz w:val="24"/>
              <w:szCs w:val="24"/>
              <w:lang w:eastAsia="en-GB"/>
            </w:rPr>
          </w:pPr>
          <w:r w:rsidRPr="003327D5">
            <w:rPr>
              <w:rStyle w:val="Hyperlink"/>
              <w:noProof/>
            </w:rPr>
            <w:fldChar w:fldCharType="begin"/>
          </w:r>
          <w:r w:rsidRPr="003327D5">
            <w:rPr>
              <w:rStyle w:val="Hyperlink"/>
              <w:noProof/>
            </w:rPr>
            <w:instrText xml:space="preserve"> </w:instrText>
          </w:r>
          <w:r>
            <w:rPr>
              <w:noProof/>
            </w:rPr>
            <w:instrText>HYPERLINK \l "_Toc124496534"</w:instrText>
          </w:r>
          <w:r w:rsidRPr="003327D5">
            <w:rPr>
              <w:rStyle w:val="Hyperlink"/>
              <w:noProof/>
            </w:rPr>
            <w:instrText xml:space="preserve"> </w:instrText>
          </w:r>
          <w:r w:rsidRPr="003327D5">
            <w:rPr>
              <w:rStyle w:val="Hyperlink"/>
              <w:noProof/>
            </w:rPr>
          </w:r>
          <w:r w:rsidRPr="003327D5">
            <w:rPr>
              <w:rStyle w:val="Hyperlink"/>
              <w:noProof/>
            </w:rPr>
            <w:fldChar w:fldCharType="separate"/>
          </w:r>
          <w:r w:rsidRPr="003327D5">
            <w:rPr>
              <w:rStyle w:val="Hyperlink"/>
              <w:noProof/>
            </w:rPr>
            <w:t>Action Plan</w:t>
          </w:r>
          <w:r>
            <w:rPr>
              <w:noProof/>
              <w:webHidden/>
            </w:rPr>
            <w:tab/>
          </w:r>
          <w:r>
            <w:rPr>
              <w:noProof/>
              <w:webHidden/>
            </w:rPr>
            <w:fldChar w:fldCharType="begin"/>
          </w:r>
          <w:r>
            <w:rPr>
              <w:noProof/>
              <w:webHidden/>
            </w:rPr>
            <w:instrText xml:space="preserve"> PAGEREF _Toc124496534 \h </w:instrText>
          </w:r>
          <w:r>
            <w:rPr>
              <w:noProof/>
              <w:webHidden/>
            </w:rPr>
          </w:r>
          <w:r>
            <w:rPr>
              <w:noProof/>
              <w:webHidden/>
            </w:rPr>
            <w:fldChar w:fldCharType="separate"/>
          </w:r>
          <w:r w:rsidR="005C2076">
            <w:rPr>
              <w:noProof/>
              <w:webHidden/>
            </w:rPr>
            <w:t>6</w:t>
          </w:r>
          <w:r>
            <w:rPr>
              <w:noProof/>
              <w:webHidden/>
            </w:rPr>
            <w:fldChar w:fldCharType="end"/>
          </w:r>
          <w:r w:rsidRPr="003327D5">
            <w:rPr>
              <w:rStyle w:val="Hyperlink"/>
              <w:noProof/>
            </w:rPr>
            <w:fldChar w:fldCharType="end"/>
          </w:r>
        </w:p>
        <w:p w14:paraId="24B7F5FD" w14:textId="60D7ADA6" w:rsidR="006068E1" w:rsidRDefault="006068E1">
          <w:pPr>
            <w:pStyle w:val="TOC1"/>
            <w:tabs>
              <w:tab w:val="right" w:leader="dot" w:pos="9016"/>
            </w:tabs>
            <w:rPr>
              <w:rFonts w:eastAsiaTheme="minorEastAsia"/>
              <w:noProof/>
              <w:sz w:val="24"/>
              <w:szCs w:val="24"/>
              <w:lang w:eastAsia="en-GB"/>
            </w:rPr>
          </w:pPr>
          <w:hyperlink w:anchor="_Toc124496535" w:history="1">
            <w:r w:rsidRPr="003327D5">
              <w:rPr>
                <w:rStyle w:val="Hyperlink"/>
                <w:noProof/>
              </w:rPr>
              <w:t>Recommendations</w:t>
            </w:r>
            <w:r>
              <w:rPr>
                <w:noProof/>
                <w:webHidden/>
              </w:rPr>
              <w:tab/>
            </w:r>
            <w:r>
              <w:rPr>
                <w:noProof/>
                <w:webHidden/>
              </w:rPr>
              <w:fldChar w:fldCharType="begin"/>
            </w:r>
            <w:r>
              <w:rPr>
                <w:noProof/>
                <w:webHidden/>
              </w:rPr>
              <w:instrText xml:space="preserve"> PAGEREF _Toc124496535 \h </w:instrText>
            </w:r>
            <w:r>
              <w:rPr>
                <w:noProof/>
                <w:webHidden/>
              </w:rPr>
            </w:r>
            <w:r>
              <w:rPr>
                <w:noProof/>
                <w:webHidden/>
              </w:rPr>
              <w:fldChar w:fldCharType="separate"/>
            </w:r>
            <w:r w:rsidR="005C2076">
              <w:rPr>
                <w:noProof/>
                <w:webHidden/>
              </w:rPr>
              <w:t>8</w:t>
            </w:r>
            <w:r>
              <w:rPr>
                <w:noProof/>
                <w:webHidden/>
              </w:rPr>
              <w:fldChar w:fldCharType="end"/>
            </w:r>
          </w:hyperlink>
        </w:p>
        <w:p w14:paraId="4064A1FC" w14:textId="6A782CD5" w:rsidR="006068E1" w:rsidRDefault="006068E1">
          <w:pPr>
            <w:pStyle w:val="TOC1"/>
            <w:tabs>
              <w:tab w:val="right" w:leader="dot" w:pos="9016"/>
            </w:tabs>
            <w:rPr>
              <w:rFonts w:eastAsiaTheme="minorEastAsia"/>
              <w:noProof/>
              <w:sz w:val="24"/>
              <w:szCs w:val="24"/>
              <w:lang w:eastAsia="en-GB"/>
            </w:rPr>
          </w:pPr>
          <w:hyperlink w:anchor="_Toc124496536" w:history="1">
            <w:r w:rsidRPr="003327D5">
              <w:rPr>
                <w:rStyle w:val="Hyperlink"/>
                <w:noProof/>
              </w:rPr>
              <w:t>Conclusion</w:t>
            </w:r>
            <w:r>
              <w:rPr>
                <w:noProof/>
                <w:webHidden/>
              </w:rPr>
              <w:tab/>
            </w:r>
            <w:r>
              <w:rPr>
                <w:noProof/>
                <w:webHidden/>
              </w:rPr>
              <w:fldChar w:fldCharType="begin"/>
            </w:r>
            <w:r>
              <w:rPr>
                <w:noProof/>
                <w:webHidden/>
              </w:rPr>
              <w:instrText xml:space="preserve"> PAGEREF _Toc124496536 \h </w:instrText>
            </w:r>
            <w:r>
              <w:rPr>
                <w:noProof/>
                <w:webHidden/>
              </w:rPr>
            </w:r>
            <w:r>
              <w:rPr>
                <w:noProof/>
                <w:webHidden/>
              </w:rPr>
              <w:fldChar w:fldCharType="separate"/>
            </w:r>
            <w:r w:rsidR="005C2076">
              <w:rPr>
                <w:noProof/>
                <w:webHidden/>
              </w:rPr>
              <w:t>9</w:t>
            </w:r>
            <w:r>
              <w:rPr>
                <w:noProof/>
                <w:webHidden/>
              </w:rPr>
              <w:fldChar w:fldCharType="end"/>
            </w:r>
          </w:hyperlink>
        </w:p>
        <w:p w14:paraId="6FA7076D" w14:textId="482D67D2" w:rsidR="006068E1" w:rsidRDefault="006068E1">
          <w:pPr>
            <w:pStyle w:val="TOC1"/>
            <w:tabs>
              <w:tab w:val="right" w:leader="dot" w:pos="9016"/>
            </w:tabs>
            <w:rPr>
              <w:rFonts w:eastAsiaTheme="minorEastAsia"/>
              <w:noProof/>
              <w:sz w:val="24"/>
              <w:szCs w:val="24"/>
              <w:lang w:eastAsia="en-GB"/>
            </w:rPr>
          </w:pPr>
          <w:hyperlink w:anchor="_Toc124496537" w:history="1">
            <w:r w:rsidRPr="003327D5">
              <w:rPr>
                <w:rStyle w:val="Hyperlink"/>
                <w:noProof/>
              </w:rPr>
              <w:t>References</w:t>
            </w:r>
            <w:r>
              <w:rPr>
                <w:noProof/>
                <w:webHidden/>
              </w:rPr>
              <w:tab/>
            </w:r>
            <w:r>
              <w:rPr>
                <w:noProof/>
                <w:webHidden/>
              </w:rPr>
              <w:fldChar w:fldCharType="begin"/>
            </w:r>
            <w:r>
              <w:rPr>
                <w:noProof/>
                <w:webHidden/>
              </w:rPr>
              <w:instrText xml:space="preserve"> PAGEREF _Toc124496537 \h </w:instrText>
            </w:r>
            <w:r>
              <w:rPr>
                <w:noProof/>
                <w:webHidden/>
              </w:rPr>
            </w:r>
            <w:r>
              <w:rPr>
                <w:noProof/>
                <w:webHidden/>
              </w:rPr>
              <w:fldChar w:fldCharType="separate"/>
            </w:r>
            <w:r w:rsidR="005C2076">
              <w:rPr>
                <w:noProof/>
                <w:webHidden/>
              </w:rPr>
              <w:t>10</w:t>
            </w:r>
            <w:r>
              <w:rPr>
                <w:noProof/>
                <w:webHidden/>
              </w:rPr>
              <w:fldChar w:fldCharType="end"/>
            </w:r>
          </w:hyperlink>
        </w:p>
        <w:p w14:paraId="7D1393AA" w14:textId="75D4DA5A" w:rsidR="00F10DA3" w:rsidRPr="00F10DA3" w:rsidRDefault="00F10DA3" w:rsidP="00F10DA3">
          <w:pPr>
            <w:spacing w:line="360" w:lineRule="auto"/>
            <w:jc w:val="both"/>
            <w:rPr>
              <w:rFonts w:ascii="Times New Roman" w:hAnsi="Times New Roman" w:cs="Times New Roman"/>
              <w:sz w:val="24"/>
              <w:szCs w:val="24"/>
            </w:rPr>
          </w:pPr>
          <w:r w:rsidRPr="00F10DA3">
            <w:rPr>
              <w:rFonts w:ascii="Times New Roman" w:hAnsi="Times New Roman" w:cs="Times New Roman"/>
              <w:b/>
              <w:bCs/>
              <w:noProof/>
              <w:sz w:val="24"/>
              <w:szCs w:val="24"/>
            </w:rPr>
            <w:fldChar w:fldCharType="end"/>
          </w:r>
        </w:p>
      </w:sdtContent>
    </w:sdt>
    <w:p w14:paraId="7314DC9D" w14:textId="77777777" w:rsidR="00862D5A" w:rsidRDefault="00862D5A">
      <w:pPr>
        <w:rPr>
          <w:rFonts w:ascii="Times New Roman" w:hAnsi="Times New Roman" w:cs="Times New Roman"/>
          <w:sz w:val="24"/>
          <w:szCs w:val="24"/>
        </w:rPr>
      </w:pPr>
      <w:r>
        <w:rPr>
          <w:rFonts w:ascii="Times New Roman" w:hAnsi="Times New Roman" w:cs="Times New Roman"/>
          <w:sz w:val="24"/>
          <w:szCs w:val="24"/>
        </w:rPr>
        <w:br w:type="page"/>
      </w:r>
    </w:p>
    <w:p w14:paraId="0260569E" w14:textId="21180FC8" w:rsidR="00862D5A" w:rsidRDefault="00862D5A" w:rsidP="00862D5A">
      <w:pPr>
        <w:pStyle w:val="Heading1"/>
      </w:pPr>
      <w:bookmarkStart w:id="0" w:name="_Toc124496532"/>
      <w:r>
        <w:lastRenderedPageBreak/>
        <w:t>Introduction</w:t>
      </w:r>
      <w:bookmarkEnd w:id="0"/>
    </w:p>
    <w:p w14:paraId="33222A73" w14:textId="77777777" w:rsidR="006068E1" w:rsidRPr="006068E1" w:rsidRDefault="006068E1" w:rsidP="006068E1"/>
    <w:p w14:paraId="35A492A9" w14:textId="77777777" w:rsidR="005C2076"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In the past two decades, more women than males graduated from college. Despite attempts to diversify the engineering industry, men continue to make up a disproportionately large share of the workforce. Despite continued efforts, the number of women in engineering remains low</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Mozahem</w:t>
      </w:r>
      <w:r w:rsidR="00D81E97">
        <w:rPr>
          <w:rFonts w:ascii="Times New Roman" w:hAnsi="Times New Roman" w:cs="Times New Roman"/>
          <w:sz w:val="24"/>
          <w:szCs w:val="24"/>
        </w:rPr>
        <w:t xml:space="preserve"> </w:t>
      </w:r>
      <w:r w:rsidR="00D81E97" w:rsidRPr="00D81E97">
        <w:rPr>
          <w:rFonts w:ascii="Times New Roman" w:hAnsi="Times New Roman" w:cs="Times New Roman"/>
          <w:i/>
          <w:sz w:val="24"/>
          <w:szCs w:val="24"/>
        </w:rPr>
        <w:t>et al.,</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2019</w:t>
      </w:r>
      <w:r w:rsidR="00D81E97">
        <w:rPr>
          <w:rFonts w:ascii="Times New Roman" w:hAnsi="Times New Roman" w:cs="Times New Roman"/>
          <w:sz w:val="24"/>
          <w:szCs w:val="24"/>
        </w:rPr>
        <w:t>)</w:t>
      </w:r>
      <w:r w:rsidRPr="00862D5A">
        <w:rPr>
          <w:rFonts w:ascii="Times New Roman" w:hAnsi="Times New Roman" w:cs="Times New Roman"/>
          <w:sz w:val="24"/>
          <w:szCs w:val="24"/>
        </w:rPr>
        <w:t>. Even if a woman is ultimately selected as the best qualified candidate for a certain engineering position, gender bias may still persist. This is an inevitable and unpleasant fact. Income or salary discrepancies between men and women are observable at all occupational levels, from entry-level to chief executive officer. Yes, this is true for all careers. Despite ongoing efforts to diversify its workforce, engineering continues to be dominated by men. What a young girl encounters in school may have a big influence on whether or not she chooses engineering as a field of study later in life. Over half of all female engineers have experienced sexual harassment on the job, a figure far higher than in other professions</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García-Holgado</w:t>
      </w:r>
      <w:r w:rsidR="00D81E97">
        <w:rPr>
          <w:rFonts w:ascii="Times New Roman" w:hAnsi="Times New Roman" w:cs="Times New Roman"/>
          <w:sz w:val="24"/>
          <w:szCs w:val="24"/>
        </w:rPr>
        <w:t xml:space="preserve"> </w:t>
      </w:r>
      <w:r w:rsidR="00D81E97" w:rsidRPr="00D81E97">
        <w:rPr>
          <w:rFonts w:ascii="Times New Roman" w:hAnsi="Times New Roman" w:cs="Times New Roman"/>
          <w:i/>
          <w:sz w:val="24"/>
          <w:szCs w:val="24"/>
        </w:rPr>
        <w:t>et al.,</w:t>
      </w:r>
      <w:r w:rsidR="00D81E97">
        <w:rPr>
          <w:rFonts w:ascii="Times New Roman" w:hAnsi="Times New Roman" w:cs="Times New Roman"/>
          <w:sz w:val="24"/>
          <w:szCs w:val="24"/>
        </w:rPr>
        <w:t xml:space="preserve"> 2019)</w:t>
      </w:r>
      <w:r w:rsidRPr="00862D5A">
        <w:rPr>
          <w:rFonts w:ascii="Times New Roman" w:hAnsi="Times New Roman" w:cs="Times New Roman"/>
          <w:sz w:val="24"/>
          <w:szCs w:val="24"/>
        </w:rPr>
        <w:t xml:space="preserve">. Large numbers of women leave the engineering sector for a variety of reasons, including pay and advancement inequities. In addition, women in engineering may find it challenging to achieve a healthy work-life balance. Less than half of women who take maternity leave return to the workforce, and those who do are far less likely to be offered </w:t>
      </w:r>
    </w:p>
    <w:p w14:paraId="44E7AE4F" w14:textId="18A9656C"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full-time positions.</w:t>
      </w:r>
    </w:p>
    <w:p w14:paraId="0716EE69" w14:textId="5575761C" w:rsidR="00862D5A" w:rsidRDefault="006068E1" w:rsidP="005A055B">
      <w:pPr>
        <w:pStyle w:val="Heading1"/>
      </w:pPr>
      <w:bookmarkStart w:id="1" w:name="_Toc124496533"/>
      <w:r>
        <w:t>Rationale</w:t>
      </w:r>
      <w:bookmarkEnd w:id="1"/>
    </w:p>
    <w:p w14:paraId="1640E7D7" w14:textId="77777777" w:rsidR="006068E1" w:rsidRPr="006068E1" w:rsidRDefault="006068E1" w:rsidP="006068E1"/>
    <w:p w14:paraId="404D580B" w14:textId="77777777"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 xml:space="preserve">Both teachers and guidance </w:t>
      </w:r>
      <w:r w:rsidR="005A055B" w:rsidRPr="00862D5A">
        <w:rPr>
          <w:rFonts w:ascii="Times New Roman" w:hAnsi="Times New Roman" w:cs="Times New Roman"/>
          <w:sz w:val="24"/>
          <w:szCs w:val="24"/>
        </w:rPr>
        <w:t>counsellors</w:t>
      </w:r>
      <w:r w:rsidRPr="00862D5A">
        <w:rPr>
          <w:rFonts w:ascii="Times New Roman" w:hAnsi="Times New Roman" w:cs="Times New Roman"/>
          <w:sz w:val="24"/>
          <w:szCs w:val="24"/>
        </w:rPr>
        <w:t xml:space="preserve"> have a significant influence in determining the future academic and career decisions of their pupils. Teachers at the secondary level often lack a clear understanding of what engineers do and how to assess whether pupils will be successful in the field. This discrimination impacts students because professors are more likely to encourage students from wealthy homes and males to pursue engineering careers</w:t>
      </w:r>
      <w:r w:rsidR="00D81E97">
        <w:rPr>
          <w:rFonts w:ascii="Times New Roman" w:hAnsi="Times New Roman" w:cs="Times New Roman"/>
          <w:sz w:val="24"/>
          <w:szCs w:val="24"/>
        </w:rPr>
        <w:t xml:space="preserve"> (Ong </w:t>
      </w:r>
      <w:r w:rsidR="00D81E97" w:rsidRPr="00D81E97">
        <w:rPr>
          <w:rFonts w:ascii="Times New Roman" w:hAnsi="Times New Roman" w:cs="Times New Roman"/>
          <w:i/>
          <w:sz w:val="24"/>
          <w:szCs w:val="24"/>
        </w:rPr>
        <w:t>et al.,</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2020</w:t>
      </w:r>
      <w:r w:rsidR="00D81E97">
        <w:rPr>
          <w:rFonts w:ascii="Times New Roman" w:hAnsi="Times New Roman" w:cs="Times New Roman"/>
          <w:sz w:val="24"/>
          <w:szCs w:val="24"/>
        </w:rPr>
        <w:t>)</w:t>
      </w:r>
      <w:r w:rsidRPr="00862D5A">
        <w:rPr>
          <w:rFonts w:ascii="Times New Roman" w:hAnsi="Times New Roman" w:cs="Times New Roman"/>
          <w:sz w:val="24"/>
          <w:szCs w:val="24"/>
        </w:rPr>
        <w:t>. It is a common misconception that engineers have little impact on people's lives.</w:t>
      </w:r>
    </w:p>
    <w:p w14:paraId="72376E04" w14:textId="77777777"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The internship is the most well-known kind of experiential learning since it enables students to hone their skills and get practical experience in an environment akin to a real employment. The internship program is advantageous to both the student and the company. Students are given the opportunity to get practical knowledge and hands-on experience in the topic, which often results in higher GPAs and a greater feeling of personal competence</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López-Iñes</w:t>
      </w:r>
      <w:r w:rsidR="00D81E97">
        <w:rPr>
          <w:rFonts w:ascii="Times New Roman" w:hAnsi="Times New Roman" w:cs="Times New Roman"/>
          <w:sz w:val="24"/>
          <w:szCs w:val="24"/>
        </w:rPr>
        <w:t xml:space="preserve">ta </w:t>
      </w:r>
      <w:r w:rsidR="00D81E97" w:rsidRPr="00D81E97">
        <w:rPr>
          <w:rFonts w:ascii="Times New Roman" w:hAnsi="Times New Roman" w:cs="Times New Roman"/>
          <w:i/>
          <w:sz w:val="24"/>
          <w:szCs w:val="24"/>
        </w:rPr>
        <w:t>et al.,</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2020</w:t>
      </w:r>
      <w:r w:rsidR="00D81E97">
        <w:rPr>
          <w:rFonts w:ascii="Times New Roman" w:hAnsi="Times New Roman" w:cs="Times New Roman"/>
          <w:sz w:val="24"/>
          <w:szCs w:val="24"/>
        </w:rPr>
        <w:t>)</w:t>
      </w:r>
      <w:r w:rsidRPr="00862D5A">
        <w:rPr>
          <w:rFonts w:ascii="Times New Roman" w:hAnsi="Times New Roman" w:cs="Times New Roman"/>
          <w:sz w:val="24"/>
          <w:szCs w:val="24"/>
        </w:rPr>
        <w:t xml:space="preserve">. Internships may be useful learning opportunities for some, but for many women, entering the </w:t>
      </w:r>
      <w:r w:rsidRPr="00862D5A">
        <w:rPr>
          <w:rFonts w:ascii="Times New Roman" w:hAnsi="Times New Roman" w:cs="Times New Roman"/>
          <w:sz w:val="24"/>
          <w:szCs w:val="24"/>
        </w:rPr>
        <w:lastRenderedPageBreak/>
        <w:t>male-dominated world of engineering is daunting. Female interns have alleged gender discrimination in the workplace. Female engineers are more likely than male engineers to be assigned menial tasks that do not advance their careers, while male engineers are assigned difficult tasks that enable them to develop their skills. This provides the perception to female interns that they get less from their internship than their male colleagues.</w:t>
      </w:r>
    </w:p>
    <w:p w14:paraId="53848F5B" w14:textId="6B825760"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 xml:space="preserve">Cooperative education, or co-op for short, is a </w:t>
      </w:r>
      <w:r w:rsidR="005C2076" w:rsidRPr="005C2076">
        <w:rPr>
          <w:rFonts w:ascii="Times New Roman" w:hAnsi="Times New Roman" w:cs="Times New Roman"/>
          <w:sz w:val="24"/>
          <w:szCs w:val="24"/>
        </w:rPr>
        <w:t>learning</w:t>
      </w:r>
      <w:r w:rsidR="005C2076" w:rsidRPr="005C2076">
        <w:rPr>
          <w:rFonts w:ascii="Times New Roman" w:hAnsi="Times New Roman" w:cs="Times New Roman"/>
          <w:sz w:val="24"/>
          <w:szCs w:val="24"/>
        </w:rPr>
        <w:t xml:space="preserve"> </w:t>
      </w:r>
      <w:r w:rsidRPr="00862D5A">
        <w:rPr>
          <w:rFonts w:ascii="Times New Roman" w:hAnsi="Times New Roman" w:cs="Times New Roman"/>
          <w:sz w:val="24"/>
          <w:szCs w:val="24"/>
        </w:rPr>
        <w:t>experience that may be found in engineering programs. Co-ops, like internships, provide students with practical experience in the field and help them improve their skills. Numerous women who choose to join in engineering co-ops often see them as beneficial. The principle of cooperation did not work for every woman</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Alfred</w:t>
      </w:r>
      <w:r w:rsidR="00D81E97">
        <w:rPr>
          <w:rFonts w:ascii="Times New Roman" w:hAnsi="Times New Roman" w:cs="Times New Roman"/>
          <w:sz w:val="24"/>
          <w:szCs w:val="24"/>
        </w:rPr>
        <w:t xml:space="preserve"> </w:t>
      </w:r>
      <w:r w:rsidR="00D81E97" w:rsidRPr="00D81E97">
        <w:rPr>
          <w:rFonts w:ascii="Times New Roman" w:hAnsi="Times New Roman" w:cs="Times New Roman"/>
          <w:i/>
          <w:sz w:val="24"/>
          <w:szCs w:val="24"/>
        </w:rPr>
        <w:t>et al.,</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2019</w:t>
      </w:r>
      <w:r w:rsidR="00D81E97">
        <w:rPr>
          <w:rFonts w:ascii="Times New Roman" w:hAnsi="Times New Roman" w:cs="Times New Roman"/>
          <w:sz w:val="24"/>
          <w:szCs w:val="24"/>
        </w:rPr>
        <w:t>)</w:t>
      </w:r>
      <w:r w:rsidRPr="00862D5A">
        <w:rPr>
          <w:rFonts w:ascii="Times New Roman" w:hAnsi="Times New Roman" w:cs="Times New Roman"/>
          <w:sz w:val="24"/>
          <w:szCs w:val="24"/>
        </w:rPr>
        <w:t>. A significant number of women in engineering are dissatisfied with the "cold" environment and the way they are treated differently than males, such as being assigned more administrative tasks. Some students even report program managers making inappropriate and outright sexist remarks. Despite the fact that many students believe experiential learning programs to be advantageous in terms of gaining experience and developing workplace skills, several women have shared their experiences with sexism in the industry, which can leave them feeling devalued and disrespected, with little motivation to continue working in the engineering field. Despite the fact that many students feel experiential learning programs are advantageous for obtaining experience and building professional skills, a number of women have spoken out against the sexism they face in the workplace. Why women are underrepresented in STEM areas such as engineering is mostly attributable to disparities in educational access</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González-Pérez</w:t>
      </w:r>
      <w:r w:rsidR="00D81E97">
        <w:rPr>
          <w:rFonts w:ascii="Times New Roman" w:hAnsi="Times New Roman" w:cs="Times New Roman"/>
          <w:sz w:val="24"/>
          <w:szCs w:val="24"/>
        </w:rPr>
        <w:t xml:space="preserve"> </w:t>
      </w:r>
      <w:r w:rsidR="00D81E97" w:rsidRPr="00D81E97">
        <w:rPr>
          <w:rFonts w:ascii="Times New Roman" w:hAnsi="Times New Roman" w:cs="Times New Roman"/>
          <w:i/>
          <w:sz w:val="24"/>
          <w:szCs w:val="24"/>
        </w:rPr>
        <w:t>et al.,</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2020</w:t>
      </w:r>
      <w:r w:rsidR="00D81E97">
        <w:rPr>
          <w:rFonts w:ascii="Times New Roman" w:hAnsi="Times New Roman" w:cs="Times New Roman"/>
          <w:sz w:val="24"/>
          <w:szCs w:val="24"/>
        </w:rPr>
        <w:t>)</w:t>
      </w:r>
      <w:r w:rsidRPr="00862D5A">
        <w:rPr>
          <w:rFonts w:ascii="Times New Roman" w:hAnsi="Times New Roman" w:cs="Times New Roman"/>
          <w:sz w:val="24"/>
          <w:szCs w:val="24"/>
        </w:rPr>
        <w:t>. During engineering internships and co-ops, it was observed that women encountered unique obstacles and difficulties. Women who had completed experiential learning programs reported high rates of discrimination, sexual harassment, and other forms of sex-based bias from both peers and faculty. These features diminish the attraction of engineering as a career option for women, since fewer women can participate in the field.</w:t>
      </w:r>
    </w:p>
    <w:p w14:paraId="6B34A53E" w14:textId="77777777" w:rsidR="005C2076" w:rsidRDefault="005C2076">
      <w:pPr>
        <w:rPr>
          <w:rFonts w:ascii="Times New Roman" w:eastAsiaTheme="majorEastAsia" w:hAnsi="Times New Roman" w:cstheme="majorBidi"/>
          <w:b/>
          <w:sz w:val="26"/>
          <w:szCs w:val="26"/>
        </w:rPr>
      </w:pPr>
      <w:r>
        <w:rPr>
          <w:rFonts w:ascii="Times New Roman" w:eastAsiaTheme="majorEastAsia" w:hAnsi="Times New Roman" w:cstheme="majorBidi"/>
          <w:b/>
          <w:sz w:val="26"/>
          <w:szCs w:val="26"/>
        </w:rPr>
        <w:br w:type="page"/>
      </w:r>
    </w:p>
    <w:p w14:paraId="28F7CA7D" w14:textId="0C77CE5E" w:rsidR="006068E1" w:rsidRDefault="006068E1" w:rsidP="00862D5A">
      <w:pPr>
        <w:spacing w:line="360" w:lineRule="auto"/>
        <w:jc w:val="both"/>
        <w:rPr>
          <w:rFonts w:ascii="Times New Roman" w:eastAsiaTheme="majorEastAsia" w:hAnsi="Times New Roman" w:cstheme="majorBidi"/>
          <w:b/>
          <w:sz w:val="26"/>
          <w:szCs w:val="26"/>
        </w:rPr>
      </w:pPr>
      <w:r w:rsidRPr="006068E1">
        <w:rPr>
          <w:rFonts w:ascii="Times New Roman" w:eastAsiaTheme="majorEastAsia" w:hAnsi="Times New Roman" w:cstheme="majorBidi"/>
          <w:b/>
          <w:sz w:val="26"/>
          <w:szCs w:val="26"/>
        </w:rPr>
        <w:lastRenderedPageBreak/>
        <w:t xml:space="preserve">Aims and Objectives </w:t>
      </w:r>
    </w:p>
    <w:p w14:paraId="04399818" w14:textId="2C9AA2FF"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In all facets of their professional life, women encounter sexism. Men and women are seen differently by others in terms of their professional knowledge and ability. The belief that only men are capable of doing certain tasks remains throughout society. As a result, women's attitudes and efforts at work are undervalued, leading to salary discrepancies and career stagnation. Women are either left to fend for themselves or given "feminine" tasks such as taking notes, organi</w:t>
      </w:r>
      <w:r w:rsidR="005C2076">
        <w:rPr>
          <w:rFonts w:ascii="Times New Roman" w:hAnsi="Times New Roman" w:cs="Times New Roman"/>
          <w:sz w:val="24"/>
          <w:szCs w:val="24"/>
        </w:rPr>
        <w:t>si</w:t>
      </w:r>
      <w:r w:rsidRPr="00862D5A">
        <w:rPr>
          <w:rFonts w:ascii="Times New Roman" w:hAnsi="Times New Roman" w:cs="Times New Roman"/>
          <w:sz w:val="24"/>
          <w:szCs w:val="24"/>
        </w:rPr>
        <w:t>ng, and managing</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Fatourou</w:t>
      </w:r>
      <w:r w:rsidR="00D81E97">
        <w:rPr>
          <w:rFonts w:ascii="Times New Roman" w:hAnsi="Times New Roman" w:cs="Times New Roman"/>
          <w:sz w:val="24"/>
          <w:szCs w:val="24"/>
        </w:rPr>
        <w:t xml:space="preserve"> </w:t>
      </w:r>
      <w:r w:rsidR="00D81E97" w:rsidRPr="00D81E97">
        <w:rPr>
          <w:rFonts w:ascii="Times New Roman" w:hAnsi="Times New Roman" w:cs="Times New Roman"/>
          <w:i/>
          <w:sz w:val="24"/>
          <w:szCs w:val="24"/>
        </w:rPr>
        <w:t>et al.,</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2019</w:t>
      </w:r>
      <w:r w:rsidR="00D81E97">
        <w:rPr>
          <w:rFonts w:ascii="Times New Roman" w:hAnsi="Times New Roman" w:cs="Times New Roman"/>
          <w:sz w:val="24"/>
          <w:szCs w:val="24"/>
        </w:rPr>
        <w:t>)</w:t>
      </w:r>
      <w:r w:rsidRPr="00862D5A">
        <w:rPr>
          <w:rFonts w:ascii="Times New Roman" w:hAnsi="Times New Roman" w:cs="Times New Roman"/>
          <w:sz w:val="24"/>
          <w:szCs w:val="24"/>
        </w:rPr>
        <w:t xml:space="preserve">. To be taken seriously in the workplace, women must outperform men. As a result of a lack of mentors and role models, women face enormous obstacles while seeking to achieve success in male-dominated fields. In the workplace, subtle discrimination is frequent, as is the use of improper language towards women by </w:t>
      </w:r>
      <w:r w:rsidR="004C15C1" w:rsidRPr="00862D5A">
        <w:rPr>
          <w:rFonts w:ascii="Times New Roman" w:hAnsi="Times New Roman" w:cs="Times New Roman"/>
          <w:sz w:val="24"/>
          <w:szCs w:val="24"/>
        </w:rPr>
        <w:t>men</w:t>
      </w:r>
      <w:r w:rsidR="004C15C1">
        <w:rPr>
          <w:rFonts w:ascii="Times New Roman" w:hAnsi="Times New Roman" w:cs="Times New Roman"/>
          <w:sz w:val="24"/>
          <w:szCs w:val="24"/>
        </w:rPr>
        <w:t xml:space="preserve">, for </w:t>
      </w:r>
      <w:proofErr w:type="gramStart"/>
      <w:r w:rsidR="004C15C1">
        <w:rPr>
          <w:rFonts w:ascii="Times New Roman" w:hAnsi="Times New Roman" w:cs="Times New Roman"/>
          <w:sz w:val="24"/>
          <w:szCs w:val="24"/>
        </w:rPr>
        <w:t>e.g.</w:t>
      </w:r>
      <w:proofErr w:type="gramEnd"/>
      <w:r w:rsidR="004C15C1">
        <w:rPr>
          <w:rFonts w:ascii="Times New Roman" w:hAnsi="Times New Roman" w:cs="Times New Roman"/>
          <w:sz w:val="24"/>
          <w:szCs w:val="24"/>
        </w:rPr>
        <w:t xml:space="preserve"> slang. </w:t>
      </w:r>
    </w:p>
    <w:p w14:paraId="308C72F6" w14:textId="77777777"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Women have very limited, if any, access to important educational opportunities. As a result, they report being more uncomfortable in the technical workplace than men. They lack the self-confidence necessary for their work as engineers, which their male counterparts seem to have gained with quite ease. According to surveys, the difference between women's conceptions of what it takes to become an engineer and what is really required is too great. Without prior experience in industry or with real-world systems, female engineering professors sometimes feel unprepared to teach certain courses. Some firms seem to have a prejudice towards married women in the workplace. In their view, once a woman marries, she has no choice but to quit her job or lose all interest in it. They must do great effort to show that they have not changed while they were single. As it is often considered that female engineers cannot work outside of typical office hours or on weekends, employing women is seen as a financial burden.</w:t>
      </w:r>
    </w:p>
    <w:p w14:paraId="17232195" w14:textId="6DD3D990"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 xml:space="preserve">As soon as possible, women need advice and support in making educational decisions. To </w:t>
      </w:r>
      <w:r w:rsidR="004C15C1">
        <w:rPr>
          <w:rFonts w:ascii="Times New Roman" w:hAnsi="Times New Roman" w:cs="Times New Roman"/>
          <w:sz w:val="24"/>
          <w:szCs w:val="24"/>
        </w:rPr>
        <w:t xml:space="preserve">attract </w:t>
      </w:r>
      <w:r w:rsidRPr="00862D5A">
        <w:rPr>
          <w:rFonts w:ascii="Times New Roman" w:hAnsi="Times New Roman" w:cs="Times New Roman"/>
          <w:sz w:val="24"/>
          <w:szCs w:val="24"/>
        </w:rPr>
        <w:t xml:space="preserve">more women to engineering, the field must be accorded the same cultural weight as other fields. Their parents, teachers, and career </w:t>
      </w:r>
      <w:r w:rsidR="005A055B" w:rsidRPr="00862D5A">
        <w:rPr>
          <w:rFonts w:ascii="Times New Roman" w:hAnsi="Times New Roman" w:cs="Times New Roman"/>
          <w:sz w:val="24"/>
          <w:szCs w:val="24"/>
        </w:rPr>
        <w:t>counsellors</w:t>
      </w:r>
      <w:r w:rsidRPr="00862D5A">
        <w:rPr>
          <w:rFonts w:ascii="Times New Roman" w:hAnsi="Times New Roman" w:cs="Times New Roman"/>
          <w:sz w:val="24"/>
          <w:szCs w:val="24"/>
        </w:rPr>
        <w:t xml:space="preserve"> should encourage girls to consider engineering as a viable career path.</w:t>
      </w:r>
    </w:p>
    <w:p w14:paraId="6CB44D7E" w14:textId="77777777" w:rsidR="004C15C1" w:rsidRDefault="004C15C1">
      <w:pPr>
        <w:rPr>
          <w:rFonts w:ascii="Times New Roman" w:eastAsiaTheme="majorEastAsia" w:hAnsi="Times New Roman" w:cstheme="majorBidi"/>
          <w:b/>
          <w:sz w:val="26"/>
          <w:szCs w:val="26"/>
        </w:rPr>
      </w:pPr>
      <w:bookmarkStart w:id="2" w:name="_Toc124496534"/>
      <w:r>
        <w:br w:type="page"/>
      </w:r>
    </w:p>
    <w:p w14:paraId="39CC1F48" w14:textId="324DC611" w:rsidR="00862D5A" w:rsidRDefault="006068E1" w:rsidP="005A055B">
      <w:pPr>
        <w:pStyle w:val="Heading2"/>
      </w:pPr>
      <w:r>
        <w:lastRenderedPageBreak/>
        <w:t>Action Plan</w:t>
      </w:r>
      <w:bookmarkEnd w:id="2"/>
    </w:p>
    <w:p w14:paraId="64D38166" w14:textId="77777777" w:rsidR="006068E1" w:rsidRPr="006068E1" w:rsidRDefault="006068E1" w:rsidP="006068E1"/>
    <w:p w14:paraId="66D8D1F0" w14:textId="77777777"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Significantly greater workplace bias is experienced by women engineers than by women in other professions. Assault and harassment are simply two of the several types of prejudice women face. Lower incomes and less opportunities for promotion are two other phrases. Due to early exposure to these challenges throughout formal and informal engineering education and experiential learning programs, women are usually discouraged from pursuing engineering careers.</w:t>
      </w:r>
    </w:p>
    <w:p w14:paraId="26FADAA7" w14:textId="77777777"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In engineering colleges and workplaces, sexual harassment is a well-known issue. Over fifty percent of women in engineering have experienced sexual harassment as students, teachers, or professionals</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Buckles, 2019</w:t>
      </w:r>
      <w:r w:rsidR="00D81E97">
        <w:rPr>
          <w:rFonts w:ascii="Times New Roman" w:hAnsi="Times New Roman" w:cs="Times New Roman"/>
          <w:sz w:val="24"/>
          <w:szCs w:val="24"/>
        </w:rPr>
        <w:t>)</w:t>
      </w:r>
      <w:r w:rsidRPr="00862D5A">
        <w:rPr>
          <w:rFonts w:ascii="Times New Roman" w:hAnsi="Times New Roman" w:cs="Times New Roman"/>
          <w:sz w:val="24"/>
          <w:szCs w:val="24"/>
        </w:rPr>
        <w:t>. When women in engineering experience sexual harassment at any point in their careers, their likelihood of continuing in the sector is drastically diminished. Students who have experienced sexual harassment are less likely to return to school, and female engineers are more likely to leave their employment, company, and/or industry. A society dominated by males and a permissive work environment are two of the most significant contributors to the prevalence of sexual harassment against women. Unfortunately, despite the prevalence of such environments, harassment of students and employees in academic engineering jobs is not normal.</w:t>
      </w:r>
    </w:p>
    <w:p w14:paraId="00A2F2D1" w14:textId="77777777"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Due to discrepancies in advancement and compensation, a significant percentage of women abandon the engineering field. Also remarkable is the salary discrepancy between academic and professional engineering</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Kuschel</w:t>
      </w:r>
      <w:r w:rsidR="00D81E97">
        <w:rPr>
          <w:rFonts w:ascii="Times New Roman" w:hAnsi="Times New Roman" w:cs="Times New Roman"/>
          <w:sz w:val="24"/>
          <w:szCs w:val="24"/>
        </w:rPr>
        <w:t xml:space="preserve"> </w:t>
      </w:r>
      <w:r w:rsidR="00D81E97" w:rsidRPr="00D81E97">
        <w:rPr>
          <w:rFonts w:ascii="Times New Roman" w:hAnsi="Times New Roman" w:cs="Times New Roman"/>
          <w:i/>
          <w:sz w:val="24"/>
          <w:szCs w:val="24"/>
        </w:rPr>
        <w:t>et al.,</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2020</w:t>
      </w:r>
      <w:r w:rsidR="00D81E97">
        <w:rPr>
          <w:rFonts w:ascii="Times New Roman" w:hAnsi="Times New Roman" w:cs="Times New Roman"/>
          <w:sz w:val="24"/>
          <w:szCs w:val="24"/>
        </w:rPr>
        <w:t>)</w:t>
      </w:r>
      <w:r w:rsidRPr="00862D5A">
        <w:rPr>
          <w:rFonts w:ascii="Times New Roman" w:hAnsi="Times New Roman" w:cs="Times New Roman"/>
          <w:sz w:val="24"/>
          <w:szCs w:val="24"/>
        </w:rPr>
        <w:t>. Women are entering the engineering industry at a faster rate than men, yet women still hold a smaller share of senior positions and are promoted less often. This trend has not altered over the last quarter-century. Due to gender bias in the workplace, many women choose not to pursue careers in engineering or academia.</w:t>
      </w:r>
    </w:p>
    <w:p w14:paraId="0649ED9B" w14:textId="77777777" w:rsidR="00862D5A" w:rsidRPr="00862D5A" w:rsidRDefault="00862D5A"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Finding a good balance between work and family life may be tough for anybody, but for women in engineering, especially mothers, it can be extremely challenging. Due of the rigidity of their profession, engineering parents face additional hurdles</w:t>
      </w:r>
      <w:r w:rsidR="00D81E97">
        <w:rPr>
          <w:rFonts w:ascii="Times New Roman" w:hAnsi="Times New Roman" w:cs="Times New Roman"/>
          <w:sz w:val="24"/>
          <w:szCs w:val="24"/>
        </w:rPr>
        <w:t xml:space="preserve"> (Brussevich </w:t>
      </w:r>
      <w:r w:rsidR="00D81E97" w:rsidRPr="00D81E97">
        <w:rPr>
          <w:rFonts w:ascii="Times New Roman" w:hAnsi="Times New Roman" w:cs="Times New Roman"/>
          <w:i/>
          <w:sz w:val="24"/>
          <w:szCs w:val="24"/>
        </w:rPr>
        <w:t>et al.,</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2019</w:t>
      </w:r>
      <w:r w:rsidR="00D81E97">
        <w:rPr>
          <w:rFonts w:ascii="Times New Roman" w:hAnsi="Times New Roman" w:cs="Times New Roman"/>
          <w:sz w:val="24"/>
          <w:szCs w:val="24"/>
        </w:rPr>
        <w:t>)</w:t>
      </w:r>
      <w:r w:rsidRPr="00862D5A">
        <w:rPr>
          <w:rFonts w:ascii="Times New Roman" w:hAnsi="Times New Roman" w:cs="Times New Roman"/>
          <w:sz w:val="24"/>
          <w:szCs w:val="24"/>
        </w:rPr>
        <w:t>. It may be difficult to achieve a healthy work-life balance if your job requires you to stick to a strict schedule. As a consequence of these restrictions, a significant number of women abandon technical professions, often in pursuit of more family-friendly employment.</w:t>
      </w:r>
    </w:p>
    <w:p w14:paraId="69C569B7" w14:textId="77777777" w:rsidR="006068E1" w:rsidRDefault="006068E1">
      <w:pPr>
        <w:rPr>
          <w:rFonts w:ascii="Times New Roman" w:eastAsiaTheme="majorEastAsia" w:hAnsi="Times New Roman" w:cstheme="majorBidi"/>
          <w:b/>
          <w:sz w:val="28"/>
          <w:szCs w:val="32"/>
        </w:rPr>
      </w:pPr>
      <w:r>
        <w:br w:type="page"/>
      </w:r>
    </w:p>
    <w:p w14:paraId="058D48D0" w14:textId="7F292D8D" w:rsidR="00862D5A" w:rsidRPr="00862D5A" w:rsidRDefault="00862D5A" w:rsidP="005A055B">
      <w:pPr>
        <w:pStyle w:val="Heading1"/>
      </w:pPr>
      <w:bookmarkStart w:id="3" w:name="_Toc124496535"/>
      <w:r w:rsidRPr="00862D5A">
        <w:lastRenderedPageBreak/>
        <w:t>Recommendations</w:t>
      </w:r>
      <w:bookmarkEnd w:id="3"/>
    </w:p>
    <w:p w14:paraId="182F0458" w14:textId="77777777" w:rsidR="00862D5A" w:rsidRPr="005A055B" w:rsidRDefault="00862D5A" w:rsidP="005A055B">
      <w:pPr>
        <w:pStyle w:val="ListParagraph"/>
        <w:numPr>
          <w:ilvl w:val="0"/>
          <w:numId w:val="1"/>
        </w:numPr>
        <w:spacing w:line="360" w:lineRule="auto"/>
        <w:jc w:val="both"/>
        <w:rPr>
          <w:rFonts w:ascii="Times New Roman" w:hAnsi="Times New Roman" w:cs="Times New Roman"/>
          <w:sz w:val="24"/>
          <w:szCs w:val="24"/>
        </w:rPr>
      </w:pPr>
      <w:r w:rsidRPr="005A055B">
        <w:rPr>
          <w:rFonts w:ascii="Times New Roman" w:hAnsi="Times New Roman" w:cs="Times New Roman"/>
          <w:sz w:val="24"/>
          <w:szCs w:val="24"/>
        </w:rPr>
        <w:t>In order to increase their students' engineering knowledge, skills, and self-confidence, educators must engage in continual professional development. Teachers and early childhood educators might benefit from studying engineering concepts and fostering female interest in the profession. Consequently, more young women will see engineering as a realistic career option. Teachers may acquire this knowledge via continual professional development and individual study</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Das</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and Kotikula, 2019</w:t>
      </w:r>
      <w:r w:rsidR="00D81E97">
        <w:rPr>
          <w:rFonts w:ascii="Times New Roman" w:hAnsi="Times New Roman" w:cs="Times New Roman"/>
          <w:sz w:val="24"/>
          <w:szCs w:val="24"/>
        </w:rPr>
        <w:t>)</w:t>
      </w:r>
      <w:r w:rsidRPr="005A055B">
        <w:rPr>
          <w:rFonts w:ascii="Times New Roman" w:hAnsi="Times New Roman" w:cs="Times New Roman"/>
          <w:sz w:val="24"/>
          <w:szCs w:val="24"/>
        </w:rPr>
        <w:t>. They should emphasize engineering education in their courses and recognize its significance. Women should be encouraged to engage equally with men in engineering, mathematics, and scientific conversations. Encourage women to seek careers in STEM fields so that young girls may realize that they, too, may achieve their goals in these fields. Make courses centered on engineering more inviting to female students.</w:t>
      </w:r>
    </w:p>
    <w:p w14:paraId="5EC660F5" w14:textId="77777777" w:rsidR="00862D5A" w:rsidRPr="005A055B" w:rsidRDefault="00862D5A" w:rsidP="005A055B">
      <w:pPr>
        <w:pStyle w:val="ListParagraph"/>
        <w:numPr>
          <w:ilvl w:val="0"/>
          <w:numId w:val="1"/>
        </w:numPr>
        <w:spacing w:line="360" w:lineRule="auto"/>
        <w:jc w:val="both"/>
        <w:rPr>
          <w:rFonts w:ascii="Times New Roman" w:hAnsi="Times New Roman" w:cs="Times New Roman"/>
          <w:sz w:val="24"/>
          <w:szCs w:val="24"/>
        </w:rPr>
      </w:pPr>
      <w:r w:rsidRPr="005A055B">
        <w:rPr>
          <w:rFonts w:ascii="Times New Roman" w:hAnsi="Times New Roman" w:cs="Times New Roman"/>
          <w:sz w:val="24"/>
          <w:szCs w:val="24"/>
        </w:rPr>
        <w:t>The engineering community may volunteer to increase younger students' interest in engineering as a field of study and facilitate their introduction to it by academics. By participating in projects early on, businesses may improve the engineering profession's public image and inspire more women to enter the field</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Chuchryk, 2019</w:t>
      </w:r>
      <w:r w:rsidR="00D81E97">
        <w:rPr>
          <w:rFonts w:ascii="Times New Roman" w:hAnsi="Times New Roman" w:cs="Times New Roman"/>
          <w:sz w:val="24"/>
          <w:szCs w:val="24"/>
        </w:rPr>
        <w:t>)</w:t>
      </w:r>
      <w:r w:rsidRPr="005A055B">
        <w:rPr>
          <w:rFonts w:ascii="Times New Roman" w:hAnsi="Times New Roman" w:cs="Times New Roman"/>
          <w:sz w:val="24"/>
          <w:szCs w:val="24"/>
        </w:rPr>
        <w:t>. To attract more young women to pursue engineering jobs, it is essential to display a welcoming and supportive atmosphere. The engineering community as a whole should be accepting and tolerant of individuals with varied backgrounds and perspectives, free of bias and prejudice, and accepting of career interruptions and reroutes. This is the corporate community's obligation.</w:t>
      </w:r>
    </w:p>
    <w:p w14:paraId="7B8291A9" w14:textId="5D8D78DB" w:rsidR="00862D5A" w:rsidRDefault="00862D5A" w:rsidP="005A055B">
      <w:pPr>
        <w:pStyle w:val="ListParagraph"/>
        <w:numPr>
          <w:ilvl w:val="0"/>
          <w:numId w:val="1"/>
        </w:numPr>
        <w:spacing w:line="360" w:lineRule="auto"/>
        <w:jc w:val="both"/>
        <w:rPr>
          <w:rFonts w:ascii="Times New Roman" w:hAnsi="Times New Roman" w:cs="Times New Roman"/>
          <w:sz w:val="24"/>
          <w:szCs w:val="24"/>
        </w:rPr>
      </w:pPr>
      <w:r w:rsidRPr="005A055B">
        <w:rPr>
          <w:rFonts w:ascii="Times New Roman" w:hAnsi="Times New Roman" w:cs="Times New Roman"/>
          <w:sz w:val="24"/>
          <w:szCs w:val="24"/>
        </w:rPr>
        <w:t xml:space="preserve">The government should subsidize and promote primary school engineering programs for </w:t>
      </w:r>
      <w:r w:rsidR="004C15C1">
        <w:rPr>
          <w:rFonts w:ascii="Times New Roman" w:hAnsi="Times New Roman" w:cs="Times New Roman"/>
          <w:sz w:val="24"/>
          <w:szCs w:val="24"/>
        </w:rPr>
        <w:t>girls</w:t>
      </w:r>
      <w:r w:rsidR="00D81E97">
        <w:rPr>
          <w:rFonts w:ascii="Times New Roman" w:hAnsi="Times New Roman" w:cs="Times New Roman"/>
          <w:sz w:val="24"/>
          <w:szCs w:val="24"/>
        </w:rPr>
        <w:t xml:space="preserve"> (</w:t>
      </w:r>
      <w:r w:rsidR="00D81E97" w:rsidRPr="00D81E97">
        <w:rPr>
          <w:rFonts w:ascii="Times New Roman" w:hAnsi="Times New Roman" w:cs="Times New Roman"/>
          <w:sz w:val="24"/>
          <w:szCs w:val="24"/>
        </w:rPr>
        <w:t>Roper, 2019</w:t>
      </w:r>
      <w:r w:rsidR="00D81E97">
        <w:rPr>
          <w:rFonts w:ascii="Times New Roman" w:hAnsi="Times New Roman" w:cs="Times New Roman"/>
          <w:sz w:val="24"/>
          <w:szCs w:val="24"/>
        </w:rPr>
        <w:t>)</w:t>
      </w:r>
      <w:r w:rsidRPr="005A055B">
        <w:rPr>
          <w:rFonts w:ascii="Times New Roman" w:hAnsi="Times New Roman" w:cs="Times New Roman"/>
          <w:sz w:val="24"/>
          <w:szCs w:val="24"/>
        </w:rPr>
        <w:t>. These initiatives should be emulated throughout the nation. Existing government initiatives with strong evidence of effectiveness should be prioritized, and new government programs should be designed from the outset with defined assessment criteria. The government must ensure that resources are provided to the relevant programs for as long as possible, so that citizens may benefit. Multiple studies have shown that ongoing therapy are superior than one-time treatments. Students may disregard the significance of one-time treatments because they perceive them to be unrelated to their major curriculum.</w:t>
      </w:r>
      <w:r w:rsidRPr="005A055B">
        <w:rPr>
          <w:rFonts w:ascii="Times New Roman" w:hAnsi="Times New Roman" w:cs="Times New Roman"/>
          <w:sz w:val="24"/>
          <w:szCs w:val="24"/>
        </w:rPr>
        <w:br w:type="page"/>
      </w:r>
    </w:p>
    <w:p w14:paraId="28AA91ED" w14:textId="17625BAD" w:rsidR="006068E1" w:rsidRDefault="006068E1" w:rsidP="006068E1">
      <w:pPr>
        <w:pStyle w:val="Heading1"/>
      </w:pPr>
      <w:bookmarkStart w:id="4" w:name="_Toc124496536"/>
      <w:r w:rsidRPr="00862D5A">
        <w:lastRenderedPageBreak/>
        <w:t>Conclusion</w:t>
      </w:r>
      <w:bookmarkEnd w:id="4"/>
    </w:p>
    <w:p w14:paraId="3363C7D3" w14:textId="77777777" w:rsidR="004C15C1" w:rsidRPr="004C15C1" w:rsidRDefault="004C15C1" w:rsidP="004C15C1"/>
    <w:p w14:paraId="32AD059E" w14:textId="5D6FAF40" w:rsidR="006068E1" w:rsidRPr="00862D5A" w:rsidRDefault="00253505" w:rsidP="006068E1">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If</w:t>
      </w:r>
      <w:r w:rsidR="006068E1" w:rsidRPr="00862D5A">
        <w:rPr>
          <w:rFonts w:ascii="Times New Roman" w:hAnsi="Times New Roman" w:cs="Times New Roman"/>
          <w:sz w:val="24"/>
          <w:szCs w:val="24"/>
        </w:rPr>
        <w:t xml:space="preserve"> women face major impediments </w:t>
      </w:r>
      <w:r w:rsidR="004C15C1">
        <w:rPr>
          <w:rFonts w:ascii="Times New Roman" w:hAnsi="Times New Roman" w:cs="Times New Roman"/>
          <w:sz w:val="24"/>
          <w:szCs w:val="24"/>
        </w:rPr>
        <w:t>at</w:t>
      </w:r>
      <w:r w:rsidR="006068E1" w:rsidRPr="00862D5A">
        <w:rPr>
          <w:rFonts w:ascii="Times New Roman" w:hAnsi="Times New Roman" w:cs="Times New Roman"/>
          <w:sz w:val="24"/>
          <w:szCs w:val="24"/>
        </w:rPr>
        <w:t xml:space="preserve"> entrance, engineering will continue to be dominated by men. Although pre-college engineering programs are intended to introduce young students to the discipline, they may only provide a rudimentary understanding of the several career paths accessible to them once graduation. Many of these universities continue to teach engineering education via exciting demonstrations and hands-on projects, so engineering undergraduates are startled to hear that they must have a strong background in mathematics and science.</w:t>
      </w:r>
    </w:p>
    <w:p w14:paraId="32BD540B" w14:textId="1E651170" w:rsidR="006068E1" w:rsidRPr="00862D5A" w:rsidRDefault="006068E1" w:rsidP="006068E1">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 xml:space="preserve">Many pre-college programs may be inaccessible to both students and instructors owing to high costs, the time commitment necessary to educate instructors, and the resulting scheduling difficulties. Additionally, teachers and career counsellors may expose students to engineering-related employment options. Because professors have such a powerful influence on their students, it is not impossible for students to believe engineering myths if their instructors disseminate them. Educators are more likely to encourage male and privileged pupils to pursue engineering-related occupations. This has the potential to dissuade women from choosing technical careers. In contemporary universities, gender prejudice persists. According to the experiences of female engineering students, experiential learning programs such as internships and co-ops help students build practical skills, expand their knowledge, and get insight into the engineering field. Numerous participants said that the experience inspired them to pursue careers in their chosen fields. As a result of this experience, the students' enthusiasm in entering the workforce increased. However, female students may have challenges that male students do not. </w:t>
      </w:r>
      <w:r w:rsidRPr="00862D5A">
        <w:rPr>
          <w:rFonts w:ascii="Times New Roman" w:hAnsi="Times New Roman" w:cs="Times New Roman"/>
          <w:sz w:val="24"/>
          <w:szCs w:val="24"/>
        </w:rPr>
        <w:t>Because of</w:t>
      </w:r>
      <w:r w:rsidRPr="00862D5A">
        <w:rPr>
          <w:rFonts w:ascii="Times New Roman" w:hAnsi="Times New Roman" w:cs="Times New Roman"/>
          <w:sz w:val="24"/>
          <w:szCs w:val="24"/>
        </w:rPr>
        <w:t xml:space="preserve"> their personal encounters with the field's icy environment and established gender stereotypes, many women are prevented from pursuing engineering careers.</w:t>
      </w:r>
    </w:p>
    <w:p w14:paraId="244DF514" w14:textId="038ACEB8" w:rsidR="006068E1" w:rsidRPr="00862D5A" w:rsidRDefault="006068E1" w:rsidP="006068E1">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Most of</w:t>
      </w:r>
      <w:r w:rsidRPr="00862D5A">
        <w:rPr>
          <w:rFonts w:ascii="Times New Roman" w:hAnsi="Times New Roman" w:cs="Times New Roman"/>
          <w:sz w:val="24"/>
          <w:szCs w:val="24"/>
        </w:rPr>
        <w:t xml:space="preserve"> the gender gap in engineering is attributable to difficulties women experience in the workplace. Women in engineering face much greater prejudice in the workplace than women in other fields, particularly those unrelated to engineering. This issue encompasses discrepancies in promotion and remuneration, in addition to sexual harassment. Over fifty percent of women in engineering have experienced sexual harassment as students, teachers, or professionals. Consequently, female engineering students, teachers, and professionals are less likely to be retained. Large numbers of women leave the engineering sector for a variety of reasons, including pay and advancement inequities.</w:t>
      </w:r>
    </w:p>
    <w:p w14:paraId="7A79B45C" w14:textId="77777777" w:rsidR="006068E1" w:rsidRPr="006068E1" w:rsidRDefault="006068E1" w:rsidP="006068E1">
      <w:pPr>
        <w:spacing w:line="360" w:lineRule="auto"/>
        <w:jc w:val="both"/>
        <w:rPr>
          <w:rFonts w:ascii="Times New Roman" w:hAnsi="Times New Roman" w:cs="Times New Roman"/>
          <w:sz w:val="24"/>
          <w:szCs w:val="24"/>
        </w:rPr>
      </w:pPr>
    </w:p>
    <w:p w14:paraId="5B1AE77F" w14:textId="77777777" w:rsidR="00862D5A" w:rsidRDefault="00EC06AF" w:rsidP="00EC06AF">
      <w:pPr>
        <w:pStyle w:val="Heading1"/>
      </w:pPr>
      <w:bookmarkStart w:id="5" w:name="_Toc124496537"/>
      <w:r>
        <w:lastRenderedPageBreak/>
        <w:t>References</w:t>
      </w:r>
      <w:bookmarkEnd w:id="5"/>
    </w:p>
    <w:p w14:paraId="322FCA94" w14:textId="7B2E9783"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Alfred, M.V., Ray, S.M. and Johnson, M.A., 2019. Advancing women of color in STEM: an imperative for US global competitiveness. </w:t>
      </w:r>
      <w:r w:rsidRPr="00862D5A">
        <w:rPr>
          <w:rFonts w:ascii="Times New Roman" w:hAnsi="Times New Roman" w:cs="Times New Roman"/>
          <w:i/>
          <w:iCs/>
          <w:sz w:val="24"/>
          <w:szCs w:val="24"/>
        </w:rPr>
        <w:t>Advances in Developing Human Resources</w:t>
      </w:r>
      <w:r w:rsidRPr="00862D5A">
        <w:rPr>
          <w:rFonts w:ascii="Times New Roman" w:hAnsi="Times New Roman" w:cs="Times New Roman"/>
          <w:sz w:val="24"/>
          <w:szCs w:val="24"/>
        </w:rPr>
        <w:t>, </w:t>
      </w:r>
      <w:r w:rsidRPr="00862D5A">
        <w:rPr>
          <w:rFonts w:ascii="Times New Roman" w:hAnsi="Times New Roman" w:cs="Times New Roman"/>
          <w:i/>
          <w:iCs/>
          <w:sz w:val="24"/>
          <w:szCs w:val="24"/>
        </w:rPr>
        <w:t>21</w:t>
      </w:r>
      <w:r w:rsidRPr="00862D5A">
        <w:rPr>
          <w:rFonts w:ascii="Times New Roman" w:hAnsi="Times New Roman" w:cs="Times New Roman"/>
          <w:sz w:val="24"/>
          <w:szCs w:val="24"/>
        </w:rPr>
        <w:t>(1)</w:t>
      </w:r>
    </w:p>
    <w:p w14:paraId="6E7B68A1" w14:textId="77777777"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Brussevich, M., Dabla-Norris, M.E. and Khalid, S., 2019. </w:t>
      </w:r>
      <w:r w:rsidRPr="00862D5A">
        <w:rPr>
          <w:rFonts w:ascii="Times New Roman" w:hAnsi="Times New Roman" w:cs="Times New Roman"/>
          <w:i/>
          <w:iCs/>
          <w:sz w:val="24"/>
          <w:szCs w:val="24"/>
        </w:rPr>
        <w:t>Is technology widening the gender gap? Automation and the future of female employment</w:t>
      </w:r>
      <w:r w:rsidRPr="00862D5A">
        <w:rPr>
          <w:rFonts w:ascii="Times New Roman" w:hAnsi="Times New Roman" w:cs="Times New Roman"/>
          <w:sz w:val="24"/>
          <w:szCs w:val="24"/>
        </w:rPr>
        <w:t>. International Monetary Fund.</w:t>
      </w:r>
    </w:p>
    <w:p w14:paraId="0F69D2AA" w14:textId="457767AA"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Buckles, K., 2019. Fixing the leaky pipeline: Strategies for making economics work for women at every stage. </w:t>
      </w:r>
      <w:r w:rsidRPr="00862D5A">
        <w:rPr>
          <w:rFonts w:ascii="Times New Roman" w:hAnsi="Times New Roman" w:cs="Times New Roman"/>
          <w:i/>
          <w:iCs/>
          <w:sz w:val="24"/>
          <w:szCs w:val="24"/>
        </w:rPr>
        <w:t>Journal of economic perspectives</w:t>
      </w:r>
      <w:r w:rsidRPr="00862D5A">
        <w:rPr>
          <w:rFonts w:ascii="Times New Roman" w:hAnsi="Times New Roman" w:cs="Times New Roman"/>
          <w:sz w:val="24"/>
          <w:szCs w:val="24"/>
        </w:rPr>
        <w:t>, </w:t>
      </w:r>
      <w:r w:rsidRPr="00862D5A">
        <w:rPr>
          <w:rFonts w:ascii="Times New Roman" w:hAnsi="Times New Roman" w:cs="Times New Roman"/>
          <w:i/>
          <w:iCs/>
          <w:sz w:val="24"/>
          <w:szCs w:val="24"/>
        </w:rPr>
        <w:t>33</w:t>
      </w:r>
      <w:r w:rsidRPr="00862D5A">
        <w:rPr>
          <w:rFonts w:ascii="Times New Roman" w:hAnsi="Times New Roman" w:cs="Times New Roman"/>
          <w:sz w:val="24"/>
          <w:szCs w:val="24"/>
        </w:rPr>
        <w:t>(1)</w:t>
      </w:r>
    </w:p>
    <w:p w14:paraId="69C38611" w14:textId="77777777"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Chuchryk, P.M., 2019. Women in the Revolution. In </w:t>
      </w:r>
      <w:r w:rsidRPr="00862D5A">
        <w:rPr>
          <w:rFonts w:ascii="Times New Roman" w:hAnsi="Times New Roman" w:cs="Times New Roman"/>
          <w:i/>
          <w:iCs/>
          <w:sz w:val="24"/>
          <w:szCs w:val="24"/>
        </w:rPr>
        <w:t>Revolution and counterrevolution in Nicaragua</w:t>
      </w:r>
      <w:r w:rsidRPr="00862D5A">
        <w:rPr>
          <w:rFonts w:ascii="Times New Roman" w:hAnsi="Times New Roman" w:cs="Times New Roman"/>
          <w:sz w:val="24"/>
          <w:szCs w:val="24"/>
        </w:rPr>
        <w:t> (pp. 143-166). Routledge.</w:t>
      </w:r>
    </w:p>
    <w:p w14:paraId="0CFB30DE" w14:textId="77777777"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Das, S. and Kotikula, A., 2019. </w:t>
      </w:r>
      <w:r w:rsidRPr="00862D5A">
        <w:rPr>
          <w:rFonts w:ascii="Times New Roman" w:hAnsi="Times New Roman" w:cs="Times New Roman"/>
          <w:i/>
          <w:iCs/>
          <w:sz w:val="24"/>
          <w:szCs w:val="24"/>
        </w:rPr>
        <w:t>Gender-based employment segregation: understanding causes and policy interventions</w:t>
      </w:r>
      <w:r w:rsidRPr="00862D5A">
        <w:rPr>
          <w:rFonts w:ascii="Times New Roman" w:hAnsi="Times New Roman" w:cs="Times New Roman"/>
          <w:sz w:val="24"/>
          <w:szCs w:val="24"/>
        </w:rPr>
        <w:t>. World Bank.</w:t>
      </w:r>
    </w:p>
    <w:p w14:paraId="1B8E5D56" w14:textId="36885447"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Fatourou, P., Papageorgiou, Y. and Petousi, V., 2019. Women are needed in STEM: European policies and incentives. </w:t>
      </w:r>
      <w:r w:rsidRPr="00862D5A">
        <w:rPr>
          <w:rFonts w:ascii="Times New Roman" w:hAnsi="Times New Roman" w:cs="Times New Roman"/>
          <w:i/>
          <w:iCs/>
          <w:sz w:val="24"/>
          <w:szCs w:val="24"/>
        </w:rPr>
        <w:t>Communications of the ACM</w:t>
      </w:r>
    </w:p>
    <w:p w14:paraId="3F9F77EC" w14:textId="0F94B4B2" w:rsidR="00B965F2" w:rsidRPr="00862D5A"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García-Holgado, A., Díaz, A.C. and García-Peñalvo, F.J., 2019, October. Engaging women into STEM in Latin America: W-STEM project. In </w:t>
      </w:r>
      <w:r w:rsidRPr="00862D5A">
        <w:rPr>
          <w:rFonts w:ascii="Times New Roman" w:hAnsi="Times New Roman" w:cs="Times New Roman"/>
          <w:i/>
          <w:iCs/>
          <w:sz w:val="24"/>
          <w:szCs w:val="24"/>
        </w:rPr>
        <w:t>Proceedings of the Seventh International Conference on Technological Ecosystems for Enhancing Multiculturality</w:t>
      </w:r>
      <w:r w:rsidRPr="00862D5A">
        <w:rPr>
          <w:rFonts w:ascii="Times New Roman" w:hAnsi="Times New Roman" w:cs="Times New Roman"/>
          <w:sz w:val="24"/>
          <w:szCs w:val="24"/>
        </w:rPr>
        <w:t> </w:t>
      </w:r>
    </w:p>
    <w:p w14:paraId="63C85DBE" w14:textId="70EDEBD7"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 xml:space="preserve">González-Pérez, S., Mateos de Cabo, R. and Sáinz, M., 2020. Girls in STEM: Is it a female role-model </w:t>
      </w:r>
      <w:r w:rsidR="00253505" w:rsidRPr="00862D5A">
        <w:rPr>
          <w:rFonts w:ascii="Times New Roman" w:hAnsi="Times New Roman" w:cs="Times New Roman"/>
          <w:sz w:val="24"/>
          <w:szCs w:val="24"/>
        </w:rPr>
        <w:t>thing?</w:t>
      </w:r>
      <w:r w:rsidRPr="00862D5A">
        <w:rPr>
          <w:rFonts w:ascii="Times New Roman" w:hAnsi="Times New Roman" w:cs="Times New Roman"/>
          <w:sz w:val="24"/>
          <w:szCs w:val="24"/>
        </w:rPr>
        <w:t> </w:t>
      </w:r>
      <w:r w:rsidRPr="00862D5A">
        <w:rPr>
          <w:rFonts w:ascii="Times New Roman" w:hAnsi="Times New Roman" w:cs="Times New Roman"/>
          <w:i/>
          <w:iCs/>
          <w:sz w:val="24"/>
          <w:szCs w:val="24"/>
        </w:rPr>
        <w:t>Frontiers in psychology</w:t>
      </w:r>
    </w:p>
    <w:p w14:paraId="18C12708" w14:textId="7062B225"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Kuschel, K., Ettl, K., Díaz-García, C. and Alsos, G.A., 2020. Stemming the gender gap in STEM entrepreneurship–insights into women’s entrepreneurship in science, technology, engineering and mathematics. </w:t>
      </w:r>
      <w:r w:rsidRPr="00862D5A">
        <w:rPr>
          <w:rFonts w:ascii="Times New Roman" w:hAnsi="Times New Roman" w:cs="Times New Roman"/>
          <w:i/>
          <w:iCs/>
          <w:sz w:val="24"/>
          <w:szCs w:val="24"/>
        </w:rPr>
        <w:t>International Entrepreneurship and Management Journal</w:t>
      </w:r>
      <w:r w:rsidRPr="00862D5A">
        <w:rPr>
          <w:rFonts w:ascii="Times New Roman" w:hAnsi="Times New Roman" w:cs="Times New Roman"/>
          <w:sz w:val="24"/>
          <w:szCs w:val="24"/>
        </w:rPr>
        <w:t>, </w:t>
      </w:r>
      <w:r w:rsidRPr="00862D5A">
        <w:rPr>
          <w:rFonts w:ascii="Times New Roman" w:hAnsi="Times New Roman" w:cs="Times New Roman"/>
          <w:i/>
          <w:iCs/>
          <w:sz w:val="24"/>
          <w:szCs w:val="24"/>
        </w:rPr>
        <w:t>16</w:t>
      </w:r>
      <w:r w:rsidRPr="00862D5A">
        <w:rPr>
          <w:rFonts w:ascii="Times New Roman" w:hAnsi="Times New Roman" w:cs="Times New Roman"/>
          <w:sz w:val="24"/>
          <w:szCs w:val="24"/>
        </w:rPr>
        <w:t>(1)</w:t>
      </w:r>
    </w:p>
    <w:p w14:paraId="45030BB0" w14:textId="1B4EE28D"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López-Iñesta, E., Botella, C., Rueda, S., Forte, A. and Marzal, P., 2020. Towards breaking the gender gap in Science, Technology, Engineering and Mathematics. </w:t>
      </w:r>
      <w:r w:rsidRPr="00862D5A">
        <w:rPr>
          <w:rFonts w:ascii="Times New Roman" w:hAnsi="Times New Roman" w:cs="Times New Roman"/>
          <w:i/>
          <w:iCs/>
          <w:sz w:val="24"/>
          <w:szCs w:val="24"/>
        </w:rPr>
        <w:t>IEEE Revista Iberoamericana de Tecnologias del Aprendizaje</w:t>
      </w:r>
      <w:r w:rsidRPr="00862D5A">
        <w:rPr>
          <w:rFonts w:ascii="Times New Roman" w:hAnsi="Times New Roman" w:cs="Times New Roman"/>
          <w:sz w:val="24"/>
          <w:szCs w:val="24"/>
        </w:rPr>
        <w:t>, </w:t>
      </w:r>
      <w:r w:rsidRPr="00862D5A">
        <w:rPr>
          <w:rFonts w:ascii="Times New Roman" w:hAnsi="Times New Roman" w:cs="Times New Roman"/>
          <w:i/>
          <w:iCs/>
          <w:sz w:val="24"/>
          <w:szCs w:val="24"/>
        </w:rPr>
        <w:t>15</w:t>
      </w:r>
      <w:r w:rsidRPr="00862D5A">
        <w:rPr>
          <w:rFonts w:ascii="Times New Roman" w:hAnsi="Times New Roman" w:cs="Times New Roman"/>
          <w:sz w:val="24"/>
          <w:szCs w:val="24"/>
        </w:rPr>
        <w:t>(3</w:t>
      </w:r>
      <w:r w:rsidR="004C15C1">
        <w:rPr>
          <w:rFonts w:ascii="Times New Roman" w:hAnsi="Times New Roman" w:cs="Times New Roman"/>
          <w:sz w:val="24"/>
          <w:szCs w:val="24"/>
        </w:rPr>
        <w:t>)</w:t>
      </w:r>
    </w:p>
    <w:p w14:paraId="20E4381B" w14:textId="77777777"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Mozahem, N.A., Ghanem, C.M., Hamieh, F.K. and Shoujaa, R.E., 2019, May. Women in engineering: A qualitative investigation of the contextual support and barriers to their career choice. In </w:t>
      </w:r>
      <w:r w:rsidRPr="00862D5A">
        <w:rPr>
          <w:rFonts w:ascii="Times New Roman" w:hAnsi="Times New Roman" w:cs="Times New Roman"/>
          <w:i/>
          <w:iCs/>
          <w:sz w:val="24"/>
          <w:szCs w:val="24"/>
        </w:rPr>
        <w:t>Women's Studies International Forum</w:t>
      </w:r>
      <w:r w:rsidRPr="00862D5A">
        <w:rPr>
          <w:rFonts w:ascii="Times New Roman" w:hAnsi="Times New Roman" w:cs="Times New Roman"/>
          <w:sz w:val="24"/>
          <w:szCs w:val="24"/>
        </w:rPr>
        <w:t> (Vol. 74, pp. 127-136). Pergamon.</w:t>
      </w:r>
    </w:p>
    <w:p w14:paraId="6E491D20" w14:textId="3C55E987"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lastRenderedPageBreak/>
        <w:t>Ong, M., Jaumot‐Pascual, N. and Ko, L.T., 2020. Research literature on women of color in undergraduate engineering education: A systematic thematic synthesis. </w:t>
      </w:r>
      <w:r w:rsidRPr="00862D5A">
        <w:rPr>
          <w:rFonts w:ascii="Times New Roman" w:hAnsi="Times New Roman" w:cs="Times New Roman"/>
          <w:i/>
          <w:iCs/>
          <w:sz w:val="24"/>
          <w:szCs w:val="24"/>
        </w:rPr>
        <w:t>Journal of Engineering Education</w:t>
      </w:r>
      <w:r w:rsidRPr="00862D5A">
        <w:rPr>
          <w:rFonts w:ascii="Times New Roman" w:hAnsi="Times New Roman" w:cs="Times New Roman"/>
          <w:sz w:val="24"/>
          <w:szCs w:val="24"/>
        </w:rPr>
        <w:t>, </w:t>
      </w:r>
      <w:r w:rsidRPr="00862D5A">
        <w:rPr>
          <w:rFonts w:ascii="Times New Roman" w:hAnsi="Times New Roman" w:cs="Times New Roman"/>
          <w:i/>
          <w:iCs/>
          <w:sz w:val="24"/>
          <w:szCs w:val="24"/>
        </w:rPr>
        <w:t>109</w:t>
      </w:r>
      <w:r w:rsidRPr="00862D5A">
        <w:rPr>
          <w:rFonts w:ascii="Times New Roman" w:hAnsi="Times New Roman" w:cs="Times New Roman"/>
          <w:sz w:val="24"/>
          <w:szCs w:val="24"/>
        </w:rPr>
        <w:t>(3)</w:t>
      </w:r>
    </w:p>
    <w:p w14:paraId="05EF531C" w14:textId="1AEC6366" w:rsidR="00B965F2" w:rsidRDefault="00B965F2" w:rsidP="00862D5A">
      <w:pPr>
        <w:spacing w:line="360" w:lineRule="auto"/>
        <w:jc w:val="both"/>
        <w:rPr>
          <w:rFonts w:ascii="Times New Roman" w:hAnsi="Times New Roman" w:cs="Times New Roman"/>
          <w:sz w:val="24"/>
          <w:szCs w:val="24"/>
        </w:rPr>
      </w:pPr>
      <w:r w:rsidRPr="00862D5A">
        <w:rPr>
          <w:rFonts w:ascii="Times New Roman" w:hAnsi="Times New Roman" w:cs="Times New Roman"/>
          <w:sz w:val="24"/>
          <w:szCs w:val="24"/>
        </w:rPr>
        <w:t xml:space="preserve">Roper, R.L., 2019. Does gender bias still affect women in </w:t>
      </w:r>
      <w:r w:rsidR="00253505" w:rsidRPr="00862D5A">
        <w:rPr>
          <w:rFonts w:ascii="Times New Roman" w:hAnsi="Times New Roman" w:cs="Times New Roman"/>
          <w:sz w:val="24"/>
          <w:szCs w:val="24"/>
        </w:rPr>
        <w:t>science?</w:t>
      </w:r>
      <w:r w:rsidRPr="00862D5A">
        <w:rPr>
          <w:rFonts w:ascii="Times New Roman" w:hAnsi="Times New Roman" w:cs="Times New Roman"/>
          <w:sz w:val="24"/>
          <w:szCs w:val="24"/>
        </w:rPr>
        <w:t> </w:t>
      </w:r>
      <w:r w:rsidRPr="00862D5A">
        <w:rPr>
          <w:rFonts w:ascii="Times New Roman" w:hAnsi="Times New Roman" w:cs="Times New Roman"/>
          <w:i/>
          <w:iCs/>
          <w:sz w:val="24"/>
          <w:szCs w:val="24"/>
        </w:rPr>
        <w:t>Microbiology and Molecular Biology Reviews</w:t>
      </w:r>
    </w:p>
    <w:p w14:paraId="4953FDA9" w14:textId="77777777" w:rsidR="00862D5A" w:rsidRPr="00862D5A" w:rsidRDefault="00862D5A" w:rsidP="00862D5A">
      <w:pPr>
        <w:spacing w:line="360" w:lineRule="auto"/>
        <w:jc w:val="both"/>
        <w:rPr>
          <w:rFonts w:ascii="Times New Roman" w:hAnsi="Times New Roman" w:cs="Times New Roman"/>
          <w:sz w:val="24"/>
          <w:szCs w:val="24"/>
        </w:rPr>
      </w:pPr>
    </w:p>
    <w:p w14:paraId="363727D8" w14:textId="77777777" w:rsidR="00862D5A" w:rsidRPr="00862D5A" w:rsidRDefault="00862D5A" w:rsidP="00862D5A">
      <w:pPr>
        <w:spacing w:line="360" w:lineRule="auto"/>
        <w:jc w:val="both"/>
        <w:rPr>
          <w:rFonts w:ascii="Times New Roman" w:hAnsi="Times New Roman" w:cs="Times New Roman"/>
          <w:sz w:val="24"/>
          <w:szCs w:val="24"/>
        </w:rPr>
      </w:pPr>
    </w:p>
    <w:sectPr w:rsidR="00862D5A" w:rsidRPr="00862D5A" w:rsidSect="00EC06AF">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63B77" w14:textId="77777777" w:rsidR="002932E2" w:rsidRDefault="002932E2" w:rsidP="00EC06AF">
      <w:pPr>
        <w:spacing w:after="0" w:line="240" w:lineRule="auto"/>
      </w:pPr>
      <w:r>
        <w:separator/>
      </w:r>
    </w:p>
  </w:endnote>
  <w:endnote w:type="continuationSeparator" w:id="0">
    <w:p w14:paraId="6C8D6910" w14:textId="77777777" w:rsidR="002932E2" w:rsidRDefault="002932E2" w:rsidP="00EC0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211724"/>
      <w:docPartObj>
        <w:docPartGallery w:val="Page Numbers (Bottom of Page)"/>
        <w:docPartUnique/>
      </w:docPartObj>
    </w:sdtPr>
    <w:sdtEndPr>
      <w:rPr>
        <w:rFonts w:ascii="Times New Roman" w:hAnsi="Times New Roman" w:cs="Times New Roman"/>
        <w:color w:val="7F7F7F" w:themeColor="background1" w:themeShade="7F"/>
        <w:spacing w:val="60"/>
        <w:sz w:val="20"/>
        <w:szCs w:val="20"/>
      </w:rPr>
    </w:sdtEndPr>
    <w:sdtContent>
      <w:p w14:paraId="449083D8" w14:textId="77777777" w:rsidR="00EC06AF" w:rsidRPr="00EC06AF" w:rsidRDefault="00EC06AF">
        <w:pPr>
          <w:pStyle w:val="Footer"/>
          <w:pBdr>
            <w:top w:val="single" w:sz="4" w:space="1" w:color="D9D9D9" w:themeColor="background1" w:themeShade="D9"/>
          </w:pBdr>
          <w:jc w:val="right"/>
          <w:rPr>
            <w:rFonts w:ascii="Times New Roman" w:hAnsi="Times New Roman" w:cs="Times New Roman"/>
            <w:sz w:val="20"/>
            <w:szCs w:val="20"/>
          </w:rPr>
        </w:pPr>
        <w:r w:rsidRPr="00EC06AF">
          <w:rPr>
            <w:rFonts w:ascii="Times New Roman" w:hAnsi="Times New Roman" w:cs="Times New Roman"/>
            <w:sz w:val="20"/>
            <w:szCs w:val="20"/>
          </w:rPr>
          <w:fldChar w:fldCharType="begin"/>
        </w:r>
        <w:r w:rsidRPr="00EC06AF">
          <w:rPr>
            <w:rFonts w:ascii="Times New Roman" w:hAnsi="Times New Roman" w:cs="Times New Roman"/>
            <w:sz w:val="20"/>
            <w:szCs w:val="20"/>
          </w:rPr>
          <w:instrText xml:space="preserve"> PAGE   \* MERGEFORMAT </w:instrText>
        </w:r>
        <w:r w:rsidRPr="00EC06AF">
          <w:rPr>
            <w:rFonts w:ascii="Times New Roman" w:hAnsi="Times New Roman" w:cs="Times New Roman"/>
            <w:sz w:val="20"/>
            <w:szCs w:val="20"/>
          </w:rPr>
          <w:fldChar w:fldCharType="separate"/>
        </w:r>
        <w:r w:rsidR="00B965F2">
          <w:rPr>
            <w:rFonts w:ascii="Times New Roman" w:hAnsi="Times New Roman" w:cs="Times New Roman"/>
            <w:noProof/>
            <w:sz w:val="20"/>
            <w:szCs w:val="20"/>
          </w:rPr>
          <w:t>10</w:t>
        </w:r>
        <w:r w:rsidRPr="00EC06AF">
          <w:rPr>
            <w:rFonts w:ascii="Times New Roman" w:hAnsi="Times New Roman" w:cs="Times New Roman"/>
            <w:noProof/>
            <w:sz w:val="20"/>
            <w:szCs w:val="20"/>
          </w:rPr>
          <w:fldChar w:fldCharType="end"/>
        </w:r>
        <w:r w:rsidRPr="00EC06AF">
          <w:rPr>
            <w:rFonts w:ascii="Times New Roman" w:hAnsi="Times New Roman" w:cs="Times New Roman"/>
            <w:sz w:val="20"/>
            <w:szCs w:val="20"/>
          </w:rPr>
          <w:t xml:space="preserve"> </w:t>
        </w:r>
        <w:r>
          <w:t>|</w:t>
        </w:r>
        <w:r w:rsidRPr="00EC06AF">
          <w:rPr>
            <w:rFonts w:ascii="Times New Roman" w:hAnsi="Times New Roman" w:cs="Times New Roman"/>
            <w:sz w:val="20"/>
            <w:szCs w:val="20"/>
          </w:rPr>
          <w:t xml:space="preserve"> </w:t>
        </w:r>
        <w:r w:rsidRPr="00EC06AF">
          <w:rPr>
            <w:rFonts w:ascii="Times New Roman" w:hAnsi="Times New Roman" w:cs="Times New Roman"/>
            <w:color w:val="7F7F7F" w:themeColor="background1" w:themeShade="7F"/>
            <w:spacing w:val="60"/>
            <w:sz w:val="20"/>
            <w:szCs w:val="20"/>
          </w:rPr>
          <w:t>Page</w:t>
        </w:r>
      </w:p>
    </w:sdtContent>
  </w:sdt>
  <w:p w14:paraId="771ED1A1" w14:textId="77777777" w:rsidR="00EC06AF" w:rsidRDefault="00EC06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0DAC0" w14:textId="77777777" w:rsidR="002932E2" w:rsidRDefault="002932E2" w:rsidP="00EC06AF">
      <w:pPr>
        <w:spacing w:after="0" w:line="240" w:lineRule="auto"/>
      </w:pPr>
      <w:r>
        <w:separator/>
      </w:r>
    </w:p>
  </w:footnote>
  <w:footnote w:type="continuationSeparator" w:id="0">
    <w:p w14:paraId="1F6CD17F" w14:textId="77777777" w:rsidR="002932E2" w:rsidRDefault="002932E2" w:rsidP="00EC06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33E2D"/>
    <w:multiLevelType w:val="hybridMultilevel"/>
    <w:tmpl w:val="2FD0843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69777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D5A"/>
    <w:rsid w:val="0006685D"/>
    <w:rsid w:val="00253505"/>
    <w:rsid w:val="002932E2"/>
    <w:rsid w:val="004C15C1"/>
    <w:rsid w:val="005549D5"/>
    <w:rsid w:val="005A055B"/>
    <w:rsid w:val="005C2076"/>
    <w:rsid w:val="006068E1"/>
    <w:rsid w:val="00862D5A"/>
    <w:rsid w:val="00AA0E2E"/>
    <w:rsid w:val="00B965F2"/>
    <w:rsid w:val="00BB7A36"/>
    <w:rsid w:val="00D81E97"/>
    <w:rsid w:val="00EC06AF"/>
    <w:rsid w:val="00F10DA3"/>
    <w:rsid w:val="00F373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7B564"/>
  <w15:chartTrackingRefBased/>
  <w15:docId w15:val="{6EAF6F42-FB87-4BFE-947A-1808D9F9E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62D5A"/>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5A055B"/>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D5A"/>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5A055B"/>
    <w:rPr>
      <w:rFonts w:ascii="Times New Roman" w:eastAsiaTheme="majorEastAsia" w:hAnsi="Times New Roman" w:cstheme="majorBidi"/>
      <w:b/>
      <w:sz w:val="26"/>
      <w:szCs w:val="26"/>
      <w:lang w:val="en-GB"/>
    </w:rPr>
  </w:style>
  <w:style w:type="paragraph" w:styleId="ListParagraph">
    <w:name w:val="List Paragraph"/>
    <w:basedOn w:val="Normal"/>
    <w:uiPriority w:val="34"/>
    <w:qFormat/>
    <w:rsid w:val="005A055B"/>
    <w:pPr>
      <w:ind w:left="720"/>
      <w:contextualSpacing/>
    </w:pPr>
  </w:style>
  <w:style w:type="paragraph" w:styleId="Header">
    <w:name w:val="header"/>
    <w:basedOn w:val="Normal"/>
    <w:link w:val="HeaderChar"/>
    <w:uiPriority w:val="99"/>
    <w:unhideWhenUsed/>
    <w:rsid w:val="00EC06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6AF"/>
    <w:rPr>
      <w:lang w:val="en-GB"/>
    </w:rPr>
  </w:style>
  <w:style w:type="paragraph" w:styleId="Footer">
    <w:name w:val="footer"/>
    <w:basedOn w:val="Normal"/>
    <w:link w:val="FooterChar"/>
    <w:uiPriority w:val="99"/>
    <w:unhideWhenUsed/>
    <w:rsid w:val="00EC06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6AF"/>
    <w:rPr>
      <w:lang w:val="en-GB"/>
    </w:rPr>
  </w:style>
  <w:style w:type="paragraph" w:styleId="TOCHeading">
    <w:name w:val="TOC Heading"/>
    <w:basedOn w:val="Heading1"/>
    <w:next w:val="Normal"/>
    <w:uiPriority w:val="39"/>
    <w:unhideWhenUsed/>
    <w:qFormat/>
    <w:rsid w:val="00F10DA3"/>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10DA3"/>
    <w:pPr>
      <w:spacing w:after="100"/>
    </w:pPr>
  </w:style>
  <w:style w:type="paragraph" w:styleId="TOC2">
    <w:name w:val="toc 2"/>
    <w:basedOn w:val="Normal"/>
    <w:next w:val="Normal"/>
    <w:autoRedefine/>
    <w:uiPriority w:val="39"/>
    <w:unhideWhenUsed/>
    <w:rsid w:val="00F10DA3"/>
    <w:pPr>
      <w:spacing w:after="100"/>
      <w:ind w:left="220"/>
    </w:pPr>
  </w:style>
  <w:style w:type="character" w:styleId="Hyperlink">
    <w:name w:val="Hyperlink"/>
    <w:basedOn w:val="DefaultParagraphFont"/>
    <w:uiPriority w:val="99"/>
    <w:unhideWhenUsed/>
    <w:rsid w:val="00F10DA3"/>
    <w:rPr>
      <w:color w:val="0563C1" w:themeColor="hyperlink"/>
      <w:u w:val="single"/>
    </w:rPr>
  </w:style>
  <w:style w:type="paragraph" w:styleId="NoSpacing">
    <w:name w:val="No Spacing"/>
    <w:link w:val="NoSpacingChar"/>
    <w:uiPriority w:val="1"/>
    <w:qFormat/>
    <w:rsid w:val="006068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68E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869E0DF71750C449F16808E971B8BF2"/>
        <w:category>
          <w:name w:val="General"/>
          <w:gallery w:val="placeholder"/>
        </w:category>
        <w:types>
          <w:type w:val="bbPlcHdr"/>
        </w:types>
        <w:behaviors>
          <w:behavior w:val="content"/>
        </w:behaviors>
        <w:guid w:val="{10E483C2-9397-AC48-92D0-718DA7D6EDA2}"/>
      </w:docPartPr>
      <w:docPartBody>
        <w:p w:rsidR="00000000" w:rsidRDefault="009F78C4" w:rsidP="009F78C4">
          <w:pPr>
            <w:pStyle w:val="C869E0DF71750C449F16808E971B8BF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8C4"/>
    <w:rsid w:val="009F78C4"/>
    <w:rsid w:val="00B54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98C8955E4BD44798125C5227B443F4">
    <w:name w:val="3E98C8955E4BD44798125C5227B443F4"/>
    <w:rsid w:val="009F78C4"/>
  </w:style>
  <w:style w:type="paragraph" w:customStyle="1" w:styleId="C869E0DF71750C449F16808E971B8BF2">
    <w:name w:val="C869E0DF71750C449F16808E971B8BF2"/>
    <w:rsid w:val="009F78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B4C3E0-12D3-4F4A-9F63-05C2BA341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2549</Words>
  <Characters>14784</Characters>
  <Application>Microsoft Office Word</Application>
  <DocSecurity>0</DocSecurity>
  <Lines>233</Lines>
  <Paragraphs>49</Paragraphs>
  <ScaleCrop>false</ScaleCrop>
  <HeadingPairs>
    <vt:vector size="2" baseType="variant">
      <vt:variant>
        <vt:lpstr>Title</vt:lpstr>
      </vt:variant>
      <vt:variant>
        <vt:i4>1</vt:i4>
      </vt:variant>
    </vt:vector>
  </HeadingPairs>
  <TitlesOfParts>
    <vt:vector size="1" baseType="lpstr">
      <vt:lpstr>Leadership OPPORTUNITES FOR WOMEN IN Engineering</vt:lpstr>
    </vt:vector>
  </TitlesOfParts>
  <Manager/>
  <Company/>
  <LinksUpToDate>false</LinksUpToDate>
  <CharactersWithSpaces>17287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OPPORTUNITES FOR WOMEN IN Engineering</dc:title>
  <dc:subject>IMPLEMENTATION PLAN</dc:subject>
  <dc:creator>Iulian Tampau (1904938)</dc:creator>
  <cp:keywords/>
  <dc:description/>
  <cp:lastModifiedBy>Iulian Tampau (1904938)</cp:lastModifiedBy>
  <cp:revision>2</cp:revision>
  <dcterms:created xsi:type="dcterms:W3CDTF">2023-01-13T10:40:00Z</dcterms:created>
  <dcterms:modified xsi:type="dcterms:W3CDTF">2023-01-13T10:40:00Z</dcterms:modified>
  <cp:category/>
</cp:coreProperties>
</file>