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5A03F" w14:textId="77777777" w:rsidR="002F7D75" w:rsidRPr="009D531E" w:rsidRDefault="002F7D75" w:rsidP="009D531E">
      <w:pPr>
        <w:spacing w:line="360" w:lineRule="auto"/>
        <w:rPr>
          <w:rFonts w:ascii="Arial" w:hAnsi="Arial" w:cs="Arial"/>
          <w:bCs/>
        </w:rPr>
      </w:pPr>
      <w:r w:rsidRPr="009D531E">
        <w:rPr>
          <w:rFonts w:ascii="Arial" w:hAnsi="Arial" w:cs="Arial"/>
          <w:bCs/>
        </w:rPr>
        <w:t xml:space="preserve">IN THE HIGH COURT OF ENGLAND AND WALES </w:t>
      </w:r>
    </w:p>
    <w:p w14:paraId="14530606" w14:textId="1671083C" w:rsidR="002F7D75" w:rsidRPr="009D531E" w:rsidRDefault="002F7D75" w:rsidP="009D531E">
      <w:pPr>
        <w:spacing w:line="360" w:lineRule="auto"/>
        <w:rPr>
          <w:rFonts w:ascii="Arial" w:hAnsi="Arial" w:cs="Arial"/>
          <w:bCs/>
        </w:rPr>
      </w:pPr>
      <w:r w:rsidRPr="009D531E">
        <w:rPr>
          <w:rFonts w:ascii="Arial" w:hAnsi="Arial" w:cs="Arial"/>
          <w:bCs/>
        </w:rPr>
        <w:t>(CHANCERY DIVISION)</w:t>
      </w:r>
    </w:p>
    <w:p w14:paraId="21FD89D9" w14:textId="55306B45" w:rsidR="002F7D75" w:rsidRPr="009D531E" w:rsidRDefault="002F7D75" w:rsidP="009D531E">
      <w:pPr>
        <w:spacing w:line="360" w:lineRule="auto"/>
        <w:jc w:val="right"/>
        <w:rPr>
          <w:rFonts w:ascii="Arial" w:hAnsi="Arial" w:cs="Arial"/>
          <w:bCs/>
        </w:rPr>
      </w:pPr>
      <w:r w:rsidRPr="009D531E">
        <w:rPr>
          <w:rFonts w:ascii="Arial" w:hAnsi="Arial" w:cs="Arial"/>
          <w:bCs/>
        </w:rPr>
        <w:t>CLAIM NUMBER:</w:t>
      </w:r>
      <w:r w:rsidR="00BA0A8D" w:rsidRPr="009D531E">
        <w:rPr>
          <w:rFonts w:ascii="Arial" w:hAnsi="Arial" w:cs="Arial"/>
          <w:bCs/>
        </w:rPr>
        <w:t xml:space="preserve"> 2024/840A3</w:t>
      </w:r>
    </w:p>
    <w:p w14:paraId="501AC0D6" w14:textId="324DE21F" w:rsidR="002F7D75" w:rsidRPr="009D531E" w:rsidRDefault="002F7D75" w:rsidP="009D531E">
      <w:pPr>
        <w:spacing w:line="360" w:lineRule="auto"/>
        <w:rPr>
          <w:rFonts w:ascii="Arial" w:hAnsi="Arial" w:cs="Arial"/>
          <w:bCs/>
        </w:rPr>
      </w:pPr>
      <w:r w:rsidRPr="009D531E">
        <w:rPr>
          <w:rFonts w:ascii="Arial" w:hAnsi="Arial" w:cs="Arial"/>
          <w:bCs/>
        </w:rPr>
        <w:t>BETWEEN:</w:t>
      </w:r>
    </w:p>
    <w:tbl>
      <w:tblPr>
        <w:tblW w:w="9035" w:type="dxa"/>
        <w:tblLayout w:type="fixed"/>
        <w:tblLook w:val="04A0" w:firstRow="1" w:lastRow="0" w:firstColumn="1" w:lastColumn="0" w:noHBand="0" w:noVBand="1"/>
      </w:tblPr>
      <w:tblGrid>
        <w:gridCol w:w="1418"/>
        <w:gridCol w:w="6237"/>
        <w:gridCol w:w="1380"/>
      </w:tblGrid>
      <w:tr w:rsidR="002F7D75" w:rsidRPr="009D531E" w14:paraId="2783C3B8" w14:textId="77777777" w:rsidTr="002F7D75">
        <w:trPr>
          <w:trHeight w:val="757"/>
        </w:trPr>
        <w:tc>
          <w:tcPr>
            <w:tcW w:w="1418" w:type="dxa"/>
          </w:tcPr>
          <w:p w14:paraId="3B29174A" w14:textId="2CF2EDC5" w:rsidR="002F7D75" w:rsidRPr="009D531E" w:rsidRDefault="002F7D75" w:rsidP="009D531E">
            <w:pPr>
              <w:spacing w:line="360" w:lineRule="auto"/>
              <w:jc w:val="center"/>
              <w:rPr>
                <w:rFonts w:ascii="Arial" w:hAnsi="Arial" w:cs="Arial"/>
                <w:lang w:eastAsia="zh-CN" w:bidi="ta-IN"/>
              </w:rPr>
            </w:pPr>
          </w:p>
        </w:tc>
        <w:tc>
          <w:tcPr>
            <w:tcW w:w="6237" w:type="dxa"/>
            <w:shd w:val="clear" w:color="auto" w:fill="auto"/>
          </w:tcPr>
          <w:p w14:paraId="590905B3" w14:textId="6C2B9224" w:rsidR="002F7D75" w:rsidRPr="009D531E" w:rsidRDefault="002F7D75" w:rsidP="009D531E">
            <w:pPr>
              <w:spacing w:line="360" w:lineRule="auto"/>
              <w:jc w:val="center"/>
              <w:rPr>
                <w:rFonts w:ascii="Arial" w:eastAsia="PMingLiU" w:hAnsi="Arial" w:cs="Arial"/>
                <w:lang w:eastAsia="zh-CN" w:bidi="ta-IN"/>
              </w:rPr>
            </w:pPr>
            <w:r w:rsidRPr="009D531E">
              <w:rPr>
                <w:rFonts w:ascii="Arial" w:eastAsia="PMingLiU" w:hAnsi="Arial" w:cs="Arial"/>
                <w:lang w:eastAsia="zh-CN" w:bidi="ta-IN"/>
              </w:rPr>
              <w:t>SARAH MORGAN</w:t>
            </w:r>
          </w:p>
        </w:tc>
        <w:tc>
          <w:tcPr>
            <w:tcW w:w="1380" w:type="dxa"/>
            <w:shd w:val="clear" w:color="auto" w:fill="auto"/>
          </w:tcPr>
          <w:p w14:paraId="4A2C7B52" w14:textId="77777777" w:rsidR="002F7D75" w:rsidRPr="009D531E" w:rsidRDefault="002F7D75" w:rsidP="009D531E">
            <w:pPr>
              <w:spacing w:line="360" w:lineRule="auto"/>
              <w:jc w:val="right"/>
              <w:rPr>
                <w:rFonts w:ascii="Arial" w:eastAsia="PMingLiU" w:hAnsi="Arial" w:cs="Arial"/>
                <w:u w:val="single"/>
                <w:lang w:eastAsia="zh-CN" w:bidi="ta-IN"/>
              </w:rPr>
            </w:pPr>
            <w:r w:rsidRPr="009D531E">
              <w:rPr>
                <w:rFonts w:ascii="Arial" w:eastAsia="PMingLiU" w:hAnsi="Arial" w:cs="Arial"/>
                <w:u w:val="single"/>
                <w:lang w:eastAsia="zh-CN" w:bidi="ta-IN"/>
              </w:rPr>
              <w:t xml:space="preserve">Claimant </w:t>
            </w:r>
          </w:p>
        </w:tc>
      </w:tr>
      <w:tr w:rsidR="002F7D75" w:rsidRPr="009D531E" w14:paraId="2EAEC865" w14:textId="77777777" w:rsidTr="002F7D75">
        <w:trPr>
          <w:trHeight w:val="757"/>
        </w:trPr>
        <w:tc>
          <w:tcPr>
            <w:tcW w:w="1418" w:type="dxa"/>
          </w:tcPr>
          <w:p w14:paraId="70E71ED4" w14:textId="77777777" w:rsidR="002F7D75" w:rsidRPr="009D531E" w:rsidRDefault="002F7D75" w:rsidP="009D531E">
            <w:pPr>
              <w:spacing w:line="360" w:lineRule="auto"/>
              <w:jc w:val="center"/>
              <w:rPr>
                <w:rFonts w:ascii="Arial" w:hAnsi="Arial" w:cs="Arial"/>
                <w:lang w:eastAsia="zh-CN" w:bidi="ta-IN"/>
              </w:rPr>
            </w:pPr>
          </w:p>
        </w:tc>
        <w:tc>
          <w:tcPr>
            <w:tcW w:w="6237" w:type="dxa"/>
            <w:shd w:val="clear" w:color="auto" w:fill="auto"/>
          </w:tcPr>
          <w:p w14:paraId="04F835E6" w14:textId="32FD6C51" w:rsidR="002F7D75" w:rsidRPr="009D531E" w:rsidRDefault="002F7D75" w:rsidP="009D531E">
            <w:pPr>
              <w:spacing w:line="360" w:lineRule="auto"/>
              <w:jc w:val="center"/>
              <w:rPr>
                <w:rFonts w:ascii="Arial" w:eastAsia="PMingLiU" w:hAnsi="Arial" w:cs="Arial"/>
                <w:lang w:eastAsia="zh-CN" w:bidi="ta-IN"/>
              </w:rPr>
            </w:pPr>
            <w:r w:rsidRPr="009D531E">
              <w:rPr>
                <w:rFonts w:ascii="Arial" w:eastAsia="PMingLiU" w:hAnsi="Arial" w:cs="Arial"/>
                <w:lang w:eastAsia="zh-CN" w:bidi="ta-IN"/>
              </w:rPr>
              <w:t>-and-</w:t>
            </w:r>
          </w:p>
        </w:tc>
        <w:tc>
          <w:tcPr>
            <w:tcW w:w="1380" w:type="dxa"/>
            <w:shd w:val="clear" w:color="auto" w:fill="auto"/>
          </w:tcPr>
          <w:p w14:paraId="41387A0B" w14:textId="77777777" w:rsidR="002F7D75" w:rsidRPr="009D531E" w:rsidRDefault="002F7D75" w:rsidP="009D531E">
            <w:pPr>
              <w:spacing w:line="360" w:lineRule="auto"/>
              <w:jc w:val="right"/>
              <w:rPr>
                <w:rFonts w:ascii="Arial" w:eastAsia="PMingLiU" w:hAnsi="Arial" w:cs="Arial"/>
                <w:lang w:eastAsia="zh-CN" w:bidi="ta-IN"/>
              </w:rPr>
            </w:pPr>
          </w:p>
        </w:tc>
      </w:tr>
      <w:tr w:rsidR="002F7D75" w:rsidRPr="009D531E" w14:paraId="2F590B3C" w14:textId="77777777" w:rsidTr="002F7D75">
        <w:trPr>
          <w:trHeight w:val="757"/>
        </w:trPr>
        <w:tc>
          <w:tcPr>
            <w:tcW w:w="1418" w:type="dxa"/>
          </w:tcPr>
          <w:p w14:paraId="44B27D71" w14:textId="7E9863DF" w:rsidR="002F7D75" w:rsidRPr="009D531E" w:rsidRDefault="002F7D75" w:rsidP="009D531E">
            <w:pPr>
              <w:spacing w:line="360" w:lineRule="auto"/>
              <w:jc w:val="center"/>
              <w:rPr>
                <w:rFonts w:ascii="Arial" w:hAnsi="Arial" w:cs="Arial"/>
                <w:lang w:eastAsia="zh-CN" w:bidi="ta-IN"/>
              </w:rPr>
            </w:pPr>
          </w:p>
        </w:tc>
        <w:tc>
          <w:tcPr>
            <w:tcW w:w="6237" w:type="dxa"/>
            <w:shd w:val="clear" w:color="auto" w:fill="auto"/>
          </w:tcPr>
          <w:p w14:paraId="024AA0B7" w14:textId="5E8E55F3" w:rsidR="002F7D75" w:rsidRPr="009D531E" w:rsidRDefault="002F7D75" w:rsidP="009D531E">
            <w:pPr>
              <w:spacing w:line="360" w:lineRule="auto"/>
              <w:jc w:val="center"/>
              <w:rPr>
                <w:rFonts w:ascii="Arial" w:eastAsia="PMingLiU" w:hAnsi="Arial" w:cs="Arial"/>
                <w:lang w:eastAsia="zh-CN" w:bidi="ta-IN"/>
              </w:rPr>
            </w:pPr>
            <w:r w:rsidRPr="009D531E">
              <w:rPr>
                <w:rFonts w:ascii="Arial" w:eastAsia="PMingLiU" w:hAnsi="Arial" w:cs="Arial"/>
                <w:lang w:eastAsia="zh-CN" w:bidi="ta-IN"/>
              </w:rPr>
              <w:t>JENNIFER WILLIAMS</w:t>
            </w:r>
          </w:p>
        </w:tc>
        <w:tc>
          <w:tcPr>
            <w:tcW w:w="1380" w:type="dxa"/>
            <w:shd w:val="clear" w:color="auto" w:fill="auto"/>
          </w:tcPr>
          <w:p w14:paraId="04042DAD" w14:textId="77777777" w:rsidR="002F7D75" w:rsidRPr="009D531E" w:rsidRDefault="002F7D75" w:rsidP="009D531E">
            <w:pPr>
              <w:spacing w:line="360" w:lineRule="auto"/>
              <w:jc w:val="right"/>
              <w:rPr>
                <w:rFonts w:ascii="Arial" w:eastAsia="PMingLiU" w:hAnsi="Arial" w:cs="Arial"/>
                <w:lang w:eastAsia="zh-CN" w:bidi="ta-IN"/>
              </w:rPr>
            </w:pPr>
            <w:r w:rsidRPr="009D531E">
              <w:rPr>
                <w:rFonts w:ascii="Arial" w:eastAsia="PMingLiU" w:hAnsi="Arial" w:cs="Arial"/>
                <w:u w:val="single"/>
                <w:lang w:eastAsia="zh-CN" w:bidi="ta-IN"/>
              </w:rPr>
              <w:t>Defendant</w:t>
            </w:r>
          </w:p>
        </w:tc>
      </w:tr>
    </w:tbl>
    <w:p w14:paraId="3D2FCE0E" w14:textId="77777777" w:rsidR="002F7D75" w:rsidRPr="009D531E" w:rsidRDefault="002F7D75" w:rsidP="009D531E">
      <w:pPr>
        <w:tabs>
          <w:tab w:val="left" w:pos="2656"/>
        </w:tabs>
        <w:autoSpaceDE w:val="0"/>
        <w:autoSpaceDN w:val="0"/>
        <w:adjustRightInd w:val="0"/>
        <w:spacing w:line="360" w:lineRule="auto"/>
        <w:rPr>
          <w:rFonts w:ascii="Arial" w:hAnsi="Arial" w:cs="Arial"/>
          <w:b/>
          <w:bCs/>
          <w:lang w:bidi="ta-IN"/>
        </w:rPr>
      </w:pPr>
      <w:r w:rsidRPr="009D531E">
        <w:rPr>
          <w:rFonts w:ascii="Arial" w:hAnsi="Arial" w:cs="Arial"/>
          <w:b/>
          <w:bCs/>
          <w:lang w:bidi="ta-IN"/>
        </w:rPr>
        <w:tab/>
      </w:r>
    </w:p>
    <w:p w14:paraId="6E00CF5E" w14:textId="77777777" w:rsidR="002F7D75" w:rsidRPr="009D531E" w:rsidRDefault="002F7D75" w:rsidP="009D531E">
      <w:pPr>
        <w:pBdr>
          <w:top w:val="single" w:sz="4" w:space="1" w:color="auto"/>
          <w:bottom w:val="single" w:sz="4" w:space="1" w:color="auto"/>
        </w:pBdr>
        <w:autoSpaceDE w:val="0"/>
        <w:autoSpaceDN w:val="0"/>
        <w:adjustRightInd w:val="0"/>
        <w:spacing w:line="360" w:lineRule="auto"/>
        <w:jc w:val="center"/>
        <w:rPr>
          <w:rFonts w:ascii="Arial" w:hAnsi="Arial" w:cs="Arial"/>
          <w:b/>
          <w:bCs/>
          <w:sz w:val="14"/>
          <w:szCs w:val="14"/>
          <w:lang w:bidi="ta-IN"/>
        </w:rPr>
      </w:pPr>
    </w:p>
    <w:p w14:paraId="73C8006B" w14:textId="45852606" w:rsidR="009D531E" w:rsidRPr="009D531E" w:rsidRDefault="002F7D75" w:rsidP="001519CB">
      <w:pPr>
        <w:pBdr>
          <w:top w:val="single" w:sz="4" w:space="1" w:color="auto"/>
          <w:bottom w:val="single" w:sz="4" w:space="1" w:color="auto"/>
        </w:pBdr>
        <w:autoSpaceDE w:val="0"/>
        <w:autoSpaceDN w:val="0"/>
        <w:adjustRightInd w:val="0"/>
        <w:spacing w:line="360" w:lineRule="auto"/>
        <w:jc w:val="center"/>
        <w:rPr>
          <w:rFonts w:ascii="Arial" w:hAnsi="Arial" w:cs="Arial"/>
          <w:b/>
          <w:bCs/>
          <w:sz w:val="14"/>
          <w:szCs w:val="14"/>
          <w:lang w:bidi="ta-IN"/>
        </w:rPr>
      </w:pPr>
      <w:r w:rsidRPr="009D531E">
        <w:rPr>
          <w:rFonts w:ascii="Arial" w:hAnsi="Arial" w:cs="Arial"/>
          <w:b/>
          <w:bCs/>
          <w:lang w:bidi="ta-IN"/>
        </w:rPr>
        <w:t xml:space="preserve">Skeleton argument on behalf of </w:t>
      </w:r>
      <w:r w:rsidR="001519CB">
        <w:rPr>
          <w:rFonts w:ascii="Arial" w:hAnsi="Arial" w:cs="Arial"/>
          <w:b/>
          <w:bCs/>
          <w:lang w:bidi="ta-IN"/>
        </w:rPr>
        <w:t xml:space="preserve">Sarah Morgan [Claimant] </w:t>
      </w:r>
    </w:p>
    <w:p w14:paraId="08E9F8E6" w14:textId="13AB91A2" w:rsidR="00AB58B9" w:rsidRDefault="005F216E" w:rsidP="00140D5A">
      <w:pPr>
        <w:pStyle w:val="Heading1"/>
      </w:pPr>
      <w:r w:rsidRPr="009D531E">
        <w:t>Introduction</w:t>
      </w:r>
    </w:p>
    <w:p w14:paraId="25B323DC" w14:textId="42B9E90A" w:rsidR="00752C6A" w:rsidRPr="00752C6A" w:rsidRDefault="00AB58B9" w:rsidP="009D531E">
      <w:pPr>
        <w:pStyle w:val="Heading2"/>
      </w:pPr>
      <w:r>
        <w:t xml:space="preserve">This argument has been submitted on behalf of the claimant Sarah Morgan, in response to the defendant </w:t>
      </w:r>
      <w:r w:rsidR="00140D5A">
        <w:t xml:space="preserve">Jennifer Williams </w:t>
      </w:r>
      <w:r>
        <w:t xml:space="preserve">disputing the claim of a constructive trust/proprietary estoppel has been established, in relation to the property ‘The Gatehouse’. </w:t>
      </w:r>
      <w:r w:rsidR="00140D5A">
        <w:t xml:space="preserve">Ms Morgan believes that she is entitled to a share of the property and is seeking 50% share if the property is to be sold. </w:t>
      </w:r>
    </w:p>
    <w:p w14:paraId="10BDE4F7" w14:textId="3F3C7561" w:rsidR="005F216E" w:rsidRPr="009D531E" w:rsidRDefault="005F216E" w:rsidP="00752C6A">
      <w:pPr>
        <w:pStyle w:val="Heading2"/>
        <w:numPr>
          <w:ilvl w:val="0"/>
          <w:numId w:val="0"/>
        </w:numPr>
        <w:rPr>
          <w:color w:val="70AD47" w:themeColor="accent6"/>
        </w:rPr>
      </w:pPr>
      <w:r w:rsidRPr="009D531E">
        <w:rPr>
          <w:color w:val="70AD47" w:themeColor="accent6"/>
        </w:rPr>
        <w:t xml:space="preserve"> </w:t>
      </w:r>
    </w:p>
    <w:p w14:paraId="74D96C8C" w14:textId="77777777" w:rsidR="005F216E" w:rsidRPr="009D531E" w:rsidRDefault="005F216E" w:rsidP="009D531E">
      <w:pPr>
        <w:pStyle w:val="Heading1"/>
      </w:pPr>
      <w:r w:rsidRPr="009D531E">
        <w:t>The issues</w:t>
      </w:r>
    </w:p>
    <w:p w14:paraId="3392D0AD" w14:textId="77777777" w:rsidR="005B6314" w:rsidRDefault="00D427A1" w:rsidP="00012052">
      <w:pPr>
        <w:pStyle w:val="Heading2"/>
      </w:pPr>
      <w:r>
        <w:t xml:space="preserve">The main issues stipulated in this claim </w:t>
      </w:r>
      <w:r w:rsidR="00D41BDF">
        <w:t>are whether or not Sarah Morgan can claim a percentage of the property</w:t>
      </w:r>
      <w:r w:rsidR="002173FB">
        <w:t xml:space="preserve"> under the guidelines of a con</w:t>
      </w:r>
      <w:r w:rsidR="00F51830">
        <w:t xml:space="preserve">structive </w:t>
      </w:r>
      <w:r w:rsidR="002173FB">
        <w:t>trust/proprietary estoppel</w:t>
      </w:r>
      <w:r w:rsidR="00F662D9">
        <w:t>.</w:t>
      </w:r>
      <w:r w:rsidR="00F51830">
        <w:t xml:space="preserve"> </w:t>
      </w:r>
    </w:p>
    <w:p w14:paraId="223076C9" w14:textId="777B92E5" w:rsidR="00D427A1" w:rsidRDefault="00050D17" w:rsidP="005B6314">
      <w:pPr>
        <w:pStyle w:val="Heading2"/>
        <w:numPr>
          <w:ilvl w:val="0"/>
          <w:numId w:val="17"/>
        </w:numPr>
      </w:pPr>
      <w:r>
        <w:t xml:space="preserve">Whether or not she meets the requirements for a constructive trust </w:t>
      </w:r>
      <w:r w:rsidR="00EB3BA0">
        <w:t>based on the assumption they ‘shared’ the property.</w:t>
      </w:r>
    </w:p>
    <w:p w14:paraId="79392DFC" w14:textId="3ADFB228" w:rsidR="00EB3BA0" w:rsidRPr="0020545A" w:rsidRDefault="00EB3BA0" w:rsidP="00EB3BA0">
      <w:pPr>
        <w:pStyle w:val="ListParagraph"/>
        <w:numPr>
          <w:ilvl w:val="0"/>
          <w:numId w:val="17"/>
        </w:numPr>
        <w:rPr>
          <w:rFonts w:asciiTheme="minorHAnsi" w:hAnsiTheme="minorHAnsi" w:cstheme="minorHAnsi"/>
        </w:rPr>
      </w:pPr>
      <w:r w:rsidRPr="0020545A">
        <w:rPr>
          <w:rFonts w:asciiTheme="minorHAnsi" w:hAnsiTheme="minorHAnsi" w:cstheme="minorHAnsi"/>
        </w:rPr>
        <w:t xml:space="preserve">Whether or not proprietary estoppel has been </w:t>
      </w:r>
      <w:r w:rsidR="00CA1C7E" w:rsidRPr="0020545A">
        <w:rPr>
          <w:rFonts w:asciiTheme="minorHAnsi" w:hAnsiTheme="minorHAnsi" w:cstheme="minorHAnsi"/>
        </w:rPr>
        <w:t>proven</w:t>
      </w:r>
      <w:r w:rsidR="00AF2C84" w:rsidRPr="0020545A">
        <w:rPr>
          <w:rFonts w:asciiTheme="minorHAnsi" w:hAnsiTheme="minorHAnsi" w:cstheme="minorHAnsi"/>
        </w:rPr>
        <w:t xml:space="preserve">, </w:t>
      </w:r>
      <w:r w:rsidR="0020545A" w:rsidRPr="0020545A">
        <w:rPr>
          <w:rFonts w:asciiTheme="minorHAnsi" w:hAnsiTheme="minorHAnsi" w:cstheme="minorHAnsi"/>
        </w:rPr>
        <w:t xml:space="preserve">given the evidence provided by the Claimant stating an informal promise had been given by the Defendant. </w:t>
      </w:r>
    </w:p>
    <w:p w14:paraId="4C4E2182" w14:textId="0DACB454" w:rsidR="00A34D2B" w:rsidRPr="00A34D2B" w:rsidRDefault="00A34D2B" w:rsidP="00A34D2B">
      <w:pPr>
        <w:pStyle w:val="Heading2"/>
        <w:ind w:left="680" w:hanging="680"/>
        <w:rPr>
          <w:color w:val="70AD47" w:themeColor="accent6"/>
        </w:rPr>
      </w:pPr>
      <w:r>
        <w:t xml:space="preserve">Advice had been given to Ms Morgan from a solicitor in 2014 explaining that the pair should make their beneficial interests legal and binding with a trust, </w:t>
      </w:r>
      <w:r>
        <w:lastRenderedPageBreak/>
        <w:t>Ms Morgan had decided not to proceed with this advice. Proof has been established throughout the text messages between both parties outlines an indication of assurance that Sarah would be entitled to a percentage of the property, and that it would be shared equally between both parties. Ms Williams is now disputing these facts.</w:t>
      </w:r>
    </w:p>
    <w:p w14:paraId="0BC166AE" w14:textId="77777777" w:rsidR="00A34D2B" w:rsidRDefault="00A34D2B" w:rsidP="00A34D2B">
      <w:pPr>
        <w:pStyle w:val="Heading2"/>
        <w:numPr>
          <w:ilvl w:val="0"/>
          <w:numId w:val="0"/>
        </w:numPr>
        <w:ind w:left="680"/>
      </w:pPr>
    </w:p>
    <w:p w14:paraId="18D69515" w14:textId="2DAE1DFE" w:rsidR="005F216E" w:rsidRPr="004D33CB" w:rsidRDefault="00BE664E" w:rsidP="004D33CB">
      <w:pPr>
        <w:pStyle w:val="Heading2"/>
        <w:ind w:left="680" w:hanging="680"/>
      </w:pPr>
      <w:r>
        <w:t xml:space="preserve">The claimant Ms Morgan </w:t>
      </w:r>
      <w:r w:rsidR="009967EF">
        <w:t xml:space="preserve">believes that she has satisfied the legal requirements </w:t>
      </w:r>
      <w:r w:rsidR="00291E93">
        <w:t>established for a constructive trust/proprietary estoppel</w:t>
      </w:r>
      <w:r w:rsidR="006A3C96">
        <w:t>, the defendant believes that Ms Morgan has</w:t>
      </w:r>
      <w:r w:rsidR="0012035F">
        <w:t xml:space="preserve"> no legal rights or shares of the property.</w:t>
      </w:r>
      <w:r w:rsidR="00374FF3">
        <w:t xml:space="preserve"> </w:t>
      </w:r>
    </w:p>
    <w:p w14:paraId="4E427234" w14:textId="77777777" w:rsidR="00BC4647" w:rsidRPr="00BC4647" w:rsidRDefault="00BC4647" w:rsidP="00BC4647"/>
    <w:p w14:paraId="7B2205B7" w14:textId="77777777" w:rsidR="005F216E" w:rsidRPr="009D531E" w:rsidRDefault="005F216E" w:rsidP="009D531E">
      <w:pPr>
        <w:pStyle w:val="Heading1"/>
      </w:pPr>
      <w:r w:rsidRPr="009D531E">
        <w:t>The facts</w:t>
      </w:r>
    </w:p>
    <w:p w14:paraId="11404850" w14:textId="7B863449" w:rsidR="0087090D" w:rsidRDefault="00E150B5" w:rsidP="0087090D">
      <w:pPr>
        <w:pStyle w:val="Heading2"/>
        <w:ind w:left="680" w:hanging="680"/>
      </w:pPr>
      <w:r w:rsidRPr="00B2783D">
        <w:t xml:space="preserve">The issues regarding this case are whether or not Sarah Morgan </w:t>
      </w:r>
      <w:r w:rsidR="00701BD7" w:rsidRPr="00B2783D">
        <w:t xml:space="preserve">has a basis for a claim regarding the property mentioned above. She </w:t>
      </w:r>
      <w:r w:rsidR="002230DC">
        <w:t>states</w:t>
      </w:r>
      <w:r w:rsidR="00701BD7" w:rsidRPr="00B2783D">
        <w:t xml:space="preserve"> that </w:t>
      </w:r>
      <w:r w:rsidR="00625B33" w:rsidRPr="00B2783D">
        <w:t>she is entitled t</w:t>
      </w:r>
      <w:r w:rsidR="0087090D" w:rsidRPr="00B2783D">
        <w:t>o a share of the property under a constructive trust/proprietary estoppel.</w:t>
      </w:r>
    </w:p>
    <w:p w14:paraId="4D81B0B2" w14:textId="02A8307D" w:rsidR="004E73B5" w:rsidRPr="004E73B5" w:rsidRDefault="0087090D" w:rsidP="004E73B5">
      <w:pPr>
        <w:pStyle w:val="Heading2"/>
      </w:pPr>
      <w:r>
        <w:t xml:space="preserve">The defendant, Jennifer Williams, </w:t>
      </w:r>
      <w:r w:rsidR="00ED482A">
        <w:t xml:space="preserve">disputes all claims that have been brought before the court. She states </w:t>
      </w:r>
      <w:r w:rsidR="0014244D">
        <w:t xml:space="preserve">that Ms Morgan had limited </w:t>
      </w:r>
      <w:r w:rsidR="00623277">
        <w:t xml:space="preserve">involvement with the property. </w:t>
      </w:r>
      <w:r w:rsidR="0056774A">
        <w:t>This can be disputed as they had a joint bank account</w:t>
      </w:r>
      <w:r w:rsidR="007C7347">
        <w:t>, in which they both contributed into to</w:t>
      </w:r>
      <w:r w:rsidR="00FA26D9">
        <w:t>,</w:t>
      </w:r>
      <w:r w:rsidR="007C7347">
        <w:t xml:space="preserve"> and both had access to regarding essentials for the property. </w:t>
      </w:r>
    </w:p>
    <w:p w14:paraId="71C955F3" w14:textId="1197F2E8" w:rsidR="00BC4647" w:rsidRPr="00BC4647" w:rsidRDefault="00875533" w:rsidP="00BC4647">
      <w:pPr>
        <w:pStyle w:val="Heading2"/>
      </w:pPr>
      <w:r>
        <w:t>Ms Morgan had used all of her savings in order to ensure that the house can be repaired and habitable for both Ms Morgan and Ms Williams and both the children.</w:t>
      </w:r>
      <w:r w:rsidR="006D5AD6">
        <w:t xml:space="preserve"> Ms Morgan had a significant role when dealing with the builders regarding the repairs from the storm and also the remodel they had both agreed upon. </w:t>
      </w:r>
    </w:p>
    <w:p w14:paraId="14125EFA" w14:textId="2D894EC9" w:rsidR="007541DF" w:rsidRPr="00FA3C3B" w:rsidRDefault="00FA3C3B" w:rsidP="00FA3C3B">
      <w:pPr>
        <w:pStyle w:val="Heading2"/>
        <w:ind w:left="680" w:hanging="680"/>
        <w:rPr>
          <w:rStyle w:val="SubtleEmphasis"/>
          <w:rFonts w:ascii="Arial" w:hAnsi="Arial"/>
          <w:b w:val="0"/>
          <w:iCs w:val="0"/>
        </w:rPr>
      </w:pPr>
      <w:r>
        <w:t xml:space="preserve">The claimant asserts that her contributions included both financial and non-financial support which led her to believe that she would acquire an interest in the property. She relied on these representations, making decisions and </w:t>
      </w:r>
      <w:r>
        <w:lastRenderedPageBreak/>
        <w:t xml:space="preserve">investments based on her belief that she would share in the property’s ownership. </w:t>
      </w:r>
    </w:p>
    <w:p w14:paraId="6689B54D" w14:textId="77777777" w:rsidR="007541DF" w:rsidRDefault="007541DF" w:rsidP="007541DF">
      <w:pPr>
        <w:pStyle w:val="Heading1"/>
        <w:numPr>
          <w:ilvl w:val="0"/>
          <w:numId w:val="0"/>
        </w:numPr>
        <w:ind w:left="680" w:hanging="680"/>
        <w:rPr>
          <w:rStyle w:val="SubtleEmphasis"/>
          <w:b/>
          <w:iCs w:val="0"/>
        </w:rPr>
      </w:pPr>
    </w:p>
    <w:p w14:paraId="4A406850" w14:textId="77777777" w:rsidR="007541DF" w:rsidRDefault="007541DF" w:rsidP="007541DF">
      <w:pPr>
        <w:pStyle w:val="Heading1"/>
        <w:numPr>
          <w:ilvl w:val="0"/>
          <w:numId w:val="0"/>
        </w:numPr>
        <w:ind w:left="680" w:hanging="680"/>
        <w:rPr>
          <w:rStyle w:val="SubtleEmphasis"/>
          <w:b/>
          <w:iCs w:val="0"/>
        </w:rPr>
      </w:pPr>
    </w:p>
    <w:p w14:paraId="11E311A8" w14:textId="77777777" w:rsidR="007541DF" w:rsidRDefault="007541DF" w:rsidP="007541DF">
      <w:pPr>
        <w:pStyle w:val="Heading1"/>
        <w:numPr>
          <w:ilvl w:val="0"/>
          <w:numId w:val="0"/>
        </w:numPr>
        <w:ind w:left="680" w:hanging="680"/>
        <w:rPr>
          <w:rStyle w:val="SubtleEmphasis"/>
          <w:b/>
          <w:iCs w:val="0"/>
        </w:rPr>
      </w:pPr>
    </w:p>
    <w:p w14:paraId="00196F0C" w14:textId="77777777" w:rsidR="007541DF" w:rsidRDefault="007541DF" w:rsidP="004D33CB">
      <w:pPr>
        <w:pStyle w:val="Heading1"/>
        <w:numPr>
          <w:ilvl w:val="0"/>
          <w:numId w:val="0"/>
        </w:numPr>
        <w:rPr>
          <w:rStyle w:val="SubtleEmphasis"/>
          <w:b/>
          <w:iCs w:val="0"/>
        </w:rPr>
      </w:pPr>
    </w:p>
    <w:p w14:paraId="020D26B5" w14:textId="745871FA" w:rsidR="005F216E" w:rsidRPr="009D531E" w:rsidRDefault="005F216E" w:rsidP="007541DF">
      <w:pPr>
        <w:pStyle w:val="Heading1"/>
        <w:numPr>
          <w:ilvl w:val="0"/>
          <w:numId w:val="0"/>
        </w:numPr>
        <w:ind w:left="680" w:hanging="680"/>
        <w:rPr>
          <w:rStyle w:val="SubtleEmphasis"/>
          <w:b/>
          <w:iCs w:val="0"/>
        </w:rPr>
      </w:pPr>
      <w:r w:rsidRPr="009D531E">
        <w:rPr>
          <w:rStyle w:val="SubtleEmphasis"/>
          <w:b/>
          <w:iCs w:val="0"/>
        </w:rPr>
        <w:t>Claim arising under a constructive trust</w:t>
      </w:r>
    </w:p>
    <w:p w14:paraId="4D929431" w14:textId="77777777" w:rsidR="005F216E" w:rsidRPr="009D531E" w:rsidRDefault="005F216E" w:rsidP="009D531E">
      <w:pPr>
        <w:pStyle w:val="Heading1"/>
      </w:pPr>
      <w:r w:rsidRPr="009D531E">
        <w:t xml:space="preserve">The law </w:t>
      </w:r>
    </w:p>
    <w:p w14:paraId="5B314DDD" w14:textId="0D42BA9D" w:rsidR="00495D0D" w:rsidRDefault="00672FAC" w:rsidP="006F3BC6">
      <w:pPr>
        <w:pStyle w:val="Heading2"/>
        <w:ind w:left="680" w:hanging="680"/>
      </w:pPr>
      <w:r>
        <w:t xml:space="preserve">Jennifer’s actions have been detrimental to Sarah because they both have acted with the intention that Sarah should have a beneficial interest in the property. This is referred to as a shared intention constructive trust and is frequently debated in cases involving cohabitees’ ownership rights of property, such as established in the cases of Jones v Kernott [2011] UKSC 53 and Stack v Dowden [2007] UKHL 17. </w:t>
      </w:r>
      <w:r w:rsidR="00A0713E">
        <w:t xml:space="preserve">For Ms Morgan to make a claim under constructive trust it must be proven that there was a common intention to share ownership of the property, which the claimant believes had taken place due to texts and conversations between herself and the defendant, she had also placed a large sum of money into the property for repairs and also the remodel. </w:t>
      </w:r>
    </w:p>
    <w:p w14:paraId="1559271B" w14:textId="234780E6" w:rsidR="00775D69" w:rsidRDefault="00775D69" w:rsidP="004F06BE">
      <w:pPr>
        <w:pStyle w:val="Heading2"/>
      </w:pPr>
      <w:r>
        <w:t xml:space="preserve">In the case of Lloyds Bank PLC v </w:t>
      </w:r>
      <w:proofErr w:type="gramStart"/>
      <w:r>
        <w:t xml:space="preserve">Rosset </w:t>
      </w:r>
      <w:r w:rsidR="00EA542C">
        <w:t>[1991]</w:t>
      </w:r>
      <w:proofErr w:type="gramEnd"/>
      <w:r w:rsidR="00EA542C">
        <w:t xml:space="preserve"> </w:t>
      </w:r>
      <w:r w:rsidR="003D7B28">
        <w:t xml:space="preserve">the court held that financial contributions must be made to the renovations of the house, Sarah has contributed significantly with the repairs. Under this principle it can be stated that she </w:t>
      </w:r>
      <w:r w:rsidR="00EA542C">
        <w:t xml:space="preserve">can claim a beneficial interest. </w:t>
      </w:r>
    </w:p>
    <w:p w14:paraId="27F5371A" w14:textId="6FAB2FE4" w:rsidR="004F06BE" w:rsidRPr="004F06BE" w:rsidRDefault="00FA2527" w:rsidP="004F06BE">
      <w:pPr>
        <w:pStyle w:val="Heading2"/>
      </w:pPr>
      <w:r>
        <w:t xml:space="preserve">The law regarding this issue is not in dispute, but the results pending from this claim are, </w:t>
      </w:r>
      <w:r w:rsidR="004F06BE">
        <w:t>there is no clear-cut answer regarding this situation, cohabitating couples do not have the same rights as those married. Due to the fact that only Jennifer Willaims’ name is on the legal deed, l</w:t>
      </w:r>
      <w:r>
        <w:t xml:space="preserve">egislation states that </w:t>
      </w:r>
      <w:r w:rsidR="004F06BE">
        <w:t xml:space="preserve">Sarah </w:t>
      </w:r>
      <w:r w:rsidR="004F06BE">
        <w:lastRenderedPageBreak/>
        <w:t xml:space="preserve">Morgan </w:t>
      </w:r>
      <w:r>
        <w:t xml:space="preserve">can bring a claim under the Trusts of Land and Appointment of Trustees Act 1996 (TOTLA) as long as they can show that they have a beneficial claim which Sarah Morgan </w:t>
      </w:r>
      <w:r w:rsidR="004F06BE">
        <w:t xml:space="preserve">believes she </w:t>
      </w:r>
      <w:r>
        <w:t xml:space="preserve">does and has proven she has contributed financially to the property. </w:t>
      </w:r>
    </w:p>
    <w:p w14:paraId="0808BE11" w14:textId="77777777" w:rsidR="005F216E" w:rsidRDefault="005F216E" w:rsidP="009D531E">
      <w:pPr>
        <w:pStyle w:val="Heading1"/>
      </w:pPr>
      <w:r w:rsidRPr="009D531E">
        <w:t xml:space="preserve">Submissions </w:t>
      </w:r>
    </w:p>
    <w:p w14:paraId="50A64AAC" w14:textId="5E92C339" w:rsidR="008B6A9E" w:rsidRDefault="00947BC5" w:rsidP="008B6A9E">
      <w:pPr>
        <w:pStyle w:val="Heading2"/>
      </w:pPr>
      <w:r>
        <w:t>The claimant submits that a constructive trust is established within this case</w:t>
      </w:r>
      <w:r w:rsidR="00001008">
        <w:t xml:space="preserve"> for the reason outlined below:</w:t>
      </w:r>
    </w:p>
    <w:p w14:paraId="3A18F731" w14:textId="5EC1DA77" w:rsidR="00001008" w:rsidRPr="00821185" w:rsidRDefault="00001008" w:rsidP="00001008">
      <w:pPr>
        <w:pStyle w:val="ListParagraph"/>
        <w:numPr>
          <w:ilvl w:val="0"/>
          <w:numId w:val="20"/>
        </w:numPr>
        <w:rPr>
          <w:rFonts w:asciiTheme="minorHAnsi" w:hAnsiTheme="minorHAnsi" w:cstheme="minorHAnsi"/>
        </w:rPr>
      </w:pPr>
      <w:r w:rsidRPr="00821185">
        <w:rPr>
          <w:rFonts w:asciiTheme="minorHAnsi" w:hAnsiTheme="minorHAnsi" w:cstheme="minorHAnsi"/>
          <w:b/>
          <w:bCs/>
        </w:rPr>
        <w:t>Financial contribution:</w:t>
      </w:r>
      <w:r w:rsidR="004F7256" w:rsidRPr="00821185">
        <w:rPr>
          <w:rFonts w:asciiTheme="minorHAnsi" w:hAnsiTheme="minorHAnsi" w:cstheme="minorHAnsi"/>
          <w:b/>
          <w:bCs/>
        </w:rPr>
        <w:t xml:space="preserve"> </w:t>
      </w:r>
      <w:r w:rsidR="004F7256" w:rsidRPr="00821185">
        <w:rPr>
          <w:rFonts w:asciiTheme="minorHAnsi" w:hAnsiTheme="minorHAnsi" w:cstheme="minorHAnsi"/>
        </w:rPr>
        <w:t xml:space="preserve">The claimant has shown </w:t>
      </w:r>
      <w:r w:rsidR="00CF608B" w:rsidRPr="00821185">
        <w:rPr>
          <w:rFonts w:asciiTheme="minorHAnsi" w:hAnsiTheme="minorHAnsi" w:cstheme="minorHAnsi"/>
        </w:rPr>
        <w:t xml:space="preserve">that she had financially contributed to the property, by </w:t>
      </w:r>
      <w:r w:rsidR="003A6751">
        <w:rPr>
          <w:rFonts w:asciiTheme="minorHAnsi" w:hAnsiTheme="minorHAnsi" w:cstheme="minorHAnsi"/>
        </w:rPr>
        <w:t>using £60,000 of her savings to pay for the repairs sustained during a storm and using part of that for a remodel that both parties had agreed upon</w:t>
      </w:r>
      <w:r w:rsidR="00562519">
        <w:rPr>
          <w:rFonts w:asciiTheme="minorHAnsi" w:hAnsiTheme="minorHAnsi" w:cstheme="minorHAnsi"/>
        </w:rPr>
        <w:t xml:space="preserve">. The reason Ms Morgan had done this was because she was under the assumption that the property belonged to her as much as it did Ms Williams. </w:t>
      </w:r>
      <w:r w:rsidR="006C2CF5">
        <w:rPr>
          <w:rFonts w:asciiTheme="minorHAnsi" w:hAnsiTheme="minorHAnsi" w:cstheme="minorHAnsi"/>
        </w:rPr>
        <w:t xml:space="preserve">While </w:t>
      </w:r>
      <w:r w:rsidR="00EF6C00">
        <w:rPr>
          <w:rFonts w:asciiTheme="minorHAnsi" w:hAnsiTheme="minorHAnsi" w:cstheme="minorHAnsi"/>
        </w:rPr>
        <w:t>both</w:t>
      </w:r>
      <w:r w:rsidR="006C2CF5">
        <w:rPr>
          <w:rFonts w:asciiTheme="minorHAnsi" w:hAnsiTheme="minorHAnsi" w:cstheme="minorHAnsi"/>
        </w:rPr>
        <w:t xml:space="preserve"> contributed financially to the property during various stages of their relationship, Ms Morgan had always been under the assumption that she had shares within the property </w:t>
      </w:r>
      <w:r w:rsidR="00EF6C00">
        <w:rPr>
          <w:rFonts w:asciiTheme="minorHAnsi" w:hAnsiTheme="minorHAnsi" w:cstheme="minorHAnsi"/>
        </w:rPr>
        <w:t xml:space="preserve">and that part of it belonged to her. </w:t>
      </w:r>
    </w:p>
    <w:p w14:paraId="411CCD8C" w14:textId="0F22E02C" w:rsidR="00001008" w:rsidRPr="00821185" w:rsidRDefault="00001008" w:rsidP="00001008">
      <w:pPr>
        <w:pStyle w:val="ListParagraph"/>
        <w:numPr>
          <w:ilvl w:val="0"/>
          <w:numId w:val="20"/>
        </w:numPr>
        <w:rPr>
          <w:rFonts w:asciiTheme="minorHAnsi" w:hAnsiTheme="minorHAnsi" w:cstheme="minorHAnsi"/>
        </w:rPr>
      </w:pPr>
      <w:r w:rsidRPr="00821185">
        <w:rPr>
          <w:rFonts w:asciiTheme="minorHAnsi" w:hAnsiTheme="minorHAnsi" w:cstheme="minorHAnsi"/>
          <w:b/>
          <w:bCs/>
        </w:rPr>
        <w:t>Common Intention:</w:t>
      </w:r>
      <w:r w:rsidR="00EF6C00">
        <w:rPr>
          <w:rFonts w:asciiTheme="minorHAnsi" w:hAnsiTheme="minorHAnsi" w:cstheme="minorHAnsi"/>
          <w:b/>
          <w:bCs/>
        </w:rPr>
        <w:t xml:space="preserve"> </w:t>
      </w:r>
      <w:r w:rsidR="008615D1">
        <w:rPr>
          <w:rFonts w:asciiTheme="minorHAnsi" w:hAnsiTheme="minorHAnsi" w:cstheme="minorHAnsi"/>
        </w:rPr>
        <w:t xml:space="preserve">The claimant </w:t>
      </w:r>
      <w:r w:rsidR="00F7213D">
        <w:rPr>
          <w:rFonts w:asciiTheme="minorHAnsi" w:hAnsiTheme="minorHAnsi" w:cstheme="minorHAnsi"/>
        </w:rPr>
        <w:t>states that there was common intention between herself and Ms Williams to share the property equally</w:t>
      </w:r>
      <w:r w:rsidR="00F45B47">
        <w:rPr>
          <w:rFonts w:asciiTheme="minorHAnsi" w:hAnsiTheme="minorHAnsi" w:cstheme="minorHAnsi"/>
        </w:rPr>
        <w:t xml:space="preserve">, despite the defendant being the sole owner with the Land </w:t>
      </w:r>
      <w:r w:rsidR="00A7560E">
        <w:rPr>
          <w:rFonts w:asciiTheme="minorHAnsi" w:hAnsiTheme="minorHAnsi" w:cstheme="minorHAnsi"/>
        </w:rPr>
        <w:t>Registry</w:t>
      </w:r>
      <w:r w:rsidR="00F45B47">
        <w:rPr>
          <w:rFonts w:asciiTheme="minorHAnsi" w:hAnsiTheme="minorHAnsi" w:cstheme="minorHAnsi"/>
        </w:rPr>
        <w:t xml:space="preserve">. The common intention </w:t>
      </w:r>
      <w:r w:rsidR="00176A15">
        <w:rPr>
          <w:rFonts w:asciiTheme="minorHAnsi" w:hAnsiTheme="minorHAnsi" w:cstheme="minorHAnsi"/>
        </w:rPr>
        <w:t xml:space="preserve">is evidenced </w:t>
      </w:r>
      <w:r w:rsidR="00DC4AA0">
        <w:rPr>
          <w:rFonts w:asciiTheme="minorHAnsi" w:hAnsiTheme="minorHAnsi" w:cstheme="minorHAnsi"/>
        </w:rPr>
        <w:t xml:space="preserve">by both parties having a joint bank account that was used for household purposes, such as bills, utilities and essential items such as food. </w:t>
      </w:r>
      <w:r w:rsidR="00F04290">
        <w:rPr>
          <w:rFonts w:asciiTheme="minorHAnsi" w:hAnsiTheme="minorHAnsi" w:cstheme="minorHAnsi"/>
        </w:rPr>
        <w:t xml:space="preserve">The </w:t>
      </w:r>
      <w:r w:rsidR="00A7560E">
        <w:rPr>
          <w:rFonts w:asciiTheme="minorHAnsi" w:hAnsiTheme="minorHAnsi" w:cstheme="minorHAnsi"/>
        </w:rPr>
        <w:t>claimant’s</w:t>
      </w:r>
      <w:r w:rsidR="00F04290">
        <w:rPr>
          <w:rFonts w:asciiTheme="minorHAnsi" w:hAnsiTheme="minorHAnsi" w:cstheme="minorHAnsi"/>
        </w:rPr>
        <w:t xml:space="preserve"> substantial financial </w:t>
      </w:r>
      <w:r w:rsidR="00A7560E">
        <w:rPr>
          <w:rFonts w:asciiTheme="minorHAnsi" w:hAnsiTheme="minorHAnsi" w:cstheme="minorHAnsi"/>
        </w:rPr>
        <w:t>contribution</w:t>
      </w:r>
      <w:r w:rsidR="00F04290">
        <w:rPr>
          <w:rFonts w:asciiTheme="minorHAnsi" w:hAnsiTheme="minorHAnsi" w:cstheme="minorHAnsi"/>
        </w:rPr>
        <w:t xml:space="preserve"> of £60,000 clearly demonstrates </w:t>
      </w:r>
      <w:r w:rsidR="00A7560E">
        <w:rPr>
          <w:rFonts w:asciiTheme="minorHAnsi" w:hAnsiTheme="minorHAnsi" w:cstheme="minorHAnsi"/>
        </w:rPr>
        <w:t xml:space="preserve">her intention to treat the property in question as a shared asset. By </w:t>
      </w:r>
      <w:r w:rsidR="00FB486A">
        <w:rPr>
          <w:rFonts w:asciiTheme="minorHAnsi" w:hAnsiTheme="minorHAnsi" w:cstheme="minorHAnsi"/>
        </w:rPr>
        <w:t xml:space="preserve">both parties making </w:t>
      </w:r>
      <w:r w:rsidR="00D55CF3">
        <w:rPr>
          <w:rFonts w:asciiTheme="minorHAnsi" w:hAnsiTheme="minorHAnsi" w:cstheme="minorHAnsi"/>
        </w:rPr>
        <w:t xml:space="preserve">financial and family decisions </w:t>
      </w:r>
      <w:r w:rsidR="006C06D2">
        <w:rPr>
          <w:rFonts w:asciiTheme="minorHAnsi" w:hAnsiTheme="minorHAnsi" w:cstheme="minorHAnsi"/>
        </w:rPr>
        <w:t xml:space="preserve">while each were doing different things supports the claim for common intention that the relationship and assets were to be divided equally. </w:t>
      </w:r>
    </w:p>
    <w:p w14:paraId="0787076C" w14:textId="322C6E35" w:rsidR="00001008" w:rsidRPr="00C021D9" w:rsidRDefault="00001008" w:rsidP="00001008">
      <w:pPr>
        <w:pStyle w:val="ListParagraph"/>
        <w:numPr>
          <w:ilvl w:val="0"/>
          <w:numId w:val="20"/>
        </w:numPr>
        <w:rPr>
          <w:rFonts w:asciiTheme="minorHAnsi" w:hAnsiTheme="minorHAnsi" w:cstheme="minorHAnsi"/>
        </w:rPr>
      </w:pPr>
      <w:r w:rsidRPr="00821185">
        <w:rPr>
          <w:rFonts w:asciiTheme="minorHAnsi" w:hAnsiTheme="minorHAnsi" w:cstheme="minorHAnsi"/>
          <w:b/>
          <w:bCs/>
        </w:rPr>
        <w:t>Detrimental Reliance:</w:t>
      </w:r>
      <w:r w:rsidR="00C021D9">
        <w:rPr>
          <w:rFonts w:asciiTheme="minorHAnsi" w:hAnsiTheme="minorHAnsi" w:cstheme="minorHAnsi"/>
          <w:b/>
          <w:bCs/>
        </w:rPr>
        <w:t xml:space="preserve"> </w:t>
      </w:r>
      <w:r w:rsidR="00C021D9" w:rsidRPr="00C021D9">
        <w:rPr>
          <w:rFonts w:asciiTheme="minorHAnsi" w:hAnsiTheme="minorHAnsi" w:cstheme="minorHAnsi"/>
        </w:rPr>
        <w:t>The claimant</w:t>
      </w:r>
      <w:r w:rsidR="00C021D9">
        <w:rPr>
          <w:rFonts w:asciiTheme="minorHAnsi" w:hAnsiTheme="minorHAnsi" w:cstheme="minorHAnsi"/>
          <w:b/>
          <w:bCs/>
        </w:rPr>
        <w:t xml:space="preserve"> </w:t>
      </w:r>
      <w:r w:rsidR="00C021D9" w:rsidRPr="002C5A1B">
        <w:rPr>
          <w:rFonts w:asciiTheme="minorHAnsi" w:hAnsiTheme="minorHAnsi" w:cstheme="minorHAnsi"/>
        </w:rPr>
        <w:t xml:space="preserve">had acted to her </w:t>
      </w:r>
      <w:r w:rsidR="002C5A1B" w:rsidRPr="002C5A1B">
        <w:rPr>
          <w:rFonts w:asciiTheme="minorHAnsi" w:hAnsiTheme="minorHAnsi" w:cstheme="minorHAnsi"/>
        </w:rPr>
        <w:t>detriment</w:t>
      </w:r>
      <w:r w:rsidR="00C021D9" w:rsidRPr="002C5A1B">
        <w:rPr>
          <w:rFonts w:asciiTheme="minorHAnsi" w:hAnsiTheme="minorHAnsi" w:cstheme="minorHAnsi"/>
        </w:rPr>
        <w:t xml:space="preserve"> </w:t>
      </w:r>
      <w:r w:rsidR="002C5A1B" w:rsidRPr="002C5A1B">
        <w:rPr>
          <w:rFonts w:asciiTheme="minorHAnsi" w:hAnsiTheme="minorHAnsi" w:cstheme="minorHAnsi"/>
        </w:rPr>
        <w:t>in reliance on the common intention implied to share the property</w:t>
      </w:r>
      <w:r w:rsidR="002C5A1B">
        <w:rPr>
          <w:rFonts w:asciiTheme="minorHAnsi" w:hAnsiTheme="minorHAnsi" w:cstheme="minorHAnsi"/>
        </w:rPr>
        <w:t>. The claimant</w:t>
      </w:r>
      <w:r w:rsidR="0013156A">
        <w:rPr>
          <w:rFonts w:asciiTheme="minorHAnsi" w:hAnsiTheme="minorHAnsi" w:cstheme="minorHAnsi"/>
        </w:rPr>
        <w:t xml:space="preserve">’s reliance on the defendant’s assurances was detrimental because it </w:t>
      </w:r>
      <w:r w:rsidR="00D97DDD">
        <w:rPr>
          <w:rFonts w:asciiTheme="minorHAnsi" w:hAnsiTheme="minorHAnsi" w:cstheme="minorHAnsi"/>
        </w:rPr>
        <w:t>resulted</w:t>
      </w:r>
      <w:r w:rsidR="0013156A">
        <w:rPr>
          <w:rFonts w:asciiTheme="minorHAnsi" w:hAnsiTheme="minorHAnsi" w:cstheme="minorHAnsi"/>
        </w:rPr>
        <w:t xml:space="preserve"> in the depletion of her cash ISA savings </w:t>
      </w:r>
      <w:r w:rsidR="006354FE">
        <w:rPr>
          <w:rFonts w:asciiTheme="minorHAnsi" w:hAnsiTheme="minorHAnsi" w:cstheme="minorHAnsi"/>
        </w:rPr>
        <w:t>totalling</w:t>
      </w:r>
      <w:r w:rsidR="00D97DDD">
        <w:rPr>
          <w:rFonts w:asciiTheme="minorHAnsi" w:hAnsiTheme="minorHAnsi" w:cstheme="minorHAnsi"/>
        </w:rPr>
        <w:t xml:space="preserve"> over £60,000</w:t>
      </w:r>
      <w:r w:rsidR="00356F23">
        <w:rPr>
          <w:rFonts w:asciiTheme="minorHAnsi" w:hAnsiTheme="minorHAnsi" w:cstheme="minorHAnsi"/>
        </w:rPr>
        <w:t xml:space="preserve">, had she known that the defendant had no intention of sharing the property or allowing the claimant to have a percentage, she would not have used the entirety of her savings to fixing and remodelling the property, but it could have been used </w:t>
      </w:r>
      <w:r w:rsidR="006354FE">
        <w:rPr>
          <w:rFonts w:asciiTheme="minorHAnsi" w:hAnsiTheme="minorHAnsi" w:cstheme="minorHAnsi"/>
        </w:rPr>
        <w:t xml:space="preserve">for herself to invest in another property or to secure her own financial security. </w:t>
      </w:r>
    </w:p>
    <w:p w14:paraId="1D5F4EDA" w14:textId="77777777" w:rsidR="00C021D9" w:rsidRDefault="00C021D9" w:rsidP="00C021D9">
      <w:pPr>
        <w:rPr>
          <w:rFonts w:asciiTheme="minorHAnsi" w:hAnsiTheme="minorHAnsi" w:cstheme="minorHAnsi"/>
        </w:rPr>
      </w:pPr>
    </w:p>
    <w:p w14:paraId="22F84A5B" w14:textId="77777777" w:rsidR="005F216E" w:rsidRPr="009D531E" w:rsidRDefault="005F216E" w:rsidP="009D531E">
      <w:pPr>
        <w:pStyle w:val="Heading1"/>
      </w:pPr>
      <w:r w:rsidRPr="009D531E">
        <w:t xml:space="preserve">Conclusions </w:t>
      </w:r>
    </w:p>
    <w:p w14:paraId="11D63997" w14:textId="159F4E35" w:rsidR="0030541E" w:rsidRDefault="0030541E" w:rsidP="0030541E">
      <w:pPr>
        <w:pStyle w:val="Heading2"/>
      </w:pPr>
      <w:r>
        <w:t xml:space="preserve">Given the evidence provided to us above, it clearly outlines that Ms Morgan has contributed significantly financially and also ensured that the property remained </w:t>
      </w:r>
      <w:r>
        <w:lastRenderedPageBreak/>
        <w:t xml:space="preserve">in a habitable condition, allowing both parties and their children to remain at the property. </w:t>
      </w:r>
      <w:r w:rsidRPr="0030541E">
        <w:t xml:space="preserve"> </w:t>
      </w:r>
    </w:p>
    <w:p w14:paraId="33F29ABC" w14:textId="77777777" w:rsidR="00FD489F" w:rsidRDefault="00FD489F" w:rsidP="00FD489F"/>
    <w:p w14:paraId="3B3BE284" w14:textId="77777777" w:rsidR="00FD489F" w:rsidRPr="00FD489F" w:rsidRDefault="00FD489F" w:rsidP="00FD489F"/>
    <w:p w14:paraId="3FA2DFDB" w14:textId="021B89A4" w:rsidR="005F216E" w:rsidRPr="009D531E" w:rsidRDefault="005F216E" w:rsidP="00FD489F">
      <w:pPr>
        <w:pStyle w:val="Heading1"/>
        <w:numPr>
          <w:ilvl w:val="0"/>
          <w:numId w:val="0"/>
        </w:numPr>
        <w:ind w:left="680" w:hanging="680"/>
        <w:rPr>
          <w:rStyle w:val="SubtleEmphasis"/>
          <w:b/>
          <w:iCs w:val="0"/>
        </w:rPr>
      </w:pPr>
      <w:r w:rsidRPr="009D531E">
        <w:rPr>
          <w:rStyle w:val="SubtleEmphasis"/>
          <w:b/>
          <w:iCs w:val="0"/>
        </w:rPr>
        <w:t xml:space="preserve">Claim arising under a proprietary estoppel </w:t>
      </w:r>
    </w:p>
    <w:p w14:paraId="6672ADB9" w14:textId="77777777" w:rsidR="005F216E" w:rsidRPr="009D531E" w:rsidRDefault="005F216E" w:rsidP="009D531E">
      <w:pPr>
        <w:pStyle w:val="Heading1"/>
      </w:pPr>
      <w:r w:rsidRPr="009D531E">
        <w:t xml:space="preserve">The law </w:t>
      </w:r>
    </w:p>
    <w:p w14:paraId="5F9D1598" w14:textId="394C1660" w:rsidR="006C6131" w:rsidRPr="006C6131" w:rsidRDefault="00FD6FB5" w:rsidP="006C6131">
      <w:pPr>
        <w:pStyle w:val="Heading2"/>
      </w:pPr>
      <w:r>
        <w:t xml:space="preserve">Proprietary estoppel </w:t>
      </w:r>
      <w:r w:rsidR="00B74CD4">
        <w:t xml:space="preserve">arises when </w:t>
      </w:r>
      <w:r w:rsidR="00547169">
        <w:t>a person has been given an informal promise regarding land or property</w:t>
      </w:r>
      <w:r w:rsidR="00C2724D">
        <w:t xml:space="preserve"> according to </w:t>
      </w:r>
      <w:r w:rsidR="00DB25A8">
        <w:t>s.183 of the Land Registration Act 2002</w:t>
      </w:r>
      <w:r w:rsidR="00547169">
        <w:t xml:space="preserve">. Looking at the text messages between Ms Morgan and Ms Williams, it can be perceived that </w:t>
      </w:r>
      <w:r w:rsidR="00C2724D">
        <w:t xml:space="preserve">there is indeed </w:t>
      </w:r>
      <w:r w:rsidR="006C6131">
        <w:t xml:space="preserve">an informal promise has been made </w:t>
      </w:r>
      <w:r w:rsidR="00344F94">
        <w:t xml:space="preserve">as </w:t>
      </w:r>
      <w:r w:rsidR="006C6131">
        <w:t>regarding the property and Ms Morgan’s share</w:t>
      </w:r>
      <w:r w:rsidR="00344F94">
        <w:t>, as Ms Williams states ‘</w:t>
      </w:r>
      <w:r w:rsidR="00964A65">
        <w:t>I’ll always look after you’</w:t>
      </w:r>
      <w:r w:rsidR="006C6131">
        <w:t xml:space="preserve">. </w:t>
      </w:r>
    </w:p>
    <w:p w14:paraId="7E9550F0" w14:textId="77777777" w:rsidR="002A7CE9" w:rsidRPr="00F72F76" w:rsidRDefault="002A7CE9" w:rsidP="002A7CE9">
      <w:pPr>
        <w:pStyle w:val="Heading2"/>
        <w:ind w:left="680" w:hanging="680"/>
      </w:pPr>
      <w:r w:rsidRPr="00F72F76">
        <w:t>For the courts to determine whether proprietary estoppel applies, three key components must be presented. According to the case of Thorner v Major [2009] assurance, reliance and detriment must be present.</w:t>
      </w:r>
      <w:r>
        <w:t xml:space="preserve"> </w:t>
      </w:r>
      <w:r w:rsidRPr="00325A7E">
        <w:t>The representations must refer to property that has been identified and be "clear enough" to do so.</w:t>
      </w:r>
      <w:r>
        <w:t xml:space="preserve"> </w:t>
      </w:r>
      <w:r w:rsidRPr="00F72F76">
        <w:t xml:space="preserve"> </w:t>
      </w:r>
    </w:p>
    <w:p w14:paraId="3C3827A7" w14:textId="3B4C8097" w:rsidR="005F216E" w:rsidRPr="009D531E" w:rsidRDefault="005F216E" w:rsidP="009D531E">
      <w:pPr>
        <w:pStyle w:val="Heading1"/>
      </w:pPr>
      <w:r w:rsidRPr="009D531E">
        <w:t>Submissions</w:t>
      </w:r>
      <w:r w:rsidR="00BA5F3A">
        <w:t>: Proprietary Estoppel</w:t>
      </w:r>
    </w:p>
    <w:p w14:paraId="3E8A89ED" w14:textId="5B10226F" w:rsidR="00492A57" w:rsidRDefault="00F10289" w:rsidP="009D531E">
      <w:pPr>
        <w:pStyle w:val="Heading2"/>
      </w:pPr>
      <w:r>
        <w:t xml:space="preserve">The claimant submits that proprietary estoppel </w:t>
      </w:r>
      <w:r w:rsidR="00252B80">
        <w:t xml:space="preserve">is </w:t>
      </w:r>
      <w:r w:rsidR="0097423B">
        <w:t xml:space="preserve">established </w:t>
      </w:r>
      <w:r w:rsidR="00111F4F">
        <w:t>within this case</w:t>
      </w:r>
      <w:r w:rsidR="00713D1D">
        <w:t>, as stated below the reasoning:</w:t>
      </w:r>
    </w:p>
    <w:p w14:paraId="1F87F1CE" w14:textId="19B83EDE" w:rsidR="00713D1D" w:rsidRPr="005559AB" w:rsidRDefault="00121B92" w:rsidP="00713D1D">
      <w:pPr>
        <w:pStyle w:val="ListParagraph"/>
        <w:numPr>
          <w:ilvl w:val="0"/>
          <w:numId w:val="18"/>
        </w:numPr>
        <w:rPr>
          <w:rFonts w:asciiTheme="minorHAnsi" w:hAnsiTheme="minorHAnsi" w:cstheme="minorHAnsi"/>
        </w:rPr>
      </w:pPr>
      <w:r w:rsidRPr="005559AB">
        <w:rPr>
          <w:rFonts w:asciiTheme="minorHAnsi" w:hAnsiTheme="minorHAnsi" w:cstheme="minorHAnsi"/>
          <w:b/>
          <w:bCs/>
        </w:rPr>
        <w:t>Assurance:</w:t>
      </w:r>
      <w:r w:rsidR="005559AB">
        <w:rPr>
          <w:rFonts w:asciiTheme="minorHAnsi" w:hAnsiTheme="minorHAnsi" w:cstheme="minorHAnsi"/>
          <w:b/>
          <w:bCs/>
        </w:rPr>
        <w:t xml:space="preserve"> </w:t>
      </w:r>
      <w:r w:rsidR="00AB2DDF">
        <w:rPr>
          <w:rFonts w:asciiTheme="minorHAnsi" w:hAnsiTheme="minorHAnsi" w:cstheme="minorHAnsi"/>
        </w:rPr>
        <w:t xml:space="preserve">The claimant states that the defendant had verbally assured her that the property was in fact a joint asset that both could benefit from. </w:t>
      </w:r>
      <w:r w:rsidR="00997B48">
        <w:rPr>
          <w:rFonts w:asciiTheme="minorHAnsi" w:hAnsiTheme="minorHAnsi" w:cstheme="minorHAnsi"/>
        </w:rPr>
        <w:t xml:space="preserve">Although the text messages between the defendant and claimant do not explicitly say that she doesn’t have a share the implication was present. </w:t>
      </w:r>
      <w:r w:rsidR="00F6784B">
        <w:rPr>
          <w:rFonts w:asciiTheme="minorHAnsi" w:hAnsiTheme="minorHAnsi" w:cstheme="minorHAnsi"/>
        </w:rPr>
        <w:t xml:space="preserve">Outlined in the case </w:t>
      </w:r>
      <w:r w:rsidR="00737A4A">
        <w:rPr>
          <w:rFonts w:asciiTheme="minorHAnsi" w:hAnsiTheme="minorHAnsi" w:cstheme="minorHAnsi"/>
        </w:rPr>
        <w:t xml:space="preserve">of Greasley v Cooke [1980] it states that assurance must be present in order to make a claim. </w:t>
      </w:r>
    </w:p>
    <w:p w14:paraId="688EB125" w14:textId="3B4FA156" w:rsidR="00121B92" w:rsidRPr="007236D0" w:rsidRDefault="00121B92" w:rsidP="007236D0">
      <w:pPr>
        <w:pStyle w:val="ListParagraph"/>
        <w:numPr>
          <w:ilvl w:val="0"/>
          <w:numId w:val="18"/>
        </w:numPr>
        <w:rPr>
          <w:rFonts w:asciiTheme="minorHAnsi" w:hAnsiTheme="minorHAnsi" w:cstheme="minorHAnsi"/>
        </w:rPr>
      </w:pPr>
      <w:r w:rsidRPr="005559AB">
        <w:rPr>
          <w:rFonts w:asciiTheme="minorHAnsi" w:hAnsiTheme="minorHAnsi" w:cstheme="minorHAnsi"/>
          <w:b/>
          <w:bCs/>
        </w:rPr>
        <w:t>Reliance</w:t>
      </w:r>
      <w:r w:rsidR="007236D0">
        <w:rPr>
          <w:rFonts w:asciiTheme="minorHAnsi" w:hAnsiTheme="minorHAnsi" w:cstheme="minorHAnsi"/>
          <w:b/>
          <w:bCs/>
        </w:rPr>
        <w:t xml:space="preserve"> and </w:t>
      </w:r>
      <w:r w:rsidRPr="007236D0">
        <w:rPr>
          <w:rFonts w:asciiTheme="minorHAnsi" w:hAnsiTheme="minorHAnsi" w:cstheme="minorHAnsi"/>
          <w:b/>
          <w:bCs/>
        </w:rPr>
        <w:t>Detr</w:t>
      </w:r>
      <w:r w:rsidR="005559AB" w:rsidRPr="007236D0">
        <w:rPr>
          <w:rFonts w:asciiTheme="minorHAnsi" w:hAnsiTheme="minorHAnsi" w:cstheme="minorHAnsi"/>
          <w:b/>
          <w:bCs/>
        </w:rPr>
        <w:t xml:space="preserve">iment: </w:t>
      </w:r>
      <w:r w:rsidR="005559AB" w:rsidRPr="007236D0">
        <w:rPr>
          <w:rFonts w:asciiTheme="minorHAnsi" w:hAnsiTheme="minorHAnsi" w:cstheme="minorHAnsi"/>
        </w:rPr>
        <w:t>The claimant</w:t>
      </w:r>
      <w:r w:rsidR="002577E6" w:rsidRPr="007236D0">
        <w:rPr>
          <w:rFonts w:asciiTheme="minorHAnsi" w:hAnsiTheme="minorHAnsi" w:cstheme="minorHAnsi"/>
        </w:rPr>
        <w:t xml:space="preserve">’s reliance on these representations had been detrimental, </w:t>
      </w:r>
      <w:r w:rsidR="00190846" w:rsidRPr="007236D0">
        <w:rPr>
          <w:rFonts w:asciiTheme="minorHAnsi" w:hAnsiTheme="minorHAnsi" w:cstheme="minorHAnsi"/>
        </w:rPr>
        <w:t xml:space="preserve">she had invested her life savings into the property for improvements and repairs </w:t>
      </w:r>
      <w:r w:rsidR="00E45C46" w:rsidRPr="007236D0">
        <w:rPr>
          <w:rFonts w:asciiTheme="minorHAnsi" w:hAnsiTheme="minorHAnsi" w:cstheme="minorHAnsi"/>
        </w:rPr>
        <w:t xml:space="preserve">based on the belief that the property had been a joint asset. This reliance was substantial as it </w:t>
      </w:r>
      <w:r w:rsidR="00904BDF" w:rsidRPr="007236D0">
        <w:rPr>
          <w:rFonts w:asciiTheme="minorHAnsi" w:hAnsiTheme="minorHAnsi" w:cstheme="minorHAnsi"/>
        </w:rPr>
        <w:t xml:space="preserve">resulted in a significant loss of her savings. </w:t>
      </w:r>
    </w:p>
    <w:p w14:paraId="01109615" w14:textId="77777777" w:rsidR="00EF0F76" w:rsidRDefault="00EF0F76" w:rsidP="00EF0F76">
      <w:pPr>
        <w:pStyle w:val="Heading2"/>
      </w:pPr>
      <w:r w:rsidRPr="00C85A77">
        <w:t xml:space="preserve">The claimant argues </w:t>
      </w:r>
      <w:r>
        <w:t xml:space="preserve">that she has met all the requirements needed to establish proprietary estoppel, in the case of Thorne v Major [2007] it outlines that </w:t>
      </w:r>
      <w:r>
        <w:lastRenderedPageBreak/>
        <w:t xml:space="preserve">proprietary estoppel can still be established without the need for a verbal or written statement but goes off the actions of both parties. </w:t>
      </w:r>
    </w:p>
    <w:p w14:paraId="222527F1" w14:textId="72FFA219" w:rsidR="009B0F19" w:rsidRPr="00EF0F76" w:rsidRDefault="00EF0F76" w:rsidP="00EF0F76">
      <w:pPr>
        <w:pStyle w:val="Heading2"/>
      </w:pPr>
      <w:r>
        <w:t xml:space="preserve">Looking at the conduct and previous relationship between both parties, they had both entered into the relationship with </w:t>
      </w:r>
      <w:r w:rsidR="006755F6">
        <w:t xml:space="preserve">the purpose of living in a partnership and equality. The case outlined above establishes that the conduct between parties plays a significant role in deciding whether or not proprietary estoppel can be established. They had a joint bank account, which they both contributed to financially and had access to for necessities regarding the property. </w:t>
      </w:r>
    </w:p>
    <w:p w14:paraId="0A9CE178" w14:textId="77777777" w:rsidR="005F216E" w:rsidRPr="009D531E" w:rsidRDefault="005F216E" w:rsidP="009D531E">
      <w:pPr>
        <w:pStyle w:val="Heading1"/>
      </w:pPr>
      <w:r w:rsidRPr="009D531E">
        <w:t xml:space="preserve">Conclusions </w:t>
      </w:r>
    </w:p>
    <w:p w14:paraId="363852CB" w14:textId="0FCCF238" w:rsidR="00FB6492" w:rsidRPr="00FB6492" w:rsidRDefault="00FC3A6D" w:rsidP="00FB6492">
      <w:pPr>
        <w:pStyle w:val="Heading2"/>
      </w:pPr>
      <w:r>
        <w:t xml:space="preserve">In conclusion, </w:t>
      </w:r>
      <w:r w:rsidR="005131E9">
        <w:t xml:space="preserve">I believe that given the information and evidence provided Ms Morgan has a </w:t>
      </w:r>
      <w:r w:rsidR="00D31149">
        <w:t xml:space="preserve">reasonable request to claim proprietary estoppel </w:t>
      </w:r>
      <w:r w:rsidR="001F4C13">
        <w:t>based on the informal promise given by Ms Williams’.</w:t>
      </w:r>
    </w:p>
    <w:p w14:paraId="1758E782" w14:textId="77777777" w:rsidR="007264EB" w:rsidRPr="007264EB" w:rsidRDefault="007264EB" w:rsidP="007264EB"/>
    <w:p w14:paraId="52F9839E" w14:textId="77777777" w:rsidR="005F216E" w:rsidRPr="009D531E" w:rsidRDefault="005F216E" w:rsidP="009D531E">
      <w:pPr>
        <w:pStyle w:val="Heading1"/>
      </w:pPr>
      <w:r w:rsidRPr="009D531E">
        <w:t xml:space="preserve">Overall conclusions </w:t>
      </w:r>
    </w:p>
    <w:p w14:paraId="3362E670" w14:textId="50293B63" w:rsidR="00A11D02" w:rsidRPr="00A11D02" w:rsidRDefault="00A20A92" w:rsidP="00A11D02">
      <w:pPr>
        <w:pStyle w:val="Heading2"/>
      </w:pPr>
      <w:r>
        <w:t>In the context of constructive trust, the claimant has proven a shared intention regarding the property and has exclusively relied on this intention to her detriment</w:t>
      </w:r>
      <w:r w:rsidR="00A11D02">
        <w:t>, thus entitling her to a 50% share of the property.</w:t>
      </w:r>
    </w:p>
    <w:p w14:paraId="477F5844" w14:textId="2951967F" w:rsidR="004212C1" w:rsidRPr="004212C1" w:rsidRDefault="00A11D02" w:rsidP="004212C1">
      <w:pPr>
        <w:pStyle w:val="Heading2"/>
      </w:pPr>
      <w:r>
        <w:t xml:space="preserve">Alternatively, the principle of proprietary estopple is relevant here, as the defendant had conveyed assurances that the claimant had depended on, resulting in her suffering a loss due to the </w:t>
      </w:r>
      <w:r w:rsidR="004212C1">
        <w:t>substantial</w:t>
      </w:r>
      <w:r>
        <w:t xml:space="preserve"> financial </w:t>
      </w:r>
      <w:r w:rsidR="004212C1">
        <w:t xml:space="preserve">investment she made regarding the repairs and remodel completed on the property. </w:t>
      </w:r>
    </w:p>
    <w:p w14:paraId="0CF6A70F" w14:textId="19A7C84C" w:rsidR="00775794" w:rsidRDefault="004212C1" w:rsidP="009D531E">
      <w:pPr>
        <w:pStyle w:val="Heading2"/>
      </w:pPr>
      <w:r>
        <w:t xml:space="preserve">The claimant respectfully </w:t>
      </w:r>
      <w:r w:rsidR="00BD08FA">
        <w:t xml:space="preserve">requests that the Court grant her 50% beneficial interest in the Gatehouse </w:t>
      </w:r>
      <w:r w:rsidR="00BB4BEB">
        <w:t xml:space="preserve">property. </w:t>
      </w:r>
    </w:p>
    <w:p w14:paraId="418A6192" w14:textId="77777777" w:rsidR="00BB4BEB" w:rsidRDefault="00BB4BEB" w:rsidP="00BB4BEB"/>
    <w:p w14:paraId="1B2CF59D" w14:textId="77777777" w:rsidR="00BB4BEB" w:rsidRDefault="00BB4BEB" w:rsidP="00BB4BEB"/>
    <w:p w14:paraId="2BAB0FE6" w14:textId="77777777" w:rsidR="00BB4BEB" w:rsidRDefault="00BB4BEB" w:rsidP="00BB4BEB"/>
    <w:p w14:paraId="442D39F4" w14:textId="77777777" w:rsidR="00BB4BEB" w:rsidRDefault="00BB4BEB" w:rsidP="00BB4BEB"/>
    <w:p w14:paraId="41155DFF" w14:textId="77777777" w:rsidR="00BB4BEB" w:rsidRDefault="00BB4BEB" w:rsidP="00BB4BEB"/>
    <w:p w14:paraId="5427673B" w14:textId="77777777" w:rsidR="00BB4BEB" w:rsidRDefault="00BB4BEB" w:rsidP="00BB4BEB"/>
    <w:p w14:paraId="305E56E4" w14:textId="77777777" w:rsidR="00BB4BEB" w:rsidRDefault="00BB4BEB" w:rsidP="00BB4BEB"/>
    <w:p w14:paraId="3EDE31BE" w14:textId="77777777" w:rsidR="00BB4BEB" w:rsidRPr="00BB4BEB" w:rsidRDefault="00BB4BEB" w:rsidP="00BB4BEB"/>
    <w:p w14:paraId="3B1553C5" w14:textId="77482E00" w:rsidR="005F216E" w:rsidRDefault="00DE31AA" w:rsidP="00D62530">
      <w:pPr>
        <w:spacing w:line="360" w:lineRule="auto"/>
        <w:jc w:val="right"/>
        <w:rPr>
          <w:rFonts w:asciiTheme="majorHAnsi" w:hAnsiTheme="majorHAnsi" w:cstheme="majorHAnsi"/>
          <w:b/>
          <w:bCs/>
        </w:rPr>
      </w:pPr>
      <w:r>
        <w:rPr>
          <w:rFonts w:asciiTheme="majorHAnsi" w:hAnsiTheme="majorHAnsi" w:cstheme="majorHAnsi"/>
          <w:b/>
          <w:bCs/>
        </w:rPr>
        <w:t>Shannon Clark</w:t>
      </w:r>
    </w:p>
    <w:p w14:paraId="3765130C" w14:textId="2DD35D4C" w:rsidR="00D62530" w:rsidRDefault="00DE31AA" w:rsidP="00D62530">
      <w:pPr>
        <w:spacing w:line="360" w:lineRule="auto"/>
        <w:jc w:val="right"/>
        <w:rPr>
          <w:rFonts w:asciiTheme="majorHAnsi" w:hAnsiTheme="majorHAnsi" w:cstheme="majorHAnsi"/>
          <w:b/>
          <w:bCs/>
        </w:rPr>
      </w:pPr>
      <w:r>
        <w:rPr>
          <w:rFonts w:asciiTheme="majorHAnsi" w:hAnsiTheme="majorHAnsi" w:cstheme="majorHAnsi"/>
          <w:b/>
          <w:bCs/>
        </w:rPr>
        <w:lastRenderedPageBreak/>
        <w:t>Counsel for the Claimant</w:t>
      </w:r>
    </w:p>
    <w:p w14:paraId="0ADC9468" w14:textId="34760C0A" w:rsidR="00D62530" w:rsidRPr="00D62530" w:rsidRDefault="00853C96" w:rsidP="00D62530">
      <w:pPr>
        <w:spacing w:line="360" w:lineRule="auto"/>
        <w:jc w:val="right"/>
        <w:rPr>
          <w:rFonts w:asciiTheme="majorHAnsi" w:hAnsiTheme="majorHAnsi" w:cstheme="majorHAnsi"/>
          <w:b/>
          <w:bCs/>
        </w:rPr>
      </w:pPr>
      <w:r>
        <w:rPr>
          <w:rFonts w:asciiTheme="majorHAnsi" w:hAnsiTheme="majorHAnsi" w:cstheme="majorHAnsi"/>
          <w:b/>
          <w:bCs/>
        </w:rPr>
        <w:t xml:space="preserve">8 </w:t>
      </w:r>
      <w:r w:rsidR="00206A3B">
        <w:rPr>
          <w:rFonts w:asciiTheme="majorHAnsi" w:hAnsiTheme="majorHAnsi" w:cstheme="majorHAnsi"/>
          <w:b/>
          <w:bCs/>
        </w:rPr>
        <w:t>Trinity Chamber</w:t>
      </w:r>
      <w:r>
        <w:rPr>
          <w:rFonts w:asciiTheme="majorHAnsi" w:hAnsiTheme="majorHAnsi" w:cstheme="majorHAnsi"/>
          <w:b/>
          <w:bCs/>
        </w:rPr>
        <w:t xml:space="preserve">s, Swansea </w:t>
      </w:r>
      <w:r w:rsidR="00D62530">
        <w:rPr>
          <w:rFonts w:asciiTheme="majorHAnsi" w:hAnsiTheme="majorHAnsi" w:cstheme="majorHAnsi"/>
          <w:b/>
          <w:bCs/>
        </w:rPr>
        <w:t xml:space="preserve"> </w:t>
      </w:r>
    </w:p>
    <w:p w14:paraId="7E25C8BA" w14:textId="693B109B" w:rsidR="00D62530" w:rsidRDefault="00D62530" w:rsidP="00D62530">
      <w:pPr>
        <w:spacing w:line="360" w:lineRule="auto"/>
        <w:jc w:val="right"/>
        <w:rPr>
          <w:rFonts w:asciiTheme="majorHAnsi" w:hAnsiTheme="majorHAnsi" w:cstheme="majorHAnsi"/>
          <w:b/>
          <w:bCs/>
        </w:rPr>
      </w:pPr>
      <w:r>
        <w:rPr>
          <w:rFonts w:asciiTheme="majorHAnsi" w:hAnsiTheme="majorHAnsi" w:cstheme="majorHAnsi"/>
          <w:b/>
          <w:bCs/>
        </w:rPr>
        <w:t>Date</w:t>
      </w:r>
      <w:r w:rsidR="00206A3B">
        <w:rPr>
          <w:rFonts w:asciiTheme="majorHAnsi" w:hAnsiTheme="majorHAnsi" w:cstheme="majorHAnsi"/>
          <w:b/>
          <w:bCs/>
        </w:rPr>
        <w:t>: 03/12/2024</w:t>
      </w:r>
    </w:p>
    <w:p w14:paraId="50E5695E" w14:textId="63322245" w:rsidR="005F216E" w:rsidRDefault="005F216E" w:rsidP="009D531E">
      <w:pPr>
        <w:spacing w:line="360" w:lineRule="auto"/>
        <w:rPr>
          <w:rFonts w:ascii="Arial" w:hAnsi="Arial" w:cs="Arial"/>
        </w:rPr>
      </w:pPr>
    </w:p>
    <w:p w14:paraId="4FBA988F" w14:textId="77777777" w:rsidR="00871F12" w:rsidRDefault="00871F12" w:rsidP="009D531E">
      <w:pPr>
        <w:spacing w:line="360" w:lineRule="auto"/>
        <w:rPr>
          <w:rFonts w:ascii="Arial" w:hAnsi="Arial" w:cs="Arial"/>
        </w:rPr>
      </w:pPr>
    </w:p>
    <w:p w14:paraId="524989E3" w14:textId="77777777" w:rsidR="00871F12" w:rsidRDefault="00871F12" w:rsidP="009D531E">
      <w:pPr>
        <w:spacing w:line="360" w:lineRule="auto"/>
        <w:rPr>
          <w:rFonts w:ascii="Arial" w:hAnsi="Arial" w:cs="Arial"/>
        </w:rPr>
      </w:pPr>
    </w:p>
    <w:p w14:paraId="102DB3E5" w14:textId="77777777" w:rsidR="00871F12" w:rsidRDefault="00871F12" w:rsidP="009D531E">
      <w:pPr>
        <w:spacing w:line="360" w:lineRule="auto"/>
        <w:rPr>
          <w:rFonts w:ascii="Arial" w:hAnsi="Arial" w:cs="Arial"/>
        </w:rPr>
      </w:pPr>
    </w:p>
    <w:p w14:paraId="74C44651" w14:textId="77777777" w:rsidR="00871F12" w:rsidRPr="009D531E" w:rsidRDefault="00871F12" w:rsidP="009D531E">
      <w:pPr>
        <w:spacing w:line="360" w:lineRule="auto"/>
        <w:rPr>
          <w:rFonts w:ascii="Arial" w:hAnsi="Arial" w:cs="Arial"/>
        </w:rPr>
      </w:pPr>
    </w:p>
    <w:p w14:paraId="2E41674A" w14:textId="77777777" w:rsidR="00AC294D" w:rsidRDefault="00AC294D" w:rsidP="00AC294D">
      <w:pPr>
        <w:rPr>
          <w:lang w:val="en-US"/>
        </w:rPr>
      </w:pPr>
    </w:p>
    <w:p w14:paraId="1E244F5C" w14:textId="77777777" w:rsidR="00AC294D" w:rsidRPr="00AC294D" w:rsidRDefault="00AC294D" w:rsidP="00AC294D">
      <w:pPr>
        <w:jc w:val="center"/>
        <w:rPr>
          <w:rFonts w:asciiTheme="minorHAnsi" w:hAnsiTheme="minorHAnsi" w:cstheme="minorHAnsi"/>
          <w:lang w:val="en-US"/>
        </w:rPr>
      </w:pPr>
      <w:r w:rsidRPr="00AC294D">
        <w:rPr>
          <w:rFonts w:asciiTheme="minorHAnsi" w:hAnsiTheme="minorHAnsi" w:cstheme="minorHAnsi"/>
          <w:lang w:val="en-US"/>
        </w:rPr>
        <w:t xml:space="preserve">Case Notes </w:t>
      </w:r>
    </w:p>
    <w:p w14:paraId="72054F37" w14:textId="77777777" w:rsidR="00AC294D" w:rsidRPr="00AC294D" w:rsidRDefault="00AC294D" w:rsidP="00AC294D">
      <w:pPr>
        <w:jc w:val="center"/>
        <w:rPr>
          <w:rFonts w:asciiTheme="minorHAnsi" w:hAnsiTheme="minorHAnsi" w:cstheme="minorHAnsi"/>
          <w:b/>
          <w:bCs/>
          <w:lang w:val="en-US"/>
        </w:rPr>
      </w:pPr>
      <w:r w:rsidRPr="00AC294D">
        <w:rPr>
          <w:rFonts w:asciiTheme="minorHAnsi" w:hAnsiTheme="minorHAnsi" w:cstheme="minorHAnsi"/>
          <w:b/>
          <w:bCs/>
          <w:lang w:val="en-US"/>
        </w:rPr>
        <w:t>Thorner v Major [2009] UKHL 18</w:t>
      </w:r>
    </w:p>
    <w:p w14:paraId="50BCE62B" w14:textId="77777777" w:rsidR="00AC294D" w:rsidRPr="00AC294D" w:rsidRDefault="00AC294D" w:rsidP="00AC294D">
      <w:pPr>
        <w:jc w:val="center"/>
        <w:rPr>
          <w:rFonts w:asciiTheme="minorHAnsi" w:hAnsiTheme="minorHAnsi" w:cstheme="minorHAnsi"/>
          <w:b/>
          <w:bCs/>
          <w:i/>
          <w:iCs/>
          <w:lang w:val="en-US"/>
        </w:rPr>
      </w:pPr>
      <w:r w:rsidRPr="00AC294D">
        <w:rPr>
          <w:rFonts w:asciiTheme="minorHAnsi" w:hAnsiTheme="minorHAnsi" w:cstheme="minorHAnsi"/>
          <w:b/>
          <w:bCs/>
          <w:i/>
          <w:iCs/>
          <w:lang w:val="en-US"/>
        </w:rPr>
        <w:t xml:space="preserve">House of Lords </w:t>
      </w:r>
    </w:p>
    <w:p w14:paraId="79D6DCC1" w14:textId="77777777" w:rsidR="00AC294D" w:rsidRPr="00AC294D" w:rsidRDefault="00AC294D" w:rsidP="00AC294D">
      <w:pPr>
        <w:rPr>
          <w:rFonts w:asciiTheme="minorHAnsi" w:hAnsiTheme="minorHAnsi" w:cstheme="minorHAnsi"/>
          <w:b/>
          <w:bCs/>
          <w:u w:val="single"/>
          <w:lang w:val="en-US"/>
        </w:rPr>
      </w:pPr>
      <w:r w:rsidRPr="00AC294D">
        <w:rPr>
          <w:rFonts w:asciiTheme="minorHAnsi" w:hAnsiTheme="minorHAnsi" w:cstheme="minorHAnsi"/>
          <w:b/>
          <w:bCs/>
          <w:u w:val="single"/>
          <w:lang w:val="en-US"/>
        </w:rPr>
        <w:t>Parties</w:t>
      </w:r>
    </w:p>
    <w:p w14:paraId="42DFCFD9" w14:textId="77777777" w:rsidR="00AC294D" w:rsidRPr="00AC294D" w:rsidRDefault="00AC294D" w:rsidP="00AC294D">
      <w:pPr>
        <w:rPr>
          <w:rFonts w:asciiTheme="minorHAnsi" w:hAnsiTheme="minorHAnsi" w:cstheme="minorHAnsi"/>
          <w:lang w:val="en-US"/>
        </w:rPr>
      </w:pPr>
      <w:r w:rsidRPr="00AC294D">
        <w:rPr>
          <w:rFonts w:asciiTheme="minorHAnsi" w:hAnsiTheme="minorHAnsi" w:cstheme="minorHAnsi"/>
          <w:lang w:val="en-US"/>
        </w:rPr>
        <w:t xml:space="preserve">Mr. David Thorner (Claimant) </w:t>
      </w:r>
    </w:p>
    <w:p w14:paraId="1F359BDD" w14:textId="77777777" w:rsidR="00AC294D" w:rsidRPr="00AC294D" w:rsidRDefault="00AC294D" w:rsidP="00AC294D">
      <w:pPr>
        <w:rPr>
          <w:rFonts w:asciiTheme="minorHAnsi" w:hAnsiTheme="minorHAnsi" w:cstheme="minorHAnsi"/>
          <w:lang w:val="en-US"/>
        </w:rPr>
      </w:pPr>
      <w:r w:rsidRPr="00AC294D">
        <w:rPr>
          <w:rFonts w:asciiTheme="minorHAnsi" w:hAnsiTheme="minorHAnsi" w:cstheme="minorHAnsi"/>
          <w:lang w:val="en-US"/>
        </w:rPr>
        <w:t xml:space="preserve">Mr. Richard Major (Defendant) </w:t>
      </w:r>
    </w:p>
    <w:p w14:paraId="2CFE90B8" w14:textId="77777777" w:rsidR="00AC294D" w:rsidRDefault="00AC294D" w:rsidP="00AC294D">
      <w:pPr>
        <w:rPr>
          <w:rFonts w:asciiTheme="minorHAnsi" w:hAnsiTheme="minorHAnsi" w:cstheme="minorHAnsi"/>
          <w:b/>
          <w:bCs/>
          <w:lang w:val="en-US"/>
        </w:rPr>
      </w:pPr>
    </w:p>
    <w:p w14:paraId="66A93391" w14:textId="62B3F659" w:rsidR="00AC294D" w:rsidRPr="00AC294D" w:rsidRDefault="00AC294D" w:rsidP="00AC294D">
      <w:pPr>
        <w:rPr>
          <w:rFonts w:asciiTheme="minorHAnsi" w:hAnsiTheme="minorHAnsi" w:cstheme="minorHAnsi"/>
          <w:b/>
          <w:bCs/>
          <w:lang w:val="en-US"/>
        </w:rPr>
      </w:pPr>
      <w:r w:rsidRPr="00AC294D">
        <w:rPr>
          <w:rFonts w:asciiTheme="minorHAnsi" w:hAnsiTheme="minorHAnsi" w:cstheme="minorHAnsi"/>
          <w:b/>
          <w:bCs/>
          <w:lang w:val="en-US"/>
        </w:rPr>
        <w:t>Material Facts</w:t>
      </w:r>
    </w:p>
    <w:p w14:paraId="042C2A0E" w14:textId="77777777" w:rsidR="00AC294D" w:rsidRPr="00AC294D" w:rsidRDefault="00AC294D" w:rsidP="00AC294D">
      <w:pPr>
        <w:rPr>
          <w:rFonts w:asciiTheme="minorHAnsi" w:hAnsiTheme="minorHAnsi" w:cstheme="minorHAnsi"/>
          <w:lang w:val="en-US"/>
        </w:rPr>
      </w:pPr>
      <w:r w:rsidRPr="00AC294D">
        <w:rPr>
          <w:rFonts w:asciiTheme="minorHAnsi" w:hAnsiTheme="minorHAnsi" w:cstheme="minorHAnsi"/>
          <w:lang w:val="en-US"/>
        </w:rPr>
        <w:t xml:space="preserve">David Thorner and Richard Major were cousins. Thorner had worked for </w:t>
      </w:r>
      <w:proofErr w:type="gramStart"/>
      <w:r w:rsidRPr="00AC294D">
        <w:rPr>
          <w:rFonts w:asciiTheme="minorHAnsi" w:hAnsiTheme="minorHAnsi" w:cstheme="minorHAnsi"/>
          <w:lang w:val="en-US"/>
        </w:rPr>
        <w:t>a number of</w:t>
      </w:r>
      <w:proofErr w:type="gramEnd"/>
      <w:r w:rsidRPr="00AC294D">
        <w:rPr>
          <w:rFonts w:asciiTheme="minorHAnsi" w:hAnsiTheme="minorHAnsi" w:cstheme="minorHAnsi"/>
          <w:lang w:val="en-US"/>
        </w:rPr>
        <w:t xml:space="preserve"> years on Mr. Major’s family farm, believing that he would be the one to inherit the farm after the passing of Richard. Despite vague oral assurances from Mr. Major, no formal promise or agreement had been made regarding the farmland. After Mr. Major had died, his will did not include Mr. Thorner, thus starting a claim for equitable interest regarding the farm through proprietary estoppel. Mr. Thorner stated that he relied on the implied assurances to his detriment by working on the farm for no money, under the assumption he was to inherit it and thus sought compensation for the contributions he made over the years. </w:t>
      </w:r>
    </w:p>
    <w:p w14:paraId="2CD6B9B4" w14:textId="77777777" w:rsidR="00AC294D" w:rsidRDefault="00AC294D" w:rsidP="00AC294D">
      <w:pPr>
        <w:rPr>
          <w:rFonts w:asciiTheme="minorHAnsi" w:hAnsiTheme="minorHAnsi" w:cstheme="minorHAnsi"/>
          <w:b/>
          <w:bCs/>
          <w:lang w:val="en-US"/>
        </w:rPr>
      </w:pPr>
    </w:p>
    <w:p w14:paraId="2D560F8A" w14:textId="3D02BB42" w:rsidR="00AC294D" w:rsidRPr="00AC294D" w:rsidRDefault="00AC294D" w:rsidP="00AC294D">
      <w:pPr>
        <w:rPr>
          <w:rFonts w:asciiTheme="minorHAnsi" w:hAnsiTheme="minorHAnsi" w:cstheme="minorHAnsi"/>
          <w:b/>
          <w:bCs/>
          <w:lang w:val="en-US"/>
        </w:rPr>
      </w:pPr>
      <w:r w:rsidRPr="00AC294D">
        <w:rPr>
          <w:rFonts w:asciiTheme="minorHAnsi" w:hAnsiTheme="minorHAnsi" w:cstheme="minorHAnsi"/>
          <w:b/>
          <w:bCs/>
          <w:lang w:val="en-US"/>
        </w:rPr>
        <w:t>Legal Issues</w:t>
      </w:r>
    </w:p>
    <w:p w14:paraId="599EDA4D" w14:textId="77777777" w:rsidR="00AC294D" w:rsidRPr="00AC294D" w:rsidRDefault="00AC294D" w:rsidP="00AC294D">
      <w:pPr>
        <w:rPr>
          <w:rFonts w:asciiTheme="minorHAnsi" w:hAnsiTheme="minorHAnsi" w:cstheme="minorHAnsi"/>
          <w:lang w:val="en-US"/>
        </w:rPr>
      </w:pPr>
      <w:r w:rsidRPr="00AC294D">
        <w:rPr>
          <w:rFonts w:asciiTheme="minorHAnsi" w:hAnsiTheme="minorHAnsi" w:cstheme="minorHAnsi"/>
          <w:lang w:val="en-US"/>
        </w:rPr>
        <w:t xml:space="preserve">David Thorner had to provide the court with sufficient evidence that proprietary estoppel is present in this case. </w:t>
      </w:r>
    </w:p>
    <w:p w14:paraId="3E29AC84" w14:textId="77777777" w:rsidR="00AC294D" w:rsidRPr="00AC294D" w:rsidRDefault="00AC294D" w:rsidP="00AC294D">
      <w:pPr>
        <w:pStyle w:val="ListParagraph"/>
        <w:numPr>
          <w:ilvl w:val="0"/>
          <w:numId w:val="21"/>
        </w:numPr>
        <w:spacing w:after="160" w:line="259" w:lineRule="auto"/>
        <w:rPr>
          <w:rFonts w:asciiTheme="minorHAnsi" w:hAnsiTheme="minorHAnsi" w:cstheme="minorHAnsi"/>
          <w:lang w:val="en-US"/>
        </w:rPr>
      </w:pPr>
      <w:r w:rsidRPr="00AC294D">
        <w:rPr>
          <w:rFonts w:asciiTheme="minorHAnsi" w:hAnsiTheme="minorHAnsi" w:cstheme="minorHAnsi"/>
          <w:b/>
          <w:bCs/>
          <w:lang w:val="en-US"/>
        </w:rPr>
        <w:t xml:space="preserve">Assurance: </w:t>
      </w:r>
      <w:r w:rsidRPr="00AC294D">
        <w:rPr>
          <w:rFonts w:asciiTheme="minorHAnsi" w:hAnsiTheme="minorHAnsi" w:cstheme="minorHAnsi"/>
          <w:lang w:val="en-US"/>
        </w:rPr>
        <w:t xml:space="preserve">It had to be decided whether the oral assurances and conduct of Richard Major were clear enough to create a legitimate inheritance of the farm. </w:t>
      </w:r>
    </w:p>
    <w:p w14:paraId="5FCC170C" w14:textId="77777777" w:rsidR="00AC294D" w:rsidRPr="00AC294D" w:rsidRDefault="00AC294D" w:rsidP="00AC294D">
      <w:pPr>
        <w:pStyle w:val="ListParagraph"/>
        <w:numPr>
          <w:ilvl w:val="0"/>
          <w:numId w:val="21"/>
        </w:numPr>
        <w:spacing w:after="160" w:line="259" w:lineRule="auto"/>
        <w:rPr>
          <w:rFonts w:asciiTheme="minorHAnsi" w:hAnsiTheme="minorHAnsi" w:cstheme="minorHAnsi"/>
          <w:lang w:val="en-US"/>
        </w:rPr>
      </w:pPr>
      <w:r w:rsidRPr="00AC294D">
        <w:rPr>
          <w:rFonts w:asciiTheme="minorHAnsi" w:hAnsiTheme="minorHAnsi" w:cstheme="minorHAnsi"/>
          <w:b/>
          <w:bCs/>
          <w:lang w:val="en-US"/>
        </w:rPr>
        <w:t xml:space="preserve">Detrimental Reliance: </w:t>
      </w:r>
      <w:r w:rsidRPr="00AC294D">
        <w:rPr>
          <w:rFonts w:asciiTheme="minorHAnsi" w:hAnsiTheme="minorHAnsi" w:cstheme="minorHAnsi"/>
          <w:lang w:val="en-US"/>
        </w:rPr>
        <w:t xml:space="preserve">It needs to be decided whether the number of years that David Thorner had worked on the </w:t>
      </w:r>
      <w:proofErr w:type="gramStart"/>
      <w:r w:rsidRPr="00AC294D">
        <w:rPr>
          <w:rFonts w:asciiTheme="minorHAnsi" w:hAnsiTheme="minorHAnsi" w:cstheme="minorHAnsi"/>
          <w:lang w:val="en-US"/>
        </w:rPr>
        <w:t>farm,</w:t>
      </w:r>
      <w:proofErr w:type="gramEnd"/>
      <w:r w:rsidRPr="00AC294D">
        <w:rPr>
          <w:rFonts w:asciiTheme="minorHAnsi" w:hAnsiTheme="minorHAnsi" w:cstheme="minorHAnsi"/>
          <w:lang w:val="en-US"/>
        </w:rPr>
        <w:t xml:space="preserve"> unpaid, under the assumption that he would be inheriting it would be considered detrimental reliance. Once proved he is then able to make a claim with proprietary estoppel.</w:t>
      </w:r>
      <w:r w:rsidRPr="00AC294D">
        <w:rPr>
          <w:rFonts w:asciiTheme="minorHAnsi" w:hAnsiTheme="minorHAnsi" w:cstheme="minorHAnsi"/>
          <w:b/>
          <w:bCs/>
          <w:lang w:val="en-US"/>
        </w:rPr>
        <w:t xml:space="preserve"> </w:t>
      </w:r>
    </w:p>
    <w:p w14:paraId="339D120F" w14:textId="77777777" w:rsidR="00AC294D" w:rsidRPr="00AC294D" w:rsidRDefault="00AC294D" w:rsidP="00AC294D">
      <w:pPr>
        <w:rPr>
          <w:rFonts w:asciiTheme="minorHAnsi" w:hAnsiTheme="minorHAnsi" w:cstheme="minorHAnsi"/>
          <w:lang w:val="en-US"/>
        </w:rPr>
      </w:pPr>
    </w:p>
    <w:p w14:paraId="2BCA961A" w14:textId="77777777" w:rsidR="00AC294D" w:rsidRPr="00AC294D" w:rsidRDefault="00AC294D" w:rsidP="00AC294D">
      <w:pPr>
        <w:rPr>
          <w:rFonts w:asciiTheme="minorHAnsi" w:hAnsiTheme="minorHAnsi" w:cstheme="minorHAnsi"/>
          <w:b/>
          <w:bCs/>
          <w:lang w:val="en-US"/>
        </w:rPr>
      </w:pPr>
      <w:r w:rsidRPr="00AC294D">
        <w:rPr>
          <w:rFonts w:asciiTheme="minorHAnsi" w:hAnsiTheme="minorHAnsi" w:cstheme="minorHAnsi"/>
          <w:b/>
          <w:bCs/>
          <w:lang w:val="en-US"/>
        </w:rPr>
        <w:t>Decision of the court</w:t>
      </w:r>
    </w:p>
    <w:p w14:paraId="2436AF2B" w14:textId="77777777" w:rsidR="00AC294D" w:rsidRDefault="00AC294D" w:rsidP="00AC294D">
      <w:pPr>
        <w:rPr>
          <w:rFonts w:asciiTheme="minorHAnsi" w:hAnsiTheme="minorHAnsi" w:cstheme="minorHAnsi"/>
          <w:lang w:val="en-US"/>
        </w:rPr>
      </w:pPr>
      <w:r w:rsidRPr="00AC294D">
        <w:rPr>
          <w:rFonts w:asciiTheme="minorHAnsi" w:hAnsiTheme="minorHAnsi" w:cstheme="minorHAnsi"/>
          <w:lang w:val="en-US"/>
        </w:rPr>
        <w:t xml:space="preserve">The House of Lords ruled in favour of David Thorner. The court stated that David Thorner had acquired an equitable interest in the farm through proprietary estoppel. Although the absence of a formal promise or written assurance are presently absent, the court found that David Thorner had reasonably relied on the informal promise of Richard Major allowing him to believe that he would be inheriting the farm. </w:t>
      </w:r>
      <w:proofErr w:type="gramStart"/>
      <w:r w:rsidRPr="00AC294D">
        <w:rPr>
          <w:rFonts w:asciiTheme="minorHAnsi" w:hAnsiTheme="minorHAnsi" w:cstheme="minorHAnsi"/>
          <w:lang w:val="en-US"/>
        </w:rPr>
        <w:t xml:space="preserve">Due to </w:t>
      </w:r>
      <w:r w:rsidRPr="00AC294D">
        <w:rPr>
          <w:rFonts w:asciiTheme="minorHAnsi" w:hAnsiTheme="minorHAnsi" w:cstheme="minorHAnsi"/>
          <w:lang w:val="en-US"/>
        </w:rPr>
        <w:lastRenderedPageBreak/>
        <w:t>the fact that</w:t>
      </w:r>
      <w:proofErr w:type="gramEnd"/>
      <w:r w:rsidRPr="00AC294D">
        <w:rPr>
          <w:rFonts w:asciiTheme="minorHAnsi" w:hAnsiTheme="minorHAnsi" w:cstheme="minorHAnsi"/>
          <w:lang w:val="en-US"/>
        </w:rPr>
        <w:t xml:space="preserve"> Thorner had worked on the farm for many years without payment, contributing to his detriment, the court determined that it would be morally wrong for Major’s estate to deny Thorner’s claim. Due to all these contributing factors the court ruled in favour of David Thorner and concluded that he had a reasonable claim to </w:t>
      </w:r>
    </w:p>
    <w:p w14:paraId="15ED3652" w14:textId="449F095B" w:rsidR="00AC294D" w:rsidRPr="00AC294D" w:rsidRDefault="00AC294D" w:rsidP="00AC294D">
      <w:pPr>
        <w:rPr>
          <w:rFonts w:asciiTheme="minorHAnsi" w:hAnsiTheme="minorHAnsi" w:cstheme="minorHAnsi"/>
          <w:lang w:val="en-US"/>
        </w:rPr>
      </w:pPr>
      <w:r w:rsidRPr="00AC294D">
        <w:rPr>
          <w:rFonts w:asciiTheme="minorHAnsi" w:hAnsiTheme="minorHAnsi" w:cstheme="minorHAnsi"/>
          <w:lang w:val="en-US"/>
        </w:rPr>
        <w:t>inherit the farm.</w:t>
      </w:r>
    </w:p>
    <w:p w14:paraId="29D02FCC" w14:textId="77777777" w:rsidR="00AC294D" w:rsidRDefault="00AC294D" w:rsidP="00AC294D">
      <w:pPr>
        <w:rPr>
          <w:rFonts w:asciiTheme="minorHAnsi" w:hAnsiTheme="minorHAnsi" w:cstheme="minorHAnsi"/>
          <w:b/>
          <w:bCs/>
          <w:lang w:val="en-US"/>
        </w:rPr>
      </w:pPr>
    </w:p>
    <w:p w14:paraId="48499738" w14:textId="60EAC68E" w:rsidR="00AC294D" w:rsidRPr="00AC294D" w:rsidRDefault="00AC294D" w:rsidP="00AC294D">
      <w:pPr>
        <w:rPr>
          <w:rFonts w:asciiTheme="minorHAnsi" w:hAnsiTheme="minorHAnsi" w:cstheme="minorHAnsi"/>
          <w:b/>
          <w:bCs/>
          <w:lang w:val="en-US"/>
        </w:rPr>
      </w:pPr>
      <w:r w:rsidRPr="00AC294D">
        <w:rPr>
          <w:rFonts w:asciiTheme="minorHAnsi" w:hAnsiTheme="minorHAnsi" w:cstheme="minorHAnsi"/>
          <w:b/>
          <w:bCs/>
          <w:lang w:val="en-US"/>
        </w:rPr>
        <w:t xml:space="preserve">Rule of Law </w:t>
      </w:r>
    </w:p>
    <w:p w14:paraId="4A3B185C" w14:textId="77777777" w:rsidR="00AC294D" w:rsidRPr="00AC294D" w:rsidRDefault="00AC294D" w:rsidP="00AC294D">
      <w:pPr>
        <w:rPr>
          <w:rFonts w:asciiTheme="minorHAnsi" w:hAnsiTheme="minorHAnsi" w:cstheme="minorHAnsi"/>
          <w:lang w:val="en-US"/>
        </w:rPr>
      </w:pPr>
      <w:r w:rsidRPr="00AC294D">
        <w:rPr>
          <w:rFonts w:asciiTheme="minorHAnsi" w:hAnsiTheme="minorHAnsi" w:cstheme="minorHAnsi"/>
          <w:lang w:val="en-US"/>
        </w:rPr>
        <w:t xml:space="preserve">Proprietary Estoppel which mainly deals with concerns regarding promises or assurances given in relation to rights of land or property. It is often used by one party to enforce a promise given by the landowner that states that the claimant has an interest in the property or land (Andrewes, K. 2023). Proprietary estoppel needs to be clear intention of a promise, to be established. The Claimant must prove that they have suffered a detrimental impact due to the reliance of the promise.  </w:t>
      </w:r>
    </w:p>
    <w:p w14:paraId="7FB9D338" w14:textId="77777777" w:rsidR="00AC294D" w:rsidRDefault="00AC294D" w:rsidP="00AC294D">
      <w:pPr>
        <w:rPr>
          <w:rFonts w:asciiTheme="minorHAnsi" w:hAnsiTheme="minorHAnsi" w:cstheme="minorHAnsi"/>
          <w:b/>
          <w:bCs/>
          <w:lang w:val="en-US"/>
        </w:rPr>
      </w:pPr>
    </w:p>
    <w:p w14:paraId="5822532B" w14:textId="32C66267" w:rsidR="00AC294D" w:rsidRPr="00AC294D" w:rsidRDefault="00AC294D" w:rsidP="00AC294D">
      <w:pPr>
        <w:rPr>
          <w:rFonts w:asciiTheme="minorHAnsi" w:hAnsiTheme="minorHAnsi" w:cstheme="minorHAnsi"/>
          <w:b/>
          <w:bCs/>
          <w:lang w:val="en-US"/>
        </w:rPr>
      </w:pPr>
      <w:r w:rsidRPr="00AC294D">
        <w:rPr>
          <w:rFonts w:asciiTheme="minorHAnsi" w:hAnsiTheme="minorHAnsi" w:cstheme="minorHAnsi"/>
          <w:b/>
          <w:bCs/>
          <w:lang w:val="en-US"/>
        </w:rPr>
        <w:t>Reasoning</w:t>
      </w:r>
    </w:p>
    <w:p w14:paraId="74E3DBC9" w14:textId="51E7EA1B" w:rsidR="005C56AD" w:rsidRDefault="00AC294D" w:rsidP="005C56AD">
      <w:pPr>
        <w:rPr>
          <w:rFonts w:asciiTheme="minorHAnsi" w:hAnsiTheme="minorHAnsi" w:cstheme="minorHAnsi"/>
          <w:lang w:val="en-US"/>
        </w:rPr>
      </w:pPr>
      <w:r w:rsidRPr="00AC294D">
        <w:rPr>
          <w:rFonts w:asciiTheme="minorHAnsi" w:hAnsiTheme="minorHAnsi" w:cstheme="minorHAnsi"/>
          <w:lang w:val="en-US"/>
        </w:rPr>
        <w:t>The court concluded that although there had been no written agreement stating Thorner’s interest in the farm, they deemed that Major’s conduct had been substantial enough to award Thorner with an equitable interest in the farm. The Court decided that these assurances were enough to establish a legitimate claim regarding the farm</w:t>
      </w:r>
      <w:r w:rsidR="00BC2B41">
        <w:rPr>
          <w:rFonts w:asciiTheme="minorHAnsi" w:hAnsiTheme="minorHAnsi" w:cstheme="minorHAnsi"/>
          <w:lang w:val="en-US"/>
        </w:rPr>
        <w:t xml:space="preserve">. </w:t>
      </w:r>
    </w:p>
    <w:p w14:paraId="1283B5EC" w14:textId="77777777" w:rsidR="00BC2B41" w:rsidRDefault="00BC2B41" w:rsidP="005C56AD">
      <w:pPr>
        <w:rPr>
          <w:rFonts w:asciiTheme="minorHAnsi" w:hAnsiTheme="minorHAnsi" w:cstheme="minorHAnsi"/>
          <w:lang w:val="en-US"/>
        </w:rPr>
      </w:pPr>
    </w:p>
    <w:p w14:paraId="72400F13" w14:textId="77777777" w:rsidR="00BC2B41" w:rsidRDefault="00BC2B41" w:rsidP="005C56AD">
      <w:pPr>
        <w:rPr>
          <w:rFonts w:asciiTheme="minorHAnsi" w:hAnsiTheme="minorHAnsi" w:cstheme="minorHAnsi"/>
          <w:lang w:val="en-US"/>
        </w:rPr>
      </w:pPr>
    </w:p>
    <w:p w14:paraId="07AFC105" w14:textId="77777777" w:rsidR="00FD38A8" w:rsidRDefault="00FD38A8" w:rsidP="005C56AD">
      <w:pPr>
        <w:rPr>
          <w:rFonts w:asciiTheme="minorHAnsi" w:hAnsiTheme="minorHAnsi" w:cstheme="minorHAnsi"/>
          <w:b/>
          <w:bCs/>
          <w:u w:val="single"/>
          <w:lang w:val="en-US"/>
        </w:rPr>
      </w:pPr>
    </w:p>
    <w:p w14:paraId="37857F0C" w14:textId="77777777" w:rsidR="00FD38A8" w:rsidRDefault="00FD38A8" w:rsidP="005C56AD">
      <w:pPr>
        <w:rPr>
          <w:rFonts w:asciiTheme="minorHAnsi" w:hAnsiTheme="minorHAnsi" w:cstheme="minorHAnsi"/>
          <w:b/>
          <w:bCs/>
          <w:u w:val="single"/>
          <w:lang w:val="en-US"/>
        </w:rPr>
      </w:pPr>
    </w:p>
    <w:p w14:paraId="042E34BD" w14:textId="77777777" w:rsidR="00FD38A8" w:rsidRDefault="00FD38A8" w:rsidP="005C56AD">
      <w:pPr>
        <w:rPr>
          <w:rFonts w:asciiTheme="minorHAnsi" w:hAnsiTheme="minorHAnsi" w:cstheme="minorHAnsi"/>
          <w:b/>
          <w:bCs/>
          <w:u w:val="single"/>
          <w:lang w:val="en-US"/>
        </w:rPr>
      </w:pPr>
    </w:p>
    <w:p w14:paraId="3E54ABBC" w14:textId="77777777" w:rsidR="00FD38A8" w:rsidRDefault="00FD38A8" w:rsidP="005C56AD">
      <w:pPr>
        <w:rPr>
          <w:rFonts w:asciiTheme="minorHAnsi" w:hAnsiTheme="minorHAnsi" w:cstheme="minorHAnsi"/>
          <w:b/>
          <w:bCs/>
          <w:u w:val="single"/>
          <w:lang w:val="en-US"/>
        </w:rPr>
      </w:pPr>
    </w:p>
    <w:p w14:paraId="17DB7E49" w14:textId="77777777" w:rsidR="00FD38A8" w:rsidRDefault="00FD38A8" w:rsidP="005C56AD">
      <w:pPr>
        <w:rPr>
          <w:rFonts w:asciiTheme="minorHAnsi" w:hAnsiTheme="minorHAnsi" w:cstheme="minorHAnsi"/>
          <w:b/>
          <w:bCs/>
          <w:u w:val="single"/>
          <w:lang w:val="en-US"/>
        </w:rPr>
      </w:pPr>
    </w:p>
    <w:p w14:paraId="40B2D227" w14:textId="77777777" w:rsidR="00FD38A8" w:rsidRDefault="00FD38A8" w:rsidP="005C56AD">
      <w:pPr>
        <w:rPr>
          <w:rFonts w:asciiTheme="minorHAnsi" w:hAnsiTheme="minorHAnsi" w:cstheme="minorHAnsi"/>
          <w:b/>
          <w:bCs/>
          <w:u w:val="single"/>
          <w:lang w:val="en-US"/>
        </w:rPr>
      </w:pPr>
    </w:p>
    <w:p w14:paraId="336D502A" w14:textId="77777777" w:rsidR="00FD38A8" w:rsidRDefault="00FD38A8" w:rsidP="005C56AD">
      <w:pPr>
        <w:rPr>
          <w:rFonts w:asciiTheme="minorHAnsi" w:hAnsiTheme="minorHAnsi" w:cstheme="minorHAnsi"/>
          <w:b/>
          <w:bCs/>
          <w:u w:val="single"/>
          <w:lang w:val="en-US"/>
        </w:rPr>
      </w:pPr>
    </w:p>
    <w:p w14:paraId="09B23C6F" w14:textId="77777777" w:rsidR="00FD38A8" w:rsidRDefault="00FD38A8" w:rsidP="005C56AD">
      <w:pPr>
        <w:rPr>
          <w:rFonts w:asciiTheme="minorHAnsi" w:hAnsiTheme="minorHAnsi" w:cstheme="minorHAnsi"/>
          <w:b/>
          <w:bCs/>
          <w:u w:val="single"/>
          <w:lang w:val="en-US"/>
        </w:rPr>
      </w:pPr>
    </w:p>
    <w:p w14:paraId="49326A2D" w14:textId="77777777" w:rsidR="00FD38A8" w:rsidRDefault="00FD38A8" w:rsidP="005C56AD">
      <w:pPr>
        <w:rPr>
          <w:rFonts w:asciiTheme="minorHAnsi" w:hAnsiTheme="minorHAnsi" w:cstheme="minorHAnsi"/>
          <w:b/>
          <w:bCs/>
          <w:u w:val="single"/>
          <w:lang w:val="en-US"/>
        </w:rPr>
      </w:pPr>
    </w:p>
    <w:p w14:paraId="202C3A07" w14:textId="77777777" w:rsidR="00FD38A8" w:rsidRDefault="00FD38A8" w:rsidP="005C56AD">
      <w:pPr>
        <w:rPr>
          <w:rFonts w:asciiTheme="minorHAnsi" w:hAnsiTheme="minorHAnsi" w:cstheme="minorHAnsi"/>
          <w:b/>
          <w:bCs/>
          <w:u w:val="single"/>
          <w:lang w:val="en-US"/>
        </w:rPr>
      </w:pPr>
    </w:p>
    <w:p w14:paraId="297F56D6" w14:textId="77777777" w:rsidR="00FD38A8" w:rsidRDefault="00FD38A8" w:rsidP="005C56AD">
      <w:pPr>
        <w:rPr>
          <w:rFonts w:asciiTheme="minorHAnsi" w:hAnsiTheme="minorHAnsi" w:cstheme="minorHAnsi"/>
          <w:b/>
          <w:bCs/>
          <w:u w:val="single"/>
          <w:lang w:val="en-US"/>
        </w:rPr>
      </w:pPr>
    </w:p>
    <w:p w14:paraId="61C184FF" w14:textId="77777777" w:rsidR="00FD38A8" w:rsidRDefault="00FD38A8" w:rsidP="005C56AD">
      <w:pPr>
        <w:rPr>
          <w:rFonts w:asciiTheme="minorHAnsi" w:hAnsiTheme="minorHAnsi" w:cstheme="minorHAnsi"/>
          <w:b/>
          <w:bCs/>
          <w:u w:val="single"/>
          <w:lang w:val="en-US"/>
        </w:rPr>
      </w:pPr>
    </w:p>
    <w:p w14:paraId="2E537844" w14:textId="77777777" w:rsidR="00FD38A8" w:rsidRDefault="00FD38A8" w:rsidP="005C56AD">
      <w:pPr>
        <w:rPr>
          <w:rFonts w:asciiTheme="minorHAnsi" w:hAnsiTheme="minorHAnsi" w:cstheme="minorHAnsi"/>
          <w:b/>
          <w:bCs/>
          <w:u w:val="single"/>
          <w:lang w:val="en-US"/>
        </w:rPr>
      </w:pPr>
    </w:p>
    <w:p w14:paraId="64C7440C" w14:textId="77777777" w:rsidR="00FD38A8" w:rsidRDefault="00FD38A8" w:rsidP="005C56AD">
      <w:pPr>
        <w:rPr>
          <w:rFonts w:asciiTheme="minorHAnsi" w:hAnsiTheme="minorHAnsi" w:cstheme="minorHAnsi"/>
          <w:b/>
          <w:bCs/>
          <w:u w:val="single"/>
          <w:lang w:val="en-US"/>
        </w:rPr>
      </w:pPr>
    </w:p>
    <w:p w14:paraId="16E99A3C" w14:textId="77777777" w:rsidR="00FD38A8" w:rsidRDefault="00FD38A8" w:rsidP="005C56AD">
      <w:pPr>
        <w:rPr>
          <w:rFonts w:asciiTheme="minorHAnsi" w:hAnsiTheme="minorHAnsi" w:cstheme="minorHAnsi"/>
          <w:b/>
          <w:bCs/>
          <w:u w:val="single"/>
          <w:lang w:val="en-US"/>
        </w:rPr>
      </w:pPr>
    </w:p>
    <w:p w14:paraId="0693AC80" w14:textId="77777777" w:rsidR="00FD38A8" w:rsidRDefault="00FD38A8" w:rsidP="005C56AD">
      <w:pPr>
        <w:rPr>
          <w:rFonts w:asciiTheme="minorHAnsi" w:hAnsiTheme="minorHAnsi" w:cstheme="minorHAnsi"/>
          <w:b/>
          <w:bCs/>
          <w:u w:val="single"/>
          <w:lang w:val="en-US"/>
        </w:rPr>
      </w:pPr>
    </w:p>
    <w:p w14:paraId="337D241E" w14:textId="77777777" w:rsidR="00FD38A8" w:rsidRDefault="00FD38A8" w:rsidP="005C56AD">
      <w:pPr>
        <w:rPr>
          <w:rFonts w:asciiTheme="minorHAnsi" w:hAnsiTheme="minorHAnsi" w:cstheme="minorHAnsi"/>
          <w:b/>
          <w:bCs/>
          <w:u w:val="single"/>
          <w:lang w:val="en-US"/>
        </w:rPr>
      </w:pPr>
    </w:p>
    <w:p w14:paraId="2D3C4449" w14:textId="77777777" w:rsidR="00FD38A8" w:rsidRDefault="00FD38A8" w:rsidP="005C56AD">
      <w:pPr>
        <w:rPr>
          <w:rFonts w:asciiTheme="minorHAnsi" w:hAnsiTheme="minorHAnsi" w:cstheme="minorHAnsi"/>
          <w:b/>
          <w:bCs/>
          <w:u w:val="single"/>
          <w:lang w:val="en-US"/>
        </w:rPr>
      </w:pPr>
    </w:p>
    <w:p w14:paraId="3865EAEC" w14:textId="77777777" w:rsidR="00FD38A8" w:rsidRDefault="00FD38A8" w:rsidP="005C56AD">
      <w:pPr>
        <w:rPr>
          <w:rFonts w:asciiTheme="minorHAnsi" w:hAnsiTheme="minorHAnsi" w:cstheme="minorHAnsi"/>
          <w:b/>
          <w:bCs/>
          <w:u w:val="single"/>
          <w:lang w:val="en-US"/>
        </w:rPr>
      </w:pPr>
    </w:p>
    <w:p w14:paraId="407D83BA" w14:textId="77777777" w:rsidR="00FD38A8" w:rsidRDefault="00FD38A8" w:rsidP="005C56AD">
      <w:pPr>
        <w:rPr>
          <w:rFonts w:asciiTheme="minorHAnsi" w:hAnsiTheme="minorHAnsi" w:cstheme="minorHAnsi"/>
          <w:b/>
          <w:bCs/>
          <w:u w:val="single"/>
          <w:lang w:val="en-US"/>
        </w:rPr>
      </w:pPr>
    </w:p>
    <w:p w14:paraId="0FE543B2" w14:textId="77777777" w:rsidR="00FD38A8" w:rsidRDefault="00FD38A8" w:rsidP="005C56AD">
      <w:pPr>
        <w:rPr>
          <w:rFonts w:asciiTheme="minorHAnsi" w:hAnsiTheme="minorHAnsi" w:cstheme="minorHAnsi"/>
          <w:b/>
          <w:bCs/>
          <w:u w:val="single"/>
          <w:lang w:val="en-US"/>
        </w:rPr>
      </w:pPr>
    </w:p>
    <w:p w14:paraId="0CC21E9D" w14:textId="77777777" w:rsidR="00FD38A8" w:rsidRDefault="00FD38A8" w:rsidP="005C56AD">
      <w:pPr>
        <w:rPr>
          <w:rFonts w:asciiTheme="minorHAnsi" w:hAnsiTheme="minorHAnsi" w:cstheme="minorHAnsi"/>
          <w:b/>
          <w:bCs/>
          <w:u w:val="single"/>
          <w:lang w:val="en-US"/>
        </w:rPr>
      </w:pPr>
    </w:p>
    <w:p w14:paraId="0EF94D51" w14:textId="77777777" w:rsidR="00FD38A8" w:rsidRDefault="00FD38A8" w:rsidP="005C56AD">
      <w:pPr>
        <w:rPr>
          <w:rFonts w:asciiTheme="minorHAnsi" w:hAnsiTheme="minorHAnsi" w:cstheme="minorHAnsi"/>
          <w:b/>
          <w:bCs/>
          <w:u w:val="single"/>
          <w:lang w:val="en-US"/>
        </w:rPr>
      </w:pPr>
    </w:p>
    <w:p w14:paraId="65D49F7C" w14:textId="77777777" w:rsidR="00FD38A8" w:rsidRDefault="00FD38A8" w:rsidP="005C56AD">
      <w:pPr>
        <w:rPr>
          <w:rFonts w:asciiTheme="minorHAnsi" w:hAnsiTheme="minorHAnsi" w:cstheme="minorHAnsi"/>
          <w:b/>
          <w:bCs/>
          <w:u w:val="single"/>
          <w:lang w:val="en-US"/>
        </w:rPr>
      </w:pPr>
    </w:p>
    <w:p w14:paraId="309D47FB" w14:textId="77777777" w:rsidR="00FD38A8" w:rsidRDefault="00FD38A8" w:rsidP="005C56AD">
      <w:pPr>
        <w:rPr>
          <w:rFonts w:asciiTheme="minorHAnsi" w:hAnsiTheme="minorHAnsi" w:cstheme="minorHAnsi"/>
          <w:b/>
          <w:bCs/>
          <w:u w:val="single"/>
          <w:lang w:val="en-US"/>
        </w:rPr>
      </w:pPr>
    </w:p>
    <w:p w14:paraId="38AD579E" w14:textId="77777777" w:rsidR="00FD38A8" w:rsidRDefault="00FD38A8" w:rsidP="005C56AD">
      <w:pPr>
        <w:rPr>
          <w:rFonts w:asciiTheme="minorHAnsi" w:hAnsiTheme="minorHAnsi" w:cstheme="minorHAnsi"/>
          <w:b/>
          <w:bCs/>
          <w:u w:val="single"/>
          <w:lang w:val="en-US"/>
        </w:rPr>
      </w:pPr>
    </w:p>
    <w:p w14:paraId="4204BA82" w14:textId="77777777" w:rsidR="00FD38A8" w:rsidRDefault="00FD38A8" w:rsidP="005C56AD">
      <w:pPr>
        <w:rPr>
          <w:rFonts w:asciiTheme="minorHAnsi" w:hAnsiTheme="minorHAnsi" w:cstheme="minorHAnsi"/>
          <w:b/>
          <w:bCs/>
          <w:u w:val="single"/>
          <w:lang w:val="en-US"/>
        </w:rPr>
      </w:pPr>
    </w:p>
    <w:p w14:paraId="5DF82BE1" w14:textId="77777777" w:rsidR="00FD38A8" w:rsidRDefault="00FD38A8" w:rsidP="005C56AD">
      <w:pPr>
        <w:rPr>
          <w:rFonts w:asciiTheme="minorHAnsi" w:hAnsiTheme="minorHAnsi" w:cstheme="minorHAnsi"/>
          <w:b/>
          <w:bCs/>
          <w:u w:val="single"/>
          <w:lang w:val="en-US"/>
        </w:rPr>
      </w:pPr>
    </w:p>
    <w:p w14:paraId="78BF3459" w14:textId="77777777" w:rsidR="00FD38A8" w:rsidRDefault="00FD38A8" w:rsidP="005C56AD">
      <w:pPr>
        <w:rPr>
          <w:rFonts w:asciiTheme="minorHAnsi" w:hAnsiTheme="minorHAnsi" w:cstheme="minorHAnsi"/>
          <w:b/>
          <w:bCs/>
          <w:u w:val="single"/>
          <w:lang w:val="en-US"/>
        </w:rPr>
      </w:pPr>
    </w:p>
    <w:p w14:paraId="79E33F80" w14:textId="14B82DBC" w:rsidR="00BC2B41" w:rsidRDefault="00BC2B41" w:rsidP="005C56AD">
      <w:pPr>
        <w:rPr>
          <w:rFonts w:asciiTheme="minorHAnsi" w:hAnsiTheme="minorHAnsi" w:cstheme="minorHAnsi"/>
          <w:b/>
          <w:bCs/>
          <w:u w:val="single"/>
          <w:lang w:val="en-US"/>
        </w:rPr>
      </w:pPr>
      <w:r>
        <w:rPr>
          <w:rFonts w:asciiTheme="minorHAnsi" w:hAnsiTheme="minorHAnsi" w:cstheme="minorHAnsi"/>
          <w:b/>
          <w:bCs/>
          <w:u w:val="single"/>
          <w:lang w:val="en-US"/>
        </w:rPr>
        <w:t>Case Law</w:t>
      </w:r>
    </w:p>
    <w:p w14:paraId="132B4570" w14:textId="77777777" w:rsidR="00AD1CD0" w:rsidRDefault="00AD1CD0" w:rsidP="005C56AD">
      <w:pPr>
        <w:rPr>
          <w:rFonts w:asciiTheme="minorHAnsi" w:hAnsiTheme="minorHAnsi" w:cstheme="minorHAnsi"/>
          <w:b/>
          <w:bCs/>
          <w:u w:val="single"/>
          <w:lang w:val="en-US"/>
        </w:rPr>
      </w:pPr>
    </w:p>
    <w:p w14:paraId="0ED79CBB" w14:textId="77777777" w:rsidR="00737A4A" w:rsidRPr="00737A4A" w:rsidRDefault="00737A4A" w:rsidP="00737A4A">
      <w:pPr>
        <w:rPr>
          <w:rFonts w:asciiTheme="minorHAnsi" w:hAnsiTheme="minorHAnsi" w:cstheme="minorHAnsi"/>
          <w:b/>
          <w:bCs/>
          <w:noProof/>
        </w:rPr>
      </w:pPr>
      <w:r w:rsidRPr="00737A4A">
        <w:rPr>
          <w:rFonts w:asciiTheme="minorHAnsi" w:eastAsiaTheme="majorEastAsia" w:hAnsiTheme="minorHAnsi" w:cstheme="minorHAnsi"/>
          <w:b/>
          <w:bCs/>
          <w:noProof/>
        </w:rPr>
        <w:t>Lloyds Bank v Rosset [1991] 1 A.C. 107</w:t>
      </w:r>
    </w:p>
    <w:p w14:paraId="37C3B394" w14:textId="77777777" w:rsidR="00737A4A" w:rsidRPr="00737A4A" w:rsidRDefault="00737A4A" w:rsidP="00737A4A">
      <w:pPr>
        <w:rPr>
          <w:rFonts w:asciiTheme="minorHAnsi" w:hAnsiTheme="minorHAnsi" w:cstheme="minorHAnsi"/>
          <w:b/>
          <w:bCs/>
          <w:noProof/>
        </w:rPr>
      </w:pPr>
    </w:p>
    <w:p w14:paraId="00A46723" w14:textId="6FF57CDA" w:rsidR="00737A4A" w:rsidRPr="00737A4A" w:rsidRDefault="00737A4A" w:rsidP="00737A4A">
      <w:pPr>
        <w:rPr>
          <w:rFonts w:asciiTheme="minorHAnsi" w:hAnsiTheme="minorHAnsi" w:cstheme="minorHAnsi"/>
          <w:b/>
          <w:bCs/>
          <w:noProof/>
        </w:rPr>
      </w:pPr>
      <w:r w:rsidRPr="00737A4A">
        <w:rPr>
          <w:rFonts w:asciiTheme="minorHAnsi" w:hAnsiTheme="minorHAnsi" w:cstheme="minorHAnsi"/>
          <w:b/>
          <w:bCs/>
          <w:noProof/>
        </w:rPr>
        <w:t>Stack v Dowden [2007] UKHL 17</w:t>
      </w:r>
    </w:p>
    <w:p w14:paraId="77F8C188" w14:textId="77777777" w:rsidR="00737A4A" w:rsidRPr="00737A4A" w:rsidRDefault="00737A4A" w:rsidP="00737A4A">
      <w:pPr>
        <w:rPr>
          <w:rFonts w:asciiTheme="minorHAnsi" w:hAnsiTheme="minorHAnsi" w:cstheme="minorHAnsi"/>
          <w:b/>
          <w:bCs/>
          <w:noProof/>
        </w:rPr>
      </w:pPr>
    </w:p>
    <w:p w14:paraId="3E155BD8" w14:textId="69CCFC52" w:rsidR="00737A4A" w:rsidRPr="00737A4A" w:rsidRDefault="00737A4A" w:rsidP="00737A4A">
      <w:pPr>
        <w:rPr>
          <w:rFonts w:asciiTheme="minorHAnsi" w:hAnsiTheme="minorHAnsi" w:cstheme="minorHAnsi"/>
          <w:b/>
          <w:bCs/>
          <w:noProof/>
        </w:rPr>
      </w:pPr>
      <w:r w:rsidRPr="00737A4A">
        <w:rPr>
          <w:rFonts w:asciiTheme="minorHAnsi" w:hAnsiTheme="minorHAnsi" w:cstheme="minorHAnsi"/>
          <w:b/>
          <w:bCs/>
          <w:noProof/>
        </w:rPr>
        <w:t>Jones v Kernott [2011] UKSC 53</w:t>
      </w:r>
    </w:p>
    <w:p w14:paraId="439C2B3A" w14:textId="77777777" w:rsidR="00737A4A" w:rsidRPr="00737A4A" w:rsidRDefault="00737A4A" w:rsidP="00737A4A">
      <w:pPr>
        <w:rPr>
          <w:rFonts w:asciiTheme="minorHAnsi" w:hAnsiTheme="minorHAnsi" w:cstheme="minorHAnsi"/>
          <w:b/>
          <w:bCs/>
          <w:noProof/>
        </w:rPr>
      </w:pPr>
    </w:p>
    <w:p w14:paraId="547134CD" w14:textId="1D258641" w:rsidR="00737A4A" w:rsidRPr="00737A4A" w:rsidRDefault="00737A4A" w:rsidP="00737A4A">
      <w:pPr>
        <w:rPr>
          <w:rFonts w:asciiTheme="minorHAnsi" w:hAnsiTheme="minorHAnsi" w:cstheme="minorHAnsi"/>
          <w:b/>
          <w:bCs/>
          <w:noProof/>
        </w:rPr>
      </w:pPr>
      <w:r w:rsidRPr="00737A4A">
        <w:rPr>
          <w:rFonts w:asciiTheme="minorHAnsi" w:hAnsiTheme="minorHAnsi" w:cstheme="minorHAnsi"/>
          <w:b/>
          <w:bCs/>
          <w:noProof/>
        </w:rPr>
        <w:t>Thorner v Major [2009] UKHL 18</w:t>
      </w:r>
    </w:p>
    <w:p w14:paraId="1C14F339" w14:textId="77777777" w:rsidR="00737A4A" w:rsidRPr="00737A4A" w:rsidRDefault="00737A4A" w:rsidP="00737A4A">
      <w:pPr>
        <w:spacing w:after="160" w:line="259" w:lineRule="auto"/>
        <w:rPr>
          <w:rFonts w:asciiTheme="minorHAnsi" w:hAnsiTheme="minorHAnsi" w:cstheme="minorHAnsi"/>
          <w:b/>
          <w:bCs/>
          <w:noProof/>
        </w:rPr>
      </w:pPr>
    </w:p>
    <w:p w14:paraId="16037EC8" w14:textId="59333213" w:rsidR="00737A4A" w:rsidRPr="00094F3A" w:rsidRDefault="00737A4A" w:rsidP="00737A4A">
      <w:pPr>
        <w:spacing w:after="160" w:line="259" w:lineRule="auto"/>
        <w:rPr>
          <w:rFonts w:asciiTheme="minorHAnsi" w:hAnsiTheme="minorHAnsi" w:cstheme="minorHAnsi"/>
          <w:b/>
          <w:bCs/>
          <w:noProof/>
        </w:rPr>
      </w:pPr>
      <w:r w:rsidRPr="00094F3A">
        <w:rPr>
          <w:rFonts w:asciiTheme="minorHAnsi" w:hAnsiTheme="minorHAnsi" w:cstheme="minorHAnsi"/>
          <w:b/>
          <w:bCs/>
          <w:noProof/>
        </w:rPr>
        <w:t>Greasley v Cooke [1980] 3 All ER 710</w:t>
      </w:r>
    </w:p>
    <w:p w14:paraId="40A35A6F" w14:textId="77777777" w:rsidR="00AD1CD0" w:rsidRDefault="00AD1CD0" w:rsidP="005C56AD">
      <w:pPr>
        <w:rPr>
          <w:rFonts w:asciiTheme="minorHAnsi" w:hAnsiTheme="minorHAnsi" w:cstheme="minorHAnsi"/>
          <w:b/>
          <w:bCs/>
          <w:u w:val="single"/>
          <w:lang w:val="en-US"/>
        </w:rPr>
      </w:pPr>
    </w:p>
    <w:p w14:paraId="565A821E" w14:textId="77777777" w:rsidR="00AD1CD0" w:rsidRDefault="00AD1CD0" w:rsidP="005C56AD">
      <w:pPr>
        <w:rPr>
          <w:rFonts w:asciiTheme="minorHAnsi" w:hAnsiTheme="minorHAnsi" w:cstheme="minorHAnsi"/>
          <w:b/>
          <w:bCs/>
          <w:u w:val="single"/>
          <w:lang w:val="en-US"/>
        </w:rPr>
      </w:pPr>
    </w:p>
    <w:p w14:paraId="20B2ACC8" w14:textId="77777777" w:rsidR="00AD1CD0" w:rsidRDefault="00AD1CD0" w:rsidP="005C56AD">
      <w:pPr>
        <w:rPr>
          <w:rFonts w:asciiTheme="minorHAnsi" w:hAnsiTheme="minorHAnsi" w:cstheme="minorHAnsi"/>
          <w:b/>
          <w:bCs/>
          <w:u w:val="single"/>
          <w:lang w:val="en-US"/>
        </w:rPr>
      </w:pPr>
    </w:p>
    <w:p w14:paraId="3C6483BA" w14:textId="77777777" w:rsidR="00AD1CD0" w:rsidRDefault="00AD1CD0" w:rsidP="005C56AD">
      <w:pPr>
        <w:rPr>
          <w:rFonts w:asciiTheme="minorHAnsi" w:hAnsiTheme="minorHAnsi" w:cstheme="minorHAnsi"/>
          <w:b/>
          <w:bCs/>
          <w:u w:val="single"/>
          <w:lang w:val="en-US"/>
        </w:rPr>
      </w:pPr>
    </w:p>
    <w:p w14:paraId="5E4DC851" w14:textId="77777777" w:rsidR="00AD1CD0" w:rsidRDefault="00AD1CD0" w:rsidP="005C56AD">
      <w:pPr>
        <w:rPr>
          <w:rFonts w:asciiTheme="minorHAnsi" w:hAnsiTheme="minorHAnsi" w:cstheme="minorHAnsi"/>
          <w:b/>
          <w:bCs/>
          <w:u w:val="single"/>
          <w:lang w:val="en-US"/>
        </w:rPr>
      </w:pPr>
    </w:p>
    <w:p w14:paraId="5BAECE21" w14:textId="77777777" w:rsidR="00AD1CD0" w:rsidRDefault="00AD1CD0" w:rsidP="005C56AD">
      <w:pPr>
        <w:rPr>
          <w:rFonts w:asciiTheme="minorHAnsi" w:hAnsiTheme="minorHAnsi" w:cstheme="minorHAnsi"/>
          <w:b/>
          <w:bCs/>
          <w:u w:val="single"/>
          <w:lang w:val="en-US"/>
        </w:rPr>
      </w:pPr>
    </w:p>
    <w:p w14:paraId="5165D053" w14:textId="77777777" w:rsidR="00AD1CD0" w:rsidRDefault="00AD1CD0" w:rsidP="005C56AD">
      <w:pPr>
        <w:rPr>
          <w:rFonts w:asciiTheme="minorHAnsi" w:hAnsiTheme="minorHAnsi" w:cstheme="minorHAnsi"/>
          <w:b/>
          <w:bCs/>
          <w:u w:val="single"/>
          <w:lang w:val="en-US"/>
        </w:rPr>
      </w:pPr>
    </w:p>
    <w:p w14:paraId="78D82A02" w14:textId="77777777" w:rsidR="00AD1CD0" w:rsidRDefault="00AD1CD0" w:rsidP="005C56AD">
      <w:pPr>
        <w:rPr>
          <w:rFonts w:asciiTheme="minorHAnsi" w:hAnsiTheme="minorHAnsi" w:cstheme="minorHAnsi"/>
          <w:b/>
          <w:bCs/>
          <w:u w:val="single"/>
          <w:lang w:val="en-US"/>
        </w:rPr>
      </w:pPr>
    </w:p>
    <w:p w14:paraId="387241EA" w14:textId="77777777" w:rsidR="00AD1CD0" w:rsidRDefault="00AD1CD0" w:rsidP="005C56AD">
      <w:pPr>
        <w:rPr>
          <w:rFonts w:asciiTheme="minorHAnsi" w:hAnsiTheme="minorHAnsi" w:cstheme="minorHAnsi"/>
          <w:b/>
          <w:bCs/>
          <w:u w:val="single"/>
          <w:lang w:val="en-US"/>
        </w:rPr>
      </w:pPr>
    </w:p>
    <w:p w14:paraId="40E9D9B0" w14:textId="77777777" w:rsidR="00AD1CD0" w:rsidRDefault="00AD1CD0" w:rsidP="005C56AD">
      <w:pPr>
        <w:rPr>
          <w:rFonts w:asciiTheme="minorHAnsi" w:hAnsiTheme="minorHAnsi" w:cstheme="minorHAnsi"/>
          <w:b/>
          <w:bCs/>
          <w:u w:val="single"/>
          <w:lang w:val="en-US"/>
        </w:rPr>
      </w:pPr>
    </w:p>
    <w:p w14:paraId="4F20D4EC" w14:textId="77777777" w:rsidR="00AD1CD0" w:rsidRDefault="00AD1CD0" w:rsidP="005C56AD">
      <w:pPr>
        <w:rPr>
          <w:rFonts w:asciiTheme="minorHAnsi" w:hAnsiTheme="minorHAnsi" w:cstheme="minorHAnsi"/>
          <w:b/>
          <w:bCs/>
          <w:u w:val="single"/>
          <w:lang w:val="en-US"/>
        </w:rPr>
      </w:pPr>
    </w:p>
    <w:p w14:paraId="2BF33565" w14:textId="77777777" w:rsidR="00AD1CD0" w:rsidRDefault="00AD1CD0" w:rsidP="005C56AD">
      <w:pPr>
        <w:rPr>
          <w:rFonts w:asciiTheme="minorHAnsi" w:hAnsiTheme="minorHAnsi" w:cstheme="minorHAnsi"/>
          <w:b/>
          <w:bCs/>
          <w:u w:val="single"/>
          <w:lang w:val="en-US"/>
        </w:rPr>
      </w:pPr>
    </w:p>
    <w:p w14:paraId="3716F896" w14:textId="77777777" w:rsidR="00AD1CD0" w:rsidRDefault="00AD1CD0" w:rsidP="005C56AD">
      <w:pPr>
        <w:rPr>
          <w:rFonts w:asciiTheme="minorHAnsi" w:hAnsiTheme="minorHAnsi" w:cstheme="minorHAnsi"/>
          <w:b/>
          <w:bCs/>
          <w:u w:val="single"/>
          <w:lang w:val="en-US"/>
        </w:rPr>
      </w:pPr>
    </w:p>
    <w:p w14:paraId="740924BA" w14:textId="77777777" w:rsidR="00AD1CD0" w:rsidRDefault="00AD1CD0" w:rsidP="005C56AD">
      <w:pPr>
        <w:rPr>
          <w:rFonts w:asciiTheme="minorHAnsi" w:hAnsiTheme="minorHAnsi" w:cstheme="minorHAnsi"/>
          <w:b/>
          <w:bCs/>
          <w:u w:val="single"/>
          <w:lang w:val="en-US"/>
        </w:rPr>
      </w:pPr>
    </w:p>
    <w:p w14:paraId="41C1DA89" w14:textId="77777777" w:rsidR="00AD1CD0" w:rsidRDefault="00AD1CD0" w:rsidP="005C56AD">
      <w:pPr>
        <w:rPr>
          <w:rFonts w:asciiTheme="minorHAnsi" w:hAnsiTheme="minorHAnsi" w:cstheme="minorHAnsi"/>
          <w:b/>
          <w:bCs/>
          <w:u w:val="single"/>
          <w:lang w:val="en-US"/>
        </w:rPr>
      </w:pPr>
    </w:p>
    <w:p w14:paraId="4F0A4244" w14:textId="77777777" w:rsidR="00AD1CD0" w:rsidRDefault="00AD1CD0" w:rsidP="005C56AD">
      <w:pPr>
        <w:rPr>
          <w:rFonts w:asciiTheme="minorHAnsi" w:hAnsiTheme="minorHAnsi" w:cstheme="minorHAnsi"/>
          <w:b/>
          <w:bCs/>
          <w:u w:val="single"/>
          <w:lang w:val="en-US"/>
        </w:rPr>
      </w:pPr>
    </w:p>
    <w:p w14:paraId="40115FA8" w14:textId="77777777" w:rsidR="00AD1CD0" w:rsidRDefault="00AD1CD0" w:rsidP="005C56AD">
      <w:pPr>
        <w:rPr>
          <w:rFonts w:asciiTheme="minorHAnsi" w:hAnsiTheme="minorHAnsi" w:cstheme="minorHAnsi"/>
          <w:b/>
          <w:bCs/>
          <w:u w:val="single"/>
          <w:lang w:val="en-US"/>
        </w:rPr>
      </w:pPr>
    </w:p>
    <w:p w14:paraId="1E7823E2" w14:textId="77777777" w:rsidR="00AD1CD0" w:rsidRDefault="00AD1CD0" w:rsidP="005C56AD">
      <w:pPr>
        <w:rPr>
          <w:rFonts w:asciiTheme="minorHAnsi" w:hAnsiTheme="minorHAnsi" w:cstheme="minorHAnsi"/>
          <w:b/>
          <w:bCs/>
          <w:u w:val="single"/>
          <w:lang w:val="en-US"/>
        </w:rPr>
      </w:pPr>
    </w:p>
    <w:p w14:paraId="246FB162" w14:textId="77777777" w:rsidR="00AD1CD0" w:rsidRDefault="00AD1CD0" w:rsidP="005C56AD">
      <w:pPr>
        <w:rPr>
          <w:rFonts w:asciiTheme="minorHAnsi" w:hAnsiTheme="minorHAnsi" w:cstheme="minorHAnsi"/>
          <w:b/>
          <w:bCs/>
          <w:u w:val="single"/>
          <w:lang w:val="en-US"/>
        </w:rPr>
      </w:pPr>
    </w:p>
    <w:p w14:paraId="25925241" w14:textId="77777777" w:rsidR="00AD1CD0" w:rsidRDefault="00AD1CD0" w:rsidP="005C56AD">
      <w:pPr>
        <w:rPr>
          <w:rFonts w:asciiTheme="minorHAnsi" w:hAnsiTheme="minorHAnsi" w:cstheme="minorHAnsi"/>
          <w:b/>
          <w:bCs/>
          <w:u w:val="single"/>
          <w:lang w:val="en-US"/>
        </w:rPr>
      </w:pPr>
    </w:p>
    <w:p w14:paraId="7B91F137" w14:textId="77777777" w:rsidR="00AD1CD0" w:rsidRDefault="00AD1CD0" w:rsidP="005C56AD">
      <w:pPr>
        <w:rPr>
          <w:rFonts w:asciiTheme="minorHAnsi" w:hAnsiTheme="minorHAnsi" w:cstheme="minorHAnsi"/>
          <w:b/>
          <w:bCs/>
          <w:u w:val="single"/>
          <w:lang w:val="en-US"/>
        </w:rPr>
      </w:pPr>
    </w:p>
    <w:p w14:paraId="298BBDF7" w14:textId="77777777" w:rsidR="00AD1CD0" w:rsidRDefault="00AD1CD0" w:rsidP="005C56AD">
      <w:pPr>
        <w:rPr>
          <w:rFonts w:asciiTheme="minorHAnsi" w:hAnsiTheme="minorHAnsi" w:cstheme="minorHAnsi"/>
          <w:b/>
          <w:bCs/>
          <w:u w:val="single"/>
          <w:lang w:val="en-US"/>
        </w:rPr>
      </w:pPr>
    </w:p>
    <w:p w14:paraId="2C999FE1" w14:textId="77777777" w:rsidR="00AD1CD0" w:rsidRDefault="00AD1CD0" w:rsidP="005C56AD">
      <w:pPr>
        <w:rPr>
          <w:rFonts w:asciiTheme="minorHAnsi" w:hAnsiTheme="minorHAnsi" w:cstheme="minorHAnsi"/>
          <w:b/>
          <w:bCs/>
          <w:u w:val="single"/>
          <w:lang w:val="en-US"/>
        </w:rPr>
      </w:pPr>
    </w:p>
    <w:p w14:paraId="73E24B74" w14:textId="77777777" w:rsidR="00AD1CD0" w:rsidRDefault="00AD1CD0" w:rsidP="005C56AD">
      <w:pPr>
        <w:rPr>
          <w:rFonts w:asciiTheme="minorHAnsi" w:hAnsiTheme="minorHAnsi" w:cstheme="minorHAnsi"/>
          <w:b/>
          <w:bCs/>
          <w:u w:val="single"/>
          <w:lang w:val="en-US"/>
        </w:rPr>
      </w:pPr>
    </w:p>
    <w:p w14:paraId="78B615FE" w14:textId="77777777" w:rsidR="00AD1CD0" w:rsidRDefault="00AD1CD0" w:rsidP="005C56AD">
      <w:pPr>
        <w:rPr>
          <w:rFonts w:asciiTheme="minorHAnsi" w:hAnsiTheme="minorHAnsi" w:cstheme="minorHAnsi"/>
          <w:b/>
          <w:bCs/>
          <w:u w:val="single"/>
          <w:lang w:val="en-US"/>
        </w:rPr>
      </w:pPr>
    </w:p>
    <w:p w14:paraId="6DAC27DC" w14:textId="77777777" w:rsidR="00AD1CD0" w:rsidRDefault="00AD1CD0" w:rsidP="005C56AD">
      <w:pPr>
        <w:rPr>
          <w:rFonts w:asciiTheme="minorHAnsi" w:hAnsiTheme="minorHAnsi" w:cstheme="minorHAnsi"/>
          <w:b/>
          <w:bCs/>
          <w:u w:val="single"/>
          <w:lang w:val="en-US"/>
        </w:rPr>
      </w:pPr>
    </w:p>
    <w:p w14:paraId="18D8736A" w14:textId="77777777" w:rsidR="00AD1CD0" w:rsidRDefault="00AD1CD0" w:rsidP="005C56AD">
      <w:pPr>
        <w:rPr>
          <w:rFonts w:asciiTheme="minorHAnsi" w:hAnsiTheme="minorHAnsi" w:cstheme="minorHAnsi"/>
          <w:b/>
          <w:bCs/>
          <w:u w:val="single"/>
          <w:lang w:val="en-US"/>
        </w:rPr>
      </w:pPr>
    </w:p>
    <w:p w14:paraId="4E442FF4" w14:textId="77777777" w:rsidR="00AD1CD0" w:rsidRDefault="00AD1CD0" w:rsidP="005C56AD">
      <w:pPr>
        <w:rPr>
          <w:rFonts w:asciiTheme="minorHAnsi" w:hAnsiTheme="minorHAnsi" w:cstheme="minorHAnsi"/>
          <w:b/>
          <w:bCs/>
          <w:u w:val="single"/>
          <w:lang w:val="en-US"/>
        </w:rPr>
      </w:pPr>
    </w:p>
    <w:p w14:paraId="2D5E059B" w14:textId="77777777" w:rsidR="00AD1CD0" w:rsidRDefault="00AD1CD0" w:rsidP="005C56AD">
      <w:pPr>
        <w:rPr>
          <w:rFonts w:asciiTheme="minorHAnsi" w:hAnsiTheme="minorHAnsi" w:cstheme="minorHAnsi"/>
          <w:b/>
          <w:bCs/>
          <w:u w:val="single"/>
          <w:lang w:val="en-US"/>
        </w:rPr>
      </w:pPr>
    </w:p>
    <w:p w14:paraId="14EDDCE3" w14:textId="77777777" w:rsidR="00AD1CD0" w:rsidRDefault="00AD1CD0" w:rsidP="005C56AD">
      <w:pPr>
        <w:rPr>
          <w:rFonts w:asciiTheme="minorHAnsi" w:hAnsiTheme="minorHAnsi" w:cstheme="minorHAnsi"/>
          <w:b/>
          <w:bCs/>
          <w:u w:val="single"/>
          <w:lang w:val="en-US"/>
        </w:rPr>
      </w:pPr>
    </w:p>
    <w:p w14:paraId="1856082A" w14:textId="77777777" w:rsidR="00AD1CD0" w:rsidRDefault="00AD1CD0" w:rsidP="005C56AD">
      <w:pPr>
        <w:rPr>
          <w:rFonts w:asciiTheme="minorHAnsi" w:hAnsiTheme="minorHAnsi" w:cstheme="minorHAnsi"/>
          <w:b/>
          <w:bCs/>
          <w:u w:val="single"/>
          <w:lang w:val="en-US"/>
        </w:rPr>
      </w:pPr>
    </w:p>
    <w:p w14:paraId="5DAA0444" w14:textId="77777777" w:rsidR="00AD1CD0" w:rsidRDefault="00AD1CD0" w:rsidP="005C56AD">
      <w:pPr>
        <w:rPr>
          <w:rFonts w:asciiTheme="minorHAnsi" w:hAnsiTheme="minorHAnsi" w:cstheme="minorHAnsi"/>
          <w:b/>
          <w:bCs/>
          <w:u w:val="single"/>
          <w:lang w:val="en-US"/>
        </w:rPr>
      </w:pPr>
    </w:p>
    <w:p w14:paraId="697BCB85" w14:textId="77777777" w:rsidR="00AD1CD0" w:rsidRDefault="00AD1CD0" w:rsidP="005C56AD">
      <w:pPr>
        <w:rPr>
          <w:rFonts w:asciiTheme="minorHAnsi" w:hAnsiTheme="minorHAnsi" w:cstheme="minorHAnsi"/>
          <w:b/>
          <w:bCs/>
          <w:u w:val="single"/>
          <w:lang w:val="en-US"/>
        </w:rPr>
      </w:pPr>
    </w:p>
    <w:p w14:paraId="0254DD55" w14:textId="77777777" w:rsidR="00AD1CD0" w:rsidRDefault="00AD1CD0" w:rsidP="005C56AD">
      <w:pPr>
        <w:rPr>
          <w:rFonts w:asciiTheme="minorHAnsi" w:hAnsiTheme="minorHAnsi" w:cstheme="minorHAnsi"/>
          <w:b/>
          <w:bCs/>
          <w:u w:val="single"/>
          <w:lang w:val="en-US"/>
        </w:rPr>
      </w:pPr>
    </w:p>
    <w:p w14:paraId="2AEE5E35" w14:textId="77777777" w:rsidR="000F5417" w:rsidRDefault="000F5417" w:rsidP="005C56AD">
      <w:pPr>
        <w:rPr>
          <w:rFonts w:asciiTheme="minorHAnsi" w:hAnsiTheme="minorHAnsi" w:cstheme="minorHAnsi"/>
          <w:b/>
          <w:bCs/>
          <w:u w:val="single"/>
          <w:lang w:val="en-US"/>
        </w:rPr>
      </w:pPr>
    </w:p>
    <w:p w14:paraId="19C27E3A" w14:textId="77777777" w:rsidR="00AD1CD0" w:rsidRDefault="00AD1CD0" w:rsidP="005C56AD">
      <w:pPr>
        <w:rPr>
          <w:rFonts w:asciiTheme="minorHAnsi" w:hAnsiTheme="minorHAnsi" w:cstheme="minorHAnsi"/>
          <w:b/>
          <w:bCs/>
          <w:u w:val="single"/>
          <w:lang w:val="en-US"/>
        </w:rPr>
      </w:pPr>
    </w:p>
    <w:p w14:paraId="71A1F0BE" w14:textId="5BB8C05D" w:rsidR="00AD1CD0" w:rsidRDefault="00AD1CD0" w:rsidP="005C56AD">
      <w:pPr>
        <w:rPr>
          <w:rFonts w:asciiTheme="minorHAnsi" w:hAnsiTheme="minorHAnsi" w:cstheme="minorHAnsi"/>
          <w:u w:val="single"/>
          <w:lang w:val="en-US"/>
        </w:rPr>
      </w:pPr>
      <w:r>
        <w:rPr>
          <w:rFonts w:asciiTheme="minorHAnsi" w:hAnsiTheme="minorHAnsi" w:cstheme="minorHAnsi"/>
          <w:u w:val="single"/>
          <w:lang w:val="en-US"/>
        </w:rPr>
        <w:lastRenderedPageBreak/>
        <w:t xml:space="preserve">References </w:t>
      </w:r>
    </w:p>
    <w:p w14:paraId="77FCF8F9" w14:textId="77777777" w:rsidR="00AD1CD0" w:rsidRPr="00AD1CD0" w:rsidRDefault="00AD1CD0" w:rsidP="00AD1CD0">
      <w:pPr>
        <w:pStyle w:val="Bibliography"/>
        <w:rPr>
          <w:rFonts w:cstheme="minorHAnsi"/>
          <w:noProof/>
          <w:u w:val="single"/>
        </w:rPr>
      </w:pPr>
      <w:r w:rsidRPr="00AD1CD0">
        <w:rPr>
          <w:rFonts w:cstheme="minorHAnsi"/>
          <w:noProof/>
        </w:rPr>
        <w:t xml:space="preserve">Andrew, K., 2023. </w:t>
      </w:r>
      <w:r w:rsidRPr="00AD1CD0">
        <w:rPr>
          <w:rFonts w:cstheme="minorHAnsi"/>
          <w:i/>
          <w:iCs/>
          <w:noProof/>
        </w:rPr>
        <w:t xml:space="preserve">Home News &amp; insights Insights Proprietary estoppel: a legal remedy for an unkept promise. </w:t>
      </w:r>
      <w:r w:rsidRPr="00AD1CD0">
        <w:rPr>
          <w:rFonts w:cstheme="minorHAnsi"/>
          <w:noProof/>
        </w:rPr>
        <w:t xml:space="preserve">[Online] </w:t>
      </w:r>
      <w:r w:rsidRPr="00AD1CD0">
        <w:rPr>
          <w:rFonts w:cstheme="minorHAnsi"/>
          <w:noProof/>
        </w:rPr>
        <w:br/>
        <w:t xml:space="preserve">Available at: </w:t>
      </w:r>
      <w:hyperlink r:id="rId8" w:history="1">
        <w:r w:rsidRPr="00AD1CD0">
          <w:rPr>
            <w:rStyle w:val="Hyperlink"/>
            <w:rFonts w:cstheme="minorHAnsi"/>
            <w:noProof/>
          </w:rPr>
          <w:t>https://hamlins.com/insight/proprietary-estoppel-a-legal-remedy-for-an-unkept-promise/#:~:text=Proprietary%20estoppel%20is%20a%20specific,interest%20in%20the%20land%20owned</w:t>
        </w:r>
      </w:hyperlink>
      <w:r w:rsidRPr="00AD1CD0">
        <w:rPr>
          <w:rFonts w:cstheme="minorHAnsi"/>
          <w:noProof/>
          <w:u w:val="single"/>
        </w:rPr>
        <w:t xml:space="preserve">. </w:t>
      </w:r>
      <w:r w:rsidRPr="00AD1CD0">
        <w:rPr>
          <w:rFonts w:cstheme="minorHAnsi"/>
          <w:noProof/>
        </w:rPr>
        <w:t>[Accessed 3rd December 2024].</w:t>
      </w:r>
    </w:p>
    <w:p w14:paraId="3EE854BB" w14:textId="77777777" w:rsidR="00AD1CD0" w:rsidRPr="00AD1CD0" w:rsidRDefault="00AD1CD0" w:rsidP="00AD1CD0">
      <w:pPr>
        <w:rPr>
          <w:rFonts w:asciiTheme="minorHAnsi" w:hAnsiTheme="minorHAnsi" w:cstheme="minorHAnsi"/>
          <w:noProof/>
          <w:sz w:val="22"/>
          <w:szCs w:val="22"/>
          <w:u w:val="single"/>
        </w:rPr>
      </w:pPr>
      <w:r w:rsidRPr="00AD1CD0">
        <w:rPr>
          <w:rFonts w:asciiTheme="minorHAnsi" w:hAnsiTheme="minorHAnsi" w:cstheme="minorHAnsi"/>
          <w:noProof/>
          <w:sz w:val="22"/>
          <w:szCs w:val="22"/>
        </w:rPr>
        <w:t xml:space="preserve">Authority, S. R., 2024. </w:t>
      </w:r>
      <w:r w:rsidRPr="00AD1CD0">
        <w:rPr>
          <w:rFonts w:asciiTheme="minorHAnsi" w:hAnsiTheme="minorHAnsi" w:cstheme="minorHAnsi"/>
          <w:i/>
          <w:iCs/>
          <w:noProof/>
          <w:sz w:val="22"/>
          <w:szCs w:val="22"/>
        </w:rPr>
        <w:t xml:space="preserve">Drafting a Skeleton Argument. </w:t>
      </w:r>
      <w:r w:rsidRPr="00AD1CD0">
        <w:rPr>
          <w:rFonts w:asciiTheme="minorHAnsi" w:hAnsiTheme="minorHAnsi" w:cstheme="minorHAnsi"/>
          <w:noProof/>
          <w:sz w:val="22"/>
          <w:szCs w:val="22"/>
        </w:rPr>
        <w:t xml:space="preserve">[Online] </w:t>
      </w:r>
      <w:r w:rsidRPr="00AD1CD0">
        <w:rPr>
          <w:rFonts w:asciiTheme="minorHAnsi" w:hAnsiTheme="minorHAnsi" w:cstheme="minorHAnsi"/>
          <w:noProof/>
          <w:sz w:val="22"/>
          <w:szCs w:val="22"/>
        </w:rPr>
        <w:br/>
        <w:t xml:space="preserve">Available at: </w:t>
      </w:r>
      <w:hyperlink r:id="rId9" w:history="1">
        <w:r w:rsidRPr="00AD1CD0">
          <w:rPr>
            <w:rStyle w:val="Hyperlink"/>
            <w:rFonts w:asciiTheme="minorHAnsi" w:hAnsiTheme="minorHAnsi" w:cstheme="minorHAnsi"/>
            <w:noProof/>
            <w:sz w:val="22"/>
            <w:szCs w:val="22"/>
          </w:rPr>
          <w:t>https://www.sra.org.uk/solicitors/resources/specific-areas-of-practice/persuasive-skeleton-argument/</w:t>
        </w:r>
      </w:hyperlink>
      <w:r w:rsidRPr="00AD1CD0">
        <w:rPr>
          <w:rFonts w:asciiTheme="minorHAnsi" w:hAnsiTheme="minorHAnsi" w:cstheme="minorHAnsi"/>
          <w:noProof/>
          <w:sz w:val="22"/>
          <w:szCs w:val="22"/>
          <w:u w:val="single"/>
        </w:rPr>
        <w:t xml:space="preserve">. </w:t>
      </w:r>
      <w:r w:rsidRPr="00AD1CD0">
        <w:rPr>
          <w:rFonts w:asciiTheme="minorHAnsi" w:hAnsiTheme="minorHAnsi" w:cstheme="minorHAnsi"/>
          <w:noProof/>
          <w:sz w:val="22"/>
          <w:szCs w:val="22"/>
        </w:rPr>
        <w:t>[Accessed 3rd December 2024]</w:t>
      </w:r>
    </w:p>
    <w:p w14:paraId="72074F8A" w14:textId="77777777" w:rsidR="00AD1CD0" w:rsidRPr="00AD1CD0" w:rsidRDefault="00AD1CD0" w:rsidP="00AD1CD0">
      <w:pPr>
        <w:rPr>
          <w:rFonts w:asciiTheme="minorHAnsi" w:hAnsiTheme="minorHAnsi" w:cstheme="minorHAnsi"/>
          <w:noProof/>
          <w:sz w:val="22"/>
          <w:szCs w:val="22"/>
          <w:u w:val="single"/>
        </w:rPr>
      </w:pPr>
      <w:r w:rsidRPr="00AD1CD0">
        <w:rPr>
          <w:rFonts w:asciiTheme="minorHAnsi" w:hAnsiTheme="minorHAnsi" w:cstheme="minorHAnsi"/>
          <w:noProof/>
          <w:sz w:val="22"/>
          <w:szCs w:val="22"/>
        </w:rPr>
        <w:t xml:space="preserve">Information, C., 2024. </w:t>
      </w:r>
      <w:r w:rsidRPr="00AD1CD0">
        <w:rPr>
          <w:rFonts w:asciiTheme="minorHAnsi" w:hAnsiTheme="minorHAnsi" w:cstheme="minorHAnsi"/>
          <w:i/>
          <w:iCs/>
          <w:noProof/>
          <w:sz w:val="22"/>
          <w:szCs w:val="22"/>
        </w:rPr>
        <w:t xml:space="preserve">Rights of Cohabiting Couples (couples living together). </w:t>
      </w:r>
      <w:r w:rsidRPr="00AD1CD0">
        <w:rPr>
          <w:rFonts w:asciiTheme="minorHAnsi" w:hAnsiTheme="minorHAnsi" w:cstheme="minorHAnsi"/>
          <w:noProof/>
          <w:sz w:val="22"/>
          <w:szCs w:val="22"/>
        </w:rPr>
        <w:t xml:space="preserve">[Online] </w:t>
      </w:r>
      <w:r w:rsidRPr="00AD1CD0">
        <w:rPr>
          <w:rFonts w:asciiTheme="minorHAnsi" w:hAnsiTheme="minorHAnsi" w:cstheme="minorHAnsi"/>
          <w:noProof/>
          <w:sz w:val="22"/>
          <w:szCs w:val="22"/>
        </w:rPr>
        <w:br/>
        <w:t xml:space="preserve">Available at: </w:t>
      </w:r>
      <w:hyperlink r:id="rId10" w:history="1">
        <w:r w:rsidRPr="00AD1CD0">
          <w:rPr>
            <w:rStyle w:val="Hyperlink"/>
            <w:rFonts w:asciiTheme="minorHAnsi" w:hAnsiTheme="minorHAnsi" w:cstheme="minorHAnsi"/>
            <w:noProof/>
            <w:sz w:val="22"/>
            <w:szCs w:val="22"/>
          </w:rPr>
          <w:t>https://www.citizensinformation.ie/en/birth-family-relationships/cohabiting-couples/rights-of-cohabiting-couples/#:~:text=exceeds%20%E2%82%AC16%2C250.-,Preparing%20for%20the%20future%20with%20a%20cohabitation%20agreement,reasonable%20to%20both%20of%20you</w:t>
        </w:r>
      </w:hyperlink>
      <w:r w:rsidRPr="00AD1CD0">
        <w:rPr>
          <w:rFonts w:asciiTheme="minorHAnsi" w:hAnsiTheme="minorHAnsi" w:cstheme="minorHAnsi"/>
          <w:noProof/>
          <w:sz w:val="22"/>
          <w:szCs w:val="22"/>
          <w:u w:val="single"/>
        </w:rPr>
        <w:t xml:space="preserve">. </w:t>
      </w:r>
      <w:r w:rsidRPr="00AD1CD0">
        <w:rPr>
          <w:rFonts w:asciiTheme="minorHAnsi" w:hAnsiTheme="minorHAnsi" w:cstheme="minorHAnsi"/>
          <w:noProof/>
          <w:sz w:val="22"/>
          <w:szCs w:val="22"/>
        </w:rPr>
        <w:t>[Accessed 3rd December 2024].</w:t>
      </w:r>
    </w:p>
    <w:p w14:paraId="1D835786" w14:textId="77777777" w:rsidR="00AD1CD0" w:rsidRPr="00AD1CD0" w:rsidRDefault="00AD1CD0" w:rsidP="00AD1CD0">
      <w:pPr>
        <w:pStyle w:val="Bibliography"/>
        <w:rPr>
          <w:rFonts w:cstheme="minorHAnsi"/>
          <w:noProof/>
          <w:u w:val="single"/>
        </w:rPr>
      </w:pPr>
      <w:r w:rsidRPr="00AD1CD0">
        <w:rPr>
          <w:rFonts w:cstheme="minorHAnsi"/>
          <w:noProof/>
        </w:rPr>
        <w:t xml:space="preserve">James, H., 2024. </w:t>
      </w:r>
      <w:r w:rsidRPr="00AD1CD0">
        <w:rPr>
          <w:rFonts w:cstheme="minorHAnsi"/>
          <w:i/>
          <w:iCs/>
          <w:noProof/>
        </w:rPr>
        <w:t xml:space="preserve">Proprietary estoppel, resulting trust &amp; constructive trust claims. </w:t>
      </w:r>
      <w:r w:rsidRPr="00AD1CD0">
        <w:rPr>
          <w:rFonts w:cstheme="minorHAnsi"/>
          <w:noProof/>
        </w:rPr>
        <w:t xml:space="preserve">[Online] </w:t>
      </w:r>
      <w:r w:rsidRPr="00AD1CD0">
        <w:rPr>
          <w:rFonts w:cstheme="minorHAnsi"/>
          <w:noProof/>
        </w:rPr>
        <w:br/>
        <w:t xml:space="preserve">Available at: </w:t>
      </w:r>
      <w:hyperlink r:id="rId11" w:history="1">
        <w:r w:rsidRPr="00AD1CD0">
          <w:rPr>
            <w:rStyle w:val="Hyperlink"/>
            <w:rFonts w:cstheme="minorHAnsi"/>
            <w:noProof/>
          </w:rPr>
          <w:t>https://www.hughjames.com/services/contested-wills-trusts-estates/proprietary-estoppel-resulting-trust-constructive-trust-claims/#:~:text=A%20constructive%20trust%20is%20where,defend%20a%20constructive%20trust%20claim</w:t>
        </w:r>
      </w:hyperlink>
      <w:r w:rsidRPr="00AD1CD0">
        <w:rPr>
          <w:rFonts w:cstheme="minorHAnsi"/>
          <w:noProof/>
          <w:u w:val="single"/>
        </w:rPr>
        <w:t xml:space="preserve">. </w:t>
      </w:r>
      <w:r w:rsidRPr="00AD1CD0">
        <w:rPr>
          <w:rFonts w:cstheme="minorHAnsi"/>
          <w:noProof/>
        </w:rPr>
        <w:t>[Accessed 3rd December 2024].</w:t>
      </w:r>
    </w:p>
    <w:p w14:paraId="52C162DB" w14:textId="77777777" w:rsidR="00AD1CD0" w:rsidRPr="00AD1CD0" w:rsidRDefault="00AD1CD0" w:rsidP="00AD1CD0">
      <w:pPr>
        <w:pStyle w:val="Bibliography"/>
        <w:rPr>
          <w:rFonts w:cstheme="minorHAnsi"/>
          <w:noProof/>
          <w:u w:val="single"/>
        </w:rPr>
      </w:pPr>
      <w:r w:rsidRPr="00AD1CD0">
        <w:rPr>
          <w:rFonts w:cstheme="minorHAnsi"/>
          <w:noProof/>
        </w:rPr>
        <w:t xml:space="preserve">Legislation, 2024. </w:t>
      </w:r>
      <w:r w:rsidRPr="00AD1CD0">
        <w:rPr>
          <w:rFonts w:cstheme="minorHAnsi"/>
          <w:i/>
          <w:iCs/>
          <w:noProof/>
        </w:rPr>
        <w:t xml:space="preserve">Land Registration Act 2002 - Proprietary Estoppel. </w:t>
      </w:r>
      <w:r w:rsidRPr="00AD1CD0">
        <w:rPr>
          <w:rFonts w:cstheme="minorHAnsi"/>
          <w:noProof/>
        </w:rPr>
        <w:t xml:space="preserve">[Online] </w:t>
      </w:r>
      <w:r w:rsidRPr="00AD1CD0">
        <w:rPr>
          <w:rFonts w:cstheme="minorHAnsi"/>
          <w:noProof/>
        </w:rPr>
        <w:br/>
        <w:t xml:space="preserve">Available at: </w:t>
      </w:r>
      <w:hyperlink r:id="rId12" w:history="1">
        <w:r w:rsidRPr="00AD1CD0">
          <w:rPr>
            <w:rStyle w:val="Hyperlink"/>
            <w:rFonts w:cstheme="minorHAnsi"/>
            <w:noProof/>
          </w:rPr>
          <w:t>https://www.legislation.gov.uk/ukpga/2002/9/notes/division/4/12/1/2?view=plain</w:t>
        </w:r>
      </w:hyperlink>
      <w:r w:rsidRPr="00AD1CD0">
        <w:rPr>
          <w:rFonts w:cstheme="minorHAnsi"/>
          <w:noProof/>
          <w:u w:val="single"/>
        </w:rPr>
        <w:t xml:space="preserve">. </w:t>
      </w:r>
      <w:r w:rsidRPr="00AD1CD0">
        <w:rPr>
          <w:rFonts w:cstheme="minorHAnsi"/>
          <w:noProof/>
        </w:rPr>
        <w:t>[Accessed 3rd December 2024].</w:t>
      </w:r>
    </w:p>
    <w:p w14:paraId="5FFA47B8" w14:textId="77777777" w:rsidR="00AD1CD0" w:rsidRPr="00AD1CD0" w:rsidRDefault="00AD1CD0" w:rsidP="00AD1CD0">
      <w:pPr>
        <w:pStyle w:val="Bibliography"/>
        <w:rPr>
          <w:rFonts w:cstheme="minorHAnsi"/>
          <w:noProof/>
          <w:u w:val="single"/>
        </w:rPr>
      </w:pPr>
      <w:r w:rsidRPr="00AD1CD0">
        <w:rPr>
          <w:rFonts w:cstheme="minorHAnsi"/>
          <w:noProof/>
        </w:rPr>
        <w:t xml:space="preserve">Legislation, 2024. </w:t>
      </w:r>
      <w:r w:rsidRPr="00AD1CD0">
        <w:rPr>
          <w:rFonts w:cstheme="minorHAnsi"/>
          <w:i/>
          <w:iCs/>
          <w:noProof/>
        </w:rPr>
        <w:t xml:space="preserve">Trusts of Land and Appointment of Trustees Act 1996. </w:t>
      </w:r>
      <w:r w:rsidRPr="00AD1CD0">
        <w:rPr>
          <w:rFonts w:cstheme="minorHAnsi"/>
          <w:noProof/>
        </w:rPr>
        <w:t xml:space="preserve">[Online] </w:t>
      </w:r>
      <w:r w:rsidRPr="00AD1CD0">
        <w:rPr>
          <w:rFonts w:cstheme="minorHAnsi"/>
          <w:noProof/>
        </w:rPr>
        <w:br/>
        <w:t xml:space="preserve">Available at: </w:t>
      </w:r>
      <w:hyperlink r:id="rId13" w:history="1">
        <w:r w:rsidRPr="00AD1CD0">
          <w:rPr>
            <w:rStyle w:val="Hyperlink"/>
            <w:rFonts w:cstheme="minorHAnsi"/>
            <w:noProof/>
          </w:rPr>
          <w:t>https://www.legislation.gov.uk/ukpga/1996/47/introduction</w:t>
        </w:r>
      </w:hyperlink>
      <w:r w:rsidRPr="00AD1CD0">
        <w:rPr>
          <w:rFonts w:cstheme="minorHAnsi"/>
          <w:noProof/>
          <w:u w:val="single"/>
        </w:rPr>
        <w:t xml:space="preserve">. </w:t>
      </w:r>
      <w:r w:rsidRPr="00AD1CD0">
        <w:rPr>
          <w:rFonts w:cstheme="minorHAnsi"/>
          <w:noProof/>
        </w:rPr>
        <w:t>[Accessed 3rd December 2024].</w:t>
      </w:r>
    </w:p>
    <w:p w14:paraId="1F9E47B8" w14:textId="77777777" w:rsidR="00AD1CD0" w:rsidRPr="00AD1CD0" w:rsidRDefault="00AD1CD0" w:rsidP="00AD1CD0">
      <w:pPr>
        <w:pStyle w:val="Bibliography"/>
        <w:rPr>
          <w:rFonts w:cstheme="minorHAnsi"/>
          <w:noProof/>
        </w:rPr>
      </w:pPr>
      <w:r w:rsidRPr="00AD1CD0">
        <w:rPr>
          <w:rFonts w:cstheme="minorHAnsi"/>
          <w:noProof/>
        </w:rPr>
        <w:t xml:space="preserve">Lords, H. o., 2009. </w:t>
      </w:r>
      <w:r w:rsidRPr="00AD1CD0">
        <w:rPr>
          <w:rFonts w:cstheme="minorHAnsi"/>
          <w:i/>
          <w:iCs/>
          <w:noProof/>
        </w:rPr>
        <w:t xml:space="preserve">Thorner (Appellant) v Majors and Others (Respondents). </w:t>
      </w:r>
      <w:r w:rsidRPr="00AD1CD0">
        <w:rPr>
          <w:rFonts w:cstheme="minorHAnsi"/>
          <w:noProof/>
        </w:rPr>
        <w:t xml:space="preserve">[Online] </w:t>
      </w:r>
      <w:r w:rsidRPr="00AD1CD0">
        <w:rPr>
          <w:rFonts w:cstheme="minorHAnsi"/>
          <w:noProof/>
        </w:rPr>
        <w:br/>
        <w:t xml:space="preserve">Available at: </w:t>
      </w:r>
      <w:hyperlink r:id="rId14" w:history="1">
        <w:r w:rsidRPr="00AD1CD0">
          <w:rPr>
            <w:rStyle w:val="Hyperlink"/>
            <w:rFonts w:cstheme="minorHAnsi"/>
            <w:noProof/>
          </w:rPr>
          <w:t>https://publications.parliament.uk/pa/ld200809/ldjudgmt/jd090325/thorn-1.htm</w:t>
        </w:r>
      </w:hyperlink>
      <w:r w:rsidRPr="00AD1CD0">
        <w:rPr>
          <w:rFonts w:cstheme="minorHAnsi"/>
          <w:noProof/>
          <w:u w:val="single"/>
        </w:rPr>
        <w:t xml:space="preserve"> </w:t>
      </w:r>
      <w:r w:rsidRPr="00AD1CD0">
        <w:rPr>
          <w:rFonts w:cstheme="minorHAnsi"/>
          <w:noProof/>
        </w:rPr>
        <w:br/>
        <w:t>[Accessed 3rd December 2024].</w:t>
      </w:r>
    </w:p>
    <w:p w14:paraId="16322A93" w14:textId="77777777" w:rsidR="00AD1CD0" w:rsidRPr="00AD1CD0" w:rsidRDefault="00AD1CD0" w:rsidP="00AD1CD0">
      <w:pPr>
        <w:pStyle w:val="Bibliography"/>
        <w:rPr>
          <w:rFonts w:cstheme="minorHAnsi"/>
          <w:noProof/>
        </w:rPr>
      </w:pPr>
      <w:r w:rsidRPr="00AD1CD0">
        <w:rPr>
          <w:rFonts w:cstheme="minorHAnsi"/>
          <w:noProof/>
        </w:rPr>
        <w:t xml:space="preserve">Morton, M., 2024. </w:t>
      </w:r>
      <w:r w:rsidRPr="00AD1CD0">
        <w:rPr>
          <w:rFonts w:cstheme="minorHAnsi"/>
          <w:i/>
          <w:iCs/>
          <w:noProof/>
        </w:rPr>
        <w:t xml:space="preserve">What is Proprietary Estoppel. </w:t>
      </w:r>
      <w:r w:rsidRPr="00AD1CD0">
        <w:rPr>
          <w:rFonts w:cstheme="minorHAnsi"/>
          <w:noProof/>
        </w:rPr>
        <w:t xml:space="preserve">[Online] </w:t>
      </w:r>
      <w:r w:rsidRPr="00AD1CD0">
        <w:rPr>
          <w:rFonts w:cstheme="minorHAnsi"/>
          <w:noProof/>
        </w:rPr>
        <w:br/>
        <w:t xml:space="preserve">Available at: </w:t>
      </w:r>
      <w:hyperlink r:id="rId15" w:history="1">
        <w:r w:rsidRPr="00AD1CD0">
          <w:rPr>
            <w:rStyle w:val="Hyperlink"/>
            <w:rFonts w:cstheme="minorHAnsi"/>
            <w:noProof/>
          </w:rPr>
          <w:t>https://www.weightmans.com/insights/what-is-proprietary-estoppel/</w:t>
        </w:r>
      </w:hyperlink>
      <w:r w:rsidRPr="00AD1CD0">
        <w:rPr>
          <w:rFonts w:cstheme="minorHAnsi"/>
          <w:noProof/>
          <w:u w:val="single"/>
        </w:rPr>
        <w:t xml:space="preserve"> </w:t>
      </w:r>
      <w:r w:rsidRPr="00AD1CD0">
        <w:rPr>
          <w:rFonts w:cstheme="minorHAnsi"/>
          <w:noProof/>
        </w:rPr>
        <w:br/>
        <w:t>[Accessed 3rd December 2024].</w:t>
      </w:r>
    </w:p>
    <w:p w14:paraId="1D97FCE1" w14:textId="77777777" w:rsidR="00AD1CD0" w:rsidRPr="00AD1CD0" w:rsidRDefault="00AD1CD0" w:rsidP="00AD1CD0">
      <w:pPr>
        <w:pStyle w:val="Bibliography"/>
        <w:rPr>
          <w:rFonts w:cstheme="minorHAnsi"/>
          <w:noProof/>
        </w:rPr>
      </w:pPr>
      <w:r w:rsidRPr="00AD1CD0">
        <w:rPr>
          <w:rFonts w:cstheme="minorHAnsi"/>
          <w:noProof/>
        </w:rPr>
        <w:t xml:space="preserve">Reuters, T., 2023. </w:t>
      </w:r>
      <w:r w:rsidRPr="00AD1CD0">
        <w:rPr>
          <w:rFonts w:cstheme="minorHAnsi"/>
          <w:i/>
          <w:iCs/>
          <w:noProof/>
        </w:rPr>
        <w:t xml:space="preserve">Constructive Trusts. </w:t>
      </w:r>
      <w:r w:rsidRPr="00AD1CD0">
        <w:rPr>
          <w:rFonts w:cstheme="minorHAnsi"/>
          <w:noProof/>
        </w:rPr>
        <w:t xml:space="preserve">[Online] </w:t>
      </w:r>
      <w:r w:rsidRPr="00AD1CD0">
        <w:rPr>
          <w:rFonts w:cstheme="minorHAnsi"/>
          <w:noProof/>
        </w:rPr>
        <w:br/>
        <w:t xml:space="preserve">Available at: </w:t>
      </w:r>
      <w:hyperlink r:id="rId16" w:history="1">
        <w:r w:rsidRPr="00AD1CD0">
          <w:rPr>
            <w:rStyle w:val="Hyperlink"/>
            <w:rFonts w:cstheme="minorHAnsi"/>
            <w:noProof/>
          </w:rPr>
          <w:t>https://uk.practicallaw.thomsonreuters.com/5-107-6322?transitionType=Default&amp;contextData=(sc.Default)&amp;firstPage=true</w:t>
        </w:r>
      </w:hyperlink>
      <w:r w:rsidRPr="00AD1CD0">
        <w:rPr>
          <w:rFonts w:cstheme="minorHAnsi"/>
          <w:noProof/>
          <w:u w:val="single"/>
        </w:rPr>
        <w:t xml:space="preserve"> </w:t>
      </w:r>
      <w:r w:rsidRPr="00AD1CD0">
        <w:rPr>
          <w:rFonts w:cstheme="minorHAnsi"/>
          <w:noProof/>
        </w:rPr>
        <w:br/>
        <w:t>[Accessed 3rd December 2024].</w:t>
      </w:r>
    </w:p>
    <w:p w14:paraId="6ACD1568" w14:textId="77777777" w:rsidR="00AD1CD0" w:rsidRPr="00AD1CD0" w:rsidRDefault="00AD1CD0" w:rsidP="00AD1CD0">
      <w:pPr>
        <w:pStyle w:val="Bibliography"/>
        <w:rPr>
          <w:rFonts w:cstheme="minorHAnsi"/>
          <w:noProof/>
        </w:rPr>
      </w:pPr>
      <w:r w:rsidRPr="00AD1CD0">
        <w:rPr>
          <w:rFonts w:cstheme="minorHAnsi"/>
          <w:noProof/>
        </w:rPr>
        <w:t xml:space="preserve">Solicitors, H., 2024. </w:t>
      </w:r>
      <w:r w:rsidRPr="00AD1CD0">
        <w:rPr>
          <w:rFonts w:cstheme="minorHAnsi"/>
          <w:i/>
          <w:iCs/>
          <w:noProof/>
        </w:rPr>
        <w:t xml:space="preserve">Cohabitees and Property Ownership. </w:t>
      </w:r>
      <w:r w:rsidRPr="00AD1CD0">
        <w:rPr>
          <w:rFonts w:cstheme="minorHAnsi"/>
          <w:noProof/>
        </w:rPr>
        <w:t xml:space="preserve">[Online] </w:t>
      </w:r>
      <w:r w:rsidRPr="00AD1CD0">
        <w:rPr>
          <w:rFonts w:cstheme="minorHAnsi"/>
          <w:noProof/>
        </w:rPr>
        <w:br/>
        <w:t xml:space="preserve">Available at: </w:t>
      </w:r>
      <w:hyperlink r:id="rId17" w:history="1">
        <w:r w:rsidRPr="00AD1CD0">
          <w:rPr>
            <w:rStyle w:val="Hyperlink"/>
            <w:rFonts w:cstheme="minorHAnsi"/>
            <w:noProof/>
          </w:rPr>
          <w:t>https://www.healdlaw.com/insights/personal/cohabitees-and-property-ownership#:~:text=For%20a%20constructive%20trust%20to,implied%20from%20the%20cohabitees'%20conduct</w:t>
        </w:r>
      </w:hyperlink>
      <w:r w:rsidRPr="00AD1CD0">
        <w:rPr>
          <w:rFonts w:cstheme="minorHAnsi"/>
          <w:noProof/>
          <w:u w:val="single"/>
        </w:rPr>
        <w:t xml:space="preserve">. </w:t>
      </w:r>
      <w:r w:rsidRPr="00AD1CD0">
        <w:rPr>
          <w:rFonts w:cstheme="minorHAnsi"/>
          <w:noProof/>
        </w:rPr>
        <w:t>[Accessed 3rd December 2024].</w:t>
      </w:r>
    </w:p>
    <w:p w14:paraId="58BB3688" w14:textId="77777777" w:rsidR="00AD1CD0" w:rsidRPr="00AD1CD0" w:rsidRDefault="00AD1CD0" w:rsidP="00AD1CD0">
      <w:pPr>
        <w:pStyle w:val="Bibliography"/>
        <w:rPr>
          <w:rFonts w:cstheme="minorHAnsi"/>
          <w:noProof/>
        </w:rPr>
      </w:pPr>
      <w:r w:rsidRPr="00AD1CD0">
        <w:rPr>
          <w:rFonts w:cstheme="minorHAnsi"/>
          <w:noProof/>
        </w:rPr>
        <w:t xml:space="preserve">Solicitors, M. &amp;. P. L., 2024. </w:t>
      </w:r>
      <w:r w:rsidRPr="00AD1CD0">
        <w:rPr>
          <w:rFonts w:cstheme="minorHAnsi"/>
          <w:i/>
          <w:iCs/>
          <w:noProof/>
        </w:rPr>
        <w:t xml:space="preserve">Proprietary Estoppel: Definition, Meaning, Examples.. </w:t>
      </w:r>
      <w:r w:rsidRPr="00AD1CD0">
        <w:rPr>
          <w:rFonts w:cstheme="minorHAnsi"/>
          <w:noProof/>
        </w:rPr>
        <w:t xml:space="preserve">[Online] </w:t>
      </w:r>
      <w:r w:rsidRPr="00AD1CD0">
        <w:rPr>
          <w:rFonts w:cstheme="minorHAnsi"/>
          <w:noProof/>
        </w:rPr>
        <w:br/>
        <w:t xml:space="preserve">Available at: </w:t>
      </w:r>
      <w:hyperlink r:id="rId18" w:history="1">
        <w:r w:rsidRPr="00AD1CD0">
          <w:rPr>
            <w:rStyle w:val="Hyperlink"/>
            <w:rFonts w:cstheme="minorHAnsi"/>
            <w:noProof/>
          </w:rPr>
          <w:t>https://www.mplaw.co.uk/personal/wills/disputes/proprietary-estoppel/</w:t>
        </w:r>
      </w:hyperlink>
      <w:r w:rsidRPr="00AD1CD0">
        <w:rPr>
          <w:rFonts w:cstheme="minorHAnsi"/>
          <w:noProof/>
          <w:u w:val="single"/>
        </w:rPr>
        <w:t xml:space="preserve"> </w:t>
      </w:r>
      <w:r w:rsidRPr="00AD1CD0">
        <w:rPr>
          <w:rFonts w:cstheme="minorHAnsi"/>
          <w:noProof/>
        </w:rPr>
        <w:br/>
        <w:t>[Accessed 3rd December 2024].</w:t>
      </w:r>
    </w:p>
    <w:p w14:paraId="2127F412" w14:textId="77777777" w:rsidR="00AD1CD0" w:rsidRPr="00AD1CD0" w:rsidRDefault="00AD1CD0" w:rsidP="00AD1CD0">
      <w:pPr>
        <w:pStyle w:val="Bibliography"/>
        <w:rPr>
          <w:rFonts w:cstheme="minorHAnsi"/>
          <w:noProof/>
        </w:rPr>
      </w:pPr>
      <w:r w:rsidRPr="00AD1CD0">
        <w:rPr>
          <w:rFonts w:cstheme="minorHAnsi"/>
          <w:noProof/>
        </w:rPr>
        <w:t xml:space="preserve">Tang, R., 2024. </w:t>
      </w:r>
      <w:r w:rsidRPr="00AD1CD0">
        <w:rPr>
          <w:rFonts w:cstheme="minorHAnsi"/>
          <w:i/>
          <w:iCs/>
          <w:noProof/>
        </w:rPr>
        <w:t xml:space="preserve">The Conceptual Twins – Common Intention Constructive Trust &amp; Proprietary Estoppel. </w:t>
      </w:r>
      <w:r w:rsidRPr="00AD1CD0">
        <w:rPr>
          <w:rFonts w:cstheme="minorHAnsi"/>
          <w:noProof/>
        </w:rPr>
        <w:t xml:space="preserve">[Online] </w:t>
      </w:r>
      <w:r w:rsidRPr="00AD1CD0">
        <w:rPr>
          <w:rFonts w:cstheme="minorHAnsi"/>
          <w:noProof/>
        </w:rPr>
        <w:br/>
        <w:t xml:space="preserve">Available at: </w:t>
      </w:r>
      <w:hyperlink r:id="rId19" w:history="1">
        <w:r w:rsidRPr="00AD1CD0">
          <w:rPr>
            <w:rStyle w:val="Hyperlink"/>
            <w:rFonts w:cstheme="minorHAnsi"/>
            <w:noProof/>
          </w:rPr>
          <w:t>https://www.nelsonslaw.co.uk/constructive-trust-</w:t>
        </w:r>
        <w:r w:rsidRPr="00AD1CD0">
          <w:rPr>
            <w:rStyle w:val="Hyperlink"/>
            <w:rFonts w:cstheme="minorHAnsi"/>
            <w:noProof/>
          </w:rPr>
          <w:lastRenderedPageBreak/>
          <w:t>claims/#:~:text=Constructive%20trust%20claims%20can%20be,significantly%20altered%20his%2Fher%20position</w:t>
        </w:r>
      </w:hyperlink>
      <w:r w:rsidRPr="00AD1CD0">
        <w:rPr>
          <w:rFonts w:cstheme="minorHAnsi"/>
          <w:noProof/>
          <w:u w:val="single"/>
        </w:rPr>
        <w:t xml:space="preserve">. </w:t>
      </w:r>
      <w:r w:rsidRPr="00AD1CD0">
        <w:rPr>
          <w:rFonts w:cstheme="minorHAnsi"/>
          <w:noProof/>
        </w:rPr>
        <w:t>[Accessed 3rd December 2024].</w:t>
      </w:r>
    </w:p>
    <w:p w14:paraId="14CB2943" w14:textId="77777777" w:rsidR="00AD1CD0" w:rsidRPr="00AD1CD0" w:rsidRDefault="00AD1CD0" w:rsidP="00AD1CD0">
      <w:pPr>
        <w:pStyle w:val="Bibliography"/>
        <w:rPr>
          <w:rFonts w:cstheme="minorHAnsi"/>
          <w:noProof/>
        </w:rPr>
      </w:pPr>
      <w:r w:rsidRPr="00AD1CD0">
        <w:rPr>
          <w:rFonts w:cstheme="minorHAnsi"/>
          <w:noProof/>
        </w:rPr>
        <w:t xml:space="preserve">Tucker, S., 2022. </w:t>
      </w:r>
      <w:r w:rsidRPr="00AD1CD0">
        <w:rPr>
          <w:rFonts w:cstheme="minorHAnsi"/>
          <w:i/>
          <w:iCs/>
          <w:noProof/>
        </w:rPr>
        <w:t xml:space="preserve">Doctrine of proprietary estoppel – is it always a shield or can it be used as a sword?. </w:t>
      </w:r>
      <w:r w:rsidRPr="00AD1CD0">
        <w:rPr>
          <w:rFonts w:cstheme="minorHAnsi"/>
          <w:noProof/>
        </w:rPr>
        <w:t xml:space="preserve">[Online] </w:t>
      </w:r>
      <w:r w:rsidRPr="00AD1CD0">
        <w:rPr>
          <w:rFonts w:cstheme="minorHAnsi"/>
          <w:noProof/>
        </w:rPr>
        <w:br/>
        <w:t xml:space="preserve">Available at: </w:t>
      </w:r>
      <w:hyperlink r:id="rId20" w:history="1">
        <w:r w:rsidRPr="00AD1CD0">
          <w:rPr>
            <w:rStyle w:val="Hyperlink"/>
            <w:rFonts w:cstheme="minorHAnsi"/>
            <w:noProof/>
          </w:rPr>
          <w:t>https://www.debenhamsottaway.co.uk/news/2022/02/doctrine-of-proprietary-estoppel-is-it-always-a-shield-or-can-it-be-used-as-a-sword/#:~:text=What%20is%20required%20to%20establish,%E2%80%93%20assurance%2C%20reliance%20and%20detriment</w:t>
        </w:r>
      </w:hyperlink>
      <w:r w:rsidRPr="00AD1CD0">
        <w:rPr>
          <w:rFonts w:cstheme="minorHAnsi"/>
          <w:noProof/>
          <w:u w:val="single"/>
        </w:rPr>
        <w:t xml:space="preserve">. </w:t>
      </w:r>
      <w:r w:rsidRPr="00AD1CD0">
        <w:rPr>
          <w:rFonts w:cstheme="minorHAnsi"/>
          <w:noProof/>
        </w:rPr>
        <w:t>[Accessed 3rd December 2024].</w:t>
      </w:r>
    </w:p>
    <w:p w14:paraId="19E5F562" w14:textId="77777777" w:rsidR="00AD1CD0" w:rsidRPr="00AD1CD0" w:rsidRDefault="00AD1CD0" w:rsidP="005C56AD">
      <w:pPr>
        <w:rPr>
          <w:rFonts w:asciiTheme="minorHAnsi" w:hAnsiTheme="minorHAnsi" w:cstheme="minorHAnsi"/>
          <w:sz w:val="22"/>
          <w:szCs w:val="22"/>
          <w:u w:val="single"/>
          <w:lang w:val="en-US"/>
        </w:rPr>
      </w:pPr>
    </w:p>
    <w:sectPr w:rsidR="00AD1CD0" w:rsidRPr="00AD1CD0">
      <w:headerReference w:type="default" r:id="rId2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7EF21" w14:textId="77777777" w:rsidR="004D6D57" w:rsidRDefault="004D6D57" w:rsidP="00A27820">
      <w:r>
        <w:separator/>
      </w:r>
    </w:p>
  </w:endnote>
  <w:endnote w:type="continuationSeparator" w:id="0">
    <w:p w14:paraId="73ACF23A" w14:textId="77777777" w:rsidR="004D6D57" w:rsidRDefault="004D6D57" w:rsidP="00A2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82042476"/>
      <w:docPartObj>
        <w:docPartGallery w:val="Page Numbers (Bottom of Page)"/>
        <w:docPartUnique/>
      </w:docPartObj>
    </w:sdtPr>
    <w:sdtEndPr>
      <w:rPr>
        <w:rStyle w:val="PageNumber"/>
      </w:rPr>
    </w:sdtEndPr>
    <w:sdtContent>
      <w:p w14:paraId="506C8DEB" w14:textId="1BD1DADE" w:rsidR="00A27820" w:rsidRDefault="00A27820" w:rsidP="005E5D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18541F" w14:textId="77777777" w:rsidR="00A27820" w:rsidRDefault="00A27820" w:rsidP="00A278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53464338"/>
      <w:docPartObj>
        <w:docPartGallery w:val="Page Numbers (Bottom of Page)"/>
        <w:docPartUnique/>
      </w:docPartObj>
    </w:sdtPr>
    <w:sdtEndPr>
      <w:rPr>
        <w:rStyle w:val="PageNumber"/>
      </w:rPr>
    </w:sdtEndPr>
    <w:sdtContent>
      <w:p w14:paraId="355AE08A" w14:textId="733A5AC3" w:rsidR="00A27820" w:rsidRDefault="00A27820" w:rsidP="005E5DC7">
        <w:pPr>
          <w:pStyle w:val="Footer"/>
          <w:framePr w:wrap="none" w:vAnchor="text" w:hAnchor="margin" w:xAlign="right" w:y="1"/>
          <w:rPr>
            <w:rStyle w:val="PageNumber"/>
          </w:rPr>
        </w:pPr>
        <w:r w:rsidRPr="005F216E">
          <w:rPr>
            <w:rStyle w:val="PageNumber"/>
            <w:rFonts w:asciiTheme="majorHAnsi" w:hAnsiTheme="majorHAnsi" w:cstheme="majorHAnsi"/>
          </w:rPr>
          <w:fldChar w:fldCharType="begin"/>
        </w:r>
        <w:r w:rsidRPr="005F216E">
          <w:rPr>
            <w:rStyle w:val="PageNumber"/>
            <w:rFonts w:asciiTheme="majorHAnsi" w:hAnsiTheme="majorHAnsi" w:cstheme="majorHAnsi"/>
          </w:rPr>
          <w:instrText xml:space="preserve"> PAGE </w:instrText>
        </w:r>
        <w:r w:rsidRPr="005F216E">
          <w:rPr>
            <w:rStyle w:val="PageNumber"/>
            <w:rFonts w:asciiTheme="majorHAnsi" w:hAnsiTheme="majorHAnsi" w:cstheme="majorHAnsi"/>
          </w:rPr>
          <w:fldChar w:fldCharType="separate"/>
        </w:r>
        <w:r w:rsidRPr="005F216E">
          <w:rPr>
            <w:rStyle w:val="PageNumber"/>
            <w:rFonts w:asciiTheme="majorHAnsi" w:hAnsiTheme="majorHAnsi" w:cstheme="majorHAnsi"/>
            <w:noProof/>
          </w:rPr>
          <w:t>1</w:t>
        </w:r>
        <w:r w:rsidRPr="005F216E">
          <w:rPr>
            <w:rStyle w:val="PageNumber"/>
            <w:rFonts w:asciiTheme="majorHAnsi" w:hAnsiTheme="majorHAnsi" w:cstheme="majorHAnsi"/>
          </w:rPr>
          <w:fldChar w:fldCharType="end"/>
        </w:r>
      </w:p>
    </w:sdtContent>
  </w:sdt>
  <w:p w14:paraId="24F1ACD8" w14:textId="77777777" w:rsidR="00A27820" w:rsidRDefault="00A27820" w:rsidP="00A278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CD08D7" w14:textId="77777777" w:rsidR="004D6D57" w:rsidRDefault="004D6D57" w:rsidP="00A27820">
      <w:r>
        <w:separator/>
      </w:r>
    </w:p>
  </w:footnote>
  <w:footnote w:type="continuationSeparator" w:id="0">
    <w:p w14:paraId="609F3E19" w14:textId="77777777" w:rsidR="004D6D57" w:rsidRDefault="004D6D57" w:rsidP="00A27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2A8D6" w14:textId="130741AD" w:rsidR="001519CB" w:rsidRDefault="001519CB">
    <w:pPr>
      <w:pStyle w:val="Header"/>
      <w:rPr>
        <w:lang w:val="en-US"/>
      </w:rPr>
    </w:pPr>
    <w:r>
      <w:rPr>
        <w:lang w:val="en-US"/>
      </w:rPr>
      <w:t xml:space="preserve">Shannon Clark </w:t>
    </w:r>
  </w:p>
  <w:p w14:paraId="01A9C722" w14:textId="40E79506" w:rsidR="001519CB" w:rsidRDefault="001519CB">
    <w:pPr>
      <w:pStyle w:val="Header"/>
      <w:rPr>
        <w:lang w:val="en-US"/>
      </w:rPr>
    </w:pPr>
    <w:r>
      <w:rPr>
        <w:lang w:val="en-US"/>
      </w:rPr>
      <w:t>2205377</w:t>
    </w:r>
  </w:p>
  <w:p w14:paraId="2F62F465" w14:textId="02469CDD" w:rsidR="001519CB" w:rsidRPr="001519CB" w:rsidRDefault="001519CB">
    <w:pPr>
      <w:pStyle w:val="Header"/>
      <w:rPr>
        <w:lang w:val="en-US"/>
      </w:rPr>
    </w:pPr>
    <w:r>
      <w:rPr>
        <w:lang w:val="en-US"/>
      </w:rPr>
      <w:t xml:space="preserve">Land Law Assignment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0264"/>
    <w:multiLevelType w:val="multilevel"/>
    <w:tmpl w:val="C8B2E3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633E2A"/>
    <w:multiLevelType w:val="multilevel"/>
    <w:tmpl w:val="06042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C693CEF"/>
    <w:multiLevelType w:val="multilevel"/>
    <w:tmpl w:val="AE881D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D440AB6"/>
    <w:multiLevelType w:val="hybridMultilevel"/>
    <w:tmpl w:val="3B04845A"/>
    <w:lvl w:ilvl="0" w:tplc="8872DD78">
      <w:start w:val="1"/>
      <w:numFmt w:val="bullet"/>
      <w:pStyle w:val="Heading4"/>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C425D"/>
    <w:multiLevelType w:val="multilevel"/>
    <w:tmpl w:val="E004732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D296EAA"/>
    <w:multiLevelType w:val="multilevel"/>
    <w:tmpl w:val="68A62D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25014D6"/>
    <w:multiLevelType w:val="hybridMultilevel"/>
    <w:tmpl w:val="F838F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52117"/>
    <w:multiLevelType w:val="multilevel"/>
    <w:tmpl w:val="5C024B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70533FC"/>
    <w:multiLevelType w:val="hybridMultilevel"/>
    <w:tmpl w:val="B798BF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B412A0D"/>
    <w:multiLevelType w:val="hybridMultilevel"/>
    <w:tmpl w:val="E14A4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247A2"/>
    <w:multiLevelType w:val="hybridMultilevel"/>
    <w:tmpl w:val="9D94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CC018B"/>
    <w:multiLevelType w:val="multilevel"/>
    <w:tmpl w:val="C3AE9B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D663AF2"/>
    <w:multiLevelType w:val="multilevel"/>
    <w:tmpl w:val="38E4F0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3E5E65B2"/>
    <w:multiLevelType w:val="hybridMultilevel"/>
    <w:tmpl w:val="58ECA7F2"/>
    <w:lvl w:ilvl="0" w:tplc="1E98391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F4F6E02"/>
    <w:multiLevelType w:val="multilevel"/>
    <w:tmpl w:val="331C03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1523758"/>
    <w:multiLevelType w:val="hybridMultilevel"/>
    <w:tmpl w:val="B7D62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DF6366"/>
    <w:multiLevelType w:val="multilevel"/>
    <w:tmpl w:val="1AA69A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CF9416E"/>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4162551"/>
    <w:multiLevelType w:val="hybridMultilevel"/>
    <w:tmpl w:val="9B8CE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1F44B6"/>
    <w:multiLevelType w:val="hybridMultilevel"/>
    <w:tmpl w:val="5F98B3A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BFB3C95"/>
    <w:multiLevelType w:val="multilevel"/>
    <w:tmpl w:val="9BDA62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42338276">
    <w:abstractNumId w:val="16"/>
  </w:num>
  <w:num w:numId="2" w16cid:durableId="2120635015">
    <w:abstractNumId w:val="1"/>
  </w:num>
  <w:num w:numId="3" w16cid:durableId="409429405">
    <w:abstractNumId w:val="12"/>
  </w:num>
  <w:num w:numId="4" w16cid:durableId="966425405">
    <w:abstractNumId w:val="2"/>
  </w:num>
  <w:num w:numId="5" w16cid:durableId="905720763">
    <w:abstractNumId w:val="11"/>
  </w:num>
  <w:num w:numId="6" w16cid:durableId="1688821942">
    <w:abstractNumId w:val="14"/>
  </w:num>
  <w:num w:numId="7" w16cid:durableId="1028261598">
    <w:abstractNumId w:val="4"/>
  </w:num>
  <w:num w:numId="8" w16cid:durableId="1507552221">
    <w:abstractNumId w:val="17"/>
  </w:num>
  <w:num w:numId="9" w16cid:durableId="2146777341">
    <w:abstractNumId w:val="3"/>
  </w:num>
  <w:num w:numId="10" w16cid:durableId="1605649047">
    <w:abstractNumId w:val="7"/>
  </w:num>
  <w:num w:numId="11" w16cid:durableId="1501387600">
    <w:abstractNumId w:val="0"/>
  </w:num>
  <w:num w:numId="12" w16cid:durableId="759907699">
    <w:abstractNumId w:val="5"/>
  </w:num>
  <w:num w:numId="13" w16cid:durableId="1294866029">
    <w:abstractNumId w:val="20"/>
  </w:num>
  <w:num w:numId="14" w16cid:durableId="600912506">
    <w:abstractNumId w:val="19"/>
  </w:num>
  <w:num w:numId="15" w16cid:durableId="882865229">
    <w:abstractNumId w:val="13"/>
  </w:num>
  <w:num w:numId="16" w16cid:durableId="1776167316">
    <w:abstractNumId w:val="18"/>
  </w:num>
  <w:num w:numId="17" w16cid:durableId="405807907">
    <w:abstractNumId w:val="8"/>
  </w:num>
  <w:num w:numId="18" w16cid:durableId="621159183">
    <w:abstractNumId w:val="15"/>
  </w:num>
  <w:num w:numId="19" w16cid:durableId="429737202">
    <w:abstractNumId w:val="9"/>
  </w:num>
  <w:num w:numId="20" w16cid:durableId="386878850">
    <w:abstractNumId w:val="10"/>
  </w:num>
  <w:num w:numId="21" w16cid:durableId="989877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D75"/>
    <w:rsid w:val="00001008"/>
    <w:rsid w:val="00012052"/>
    <w:rsid w:val="0003621E"/>
    <w:rsid w:val="00050D17"/>
    <w:rsid w:val="00052234"/>
    <w:rsid w:val="000B02BA"/>
    <w:rsid w:val="000F5417"/>
    <w:rsid w:val="00111F4F"/>
    <w:rsid w:val="001150B3"/>
    <w:rsid w:val="0012035F"/>
    <w:rsid w:val="00121B92"/>
    <w:rsid w:val="0013156A"/>
    <w:rsid w:val="00137555"/>
    <w:rsid w:val="00140D5A"/>
    <w:rsid w:val="0014244D"/>
    <w:rsid w:val="001519CB"/>
    <w:rsid w:val="00176A15"/>
    <w:rsid w:val="00190846"/>
    <w:rsid w:val="001A1B42"/>
    <w:rsid w:val="001A6CEE"/>
    <w:rsid w:val="001F2EFC"/>
    <w:rsid w:val="001F4C13"/>
    <w:rsid w:val="0020545A"/>
    <w:rsid w:val="00206A3B"/>
    <w:rsid w:val="002173FB"/>
    <w:rsid w:val="002230DC"/>
    <w:rsid w:val="00231733"/>
    <w:rsid w:val="00252B80"/>
    <w:rsid w:val="0025336E"/>
    <w:rsid w:val="002577E6"/>
    <w:rsid w:val="00291E93"/>
    <w:rsid w:val="002A7CE9"/>
    <w:rsid w:val="002C5A1B"/>
    <w:rsid w:val="002F7D75"/>
    <w:rsid w:val="0030541E"/>
    <w:rsid w:val="00320A66"/>
    <w:rsid w:val="003241BC"/>
    <w:rsid w:val="00325A7E"/>
    <w:rsid w:val="003328A9"/>
    <w:rsid w:val="00333596"/>
    <w:rsid w:val="00344F94"/>
    <w:rsid w:val="0035531C"/>
    <w:rsid w:val="00356F23"/>
    <w:rsid w:val="00374FF3"/>
    <w:rsid w:val="003A6751"/>
    <w:rsid w:val="003D625A"/>
    <w:rsid w:val="003D7B28"/>
    <w:rsid w:val="00403E8A"/>
    <w:rsid w:val="004176CB"/>
    <w:rsid w:val="004212C1"/>
    <w:rsid w:val="00492A57"/>
    <w:rsid w:val="00495D0D"/>
    <w:rsid w:val="004C00CF"/>
    <w:rsid w:val="004D33CB"/>
    <w:rsid w:val="004D6D57"/>
    <w:rsid w:val="004E73B5"/>
    <w:rsid w:val="004F06BE"/>
    <w:rsid w:val="004F7256"/>
    <w:rsid w:val="005131E9"/>
    <w:rsid w:val="00547169"/>
    <w:rsid w:val="005559AB"/>
    <w:rsid w:val="00562519"/>
    <w:rsid w:val="0056774A"/>
    <w:rsid w:val="005B6314"/>
    <w:rsid w:val="005C56AD"/>
    <w:rsid w:val="005E1CC1"/>
    <w:rsid w:val="005F216E"/>
    <w:rsid w:val="006173CD"/>
    <w:rsid w:val="006202AE"/>
    <w:rsid w:val="00623277"/>
    <w:rsid w:val="00625B33"/>
    <w:rsid w:val="006354FE"/>
    <w:rsid w:val="00657ECF"/>
    <w:rsid w:val="006642EC"/>
    <w:rsid w:val="00672F95"/>
    <w:rsid w:val="00672FAC"/>
    <w:rsid w:val="006755F6"/>
    <w:rsid w:val="006A3C96"/>
    <w:rsid w:val="006C06D2"/>
    <w:rsid w:val="006C2CF5"/>
    <w:rsid w:val="006C6131"/>
    <w:rsid w:val="006D5AD6"/>
    <w:rsid w:val="006F3BC6"/>
    <w:rsid w:val="00701BD7"/>
    <w:rsid w:val="00713D1D"/>
    <w:rsid w:val="007236D0"/>
    <w:rsid w:val="007264EB"/>
    <w:rsid w:val="00737A4A"/>
    <w:rsid w:val="00751EA4"/>
    <w:rsid w:val="00752C6A"/>
    <w:rsid w:val="007541DF"/>
    <w:rsid w:val="00775794"/>
    <w:rsid w:val="00775D69"/>
    <w:rsid w:val="007C7347"/>
    <w:rsid w:val="007E3828"/>
    <w:rsid w:val="008143F1"/>
    <w:rsid w:val="00821185"/>
    <w:rsid w:val="008505E0"/>
    <w:rsid w:val="00853C96"/>
    <w:rsid w:val="008615D1"/>
    <w:rsid w:val="0087090D"/>
    <w:rsid w:val="00871F12"/>
    <w:rsid w:val="00875533"/>
    <w:rsid w:val="008837EC"/>
    <w:rsid w:val="00890124"/>
    <w:rsid w:val="008912EA"/>
    <w:rsid w:val="00892442"/>
    <w:rsid w:val="008A448A"/>
    <w:rsid w:val="008B3572"/>
    <w:rsid w:val="008B539E"/>
    <w:rsid w:val="008B6A9E"/>
    <w:rsid w:val="008E05E9"/>
    <w:rsid w:val="008F02CE"/>
    <w:rsid w:val="0090013A"/>
    <w:rsid w:val="00904BDF"/>
    <w:rsid w:val="00937F64"/>
    <w:rsid w:val="00947BC5"/>
    <w:rsid w:val="00951B35"/>
    <w:rsid w:val="00961A99"/>
    <w:rsid w:val="00964A65"/>
    <w:rsid w:val="0097423B"/>
    <w:rsid w:val="009967EF"/>
    <w:rsid w:val="00997B48"/>
    <w:rsid w:val="009B0F19"/>
    <w:rsid w:val="009D531E"/>
    <w:rsid w:val="009F2AFF"/>
    <w:rsid w:val="00A0713E"/>
    <w:rsid w:val="00A11D02"/>
    <w:rsid w:val="00A20A92"/>
    <w:rsid w:val="00A27820"/>
    <w:rsid w:val="00A324B2"/>
    <w:rsid w:val="00A34D2B"/>
    <w:rsid w:val="00A57D4A"/>
    <w:rsid w:val="00A73E05"/>
    <w:rsid w:val="00A7560E"/>
    <w:rsid w:val="00AB2DDF"/>
    <w:rsid w:val="00AB3D21"/>
    <w:rsid w:val="00AB58B9"/>
    <w:rsid w:val="00AC294D"/>
    <w:rsid w:val="00AD1CD0"/>
    <w:rsid w:val="00AF2C84"/>
    <w:rsid w:val="00B2232B"/>
    <w:rsid w:val="00B23A28"/>
    <w:rsid w:val="00B25FBB"/>
    <w:rsid w:val="00B2783D"/>
    <w:rsid w:val="00B3586F"/>
    <w:rsid w:val="00B52E45"/>
    <w:rsid w:val="00B67821"/>
    <w:rsid w:val="00B74CD4"/>
    <w:rsid w:val="00B91837"/>
    <w:rsid w:val="00BA0A8D"/>
    <w:rsid w:val="00BA5F3A"/>
    <w:rsid w:val="00BB4BEB"/>
    <w:rsid w:val="00BC2B41"/>
    <w:rsid w:val="00BC4647"/>
    <w:rsid w:val="00BD08FA"/>
    <w:rsid w:val="00BD4214"/>
    <w:rsid w:val="00BE664E"/>
    <w:rsid w:val="00C021D9"/>
    <w:rsid w:val="00C2724D"/>
    <w:rsid w:val="00C6280F"/>
    <w:rsid w:val="00C67930"/>
    <w:rsid w:val="00C85A77"/>
    <w:rsid w:val="00C93BBC"/>
    <w:rsid w:val="00CA1C7E"/>
    <w:rsid w:val="00CF561F"/>
    <w:rsid w:val="00CF608B"/>
    <w:rsid w:val="00D31149"/>
    <w:rsid w:val="00D41BDF"/>
    <w:rsid w:val="00D427A1"/>
    <w:rsid w:val="00D55CF3"/>
    <w:rsid w:val="00D62530"/>
    <w:rsid w:val="00D92D8C"/>
    <w:rsid w:val="00D94925"/>
    <w:rsid w:val="00D97DDD"/>
    <w:rsid w:val="00DB25A8"/>
    <w:rsid w:val="00DC4AA0"/>
    <w:rsid w:val="00DE31AA"/>
    <w:rsid w:val="00DE487C"/>
    <w:rsid w:val="00E150B5"/>
    <w:rsid w:val="00E24579"/>
    <w:rsid w:val="00E3405E"/>
    <w:rsid w:val="00E36854"/>
    <w:rsid w:val="00E45C46"/>
    <w:rsid w:val="00E45DAA"/>
    <w:rsid w:val="00E951F5"/>
    <w:rsid w:val="00EA542C"/>
    <w:rsid w:val="00EA5F17"/>
    <w:rsid w:val="00EB3BA0"/>
    <w:rsid w:val="00ED482A"/>
    <w:rsid w:val="00EF0F76"/>
    <w:rsid w:val="00EF6C00"/>
    <w:rsid w:val="00EF753C"/>
    <w:rsid w:val="00F04290"/>
    <w:rsid w:val="00F10289"/>
    <w:rsid w:val="00F10F77"/>
    <w:rsid w:val="00F14498"/>
    <w:rsid w:val="00F31919"/>
    <w:rsid w:val="00F45B47"/>
    <w:rsid w:val="00F51830"/>
    <w:rsid w:val="00F564F0"/>
    <w:rsid w:val="00F6130D"/>
    <w:rsid w:val="00F662D9"/>
    <w:rsid w:val="00F6784B"/>
    <w:rsid w:val="00F7213D"/>
    <w:rsid w:val="00F72F76"/>
    <w:rsid w:val="00F879C9"/>
    <w:rsid w:val="00FA2527"/>
    <w:rsid w:val="00FA26D9"/>
    <w:rsid w:val="00FA3C3B"/>
    <w:rsid w:val="00FB0729"/>
    <w:rsid w:val="00FB486A"/>
    <w:rsid w:val="00FB6492"/>
    <w:rsid w:val="00FC3A6D"/>
    <w:rsid w:val="00FD38A8"/>
    <w:rsid w:val="00FD489F"/>
    <w:rsid w:val="00FD6FB5"/>
    <w:rsid w:val="00FE08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80978"/>
  <w15:chartTrackingRefBased/>
  <w15:docId w15:val="{E861BE5F-1F2B-FE4C-9BDF-092B2AD5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A8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F216E"/>
    <w:pPr>
      <w:numPr>
        <w:numId w:val="7"/>
      </w:numPr>
      <w:snapToGrid w:val="0"/>
      <w:spacing w:before="360" w:after="80" w:line="360" w:lineRule="auto"/>
      <w:outlineLvl w:val="0"/>
    </w:pPr>
    <w:rPr>
      <w:rFonts w:asciiTheme="majorHAnsi" w:eastAsiaTheme="majorEastAsia" w:hAnsiTheme="majorHAnsi" w:cstheme="majorBidi"/>
      <w:b/>
      <w:szCs w:val="40"/>
    </w:rPr>
  </w:style>
  <w:style w:type="paragraph" w:styleId="Heading2">
    <w:name w:val="heading 2"/>
    <w:aliases w:val="Main body"/>
    <w:basedOn w:val="Normal"/>
    <w:next w:val="Normal"/>
    <w:link w:val="Heading2Char"/>
    <w:uiPriority w:val="9"/>
    <w:unhideWhenUsed/>
    <w:qFormat/>
    <w:rsid w:val="005F216E"/>
    <w:pPr>
      <w:keepNext/>
      <w:numPr>
        <w:ilvl w:val="1"/>
        <w:numId w:val="7"/>
      </w:numPr>
      <w:spacing w:before="160" w:after="80" w:line="360" w:lineRule="auto"/>
      <w:outlineLvl w:val="1"/>
    </w:pPr>
    <w:rPr>
      <w:rFonts w:ascii="Arial" w:eastAsiaTheme="majorEastAsia" w:hAnsi="Arial" w:cstheme="majorBidi"/>
      <w:szCs w:val="32"/>
    </w:rPr>
  </w:style>
  <w:style w:type="paragraph" w:styleId="Heading3">
    <w:name w:val="heading 3"/>
    <w:basedOn w:val="Normal"/>
    <w:next w:val="Normal"/>
    <w:link w:val="Heading3Char"/>
    <w:uiPriority w:val="9"/>
    <w:unhideWhenUsed/>
    <w:rsid w:val="002F7D75"/>
    <w:pPr>
      <w:keepNext/>
      <w:keepLines/>
      <w:numPr>
        <w:ilvl w:val="2"/>
        <w:numId w:val="7"/>
      </w:numPr>
      <w:spacing w:before="160" w:after="80"/>
      <w:outlineLvl w:val="2"/>
    </w:pPr>
    <w:rPr>
      <w:rFonts w:eastAsiaTheme="majorEastAsia" w:cstheme="majorBidi"/>
      <w:color w:val="2F5496" w:themeColor="accent1" w:themeShade="BF"/>
      <w:sz w:val="28"/>
      <w:szCs w:val="28"/>
    </w:rPr>
  </w:style>
  <w:style w:type="paragraph" w:styleId="Heading4">
    <w:name w:val="heading 4"/>
    <w:aliases w:val="bullet list"/>
    <w:basedOn w:val="Normal"/>
    <w:next w:val="Normal"/>
    <w:link w:val="Heading4Char"/>
    <w:uiPriority w:val="9"/>
    <w:unhideWhenUsed/>
    <w:qFormat/>
    <w:rsid w:val="00F6130D"/>
    <w:pPr>
      <w:keepNext/>
      <w:keepLines/>
      <w:numPr>
        <w:numId w:val="9"/>
      </w:numPr>
      <w:spacing w:before="80" w:after="40" w:line="360" w:lineRule="auto"/>
      <w:ind w:left="1020" w:hanging="340"/>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unhideWhenUsed/>
    <w:rsid w:val="002F7D75"/>
    <w:pPr>
      <w:keepNext/>
      <w:keepLines/>
      <w:numPr>
        <w:ilvl w:val="4"/>
        <w:numId w:val="7"/>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7D75"/>
    <w:pPr>
      <w:keepNext/>
      <w:keepLines/>
      <w:numPr>
        <w:ilvl w:val="5"/>
        <w:numId w:val="7"/>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D75"/>
    <w:pPr>
      <w:keepNext/>
      <w:keepLines/>
      <w:numPr>
        <w:ilvl w:val="6"/>
        <w:numId w:val="7"/>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D75"/>
    <w:pPr>
      <w:keepNext/>
      <w:keepLines/>
      <w:numPr>
        <w:ilvl w:val="7"/>
        <w:numId w:val="7"/>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D75"/>
    <w:pPr>
      <w:keepNext/>
      <w:keepLines/>
      <w:numPr>
        <w:ilvl w:val="8"/>
        <w:numId w:val="7"/>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16E"/>
    <w:rPr>
      <w:rFonts w:asciiTheme="majorHAnsi" w:eastAsiaTheme="majorEastAsia" w:hAnsiTheme="majorHAnsi" w:cstheme="majorBidi"/>
      <w:b/>
      <w:kern w:val="0"/>
      <w:szCs w:val="40"/>
      <w:lang w:eastAsia="en-GB"/>
      <w14:ligatures w14:val="none"/>
    </w:rPr>
  </w:style>
  <w:style w:type="character" w:customStyle="1" w:styleId="Heading2Char">
    <w:name w:val="Heading 2 Char"/>
    <w:aliases w:val="Main body Char"/>
    <w:basedOn w:val="DefaultParagraphFont"/>
    <w:link w:val="Heading2"/>
    <w:uiPriority w:val="9"/>
    <w:rsid w:val="005F216E"/>
    <w:rPr>
      <w:rFonts w:ascii="Arial" w:eastAsiaTheme="majorEastAsia" w:hAnsi="Arial" w:cstheme="majorBidi"/>
      <w:kern w:val="0"/>
      <w:szCs w:val="32"/>
      <w:lang w:eastAsia="en-GB"/>
      <w14:ligatures w14:val="none"/>
    </w:rPr>
  </w:style>
  <w:style w:type="character" w:customStyle="1" w:styleId="Heading3Char">
    <w:name w:val="Heading 3 Char"/>
    <w:basedOn w:val="DefaultParagraphFont"/>
    <w:link w:val="Heading3"/>
    <w:uiPriority w:val="9"/>
    <w:rsid w:val="002F7D75"/>
    <w:rPr>
      <w:rFonts w:eastAsiaTheme="majorEastAsia" w:cstheme="majorBidi"/>
      <w:color w:val="2F5496" w:themeColor="accent1" w:themeShade="BF"/>
      <w:sz w:val="28"/>
      <w:szCs w:val="28"/>
    </w:rPr>
  </w:style>
  <w:style w:type="character" w:customStyle="1" w:styleId="Heading4Char">
    <w:name w:val="Heading 4 Char"/>
    <w:aliases w:val="bullet list Char"/>
    <w:basedOn w:val="DefaultParagraphFont"/>
    <w:link w:val="Heading4"/>
    <w:uiPriority w:val="9"/>
    <w:rsid w:val="00F6130D"/>
    <w:rPr>
      <w:rFonts w:asciiTheme="majorHAnsi" w:eastAsiaTheme="majorEastAsia" w:hAnsiTheme="majorHAnsi" w:cstheme="majorBidi"/>
      <w:iCs/>
      <w:kern w:val="0"/>
      <w:lang w:eastAsia="en-GB"/>
      <w14:ligatures w14:val="none"/>
    </w:rPr>
  </w:style>
  <w:style w:type="character" w:customStyle="1" w:styleId="Heading5Char">
    <w:name w:val="Heading 5 Char"/>
    <w:basedOn w:val="DefaultParagraphFont"/>
    <w:link w:val="Heading5"/>
    <w:uiPriority w:val="9"/>
    <w:rsid w:val="002F7D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7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D75"/>
    <w:rPr>
      <w:rFonts w:eastAsiaTheme="majorEastAsia" w:cstheme="majorBidi"/>
      <w:color w:val="272727" w:themeColor="text1" w:themeTint="D8"/>
    </w:rPr>
  </w:style>
  <w:style w:type="paragraph" w:styleId="Title">
    <w:name w:val="Title"/>
    <w:basedOn w:val="Normal"/>
    <w:next w:val="Normal"/>
    <w:link w:val="TitleChar"/>
    <w:uiPriority w:val="10"/>
    <w:rsid w:val="002F7D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2F7D7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D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7D75"/>
    <w:rPr>
      <w:i/>
      <w:iCs/>
      <w:color w:val="404040" w:themeColor="text1" w:themeTint="BF"/>
    </w:rPr>
  </w:style>
  <w:style w:type="paragraph" w:styleId="ListParagraph">
    <w:name w:val="List Paragraph"/>
    <w:basedOn w:val="Normal"/>
    <w:uiPriority w:val="34"/>
    <w:qFormat/>
    <w:rsid w:val="002F7D75"/>
    <w:pPr>
      <w:ind w:left="720"/>
      <w:contextualSpacing/>
    </w:pPr>
  </w:style>
  <w:style w:type="character" w:styleId="IntenseEmphasis">
    <w:name w:val="Intense Emphasis"/>
    <w:basedOn w:val="DefaultParagraphFont"/>
    <w:uiPriority w:val="21"/>
    <w:rsid w:val="002F7D75"/>
    <w:rPr>
      <w:i/>
      <w:iCs/>
      <w:color w:val="2F5496" w:themeColor="accent1" w:themeShade="BF"/>
    </w:rPr>
  </w:style>
  <w:style w:type="paragraph" w:styleId="IntenseQuote">
    <w:name w:val="Intense Quote"/>
    <w:basedOn w:val="Normal"/>
    <w:next w:val="Normal"/>
    <w:link w:val="IntenseQuoteChar"/>
    <w:uiPriority w:val="30"/>
    <w:rsid w:val="002F7D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7D75"/>
    <w:rPr>
      <w:i/>
      <w:iCs/>
      <w:color w:val="2F5496" w:themeColor="accent1" w:themeShade="BF"/>
    </w:rPr>
  </w:style>
  <w:style w:type="character" w:styleId="IntenseReference">
    <w:name w:val="Intense Reference"/>
    <w:basedOn w:val="DefaultParagraphFont"/>
    <w:uiPriority w:val="32"/>
    <w:rsid w:val="002F7D75"/>
    <w:rPr>
      <w:b/>
      <w:bCs/>
      <w:smallCaps/>
      <w:color w:val="2F5496" w:themeColor="accent1" w:themeShade="BF"/>
      <w:spacing w:val="5"/>
    </w:rPr>
  </w:style>
  <w:style w:type="numbering" w:customStyle="1" w:styleId="CurrentList1">
    <w:name w:val="Current List1"/>
    <w:uiPriority w:val="99"/>
    <w:rsid w:val="00BA0A8D"/>
    <w:pPr>
      <w:numPr>
        <w:numId w:val="8"/>
      </w:numPr>
    </w:pPr>
  </w:style>
  <w:style w:type="character" w:styleId="Hyperlink">
    <w:name w:val="Hyperlink"/>
    <w:basedOn w:val="DefaultParagraphFont"/>
    <w:uiPriority w:val="99"/>
    <w:unhideWhenUsed/>
    <w:rsid w:val="008143F1"/>
    <w:rPr>
      <w:color w:val="0563C1" w:themeColor="hyperlink"/>
      <w:u w:val="single"/>
    </w:rPr>
  </w:style>
  <w:style w:type="character" w:styleId="UnresolvedMention">
    <w:name w:val="Unresolved Mention"/>
    <w:basedOn w:val="DefaultParagraphFont"/>
    <w:uiPriority w:val="99"/>
    <w:semiHidden/>
    <w:unhideWhenUsed/>
    <w:rsid w:val="008143F1"/>
    <w:rPr>
      <w:color w:val="605E5C"/>
      <w:shd w:val="clear" w:color="auto" w:fill="E1DFDD"/>
    </w:rPr>
  </w:style>
  <w:style w:type="character" w:styleId="FollowedHyperlink">
    <w:name w:val="FollowedHyperlink"/>
    <w:basedOn w:val="DefaultParagraphFont"/>
    <w:uiPriority w:val="99"/>
    <w:semiHidden/>
    <w:unhideWhenUsed/>
    <w:rsid w:val="008143F1"/>
    <w:rPr>
      <w:color w:val="954F72" w:themeColor="followedHyperlink"/>
      <w:u w:val="single"/>
    </w:rPr>
  </w:style>
  <w:style w:type="character" w:styleId="SubtleEmphasis">
    <w:name w:val="Subtle Emphasis"/>
    <w:aliases w:val="Subtitle 1"/>
    <w:basedOn w:val="DefaultParagraphFont"/>
    <w:uiPriority w:val="19"/>
    <w:qFormat/>
    <w:rsid w:val="00F6130D"/>
    <w:rPr>
      <w:rFonts w:asciiTheme="majorHAnsi" w:hAnsiTheme="majorHAnsi"/>
      <w:b/>
      <w:iCs/>
      <w:color w:val="auto"/>
      <w:spacing w:val="0"/>
      <w:sz w:val="24"/>
      <w:u w:val="none"/>
    </w:rPr>
  </w:style>
  <w:style w:type="paragraph" w:styleId="Header">
    <w:name w:val="header"/>
    <w:basedOn w:val="Normal"/>
    <w:link w:val="HeaderChar"/>
    <w:uiPriority w:val="99"/>
    <w:unhideWhenUsed/>
    <w:rsid w:val="00A27820"/>
    <w:pPr>
      <w:tabs>
        <w:tab w:val="center" w:pos="4513"/>
        <w:tab w:val="right" w:pos="9026"/>
      </w:tabs>
    </w:pPr>
  </w:style>
  <w:style w:type="character" w:customStyle="1" w:styleId="HeaderChar">
    <w:name w:val="Header Char"/>
    <w:basedOn w:val="DefaultParagraphFont"/>
    <w:link w:val="Header"/>
    <w:uiPriority w:val="99"/>
    <w:rsid w:val="00A27820"/>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27820"/>
    <w:pPr>
      <w:tabs>
        <w:tab w:val="center" w:pos="4513"/>
        <w:tab w:val="right" w:pos="9026"/>
      </w:tabs>
    </w:pPr>
  </w:style>
  <w:style w:type="character" w:customStyle="1" w:styleId="FooterChar">
    <w:name w:val="Footer Char"/>
    <w:basedOn w:val="DefaultParagraphFont"/>
    <w:link w:val="Footer"/>
    <w:uiPriority w:val="99"/>
    <w:rsid w:val="00A27820"/>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27820"/>
  </w:style>
  <w:style w:type="paragraph" w:styleId="Bibliography">
    <w:name w:val="Bibliography"/>
    <w:basedOn w:val="Normal"/>
    <w:next w:val="Normal"/>
    <w:uiPriority w:val="37"/>
    <w:unhideWhenUsed/>
    <w:rsid w:val="005C56AD"/>
    <w:pPr>
      <w:spacing w:after="160" w:line="259" w:lineRule="auto"/>
    </w:pPr>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4228">
      <w:bodyDiv w:val="1"/>
      <w:marLeft w:val="0"/>
      <w:marRight w:val="0"/>
      <w:marTop w:val="0"/>
      <w:marBottom w:val="0"/>
      <w:divBdr>
        <w:top w:val="none" w:sz="0" w:space="0" w:color="auto"/>
        <w:left w:val="none" w:sz="0" w:space="0" w:color="auto"/>
        <w:bottom w:val="none" w:sz="0" w:space="0" w:color="auto"/>
        <w:right w:val="none" w:sz="0" w:space="0" w:color="auto"/>
      </w:divBdr>
    </w:div>
    <w:div w:id="45305397">
      <w:bodyDiv w:val="1"/>
      <w:marLeft w:val="0"/>
      <w:marRight w:val="0"/>
      <w:marTop w:val="0"/>
      <w:marBottom w:val="0"/>
      <w:divBdr>
        <w:top w:val="none" w:sz="0" w:space="0" w:color="auto"/>
        <w:left w:val="none" w:sz="0" w:space="0" w:color="auto"/>
        <w:bottom w:val="none" w:sz="0" w:space="0" w:color="auto"/>
        <w:right w:val="none" w:sz="0" w:space="0" w:color="auto"/>
      </w:divBdr>
    </w:div>
    <w:div w:id="78990991">
      <w:bodyDiv w:val="1"/>
      <w:marLeft w:val="0"/>
      <w:marRight w:val="0"/>
      <w:marTop w:val="0"/>
      <w:marBottom w:val="0"/>
      <w:divBdr>
        <w:top w:val="none" w:sz="0" w:space="0" w:color="auto"/>
        <w:left w:val="none" w:sz="0" w:space="0" w:color="auto"/>
        <w:bottom w:val="none" w:sz="0" w:space="0" w:color="auto"/>
        <w:right w:val="none" w:sz="0" w:space="0" w:color="auto"/>
      </w:divBdr>
    </w:div>
    <w:div w:id="122770524">
      <w:bodyDiv w:val="1"/>
      <w:marLeft w:val="0"/>
      <w:marRight w:val="0"/>
      <w:marTop w:val="0"/>
      <w:marBottom w:val="0"/>
      <w:divBdr>
        <w:top w:val="none" w:sz="0" w:space="0" w:color="auto"/>
        <w:left w:val="none" w:sz="0" w:space="0" w:color="auto"/>
        <w:bottom w:val="none" w:sz="0" w:space="0" w:color="auto"/>
        <w:right w:val="none" w:sz="0" w:space="0" w:color="auto"/>
      </w:divBdr>
    </w:div>
    <w:div w:id="202910413">
      <w:bodyDiv w:val="1"/>
      <w:marLeft w:val="0"/>
      <w:marRight w:val="0"/>
      <w:marTop w:val="0"/>
      <w:marBottom w:val="0"/>
      <w:divBdr>
        <w:top w:val="none" w:sz="0" w:space="0" w:color="auto"/>
        <w:left w:val="none" w:sz="0" w:space="0" w:color="auto"/>
        <w:bottom w:val="none" w:sz="0" w:space="0" w:color="auto"/>
        <w:right w:val="none" w:sz="0" w:space="0" w:color="auto"/>
      </w:divBdr>
    </w:div>
    <w:div w:id="826285409">
      <w:bodyDiv w:val="1"/>
      <w:marLeft w:val="0"/>
      <w:marRight w:val="0"/>
      <w:marTop w:val="0"/>
      <w:marBottom w:val="0"/>
      <w:divBdr>
        <w:top w:val="none" w:sz="0" w:space="0" w:color="auto"/>
        <w:left w:val="none" w:sz="0" w:space="0" w:color="auto"/>
        <w:bottom w:val="none" w:sz="0" w:space="0" w:color="auto"/>
        <w:right w:val="none" w:sz="0" w:space="0" w:color="auto"/>
      </w:divBdr>
    </w:div>
    <w:div w:id="967469452">
      <w:bodyDiv w:val="1"/>
      <w:marLeft w:val="0"/>
      <w:marRight w:val="0"/>
      <w:marTop w:val="0"/>
      <w:marBottom w:val="0"/>
      <w:divBdr>
        <w:top w:val="none" w:sz="0" w:space="0" w:color="auto"/>
        <w:left w:val="none" w:sz="0" w:space="0" w:color="auto"/>
        <w:bottom w:val="none" w:sz="0" w:space="0" w:color="auto"/>
        <w:right w:val="none" w:sz="0" w:space="0" w:color="auto"/>
      </w:divBdr>
    </w:div>
    <w:div w:id="1124158979">
      <w:bodyDiv w:val="1"/>
      <w:marLeft w:val="0"/>
      <w:marRight w:val="0"/>
      <w:marTop w:val="0"/>
      <w:marBottom w:val="0"/>
      <w:divBdr>
        <w:top w:val="none" w:sz="0" w:space="0" w:color="auto"/>
        <w:left w:val="none" w:sz="0" w:space="0" w:color="auto"/>
        <w:bottom w:val="none" w:sz="0" w:space="0" w:color="auto"/>
        <w:right w:val="none" w:sz="0" w:space="0" w:color="auto"/>
      </w:divBdr>
    </w:div>
    <w:div w:id="1168134770">
      <w:bodyDiv w:val="1"/>
      <w:marLeft w:val="0"/>
      <w:marRight w:val="0"/>
      <w:marTop w:val="0"/>
      <w:marBottom w:val="0"/>
      <w:divBdr>
        <w:top w:val="none" w:sz="0" w:space="0" w:color="auto"/>
        <w:left w:val="none" w:sz="0" w:space="0" w:color="auto"/>
        <w:bottom w:val="none" w:sz="0" w:space="0" w:color="auto"/>
        <w:right w:val="none" w:sz="0" w:space="0" w:color="auto"/>
      </w:divBdr>
    </w:div>
    <w:div w:id="1175803410">
      <w:bodyDiv w:val="1"/>
      <w:marLeft w:val="0"/>
      <w:marRight w:val="0"/>
      <w:marTop w:val="0"/>
      <w:marBottom w:val="0"/>
      <w:divBdr>
        <w:top w:val="none" w:sz="0" w:space="0" w:color="auto"/>
        <w:left w:val="none" w:sz="0" w:space="0" w:color="auto"/>
        <w:bottom w:val="none" w:sz="0" w:space="0" w:color="auto"/>
        <w:right w:val="none" w:sz="0" w:space="0" w:color="auto"/>
      </w:divBdr>
    </w:div>
    <w:div w:id="1254897530">
      <w:bodyDiv w:val="1"/>
      <w:marLeft w:val="0"/>
      <w:marRight w:val="0"/>
      <w:marTop w:val="0"/>
      <w:marBottom w:val="0"/>
      <w:divBdr>
        <w:top w:val="none" w:sz="0" w:space="0" w:color="auto"/>
        <w:left w:val="none" w:sz="0" w:space="0" w:color="auto"/>
        <w:bottom w:val="none" w:sz="0" w:space="0" w:color="auto"/>
        <w:right w:val="none" w:sz="0" w:space="0" w:color="auto"/>
      </w:divBdr>
    </w:div>
    <w:div w:id="1404909226">
      <w:bodyDiv w:val="1"/>
      <w:marLeft w:val="0"/>
      <w:marRight w:val="0"/>
      <w:marTop w:val="0"/>
      <w:marBottom w:val="0"/>
      <w:divBdr>
        <w:top w:val="none" w:sz="0" w:space="0" w:color="auto"/>
        <w:left w:val="none" w:sz="0" w:space="0" w:color="auto"/>
        <w:bottom w:val="none" w:sz="0" w:space="0" w:color="auto"/>
        <w:right w:val="none" w:sz="0" w:space="0" w:color="auto"/>
      </w:divBdr>
    </w:div>
    <w:div w:id="1845127967">
      <w:bodyDiv w:val="1"/>
      <w:marLeft w:val="0"/>
      <w:marRight w:val="0"/>
      <w:marTop w:val="0"/>
      <w:marBottom w:val="0"/>
      <w:divBdr>
        <w:top w:val="none" w:sz="0" w:space="0" w:color="auto"/>
        <w:left w:val="none" w:sz="0" w:space="0" w:color="auto"/>
        <w:bottom w:val="none" w:sz="0" w:space="0" w:color="auto"/>
        <w:right w:val="none" w:sz="0" w:space="0" w:color="auto"/>
      </w:divBdr>
    </w:div>
    <w:div w:id="1872839953">
      <w:bodyDiv w:val="1"/>
      <w:marLeft w:val="0"/>
      <w:marRight w:val="0"/>
      <w:marTop w:val="0"/>
      <w:marBottom w:val="0"/>
      <w:divBdr>
        <w:top w:val="none" w:sz="0" w:space="0" w:color="auto"/>
        <w:left w:val="none" w:sz="0" w:space="0" w:color="auto"/>
        <w:bottom w:val="none" w:sz="0" w:space="0" w:color="auto"/>
        <w:right w:val="none" w:sz="0" w:space="0" w:color="auto"/>
      </w:divBdr>
    </w:div>
    <w:div w:id="1887646706">
      <w:bodyDiv w:val="1"/>
      <w:marLeft w:val="0"/>
      <w:marRight w:val="0"/>
      <w:marTop w:val="0"/>
      <w:marBottom w:val="0"/>
      <w:divBdr>
        <w:top w:val="none" w:sz="0" w:space="0" w:color="auto"/>
        <w:left w:val="none" w:sz="0" w:space="0" w:color="auto"/>
        <w:bottom w:val="none" w:sz="0" w:space="0" w:color="auto"/>
        <w:right w:val="none" w:sz="0" w:space="0" w:color="auto"/>
      </w:divBdr>
    </w:div>
    <w:div w:id="207677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mlins.com/insight/proprietary-estoppel-a-legal-remedy-for-an-unkept-promise/#:~:text=Proprietary%20estoppel%20is%20a%20specific,interest%20in%20the%20land%20owned" TargetMode="External"/><Relationship Id="rId13" Type="http://schemas.openxmlformats.org/officeDocument/2006/relationships/hyperlink" Target="https://www.legislation.gov.uk/ukpga/1996/47/introduction" TargetMode="External"/><Relationship Id="rId18" Type="http://schemas.openxmlformats.org/officeDocument/2006/relationships/hyperlink" Target="https://www.mplaw.co.uk/personal/wills/disputes/proprietary-estoppe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legislation.gov.uk/ukpga/2002/9/notes/division/4/12/1/2?view=plain" TargetMode="External"/><Relationship Id="rId17" Type="http://schemas.openxmlformats.org/officeDocument/2006/relationships/hyperlink" Target="https://www.healdlaw.com/insights/personal/cohabitees-and-property-ownership#:~:text=For%20a%20constructive%20trust%20to,implied%20from%20the%20cohabitees'%20conduc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k.practicallaw.thomsonreuters.com/5-107-6322?transitionType=Default&amp;contextData=(sc.Default)&amp;firstPage=true" TargetMode="External"/><Relationship Id="rId20" Type="http://schemas.openxmlformats.org/officeDocument/2006/relationships/hyperlink" Target="https://www.debenhamsottaway.co.uk/news/2022/02/doctrine-of-proprietary-estoppel-is-it-always-a-shield-or-can-it-be-used-as-a-sword/#:~:text=What%20is%20required%20to%20establish,%E2%80%93%20assurance%2C%20reliance%20and%20detri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ughjames.com/services/contested-wills-trusts-estates/proprietary-estoppel-resulting-trust-constructive-trust-claims/#:~:text=A%20constructive%20trust%20is%20where,defend%20a%20constructive%20trust%20clai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eightmans.com/insights/what-is-proprietary-estoppel/" TargetMode="External"/><Relationship Id="rId23" Type="http://schemas.openxmlformats.org/officeDocument/2006/relationships/footer" Target="footer2.xml"/><Relationship Id="rId10" Type="http://schemas.openxmlformats.org/officeDocument/2006/relationships/hyperlink" Target="https://www.citizensinformation.ie/en/birth-family-relationships/cohabiting-couples/rights-of-cohabiting-couples/#:~:text=exceeds%20%E2%82%AC16%2C250.-,Preparing%20for%20the%20future%20with%20a%20cohabitation%20agreement,reasonable%20to%20both%20of%20you" TargetMode="External"/><Relationship Id="rId19" Type="http://schemas.openxmlformats.org/officeDocument/2006/relationships/hyperlink" Target="https://www.nelsonslaw.co.uk/constructive-trust-claims/#:~:text=Constructive%20trust%20claims%20can%20be,significantly%20altered%20his%2Fher%20position" TargetMode="External"/><Relationship Id="rId4" Type="http://schemas.openxmlformats.org/officeDocument/2006/relationships/settings" Target="settings.xml"/><Relationship Id="rId9" Type="http://schemas.openxmlformats.org/officeDocument/2006/relationships/hyperlink" Target="https://www.sra.org.uk/solicitors/resources/specific-areas-of-practice/persuasive-skeleton-argument/" TargetMode="External"/><Relationship Id="rId14" Type="http://schemas.openxmlformats.org/officeDocument/2006/relationships/hyperlink" Target="https://publications.parliament.uk/pa/ld200809/ldjudgmt/jd090325/thorn-1.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And23</b:Tag>
    <b:SourceType>InternetSite</b:SourceType>
    <b:Guid>{090773A5-2A2E-4D0F-86DD-34C2367406F0}</b:Guid>
    <b:Author>
      <b:Author>
        <b:NameList>
          <b:Person>
            <b:Last>Andrew</b:Last>
            <b:First>K</b:First>
          </b:Person>
        </b:NameList>
      </b:Author>
    </b:Author>
    <b:Title>Home News &amp; insights Insights Proprietary estoppel: a legal remedy for an unkept promise</b:Title>
    <b:Year>2023</b:Year>
    <b:YearAccessed>2024</b:YearAccessed>
    <b:MonthAccessed>December</b:MonthAccessed>
    <b:DayAccessed>03</b:DayAccessed>
    <b:URL>https://hamlins.com/insight/proprietary-estoppel-a-legal-remedy-for-an-unkept-promise/#:~:text=Proprietary%20estoppel%20is%20a%20specific,interest%20in%20the%20land%20owned.</b:URL>
    <b:RefOrder>1</b:RefOrder>
  </b:Source>
  <b:Source>
    <b:Tag>Sol24</b:Tag>
    <b:SourceType>InternetSite</b:SourceType>
    <b:Guid>{07A2561E-11B6-4072-83A4-FD3D1D1B95A4}</b:Guid>
    <b:Author>
      <b:Author>
        <b:NameList>
          <b:Person>
            <b:Last>Authority</b:Last>
            <b:First>Solicitors</b:First>
            <b:Middle>Regulation</b:Middle>
          </b:Person>
        </b:NameList>
      </b:Author>
    </b:Author>
    <b:Title>Drafting a Skeleton Argument</b:Title>
    <b:Year>2024</b:Year>
    <b:YearAccessed>2024</b:YearAccessed>
    <b:MonthAccessed>December</b:MonthAccessed>
    <b:DayAccessed>3</b:DayAccessed>
    <b:URL>https://www.sra.org.uk/solicitors/resources/specific-areas-of-practice/persuasive-skeleton-argument/</b:URL>
    <b:RefOrder>2</b:RefOrder>
  </b:Source>
  <b:Source>
    <b:Tag>Hou09</b:Tag>
    <b:SourceType>InternetSite</b:SourceType>
    <b:Guid>{866BC3FE-415C-4A6D-B9C6-76CF0B3AA50F}</b:Guid>
    <b:Author>
      <b:Author>
        <b:NameList>
          <b:Person>
            <b:Last>Lords</b:Last>
            <b:First>House</b:First>
            <b:Middle>of</b:Middle>
          </b:Person>
        </b:NameList>
      </b:Author>
    </b:Author>
    <b:Title>Thorner (Appellant) v Majors and Others (Respondents)</b:Title>
    <b:Year>2009</b:Year>
    <b:YearAccessed>2024</b:YearAccessed>
    <b:MonthAccessed>December</b:MonthAccessed>
    <b:DayAccessed>3</b:DayAccessed>
    <b:URL>https://publications.parliament.uk/pa/ld200809/ldjudgmt/jd090325/thorn-1.htm</b:URL>
    <b:RefOrder>3</b:RefOrder>
  </b:Source>
  <b:Source>
    <b:Tag>Tho23</b:Tag>
    <b:SourceType>InternetSite</b:SourceType>
    <b:Guid>{7E304B16-82EE-4178-ABA3-C8F8D8F85014}</b:Guid>
    <b:Author>
      <b:Author>
        <b:NameList>
          <b:Person>
            <b:Last>Reuters</b:Last>
            <b:First>Thomson</b:First>
          </b:Person>
        </b:NameList>
      </b:Author>
    </b:Author>
    <b:Title>Constructive Trusts</b:Title>
    <b:Year>2023</b:Year>
    <b:YearAccessed>2024</b:YearAccessed>
    <b:MonthAccessed>December</b:MonthAccessed>
    <b:DayAccessed>3</b:DayAccessed>
    <b:URL>https://uk.practicallaw.thomsonreuters.com/5-107-6322?transitionType=Default&amp;contextData=(sc.Default)&amp;firstPage=true</b:URL>
    <b:RefOrder>4</b:RefOrder>
  </b:Source>
  <b:Source>
    <b:Tag>Cit24</b:Tag>
    <b:SourceType>InternetSite</b:SourceType>
    <b:Guid>{8D9E4AAF-BD96-4B01-95A6-1F23EAC58005}</b:Guid>
    <b:Author>
      <b:Author>
        <b:NameList>
          <b:Person>
            <b:Last>Information</b:Last>
            <b:First>Citizens</b:First>
          </b:Person>
        </b:NameList>
      </b:Author>
    </b:Author>
    <b:Title>Rights of Cohabiting Couples (couples living together)</b:Title>
    <b:Year>2024</b:Year>
    <b:YearAccessed>2024</b:YearAccessed>
    <b:MonthAccessed>December</b:MonthAccessed>
    <b:DayAccessed>3</b:DayAccessed>
    <b:URL>https://www.citizensinformation.ie/en/birth-family-relationships/cohabiting-couples/rights-of-cohabiting-couples/#:~:text=exceeds%20%E2%82%AC16%2C250.-,Preparing%20for%20the%20future%20with%20a%20cohabitation%20agreement,reasonable%20to%20both%20of%20you.</b:URL>
    <b:RefOrder>5</b:RefOrder>
  </b:Source>
  <b:Source>
    <b:Tag>Jam24</b:Tag>
    <b:SourceType>InternetSite</b:SourceType>
    <b:Guid>{A28E31FB-EF92-48C6-A294-835850FDAC9C}</b:Guid>
    <b:Author>
      <b:Author>
        <b:NameList>
          <b:Person>
            <b:Last>James</b:Last>
            <b:First>Hugh</b:First>
          </b:Person>
        </b:NameList>
      </b:Author>
    </b:Author>
    <b:Title>Proprietary estoppel, resulting trust &amp; constructive trust claims</b:Title>
    <b:Year>2024</b:Year>
    <b:YearAccessed>2024</b:YearAccessed>
    <b:MonthAccessed>December</b:MonthAccessed>
    <b:DayAccessed>3</b:DayAccessed>
    <b:URL>https://www.hughjames.com/services/contested-wills-trusts-estates/proprietary-estoppel-resulting-trust-constructive-trust-claims/#:~:text=A%20constructive%20trust%20is%20where,defend%20a%20constructive%20trust%20claim.</b:URL>
    <b:RefOrder>6</b:RefOrder>
  </b:Source>
</b:Sources>
</file>

<file path=customXml/itemProps1.xml><?xml version="1.0" encoding="utf-8"?>
<ds:datastoreItem xmlns:ds="http://schemas.openxmlformats.org/officeDocument/2006/customXml" ds:itemID="{54E6323F-7505-4550-BAF2-FDFA1561E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11</Pages>
  <Words>2843</Words>
  <Characters>16209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Jones</dc:creator>
  <cp:keywords/>
  <dc:description/>
  <cp:lastModifiedBy>Shannon Louise</cp:lastModifiedBy>
  <cp:revision>174</cp:revision>
  <dcterms:created xsi:type="dcterms:W3CDTF">2024-12-06T16:39:00Z</dcterms:created>
  <dcterms:modified xsi:type="dcterms:W3CDTF">2024-12-06T22:47:00Z</dcterms:modified>
</cp:coreProperties>
</file>