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5D82E" w14:textId="77777777" w:rsidR="00EA0317" w:rsidRDefault="00EA0317" w:rsidP="00EA0317">
      <w:pPr>
        <w:ind w:firstLine="0"/>
        <w:jc w:val="center"/>
        <w:rPr>
          <w:rFonts w:ascii="Times New Roman" w:hAnsi="Times New Roman" w:cs="Times New Roman"/>
          <w:sz w:val="24"/>
          <w:szCs w:val="24"/>
          <w:lang w:val="en-US"/>
        </w:rPr>
      </w:pPr>
    </w:p>
    <w:p w14:paraId="34AE2754" w14:textId="77777777" w:rsidR="00EA0317" w:rsidRDefault="00EA0317" w:rsidP="00EA0317">
      <w:pPr>
        <w:ind w:firstLine="0"/>
        <w:jc w:val="center"/>
        <w:rPr>
          <w:rFonts w:ascii="Times New Roman" w:hAnsi="Times New Roman" w:cs="Times New Roman"/>
          <w:sz w:val="24"/>
          <w:szCs w:val="24"/>
          <w:lang w:val="en-US"/>
        </w:rPr>
      </w:pPr>
    </w:p>
    <w:p w14:paraId="4015BF89" w14:textId="77777777" w:rsidR="00EA0317" w:rsidRDefault="00EA0317" w:rsidP="00EA0317">
      <w:pPr>
        <w:ind w:firstLine="0"/>
        <w:jc w:val="center"/>
        <w:rPr>
          <w:rFonts w:ascii="Times New Roman" w:hAnsi="Times New Roman" w:cs="Times New Roman"/>
          <w:sz w:val="24"/>
          <w:szCs w:val="24"/>
          <w:lang w:val="en-US"/>
        </w:rPr>
      </w:pPr>
    </w:p>
    <w:p w14:paraId="4B3C00C8" w14:textId="77777777" w:rsidR="00EA0317" w:rsidRDefault="00EA0317" w:rsidP="00EA0317">
      <w:pPr>
        <w:ind w:firstLine="0"/>
        <w:jc w:val="center"/>
        <w:rPr>
          <w:rFonts w:ascii="Times New Roman" w:hAnsi="Times New Roman" w:cs="Times New Roman"/>
          <w:sz w:val="24"/>
          <w:szCs w:val="24"/>
          <w:lang w:val="en-US"/>
        </w:rPr>
      </w:pPr>
    </w:p>
    <w:p w14:paraId="35156B5E" w14:textId="77777777" w:rsidR="00EA0317" w:rsidRDefault="00EA0317" w:rsidP="00EA0317">
      <w:pPr>
        <w:ind w:firstLine="0"/>
        <w:jc w:val="center"/>
        <w:rPr>
          <w:rFonts w:ascii="Times New Roman" w:hAnsi="Times New Roman" w:cs="Times New Roman"/>
          <w:sz w:val="24"/>
          <w:szCs w:val="24"/>
          <w:lang w:val="en-US"/>
        </w:rPr>
      </w:pPr>
    </w:p>
    <w:p w14:paraId="4476C667" w14:textId="77777777" w:rsidR="00EA0317" w:rsidRDefault="00EA0317" w:rsidP="00EA0317">
      <w:pPr>
        <w:ind w:firstLine="0"/>
        <w:jc w:val="center"/>
        <w:rPr>
          <w:rFonts w:ascii="Times New Roman" w:hAnsi="Times New Roman" w:cs="Times New Roman"/>
          <w:sz w:val="24"/>
          <w:szCs w:val="24"/>
          <w:lang w:val="en-US"/>
        </w:rPr>
      </w:pPr>
    </w:p>
    <w:p w14:paraId="098E3896" w14:textId="11C4C2ED" w:rsidR="00EA0317" w:rsidRDefault="00EA0317" w:rsidP="00EA0317">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Jurys Inn Financial Management</w:t>
      </w:r>
    </w:p>
    <w:p w14:paraId="0D205FF6" w14:textId="56D8D8AE" w:rsidR="00EA0317" w:rsidRDefault="00EA0317" w:rsidP="00EA0317">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Student’s Name</w:t>
      </w:r>
    </w:p>
    <w:p w14:paraId="0EE4D4C0" w14:textId="2C7EF733" w:rsidR="00EA0317" w:rsidRDefault="00EA0317" w:rsidP="00EA0317">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Course</w:t>
      </w:r>
    </w:p>
    <w:p w14:paraId="1DDE1D6C" w14:textId="256A0619" w:rsidR="00EA0317" w:rsidRDefault="00EA0317" w:rsidP="00EA0317">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Institution</w:t>
      </w:r>
    </w:p>
    <w:p w14:paraId="7C403992" w14:textId="6815352C" w:rsidR="00EA0317" w:rsidRDefault="00EA0317" w:rsidP="00EA0317">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Date </w:t>
      </w:r>
    </w:p>
    <w:p w14:paraId="59997A8A" w14:textId="77777777" w:rsidR="00EA0317" w:rsidRDefault="00EA0317">
      <w:pPr>
        <w:rPr>
          <w:rFonts w:ascii="Times New Roman" w:eastAsiaTheme="majorEastAsia" w:hAnsi="Times New Roman" w:cstheme="majorBidi"/>
          <w:b/>
          <w:sz w:val="24"/>
          <w:szCs w:val="32"/>
          <w:lang w:val="en-US"/>
        </w:rPr>
      </w:pPr>
      <w:r>
        <w:rPr>
          <w:lang w:val="en-US"/>
        </w:rPr>
        <w:br w:type="page"/>
      </w:r>
    </w:p>
    <w:p w14:paraId="33CD7B8C" w14:textId="208105AC" w:rsidR="008C5C40" w:rsidRPr="008C5C40" w:rsidRDefault="008C5C40" w:rsidP="00EA0317">
      <w:pPr>
        <w:pStyle w:val="Heading1"/>
        <w:rPr>
          <w:lang w:val="en-US"/>
        </w:rPr>
      </w:pPr>
      <w:r w:rsidRPr="008C5C40">
        <w:rPr>
          <w:lang w:val="en-US"/>
        </w:rPr>
        <w:t xml:space="preserve">Financial Ratios of Jurys Inn </w:t>
      </w:r>
    </w:p>
    <w:p w14:paraId="1608653B" w14:textId="46FAFF7F" w:rsidR="008C5C40" w:rsidRDefault="008C5C40" w:rsidP="00133124">
      <w:pPr>
        <w:pStyle w:val="Heading2"/>
        <w:numPr>
          <w:ilvl w:val="0"/>
          <w:numId w:val="4"/>
        </w:numPr>
        <w:rPr>
          <w:rFonts w:eastAsia="Times New Roman"/>
          <w:lang w:eastAsia="en-GB"/>
        </w:rPr>
      </w:pPr>
      <w:r w:rsidRPr="008C5C40">
        <w:rPr>
          <w:rFonts w:eastAsia="Times New Roman"/>
          <w:lang w:eastAsia="en-GB"/>
        </w:rPr>
        <w:t xml:space="preserve">Liquidity </w:t>
      </w:r>
      <w:r w:rsidR="007D4A48">
        <w:rPr>
          <w:rFonts w:eastAsia="Times New Roman"/>
          <w:lang w:eastAsia="en-GB"/>
        </w:rPr>
        <w:t>R</w:t>
      </w:r>
      <w:r w:rsidRPr="008C5C40">
        <w:rPr>
          <w:rFonts w:eastAsia="Times New Roman"/>
          <w:lang w:eastAsia="en-GB"/>
        </w:rPr>
        <w:t>atios</w:t>
      </w:r>
    </w:p>
    <w:p w14:paraId="27C8F4E3" w14:textId="6FFEE416" w:rsidR="00D860A4" w:rsidRDefault="00D860A4"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Liquidity </w:t>
      </w:r>
      <w:r w:rsidR="00F93DD6">
        <w:rPr>
          <w:rFonts w:ascii="Times New Roman" w:eastAsia="Times New Roman" w:hAnsi="Times New Roman" w:cs="Times New Roman"/>
          <w:sz w:val="24"/>
          <w:szCs w:val="24"/>
          <w:lang w:eastAsia="en-GB"/>
        </w:rPr>
        <w:t>ratios are used to determine the company’s ability to pay its short-term debt obligations. There are two important liquidity ratios for Jurys Inn including the current ratio and the acid-test ratio. The current ratio assesses the company’s capacity to pay off short-term liabilities with current assets</w:t>
      </w:r>
      <w:r w:rsidR="006E2F43">
        <w:rPr>
          <w:rFonts w:ascii="Times New Roman" w:eastAsia="Times New Roman" w:hAnsi="Times New Roman" w:cs="Times New Roman"/>
          <w:sz w:val="24"/>
          <w:szCs w:val="24"/>
          <w:lang w:eastAsia="en-GB"/>
        </w:rPr>
        <w:t xml:space="preserve"> the acid-test ratio on the other and assesses the firm’s capacity to pay off short-term liabilities with quick assets</w:t>
      </w:r>
      <w:r w:rsidR="00E25955">
        <w:rPr>
          <w:rFonts w:ascii="Times New Roman" w:eastAsia="Times New Roman" w:hAnsi="Times New Roman" w:cs="Times New Roman"/>
          <w:sz w:val="24"/>
          <w:szCs w:val="24"/>
          <w:lang w:eastAsia="en-GB"/>
        </w:rPr>
        <w:t xml:space="preserve"> (</w:t>
      </w:r>
      <w:r w:rsidR="00E25955" w:rsidRPr="00187E2C">
        <w:rPr>
          <w:rFonts w:ascii="Times New Roman" w:eastAsia="Times New Roman" w:hAnsi="Times New Roman" w:cs="Times New Roman"/>
          <w:sz w:val="24"/>
          <w:szCs w:val="24"/>
          <w:lang w:eastAsia="en-GB"/>
        </w:rPr>
        <w:t>Atrill, 2017</w:t>
      </w:r>
      <w:r w:rsidR="00E25955">
        <w:rPr>
          <w:rFonts w:ascii="Times New Roman" w:eastAsia="Times New Roman" w:hAnsi="Times New Roman" w:cs="Times New Roman"/>
          <w:sz w:val="24"/>
          <w:szCs w:val="24"/>
          <w:lang w:eastAsia="en-GB"/>
        </w:rPr>
        <w:t>)</w:t>
      </w:r>
      <w:r w:rsidR="006E2F43">
        <w:rPr>
          <w:rFonts w:ascii="Times New Roman" w:eastAsia="Times New Roman" w:hAnsi="Times New Roman" w:cs="Times New Roman"/>
          <w:sz w:val="24"/>
          <w:szCs w:val="24"/>
          <w:lang w:eastAsia="en-GB"/>
        </w:rPr>
        <w:t xml:space="preserve">. </w:t>
      </w:r>
      <w:r w:rsidR="00F93DD6">
        <w:rPr>
          <w:rFonts w:ascii="Times New Roman" w:eastAsia="Times New Roman" w:hAnsi="Times New Roman" w:cs="Times New Roman"/>
          <w:sz w:val="24"/>
          <w:szCs w:val="24"/>
          <w:lang w:eastAsia="en-GB"/>
        </w:rPr>
        <w:t xml:space="preserve"> </w:t>
      </w:r>
    </w:p>
    <w:p w14:paraId="13D816C8" w14:textId="2990753A" w:rsidR="00F93DD6" w:rsidRDefault="00F93DD6"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Current ratio = </w:t>
      </w:r>
      <w:r w:rsidR="006E2F43">
        <w:rPr>
          <w:rFonts w:ascii="Times New Roman" w:eastAsia="Times New Roman" w:hAnsi="Times New Roman" w:cs="Times New Roman"/>
          <w:sz w:val="24"/>
          <w:szCs w:val="24"/>
          <w:lang w:eastAsia="en-GB"/>
        </w:rPr>
        <w:t xml:space="preserve">Current Assets/Current Liabilities </w:t>
      </w:r>
    </w:p>
    <w:p w14:paraId="25EDF73B" w14:textId="3BA5C938" w:rsidR="006E2F43" w:rsidRDefault="006E2F43"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2017 Current Ratio = 1839/855 = 2.15 </w:t>
      </w:r>
    </w:p>
    <w:p w14:paraId="611757DE" w14:textId="77777777" w:rsidR="006E2F43" w:rsidRDefault="006E2F43"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2018 Current Ratio = 2152/888 = 2.42</w:t>
      </w:r>
    </w:p>
    <w:p w14:paraId="62254ECB" w14:textId="59B7E2CD" w:rsidR="006E2F43" w:rsidRDefault="006E2F43"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Acid-test ratio = </w:t>
      </w:r>
      <m:oMath>
        <m:f>
          <m:fPr>
            <m:ctrlPr>
              <w:rPr>
                <w:rFonts w:ascii="Cambria Math" w:eastAsia="Times New Roman" w:hAnsi="Cambria Math" w:cs="Times New Roman"/>
                <w:i/>
                <w:sz w:val="24"/>
                <w:szCs w:val="24"/>
                <w:lang w:eastAsia="en-GB"/>
              </w:rPr>
            </m:ctrlPr>
          </m:fPr>
          <m:num>
            <m:r>
              <w:rPr>
                <w:rFonts w:ascii="Cambria Math" w:eastAsia="Times New Roman" w:hAnsi="Cambria Math" w:cs="Times New Roman"/>
                <w:sz w:val="24"/>
                <w:szCs w:val="24"/>
                <w:lang w:eastAsia="en-GB"/>
              </w:rPr>
              <m:t xml:space="preserve">Current Assets-Inventories </m:t>
            </m:r>
          </m:num>
          <m:den>
            <m:r>
              <w:rPr>
                <w:rFonts w:ascii="Cambria Math" w:eastAsia="Times New Roman" w:hAnsi="Cambria Math" w:cs="Times New Roman"/>
                <w:sz w:val="24"/>
                <w:szCs w:val="24"/>
                <w:lang w:eastAsia="en-GB"/>
              </w:rPr>
              <m:t xml:space="preserve">Current Liabilities </m:t>
            </m:r>
          </m:den>
        </m:f>
      </m:oMath>
      <w:r>
        <w:rPr>
          <w:rFonts w:ascii="Times New Roman" w:eastAsia="Times New Roman" w:hAnsi="Times New Roman" w:cs="Times New Roman"/>
          <w:sz w:val="24"/>
          <w:szCs w:val="24"/>
          <w:lang w:eastAsia="en-GB"/>
        </w:rPr>
        <w:t xml:space="preserve"> </w:t>
      </w:r>
    </w:p>
    <w:p w14:paraId="7E84C389" w14:textId="7B524C96" w:rsidR="006E2F43" w:rsidRDefault="006E2F43"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2017 Acid-test </w:t>
      </w:r>
      <w:r w:rsidR="00E17F28">
        <w:rPr>
          <w:rFonts w:ascii="Times New Roman" w:eastAsia="Times New Roman" w:hAnsi="Times New Roman" w:cs="Times New Roman"/>
          <w:sz w:val="24"/>
          <w:szCs w:val="24"/>
          <w:lang w:eastAsia="en-GB"/>
        </w:rPr>
        <w:t>Ratio = (1839 – 700)/855 = 1.33</w:t>
      </w:r>
    </w:p>
    <w:p w14:paraId="1F5113ED" w14:textId="1E3227F2" w:rsidR="00E17F28" w:rsidRDefault="00E17F28"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2018 Acid-test Ratio = (2152 – 750)/888 = 1.58 </w:t>
      </w:r>
    </w:p>
    <w:p w14:paraId="05332D94" w14:textId="10C35DB2" w:rsidR="00E17F28" w:rsidRDefault="00E17F28"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Considering that a good liquidity ratio lies between 1.2 and 2, the business needs to </w:t>
      </w:r>
      <w:r w:rsidR="00133124">
        <w:rPr>
          <w:rFonts w:ascii="Times New Roman" w:eastAsia="Times New Roman" w:hAnsi="Times New Roman" w:cs="Times New Roman"/>
          <w:sz w:val="24"/>
          <w:szCs w:val="24"/>
          <w:lang w:eastAsia="en-GB"/>
        </w:rPr>
        <w:t>be able to cover its debts fully (</w:t>
      </w:r>
      <w:r w:rsidR="00133124" w:rsidRPr="00187E2C">
        <w:rPr>
          <w:rFonts w:ascii="Times New Roman" w:eastAsia="Times New Roman" w:hAnsi="Times New Roman" w:cs="Times New Roman"/>
          <w:sz w:val="24"/>
          <w:szCs w:val="24"/>
          <w:lang w:eastAsia="en-GB"/>
        </w:rPr>
        <w:t>Atrill, 2017</w:t>
      </w:r>
      <w:r w:rsidR="00133124">
        <w:rPr>
          <w:rFonts w:ascii="Times New Roman" w:eastAsia="Times New Roman" w:hAnsi="Times New Roman" w:cs="Times New Roman"/>
          <w:sz w:val="24"/>
          <w:szCs w:val="24"/>
          <w:lang w:eastAsia="en-GB"/>
        </w:rPr>
        <w:t xml:space="preserve">). Both the current ratio and the acid-test ratio of Jurys Inn increases from 2.15 and 1.33 to 2.42 and 1.58 respectively. This means that the company is sufficiently liquid because its current assets can cover its short-term debts by more than two times and its quick assets can equally sufficiently cover its short-term obligations. </w:t>
      </w:r>
    </w:p>
    <w:p w14:paraId="30B29A97" w14:textId="7996B29B" w:rsidR="008C5C40" w:rsidRDefault="008C5C40" w:rsidP="00114E37">
      <w:pPr>
        <w:pStyle w:val="Heading2"/>
        <w:numPr>
          <w:ilvl w:val="0"/>
          <w:numId w:val="4"/>
        </w:numPr>
        <w:rPr>
          <w:rFonts w:eastAsia="Times New Roman"/>
          <w:lang w:eastAsia="en-GB"/>
        </w:rPr>
      </w:pPr>
      <w:r w:rsidRPr="008C5C40">
        <w:rPr>
          <w:rFonts w:eastAsia="Times New Roman"/>
          <w:lang w:eastAsia="en-GB"/>
        </w:rPr>
        <w:t xml:space="preserve">Leverage </w:t>
      </w:r>
      <w:r w:rsidR="007D4A48">
        <w:rPr>
          <w:rFonts w:eastAsia="Times New Roman"/>
          <w:lang w:eastAsia="en-GB"/>
        </w:rPr>
        <w:t>R</w:t>
      </w:r>
      <w:r w:rsidRPr="008C5C40">
        <w:rPr>
          <w:rFonts w:eastAsia="Times New Roman"/>
          <w:lang w:eastAsia="en-GB"/>
        </w:rPr>
        <w:t>atios</w:t>
      </w:r>
    </w:p>
    <w:p w14:paraId="001DBEFA" w14:textId="31EE30B5" w:rsidR="00E25955" w:rsidRDefault="00E25955"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Leverage ratios assess the amount of capital that the business obtains from debt. According to </w:t>
      </w:r>
      <w:r w:rsidRPr="00187E2C">
        <w:rPr>
          <w:rFonts w:ascii="Times New Roman" w:eastAsia="Times New Roman" w:hAnsi="Times New Roman" w:cs="Times New Roman"/>
          <w:sz w:val="24"/>
          <w:szCs w:val="24"/>
          <w:lang w:eastAsia="en-GB"/>
        </w:rPr>
        <w:t>McLaney</w:t>
      </w:r>
      <w:r>
        <w:rPr>
          <w:rFonts w:ascii="Times New Roman" w:eastAsia="Times New Roman" w:hAnsi="Times New Roman" w:cs="Times New Roman"/>
          <w:sz w:val="24"/>
          <w:szCs w:val="24"/>
          <w:lang w:eastAsia="en-GB"/>
        </w:rPr>
        <w:t xml:space="preserve"> </w:t>
      </w:r>
      <w:r w:rsidRPr="00187E2C">
        <w:rPr>
          <w:rFonts w:ascii="Times New Roman" w:eastAsia="Times New Roman" w:hAnsi="Times New Roman" w:cs="Times New Roman"/>
          <w:sz w:val="24"/>
          <w:szCs w:val="24"/>
          <w:lang w:eastAsia="en-GB"/>
        </w:rPr>
        <w:t>and Atrill</w:t>
      </w:r>
      <w:r>
        <w:rPr>
          <w:rFonts w:ascii="Times New Roman" w:eastAsia="Times New Roman" w:hAnsi="Times New Roman" w:cs="Times New Roman"/>
          <w:sz w:val="24"/>
          <w:szCs w:val="24"/>
          <w:lang w:eastAsia="en-GB"/>
        </w:rPr>
        <w:t xml:space="preserve"> (</w:t>
      </w:r>
      <w:r w:rsidRPr="00187E2C">
        <w:rPr>
          <w:rFonts w:ascii="Times New Roman" w:eastAsia="Times New Roman" w:hAnsi="Times New Roman" w:cs="Times New Roman"/>
          <w:sz w:val="24"/>
          <w:szCs w:val="24"/>
          <w:lang w:eastAsia="en-GB"/>
        </w:rPr>
        <w:t>2016</w:t>
      </w:r>
      <w:r>
        <w:rPr>
          <w:rFonts w:ascii="Times New Roman" w:eastAsia="Times New Roman" w:hAnsi="Times New Roman" w:cs="Times New Roman"/>
          <w:sz w:val="24"/>
          <w:szCs w:val="24"/>
          <w:lang w:eastAsia="en-GB"/>
        </w:rPr>
        <w:t xml:space="preserve">), leverage ratios are used to evaluate the company’s debt level. The most important leverage ratios for Jurys Inn include the debt ratio and the debt-to-equity ratio. Debt ratio evaluates the relative amount of company’s assets that are provided from debt while the debt-to-equity ratio computes the weight of total debt and financial liabilities against shareholders’ equity. </w:t>
      </w:r>
    </w:p>
    <w:p w14:paraId="3E6CC2D8" w14:textId="11E6D5A7" w:rsidR="00D867C4" w:rsidRDefault="00D867C4"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Debt ratio = total liabilities/total assets </w:t>
      </w:r>
    </w:p>
    <w:p w14:paraId="5F9F20D6" w14:textId="64EC2A11" w:rsidR="00D867C4" w:rsidRDefault="00D867C4"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FE037A">
        <w:rPr>
          <w:rFonts w:ascii="Times New Roman" w:eastAsia="Times New Roman" w:hAnsi="Times New Roman" w:cs="Times New Roman"/>
          <w:sz w:val="24"/>
          <w:szCs w:val="24"/>
          <w:lang w:eastAsia="en-GB"/>
        </w:rPr>
        <w:t xml:space="preserve">9 </w:t>
      </w:r>
      <w:r>
        <w:rPr>
          <w:rFonts w:ascii="Times New Roman" w:eastAsia="Times New Roman" w:hAnsi="Times New Roman" w:cs="Times New Roman"/>
          <w:sz w:val="24"/>
          <w:szCs w:val="24"/>
          <w:lang w:eastAsia="en-GB"/>
        </w:rPr>
        <w:t>Debt ratio = (855 + 150)/ (1700 + 1839) = 0.28</w:t>
      </w:r>
    </w:p>
    <w:p w14:paraId="0012AA1B" w14:textId="4BFE2221" w:rsidR="00D867C4" w:rsidRDefault="00D867C4"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FE037A">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 xml:space="preserve"> Debt Ratio = (888 + 150)/ (1750+2152) = </w:t>
      </w:r>
      <w:r w:rsidR="000F48E6">
        <w:rPr>
          <w:rFonts w:ascii="Times New Roman" w:eastAsia="Times New Roman" w:hAnsi="Times New Roman" w:cs="Times New Roman"/>
          <w:sz w:val="24"/>
          <w:szCs w:val="24"/>
          <w:lang w:eastAsia="en-GB"/>
        </w:rPr>
        <w:t xml:space="preserve">0.26 </w:t>
      </w:r>
    </w:p>
    <w:p w14:paraId="18A5DFBE" w14:textId="24813FD8" w:rsidR="000F48E6" w:rsidRDefault="000F48E6"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Debt-to-equity ratio = Total liabilities/Capital </w:t>
      </w:r>
    </w:p>
    <w:p w14:paraId="0D7B1325" w14:textId="3E78EFE4" w:rsidR="000F48E6" w:rsidRDefault="000F48E6"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FE037A">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debt-to-equity ratio = 1,005/2100 = </w:t>
      </w:r>
      <w:r w:rsidR="00114E37">
        <w:rPr>
          <w:rFonts w:ascii="Times New Roman" w:eastAsia="Times New Roman" w:hAnsi="Times New Roman" w:cs="Times New Roman"/>
          <w:sz w:val="24"/>
          <w:szCs w:val="24"/>
          <w:lang w:eastAsia="en-GB"/>
        </w:rPr>
        <w:t>0.48</w:t>
      </w:r>
    </w:p>
    <w:p w14:paraId="53D46BA8" w14:textId="47D2C51B" w:rsidR="00114E37" w:rsidRDefault="00114E37"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FE037A">
        <w:rPr>
          <w:rFonts w:ascii="Times New Roman" w:eastAsia="Times New Roman" w:hAnsi="Times New Roman" w:cs="Times New Roman"/>
          <w:sz w:val="24"/>
          <w:szCs w:val="24"/>
          <w:lang w:eastAsia="en-GB"/>
        </w:rPr>
        <w:t xml:space="preserve">20 </w:t>
      </w:r>
      <w:r>
        <w:rPr>
          <w:rFonts w:ascii="Times New Roman" w:eastAsia="Times New Roman" w:hAnsi="Times New Roman" w:cs="Times New Roman"/>
          <w:sz w:val="24"/>
          <w:szCs w:val="24"/>
          <w:lang w:eastAsia="en-GB"/>
        </w:rPr>
        <w:t xml:space="preserve"> debt-to-equity ratio = 1,038/2,700 = 0.38</w:t>
      </w:r>
    </w:p>
    <w:p w14:paraId="2B9D5C4E" w14:textId="19CF6EB1" w:rsidR="002560E1" w:rsidRPr="007D4A48" w:rsidRDefault="007D4A48" w:rsidP="007D4A4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While a leverage ratio of 1 is considered ideal, i</w:t>
      </w:r>
      <w:r w:rsidR="00114E37">
        <w:rPr>
          <w:rFonts w:ascii="Times New Roman" w:eastAsia="Times New Roman" w:hAnsi="Times New Roman" w:cs="Times New Roman"/>
          <w:sz w:val="24"/>
          <w:szCs w:val="24"/>
          <w:lang w:eastAsia="en-GB"/>
        </w:rPr>
        <w:t>t is recommended that a business’ leverage ratio should fall between 0.1 and 1.0</w:t>
      </w:r>
      <w:r>
        <w:rPr>
          <w:rFonts w:ascii="Times New Roman" w:eastAsia="Times New Roman" w:hAnsi="Times New Roman" w:cs="Times New Roman"/>
          <w:sz w:val="24"/>
          <w:szCs w:val="24"/>
          <w:lang w:eastAsia="en-GB"/>
        </w:rPr>
        <w:t xml:space="preserve"> (</w:t>
      </w:r>
      <w:r w:rsidRPr="00187E2C">
        <w:rPr>
          <w:rFonts w:ascii="Times New Roman" w:eastAsia="Times New Roman" w:hAnsi="Times New Roman" w:cs="Times New Roman"/>
          <w:sz w:val="24"/>
          <w:szCs w:val="24"/>
          <w:lang w:eastAsia="en-GB"/>
        </w:rPr>
        <w:t>Atrill, 2017</w:t>
      </w:r>
      <w:r>
        <w:rPr>
          <w:rFonts w:ascii="Times New Roman" w:eastAsia="Times New Roman" w:hAnsi="Times New Roman" w:cs="Times New Roman"/>
          <w:sz w:val="24"/>
          <w:szCs w:val="24"/>
          <w:lang w:eastAsia="en-GB"/>
        </w:rPr>
        <w:t xml:space="preserve">). Both Jurys Inn’s debt ratio and debt-to-equity ratio dropped between 2017 and 2018 but remains within the recommended levels. Therefore, it can be argued that the businesses’ activities are financed more through shareholder equity than through debt financing. </w:t>
      </w:r>
    </w:p>
    <w:p w14:paraId="10F0128E" w14:textId="63257E93" w:rsidR="008C5C40" w:rsidRDefault="008C5C40" w:rsidP="0095036E">
      <w:pPr>
        <w:pStyle w:val="Heading2"/>
        <w:numPr>
          <w:ilvl w:val="0"/>
          <w:numId w:val="4"/>
        </w:numPr>
        <w:rPr>
          <w:rFonts w:eastAsia="Times New Roman"/>
          <w:lang w:eastAsia="en-GB"/>
        </w:rPr>
      </w:pPr>
      <w:r w:rsidRPr="008C5C40">
        <w:rPr>
          <w:rFonts w:eastAsia="Times New Roman"/>
          <w:lang w:eastAsia="en-GB"/>
        </w:rPr>
        <w:t xml:space="preserve">Efficiency </w:t>
      </w:r>
      <w:r w:rsidR="00737906">
        <w:rPr>
          <w:rFonts w:eastAsia="Times New Roman"/>
          <w:lang w:eastAsia="en-GB"/>
        </w:rPr>
        <w:t>R</w:t>
      </w:r>
      <w:r w:rsidRPr="008C5C40">
        <w:rPr>
          <w:rFonts w:eastAsia="Times New Roman"/>
          <w:lang w:eastAsia="en-GB"/>
        </w:rPr>
        <w:t>atios</w:t>
      </w:r>
    </w:p>
    <w:p w14:paraId="505C7AE2" w14:textId="45D63519" w:rsidR="00737906" w:rsidRDefault="00737906"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Efficiency ratios are often used to analyse how well the company makes use of its assets and liabilities internally. According to Atrill (2017) an efficiency ratio can compute the turnover receivables, the quantity and usage of equity, the repayment of liabilities and the general use of inventory and machinery. Asset turnover ratio</w:t>
      </w:r>
      <w:r w:rsidR="00AF7864">
        <w:rPr>
          <w:rFonts w:ascii="Times New Roman" w:eastAsia="Times New Roman" w:hAnsi="Times New Roman" w:cs="Times New Roman"/>
          <w:sz w:val="24"/>
          <w:szCs w:val="24"/>
          <w:lang w:eastAsia="en-GB"/>
        </w:rPr>
        <w:t xml:space="preserve"> and </w:t>
      </w:r>
      <w:r>
        <w:rPr>
          <w:rFonts w:ascii="Times New Roman" w:eastAsia="Times New Roman" w:hAnsi="Times New Roman" w:cs="Times New Roman"/>
          <w:sz w:val="24"/>
          <w:szCs w:val="24"/>
          <w:lang w:eastAsia="en-GB"/>
        </w:rPr>
        <w:t>inventory turnover ratio</w:t>
      </w:r>
      <w:r w:rsidR="00AF7864">
        <w:rPr>
          <w:rFonts w:ascii="Times New Roman" w:eastAsia="Times New Roman" w:hAnsi="Times New Roman" w:cs="Times New Roman"/>
          <w:sz w:val="24"/>
          <w:szCs w:val="24"/>
          <w:lang w:eastAsia="en-GB"/>
        </w:rPr>
        <w:t xml:space="preserve"> rare the two important efficiency ratios for Jurys Inn</w:t>
      </w:r>
      <w:r>
        <w:rPr>
          <w:rFonts w:ascii="Times New Roman" w:eastAsia="Times New Roman" w:hAnsi="Times New Roman" w:cs="Times New Roman"/>
          <w:sz w:val="24"/>
          <w:szCs w:val="24"/>
          <w:lang w:eastAsia="en-GB"/>
        </w:rPr>
        <w:t xml:space="preserve">. </w:t>
      </w:r>
    </w:p>
    <w:p w14:paraId="17DA25F3" w14:textId="48DAB987" w:rsidR="00737906" w:rsidRDefault="005815E9"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Asset turnover ratio = </w:t>
      </w:r>
      <w:r w:rsidR="00C45901">
        <w:rPr>
          <w:rFonts w:ascii="Times New Roman" w:eastAsia="Times New Roman" w:hAnsi="Times New Roman" w:cs="Times New Roman"/>
          <w:sz w:val="24"/>
          <w:szCs w:val="24"/>
          <w:lang w:eastAsia="en-GB"/>
        </w:rPr>
        <w:t xml:space="preserve">Net Sales/Average Total Assets </w:t>
      </w:r>
    </w:p>
    <w:p w14:paraId="0A0C4846" w14:textId="03C38786" w:rsidR="00C45901" w:rsidRDefault="00C45901"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610B7F">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Asset turnover ratio = 9000/ (1700 + 1839) = 2.54</w:t>
      </w:r>
    </w:p>
    <w:p w14:paraId="242A6168" w14:textId="166A353E" w:rsidR="00C45901" w:rsidRDefault="00C45901"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610B7F">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Asset turnover ratio = 9,500/ (1750 + 2152) = 2.43</w:t>
      </w:r>
    </w:p>
    <w:p w14:paraId="1D7640E7" w14:textId="18E13679" w:rsidR="00C45901" w:rsidRDefault="00C45901"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Inventory turnover ratio = Cost of Goods Sold/ Average Inventory </w:t>
      </w:r>
    </w:p>
    <w:p w14:paraId="12F36F3D" w14:textId="42907CB1" w:rsidR="00C45901" w:rsidRDefault="00C45901"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610B7F">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Inventory Turnover ratio = 7,600/700 = 10.86</w:t>
      </w:r>
    </w:p>
    <w:p w14:paraId="31CF5189" w14:textId="7363A5AB" w:rsidR="00C45901" w:rsidRDefault="00C45901" w:rsidP="008C5C4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610B7F">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 xml:space="preserve">Inventory Turnover ratio = </w:t>
      </w:r>
      <w:r w:rsidR="00AF7864">
        <w:rPr>
          <w:rFonts w:ascii="Times New Roman" w:eastAsia="Times New Roman" w:hAnsi="Times New Roman" w:cs="Times New Roman"/>
          <w:sz w:val="24"/>
          <w:szCs w:val="24"/>
          <w:lang w:eastAsia="en-GB"/>
        </w:rPr>
        <w:t>8,400/750 = 11.20</w:t>
      </w:r>
    </w:p>
    <w:p w14:paraId="4063DF9B" w14:textId="663DA655" w:rsidR="0095036E" w:rsidRDefault="00D26E1A"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 asset turnover ratio of 2.5 is considered ideal while an inventory turnover ratio of between 5 and 10 is considered ideal (Drury, 2013). </w:t>
      </w:r>
      <w:r w:rsidR="0095036E">
        <w:rPr>
          <w:rFonts w:ascii="Times New Roman" w:eastAsia="Times New Roman" w:hAnsi="Times New Roman" w:cs="Times New Roman"/>
          <w:sz w:val="24"/>
          <w:szCs w:val="24"/>
          <w:lang w:eastAsia="en-GB"/>
        </w:rPr>
        <w:t>Jurys Inn’s asset turnover ratio drops from the ideal 2.54 in 201</w:t>
      </w:r>
      <w:r w:rsidR="00F27AA8">
        <w:rPr>
          <w:rFonts w:ascii="Times New Roman" w:eastAsia="Times New Roman" w:hAnsi="Times New Roman" w:cs="Times New Roman"/>
          <w:sz w:val="24"/>
          <w:szCs w:val="24"/>
          <w:lang w:eastAsia="en-GB"/>
        </w:rPr>
        <w:t>9</w:t>
      </w:r>
      <w:r w:rsidR="0095036E">
        <w:rPr>
          <w:rFonts w:ascii="Times New Roman" w:eastAsia="Times New Roman" w:hAnsi="Times New Roman" w:cs="Times New Roman"/>
          <w:sz w:val="24"/>
          <w:szCs w:val="24"/>
          <w:lang w:eastAsia="en-GB"/>
        </w:rPr>
        <w:t xml:space="preserve"> to 2.43 in 20</w:t>
      </w:r>
      <w:r w:rsidR="00F27AA8">
        <w:rPr>
          <w:rFonts w:ascii="Times New Roman" w:eastAsia="Times New Roman" w:hAnsi="Times New Roman" w:cs="Times New Roman"/>
          <w:sz w:val="24"/>
          <w:szCs w:val="24"/>
          <w:lang w:eastAsia="en-GB"/>
        </w:rPr>
        <w:t xml:space="preserve">20 </w:t>
      </w:r>
      <w:r w:rsidR="0095036E">
        <w:rPr>
          <w:rFonts w:ascii="Times New Roman" w:eastAsia="Times New Roman" w:hAnsi="Times New Roman" w:cs="Times New Roman"/>
          <w:sz w:val="24"/>
          <w:szCs w:val="24"/>
          <w:lang w:eastAsia="en-GB"/>
        </w:rPr>
        <w:t xml:space="preserve">but this performance is still within the acceptable levels. However, the company’s inventory turnover improves from 10.86 to 11.20 within the same timeline. This shows that the company is effectively generating sales from its assets and selling the inventory over 10 times within the period under consideration. </w:t>
      </w:r>
    </w:p>
    <w:p w14:paraId="2BFC6B9E" w14:textId="16240BF8" w:rsidR="008C5C40" w:rsidRDefault="008C5C40" w:rsidP="00EA11BE">
      <w:pPr>
        <w:pStyle w:val="Heading2"/>
        <w:numPr>
          <w:ilvl w:val="0"/>
          <w:numId w:val="4"/>
        </w:numPr>
        <w:rPr>
          <w:rFonts w:eastAsia="Times New Roman"/>
          <w:lang w:eastAsia="en-GB"/>
        </w:rPr>
      </w:pPr>
      <w:r w:rsidRPr="008C5C40">
        <w:rPr>
          <w:rFonts w:eastAsia="Times New Roman"/>
          <w:lang w:eastAsia="en-GB"/>
        </w:rPr>
        <w:t xml:space="preserve">Profitability </w:t>
      </w:r>
      <w:r w:rsidR="0095036E">
        <w:rPr>
          <w:rFonts w:eastAsia="Times New Roman"/>
          <w:lang w:eastAsia="en-GB"/>
        </w:rPr>
        <w:t>R</w:t>
      </w:r>
      <w:r w:rsidRPr="008C5C40">
        <w:rPr>
          <w:rFonts w:eastAsia="Times New Roman"/>
          <w:lang w:eastAsia="en-GB"/>
        </w:rPr>
        <w:t>atios</w:t>
      </w:r>
    </w:p>
    <w:p w14:paraId="2C70B3AC" w14:textId="6A46595B" w:rsidR="00037AD7" w:rsidRDefault="0095036E"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Profitability ratios evaluates a firm’s ability to engender income relative to revenue</w:t>
      </w:r>
      <w:r w:rsidR="00037AD7">
        <w:rPr>
          <w:rFonts w:ascii="Times New Roman" w:eastAsia="Times New Roman" w:hAnsi="Times New Roman" w:cs="Times New Roman"/>
          <w:sz w:val="24"/>
          <w:szCs w:val="24"/>
          <w:lang w:eastAsia="en-GB"/>
        </w:rPr>
        <w:t>, operating costs, balance sheet assets and equity. Some of the most important profitability ratios for Jurys Inn include the gross margin ratio, return on assets and return on equity. The gross margin ratio compares the company’s gross profit to its net sales to demonstrate how much profit a firm makes after paying its costs of goods sold (</w:t>
      </w:r>
      <w:r w:rsidR="00037AD7" w:rsidRPr="00187E2C">
        <w:rPr>
          <w:rFonts w:ascii="Times New Roman" w:eastAsia="Times New Roman" w:hAnsi="Times New Roman" w:cs="Times New Roman"/>
          <w:sz w:val="24"/>
          <w:szCs w:val="24"/>
          <w:lang w:eastAsia="en-GB"/>
        </w:rPr>
        <w:t>McLaney</w:t>
      </w:r>
      <w:r w:rsidR="00037AD7">
        <w:rPr>
          <w:rFonts w:ascii="Times New Roman" w:eastAsia="Times New Roman" w:hAnsi="Times New Roman" w:cs="Times New Roman"/>
          <w:sz w:val="24"/>
          <w:szCs w:val="24"/>
          <w:lang w:eastAsia="en-GB"/>
        </w:rPr>
        <w:t xml:space="preserve"> &amp; </w:t>
      </w:r>
      <w:r w:rsidR="00037AD7" w:rsidRPr="00187E2C">
        <w:rPr>
          <w:rFonts w:ascii="Times New Roman" w:eastAsia="Times New Roman" w:hAnsi="Times New Roman" w:cs="Times New Roman"/>
          <w:sz w:val="24"/>
          <w:szCs w:val="24"/>
          <w:lang w:eastAsia="en-GB"/>
        </w:rPr>
        <w:t>Atrill, 2016</w:t>
      </w:r>
      <w:r w:rsidR="00037AD7">
        <w:rPr>
          <w:rFonts w:ascii="Times New Roman" w:eastAsia="Times New Roman" w:hAnsi="Times New Roman" w:cs="Times New Roman"/>
          <w:sz w:val="24"/>
          <w:szCs w:val="24"/>
          <w:lang w:eastAsia="en-GB"/>
        </w:rPr>
        <w:t xml:space="preserve">). Return on assets on the other hand evaluates how efficiently the firm is making use of assets to engender profit while the return on equity assesses how efficiently a firm uses its equity to engender profit (Atrill, 2017). </w:t>
      </w:r>
    </w:p>
    <w:p w14:paraId="10C98176" w14:textId="6DEB9981" w:rsidR="00037AD7" w:rsidRDefault="00037AD7"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Gross profit margin = Gross profit/Net sales </w:t>
      </w:r>
    </w:p>
    <w:p w14:paraId="026CED71" w14:textId="65B29414" w:rsidR="00037AD7" w:rsidRDefault="00037AD7"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F27AA8">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Gross profit margin = </w:t>
      </w:r>
      <w:r w:rsidR="002F7FF5">
        <w:rPr>
          <w:rFonts w:ascii="Times New Roman" w:eastAsia="Times New Roman" w:hAnsi="Times New Roman" w:cs="Times New Roman"/>
          <w:sz w:val="24"/>
          <w:szCs w:val="24"/>
          <w:lang w:eastAsia="en-GB"/>
        </w:rPr>
        <w:t>(7,600</w:t>
      </w:r>
      <w:r w:rsidR="000E35F2">
        <w:rPr>
          <w:rFonts w:ascii="Times New Roman" w:eastAsia="Times New Roman" w:hAnsi="Times New Roman" w:cs="Times New Roman"/>
          <w:sz w:val="24"/>
          <w:szCs w:val="24"/>
          <w:lang w:eastAsia="en-GB"/>
        </w:rPr>
        <w:t>/</w:t>
      </w:r>
      <w:r w:rsidR="002F7FF5">
        <w:rPr>
          <w:rFonts w:ascii="Times New Roman" w:eastAsia="Times New Roman" w:hAnsi="Times New Roman" w:cs="Times New Roman"/>
          <w:sz w:val="24"/>
          <w:szCs w:val="24"/>
          <w:lang w:eastAsia="en-GB"/>
        </w:rPr>
        <w:t>9,00</w:t>
      </w:r>
      <w:r w:rsidR="000E35F2">
        <w:rPr>
          <w:rFonts w:ascii="Times New Roman" w:eastAsia="Times New Roman" w:hAnsi="Times New Roman" w:cs="Times New Roman"/>
          <w:sz w:val="24"/>
          <w:szCs w:val="24"/>
          <w:lang w:eastAsia="en-GB"/>
        </w:rPr>
        <w:t>0</w:t>
      </w:r>
      <w:r w:rsidR="002F7FF5">
        <w:rPr>
          <w:rFonts w:ascii="Times New Roman" w:eastAsia="Times New Roman" w:hAnsi="Times New Roman" w:cs="Times New Roman"/>
          <w:sz w:val="24"/>
          <w:szCs w:val="24"/>
          <w:lang w:eastAsia="en-GB"/>
        </w:rPr>
        <w:t>) x 100</w:t>
      </w:r>
      <w:r w:rsidR="000E35F2">
        <w:rPr>
          <w:rFonts w:ascii="Times New Roman" w:eastAsia="Times New Roman" w:hAnsi="Times New Roman" w:cs="Times New Roman"/>
          <w:sz w:val="24"/>
          <w:szCs w:val="24"/>
          <w:lang w:eastAsia="en-GB"/>
        </w:rPr>
        <w:t xml:space="preserve"> = </w:t>
      </w:r>
      <w:r w:rsidR="002F7FF5">
        <w:rPr>
          <w:rFonts w:ascii="Times New Roman" w:eastAsia="Times New Roman" w:hAnsi="Times New Roman" w:cs="Times New Roman"/>
          <w:sz w:val="24"/>
          <w:szCs w:val="24"/>
          <w:lang w:eastAsia="en-GB"/>
        </w:rPr>
        <w:t>84.4%</w:t>
      </w:r>
    </w:p>
    <w:p w14:paraId="06113679" w14:textId="34505165" w:rsidR="000E35F2" w:rsidRDefault="000E35F2"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F27AA8">
        <w:rPr>
          <w:rFonts w:ascii="Times New Roman" w:eastAsia="Times New Roman" w:hAnsi="Times New Roman" w:cs="Times New Roman"/>
          <w:sz w:val="24"/>
          <w:szCs w:val="24"/>
          <w:lang w:eastAsia="en-GB"/>
        </w:rPr>
        <w:t xml:space="preserve">20 </w:t>
      </w:r>
      <w:r>
        <w:rPr>
          <w:rFonts w:ascii="Times New Roman" w:eastAsia="Times New Roman" w:hAnsi="Times New Roman" w:cs="Times New Roman"/>
          <w:sz w:val="24"/>
          <w:szCs w:val="24"/>
          <w:lang w:eastAsia="en-GB"/>
        </w:rPr>
        <w:t xml:space="preserve">Gross profit margin = </w:t>
      </w:r>
      <w:r w:rsidR="002F7FF5">
        <w:rPr>
          <w:rFonts w:ascii="Times New Roman" w:eastAsia="Times New Roman" w:hAnsi="Times New Roman" w:cs="Times New Roman"/>
          <w:sz w:val="24"/>
          <w:szCs w:val="24"/>
          <w:lang w:eastAsia="en-GB"/>
        </w:rPr>
        <w:t>8,400</w:t>
      </w:r>
      <w:r>
        <w:rPr>
          <w:rFonts w:ascii="Times New Roman" w:eastAsia="Times New Roman" w:hAnsi="Times New Roman" w:cs="Times New Roman"/>
          <w:sz w:val="24"/>
          <w:szCs w:val="24"/>
          <w:lang w:eastAsia="en-GB"/>
        </w:rPr>
        <w:t>/</w:t>
      </w:r>
      <w:r w:rsidR="002F7FF5">
        <w:rPr>
          <w:rFonts w:ascii="Times New Roman" w:eastAsia="Times New Roman" w:hAnsi="Times New Roman" w:cs="Times New Roman"/>
          <w:sz w:val="24"/>
          <w:szCs w:val="24"/>
          <w:lang w:eastAsia="en-GB"/>
        </w:rPr>
        <w:t>9,5</w:t>
      </w:r>
      <w:r>
        <w:rPr>
          <w:rFonts w:ascii="Times New Roman" w:eastAsia="Times New Roman" w:hAnsi="Times New Roman" w:cs="Times New Roman"/>
          <w:sz w:val="24"/>
          <w:szCs w:val="24"/>
          <w:lang w:eastAsia="en-GB"/>
        </w:rPr>
        <w:t xml:space="preserve">00 = </w:t>
      </w:r>
      <w:r w:rsidR="002F7FF5">
        <w:rPr>
          <w:rFonts w:ascii="Times New Roman" w:eastAsia="Times New Roman" w:hAnsi="Times New Roman" w:cs="Times New Roman"/>
          <w:sz w:val="24"/>
          <w:szCs w:val="24"/>
          <w:lang w:eastAsia="en-GB"/>
        </w:rPr>
        <w:t>88.4%</w:t>
      </w:r>
    </w:p>
    <w:p w14:paraId="227A356B" w14:textId="51AFC823" w:rsidR="000E35F2" w:rsidRDefault="000E35F2"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Return on Assets Ratio = Net Income/</w:t>
      </w:r>
      <w:r w:rsidR="00235288">
        <w:rPr>
          <w:rFonts w:ascii="Times New Roman" w:eastAsia="Times New Roman" w:hAnsi="Times New Roman" w:cs="Times New Roman"/>
          <w:sz w:val="24"/>
          <w:szCs w:val="24"/>
          <w:lang w:eastAsia="en-GB"/>
        </w:rPr>
        <w:t xml:space="preserve">Total Assets </w:t>
      </w:r>
    </w:p>
    <w:p w14:paraId="5F9DBD1B" w14:textId="693CFBD4" w:rsidR="00235288" w:rsidRDefault="00235288"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F27AA8">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Return on Assets Ratio = </w:t>
      </w:r>
      <w:r w:rsidR="00CB4193">
        <w:rPr>
          <w:rFonts w:ascii="Times New Roman" w:eastAsia="Times New Roman" w:hAnsi="Times New Roman" w:cs="Times New Roman"/>
          <w:sz w:val="24"/>
          <w:szCs w:val="24"/>
          <w:lang w:eastAsia="en-GB"/>
        </w:rPr>
        <w:t>{623</w:t>
      </w:r>
      <w:r>
        <w:rPr>
          <w:rFonts w:ascii="Times New Roman" w:eastAsia="Times New Roman" w:hAnsi="Times New Roman" w:cs="Times New Roman"/>
          <w:sz w:val="24"/>
          <w:szCs w:val="24"/>
          <w:lang w:eastAsia="en-GB"/>
        </w:rPr>
        <w:t>/ (1,700 + 1,839)</w:t>
      </w:r>
      <w:r w:rsidR="00CB4193">
        <w:rPr>
          <w:rFonts w:ascii="Times New Roman" w:eastAsia="Times New Roman" w:hAnsi="Times New Roman" w:cs="Times New Roman"/>
          <w:sz w:val="24"/>
          <w:szCs w:val="24"/>
          <w:lang w:eastAsia="en-GB"/>
        </w:rPr>
        <w:t>} x 100% =</w:t>
      </w:r>
      <w:r>
        <w:rPr>
          <w:rFonts w:ascii="Times New Roman" w:eastAsia="Times New Roman" w:hAnsi="Times New Roman" w:cs="Times New Roman"/>
          <w:sz w:val="24"/>
          <w:szCs w:val="24"/>
          <w:lang w:eastAsia="en-GB"/>
        </w:rPr>
        <w:t xml:space="preserve"> </w:t>
      </w:r>
      <w:r w:rsidR="00CB4193">
        <w:rPr>
          <w:rFonts w:ascii="Times New Roman" w:eastAsia="Times New Roman" w:hAnsi="Times New Roman" w:cs="Times New Roman"/>
          <w:sz w:val="24"/>
          <w:szCs w:val="24"/>
          <w:lang w:eastAsia="en-GB"/>
        </w:rPr>
        <w:t>17.6%</w:t>
      </w:r>
    </w:p>
    <w:p w14:paraId="2121EDC9" w14:textId="716A359C" w:rsidR="00235288" w:rsidRDefault="00235288"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7B6118">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 xml:space="preserve"> Return on Assets Ratio = </w:t>
      </w:r>
      <w:r w:rsidR="00CB4193">
        <w:rPr>
          <w:rFonts w:ascii="Times New Roman" w:eastAsia="Times New Roman" w:hAnsi="Times New Roman" w:cs="Times New Roman"/>
          <w:sz w:val="24"/>
          <w:szCs w:val="24"/>
          <w:lang w:eastAsia="en-GB"/>
        </w:rPr>
        <w:t>307</w:t>
      </w:r>
      <w:r>
        <w:rPr>
          <w:rFonts w:ascii="Times New Roman" w:eastAsia="Times New Roman" w:hAnsi="Times New Roman" w:cs="Times New Roman"/>
          <w:sz w:val="24"/>
          <w:szCs w:val="24"/>
          <w:lang w:eastAsia="en-GB"/>
        </w:rPr>
        <w:t xml:space="preserve">/ (1,750 + 2,152) = </w:t>
      </w:r>
      <w:r w:rsidR="00CB4193">
        <w:rPr>
          <w:rFonts w:ascii="Times New Roman" w:eastAsia="Times New Roman" w:hAnsi="Times New Roman" w:cs="Times New Roman"/>
          <w:sz w:val="24"/>
          <w:szCs w:val="24"/>
          <w:lang w:eastAsia="en-GB"/>
        </w:rPr>
        <w:t>7.9%</w:t>
      </w:r>
      <w:r>
        <w:rPr>
          <w:rFonts w:ascii="Times New Roman" w:eastAsia="Times New Roman" w:hAnsi="Times New Roman" w:cs="Times New Roman"/>
          <w:sz w:val="24"/>
          <w:szCs w:val="24"/>
          <w:lang w:eastAsia="en-GB"/>
        </w:rPr>
        <w:t xml:space="preserve"> </w:t>
      </w:r>
    </w:p>
    <w:p w14:paraId="7E05D702" w14:textId="4E622C86" w:rsidR="00235288" w:rsidRDefault="00235288"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Return on Equity Ratio = </w:t>
      </w:r>
      <w:r w:rsidR="002F7FF5">
        <w:rPr>
          <w:rFonts w:ascii="Times New Roman" w:eastAsia="Times New Roman" w:hAnsi="Times New Roman" w:cs="Times New Roman"/>
          <w:sz w:val="24"/>
          <w:szCs w:val="24"/>
          <w:lang w:eastAsia="en-GB"/>
        </w:rPr>
        <w:t xml:space="preserve">Net Income/Shareholders’ Equity </w:t>
      </w:r>
    </w:p>
    <w:p w14:paraId="2752FE9A" w14:textId="59D4520A" w:rsidR="002F7FF5" w:rsidRDefault="002F7FF5"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201</w:t>
      </w:r>
      <w:r w:rsidR="007B6118">
        <w:rPr>
          <w:rFonts w:ascii="Times New Roman" w:eastAsia="Times New Roman" w:hAnsi="Times New Roman" w:cs="Times New Roman"/>
          <w:sz w:val="24"/>
          <w:szCs w:val="24"/>
          <w:lang w:eastAsia="en-GB"/>
        </w:rPr>
        <w:t>9</w:t>
      </w:r>
      <w:r>
        <w:rPr>
          <w:rFonts w:ascii="Times New Roman" w:eastAsia="Times New Roman" w:hAnsi="Times New Roman" w:cs="Times New Roman"/>
          <w:sz w:val="24"/>
          <w:szCs w:val="24"/>
          <w:lang w:eastAsia="en-GB"/>
        </w:rPr>
        <w:t xml:space="preserve"> Return on Equity Ratio = </w:t>
      </w:r>
      <w:r w:rsidR="00CB4193">
        <w:rPr>
          <w:rFonts w:ascii="Times New Roman" w:eastAsia="Times New Roman" w:hAnsi="Times New Roman" w:cs="Times New Roman"/>
          <w:sz w:val="24"/>
          <w:szCs w:val="24"/>
          <w:lang w:eastAsia="en-GB"/>
        </w:rPr>
        <w:t>(623</w:t>
      </w:r>
      <w:r>
        <w:rPr>
          <w:rFonts w:ascii="Times New Roman" w:eastAsia="Times New Roman" w:hAnsi="Times New Roman" w:cs="Times New Roman"/>
          <w:sz w:val="24"/>
          <w:szCs w:val="24"/>
          <w:lang w:eastAsia="en-GB"/>
        </w:rPr>
        <w:t>/2,100</w:t>
      </w:r>
      <w:r w:rsidR="00CB4193">
        <w:rPr>
          <w:rFonts w:ascii="Times New Roman" w:eastAsia="Times New Roman" w:hAnsi="Times New Roman" w:cs="Times New Roman"/>
          <w:sz w:val="24"/>
          <w:szCs w:val="24"/>
          <w:lang w:eastAsia="en-GB"/>
        </w:rPr>
        <w:t>) x 100%</w:t>
      </w:r>
      <w:r>
        <w:rPr>
          <w:rFonts w:ascii="Times New Roman" w:eastAsia="Times New Roman" w:hAnsi="Times New Roman" w:cs="Times New Roman"/>
          <w:sz w:val="24"/>
          <w:szCs w:val="24"/>
          <w:lang w:eastAsia="en-GB"/>
        </w:rPr>
        <w:t xml:space="preserve"> = </w:t>
      </w:r>
      <w:r w:rsidR="00CB4193">
        <w:rPr>
          <w:rFonts w:ascii="Times New Roman" w:eastAsia="Times New Roman" w:hAnsi="Times New Roman" w:cs="Times New Roman"/>
          <w:sz w:val="24"/>
          <w:szCs w:val="24"/>
          <w:lang w:eastAsia="en-GB"/>
        </w:rPr>
        <w:t>29.7%</w:t>
      </w:r>
      <w:r>
        <w:rPr>
          <w:rFonts w:ascii="Times New Roman" w:eastAsia="Times New Roman" w:hAnsi="Times New Roman" w:cs="Times New Roman"/>
          <w:sz w:val="24"/>
          <w:szCs w:val="24"/>
          <w:lang w:eastAsia="en-GB"/>
        </w:rPr>
        <w:t xml:space="preserve"> </w:t>
      </w:r>
    </w:p>
    <w:p w14:paraId="7F367897" w14:textId="314D46DD" w:rsidR="002F7FF5" w:rsidRDefault="002F7FF5" w:rsidP="009503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7B6118">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 xml:space="preserve"> Return on Equity Ratio = </w:t>
      </w:r>
      <w:r w:rsidR="00EA11BE">
        <w:rPr>
          <w:rFonts w:ascii="Times New Roman" w:eastAsia="Times New Roman" w:hAnsi="Times New Roman" w:cs="Times New Roman"/>
          <w:sz w:val="24"/>
          <w:szCs w:val="24"/>
          <w:lang w:eastAsia="en-GB"/>
        </w:rPr>
        <w:t>(307</w:t>
      </w:r>
      <w:r>
        <w:rPr>
          <w:rFonts w:ascii="Times New Roman" w:eastAsia="Times New Roman" w:hAnsi="Times New Roman" w:cs="Times New Roman"/>
          <w:sz w:val="24"/>
          <w:szCs w:val="24"/>
          <w:lang w:eastAsia="en-GB"/>
        </w:rPr>
        <w:t>/2,700</w:t>
      </w:r>
      <w:r w:rsidR="00EA11BE">
        <w:rPr>
          <w:rFonts w:ascii="Times New Roman" w:eastAsia="Times New Roman" w:hAnsi="Times New Roman" w:cs="Times New Roman"/>
          <w:sz w:val="24"/>
          <w:szCs w:val="24"/>
          <w:lang w:eastAsia="en-GB"/>
        </w:rPr>
        <w:t>) x 100%</w:t>
      </w:r>
      <w:r>
        <w:rPr>
          <w:rFonts w:ascii="Times New Roman" w:eastAsia="Times New Roman" w:hAnsi="Times New Roman" w:cs="Times New Roman"/>
          <w:sz w:val="24"/>
          <w:szCs w:val="24"/>
          <w:lang w:eastAsia="en-GB"/>
        </w:rPr>
        <w:t xml:space="preserve"> = </w:t>
      </w:r>
      <w:r w:rsidR="00EA11BE">
        <w:rPr>
          <w:rFonts w:ascii="Times New Roman" w:eastAsia="Times New Roman" w:hAnsi="Times New Roman" w:cs="Times New Roman"/>
          <w:sz w:val="24"/>
          <w:szCs w:val="24"/>
          <w:lang w:eastAsia="en-GB"/>
        </w:rPr>
        <w:t>11.4%</w:t>
      </w:r>
    </w:p>
    <w:p w14:paraId="551B2CAA" w14:textId="47118F86" w:rsidR="00EA11BE" w:rsidRDefault="002F7FF5" w:rsidP="00EA11B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gross profit margin of </w:t>
      </w:r>
      <w:r w:rsidR="0042359A">
        <w:rPr>
          <w:rFonts w:ascii="Times New Roman" w:eastAsia="Times New Roman" w:hAnsi="Times New Roman" w:cs="Times New Roman"/>
          <w:sz w:val="24"/>
          <w:szCs w:val="24"/>
          <w:lang w:eastAsia="en-GB"/>
        </w:rPr>
        <w:t>over</w:t>
      </w:r>
      <w:r>
        <w:rPr>
          <w:rFonts w:ascii="Times New Roman" w:eastAsia="Times New Roman" w:hAnsi="Times New Roman" w:cs="Times New Roman"/>
          <w:sz w:val="24"/>
          <w:szCs w:val="24"/>
          <w:lang w:eastAsia="en-GB"/>
        </w:rPr>
        <w:t xml:space="preserve"> 50% is considered ideal (Atrill, 2017). </w:t>
      </w:r>
      <w:r w:rsidR="0042359A">
        <w:rPr>
          <w:rFonts w:ascii="Times New Roman" w:eastAsia="Times New Roman" w:hAnsi="Times New Roman" w:cs="Times New Roman"/>
          <w:sz w:val="24"/>
          <w:szCs w:val="24"/>
          <w:lang w:eastAsia="en-GB"/>
        </w:rPr>
        <w:t>Jurys Inn’s gross profit margin ratio grew from 84.4% in 201</w:t>
      </w:r>
      <w:r w:rsidR="00C505AC">
        <w:rPr>
          <w:rFonts w:ascii="Times New Roman" w:eastAsia="Times New Roman" w:hAnsi="Times New Roman" w:cs="Times New Roman"/>
          <w:sz w:val="24"/>
          <w:szCs w:val="24"/>
          <w:lang w:eastAsia="en-GB"/>
        </w:rPr>
        <w:t>9</w:t>
      </w:r>
      <w:r w:rsidR="0042359A">
        <w:rPr>
          <w:rFonts w:ascii="Times New Roman" w:eastAsia="Times New Roman" w:hAnsi="Times New Roman" w:cs="Times New Roman"/>
          <w:sz w:val="24"/>
          <w:szCs w:val="24"/>
          <w:lang w:eastAsia="en-GB"/>
        </w:rPr>
        <w:t xml:space="preserve"> to 88.4% in 20</w:t>
      </w:r>
      <w:r w:rsidR="00C505AC">
        <w:rPr>
          <w:rFonts w:ascii="Times New Roman" w:eastAsia="Times New Roman" w:hAnsi="Times New Roman" w:cs="Times New Roman"/>
          <w:sz w:val="24"/>
          <w:szCs w:val="24"/>
          <w:lang w:eastAsia="en-GB"/>
        </w:rPr>
        <w:t xml:space="preserve">20 </w:t>
      </w:r>
      <w:r w:rsidR="0042359A">
        <w:rPr>
          <w:rFonts w:ascii="Times New Roman" w:eastAsia="Times New Roman" w:hAnsi="Times New Roman" w:cs="Times New Roman"/>
          <w:sz w:val="24"/>
          <w:szCs w:val="24"/>
          <w:lang w:eastAsia="en-GB"/>
        </w:rPr>
        <w:t xml:space="preserve">to indicate the management’s effectiveness at generating revenue based on labour and other costs involved in the business. </w:t>
      </w:r>
      <w:r w:rsidR="00CB4193">
        <w:rPr>
          <w:rFonts w:ascii="Times New Roman" w:eastAsia="Times New Roman" w:hAnsi="Times New Roman" w:cs="Times New Roman"/>
          <w:sz w:val="24"/>
          <w:szCs w:val="24"/>
          <w:lang w:eastAsia="en-GB"/>
        </w:rPr>
        <w:t xml:space="preserve">According to Drury (2013), an ROA of 5% or better is typically considered good while 20% or better is considered great. The company’s ROA drops significantly from 17.6% to 7.9% within a year indicating challenges within the way the company manages to use its assets to generate profits. However, it is important for this to be analysed in context with the prevailing industry conditions. </w:t>
      </w:r>
      <w:r w:rsidR="00EA11BE">
        <w:rPr>
          <w:rFonts w:ascii="Times New Roman" w:eastAsia="Times New Roman" w:hAnsi="Times New Roman" w:cs="Times New Roman"/>
          <w:sz w:val="24"/>
          <w:szCs w:val="24"/>
          <w:lang w:eastAsia="en-GB"/>
        </w:rPr>
        <w:t xml:space="preserve">An ROE of between 15% and 20% is considered ideal (Atrill, 2017). Jurys Inn’s ROE drops from 29.7% to 11.4% within the year. This means that the company is not effectively making use of shareholders’ equity to engender profits. Generally, the company’s profitability ratios show that the company is experiencing challenges making use of its assets and equity to generate profits. </w:t>
      </w:r>
    </w:p>
    <w:p w14:paraId="68892D33" w14:textId="763780B4" w:rsidR="00EA11BE" w:rsidRDefault="00EA11BE" w:rsidP="00C512A9">
      <w:pPr>
        <w:pStyle w:val="Heading1"/>
        <w:rPr>
          <w:rFonts w:eastAsia="Times New Roman"/>
          <w:lang w:eastAsia="en-GB"/>
        </w:rPr>
      </w:pPr>
      <w:r>
        <w:rPr>
          <w:rFonts w:eastAsia="Times New Roman"/>
          <w:lang w:eastAsia="en-GB"/>
        </w:rPr>
        <w:t>Importance of Understanding of Ratios and their Fluctuations for Hotel Management</w:t>
      </w:r>
    </w:p>
    <w:p w14:paraId="04959C94" w14:textId="7DC5990D" w:rsidR="005C2274" w:rsidRDefault="005C2274" w:rsidP="00EA11B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Financial ratios are considered an important indicator of the financial performance of a firm and therefore developing an understanding of how they are computed and their fluctuations is important for hotel management in a number of ways. </w:t>
      </w:r>
      <w:r w:rsidR="00A55138">
        <w:rPr>
          <w:rFonts w:ascii="Times New Roman" w:eastAsia="Times New Roman" w:hAnsi="Times New Roman" w:cs="Times New Roman"/>
          <w:sz w:val="24"/>
          <w:szCs w:val="24"/>
          <w:lang w:eastAsia="en-GB"/>
        </w:rPr>
        <w:t>First, an analysis of the profitability ratios can help the hotel management understand how profitable the establishment is and unearth underlying issues that could be resulting into fluctuations in the company’s profitability</w:t>
      </w:r>
      <w:r w:rsidR="00510E60">
        <w:rPr>
          <w:rFonts w:ascii="Times New Roman" w:eastAsia="Times New Roman" w:hAnsi="Times New Roman" w:cs="Times New Roman"/>
          <w:sz w:val="24"/>
          <w:szCs w:val="24"/>
          <w:lang w:eastAsia="en-GB"/>
        </w:rPr>
        <w:t xml:space="preserve"> (</w:t>
      </w:r>
      <w:r w:rsidR="00510E60" w:rsidRPr="00F11963">
        <w:rPr>
          <w:rFonts w:ascii="Times New Roman" w:eastAsia="Times New Roman" w:hAnsi="Times New Roman" w:cs="Times New Roman"/>
          <w:sz w:val="24"/>
          <w:szCs w:val="24"/>
          <w:lang w:eastAsia="en-GB"/>
        </w:rPr>
        <w:t>Hales, 2006</w:t>
      </w:r>
      <w:r w:rsidR="00510E60">
        <w:rPr>
          <w:rFonts w:ascii="Times New Roman" w:eastAsia="Times New Roman" w:hAnsi="Times New Roman" w:cs="Times New Roman"/>
          <w:sz w:val="24"/>
          <w:szCs w:val="24"/>
          <w:lang w:eastAsia="en-GB"/>
        </w:rPr>
        <w:t xml:space="preserve">). For instance, the drop in Jurys Inn’s ROA and ROE figures between 2017 and 2018 indicate that the company’s management is having challenges making use of the company’s assets and shareholders’ equity to generate profit. With this information, the management can trace the root cause of the problem and address it before the ROE and ROA drop any further to unsustainable levels. </w:t>
      </w:r>
    </w:p>
    <w:p w14:paraId="4AC9A42F" w14:textId="222824D1" w:rsidR="004250E7" w:rsidRDefault="00510E60" w:rsidP="00672CC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an analysis of the financial ratios together with their fluctuations against other industry players can help the hotel management assess the firm’s </w:t>
      </w:r>
      <w:r w:rsidR="00672CC2">
        <w:rPr>
          <w:rFonts w:ascii="Times New Roman" w:eastAsia="Times New Roman" w:hAnsi="Times New Roman" w:cs="Times New Roman"/>
          <w:sz w:val="24"/>
          <w:szCs w:val="24"/>
          <w:lang w:eastAsia="en-GB"/>
        </w:rPr>
        <w:t xml:space="preserve">industry position against competitors. According to </w:t>
      </w:r>
      <w:r w:rsidR="00672CC2" w:rsidRPr="00627951">
        <w:rPr>
          <w:rFonts w:ascii="Times New Roman" w:eastAsia="Times New Roman" w:hAnsi="Times New Roman" w:cs="Times New Roman"/>
          <w:sz w:val="24"/>
          <w:szCs w:val="24"/>
          <w:lang w:eastAsia="en-GB"/>
        </w:rPr>
        <w:t>Guilding</w:t>
      </w:r>
      <w:r w:rsidR="00672CC2">
        <w:rPr>
          <w:rFonts w:ascii="Times New Roman" w:eastAsia="Times New Roman" w:hAnsi="Times New Roman" w:cs="Times New Roman"/>
          <w:sz w:val="24"/>
          <w:szCs w:val="24"/>
          <w:lang w:eastAsia="en-GB"/>
        </w:rPr>
        <w:t xml:space="preserve"> (</w:t>
      </w:r>
      <w:r w:rsidR="00672CC2" w:rsidRPr="00627951">
        <w:rPr>
          <w:rFonts w:ascii="Times New Roman" w:eastAsia="Times New Roman" w:hAnsi="Times New Roman" w:cs="Times New Roman"/>
          <w:sz w:val="24"/>
          <w:szCs w:val="24"/>
          <w:lang w:eastAsia="en-GB"/>
        </w:rPr>
        <w:t>2014</w:t>
      </w:r>
      <w:r w:rsidR="00672CC2">
        <w:rPr>
          <w:rFonts w:ascii="Times New Roman" w:eastAsia="Times New Roman" w:hAnsi="Times New Roman" w:cs="Times New Roman"/>
          <w:sz w:val="24"/>
          <w:szCs w:val="24"/>
          <w:lang w:eastAsia="en-GB"/>
        </w:rPr>
        <w:t xml:space="preserve">) ratios such as the inventory turnover ratio can be compared with industry peers and help benchmark the company’s performance against the best performers within the industry. Fluctuations in these ratios over time can help determine whether the company is facing an internal or external challenge with regards to achieving efficiency and profitability. </w:t>
      </w:r>
      <w:r w:rsidR="004250E7">
        <w:rPr>
          <w:rFonts w:ascii="Times New Roman" w:eastAsia="Times New Roman" w:hAnsi="Times New Roman" w:cs="Times New Roman"/>
          <w:sz w:val="24"/>
          <w:szCs w:val="24"/>
          <w:lang w:eastAsia="en-GB"/>
        </w:rPr>
        <w:t xml:space="preserve">Understanding an establishment’s liquidity ratios and any changes in these ratios is important in hotel management as it helps the hotel managers understand the liquidity health of their establishment. Hales (2006) argues that healthy liquidity enables the hotel establishment to overcome financial challenges, plan for its financial future and secure loans whenever necessary. Therefore, taking note of changes in </w:t>
      </w:r>
      <w:r w:rsidR="00D125E6">
        <w:rPr>
          <w:rFonts w:ascii="Times New Roman" w:eastAsia="Times New Roman" w:hAnsi="Times New Roman" w:cs="Times New Roman"/>
          <w:sz w:val="24"/>
          <w:szCs w:val="24"/>
          <w:lang w:eastAsia="en-GB"/>
        </w:rPr>
        <w:t xml:space="preserve">any of the liquidity ratios is imperative in understanding how liquid the company is and its implications on the company’s capacity to overcome financial challenges, secure loans and plan for the future. </w:t>
      </w:r>
    </w:p>
    <w:p w14:paraId="79193918" w14:textId="073113F7" w:rsidR="00D125E6" w:rsidRDefault="00D125E6" w:rsidP="00672CC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Understanding the financial ratios and their fluctuations will also help the hotel managers to identify the business risks of the hotel. Guilding (2014) argues that the analysis of leverage ratios helps the organization understand the business risks, that is, the sensitivity of the company’s profitability with respect to its fixed cost deployment and debt outstanding. </w:t>
      </w:r>
      <w:r w:rsidR="00A6174C">
        <w:rPr>
          <w:rFonts w:ascii="Times New Roman" w:eastAsia="Times New Roman" w:hAnsi="Times New Roman" w:cs="Times New Roman"/>
          <w:sz w:val="24"/>
          <w:szCs w:val="24"/>
          <w:lang w:eastAsia="en-GB"/>
        </w:rPr>
        <w:t xml:space="preserve">For instance, in the case of Jurys Inn’s debt ratio and debt-to-equity ratio, it is evident that the organization does not rely on debt for much of its operations and therefore it has less risks to deal with in that regard. It is therefore important for hotel managers to develop an effective understanding of the financial ratios of their establishments and any fluctuations in order to better prepare for any challenges or eventualities that their business is likely to face. </w:t>
      </w:r>
    </w:p>
    <w:p w14:paraId="39DCE289" w14:textId="11EC7508" w:rsidR="00C512A9" w:rsidRDefault="00C512A9" w:rsidP="00C512A9">
      <w:pPr>
        <w:pStyle w:val="Heading1"/>
        <w:rPr>
          <w:rFonts w:eastAsia="Times New Roman"/>
          <w:lang w:eastAsia="en-GB"/>
        </w:rPr>
      </w:pPr>
      <w:r>
        <w:rPr>
          <w:rFonts w:eastAsia="Times New Roman"/>
          <w:lang w:eastAsia="en-GB"/>
        </w:rPr>
        <w:t>Benefits and Limitations of Using Ratio Analysis in Decision-making in Hotel and Tourism Industry</w:t>
      </w:r>
    </w:p>
    <w:p w14:paraId="2C4AA79B" w14:textId="57C17E15" w:rsidR="00A6174C" w:rsidRDefault="00C512A9" w:rsidP="0027052B">
      <w:pPr>
        <w:pStyle w:val="Heading2"/>
        <w:ind w:firstLine="0"/>
        <w:rPr>
          <w:rFonts w:eastAsia="Times New Roman"/>
          <w:lang w:eastAsia="en-GB"/>
        </w:rPr>
      </w:pPr>
      <w:r>
        <w:rPr>
          <w:rFonts w:eastAsia="Times New Roman"/>
          <w:lang w:eastAsia="en-GB"/>
        </w:rPr>
        <w:t xml:space="preserve">Benefits of Ratio Analysis in Decision-Making </w:t>
      </w:r>
    </w:p>
    <w:p w14:paraId="53B437F7" w14:textId="6468EE13" w:rsidR="00C512A9" w:rsidRDefault="00C512A9" w:rsidP="00672CC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Decision-making within the hotel and tourism industry stand to benefit in a number of ways by using ratio analysis to support their decisions. First, ratio analysis enables the simplification of the firm’s financial statements </w:t>
      </w:r>
      <w:r w:rsidR="00F719AC">
        <w:rPr>
          <w:rFonts w:ascii="Times New Roman" w:eastAsia="Times New Roman" w:hAnsi="Times New Roman" w:cs="Times New Roman"/>
          <w:sz w:val="24"/>
          <w:szCs w:val="24"/>
          <w:lang w:eastAsia="en-GB"/>
        </w:rPr>
        <w:t xml:space="preserve">(Hales, 2006). As a result of this simplification, managers can easily express the </w:t>
      </w:r>
      <w:r>
        <w:rPr>
          <w:rFonts w:ascii="Times New Roman" w:eastAsia="Times New Roman" w:hAnsi="Times New Roman" w:cs="Times New Roman"/>
          <w:sz w:val="24"/>
          <w:szCs w:val="24"/>
          <w:lang w:eastAsia="en-GB"/>
        </w:rPr>
        <w:t>important profitability and fin</w:t>
      </w:r>
      <w:r w:rsidR="00F719AC">
        <w:rPr>
          <w:rFonts w:ascii="Times New Roman" w:eastAsia="Times New Roman" w:hAnsi="Times New Roman" w:cs="Times New Roman"/>
          <w:sz w:val="24"/>
          <w:szCs w:val="24"/>
          <w:lang w:eastAsia="en-GB"/>
        </w:rPr>
        <w:t xml:space="preserve">ancial position information of the company in just a few numbers. For instance, the computation of the company’s return on assets encapsulates the organization’s capacity to use its assets to earn profits. </w:t>
      </w:r>
      <w:r w:rsidR="001A52AF">
        <w:rPr>
          <w:rFonts w:ascii="Times New Roman" w:eastAsia="Times New Roman" w:hAnsi="Times New Roman" w:cs="Times New Roman"/>
          <w:sz w:val="24"/>
          <w:szCs w:val="24"/>
          <w:lang w:eastAsia="en-GB"/>
        </w:rPr>
        <w:t xml:space="preserve">It effectively enables stakeholders to authoritatively make conclusions regarding the company’s profitability without necessarily going through the company’s income statement. </w:t>
      </w:r>
    </w:p>
    <w:p w14:paraId="28824657" w14:textId="00D7A94D" w:rsidR="001A52AF" w:rsidRDefault="001A52AF" w:rsidP="00672CC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Secondly, ratio analysis is beneficial to hotel and tourism managers as it enables them to compare the performance of their own firms to that of similar firms within the industry (Atrill, 2017). This comparative analysis enables the management to determine whether the company’s performance is competitive and sustainable within the industry in which it operates. For instance, Jurys Inn revenue may have twice as much revenue as another establishment within the industry, but its gross profit will most likely not directly be comparable unless it is standardized by dividing it by their gross revenue. </w:t>
      </w:r>
      <w:r w:rsidR="0027052B">
        <w:rPr>
          <w:rFonts w:ascii="Times New Roman" w:eastAsia="Times New Roman" w:hAnsi="Times New Roman" w:cs="Times New Roman"/>
          <w:sz w:val="24"/>
          <w:szCs w:val="24"/>
          <w:lang w:eastAsia="en-GB"/>
        </w:rPr>
        <w:t xml:space="preserve">According to Atrill (2017), ratio analysis enables the standardization process thus making it possible to compare the two. </w:t>
      </w:r>
    </w:p>
    <w:p w14:paraId="1F7ED0B0" w14:textId="68A5095A" w:rsidR="00C512A9" w:rsidRDefault="0027052B" w:rsidP="0027052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Ratio analysis is also beneficial because it helps in trend analysis while highlighting important firm information in a simple form quickly. </w:t>
      </w:r>
      <w:r w:rsidRPr="00627951">
        <w:rPr>
          <w:rFonts w:ascii="Times New Roman" w:eastAsia="Times New Roman" w:hAnsi="Times New Roman" w:cs="Times New Roman"/>
          <w:sz w:val="24"/>
          <w:szCs w:val="24"/>
          <w:lang w:eastAsia="en-GB"/>
        </w:rPr>
        <w:t>Guilding</w:t>
      </w:r>
      <w:r>
        <w:rPr>
          <w:rFonts w:ascii="Times New Roman" w:eastAsia="Times New Roman" w:hAnsi="Times New Roman" w:cs="Times New Roman"/>
          <w:sz w:val="24"/>
          <w:szCs w:val="24"/>
          <w:lang w:eastAsia="en-GB"/>
        </w:rPr>
        <w:t xml:space="preserve"> (</w:t>
      </w:r>
      <w:r w:rsidRPr="00627951">
        <w:rPr>
          <w:rFonts w:ascii="Times New Roman" w:eastAsia="Times New Roman" w:hAnsi="Times New Roman" w:cs="Times New Roman"/>
          <w:sz w:val="24"/>
          <w:szCs w:val="24"/>
          <w:lang w:eastAsia="en-GB"/>
        </w:rPr>
        <w:t>2014</w:t>
      </w:r>
      <w:r>
        <w:rPr>
          <w:rFonts w:ascii="Times New Roman" w:eastAsia="Times New Roman" w:hAnsi="Times New Roman" w:cs="Times New Roman"/>
          <w:sz w:val="24"/>
          <w:szCs w:val="24"/>
          <w:lang w:eastAsia="en-GB"/>
        </w:rPr>
        <w:t xml:space="preserve">) notes that the application of ratio analysis in the hotel and tourism industry entails comparing a single organization over a period of time. Consequently, hotel and tourism managers can easily judge the performance of their establishments by simply looking at few numbers over several comparable periods as opposed to reading the entire financial statements of the firm. This is essential in quick decision making. </w:t>
      </w:r>
    </w:p>
    <w:p w14:paraId="1E64A5BA" w14:textId="5EB47593" w:rsidR="0027052B" w:rsidRDefault="0027052B" w:rsidP="0027052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Limitations of Ratio Analysis in Decision-Making </w:t>
      </w:r>
    </w:p>
    <w:p w14:paraId="0C0097EE" w14:textId="3F46C801" w:rsidR="00091FEF" w:rsidRDefault="00091FEF" w:rsidP="0027052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Notwithstanding its benefits, ratio analysis has a number of drawbacks that hotel and tourism managers have to keep in mind while using them to make decisions. First, ratio analysis is only useful when comparison is made between two companies operating within the same industry (</w:t>
      </w:r>
      <w:r w:rsidRPr="00187E2C">
        <w:rPr>
          <w:rFonts w:ascii="Times New Roman" w:eastAsia="Times New Roman" w:hAnsi="Times New Roman" w:cs="Times New Roman"/>
          <w:sz w:val="24"/>
          <w:szCs w:val="24"/>
          <w:lang w:eastAsia="en-GB"/>
        </w:rPr>
        <w:t>McLaney</w:t>
      </w:r>
      <w:r>
        <w:rPr>
          <w:rFonts w:ascii="Times New Roman" w:eastAsia="Times New Roman" w:hAnsi="Times New Roman" w:cs="Times New Roman"/>
          <w:sz w:val="24"/>
          <w:szCs w:val="24"/>
          <w:lang w:eastAsia="en-GB"/>
        </w:rPr>
        <w:t xml:space="preserve"> &amp; </w:t>
      </w:r>
      <w:r w:rsidRPr="00187E2C">
        <w:rPr>
          <w:rFonts w:ascii="Times New Roman" w:eastAsia="Times New Roman" w:hAnsi="Times New Roman" w:cs="Times New Roman"/>
          <w:sz w:val="24"/>
          <w:szCs w:val="24"/>
          <w:lang w:eastAsia="en-GB"/>
        </w:rPr>
        <w:t>Atrill, 2016</w:t>
      </w:r>
      <w:r>
        <w:rPr>
          <w:rFonts w:ascii="Times New Roman" w:eastAsia="Times New Roman" w:hAnsi="Times New Roman" w:cs="Times New Roman"/>
          <w:sz w:val="24"/>
          <w:szCs w:val="24"/>
          <w:lang w:eastAsia="en-GB"/>
        </w:rPr>
        <w:t xml:space="preserve">). However, in their quest for competitive advantage, firms are developing multiple lines of business and therefore their financial statements provide a composite assessment of the company. Therefore, comparing such an organization with the industry average may not be as beneficial since the average also includes firms that are poorly performing. </w:t>
      </w:r>
    </w:p>
    <w:p w14:paraId="00224F3F" w14:textId="3E3DAE99" w:rsidR="00091FEF" w:rsidRDefault="00091FEF" w:rsidP="007A2A5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Secondly, </w:t>
      </w:r>
      <w:r w:rsidR="007A2A5F">
        <w:rPr>
          <w:rFonts w:ascii="Times New Roman" w:eastAsia="Times New Roman" w:hAnsi="Times New Roman" w:cs="Times New Roman"/>
          <w:sz w:val="24"/>
          <w:szCs w:val="24"/>
          <w:lang w:eastAsia="en-GB"/>
        </w:rPr>
        <w:t xml:space="preserve">different hotel and tourism organizations use different financial reporting frameworks. Drury (2013) argues that these frameworks such as the International Financial Reporting Standards (IFRS) and the Generally Acceptable Accounting Principles (GAAP) allow different accounting policies for identical transactions and therefore incomparable. In such situations, managers have an added task of adjusting their financial statements before comparing them. </w:t>
      </w:r>
    </w:p>
    <w:p w14:paraId="5F5FEE0F" w14:textId="5B2C81D1" w:rsidR="007A2A5F" w:rsidRDefault="007A2A5F" w:rsidP="007A2A5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Thirdly, management’s capacity to alter assumptions possibility allows them to manage their ratios by altering accounting assumptions from period to period. This is likely to interfere with the comparability of financial ratios</w:t>
      </w:r>
      <w:r w:rsidR="00EA0317">
        <w:rPr>
          <w:rFonts w:ascii="Times New Roman" w:eastAsia="Times New Roman" w:hAnsi="Times New Roman" w:cs="Times New Roman"/>
          <w:sz w:val="24"/>
          <w:szCs w:val="24"/>
          <w:lang w:eastAsia="en-GB"/>
        </w:rPr>
        <w:t xml:space="preserve"> (Drury, 2013)</w:t>
      </w:r>
      <w:r>
        <w:rPr>
          <w:rFonts w:ascii="Times New Roman" w:eastAsia="Times New Roman" w:hAnsi="Times New Roman" w:cs="Times New Roman"/>
          <w:sz w:val="24"/>
          <w:szCs w:val="24"/>
          <w:lang w:eastAsia="en-GB"/>
        </w:rPr>
        <w:t xml:space="preserve">. </w:t>
      </w:r>
      <w:r w:rsidR="00EA0317">
        <w:rPr>
          <w:rFonts w:ascii="Times New Roman" w:eastAsia="Times New Roman" w:hAnsi="Times New Roman" w:cs="Times New Roman"/>
          <w:sz w:val="24"/>
          <w:szCs w:val="24"/>
          <w:lang w:eastAsia="en-GB"/>
        </w:rPr>
        <w:t xml:space="preserve">Furthermore, ratio analysis focuses on the relationships between past information. However, as Artill (2017) notes, users of financial information are more concerned about the current and future information of the company. There is also the lack of standardization in the calculation methodology of different ratios (Atrill, 2017). This may effectively yield different answers depending on the approach used thus resulting into misleading decisions. </w:t>
      </w:r>
    </w:p>
    <w:p w14:paraId="0261355B" w14:textId="77777777" w:rsidR="00EA0317" w:rsidRDefault="00EA0317">
      <w:pPr>
        <w:rPr>
          <w:rFonts w:ascii="Times New Roman" w:eastAsia="Times New Roman" w:hAnsi="Times New Roman" w:cstheme="majorBidi"/>
          <w:b/>
          <w:sz w:val="24"/>
          <w:szCs w:val="32"/>
          <w:lang w:eastAsia="en-GB"/>
        </w:rPr>
      </w:pPr>
      <w:r>
        <w:rPr>
          <w:rFonts w:eastAsia="Times New Roman"/>
          <w:lang w:eastAsia="en-GB"/>
        </w:rPr>
        <w:br w:type="page"/>
      </w:r>
    </w:p>
    <w:p w14:paraId="557D0A56" w14:textId="6B284162" w:rsidR="00EA0317" w:rsidRDefault="00EA0317" w:rsidP="00EA0317">
      <w:pPr>
        <w:pStyle w:val="Heading1"/>
        <w:rPr>
          <w:rFonts w:eastAsia="Times New Roman"/>
          <w:lang w:eastAsia="en-GB"/>
        </w:rPr>
      </w:pPr>
      <w:r>
        <w:rPr>
          <w:rFonts w:eastAsia="Times New Roman"/>
          <w:lang w:eastAsia="en-GB"/>
        </w:rPr>
        <w:t xml:space="preserve">References List </w:t>
      </w:r>
    </w:p>
    <w:p w14:paraId="58A0C173" w14:textId="77777777" w:rsidR="00EA0317" w:rsidRDefault="00EA0317" w:rsidP="00EA0317">
      <w:pPr>
        <w:spacing w:after="0"/>
        <w:ind w:left="720" w:hanging="720"/>
        <w:rPr>
          <w:rFonts w:ascii="Times New Roman" w:eastAsia="Times New Roman" w:hAnsi="Times New Roman" w:cs="Times New Roman"/>
          <w:sz w:val="24"/>
          <w:szCs w:val="24"/>
          <w:lang w:eastAsia="en-GB"/>
        </w:rPr>
      </w:pPr>
      <w:r w:rsidRPr="00187E2C">
        <w:rPr>
          <w:rFonts w:ascii="Times New Roman" w:eastAsia="Times New Roman" w:hAnsi="Times New Roman" w:cs="Times New Roman"/>
          <w:sz w:val="24"/>
          <w:szCs w:val="24"/>
          <w:lang w:eastAsia="en-GB"/>
        </w:rPr>
        <w:t xml:space="preserve">Atrill, P., 2017. </w:t>
      </w:r>
      <w:r w:rsidRPr="00187E2C">
        <w:rPr>
          <w:rFonts w:ascii="Times New Roman" w:eastAsia="Times New Roman" w:hAnsi="Times New Roman" w:cs="Times New Roman"/>
          <w:i/>
          <w:iCs/>
          <w:sz w:val="24"/>
          <w:szCs w:val="24"/>
          <w:lang w:eastAsia="en-GB"/>
        </w:rPr>
        <w:t>Financial management for decision makers</w:t>
      </w:r>
      <w:r w:rsidRPr="00187E2C">
        <w:rPr>
          <w:rFonts w:ascii="Times New Roman" w:eastAsia="Times New Roman" w:hAnsi="Times New Roman" w:cs="Times New Roman"/>
          <w:sz w:val="24"/>
          <w:szCs w:val="24"/>
          <w:lang w:eastAsia="en-GB"/>
        </w:rPr>
        <w:t>. Pearson Education Limited.</w:t>
      </w:r>
    </w:p>
    <w:p w14:paraId="2A2A4F64" w14:textId="77777777" w:rsidR="00EA0317" w:rsidRDefault="00EA0317" w:rsidP="00EA0317">
      <w:pPr>
        <w:spacing w:after="0"/>
        <w:ind w:left="720" w:hanging="720"/>
        <w:rPr>
          <w:rFonts w:ascii="Times New Roman" w:eastAsia="Times New Roman" w:hAnsi="Times New Roman" w:cs="Times New Roman"/>
          <w:sz w:val="24"/>
          <w:szCs w:val="24"/>
          <w:lang w:eastAsia="en-GB"/>
        </w:rPr>
      </w:pPr>
      <w:r w:rsidRPr="00777B18">
        <w:rPr>
          <w:rFonts w:ascii="Times New Roman" w:eastAsia="Times New Roman" w:hAnsi="Times New Roman" w:cs="Times New Roman"/>
          <w:sz w:val="24"/>
          <w:szCs w:val="24"/>
          <w:lang w:eastAsia="en-GB"/>
        </w:rPr>
        <w:t xml:space="preserve">Drury, C.M., 2013. </w:t>
      </w:r>
      <w:r w:rsidRPr="00777B18">
        <w:rPr>
          <w:rFonts w:ascii="Times New Roman" w:eastAsia="Times New Roman" w:hAnsi="Times New Roman" w:cs="Times New Roman"/>
          <w:i/>
          <w:iCs/>
          <w:sz w:val="24"/>
          <w:szCs w:val="24"/>
          <w:lang w:eastAsia="en-GB"/>
        </w:rPr>
        <w:t>Management and cost accounting</w:t>
      </w:r>
      <w:r w:rsidRPr="00777B18">
        <w:rPr>
          <w:rFonts w:ascii="Times New Roman" w:eastAsia="Times New Roman" w:hAnsi="Times New Roman" w:cs="Times New Roman"/>
          <w:sz w:val="24"/>
          <w:szCs w:val="24"/>
          <w:lang w:eastAsia="en-GB"/>
        </w:rPr>
        <w:t>. Springer.</w:t>
      </w:r>
    </w:p>
    <w:p w14:paraId="34347769" w14:textId="77777777" w:rsidR="00EA0317" w:rsidRPr="00627951" w:rsidRDefault="00EA0317" w:rsidP="00EA0317">
      <w:pPr>
        <w:spacing w:after="0"/>
        <w:ind w:left="720" w:hanging="720"/>
        <w:rPr>
          <w:rFonts w:ascii="Times New Roman" w:eastAsia="Times New Roman" w:hAnsi="Times New Roman" w:cs="Times New Roman"/>
          <w:sz w:val="24"/>
          <w:szCs w:val="24"/>
          <w:lang w:eastAsia="en-GB"/>
        </w:rPr>
      </w:pPr>
      <w:r w:rsidRPr="00627951">
        <w:rPr>
          <w:rFonts w:ascii="Times New Roman" w:eastAsia="Times New Roman" w:hAnsi="Times New Roman" w:cs="Times New Roman"/>
          <w:sz w:val="24"/>
          <w:szCs w:val="24"/>
          <w:lang w:eastAsia="en-GB"/>
        </w:rPr>
        <w:t xml:space="preserve">Guilding, C., 2014. </w:t>
      </w:r>
      <w:r w:rsidRPr="00627951">
        <w:rPr>
          <w:rFonts w:ascii="Times New Roman" w:eastAsia="Times New Roman" w:hAnsi="Times New Roman" w:cs="Times New Roman"/>
          <w:i/>
          <w:iCs/>
          <w:sz w:val="24"/>
          <w:szCs w:val="24"/>
          <w:lang w:eastAsia="en-GB"/>
        </w:rPr>
        <w:t>Accounting essentials for hospitality managers</w:t>
      </w:r>
      <w:r w:rsidRPr="00627951">
        <w:rPr>
          <w:rFonts w:ascii="Times New Roman" w:eastAsia="Times New Roman" w:hAnsi="Times New Roman" w:cs="Times New Roman"/>
          <w:sz w:val="24"/>
          <w:szCs w:val="24"/>
          <w:lang w:eastAsia="en-GB"/>
        </w:rPr>
        <w:t>. Routledge.</w:t>
      </w:r>
    </w:p>
    <w:p w14:paraId="5BD5C6F1" w14:textId="77777777" w:rsidR="00EA0317" w:rsidRPr="00F11963" w:rsidRDefault="00EA0317" w:rsidP="00EA0317">
      <w:pPr>
        <w:spacing w:after="0"/>
        <w:ind w:left="720" w:hanging="720"/>
        <w:rPr>
          <w:rFonts w:ascii="Times New Roman" w:eastAsia="Times New Roman" w:hAnsi="Times New Roman" w:cs="Times New Roman"/>
          <w:sz w:val="24"/>
          <w:szCs w:val="24"/>
          <w:lang w:eastAsia="en-GB"/>
        </w:rPr>
      </w:pPr>
      <w:r w:rsidRPr="00F11963">
        <w:rPr>
          <w:rFonts w:ascii="Times New Roman" w:eastAsia="Times New Roman" w:hAnsi="Times New Roman" w:cs="Times New Roman"/>
          <w:sz w:val="24"/>
          <w:szCs w:val="24"/>
          <w:lang w:eastAsia="en-GB"/>
        </w:rPr>
        <w:t xml:space="preserve">Hales, J., 2006. </w:t>
      </w:r>
      <w:r w:rsidRPr="00F11963">
        <w:rPr>
          <w:rFonts w:ascii="Times New Roman" w:eastAsia="Times New Roman" w:hAnsi="Times New Roman" w:cs="Times New Roman"/>
          <w:i/>
          <w:iCs/>
          <w:sz w:val="24"/>
          <w:szCs w:val="24"/>
          <w:lang w:eastAsia="en-GB"/>
        </w:rPr>
        <w:t>Accounting and financial analysis in the hospitality industry</w:t>
      </w:r>
      <w:r w:rsidRPr="00F11963">
        <w:rPr>
          <w:rFonts w:ascii="Times New Roman" w:eastAsia="Times New Roman" w:hAnsi="Times New Roman" w:cs="Times New Roman"/>
          <w:sz w:val="24"/>
          <w:szCs w:val="24"/>
          <w:lang w:eastAsia="en-GB"/>
        </w:rPr>
        <w:t>. Routledge.</w:t>
      </w:r>
    </w:p>
    <w:p w14:paraId="333DF68D" w14:textId="77777777" w:rsidR="00EA0317" w:rsidRDefault="00EA0317" w:rsidP="00EA0317">
      <w:pPr>
        <w:spacing w:after="0"/>
        <w:ind w:left="720" w:hanging="720"/>
        <w:rPr>
          <w:rFonts w:ascii="Times New Roman" w:eastAsia="Times New Roman" w:hAnsi="Times New Roman" w:cs="Times New Roman"/>
          <w:sz w:val="24"/>
          <w:szCs w:val="24"/>
          <w:lang w:eastAsia="en-GB"/>
        </w:rPr>
      </w:pPr>
      <w:r w:rsidRPr="00187E2C">
        <w:rPr>
          <w:rFonts w:ascii="Times New Roman" w:eastAsia="Times New Roman" w:hAnsi="Times New Roman" w:cs="Times New Roman"/>
          <w:sz w:val="24"/>
          <w:szCs w:val="24"/>
          <w:lang w:eastAsia="en-GB"/>
        </w:rPr>
        <w:t xml:space="preserve">McLaney, E. and Atrill, P., 2016. </w:t>
      </w:r>
      <w:r w:rsidRPr="00187E2C">
        <w:rPr>
          <w:rFonts w:ascii="Times New Roman" w:eastAsia="Times New Roman" w:hAnsi="Times New Roman" w:cs="Times New Roman"/>
          <w:i/>
          <w:iCs/>
          <w:sz w:val="24"/>
          <w:szCs w:val="24"/>
          <w:lang w:eastAsia="en-GB"/>
        </w:rPr>
        <w:t>Accounting and finance: an introduction</w:t>
      </w:r>
      <w:r w:rsidRPr="00187E2C">
        <w:rPr>
          <w:rFonts w:ascii="Times New Roman" w:eastAsia="Times New Roman" w:hAnsi="Times New Roman" w:cs="Times New Roman"/>
          <w:sz w:val="24"/>
          <w:szCs w:val="24"/>
          <w:lang w:eastAsia="en-GB"/>
        </w:rPr>
        <w:t>. Prentice Hill.</w:t>
      </w:r>
    </w:p>
    <w:sectPr w:rsidR="00EA031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2E50C" w14:textId="77777777" w:rsidR="00EF099B" w:rsidRDefault="00EF099B" w:rsidP="00EA0317">
      <w:pPr>
        <w:spacing w:after="0" w:line="240" w:lineRule="auto"/>
      </w:pPr>
      <w:r>
        <w:separator/>
      </w:r>
    </w:p>
  </w:endnote>
  <w:endnote w:type="continuationSeparator" w:id="0">
    <w:p w14:paraId="1D93B8A1" w14:textId="77777777" w:rsidR="00EF099B" w:rsidRDefault="00EF099B" w:rsidP="00EA0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altName w:val="Arial"/>
    <w:panose1 w:val="02040503050406030204"/>
    <w:charset w:val="00"/>
    <w:family w:val="roman"/>
    <w:pitch w:val="variable"/>
    <w:sig w:usb0="00000001"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DE00" w14:textId="77777777" w:rsidR="00EF099B" w:rsidRDefault="00EF099B" w:rsidP="00EA0317">
      <w:pPr>
        <w:spacing w:after="0" w:line="240" w:lineRule="auto"/>
      </w:pPr>
      <w:r>
        <w:separator/>
      </w:r>
    </w:p>
  </w:footnote>
  <w:footnote w:type="continuationSeparator" w:id="0">
    <w:p w14:paraId="11E1E124" w14:textId="77777777" w:rsidR="00EF099B" w:rsidRDefault="00EF099B" w:rsidP="00EA0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67069842"/>
      <w:docPartObj>
        <w:docPartGallery w:val="Page Numbers (Top of Page)"/>
        <w:docPartUnique/>
      </w:docPartObj>
    </w:sdtPr>
    <w:sdtEndPr>
      <w:rPr>
        <w:noProof/>
      </w:rPr>
    </w:sdtEndPr>
    <w:sdtContent>
      <w:p w14:paraId="1819BCEC" w14:textId="4CE6BFBD" w:rsidR="00EA0317" w:rsidRPr="00EA0317" w:rsidRDefault="00EA0317">
        <w:pPr>
          <w:pStyle w:val="Header"/>
          <w:jc w:val="right"/>
          <w:rPr>
            <w:rFonts w:ascii="Times New Roman" w:hAnsi="Times New Roman" w:cs="Times New Roman"/>
            <w:sz w:val="24"/>
            <w:szCs w:val="24"/>
          </w:rPr>
        </w:pPr>
        <w:r w:rsidRPr="00EA0317">
          <w:rPr>
            <w:rFonts w:ascii="Times New Roman" w:hAnsi="Times New Roman" w:cs="Times New Roman"/>
            <w:sz w:val="24"/>
            <w:szCs w:val="24"/>
          </w:rPr>
          <w:fldChar w:fldCharType="begin"/>
        </w:r>
        <w:r w:rsidRPr="00EA0317">
          <w:rPr>
            <w:rFonts w:ascii="Times New Roman" w:hAnsi="Times New Roman" w:cs="Times New Roman"/>
            <w:sz w:val="24"/>
            <w:szCs w:val="24"/>
          </w:rPr>
          <w:instrText xml:space="preserve"> PAGE   \* MERGEFORMAT </w:instrText>
        </w:r>
        <w:r w:rsidRPr="00EA0317">
          <w:rPr>
            <w:rFonts w:ascii="Times New Roman" w:hAnsi="Times New Roman" w:cs="Times New Roman"/>
            <w:sz w:val="24"/>
            <w:szCs w:val="24"/>
          </w:rPr>
          <w:fldChar w:fldCharType="separate"/>
        </w:r>
        <w:r w:rsidRPr="00EA0317">
          <w:rPr>
            <w:rFonts w:ascii="Times New Roman" w:hAnsi="Times New Roman" w:cs="Times New Roman"/>
            <w:noProof/>
            <w:sz w:val="24"/>
            <w:szCs w:val="24"/>
          </w:rPr>
          <w:t>2</w:t>
        </w:r>
        <w:r w:rsidRPr="00EA0317">
          <w:rPr>
            <w:rFonts w:ascii="Times New Roman" w:hAnsi="Times New Roman" w:cs="Times New Roman"/>
            <w:noProof/>
            <w:sz w:val="24"/>
            <w:szCs w:val="24"/>
          </w:rPr>
          <w:fldChar w:fldCharType="end"/>
        </w:r>
      </w:p>
    </w:sdtContent>
  </w:sdt>
  <w:p w14:paraId="249D45EF" w14:textId="77777777" w:rsidR="00EA0317" w:rsidRPr="00EA0317" w:rsidRDefault="00EA031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CE2E9D"/>
    <w:multiLevelType w:val="hybridMultilevel"/>
    <w:tmpl w:val="5D99D2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044926B"/>
    <w:multiLevelType w:val="hybridMultilevel"/>
    <w:tmpl w:val="4DD02D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10234FD"/>
    <w:multiLevelType w:val="multilevel"/>
    <w:tmpl w:val="2B42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B79A2"/>
    <w:multiLevelType w:val="hybridMultilevel"/>
    <w:tmpl w:val="FDA0A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B93B7B"/>
    <w:multiLevelType w:val="multilevel"/>
    <w:tmpl w:val="6038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C607F"/>
    <w:multiLevelType w:val="hybridMultilevel"/>
    <w:tmpl w:val="CB8AF262"/>
    <w:lvl w:ilvl="0" w:tplc="E060516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C2B0CA2"/>
    <w:multiLevelType w:val="multilevel"/>
    <w:tmpl w:val="BC44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E60081"/>
    <w:multiLevelType w:val="hybridMultilevel"/>
    <w:tmpl w:val="7C403326"/>
    <w:lvl w:ilvl="0" w:tplc="0A1295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7"/>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C40"/>
    <w:rsid w:val="00037AD7"/>
    <w:rsid w:val="00091FEF"/>
    <w:rsid w:val="000D679B"/>
    <w:rsid w:val="000E35F2"/>
    <w:rsid w:val="000F48E6"/>
    <w:rsid w:val="00114E37"/>
    <w:rsid w:val="00133124"/>
    <w:rsid w:val="001A52AF"/>
    <w:rsid w:val="00235288"/>
    <w:rsid w:val="002560E1"/>
    <w:rsid w:val="0027052B"/>
    <w:rsid w:val="002863A4"/>
    <w:rsid w:val="002F7FF5"/>
    <w:rsid w:val="0042359A"/>
    <w:rsid w:val="004250E7"/>
    <w:rsid w:val="00510E60"/>
    <w:rsid w:val="005815E9"/>
    <w:rsid w:val="005C2274"/>
    <w:rsid w:val="00610B7F"/>
    <w:rsid w:val="00672CC2"/>
    <w:rsid w:val="006D598D"/>
    <w:rsid w:val="006E2F43"/>
    <w:rsid w:val="00737906"/>
    <w:rsid w:val="007A2A5F"/>
    <w:rsid w:val="007B6118"/>
    <w:rsid w:val="007D4A48"/>
    <w:rsid w:val="008C5C40"/>
    <w:rsid w:val="00927851"/>
    <w:rsid w:val="0095036E"/>
    <w:rsid w:val="00A55138"/>
    <w:rsid w:val="00A6174C"/>
    <w:rsid w:val="00AF7864"/>
    <w:rsid w:val="00C45901"/>
    <w:rsid w:val="00C505AC"/>
    <w:rsid w:val="00C512A9"/>
    <w:rsid w:val="00CB4193"/>
    <w:rsid w:val="00D125E6"/>
    <w:rsid w:val="00D26E1A"/>
    <w:rsid w:val="00D63864"/>
    <w:rsid w:val="00D860A4"/>
    <w:rsid w:val="00D867C4"/>
    <w:rsid w:val="00E17F28"/>
    <w:rsid w:val="00E25955"/>
    <w:rsid w:val="00EA0317"/>
    <w:rsid w:val="00EA11BE"/>
    <w:rsid w:val="00EC415A"/>
    <w:rsid w:val="00EF099B"/>
    <w:rsid w:val="00F27AA8"/>
    <w:rsid w:val="00F719AC"/>
    <w:rsid w:val="00F93DD6"/>
    <w:rsid w:val="00FE0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2AA83"/>
  <w15:chartTrackingRefBased/>
  <w15:docId w15:val="{4BF7DB0A-7130-4D52-AD7A-6C80F0D9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512A9"/>
    <w:pPr>
      <w:keepNext/>
      <w:keepLines/>
      <w:spacing w:before="240" w:after="0"/>
      <w:ind w:firstLine="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927851"/>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EC415A"/>
    <w:pPr>
      <w:keepNext/>
      <w:keepLines/>
      <w:spacing w:before="40" w:after="0"/>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2A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785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C415A"/>
    <w:rPr>
      <w:rFonts w:ascii="Times New Roman" w:eastAsiaTheme="majorEastAsia" w:hAnsi="Times New Roman" w:cstheme="majorBidi"/>
      <w:b/>
      <w:i/>
      <w:sz w:val="24"/>
      <w:szCs w:val="24"/>
    </w:rPr>
  </w:style>
  <w:style w:type="paragraph" w:styleId="ListParagraph">
    <w:name w:val="List Paragraph"/>
    <w:basedOn w:val="Normal"/>
    <w:uiPriority w:val="34"/>
    <w:qFormat/>
    <w:rsid w:val="008C5C40"/>
    <w:pPr>
      <w:ind w:left="720"/>
      <w:contextualSpacing/>
    </w:pPr>
  </w:style>
  <w:style w:type="character" w:customStyle="1" w:styleId="hgkelc">
    <w:name w:val="hgkelc"/>
    <w:basedOn w:val="DefaultParagraphFont"/>
    <w:rsid w:val="00D860A4"/>
  </w:style>
  <w:style w:type="character" w:styleId="Hyperlink">
    <w:name w:val="Hyperlink"/>
    <w:basedOn w:val="DefaultParagraphFont"/>
    <w:uiPriority w:val="99"/>
    <w:semiHidden/>
    <w:unhideWhenUsed/>
    <w:rsid w:val="00F93DD6"/>
    <w:rPr>
      <w:color w:val="0000FF"/>
      <w:u w:val="single"/>
    </w:rPr>
  </w:style>
  <w:style w:type="character" w:styleId="PlaceholderText">
    <w:name w:val="Placeholder Text"/>
    <w:basedOn w:val="DefaultParagraphFont"/>
    <w:uiPriority w:val="99"/>
    <w:semiHidden/>
    <w:rsid w:val="006E2F43"/>
    <w:rPr>
      <w:color w:val="808080"/>
    </w:rPr>
  </w:style>
  <w:style w:type="paragraph" w:styleId="NormalWeb">
    <w:name w:val="Normal (Web)"/>
    <w:basedOn w:val="Normal"/>
    <w:uiPriority w:val="99"/>
    <w:semiHidden/>
    <w:unhideWhenUsed/>
    <w:rsid w:val="00E25955"/>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25955"/>
    <w:rPr>
      <w:b/>
      <w:bCs/>
    </w:rPr>
  </w:style>
  <w:style w:type="paragraph" w:customStyle="1" w:styleId="Default">
    <w:name w:val="Default"/>
    <w:rsid w:val="00EA11BE"/>
    <w:pPr>
      <w:autoSpaceDE w:val="0"/>
      <w:autoSpaceDN w:val="0"/>
      <w:adjustRightInd w:val="0"/>
      <w:spacing w:after="0" w:line="240" w:lineRule="auto"/>
      <w:ind w:firstLine="0"/>
    </w:pPr>
    <w:rPr>
      <w:rFonts w:ascii="Calibri" w:hAnsi="Calibri" w:cs="Calibri"/>
      <w:color w:val="000000"/>
      <w:sz w:val="24"/>
      <w:szCs w:val="24"/>
    </w:rPr>
  </w:style>
  <w:style w:type="character" w:customStyle="1" w:styleId="wsm-tooltip">
    <w:name w:val="wsm-tooltip"/>
    <w:basedOn w:val="DefaultParagraphFont"/>
    <w:rsid w:val="00672CC2"/>
  </w:style>
  <w:style w:type="character" w:customStyle="1" w:styleId="kx21rb">
    <w:name w:val="kx21rb"/>
    <w:basedOn w:val="DefaultParagraphFont"/>
    <w:rsid w:val="004250E7"/>
  </w:style>
  <w:style w:type="character" w:customStyle="1" w:styleId="ezoic-ad">
    <w:name w:val="ezoic-ad"/>
    <w:basedOn w:val="DefaultParagraphFont"/>
    <w:rsid w:val="00091FEF"/>
  </w:style>
  <w:style w:type="paragraph" w:styleId="Header">
    <w:name w:val="header"/>
    <w:basedOn w:val="Normal"/>
    <w:link w:val="HeaderChar"/>
    <w:uiPriority w:val="99"/>
    <w:unhideWhenUsed/>
    <w:rsid w:val="00EA0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317"/>
  </w:style>
  <w:style w:type="paragraph" w:styleId="Footer">
    <w:name w:val="footer"/>
    <w:basedOn w:val="Normal"/>
    <w:link w:val="FooterChar"/>
    <w:uiPriority w:val="99"/>
    <w:unhideWhenUsed/>
    <w:rsid w:val="00EA0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76441">
      <w:bodyDiv w:val="1"/>
      <w:marLeft w:val="0"/>
      <w:marRight w:val="0"/>
      <w:marTop w:val="0"/>
      <w:marBottom w:val="0"/>
      <w:divBdr>
        <w:top w:val="none" w:sz="0" w:space="0" w:color="auto"/>
        <w:left w:val="none" w:sz="0" w:space="0" w:color="auto"/>
        <w:bottom w:val="none" w:sz="0" w:space="0" w:color="auto"/>
        <w:right w:val="none" w:sz="0" w:space="0" w:color="auto"/>
      </w:divBdr>
    </w:div>
    <w:div w:id="767625640">
      <w:bodyDiv w:val="1"/>
      <w:marLeft w:val="0"/>
      <w:marRight w:val="0"/>
      <w:marTop w:val="0"/>
      <w:marBottom w:val="0"/>
      <w:divBdr>
        <w:top w:val="none" w:sz="0" w:space="0" w:color="auto"/>
        <w:left w:val="none" w:sz="0" w:space="0" w:color="auto"/>
        <w:bottom w:val="none" w:sz="0" w:space="0" w:color="auto"/>
        <w:right w:val="none" w:sz="0" w:space="0" w:color="auto"/>
      </w:divBdr>
    </w:div>
    <w:div w:id="1096168661">
      <w:bodyDiv w:val="1"/>
      <w:marLeft w:val="0"/>
      <w:marRight w:val="0"/>
      <w:marTop w:val="0"/>
      <w:marBottom w:val="0"/>
      <w:divBdr>
        <w:top w:val="none" w:sz="0" w:space="0" w:color="auto"/>
        <w:left w:val="none" w:sz="0" w:space="0" w:color="auto"/>
        <w:bottom w:val="none" w:sz="0" w:space="0" w:color="auto"/>
        <w:right w:val="none" w:sz="0" w:space="0" w:color="auto"/>
      </w:divBdr>
    </w:div>
    <w:div w:id="1983997089">
      <w:bodyDiv w:val="1"/>
      <w:marLeft w:val="0"/>
      <w:marRight w:val="0"/>
      <w:marTop w:val="0"/>
      <w:marBottom w:val="0"/>
      <w:divBdr>
        <w:top w:val="none" w:sz="0" w:space="0" w:color="auto"/>
        <w:left w:val="none" w:sz="0" w:space="0" w:color="auto"/>
        <w:bottom w:val="none" w:sz="0" w:space="0" w:color="auto"/>
        <w:right w:val="none" w:sz="0" w:space="0" w:color="auto"/>
      </w:divBdr>
    </w:div>
    <w:div w:id="198596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Mirela Lazarciuc</cp:lastModifiedBy>
  <cp:revision>2</cp:revision>
  <dcterms:created xsi:type="dcterms:W3CDTF">2022-02-16T06:23:00Z</dcterms:created>
  <dcterms:modified xsi:type="dcterms:W3CDTF">2022-02-16T06:23:00Z</dcterms:modified>
</cp:coreProperties>
</file>