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BAD65" w14:textId="77777777" w:rsidR="00E706DD" w:rsidRPr="00BD4ACE" w:rsidRDefault="00E706DD" w:rsidP="00E706DD">
      <w:pPr>
        <w:spacing w:line="480" w:lineRule="auto"/>
        <w:rPr>
          <w:rFonts w:ascii="Arial" w:hAnsi="Arial" w:cs="Arial"/>
          <w:sz w:val="24"/>
          <w:szCs w:val="24"/>
          <w:highlight w:val="yellow"/>
        </w:rPr>
      </w:pPr>
      <w:bookmarkStart w:id="0" w:name="_Hlk97915127"/>
      <w:bookmarkEnd w:id="0"/>
    </w:p>
    <w:p w14:paraId="55A7EC02" w14:textId="5E866EEC" w:rsidR="00E706DD" w:rsidRPr="00BD4ACE" w:rsidRDefault="002B15D9" w:rsidP="002B15D9">
      <w:pPr>
        <w:spacing w:line="480" w:lineRule="auto"/>
        <w:jc w:val="center"/>
        <w:rPr>
          <w:rFonts w:ascii="Arial" w:hAnsi="Arial" w:cs="Arial"/>
          <w:sz w:val="24"/>
          <w:szCs w:val="24"/>
          <w:highlight w:val="yellow"/>
        </w:rPr>
      </w:pPr>
      <w:r w:rsidRPr="002B15D9">
        <w:rPr>
          <w:rFonts w:ascii="Arial" w:hAnsi="Arial" w:cs="Arial"/>
          <w:noProof/>
          <w:sz w:val="24"/>
          <w:szCs w:val="24"/>
        </w:rPr>
        <w:drawing>
          <wp:inline distT="0" distB="0" distL="0" distR="0" wp14:anchorId="665A452C" wp14:editId="301CA956">
            <wp:extent cx="3492500" cy="2324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8189" cy="2327886"/>
                    </a:xfrm>
                    <a:prstGeom prst="rect">
                      <a:avLst/>
                    </a:prstGeom>
                    <a:noFill/>
                  </pic:spPr>
                </pic:pic>
              </a:graphicData>
            </a:graphic>
          </wp:inline>
        </w:drawing>
      </w:r>
    </w:p>
    <w:p w14:paraId="323F93BA" w14:textId="48727133" w:rsidR="00E706DD" w:rsidRPr="002B15D9" w:rsidRDefault="00E706DD" w:rsidP="002B15D9">
      <w:pPr>
        <w:spacing w:line="480" w:lineRule="auto"/>
        <w:rPr>
          <w:rFonts w:ascii="Arial" w:hAnsi="Arial" w:cs="Arial"/>
          <w:sz w:val="24"/>
          <w:szCs w:val="24"/>
        </w:rPr>
      </w:pPr>
    </w:p>
    <w:p w14:paraId="4C130DFA" w14:textId="77777777" w:rsidR="00E706DD" w:rsidRPr="002B15D9" w:rsidRDefault="00E706DD" w:rsidP="00E706DD">
      <w:pPr>
        <w:spacing w:line="480" w:lineRule="auto"/>
        <w:jc w:val="center"/>
        <w:rPr>
          <w:rFonts w:ascii="Arial" w:hAnsi="Arial" w:cs="Arial"/>
          <w:sz w:val="24"/>
          <w:szCs w:val="24"/>
        </w:rPr>
      </w:pPr>
    </w:p>
    <w:p w14:paraId="6080E9FC" w14:textId="6005F456" w:rsidR="002B15D9" w:rsidRPr="002B15D9" w:rsidRDefault="002B15D9" w:rsidP="002B15D9">
      <w:pPr>
        <w:spacing w:line="480" w:lineRule="auto"/>
        <w:jc w:val="center"/>
        <w:rPr>
          <w:rFonts w:ascii="Arial" w:hAnsi="Arial" w:cs="Arial"/>
          <w:sz w:val="24"/>
          <w:szCs w:val="24"/>
        </w:rPr>
      </w:pPr>
    </w:p>
    <w:p w14:paraId="53BB6491" w14:textId="77777777" w:rsidR="002B15D9" w:rsidRPr="002B15D9" w:rsidRDefault="002B15D9" w:rsidP="002B15D9">
      <w:pPr>
        <w:spacing w:line="480" w:lineRule="auto"/>
        <w:jc w:val="center"/>
        <w:rPr>
          <w:rFonts w:ascii="Arial" w:hAnsi="Arial" w:cs="Arial"/>
          <w:sz w:val="24"/>
          <w:szCs w:val="24"/>
        </w:rPr>
      </w:pPr>
    </w:p>
    <w:p w14:paraId="120C0DA2" w14:textId="77777777" w:rsidR="00E706DD" w:rsidRPr="002B15D9" w:rsidRDefault="00E706DD" w:rsidP="00E706DD">
      <w:pPr>
        <w:spacing w:line="480" w:lineRule="auto"/>
        <w:jc w:val="center"/>
        <w:rPr>
          <w:rFonts w:ascii="Arial" w:hAnsi="Arial" w:cs="Arial"/>
          <w:sz w:val="24"/>
          <w:szCs w:val="24"/>
        </w:rPr>
      </w:pPr>
    </w:p>
    <w:p w14:paraId="7373C336" w14:textId="3BC9A518" w:rsidR="00E706DD" w:rsidRPr="002B15D9" w:rsidRDefault="006E0486" w:rsidP="006E0486">
      <w:pPr>
        <w:spacing w:line="480" w:lineRule="auto"/>
        <w:jc w:val="center"/>
        <w:rPr>
          <w:rStyle w:val="normaltextrun"/>
          <w:rFonts w:ascii="Arial" w:hAnsi="Arial" w:cs="Arial"/>
          <w:b/>
          <w:bCs/>
          <w:sz w:val="24"/>
          <w:szCs w:val="24"/>
        </w:rPr>
      </w:pPr>
      <w:r w:rsidRPr="002B15D9">
        <w:rPr>
          <w:rFonts w:ascii="Arial" w:hAnsi="Arial" w:cs="Arial"/>
          <w:b/>
          <w:bCs/>
          <w:sz w:val="24"/>
          <w:szCs w:val="24"/>
        </w:rPr>
        <w:t>BMCJ7000-</w:t>
      </w:r>
      <w:r w:rsidR="00E706DD" w:rsidRPr="002B15D9">
        <w:rPr>
          <w:rFonts w:ascii="Arial" w:hAnsi="Arial" w:cs="Arial"/>
          <w:b/>
          <w:bCs/>
          <w:sz w:val="24"/>
          <w:szCs w:val="24"/>
        </w:rPr>
        <w:t xml:space="preserve"> Evaluate the opinion that vulnerable people are being increasingly failed by the Criminal Justice System. Is this suggestion wrong in today’s environment?</w:t>
      </w:r>
    </w:p>
    <w:p w14:paraId="3B14D3C5" w14:textId="77777777" w:rsidR="00E706DD" w:rsidRPr="002B15D9" w:rsidRDefault="00E706DD" w:rsidP="00E706DD">
      <w:pPr>
        <w:spacing w:line="480" w:lineRule="auto"/>
        <w:jc w:val="center"/>
        <w:rPr>
          <w:rFonts w:ascii="Arial" w:hAnsi="Arial" w:cs="Arial"/>
          <w:sz w:val="24"/>
          <w:szCs w:val="24"/>
        </w:rPr>
      </w:pPr>
    </w:p>
    <w:p w14:paraId="290D0ECD" w14:textId="77777777" w:rsidR="00E706DD" w:rsidRPr="002B15D9" w:rsidRDefault="00E706DD" w:rsidP="00E706DD">
      <w:pPr>
        <w:spacing w:line="480" w:lineRule="auto"/>
        <w:jc w:val="center"/>
        <w:rPr>
          <w:rFonts w:ascii="Arial" w:hAnsi="Arial" w:cs="Arial"/>
          <w:sz w:val="24"/>
          <w:szCs w:val="24"/>
        </w:rPr>
      </w:pPr>
    </w:p>
    <w:p w14:paraId="74FD86F7" w14:textId="77777777" w:rsidR="00E706DD" w:rsidRPr="002B15D9" w:rsidRDefault="00E706DD" w:rsidP="00E706DD">
      <w:pPr>
        <w:spacing w:line="480" w:lineRule="auto"/>
        <w:jc w:val="center"/>
        <w:rPr>
          <w:rFonts w:ascii="Arial" w:hAnsi="Arial" w:cs="Arial"/>
          <w:sz w:val="24"/>
          <w:szCs w:val="24"/>
        </w:rPr>
      </w:pPr>
      <w:r w:rsidRPr="002B15D9">
        <w:rPr>
          <w:rFonts w:ascii="Arial" w:hAnsi="Arial" w:cs="Arial"/>
          <w:sz w:val="24"/>
          <w:szCs w:val="24"/>
        </w:rPr>
        <w:t xml:space="preserve">Charlotte Smith </w:t>
      </w:r>
    </w:p>
    <w:p w14:paraId="3D2FB049" w14:textId="1AF4EB5B" w:rsidR="00E706DD" w:rsidRPr="002B15D9" w:rsidRDefault="00E706DD" w:rsidP="00E706DD">
      <w:pPr>
        <w:spacing w:line="480" w:lineRule="auto"/>
        <w:jc w:val="center"/>
        <w:rPr>
          <w:rFonts w:ascii="Arial" w:hAnsi="Arial" w:cs="Arial"/>
          <w:sz w:val="24"/>
          <w:szCs w:val="24"/>
        </w:rPr>
      </w:pPr>
      <w:r w:rsidRPr="002B15D9">
        <w:rPr>
          <w:rFonts w:ascii="Arial" w:hAnsi="Arial" w:cs="Arial"/>
          <w:sz w:val="24"/>
          <w:szCs w:val="24"/>
        </w:rPr>
        <w:t>Due 11/03/2022</w:t>
      </w:r>
    </w:p>
    <w:p w14:paraId="698AB26A" w14:textId="5CE4FD8E" w:rsidR="00E706DD" w:rsidRDefault="00E706DD" w:rsidP="00E706DD">
      <w:pPr>
        <w:spacing w:line="480" w:lineRule="auto"/>
        <w:jc w:val="center"/>
        <w:rPr>
          <w:rFonts w:ascii="Arial" w:hAnsi="Arial" w:cs="Arial"/>
          <w:sz w:val="24"/>
          <w:szCs w:val="24"/>
        </w:rPr>
      </w:pPr>
      <w:r w:rsidRPr="002B15D9">
        <w:rPr>
          <w:rFonts w:ascii="Arial" w:hAnsi="Arial" w:cs="Arial"/>
          <w:sz w:val="24"/>
          <w:szCs w:val="24"/>
        </w:rPr>
        <w:t>Word count-</w:t>
      </w:r>
      <w:r w:rsidR="0073190A" w:rsidRPr="002B15D9">
        <w:rPr>
          <w:rFonts w:ascii="Arial" w:hAnsi="Arial" w:cs="Arial"/>
          <w:sz w:val="24"/>
          <w:szCs w:val="24"/>
        </w:rPr>
        <w:t xml:space="preserve"> 32</w:t>
      </w:r>
      <w:r w:rsidR="00D32FF4" w:rsidRPr="002B15D9">
        <w:rPr>
          <w:rFonts w:ascii="Arial" w:hAnsi="Arial" w:cs="Arial"/>
          <w:sz w:val="24"/>
          <w:szCs w:val="24"/>
        </w:rPr>
        <w:t>06</w:t>
      </w:r>
    </w:p>
    <w:p w14:paraId="70853906" w14:textId="77777777" w:rsidR="0086142A" w:rsidRDefault="0086142A" w:rsidP="00E706DD">
      <w:pPr>
        <w:spacing w:line="480" w:lineRule="auto"/>
        <w:jc w:val="center"/>
        <w:rPr>
          <w:rFonts w:ascii="Arial" w:hAnsi="Arial" w:cs="Arial"/>
          <w:sz w:val="24"/>
          <w:szCs w:val="24"/>
        </w:rPr>
      </w:pPr>
    </w:p>
    <w:p w14:paraId="241B8B97" w14:textId="77777777" w:rsidR="0086142A" w:rsidRDefault="0086142A" w:rsidP="002B15D9">
      <w:pPr>
        <w:spacing w:line="480" w:lineRule="auto"/>
        <w:rPr>
          <w:rFonts w:ascii="Arial" w:hAnsi="Arial" w:cs="Arial"/>
          <w:sz w:val="24"/>
          <w:szCs w:val="24"/>
        </w:rPr>
      </w:pPr>
    </w:p>
    <w:p w14:paraId="5FE4088A" w14:textId="77777777" w:rsidR="002B15D9" w:rsidRPr="00BD4ACE" w:rsidRDefault="002B15D9" w:rsidP="002B15D9">
      <w:pPr>
        <w:spacing w:line="480" w:lineRule="auto"/>
        <w:rPr>
          <w:rFonts w:ascii="Arial" w:hAnsi="Arial" w:cs="Arial"/>
          <w:sz w:val="24"/>
          <w:szCs w:val="24"/>
        </w:rPr>
      </w:pPr>
    </w:p>
    <w:p w14:paraId="1395EB86" w14:textId="1F69606D" w:rsidR="00AD2755" w:rsidRPr="004B23BD" w:rsidRDefault="00C768E5"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lastRenderedPageBreak/>
        <w:t>T</w:t>
      </w:r>
      <w:r w:rsidR="00250BC8" w:rsidRPr="004B23BD">
        <w:rPr>
          <w:rFonts w:ascii="Arial" w:hAnsi="Arial" w:cs="Arial"/>
          <w:sz w:val="24"/>
          <w:szCs w:val="24"/>
        </w:rPr>
        <w:t>his essay will focus on a</w:t>
      </w:r>
      <w:r w:rsidR="00646664" w:rsidRPr="004B23BD">
        <w:rPr>
          <w:rFonts w:ascii="Arial" w:hAnsi="Arial" w:cs="Arial"/>
          <w:sz w:val="24"/>
          <w:szCs w:val="24"/>
        </w:rPr>
        <w:t xml:space="preserve"> vulnerable individual in the roles of criminal, victim, and witness </w:t>
      </w:r>
      <w:r w:rsidR="009D0ADA" w:rsidRPr="004B23BD">
        <w:rPr>
          <w:rFonts w:ascii="Arial" w:hAnsi="Arial" w:cs="Arial"/>
          <w:sz w:val="24"/>
          <w:szCs w:val="24"/>
        </w:rPr>
        <w:t>to</w:t>
      </w:r>
      <w:r w:rsidR="00646664" w:rsidRPr="004B23BD">
        <w:rPr>
          <w:rFonts w:ascii="Arial" w:hAnsi="Arial" w:cs="Arial"/>
          <w:sz w:val="24"/>
          <w:szCs w:val="24"/>
        </w:rPr>
        <w:t xml:space="preserve"> explain why vulnerable people, particularly those with mental illnesses, women, and children, </w:t>
      </w:r>
      <w:r w:rsidR="00C266D4" w:rsidRPr="004B23BD">
        <w:rPr>
          <w:rFonts w:ascii="Arial" w:hAnsi="Arial" w:cs="Arial"/>
          <w:sz w:val="24"/>
          <w:szCs w:val="24"/>
        </w:rPr>
        <w:t>could b</w:t>
      </w:r>
      <w:r w:rsidR="00937388" w:rsidRPr="004B23BD">
        <w:rPr>
          <w:rFonts w:ascii="Arial" w:hAnsi="Arial" w:cs="Arial"/>
          <w:sz w:val="24"/>
          <w:szCs w:val="24"/>
        </w:rPr>
        <w:t xml:space="preserve">e </w:t>
      </w:r>
      <w:r w:rsidR="00B60BFE" w:rsidRPr="004B23BD">
        <w:rPr>
          <w:rFonts w:ascii="Arial" w:hAnsi="Arial" w:cs="Arial"/>
          <w:sz w:val="24"/>
          <w:szCs w:val="24"/>
        </w:rPr>
        <w:t>progressively f</w:t>
      </w:r>
      <w:r w:rsidR="00C266D4" w:rsidRPr="004B23BD">
        <w:rPr>
          <w:rFonts w:ascii="Arial" w:hAnsi="Arial" w:cs="Arial"/>
          <w:sz w:val="24"/>
          <w:szCs w:val="24"/>
        </w:rPr>
        <w:t>ailed b</w:t>
      </w:r>
      <w:r w:rsidR="00646664" w:rsidRPr="004B23BD">
        <w:rPr>
          <w:rFonts w:ascii="Arial" w:hAnsi="Arial" w:cs="Arial"/>
          <w:sz w:val="24"/>
          <w:szCs w:val="24"/>
        </w:rPr>
        <w:t>y the criminal justice system</w:t>
      </w:r>
      <w:r w:rsidR="005A0725" w:rsidRPr="004B23BD">
        <w:rPr>
          <w:rFonts w:ascii="Arial" w:hAnsi="Arial" w:cs="Arial"/>
          <w:sz w:val="24"/>
          <w:szCs w:val="24"/>
        </w:rPr>
        <w:t xml:space="preserve"> (CJS)</w:t>
      </w:r>
      <w:r w:rsidR="00250BC8" w:rsidRPr="004B23BD">
        <w:rPr>
          <w:rFonts w:ascii="Arial" w:hAnsi="Arial" w:cs="Arial"/>
          <w:sz w:val="24"/>
          <w:szCs w:val="24"/>
        </w:rPr>
        <w:t xml:space="preserve">. With recognition of the mechanisms in place to preserve them, as well as previous and future developments.  </w:t>
      </w:r>
    </w:p>
    <w:p w14:paraId="28AFA7E8" w14:textId="77777777" w:rsidR="006E15E7" w:rsidRDefault="006E15E7" w:rsidP="004B23BD">
      <w:pPr>
        <w:overflowPunct w:val="0"/>
        <w:autoSpaceDE w:val="0"/>
        <w:autoSpaceDN w:val="0"/>
        <w:adjustRightInd w:val="0"/>
        <w:spacing w:before="240" w:line="480" w:lineRule="auto"/>
        <w:jc w:val="both"/>
        <w:textAlignment w:val="baseline"/>
        <w:rPr>
          <w:rFonts w:ascii="Arial" w:hAnsi="Arial" w:cs="Arial"/>
          <w:sz w:val="24"/>
          <w:szCs w:val="24"/>
        </w:rPr>
      </w:pPr>
      <w:r w:rsidRPr="006E15E7">
        <w:rPr>
          <w:rFonts w:ascii="Arial" w:hAnsi="Arial" w:cs="Arial"/>
          <w:sz w:val="24"/>
          <w:szCs w:val="24"/>
        </w:rPr>
        <w:t>Vulnerability is widely employed in the social sciences literature as a type of sociological shorthand or identification for worthiness, which is commonly thought to be innate, physical, and tied to one's life cycle (pregnancy, older age, childhood). The concept has been linked to childhood for decades (Rousseau, 1792), but it has only recently emerged as a prominent phrase in developmental childhood studies (Brotherton and Cronin, 2013). According to this view, when children are not fully matured, they are vulnerable to adverse influences that may disrupt the 'normal' conclusion of the growth process.</w:t>
      </w:r>
    </w:p>
    <w:p w14:paraId="5A0F89B1" w14:textId="77777777" w:rsidR="0007616A" w:rsidRDefault="0007616A" w:rsidP="004B23BD">
      <w:pPr>
        <w:overflowPunct w:val="0"/>
        <w:autoSpaceDE w:val="0"/>
        <w:autoSpaceDN w:val="0"/>
        <w:adjustRightInd w:val="0"/>
        <w:spacing w:before="240" w:line="480" w:lineRule="auto"/>
        <w:jc w:val="both"/>
        <w:textAlignment w:val="baseline"/>
        <w:rPr>
          <w:rFonts w:ascii="Arial" w:hAnsi="Arial" w:cs="Arial"/>
          <w:sz w:val="24"/>
          <w:szCs w:val="24"/>
        </w:rPr>
      </w:pPr>
      <w:r w:rsidRPr="0007616A">
        <w:rPr>
          <w:rFonts w:ascii="Arial" w:hAnsi="Arial" w:cs="Arial"/>
          <w:sz w:val="24"/>
          <w:szCs w:val="24"/>
        </w:rPr>
        <w:t>his approach, like other more biologically inclined hypotheses, assumes that some people are 'naturally' more sensitive than others. The notion that certain adults are "innately" fragile arises in some (now contested) normative interpretations of disability, contradicting the commonly accepted "social model of disability" (Barnes and Mercer, 1996), which underlines the processes and methods by which society disables individuals. Contemporary ideas about the social framework of social problems have highlighted how normative accounts of the human condition differ, observing and supporting social norms and organised by political, social, and economic aspects rather than 'natural' ones, and 'innate' accounts of vulnerability that have influenced policy have been called into question on this basis.</w:t>
      </w:r>
    </w:p>
    <w:p w14:paraId="5F50ACD3" w14:textId="641D7B49" w:rsidR="00CE3FB1" w:rsidRDefault="00C768E5"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lastRenderedPageBreak/>
        <w:t xml:space="preserve">Brown, 2015, and Mackenzie et al., 2014, for example, use normative explanations of vulnerability to highlight situational problems, where the term is used to differentiate or identify specific unpleasant experiences, violations, or groups of people who may be in situations of social hardship. </w:t>
      </w:r>
    </w:p>
    <w:p w14:paraId="1AB42F69" w14:textId="690E293B" w:rsidR="00C768E5" w:rsidRPr="004B23BD" w:rsidRDefault="00C768E5"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Situational vulnerability brings attention to the potential for harm as well as instances of actual harm that have happened (Mackenzie et al., 2014). Homeless individuals, women who work in the sex industry, asylum seekers and refugees, traveling communities, women experiencing domestic violence, substance abusers, poorer people, and prisoners (especially women) are examples of situational vulnerability, but it can also apply to more general populations such as women or black and ethnic minority groups (Peroni and Timmer, 2013). The concept of vulnerability is frequently invoked in this context to emphasise personal or communal biographical experiences that necessitate special treatment or exceptions in policy and practise processes. In a world where essentializing constructions of the objects and subjects of social interventions are the norm, ideas of vulnerability and transgression frequently coexist (Dobson, 2015), which might promote hierarchies of legitimacy in criminal justice interventions (Walkgate, 2011).</w:t>
      </w:r>
    </w:p>
    <w:p w14:paraId="0F9120CA" w14:textId="77777777" w:rsidR="001A7F40" w:rsidRDefault="00C768E5" w:rsidP="001A7F40">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 xml:space="preserve">Situational vulnerability configurations might emphasise the active participation of a problematic or malevolent third party or structural force, but they can also include components of individual agency or choice. As a result, socio-political, family, and community factors may be present in narratives of situational vulnerability. Increasingly evident conceptions about 'victimhood' and concerns about the specific obligations that society is supposed to owe to people classed as 'victims' may be related to narratives that emphasise the situational vulnerabilities of certain groups </w:t>
      </w:r>
      <w:r w:rsidRPr="004B23BD">
        <w:rPr>
          <w:rFonts w:ascii="Arial" w:hAnsi="Arial" w:cs="Arial"/>
          <w:sz w:val="24"/>
          <w:szCs w:val="24"/>
        </w:rPr>
        <w:lastRenderedPageBreak/>
        <w:t xml:space="preserve">(Walkgate, 2011). However, in terms of policy, these tend to be focused on individuals rather than national or international economic, political, or cultural forces that affect the entire population. </w:t>
      </w:r>
      <w:r w:rsidR="001A7F40" w:rsidRPr="001A7F40">
        <w:rPr>
          <w:rFonts w:ascii="Arial" w:hAnsi="Arial" w:cs="Arial"/>
          <w:sz w:val="24"/>
          <w:szCs w:val="24"/>
        </w:rPr>
        <w:t>While some activists and social movements see vulnerability identification as an important means of obtaining external, generally state-sponsored, protection for specific individuals or groups (McLaughlin, 2012), others see it as a widespread form of 'victim blaming' (Wishart, 2003), focusing on individual deficit rather than larger structural issues and problems.</w:t>
      </w:r>
      <w:r w:rsidR="001A7F40" w:rsidRPr="001A7F40">
        <w:rPr>
          <w:rFonts w:ascii="Arial" w:hAnsi="Arial" w:cs="Arial"/>
          <w:sz w:val="24"/>
          <w:szCs w:val="24"/>
        </w:rPr>
        <w:t xml:space="preserve"> </w:t>
      </w:r>
    </w:p>
    <w:p w14:paraId="14D2BF3F" w14:textId="48C77C65" w:rsidR="0080685D" w:rsidRPr="004B23BD" w:rsidRDefault="00506D9A" w:rsidP="001A7F40">
      <w:pPr>
        <w:overflowPunct w:val="0"/>
        <w:autoSpaceDE w:val="0"/>
        <w:autoSpaceDN w:val="0"/>
        <w:adjustRightInd w:val="0"/>
        <w:spacing w:before="240" w:line="480" w:lineRule="auto"/>
        <w:jc w:val="both"/>
        <w:textAlignment w:val="baseline"/>
        <w:rPr>
          <w:rFonts w:ascii="Arial" w:hAnsi="Arial" w:cs="Arial"/>
          <w:i/>
          <w:iCs/>
          <w:sz w:val="24"/>
          <w:szCs w:val="24"/>
        </w:rPr>
      </w:pPr>
      <w:r w:rsidRPr="004B23BD">
        <w:rPr>
          <w:rFonts w:ascii="Arial" w:hAnsi="Arial" w:cs="Arial"/>
          <w:b/>
          <w:bCs/>
          <w:i/>
          <w:iCs/>
          <w:sz w:val="24"/>
          <w:szCs w:val="24"/>
        </w:rPr>
        <w:t>‘</w:t>
      </w:r>
      <w:r w:rsidR="00FA3BAD" w:rsidRPr="00FA3BAD">
        <w:rPr>
          <w:rFonts w:ascii="Arial" w:hAnsi="Arial" w:cs="Arial"/>
          <w:i/>
          <w:iCs/>
          <w:sz w:val="24"/>
          <w:szCs w:val="24"/>
        </w:rPr>
        <w:t xml:space="preserve">There is no investigator who denies the fearful role played by mental deficiency in the production of vice, </w:t>
      </w:r>
      <w:r w:rsidR="001A7F40" w:rsidRPr="00FA3BAD">
        <w:rPr>
          <w:rFonts w:ascii="Arial" w:hAnsi="Arial" w:cs="Arial"/>
          <w:i/>
          <w:iCs/>
          <w:sz w:val="24"/>
          <w:szCs w:val="24"/>
        </w:rPr>
        <w:t>crime,</w:t>
      </w:r>
      <w:r w:rsidR="00FA3BAD" w:rsidRPr="00FA3BAD">
        <w:rPr>
          <w:rFonts w:ascii="Arial" w:hAnsi="Arial" w:cs="Arial"/>
          <w:i/>
          <w:iCs/>
          <w:sz w:val="24"/>
          <w:szCs w:val="24"/>
        </w:rPr>
        <w:t xml:space="preserve"> and delinquency ... not all criminals are feeble-minded but all feeble-minded are at least potential criminals</w:t>
      </w:r>
      <w:r w:rsidR="00FA3BAD" w:rsidRPr="00FA3BAD">
        <w:rPr>
          <w:rFonts w:ascii="Arial" w:hAnsi="Arial" w:cs="Arial"/>
          <w:i/>
          <w:iCs/>
          <w:sz w:val="32"/>
          <w:szCs w:val="32"/>
        </w:rPr>
        <w:t xml:space="preserve"> </w:t>
      </w:r>
      <w:r w:rsidR="00CE5CE9" w:rsidRPr="00FA3BAD">
        <w:rPr>
          <w:rFonts w:ascii="Arial" w:hAnsi="Arial" w:cs="Arial"/>
          <w:i/>
          <w:iCs/>
          <w:sz w:val="24"/>
          <w:szCs w:val="24"/>
        </w:rPr>
        <w:t>‘</w:t>
      </w:r>
      <w:r w:rsidRPr="00FA3BAD">
        <w:rPr>
          <w:rFonts w:ascii="Arial" w:hAnsi="Arial" w:cs="Arial"/>
          <w:i/>
          <w:iCs/>
          <w:sz w:val="24"/>
          <w:szCs w:val="24"/>
        </w:rPr>
        <w:t>(Terman, 1916</w:t>
      </w:r>
      <w:r w:rsidR="002A588A" w:rsidRPr="00FA3BAD">
        <w:rPr>
          <w:rFonts w:ascii="Arial" w:hAnsi="Arial" w:cs="Arial"/>
          <w:i/>
          <w:iCs/>
          <w:sz w:val="24"/>
          <w:szCs w:val="24"/>
        </w:rPr>
        <w:t xml:space="preserve"> in Craft</w:t>
      </w:r>
      <w:r w:rsidR="00DE0052" w:rsidRPr="00FA3BAD">
        <w:rPr>
          <w:rFonts w:ascii="Arial" w:hAnsi="Arial" w:cs="Arial"/>
          <w:i/>
          <w:iCs/>
          <w:sz w:val="24"/>
          <w:szCs w:val="24"/>
        </w:rPr>
        <w:t xml:space="preserve"> 1984</w:t>
      </w:r>
      <w:r w:rsidRPr="00FA3BAD">
        <w:rPr>
          <w:rFonts w:ascii="Arial" w:hAnsi="Arial" w:cs="Arial"/>
          <w:i/>
          <w:iCs/>
          <w:sz w:val="24"/>
          <w:szCs w:val="24"/>
        </w:rPr>
        <w:t>).</w:t>
      </w:r>
    </w:p>
    <w:p w14:paraId="1A2C04F6" w14:textId="3D2BF9B5" w:rsidR="00055723" w:rsidRPr="004B23BD" w:rsidRDefault="0080685D" w:rsidP="004B23BD">
      <w:pPr>
        <w:overflowPunct w:val="0"/>
        <w:autoSpaceDE w:val="0"/>
        <w:autoSpaceDN w:val="0"/>
        <w:adjustRightInd w:val="0"/>
        <w:spacing w:before="240" w:line="480" w:lineRule="auto"/>
        <w:jc w:val="both"/>
        <w:textAlignment w:val="baseline"/>
        <w:rPr>
          <w:rFonts w:ascii="Arial" w:hAnsi="Arial" w:cs="Arial"/>
          <w:sz w:val="24"/>
          <w:szCs w:val="24"/>
          <w:highlight w:val="green"/>
        </w:rPr>
      </w:pPr>
      <w:r w:rsidRPr="004B23BD">
        <w:rPr>
          <w:rFonts w:ascii="Arial" w:hAnsi="Arial" w:cs="Arial"/>
          <w:sz w:val="24"/>
          <w:szCs w:val="24"/>
        </w:rPr>
        <w:t xml:space="preserve">Many of the conclusions of early research </w:t>
      </w:r>
      <w:r w:rsidR="000C08B3">
        <w:rPr>
          <w:rFonts w:ascii="Arial" w:hAnsi="Arial" w:cs="Arial"/>
          <w:sz w:val="24"/>
          <w:szCs w:val="24"/>
        </w:rPr>
        <w:t xml:space="preserve">into mental illness </w:t>
      </w:r>
      <w:r w:rsidRPr="004B23BD">
        <w:rPr>
          <w:rFonts w:ascii="Arial" w:hAnsi="Arial" w:cs="Arial"/>
          <w:sz w:val="24"/>
          <w:szCs w:val="24"/>
        </w:rPr>
        <w:t xml:space="preserve">were eventually found to be the result of poor </w:t>
      </w:r>
      <w:r w:rsidR="003E7840" w:rsidRPr="004B23BD">
        <w:rPr>
          <w:rFonts w:ascii="Arial" w:hAnsi="Arial" w:cs="Arial"/>
          <w:sz w:val="24"/>
          <w:szCs w:val="24"/>
        </w:rPr>
        <w:t>methodology</w:t>
      </w:r>
      <w:r w:rsidR="00055723" w:rsidRPr="004B23BD">
        <w:rPr>
          <w:rFonts w:ascii="Arial" w:hAnsi="Arial" w:cs="Arial"/>
          <w:sz w:val="24"/>
          <w:szCs w:val="24"/>
        </w:rPr>
        <w:t xml:space="preserve"> </w:t>
      </w:r>
      <w:r w:rsidR="00A55260" w:rsidRPr="004B23BD">
        <w:rPr>
          <w:rFonts w:ascii="Arial" w:hAnsi="Arial" w:cs="Arial"/>
          <w:sz w:val="24"/>
          <w:szCs w:val="24"/>
        </w:rPr>
        <w:t>(Woodward, 1955)</w:t>
      </w:r>
      <w:r w:rsidRPr="004B23BD">
        <w:rPr>
          <w:rFonts w:ascii="Arial" w:hAnsi="Arial" w:cs="Arial"/>
          <w:sz w:val="24"/>
          <w:szCs w:val="24"/>
        </w:rPr>
        <w:t xml:space="preserve"> -inappropriate tests, samples, or norms. </w:t>
      </w:r>
      <w:r w:rsidR="00506D9A" w:rsidRPr="004B23BD">
        <w:rPr>
          <w:rFonts w:ascii="Arial" w:hAnsi="Arial" w:cs="Arial"/>
          <w:sz w:val="24"/>
          <w:szCs w:val="24"/>
        </w:rPr>
        <w:t>(Terman, 1916</w:t>
      </w:r>
      <w:r w:rsidR="002A588A" w:rsidRPr="004B23BD">
        <w:rPr>
          <w:rFonts w:ascii="Arial" w:hAnsi="Arial" w:cs="Arial"/>
          <w:sz w:val="24"/>
          <w:szCs w:val="24"/>
        </w:rPr>
        <w:t xml:space="preserve"> in Craft</w:t>
      </w:r>
      <w:r w:rsidR="00DE0052" w:rsidRPr="004B23BD">
        <w:rPr>
          <w:rFonts w:ascii="Arial" w:hAnsi="Arial" w:cs="Arial"/>
          <w:sz w:val="24"/>
          <w:szCs w:val="24"/>
        </w:rPr>
        <w:t xml:space="preserve"> </w:t>
      </w:r>
      <w:r w:rsidR="002A588A" w:rsidRPr="004B23BD">
        <w:rPr>
          <w:rFonts w:ascii="Arial" w:hAnsi="Arial" w:cs="Arial"/>
          <w:sz w:val="24"/>
          <w:szCs w:val="24"/>
        </w:rPr>
        <w:t>1984</w:t>
      </w:r>
      <w:r w:rsidR="00E1258C" w:rsidRPr="00E1258C">
        <w:rPr>
          <w:rFonts w:ascii="Arial" w:hAnsi="Arial" w:cs="Arial"/>
          <w:sz w:val="24"/>
          <w:szCs w:val="24"/>
        </w:rPr>
        <w:t>). Nonetheless, until recently, if a person with a learning disability was suspected of a crime, they may be confined in a hospital for months or years without a complete trial of the details of the case (for example, if they were unfit to build their own plea or if the person was detained in hospital under the Mental Health Act without proceeding through criminal court).</w:t>
      </w:r>
      <w:r w:rsidR="00DC1BDD" w:rsidRPr="004B23BD">
        <w:rPr>
          <w:rFonts w:ascii="Arial" w:hAnsi="Arial" w:cs="Arial"/>
          <w:sz w:val="24"/>
          <w:szCs w:val="24"/>
        </w:rPr>
        <w:t xml:space="preserve"> </w:t>
      </w:r>
    </w:p>
    <w:p w14:paraId="50BFDF04" w14:textId="77777777" w:rsidR="009922B8" w:rsidRDefault="009922B8" w:rsidP="004B23BD">
      <w:pPr>
        <w:overflowPunct w:val="0"/>
        <w:autoSpaceDE w:val="0"/>
        <w:autoSpaceDN w:val="0"/>
        <w:adjustRightInd w:val="0"/>
        <w:spacing w:before="240" w:line="480" w:lineRule="auto"/>
        <w:jc w:val="both"/>
        <w:textAlignment w:val="baseline"/>
        <w:rPr>
          <w:rFonts w:ascii="Arial" w:hAnsi="Arial" w:cs="Arial"/>
          <w:sz w:val="24"/>
          <w:szCs w:val="24"/>
        </w:rPr>
      </w:pPr>
      <w:r w:rsidRPr="009922B8">
        <w:rPr>
          <w:rFonts w:ascii="Arial" w:hAnsi="Arial" w:cs="Arial"/>
          <w:sz w:val="24"/>
          <w:szCs w:val="24"/>
        </w:rPr>
        <w:t>With the closure of hospitals and the shift toward care in the community, there is clear direction that this should not be legitimised, with two government reports (Department of Health, 1992; Department of Health, 1993) have recommended that individuals with disabilities should not be institutionalised whenever possible, once they've been found guilty in court, and that non-custodial sentences should be given only if hospital admission or imprisonment is strictly necessary.</w:t>
      </w:r>
    </w:p>
    <w:p w14:paraId="70FF602E" w14:textId="77777777" w:rsidR="00555C85" w:rsidRDefault="00555C85" w:rsidP="004B23BD">
      <w:pPr>
        <w:overflowPunct w:val="0"/>
        <w:autoSpaceDE w:val="0"/>
        <w:autoSpaceDN w:val="0"/>
        <w:adjustRightInd w:val="0"/>
        <w:spacing w:before="240" w:line="480" w:lineRule="auto"/>
        <w:jc w:val="both"/>
        <w:textAlignment w:val="baseline"/>
        <w:rPr>
          <w:rFonts w:ascii="Arial" w:hAnsi="Arial" w:cs="Arial"/>
          <w:sz w:val="24"/>
          <w:szCs w:val="24"/>
        </w:rPr>
      </w:pPr>
      <w:r w:rsidRPr="00555C85">
        <w:rPr>
          <w:rFonts w:ascii="Arial" w:hAnsi="Arial" w:cs="Arial"/>
          <w:sz w:val="24"/>
          <w:szCs w:val="24"/>
        </w:rPr>
        <w:lastRenderedPageBreak/>
        <w:t>People with learning disabilities are vulnerable by nature, which might affect the outcome of their cases and their prospects of achieving justice through the legal system. Some of the vulnerabilities also apply to victims of crime, but we'll focus on suspects here. People with learning impairments are more likely to have communication, memory, and problem-solving problems (Murphy, 1995), all of which affect interviews and vary dramatically across a wide range of ability. A police officer may face someone whose comprehension of language is exceedingly poor, or someone whose greatest method of communication is signing, or someone who looks to understand what is said because s/he replies in identical terms but is simply echolalic.</w:t>
      </w:r>
    </w:p>
    <w:p w14:paraId="1AEE055C" w14:textId="77777777" w:rsidR="00D7691F" w:rsidRDefault="00D7691F" w:rsidP="004B23BD">
      <w:pPr>
        <w:overflowPunct w:val="0"/>
        <w:autoSpaceDE w:val="0"/>
        <w:autoSpaceDN w:val="0"/>
        <w:adjustRightInd w:val="0"/>
        <w:spacing w:before="240" w:line="480" w:lineRule="auto"/>
        <w:jc w:val="both"/>
        <w:textAlignment w:val="baseline"/>
        <w:rPr>
          <w:rFonts w:ascii="Arial" w:hAnsi="Arial" w:cs="Arial"/>
          <w:sz w:val="24"/>
          <w:szCs w:val="24"/>
        </w:rPr>
      </w:pPr>
      <w:r w:rsidRPr="00D7691F">
        <w:rPr>
          <w:rFonts w:ascii="Arial" w:hAnsi="Arial" w:cs="Arial"/>
          <w:sz w:val="24"/>
          <w:szCs w:val="24"/>
        </w:rPr>
        <w:t>Perhaps most crucially, people with learning disabilities are more likely to obey what is required of them (Heal, 1995), especially if they perceive they have little power, as they might in a police station. Clare and Gudjonsson (1993) employed the Gudjonsson Suggestibility Scale to assess suggestibility in a legal setting (GSS). They discovered that those with learning problems, on average, were less able to retain a passage of vocally provided material and were considerably more likely to yield to leading questions about the content than people without learning disorders. As a group, they did not appear to be particularly prone to altering their replies under interrogative pressure.</w:t>
      </w:r>
    </w:p>
    <w:p w14:paraId="51D2BA73" w14:textId="77777777" w:rsidR="008B33B1" w:rsidRDefault="002F4EE6"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Furthermore, these and other research have demonstrated that people with learning impairments are more likely to be complaisant and confabulate</w:t>
      </w:r>
      <w:r w:rsidR="00F02070">
        <w:rPr>
          <w:rFonts w:ascii="Arial" w:hAnsi="Arial" w:cs="Arial"/>
          <w:sz w:val="24"/>
          <w:szCs w:val="24"/>
        </w:rPr>
        <w:t xml:space="preserve">, </w:t>
      </w:r>
      <w:r w:rsidRPr="004B23BD">
        <w:rPr>
          <w:rFonts w:ascii="Arial" w:hAnsi="Arial" w:cs="Arial"/>
          <w:sz w:val="24"/>
          <w:szCs w:val="24"/>
        </w:rPr>
        <w:t>versus people without learning disabilities</w:t>
      </w:r>
      <w:r w:rsidR="00ED1853" w:rsidRPr="004B23BD">
        <w:rPr>
          <w:rFonts w:ascii="Arial" w:hAnsi="Arial" w:cs="Arial"/>
          <w:sz w:val="24"/>
          <w:szCs w:val="24"/>
        </w:rPr>
        <w:t xml:space="preserve"> (Clare, 1993)</w:t>
      </w:r>
      <w:r w:rsidRPr="004B23BD">
        <w:rPr>
          <w:rFonts w:ascii="Arial" w:hAnsi="Arial" w:cs="Arial"/>
          <w:sz w:val="24"/>
          <w:szCs w:val="24"/>
        </w:rPr>
        <w:t xml:space="preserve">, implying that individuals with learning disabilities must be examined with utmost caution. At least for victims with learning problems, there is currently some guidance on how to effectively do this </w:t>
      </w:r>
      <w:r w:rsidR="00ED1853" w:rsidRPr="004B23BD">
        <w:rPr>
          <w:rFonts w:ascii="Arial" w:hAnsi="Arial" w:cs="Arial"/>
          <w:sz w:val="24"/>
          <w:szCs w:val="24"/>
        </w:rPr>
        <w:t xml:space="preserve">(Brown, </w:t>
      </w:r>
      <w:r w:rsidR="009F2F38" w:rsidRPr="004B23BD">
        <w:rPr>
          <w:rFonts w:ascii="Arial" w:hAnsi="Arial" w:cs="Arial"/>
          <w:sz w:val="24"/>
          <w:szCs w:val="24"/>
        </w:rPr>
        <w:t>1996)</w:t>
      </w:r>
      <w:r w:rsidRPr="004B23BD">
        <w:rPr>
          <w:rFonts w:ascii="Arial" w:hAnsi="Arial" w:cs="Arial"/>
          <w:sz w:val="24"/>
          <w:szCs w:val="24"/>
        </w:rPr>
        <w:t xml:space="preserve">. </w:t>
      </w:r>
      <w:r w:rsidR="008B33B1" w:rsidRPr="008B33B1">
        <w:rPr>
          <w:rFonts w:ascii="Arial" w:hAnsi="Arial" w:cs="Arial"/>
          <w:sz w:val="24"/>
          <w:szCs w:val="24"/>
        </w:rPr>
        <w:t xml:space="preserve">People </w:t>
      </w:r>
      <w:r w:rsidR="008B33B1" w:rsidRPr="008B33B1">
        <w:rPr>
          <w:rFonts w:ascii="Arial" w:hAnsi="Arial" w:cs="Arial"/>
          <w:sz w:val="24"/>
          <w:szCs w:val="24"/>
        </w:rPr>
        <w:lastRenderedPageBreak/>
        <w:t>with learning disabilities may appear to 'change their tales' in police stations and courtrooms due to difficulties with suggestibility, acquiescence, and confabulation.</w:t>
      </w:r>
    </w:p>
    <w:p w14:paraId="694DCF82" w14:textId="20B6D721" w:rsidR="00CF07AB" w:rsidRDefault="00EC1138" w:rsidP="004B23BD">
      <w:pPr>
        <w:overflowPunct w:val="0"/>
        <w:autoSpaceDE w:val="0"/>
        <w:autoSpaceDN w:val="0"/>
        <w:adjustRightInd w:val="0"/>
        <w:spacing w:before="240" w:line="480" w:lineRule="auto"/>
        <w:jc w:val="both"/>
        <w:textAlignment w:val="baseline"/>
        <w:rPr>
          <w:rFonts w:ascii="Arial" w:hAnsi="Arial" w:cs="Arial"/>
          <w:sz w:val="24"/>
          <w:szCs w:val="24"/>
        </w:rPr>
      </w:pPr>
      <w:r w:rsidRPr="00CF07AB">
        <w:rPr>
          <w:rFonts w:ascii="Arial" w:hAnsi="Arial" w:cs="Arial"/>
          <w:sz w:val="24"/>
          <w:szCs w:val="24"/>
        </w:rPr>
        <w:t>Individuals</w:t>
      </w:r>
      <w:r w:rsidR="00CF07AB" w:rsidRPr="00CF07AB">
        <w:rPr>
          <w:rFonts w:ascii="Arial" w:hAnsi="Arial" w:cs="Arial"/>
          <w:sz w:val="24"/>
          <w:szCs w:val="24"/>
        </w:rPr>
        <w:t xml:space="preserve"> with learning disabilities may fail to understand their rights, which can have catastrophic repercussions. According to the Police and Criminal Evidence Act 1984 (PACE) and the associated codes of practise (Home Office, 1995), anyone brought to a police station in England and Wales for questioning must first be cautioned and informed of three basic rights: to be informed of their arrest, to have legal advice, and to consult the codes of practise. These rights do not have to be exercised immediately. Following that, inmates must be given the Notice to Detained Individuals, which reiterates these rights and informs the defendant that he or she has the right to obtain a copy of the custody record (the entire record).</w:t>
      </w:r>
    </w:p>
    <w:p w14:paraId="26808662" w14:textId="77777777" w:rsidR="00FF0857" w:rsidRDefault="00FF0857" w:rsidP="004B23BD">
      <w:pPr>
        <w:overflowPunct w:val="0"/>
        <w:autoSpaceDE w:val="0"/>
        <w:autoSpaceDN w:val="0"/>
        <w:adjustRightInd w:val="0"/>
        <w:spacing w:before="240" w:line="480" w:lineRule="auto"/>
        <w:jc w:val="both"/>
        <w:textAlignment w:val="baseline"/>
        <w:rPr>
          <w:rFonts w:ascii="Arial" w:hAnsi="Arial" w:cs="Arial"/>
          <w:sz w:val="24"/>
          <w:szCs w:val="24"/>
        </w:rPr>
      </w:pPr>
      <w:r w:rsidRPr="00FF0857">
        <w:rPr>
          <w:rFonts w:ascii="Arial" w:hAnsi="Arial" w:cs="Arial"/>
          <w:sz w:val="24"/>
          <w:szCs w:val="24"/>
        </w:rPr>
        <w:t>People with learning disabilities, who may have poor comprehension and literacy skills, should consider whether they understand the caution, whether they tell police they have been unable to interpret the Notice to Detained Persons, and whether they can comprehend of the Notice if it is read to them. Gudjonsson and Clare studied these issues in a series of studies (Clare, 1991; Gudjonsson, 1992; Clare et al., 1998), and they also piloted a revised Notice with simpler phrasing (Clare, 1995). Despite its relative simplicity, persons with learning disabilities had difficulty understanding even the pre-1994 form of the warning (Clare, 1991).</w:t>
      </w:r>
    </w:p>
    <w:p w14:paraId="6DF0D5F8" w14:textId="551F22A2" w:rsidR="00BF1C7F" w:rsidRPr="004B23BD" w:rsidRDefault="0046362A"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 xml:space="preserve">However, a change to the right to silence under section 34 of the Criminal Justice and Public Order Act 1994 (England and Wales) resulted in a new and more </w:t>
      </w:r>
      <w:r w:rsidR="00AF051D">
        <w:rPr>
          <w:rFonts w:ascii="Arial" w:hAnsi="Arial" w:cs="Arial"/>
          <w:sz w:val="24"/>
          <w:szCs w:val="24"/>
        </w:rPr>
        <w:t xml:space="preserve">simplified </w:t>
      </w:r>
      <w:r w:rsidR="00AF051D" w:rsidRPr="004B23BD">
        <w:rPr>
          <w:rFonts w:ascii="Arial" w:hAnsi="Arial" w:cs="Arial"/>
          <w:sz w:val="24"/>
          <w:szCs w:val="24"/>
        </w:rPr>
        <w:t>wording</w:t>
      </w:r>
      <w:r w:rsidRPr="004B23BD">
        <w:rPr>
          <w:rFonts w:ascii="Arial" w:hAnsi="Arial" w:cs="Arial"/>
          <w:sz w:val="24"/>
          <w:szCs w:val="24"/>
        </w:rPr>
        <w:t xml:space="preserve"> to be suggest</w:t>
      </w:r>
      <w:r w:rsidR="00725069">
        <w:rPr>
          <w:rFonts w:ascii="Arial" w:hAnsi="Arial" w:cs="Arial"/>
          <w:sz w:val="24"/>
          <w:szCs w:val="24"/>
        </w:rPr>
        <w:t>ed</w:t>
      </w:r>
      <w:r w:rsidRPr="004B23BD">
        <w:rPr>
          <w:rFonts w:ascii="Arial" w:hAnsi="Arial" w:cs="Arial"/>
          <w:sz w:val="24"/>
          <w:szCs w:val="24"/>
        </w:rPr>
        <w:t xml:space="preserve"> and acquiescent if they do not comprehend caution: </w:t>
      </w:r>
    </w:p>
    <w:p w14:paraId="78EDB7EB" w14:textId="5DCCA49F" w:rsidR="008D46FA" w:rsidRPr="004B23BD" w:rsidRDefault="00BF1C7F" w:rsidP="004B23BD">
      <w:pPr>
        <w:overflowPunct w:val="0"/>
        <w:autoSpaceDE w:val="0"/>
        <w:autoSpaceDN w:val="0"/>
        <w:adjustRightInd w:val="0"/>
        <w:spacing w:before="240" w:line="480" w:lineRule="auto"/>
        <w:ind w:left="720"/>
        <w:jc w:val="both"/>
        <w:textAlignment w:val="baseline"/>
        <w:rPr>
          <w:rFonts w:ascii="Arial" w:hAnsi="Arial" w:cs="Arial"/>
          <w:sz w:val="24"/>
          <w:szCs w:val="24"/>
        </w:rPr>
      </w:pPr>
      <w:r w:rsidRPr="004B23BD">
        <w:rPr>
          <w:rFonts w:ascii="Arial" w:hAnsi="Arial" w:cs="Arial"/>
          <w:sz w:val="24"/>
          <w:szCs w:val="24"/>
        </w:rPr>
        <w:lastRenderedPageBreak/>
        <w:t>‘</w:t>
      </w:r>
      <w:r w:rsidR="0046362A" w:rsidRPr="00FA3BAD">
        <w:rPr>
          <w:rFonts w:ascii="Arial" w:hAnsi="Arial" w:cs="Arial"/>
          <w:i/>
          <w:iCs/>
          <w:sz w:val="24"/>
          <w:szCs w:val="24"/>
        </w:rPr>
        <w:t>You are not required to mention anything. But it may harm your defence if you do not mention when questioned something which you later rely on in court.</w:t>
      </w:r>
      <w:r w:rsidR="008D46FA" w:rsidRPr="00FA3BAD">
        <w:rPr>
          <w:rFonts w:ascii="Arial" w:hAnsi="Arial" w:cs="Arial"/>
          <w:i/>
          <w:iCs/>
          <w:sz w:val="24"/>
          <w:szCs w:val="24"/>
        </w:rPr>
        <w:t xml:space="preserve"> And may be given in evidence against you’ </w:t>
      </w:r>
      <w:r w:rsidR="00185065" w:rsidRPr="00FA3BAD">
        <w:rPr>
          <w:rFonts w:ascii="Arial" w:hAnsi="Arial" w:cs="Arial"/>
          <w:i/>
          <w:iCs/>
          <w:sz w:val="24"/>
          <w:szCs w:val="24"/>
        </w:rPr>
        <w:t>(</w:t>
      </w:r>
      <w:r w:rsidR="00AB548C" w:rsidRPr="00FA3BAD">
        <w:rPr>
          <w:rFonts w:ascii="Arial" w:hAnsi="Arial" w:cs="Arial"/>
          <w:i/>
          <w:iCs/>
          <w:sz w:val="24"/>
          <w:szCs w:val="24"/>
        </w:rPr>
        <w:t>Clare et. al., 1998</w:t>
      </w:r>
      <w:r w:rsidR="00185065" w:rsidRPr="00FA3BAD">
        <w:rPr>
          <w:rFonts w:ascii="Arial" w:hAnsi="Arial" w:cs="Arial"/>
          <w:i/>
          <w:iCs/>
          <w:sz w:val="24"/>
          <w:szCs w:val="24"/>
        </w:rPr>
        <w:t>, p.179).</w:t>
      </w:r>
    </w:p>
    <w:p w14:paraId="10D34571" w14:textId="77777777" w:rsidR="00E44928" w:rsidRDefault="00E44928" w:rsidP="004B23BD">
      <w:pPr>
        <w:overflowPunct w:val="0"/>
        <w:autoSpaceDE w:val="0"/>
        <w:autoSpaceDN w:val="0"/>
        <w:adjustRightInd w:val="0"/>
        <w:spacing w:before="240" w:line="480" w:lineRule="auto"/>
        <w:jc w:val="both"/>
        <w:textAlignment w:val="baseline"/>
        <w:rPr>
          <w:rFonts w:ascii="Arial" w:hAnsi="Arial" w:cs="Arial"/>
          <w:sz w:val="24"/>
          <w:szCs w:val="24"/>
        </w:rPr>
      </w:pPr>
      <w:r w:rsidRPr="00E44928">
        <w:rPr>
          <w:rFonts w:ascii="Arial" w:hAnsi="Arial" w:cs="Arial"/>
          <w:sz w:val="24"/>
          <w:szCs w:val="24"/>
        </w:rPr>
        <w:t>When this additional caution was presented in its entirety, as it would typically be, it was revealed that relatively few people could properly explain all three claims (only 8% of A-level students, 7% of a group of regular people with normal intellect, and 48% of police officers could) (Clare et. al., 1998). The middle sentence appeared to be particularly challenging (only 18 percent of A-level students and 7 percent of the ordinary group had the ability to explain this sentence on its own). Even fewer people with learning difficulties are likely to understand the new language, implying that a rewriting of such complicated and technical language should be involved (Clare et. al., 1998).</w:t>
      </w:r>
    </w:p>
    <w:p w14:paraId="7A96C535" w14:textId="61F50BD1" w:rsidR="00A43422" w:rsidRPr="004B23BD" w:rsidRDefault="00CD4600"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For the last few years, victim vulnerability has been a more visible concern inside the CJS. Domestic violence has recently been in the forefront of the CJS's focus on vulnerability risk factors and the potential harm that the victim may face in the future.</w:t>
      </w:r>
    </w:p>
    <w:p w14:paraId="64B895DC" w14:textId="77777777" w:rsidR="00A43422" w:rsidRPr="004B23BD" w:rsidRDefault="00235D4F"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"Any act within an intimate connection that causes physical, psychological, or sexual harm to persons in the relationship" is what intimate partner violence (IPV) is defined as (Heise and Garcia-Moreno, 2002). According to a recent meta-analysis, the global average lifetime prevalence of IPV for women is 30%. (Devries et al. 2013). Prevalence varies by region, with Western Europe having the lowest rate (19.3%), which includes Sweden, where the current study was conducted. In a national survey in Sweden, women aged 16–79 were found to be victimised 25.5 percent of the time, while men aged 16–79 were found to be victimised 16.8 percent of the time.</w:t>
      </w:r>
      <w:r w:rsidR="00F11D5E" w:rsidRPr="004B23BD">
        <w:rPr>
          <w:rFonts w:ascii="Arial" w:hAnsi="Arial" w:cs="Arial"/>
          <w:sz w:val="24"/>
          <w:szCs w:val="24"/>
        </w:rPr>
        <w:t xml:space="preserve"> </w:t>
      </w:r>
    </w:p>
    <w:p w14:paraId="7CBF4ACE" w14:textId="72BD6604" w:rsidR="00D859EF" w:rsidRPr="004B23BD" w:rsidRDefault="00F11D5E"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lastRenderedPageBreak/>
        <w:t>There is a lot of effort and research being done to prevent IPV. IPV risk assessment is one area where research has increased exponentially (Messing and Thaller 2013). The process of acquiring and analysing information to identify risk (e.g., nature, severity, frequency/duration, imminence, and likelihood) is known as violence risk assessment. The process of devising actions to lower the risk of violence is usually followed by violence risk assessment</w:t>
      </w:r>
      <w:r w:rsidR="00B91861">
        <w:rPr>
          <w:rFonts w:ascii="Arial" w:hAnsi="Arial" w:cs="Arial"/>
          <w:sz w:val="24"/>
          <w:szCs w:val="24"/>
        </w:rPr>
        <w:t>s</w:t>
      </w:r>
      <w:r w:rsidR="00EA7010" w:rsidRPr="004B23BD">
        <w:rPr>
          <w:rFonts w:ascii="Arial" w:hAnsi="Arial" w:cs="Arial"/>
          <w:sz w:val="24"/>
          <w:szCs w:val="24"/>
        </w:rPr>
        <w:t xml:space="preserve"> (Storey and Strand, 20</w:t>
      </w:r>
      <w:r w:rsidR="007E5311" w:rsidRPr="004B23BD">
        <w:rPr>
          <w:rFonts w:ascii="Arial" w:hAnsi="Arial" w:cs="Arial"/>
          <w:sz w:val="24"/>
          <w:szCs w:val="24"/>
        </w:rPr>
        <w:t>17</w:t>
      </w:r>
      <w:r w:rsidR="00B91861">
        <w:rPr>
          <w:rFonts w:ascii="Arial" w:hAnsi="Arial" w:cs="Arial"/>
          <w:sz w:val="24"/>
          <w:szCs w:val="24"/>
        </w:rPr>
        <w:t>)</w:t>
      </w:r>
      <w:r w:rsidRPr="004B23BD">
        <w:rPr>
          <w:rFonts w:ascii="Arial" w:hAnsi="Arial" w:cs="Arial"/>
          <w:sz w:val="24"/>
          <w:szCs w:val="24"/>
        </w:rPr>
        <w:t xml:space="preserve">. There </w:t>
      </w:r>
      <w:r w:rsidR="000B65C0" w:rsidRPr="004B23BD">
        <w:rPr>
          <w:rFonts w:ascii="Arial" w:hAnsi="Arial" w:cs="Arial"/>
          <w:sz w:val="24"/>
          <w:szCs w:val="24"/>
        </w:rPr>
        <w:t>has</w:t>
      </w:r>
      <w:r w:rsidRPr="004B23BD">
        <w:rPr>
          <w:rFonts w:ascii="Arial" w:hAnsi="Arial" w:cs="Arial"/>
          <w:sz w:val="24"/>
          <w:szCs w:val="24"/>
        </w:rPr>
        <w:t xml:space="preserve"> been numerous IPV risk assessment instruments developed. </w:t>
      </w:r>
      <w:r w:rsidR="000B65C0" w:rsidRPr="004B23BD">
        <w:rPr>
          <w:rFonts w:ascii="Arial" w:hAnsi="Arial" w:cs="Arial"/>
          <w:sz w:val="24"/>
          <w:szCs w:val="24"/>
        </w:rPr>
        <w:t>Most of</w:t>
      </w:r>
      <w:r w:rsidRPr="004B23BD">
        <w:rPr>
          <w:rFonts w:ascii="Arial" w:hAnsi="Arial" w:cs="Arial"/>
          <w:sz w:val="24"/>
          <w:szCs w:val="24"/>
        </w:rPr>
        <w:t xml:space="preserve"> these instruments concentrate solely or primarily on risk factors relating to the IPV perpetrator.</w:t>
      </w:r>
    </w:p>
    <w:p w14:paraId="68BAABA4" w14:textId="6D0E7D2F" w:rsidR="00202B26" w:rsidRPr="004B23BD" w:rsidRDefault="0061251A" w:rsidP="004B23BD">
      <w:pPr>
        <w:overflowPunct w:val="0"/>
        <w:autoSpaceDE w:val="0"/>
        <w:autoSpaceDN w:val="0"/>
        <w:adjustRightInd w:val="0"/>
        <w:spacing w:before="240" w:line="480" w:lineRule="auto"/>
        <w:jc w:val="both"/>
        <w:textAlignment w:val="baseline"/>
        <w:rPr>
          <w:rFonts w:ascii="Arial" w:hAnsi="Arial" w:cs="Arial"/>
          <w:sz w:val="24"/>
          <w:szCs w:val="24"/>
        </w:rPr>
      </w:pPr>
      <w:r w:rsidRPr="0061251A">
        <w:rPr>
          <w:rFonts w:ascii="Arial" w:hAnsi="Arial" w:cs="Arial"/>
          <w:sz w:val="24"/>
          <w:szCs w:val="24"/>
        </w:rPr>
        <w:t xml:space="preserve">With COVID-19 classified as a global pandemic, governments are under growing pressure to take steps to restrict the disease's spread among the population. One of the nation's early actions was a national 'lockdown,' or quarantine. As a result, people's daily lives have been radically affected. </w:t>
      </w:r>
      <w:proofErr w:type="gramStart"/>
      <w:r w:rsidRPr="0061251A">
        <w:rPr>
          <w:rFonts w:ascii="Arial" w:hAnsi="Arial" w:cs="Arial"/>
          <w:sz w:val="24"/>
          <w:szCs w:val="24"/>
        </w:rPr>
        <w:t>The majority of</w:t>
      </w:r>
      <w:proofErr w:type="gramEnd"/>
      <w:r w:rsidRPr="0061251A">
        <w:rPr>
          <w:rFonts w:ascii="Arial" w:hAnsi="Arial" w:cs="Arial"/>
          <w:sz w:val="24"/>
          <w:szCs w:val="24"/>
        </w:rPr>
        <w:t xml:space="preserve"> their work is done at home, and they make every effort to maintain social distance. These protections are critical for healthcare system security. However, just as a coin has two sides, the good COVID-19-fighting efforts are not without downsides. The possibility of losing a job, economic disadvantages, and psychological health issues caused by isolation, loneliness, and anxiety are just a few of the negative consequences.</w:t>
      </w:r>
      <w:r>
        <w:rPr>
          <w:rFonts w:ascii="Arial" w:hAnsi="Arial" w:cs="Arial"/>
          <w:sz w:val="24"/>
          <w:szCs w:val="24"/>
        </w:rPr>
        <w:t xml:space="preserve"> </w:t>
      </w:r>
      <w:r w:rsidR="00391478" w:rsidRPr="004B23BD">
        <w:rPr>
          <w:rFonts w:ascii="Arial" w:hAnsi="Arial" w:cs="Arial"/>
          <w:sz w:val="24"/>
          <w:szCs w:val="24"/>
        </w:rPr>
        <w:t>This is known as the "quarantine paradox."</w:t>
      </w:r>
    </w:p>
    <w:p w14:paraId="693613E3" w14:textId="77777777" w:rsidR="00AB61D9" w:rsidRDefault="00AB61D9" w:rsidP="004B23BD">
      <w:pPr>
        <w:overflowPunct w:val="0"/>
        <w:autoSpaceDE w:val="0"/>
        <w:autoSpaceDN w:val="0"/>
        <w:adjustRightInd w:val="0"/>
        <w:spacing w:before="240" w:line="480" w:lineRule="auto"/>
        <w:jc w:val="both"/>
        <w:textAlignment w:val="baseline"/>
        <w:rPr>
          <w:rFonts w:ascii="Arial" w:hAnsi="Arial" w:cs="Arial"/>
          <w:sz w:val="24"/>
          <w:szCs w:val="24"/>
        </w:rPr>
      </w:pPr>
      <w:r w:rsidRPr="00AB61D9">
        <w:rPr>
          <w:rFonts w:ascii="Arial" w:hAnsi="Arial" w:cs="Arial"/>
          <w:sz w:val="24"/>
          <w:szCs w:val="24"/>
        </w:rPr>
        <w:t>Another downside of quarantine is the increase in gender-based violence, which is frequently disregarded (Peterman et. al., 2020). Gender-based violence is a sort of violence in which a person is targeted because of their gender. It's a multifaceted subject that includes sexual, physical, and emotional abuse, as well as neglect or deprivation (Anderson et.al., 2008).</w:t>
      </w:r>
    </w:p>
    <w:p w14:paraId="27CB0AE5" w14:textId="77777777" w:rsidR="00DF26E5" w:rsidRDefault="00DF26E5" w:rsidP="004B23BD">
      <w:pPr>
        <w:overflowPunct w:val="0"/>
        <w:autoSpaceDE w:val="0"/>
        <w:autoSpaceDN w:val="0"/>
        <w:adjustRightInd w:val="0"/>
        <w:spacing w:before="240" w:line="480" w:lineRule="auto"/>
        <w:jc w:val="both"/>
        <w:textAlignment w:val="baseline"/>
        <w:rPr>
          <w:rFonts w:ascii="Arial" w:hAnsi="Arial" w:cs="Arial"/>
          <w:sz w:val="24"/>
          <w:szCs w:val="24"/>
        </w:rPr>
      </w:pPr>
      <w:r w:rsidRPr="00DF26E5">
        <w:rPr>
          <w:rFonts w:ascii="Arial" w:hAnsi="Arial" w:cs="Arial"/>
          <w:sz w:val="24"/>
          <w:szCs w:val="24"/>
        </w:rPr>
        <w:lastRenderedPageBreak/>
        <w:t>The CEDAW (Committee on the Elimination of Discrimination Against Women) defines gender-based violence as a type of violence that disproportionately affects women. Gender-based violence includes sexual assault, violence against women, domestic abuse, and harmful practices such as female genital mutilation (Mittal and Singh, 2020). In this study, the term gender-based violence was used to describe a variety of kinds of domestic abuse against women.</w:t>
      </w:r>
      <w:r>
        <w:rPr>
          <w:rFonts w:ascii="Arial" w:hAnsi="Arial" w:cs="Arial"/>
          <w:sz w:val="24"/>
          <w:szCs w:val="24"/>
        </w:rPr>
        <w:t xml:space="preserve"> </w:t>
      </w:r>
    </w:p>
    <w:p w14:paraId="59591B36" w14:textId="2A089F11" w:rsidR="00B12EA8" w:rsidRPr="004B23BD" w:rsidRDefault="00B12EA8" w:rsidP="004B23BD">
      <w:pPr>
        <w:overflowPunct w:val="0"/>
        <w:autoSpaceDE w:val="0"/>
        <w:autoSpaceDN w:val="0"/>
        <w:adjustRightInd w:val="0"/>
        <w:spacing w:before="240" w:line="480" w:lineRule="auto"/>
        <w:jc w:val="both"/>
        <w:textAlignment w:val="baseline"/>
        <w:rPr>
          <w:rFonts w:ascii="Arial" w:hAnsi="Arial" w:cs="Arial"/>
          <w:sz w:val="24"/>
          <w:szCs w:val="24"/>
        </w:rPr>
      </w:pPr>
      <w:proofErr w:type="gramStart"/>
      <w:r w:rsidRPr="004B23BD">
        <w:rPr>
          <w:rFonts w:ascii="Arial" w:hAnsi="Arial" w:cs="Arial"/>
          <w:sz w:val="24"/>
          <w:szCs w:val="24"/>
        </w:rPr>
        <w:t>Despite the fact that</w:t>
      </w:r>
      <w:proofErr w:type="gramEnd"/>
      <w:r w:rsidRPr="004B23BD">
        <w:rPr>
          <w:rFonts w:ascii="Arial" w:hAnsi="Arial" w:cs="Arial"/>
          <w:sz w:val="24"/>
          <w:szCs w:val="24"/>
        </w:rPr>
        <w:t xml:space="preserve"> there is a lot of study on IPV, there isn't a lot of research on dynamic (or variable) risk factors that put victims at risk of future damage (Bennett Cattaneo and Goodman</w:t>
      </w:r>
      <w:r w:rsidR="0073190A">
        <w:rPr>
          <w:rFonts w:ascii="Arial" w:hAnsi="Arial" w:cs="Arial"/>
          <w:sz w:val="24"/>
          <w:szCs w:val="24"/>
        </w:rPr>
        <w:t>,</w:t>
      </w:r>
      <w:r w:rsidRPr="004B23BD">
        <w:rPr>
          <w:rFonts w:ascii="Arial" w:hAnsi="Arial" w:cs="Arial"/>
          <w:sz w:val="24"/>
          <w:szCs w:val="24"/>
        </w:rPr>
        <w:t xml:space="preserve"> 2005). Other researchers </w:t>
      </w:r>
      <w:r w:rsidR="00747609" w:rsidRPr="004B23BD">
        <w:rPr>
          <w:rFonts w:ascii="Arial" w:hAnsi="Arial" w:cs="Arial"/>
          <w:sz w:val="24"/>
          <w:szCs w:val="24"/>
        </w:rPr>
        <w:t>believe</w:t>
      </w:r>
      <w:r w:rsidRPr="004B23BD">
        <w:rPr>
          <w:rFonts w:ascii="Arial" w:hAnsi="Arial" w:cs="Arial"/>
          <w:sz w:val="24"/>
          <w:szCs w:val="24"/>
        </w:rPr>
        <w:t xml:space="preserve"> that this is because victim blaming can be interpreted as such (Kuijpers et al. 2012a). </w:t>
      </w:r>
    </w:p>
    <w:p w14:paraId="60488260" w14:textId="77777777" w:rsidR="00A5749E" w:rsidRDefault="00B12EA8"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 xml:space="preserve">However, there is a minimal quantity of study available. According to studies, both partners in a partnership can raise the likelihood of IPV (Capaldi and Kim 2007; Sonis and Langer 2008). </w:t>
      </w:r>
      <w:r w:rsidR="00A5749E" w:rsidRPr="00A5749E">
        <w:rPr>
          <w:rFonts w:ascii="Arial" w:hAnsi="Arial" w:cs="Arial"/>
          <w:sz w:val="24"/>
          <w:szCs w:val="24"/>
        </w:rPr>
        <w:t>Among the vulnerability factors identified for female IPV victims are a lack of personal assets, violence committed by the victim against her companion, psychological problems, aversive attachment, and the victim's refusal to engage in the legal process or enforce management strategies recommended by police (Hirschel and Hutchinson 2003; Kuijpers et al. 2012a; Kuijpers et al. 2012; Miller and Krull 1997; Wofford et al. 1994). Legal or advocate services, as well as quality of life, were discovered to be protective variables (Bell and Goodman 2001; Bybee and Sullivan 2002). Bennett Cattaneo and Goodman (2005) and Kuijpers et al. (2012) both urge that when estimating IPV risk, victim-related risk variables be considered.</w:t>
      </w:r>
    </w:p>
    <w:p w14:paraId="60C98383" w14:textId="6737BC87" w:rsidR="000B358C" w:rsidRPr="00C473A5" w:rsidRDefault="000B358C" w:rsidP="004B23BD">
      <w:pPr>
        <w:overflowPunct w:val="0"/>
        <w:autoSpaceDE w:val="0"/>
        <w:autoSpaceDN w:val="0"/>
        <w:adjustRightInd w:val="0"/>
        <w:spacing w:before="240" w:line="480" w:lineRule="auto"/>
        <w:jc w:val="both"/>
        <w:textAlignment w:val="baseline"/>
        <w:rPr>
          <w:rFonts w:ascii="Arial" w:hAnsi="Arial" w:cs="Arial"/>
          <w:sz w:val="24"/>
          <w:szCs w:val="24"/>
          <w:highlight w:val="green"/>
        </w:rPr>
      </w:pPr>
      <w:r w:rsidRPr="000B358C">
        <w:rPr>
          <w:rFonts w:ascii="Arial" w:hAnsi="Arial" w:cs="Arial"/>
          <w:sz w:val="24"/>
          <w:szCs w:val="24"/>
        </w:rPr>
        <w:t>As a result of domestic violence, the number of young witnesses has increased, necessitating a response from the government in addition to a greater child presence in court</w:t>
      </w:r>
      <w:r>
        <w:rPr>
          <w:rFonts w:ascii="Arial" w:hAnsi="Arial" w:cs="Arial"/>
          <w:sz w:val="24"/>
          <w:szCs w:val="24"/>
        </w:rPr>
        <w:t xml:space="preserve"> (</w:t>
      </w:r>
      <w:r w:rsidR="00A50F3E">
        <w:rPr>
          <w:rFonts w:ascii="Arial" w:hAnsi="Arial" w:cs="Arial"/>
          <w:sz w:val="24"/>
          <w:szCs w:val="24"/>
        </w:rPr>
        <w:t xml:space="preserve">Rivett et. al., 2006). </w:t>
      </w:r>
    </w:p>
    <w:p w14:paraId="7F0F98A8" w14:textId="77777777" w:rsidR="004164AB" w:rsidRPr="004B23BD" w:rsidRDefault="00917842" w:rsidP="004B23BD">
      <w:pPr>
        <w:spacing w:line="480" w:lineRule="auto"/>
        <w:jc w:val="both"/>
        <w:rPr>
          <w:rFonts w:ascii="Arial" w:hAnsi="Arial" w:cs="Arial"/>
          <w:sz w:val="24"/>
          <w:szCs w:val="24"/>
        </w:rPr>
      </w:pPr>
      <w:r w:rsidRPr="004B23BD">
        <w:rPr>
          <w:rFonts w:ascii="Arial" w:hAnsi="Arial" w:cs="Arial"/>
          <w:sz w:val="24"/>
          <w:szCs w:val="24"/>
        </w:rPr>
        <w:lastRenderedPageBreak/>
        <w:t xml:space="preserve">The age of the witness determines </w:t>
      </w:r>
      <w:r w:rsidR="004164AB" w:rsidRPr="004B23BD">
        <w:rPr>
          <w:rFonts w:ascii="Arial" w:hAnsi="Arial" w:cs="Arial"/>
          <w:sz w:val="24"/>
          <w:szCs w:val="24"/>
        </w:rPr>
        <w:t>whether</w:t>
      </w:r>
      <w:r w:rsidRPr="004B23BD">
        <w:rPr>
          <w:rFonts w:ascii="Arial" w:hAnsi="Arial" w:cs="Arial"/>
          <w:sz w:val="24"/>
          <w:szCs w:val="24"/>
        </w:rPr>
        <w:t xml:space="preserve"> he or she is eligible for special measures based on vulnerability.  </w:t>
      </w:r>
      <w:r w:rsidR="004164AB" w:rsidRPr="004B23BD">
        <w:rPr>
          <w:rFonts w:ascii="Arial" w:hAnsi="Arial" w:cs="Arial"/>
          <w:sz w:val="24"/>
          <w:szCs w:val="24"/>
        </w:rPr>
        <w:t>P</w:t>
      </w:r>
      <w:r w:rsidRPr="004B23BD">
        <w:rPr>
          <w:rFonts w:ascii="Arial" w:hAnsi="Arial" w:cs="Arial"/>
          <w:sz w:val="24"/>
          <w:szCs w:val="24"/>
        </w:rPr>
        <w:t xml:space="preserve">rimary criterion for their eligibility is age, children, </w:t>
      </w:r>
      <w:r w:rsidR="004164AB" w:rsidRPr="004B23BD">
        <w:rPr>
          <w:rFonts w:ascii="Arial" w:hAnsi="Arial" w:cs="Arial"/>
          <w:sz w:val="24"/>
          <w:szCs w:val="24"/>
        </w:rPr>
        <w:t>i.e.,</w:t>
      </w:r>
      <w:r w:rsidRPr="004B23BD">
        <w:rPr>
          <w:rFonts w:ascii="Arial" w:hAnsi="Arial" w:cs="Arial"/>
          <w:sz w:val="24"/>
          <w:szCs w:val="24"/>
        </w:rPr>
        <w:t xml:space="preserve"> those under the age of 18 at the time they are expected to provide evidence, automatically qualify for special measures</w:t>
      </w:r>
      <w:r w:rsidR="000F7CC7" w:rsidRPr="004B23BD">
        <w:rPr>
          <w:rFonts w:ascii="Arial" w:hAnsi="Arial" w:cs="Arial"/>
          <w:sz w:val="24"/>
          <w:szCs w:val="24"/>
        </w:rPr>
        <w:t xml:space="preserve"> (Coroners and Justice Act</w:t>
      </w:r>
      <w:r w:rsidR="004164AB" w:rsidRPr="004B23BD">
        <w:rPr>
          <w:rFonts w:ascii="Arial" w:hAnsi="Arial" w:cs="Arial"/>
          <w:sz w:val="24"/>
          <w:szCs w:val="24"/>
        </w:rPr>
        <w:t xml:space="preserve">, </w:t>
      </w:r>
      <w:r w:rsidR="000F7CC7" w:rsidRPr="004B23BD">
        <w:rPr>
          <w:rFonts w:ascii="Arial" w:hAnsi="Arial" w:cs="Arial"/>
          <w:sz w:val="24"/>
          <w:szCs w:val="24"/>
        </w:rPr>
        <w:t>2009</w:t>
      </w:r>
      <w:r w:rsidR="004164AB" w:rsidRPr="004B23BD">
        <w:rPr>
          <w:rFonts w:ascii="Arial" w:hAnsi="Arial" w:cs="Arial"/>
          <w:sz w:val="24"/>
          <w:szCs w:val="24"/>
        </w:rPr>
        <w:t>)</w:t>
      </w:r>
      <w:r w:rsidRPr="004B23BD">
        <w:rPr>
          <w:rFonts w:ascii="Arial" w:hAnsi="Arial" w:cs="Arial"/>
          <w:sz w:val="24"/>
          <w:szCs w:val="24"/>
        </w:rPr>
        <w:t xml:space="preserve">. </w:t>
      </w:r>
    </w:p>
    <w:p w14:paraId="51F5B396" w14:textId="07BAC8B9" w:rsidR="00162CAA" w:rsidRPr="004B23BD" w:rsidRDefault="00CC2A7E" w:rsidP="004B23BD">
      <w:pPr>
        <w:spacing w:line="480" w:lineRule="auto"/>
        <w:jc w:val="both"/>
        <w:rPr>
          <w:rFonts w:ascii="Arial" w:hAnsi="Arial" w:cs="Arial"/>
          <w:sz w:val="24"/>
          <w:szCs w:val="24"/>
        </w:rPr>
      </w:pPr>
      <w:r>
        <w:rPr>
          <w:rFonts w:ascii="Arial" w:hAnsi="Arial" w:cs="Arial"/>
          <w:sz w:val="24"/>
          <w:szCs w:val="24"/>
        </w:rPr>
        <w:t>T</w:t>
      </w:r>
      <w:r w:rsidR="00917842" w:rsidRPr="004B23BD">
        <w:rPr>
          <w:rFonts w:ascii="Arial" w:hAnsi="Arial" w:cs="Arial"/>
          <w:sz w:val="24"/>
          <w:szCs w:val="24"/>
        </w:rPr>
        <w:t>he court must assess whether an adult witness is eligible for exceptional measures</w:t>
      </w:r>
      <w:r w:rsidR="00162CAA" w:rsidRPr="004B23BD">
        <w:rPr>
          <w:rFonts w:ascii="Arial" w:hAnsi="Arial" w:cs="Arial"/>
          <w:sz w:val="24"/>
          <w:szCs w:val="24"/>
        </w:rPr>
        <w:t xml:space="preserve"> as t</w:t>
      </w:r>
      <w:r w:rsidR="00917842" w:rsidRPr="004B23BD">
        <w:rPr>
          <w:rFonts w:ascii="Arial" w:hAnsi="Arial" w:cs="Arial"/>
          <w:sz w:val="24"/>
          <w:szCs w:val="24"/>
        </w:rPr>
        <w:t>heir evidence's quality is expected to deteriorate.</w:t>
      </w:r>
      <w:r w:rsidR="004164AB" w:rsidRPr="004B23BD">
        <w:rPr>
          <w:rFonts w:ascii="Arial" w:hAnsi="Arial" w:cs="Arial"/>
          <w:sz w:val="24"/>
          <w:szCs w:val="24"/>
        </w:rPr>
        <w:t xml:space="preserve"> </w:t>
      </w:r>
      <w:r w:rsidR="00917842" w:rsidRPr="004B23BD">
        <w:rPr>
          <w:rFonts w:ascii="Arial" w:hAnsi="Arial" w:cs="Arial"/>
          <w:sz w:val="24"/>
          <w:szCs w:val="24"/>
        </w:rPr>
        <w:t xml:space="preserve">This could be due to one of three factors: </w:t>
      </w:r>
      <w:r w:rsidR="00162CAA" w:rsidRPr="004B23BD">
        <w:rPr>
          <w:rFonts w:ascii="Arial" w:hAnsi="Arial" w:cs="Arial"/>
          <w:sz w:val="24"/>
          <w:szCs w:val="24"/>
        </w:rPr>
        <w:t>t</w:t>
      </w:r>
      <w:r w:rsidR="00917842" w:rsidRPr="004B23BD">
        <w:rPr>
          <w:rFonts w:ascii="Arial" w:hAnsi="Arial" w:cs="Arial"/>
          <w:sz w:val="24"/>
          <w:szCs w:val="24"/>
        </w:rPr>
        <w:t>hey have a mental disorder</w:t>
      </w:r>
      <w:r w:rsidR="00162CAA" w:rsidRPr="004B23BD">
        <w:rPr>
          <w:rFonts w:ascii="Arial" w:hAnsi="Arial" w:cs="Arial"/>
          <w:sz w:val="24"/>
          <w:szCs w:val="24"/>
        </w:rPr>
        <w:t xml:space="preserve"> that has been classified (Mental Health Act of 1983),</w:t>
      </w:r>
      <w:r w:rsidR="00917842" w:rsidRPr="004B23BD">
        <w:rPr>
          <w:rFonts w:ascii="Arial" w:hAnsi="Arial" w:cs="Arial"/>
          <w:sz w:val="24"/>
          <w:szCs w:val="24"/>
        </w:rPr>
        <w:t xml:space="preserve"> </w:t>
      </w:r>
      <w:r w:rsidR="00162CAA" w:rsidRPr="004B23BD">
        <w:rPr>
          <w:rFonts w:ascii="Arial" w:hAnsi="Arial" w:cs="Arial"/>
          <w:sz w:val="24"/>
          <w:szCs w:val="24"/>
        </w:rPr>
        <w:t>which has evidence of being a serious impediment</w:t>
      </w:r>
      <w:r w:rsidR="00917842" w:rsidRPr="004B23BD">
        <w:rPr>
          <w:rFonts w:ascii="Arial" w:hAnsi="Arial" w:cs="Arial"/>
          <w:sz w:val="24"/>
          <w:szCs w:val="24"/>
        </w:rPr>
        <w:t>.</w:t>
      </w:r>
      <w:r w:rsidR="00162CAA" w:rsidRPr="004B23BD">
        <w:rPr>
          <w:rFonts w:ascii="Arial" w:hAnsi="Arial" w:cs="Arial"/>
          <w:sz w:val="24"/>
          <w:szCs w:val="24"/>
        </w:rPr>
        <w:t xml:space="preserve"> Or they must show signs of a </w:t>
      </w:r>
      <w:r w:rsidR="00917842" w:rsidRPr="004B23BD">
        <w:rPr>
          <w:rFonts w:ascii="Arial" w:hAnsi="Arial" w:cs="Arial"/>
          <w:sz w:val="24"/>
          <w:szCs w:val="24"/>
        </w:rPr>
        <w:t xml:space="preserve">physical handicap or </w:t>
      </w:r>
      <w:r w:rsidR="00162CAA" w:rsidRPr="004B23BD">
        <w:rPr>
          <w:rFonts w:ascii="Arial" w:hAnsi="Arial" w:cs="Arial"/>
          <w:sz w:val="24"/>
          <w:szCs w:val="24"/>
        </w:rPr>
        <w:t>condition,</w:t>
      </w:r>
      <w:r w:rsidR="00917842" w:rsidRPr="004B23BD">
        <w:rPr>
          <w:rFonts w:ascii="Arial" w:hAnsi="Arial" w:cs="Arial"/>
          <w:sz w:val="24"/>
          <w:szCs w:val="24"/>
        </w:rPr>
        <w:t xml:space="preserve"> or an impairment of intelligence or social performance</w:t>
      </w:r>
      <w:r w:rsidR="00BC4134" w:rsidRPr="004B23BD">
        <w:rPr>
          <w:rFonts w:ascii="Arial" w:hAnsi="Arial" w:cs="Arial"/>
          <w:sz w:val="24"/>
          <w:szCs w:val="24"/>
        </w:rPr>
        <w:t xml:space="preserve"> (Fox-Harding,</w:t>
      </w:r>
      <w:r w:rsidR="00E331C3" w:rsidRPr="004B23BD">
        <w:rPr>
          <w:rFonts w:ascii="Arial" w:hAnsi="Arial" w:cs="Arial"/>
          <w:sz w:val="24"/>
          <w:szCs w:val="24"/>
        </w:rPr>
        <w:t xml:space="preserve"> 1989)</w:t>
      </w:r>
      <w:r w:rsidR="00917842" w:rsidRPr="004B23BD">
        <w:rPr>
          <w:rFonts w:ascii="Arial" w:hAnsi="Arial" w:cs="Arial"/>
          <w:sz w:val="24"/>
          <w:szCs w:val="24"/>
        </w:rPr>
        <w:t xml:space="preserve">. Witnesses who meet any of the following requirements are eligible for the entire range of </w:t>
      </w:r>
      <w:r w:rsidR="00162CAA" w:rsidRPr="004B23BD">
        <w:rPr>
          <w:rFonts w:ascii="Arial" w:hAnsi="Arial" w:cs="Arial"/>
          <w:sz w:val="24"/>
          <w:szCs w:val="24"/>
        </w:rPr>
        <w:t xml:space="preserve">special </w:t>
      </w:r>
      <w:r w:rsidR="00917842" w:rsidRPr="004B23BD">
        <w:rPr>
          <w:rFonts w:ascii="Arial" w:hAnsi="Arial" w:cs="Arial"/>
          <w:sz w:val="24"/>
          <w:szCs w:val="24"/>
        </w:rPr>
        <w:t>measures.</w:t>
      </w:r>
      <w:r w:rsidR="00162CAA" w:rsidRPr="004B23BD">
        <w:rPr>
          <w:rFonts w:ascii="Arial" w:hAnsi="Arial" w:cs="Arial"/>
          <w:sz w:val="24"/>
          <w:szCs w:val="24"/>
        </w:rPr>
        <w:t xml:space="preserve"> </w:t>
      </w:r>
      <w:r w:rsidR="00F6466A" w:rsidRPr="004B23BD">
        <w:rPr>
          <w:rFonts w:ascii="Arial" w:hAnsi="Arial" w:cs="Arial"/>
          <w:sz w:val="24"/>
          <w:szCs w:val="24"/>
        </w:rPr>
        <w:t xml:space="preserve">The Act specifies that judgments about whether a witness should be subjected to exceptional measures, as well as specific ones, must </w:t>
      </w:r>
      <w:r w:rsidR="00162CAA" w:rsidRPr="004B23BD">
        <w:rPr>
          <w:rFonts w:ascii="Arial" w:hAnsi="Arial" w:cs="Arial"/>
          <w:sz w:val="24"/>
          <w:szCs w:val="24"/>
        </w:rPr>
        <w:t xml:space="preserve">acknowledged </w:t>
      </w:r>
      <w:r w:rsidR="00F6466A" w:rsidRPr="004B23BD">
        <w:rPr>
          <w:rFonts w:ascii="Arial" w:hAnsi="Arial" w:cs="Arial"/>
          <w:sz w:val="24"/>
          <w:szCs w:val="24"/>
        </w:rPr>
        <w:t xml:space="preserve">the witness's wishes. </w:t>
      </w:r>
    </w:p>
    <w:p w14:paraId="0F2C8F6B" w14:textId="6ADF69CA" w:rsidR="00162CAA" w:rsidRPr="004B23BD" w:rsidRDefault="00F6466A" w:rsidP="004B23BD">
      <w:pPr>
        <w:spacing w:line="480" w:lineRule="auto"/>
        <w:jc w:val="both"/>
        <w:rPr>
          <w:rFonts w:ascii="Arial" w:hAnsi="Arial" w:cs="Arial"/>
          <w:sz w:val="24"/>
          <w:szCs w:val="24"/>
        </w:rPr>
      </w:pPr>
      <w:r w:rsidRPr="004B23BD">
        <w:rPr>
          <w:rFonts w:ascii="Arial" w:hAnsi="Arial" w:cs="Arial"/>
          <w:sz w:val="24"/>
          <w:szCs w:val="24"/>
        </w:rPr>
        <w:t>However, in sexual or violent cases involving children, the general rule is that any relevant recording is admissible as evidence in chief under section 27</w:t>
      </w:r>
      <w:r w:rsidR="00932511" w:rsidRPr="004B23BD">
        <w:rPr>
          <w:rFonts w:ascii="Arial" w:hAnsi="Arial" w:cs="Arial"/>
          <w:sz w:val="24"/>
          <w:szCs w:val="24"/>
        </w:rPr>
        <w:t xml:space="preserve"> (Youth Justice and Criminal Evidence Act</w:t>
      </w:r>
      <w:r w:rsidR="00A9547E" w:rsidRPr="004B23BD">
        <w:rPr>
          <w:rFonts w:ascii="Arial" w:hAnsi="Arial" w:cs="Arial"/>
          <w:sz w:val="24"/>
          <w:szCs w:val="24"/>
        </w:rPr>
        <w:t>,1999)</w:t>
      </w:r>
      <w:r w:rsidRPr="004B23BD">
        <w:rPr>
          <w:rFonts w:ascii="Arial" w:hAnsi="Arial" w:cs="Arial"/>
          <w:sz w:val="24"/>
          <w:szCs w:val="24"/>
        </w:rPr>
        <w:t xml:space="preserve">. However, if the </w:t>
      </w:r>
      <w:r w:rsidR="004164AB" w:rsidRPr="004B23BD">
        <w:rPr>
          <w:rFonts w:ascii="Arial" w:hAnsi="Arial" w:cs="Arial"/>
          <w:sz w:val="24"/>
          <w:szCs w:val="24"/>
        </w:rPr>
        <w:t>child</w:t>
      </w:r>
      <w:r w:rsidRPr="004B23BD">
        <w:rPr>
          <w:rFonts w:ascii="Arial" w:hAnsi="Arial" w:cs="Arial"/>
          <w:sz w:val="24"/>
          <w:szCs w:val="24"/>
        </w:rPr>
        <w:t xml:space="preserve"> witness prefers to give evidence in a different method, the court may allow it </w:t>
      </w:r>
      <w:proofErr w:type="gramStart"/>
      <w:r w:rsidRPr="004B23BD">
        <w:rPr>
          <w:rFonts w:ascii="Arial" w:hAnsi="Arial" w:cs="Arial"/>
          <w:sz w:val="24"/>
          <w:szCs w:val="24"/>
        </w:rPr>
        <w:t>as long as</w:t>
      </w:r>
      <w:proofErr w:type="gramEnd"/>
      <w:r w:rsidRPr="004B23BD">
        <w:rPr>
          <w:rFonts w:ascii="Arial" w:hAnsi="Arial" w:cs="Arial"/>
          <w:sz w:val="24"/>
          <w:szCs w:val="24"/>
        </w:rPr>
        <w:t xml:space="preserve"> it does not jeopardise the witness' credibility. Normally, this necessitates the use of screens, although this can be disputed by a witness who desires to give testimony in court without assistance</w:t>
      </w:r>
      <w:r w:rsidR="004164AB" w:rsidRPr="004B23BD">
        <w:rPr>
          <w:rFonts w:ascii="Arial" w:hAnsi="Arial" w:cs="Arial"/>
          <w:sz w:val="24"/>
          <w:szCs w:val="24"/>
        </w:rPr>
        <w:t xml:space="preserve"> (Fairclough, 2017)</w:t>
      </w:r>
      <w:r w:rsidRPr="004B23BD">
        <w:rPr>
          <w:rFonts w:ascii="Arial" w:hAnsi="Arial" w:cs="Arial"/>
          <w:sz w:val="24"/>
          <w:szCs w:val="24"/>
        </w:rPr>
        <w:t>.</w:t>
      </w:r>
      <w:r w:rsidR="006B4A6A" w:rsidRPr="004B23BD">
        <w:rPr>
          <w:rFonts w:ascii="Arial" w:hAnsi="Arial" w:cs="Arial"/>
          <w:sz w:val="24"/>
          <w:szCs w:val="24"/>
        </w:rPr>
        <w:t xml:space="preserve"> </w:t>
      </w:r>
      <w:r w:rsidRPr="004B23BD">
        <w:rPr>
          <w:rFonts w:ascii="Arial" w:hAnsi="Arial" w:cs="Arial"/>
          <w:sz w:val="24"/>
          <w:szCs w:val="24"/>
        </w:rPr>
        <w:t>Eschewing the primary rule should be based on the witness' desires as well as the elements listed in section 21(4C), such as the witness' age and maturity, as well as the nature and alleged circumstances of the proceedings. In summary, while there is still an assumption that evidence from a minor complainant of specific crimes is acquired in a certain way, this is now rebuttable, subject to quality assurances</w:t>
      </w:r>
      <w:r w:rsidR="00B13F5E" w:rsidRPr="004B23BD">
        <w:rPr>
          <w:rFonts w:ascii="Arial" w:hAnsi="Arial" w:cs="Arial"/>
          <w:sz w:val="24"/>
          <w:szCs w:val="24"/>
        </w:rPr>
        <w:t xml:space="preserve"> (Smith 19</w:t>
      </w:r>
      <w:r w:rsidR="00BC4134" w:rsidRPr="004B23BD">
        <w:rPr>
          <w:rFonts w:ascii="Arial" w:hAnsi="Arial" w:cs="Arial"/>
          <w:sz w:val="24"/>
          <w:szCs w:val="24"/>
        </w:rPr>
        <w:t>93)</w:t>
      </w:r>
      <w:r w:rsidRPr="004B23BD">
        <w:rPr>
          <w:rFonts w:ascii="Arial" w:hAnsi="Arial" w:cs="Arial"/>
          <w:sz w:val="24"/>
          <w:szCs w:val="24"/>
        </w:rPr>
        <w:t>.</w:t>
      </w:r>
    </w:p>
    <w:p w14:paraId="6A113948" w14:textId="1634FA7B" w:rsidR="00924278" w:rsidRDefault="00924278" w:rsidP="004B23BD">
      <w:pPr>
        <w:overflowPunct w:val="0"/>
        <w:autoSpaceDE w:val="0"/>
        <w:autoSpaceDN w:val="0"/>
        <w:adjustRightInd w:val="0"/>
        <w:spacing w:before="240" w:line="480" w:lineRule="auto"/>
        <w:jc w:val="both"/>
        <w:textAlignment w:val="baseline"/>
        <w:rPr>
          <w:rFonts w:ascii="Arial" w:hAnsi="Arial" w:cs="Arial"/>
          <w:sz w:val="24"/>
          <w:szCs w:val="24"/>
        </w:rPr>
      </w:pPr>
      <w:r w:rsidRPr="00924278">
        <w:rPr>
          <w:rFonts w:ascii="Arial" w:hAnsi="Arial" w:cs="Arial"/>
          <w:sz w:val="24"/>
          <w:szCs w:val="24"/>
        </w:rPr>
        <w:lastRenderedPageBreak/>
        <w:t xml:space="preserve">The Criminal Justice Acts of 1988 and 1991 gradually amended the law of evidence regarding child witnesses and provided new procedures for juveniles testifying in cases involving sexual or violent offences. The government's first plans for child witness reform did not involve revisions to evidence law, instead focusing on court procedure. Home Secretary Douglas Hurd introduced suggestions for a new Criminal Justice Bill in the autumn of 1986, including live video </w:t>
      </w:r>
      <w:r w:rsidRPr="00924278">
        <w:rPr>
          <w:rFonts w:ascii="Arial" w:hAnsi="Arial" w:cs="Arial"/>
          <w:sz w:val="24"/>
          <w:szCs w:val="24"/>
        </w:rPr>
        <w:t>hook-ups</w:t>
      </w:r>
      <w:r w:rsidRPr="00924278">
        <w:rPr>
          <w:rFonts w:ascii="Arial" w:hAnsi="Arial" w:cs="Arial"/>
          <w:sz w:val="24"/>
          <w:szCs w:val="24"/>
        </w:rPr>
        <w:t xml:space="preserve"> to allow children under the age of fourteen to testify in child abuse cases without having to see their suspected perpetrator.</w:t>
      </w:r>
    </w:p>
    <w:p w14:paraId="532805B1" w14:textId="241C3B07" w:rsidR="00DB41EC" w:rsidRPr="004B23BD" w:rsidRDefault="006B1651" w:rsidP="004B23BD">
      <w:pPr>
        <w:overflowPunct w:val="0"/>
        <w:autoSpaceDE w:val="0"/>
        <w:autoSpaceDN w:val="0"/>
        <w:adjustRightInd w:val="0"/>
        <w:spacing w:before="240" w:line="480" w:lineRule="auto"/>
        <w:jc w:val="both"/>
        <w:textAlignment w:val="baseline"/>
        <w:rPr>
          <w:rFonts w:ascii="Arial" w:hAnsi="Arial" w:cs="Arial"/>
          <w:sz w:val="24"/>
          <w:szCs w:val="24"/>
        </w:rPr>
      </w:pPr>
      <w:r w:rsidRPr="004B23BD">
        <w:rPr>
          <w:rFonts w:ascii="Arial" w:hAnsi="Arial" w:cs="Arial"/>
          <w:sz w:val="24"/>
          <w:szCs w:val="24"/>
        </w:rPr>
        <w:t>As more information about the ideas became available, it was revealed that the video link measures would not be confined to children who had been the victims of abuse but would also cover children who had observed sexual or violent crimes against others. Nonetheless, the video link was not intended to be a universal resource for child witnesses, and no mention was made of youngsters testifying in other cases.</w:t>
      </w:r>
    </w:p>
    <w:p w14:paraId="57589BD8" w14:textId="77777777" w:rsidR="00AE590A" w:rsidRDefault="00AE590A" w:rsidP="00C66C9F">
      <w:pPr>
        <w:overflowPunct w:val="0"/>
        <w:autoSpaceDE w:val="0"/>
        <w:autoSpaceDN w:val="0"/>
        <w:adjustRightInd w:val="0"/>
        <w:spacing w:before="240" w:line="480" w:lineRule="auto"/>
        <w:jc w:val="both"/>
        <w:textAlignment w:val="baseline"/>
        <w:rPr>
          <w:rFonts w:ascii="Arial" w:hAnsi="Arial" w:cs="Arial"/>
          <w:sz w:val="24"/>
          <w:szCs w:val="24"/>
        </w:rPr>
      </w:pPr>
      <w:r w:rsidRPr="00AE590A">
        <w:rPr>
          <w:rFonts w:ascii="Arial" w:hAnsi="Arial" w:cs="Arial"/>
          <w:sz w:val="24"/>
          <w:szCs w:val="24"/>
        </w:rPr>
        <w:t>Members of the Pigot group (1989) suggested that the complex technical approach to corroboration that had developed was confusing and destructive to the corroboration rules (which continued to affect many child witnesses' cases through the stipulation that in cases involving sexual offences, the jury must be warned of the danger of convicting in the obvious lack of substantiation). As a result, they argued for the removal of the corroboration warning in situations involving sexual offences (Home Office, 1989).</w:t>
      </w:r>
      <w:r>
        <w:rPr>
          <w:rFonts w:ascii="Arial" w:hAnsi="Arial" w:cs="Arial"/>
          <w:sz w:val="24"/>
          <w:szCs w:val="24"/>
        </w:rPr>
        <w:t xml:space="preserve"> </w:t>
      </w:r>
    </w:p>
    <w:p w14:paraId="35E24EA0" w14:textId="77777777" w:rsidR="002F7E63" w:rsidRDefault="002F7E63" w:rsidP="00C66C9F">
      <w:pPr>
        <w:overflowPunct w:val="0"/>
        <w:autoSpaceDE w:val="0"/>
        <w:autoSpaceDN w:val="0"/>
        <w:adjustRightInd w:val="0"/>
        <w:spacing w:before="240" w:line="480" w:lineRule="auto"/>
        <w:jc w:val="both"/>
        <w:textAlignment w:val="baseline"/>
        <w:rPr>
          <w:rFonts w:ascii="Arial" w:hAnsi="Arial" w:cs="Arial"/>
          <w:sz w:val="24"/>
          <w:szCs w:val="24"/>
        </w:rPr>
      </w:pPr>
      <w:r w:rsidRPr="002F7E63">
        <w:rPr>
          <w:rFonts w:ascii="Arial" w:hAnsi="Arial" w:cs="Arial"/>
          <w:sz w:val="24"/>
          <w:szCs w:val="24"/>
        </w:rPr>
        <w:t xml:space="preserve">Endorsing the view that most children are harmed by testifying in trials for severe offences under current conditions, the report indicated that extremely radical changes are now required if the courts are to manage children in a humane and acceptable manner (Olsen, 1983). It proposed that </w:t>
      </w:r>
      <w:proofErr w:type="spellStart"/>
      <w:r w:rsidRPr="002F7E63">
        <w:rPr>
          <w:rFonts w:ascii="Arial" w:hAnsi="Arial" w:cs="Arial"/>
          <w:sz w:val="24"/>
          <w:szCs w:val="24"/>
        </w:rPr>
        <w:t>children'should</w:t>
      </w:r>
      <w:proofErr w:type="spellEnd"/>
      <w:r w:rsidRPr="002F7E63">
        <w:rPr>
          <w:rFonts w:ascii="Arial" w:hAnsi="Arial" w:cs="Arial"/>
          <w:sz w:val="24"/>
          <w:szCs w:val="24"/>
        </w:rPr>
        <w:t xml:space="preserve"> never be required to appear in </w:t>
      </w:r>
      <w:r w:rsidRPr="002F7E63">
        <w:rPr>
          <w:rFonts w:ascii="Arial" w:hAnsi="Arial" w:cs="Arial"/>
          <w:sz w:val="24"/>
          <w:szCs w:val="24"/>
        </w:rPr>
        <w:lastRenderedPageBreak/>
        <w:t>public as witnesses in the Crown Court, whether in an open courtroom or protected by displays or closed-circuit television, unless they wish to do so,' and that they should be analysed and cross-examined at an out-of-court hearing that would be video-recorded and later shown to the trial jury (Wade, 1997).</w:t>
      </w:r>
    </w:p>
    <w:p w14:paraId="3235F37C" w14:textId="05EED15B" w:rsidR="00C66C9F" w:rsidRDefault="002120DE" w:rsidP="00C66C9F">
      <w:pPr>
        <w:overflowPunct w:val="0"/>
        <w:autoSpaceDE w:val="0"/>
        <w:autoSpaceDN w:val="0"/>
        <w:adjustRightInd w:val="0"/>
        <w:spacing w:before="240" w:line="480" w:lineRule="auto"/>
        <w:jc w:val="both"/>
        <w:textAlignment w:val="baseline"/>
        <w:rPr>
          <w:rFonts w:ascii="Arial" w:hAnsi="Arial" w:cs="Arial"/>
          <w:sz w:val="24"/>
          <w:szCs w:val="24"/>
        </w:rPr>
      </w:pPr>
      <w:r w:rsidRPr="002120DE">
        <w:rPr>
          <w:rFonts w:ascii="Arial" w:hAnsi="Arial" w:cs="Arial"/>
          <w:sz w:val="24"/>
          <w:szCs w:val="24"/>
        </w:rPr>
        <w:t>As demonstrated throughout, the government's response to vulnerability within the CJS has evolved in a variety of ways. However, in my opinion, there are flaws in the CJS for vulnerable persons, particularly those with learning disabilities or mental illnesses</w:t>
      </w:r>
      <w:r w:rsidR="00C66C9F">
        <w:rPr>
          <w:rFonts w:ascii="Arial" w:hAnsi="Arial" w:cs="Arial"/>
          <w:sz w:val="24"/>
          <w:szCs w:val="24"/>
        </w:rPr>
        <w:t xml:space="preserve"> </w:t>
      </w:r>
      <w:r w:rsidR="00A6222C">
        <w:rPr>
          <w:rFonts w:ascii="Arial" w:hAnsi="Arial" w:cs="Arial"/>
          <w:sz w:val="24"/>
          <w:szCs w:val="24"/>
        </w:rPr>
        <w:t xml:space="preserve">on two fronts, the assessment of mental illness within each service and the wait time face for those who need additional support and care. </w:t>
      </w:r>
    </w:p>
    <w:p w14:paraId="05A4B8B4" w14:textId="77777777" w:rsidR="006409D5" w:rsidRDefault="00A7014A" w:rsidP="006409D5">
      <w:pPr>
        <w:overflowPunct w:val="0"/>
        <w:autoSpaceDE w:val="0"/>
        <w:autoSpaceDN w:val="0"/>
        <w:adjustRightInd w:val="0"/>
        <w:spacing w:before="240" w:line="480" w:lineRule="auto"/>
        <w:jc w:val="both"/>
        <w:textAlignment w:val="baseline"/>
        <w:rPr>
          <w:rFonts w:ascii="Arial" w:hAnsi="Arial" w:cs="Arial"/>
          <w:sz w:val="24"/>
          <w:szCs w:val="24"/>
        </w:rPr>
      </w:pPr>
      <w:r w:rsidRPr="00A7014A">
        <w:rPr>
          <w:rFonts w:ascii="Arial" w:hAnsi="Arial" w:cs="Arial"/>
          <w:sz w:val="24"/>
          <w:szCs w:val="24"/>
        </w:rPr>
        <w:t>Individuals are assessed differently by police, prosecutors, jails, and probation services, resulting in gaps and contradictions. Even when mental health issues are discovered, the knowledge is not always completely recorded or used to make informed decisions.</w:t>
      </w:r>
      <w:r w:rsidR="00CF2585">
        <w:rPr>
          <w:rFonts w:ascii="Arial" w:hAnsi="Arial" w:cs="Arial"/>
          <w:sz w:val="24"/>
          <w:szCs w:val="24"/>
        </w:rPr>
        <w:t xml:space="preserve"> </w:t>
      </w:r>
      <w:r w:rsidR="00CF2585" w:rsidRPr="00CF2585">
        <w:rPr>
          <w:rFonts w:ascii="Arial" w:hAnsi="Arial" w:cs="Arial"/>
          <w:sz w:val="24"/>
          <w:szCs w:val="24"/>
        </w:rPr>
        <w:t>Since the last joint inspection 12 years ago, not enough progress has been done to address these serious deficiencies</w:t>
      </w:r>
      <w:r w:rsidR="002D33CC">
        <w:rPr>
          <w:rFonts w:ascii="Arial" w:hAnsi="Arial" w:cs="Arial"/>
          <w:sz w:val="24"/>
          <w:szCs w:val="24"/>
        </w:rPr>
        <w:t xml:space="preserve"> (Criminal Justice Joint Inspection, </w:t>
      </w:r>
      <w:r w:rsidR="00F30EAD">
        <w:rPr>
          <w:rFonts w:ascii="Arial" w:hAnsi="Arial" w:cs="Arial"/>
          <w:sz w:val="24"/>
          <w:szCs w:val="24"/>
        </w:rPr>
        <w:t>2021)</w:t>
      </w:r>
      <w:r w:rsidR="00CF2585" w:rsidRPr="00CF2585">
        <w:rPr>
          <w:rFonts w:ascii="Arial" w:hAnsi="Arial" w:cs="Arial"/>
          <w:sz w:val="24"/>
          <w:szCs w:val="24"/>
        </w:rPr>
        <w:t>.</w:t>
      </w:r>
      <w:r w:rsidR="008240E5">
        <w:rPr>
          <w:rFonts w:ascii="Arial" w:hAnsi="Arial" w:cs="Arial"/>
          <w:sz w:val="24"/>
          <w:szCs w:val="24"/>
        </w:rPr>
        <w:t xml:space="preserve"> </w:t>
      </w:r>
      <w:r w:rsidR="006409D5" w:rsidRPr="006409D5">
        <w:rPr>
          <w:rFonts w:ascii="Arial" w:hAnsi="Arial" w:cs="Arial"/>
          <w:sz w:val="24"/>
          <w:szCs w:val="24"/>
        </w:rPr>
        <w:t>There are major concerns with information exchange at every agency and at every step of a person's criminal justice system journey. This system component is broken and must be restored as soon as possible.</w:t>
      </w:r>
      <w:r w:rsidR="006409D5">
        <w:rPr>
          <w:rFonts w:ascii="Arial" w:hAnsi="Arial" w:cs="Arial"/>
          <w:sz w:val="24"/>
          <w:szCs w:val="24"/>
        </w:rPr>
        <w:t xml:space="preserve"> </w:t>
      </w:r>
    </w:p>
    <w:p w14:paraId="44C98194" w14:textId="483DCB15" w:rsidR="00F62532" w:rsidRDefault="00F62532" w:rsidP="006409D5">
      <w:pPr>
        <w:overflowPunct w:val="0"/>
        <w:autoSpaceDE w:val="0"/>
        <w:autoSpaceDN w:val="0"/>
        <w:adjustRightInd w:val="0"/>
        <w:spacing w:before="240" w:line="480" w:lineRule="auto"/>
        <w:jc w:val="both"/>
        <w:textAlignment w:val="baseline"/>
        <w:rPr>
          <w:rFonts w:ascii="Arial" w:hAnsi="Arial" w:cs="Arial"/>
          <w:sz w:val="24"/>
          <w:szCs w:val="24"/>
        </w:rPr>
      </w:pPr>
      <w:r>
        <w:rPr>
          <w:rFonts w:ascii="Arial" w:hAnsi="Arial" w:cs="Arial"/>
          <w:sz w:val="24"/>
          <w:szCs w:val="24"/>
        </w:rPr>
        <w:t xml:space="preserve">In addition to </w:t>
      </w:r>
      <w:r w:rsidR="00C66C9F">
        <w:rPr>
          <w:rFonts w:ascii="Arial" w:hAnsi="Arial" w:cs="Arial"/>
          <w:sz w:val="24"/>
          <w:szCs w:val="24"/>
        </w:rPr>
        <w:t>this, delays</w:t>
      </w:r>
      <w:r w:rsidR="00C66C9F" w:rsidRPr="00C66C9F">
        <w:rPr>
          <w:rFonts w:ascii="Arial" w:hAnsi="Arial" w:cs="Arial"/>
          <w:sz w:val="24"/>
          <w:szCs w:val="24"/>
        </w:rPr>
        <w:t xml:space="preserve"> were discovered during the inspection at each </w:t>
      </w:r>
      <w:proofErr w:type="gramStart"/>
      <w:r w:rsidR="00C66C9F" w:rsidRPr="00C66C9F">
        <w:rPr>
          <w:rFonts w:ascii="Arial" w:hAnsi="Arial" w:cs="Arial"/>
          <w:sz w:val="24"/>
          <w:szCs w:val="24"/>
        </w:rPr>
        <w:t>levels</w:t>
      </w:r>
      <w:proofErr w:type="gramEnd"/>
      <w:r w:rsidR="00C66C9F" w:rsidRPr="00C66C9F">
        <w:rPr>
          <w:rFonts w:ascii="Arial" w:hAnsi="Arial" w:cs="Arial"/>
          <w:sz w:val="24"/>
          <w:szCs w:val="24"/>
        </w:rPr>
        <w:t xml:space="preserve"> of the criminal justice system. Prolonged waits for psychiatric assessments, which are used to influence sentencing decisions, plague courts.</w:t>
      </w:r>
      <w:r w:rsidR="00C66C9F">
        <w:rPr>
          <w:rFonts w:ascii="Arial" w:hAnsi="Arial" w:cs="Arial"/>
          <w:sz w:val="24"/>
          <w:szCs w:val="24"/>
        </w:rPr>
        <w:t xml:space="preserve"> </w:t>
      </w:r>
      <w:r w:rsidR="00C66C9F" w:rsidRPr="00C66C9F">
        <w:rPr>
          <w:rFonts w:ascii="Arial" w:hAnsi="Arial" w:cs="Arial"/>
          <w:sz w:val="24"/>
          <w:szCs w:val="24"/>
        </w:rPr>
        <w:t>Individuals seeking treatment face "unacceptable waits" due to a lack of high-quality mental health care</w:t>
      </w:r>
      <w:r w:rsidR="00A146F1">
        <w:rPr>
          <w:rFonts w:ascii="Arial" w:hAnsi="Arial" w:cs="Arial"/>
          <w:sz w:val="24"/>
          <w:szCs w:val="24"/>
        </w:rPr>
        <w:t xml:space="preserve"> (Porteous-Sebouhian, 2021</w:t>
      </w:r>
      <w:r w:rsidR="00633CE0">
        <w:rPr>
          <w:rFonts w:ascii="Arial" w:hAnsi="Arial" w:cs="Arial"/>
          <w:sz w:val="24"/>
          <w:szCs w:val="24"/>
        </w:rPr>
        <w:t>)</w:t>
      </w:r>
      <w:r w:rsidR="00C66C9F" w:rsidRPr="00C66C9F">
        <w:rPr>
          <w:rFonts w:ascii="Arial" w:hAnsi="Arial" w:cs="Arial"/>
          <w:sz w:val="24"/>
          <w:szCs w:val="24"/>
        </w:rPr>
        <w:t>.</w:t>
      </w:r>
      <w:r w:rsidR="00C66C9F">
        <w:rPr>
          <w:rFonts w:ascii="Arial" w:hAnsi="Arial" w:cs="Arial"/>
          <w:sz w:val="24"/>
          <w:szCs w:val="24"/>
        </w:rPr>
        <w:t xml:space="preserve"> </w:t>
      </w:r>
      <w:r w:rsidR="00C66C9F" w:rsidRPr="00C66C9F">
        <w:rPr>
          <w:rFonts w:ascii="Arial" w:hAnsi="Arial" w:cs="Arial"/>
          <w:sz w:val="24"/>
          <w:szCs w:val="24"/>
        </w:rPr>
        <w:t xml:space="preserve">Inspectors discovered that critically ill convicts were frequently remained in prison rather than being quickly moved to mental health clinics. Delays were sometimes caused by a paucity of medium and high-security beds; as a result, </w:t>
      </w:r>
      <w:r w:rsidR="00C66C9F" w:rsidRPr="00C66C9F">
        <w:rPr>
          <w:rFonts w:ascii="Arial" w:hAnsi="Arial" w:cs="Arial"/>
          <w:sz w:val="24"/>
          <w:szCs w:val="24"/>
        </w:rPr>
        <w:lastRenderedPageBreak/>
        <w:t>the mental health of these offenders frequently deteriorated as they waited</w:t>
      </w:r>
      <w:r w:rsidR="001212D1">
        <w:rPr>
          <w:rFonts w:ascii="Arial" w:hAnsi="Arial" w:cs="Arial"/>
          <w:sz w:val="24"/>
          <w:szCs w:val="24"/>
        </w:rPr>
        <w:t xml:space="preserve"> (Cummins, 2018)</w:t>
      </w:r>
      <w:r w:rsidR="00C66C9F" w:rsidRPr="00C66C9F">
        <w:rPr>
          <w:rFonts w:ascii="Arial" w:hAnsi="Arial" w:cs="Arial"/>
          <w:sz w:val="24"/>
          <w:szCs w:val="24"/>
        </w:rPr>
        <w:t>.</w:t>
      </w:r>
    </w:p>
    <w:p w14:paraId="50E919DB" w14:textId="64C52ED6" w:rsidR="0023720F" w:rsidRPr="004B23BD" w:rsidRDefault="0023720F" w:rsidP="00C66C9F">
      <w:pPr>
        <w:spacing w:line="480" w:lineRule="auto"/>
        <w:rPr>
          <w:rFonts w:ascii="Arial" w:hAnsi="Arial" w:cs="Arial"/>
          <w:sz w:val="24"/>
          <w:szCs w:val="24"/>
        </w:rPr>
      </w:pPr>
      <w:r w:rsidRPr="0023720F">
        <w:rPr>
          <w:rFonts w:ascii="Arial" w:hAnsi="Arial" w:cs="Arial"/>
          <w:sz w:val="24"/>
          <w:szCs w:val="24"/>
        </w:rPr>
        <w:t xml:space="preserve">Contrary to this, overall advances in assisting the vulnerable prior to PACE (1984) are visible; yet it can also be anticipated that in today's ever-changing environment, the CJS must always seek to adapt </w:t>
      </w:r>
      <w:proofErr w:type="gramStart"/>
      <w:r w:rsidRPr="0023720F">
        <w:rPr>
          <w:rFonts w:ascii="Arial" w:hAnsi="Arial" w:cs="Arial"/>
          <w:sz w:val="24"/>
          <w:szCs w:val="24"/>
        </w:rPr>
        <w:t>in order to</w:t>
      </w:r>
      <w:proofErr w:type="gramEnd"/>
      <w:r w:rsidRPr="0023720F">
        <w:rPr>
          <w:rFonts w:ascii="Arial" w:hAnsi="Arial" w:cs="Arial"/>
          <w:sz w:val="24"/>
          <w:szCs w:val="24"/>
        </w:rPr>
        <w:t xml:space="preserve"> focus on people who are regarded vulnerable.</w:t>
      </w:r>
    </w:p>
    <w:p w14:paraId="3AE165A8" w14:textId="77777777" w:rsidR="004B23BD" w:rsidRPr="004B23BD" w:rsidRDefault="004B23BD" w:rsidP="004B23BD">
      <w:pPr>
        <w:spacing w:line="480" w:lineRule="auto"/>
        <w:rPr>
          <w:rFonts w:ascii="Arial" w:hAnsi="Arial" w:cs="Arial"/>
          <w:sz w:val="24"/>
          <w:szCs w:val="24"/>
        </w:rPr>
      </w:pPr>
    </w:p>
    <w:p w14:paraId="1BADA934" w14:textId="77777777" w:rsidR="004B23BD" w:rsidRPr="004B23BD" w:rsidRDefault="004B23BD" w:rsidP="004B23BD">
      <w:pPr>
        <w:spacing w:line="480" w:lineRule="auto"/>
        <w:rPr>
          <w:rFonts w:ascii="Arial" w:hAnsi="Arial" w:cs="Arial"/>
          <w:sz w:val="24"/>
          <w:szCs w:val="24"/>
        </w:rPr>
      </w:pPr>
    </w:p>
    <w:p w14:paraId="0425E169" w14:textId="77777777" w:rsidR="004B23BD" w:rsidRPr="004B23BD" w:rsidRDefault="004B23BD" w:rsidP="004B23BD">
      <w:pPr>
        <w:spacing w:line="480" w:lineRule="auto"/>
        <w:rPr>
          <w:rFonts w:ascii="Arial" w:hAnsi="Arial" w:cs="Arial"/>
          <w:sz w:val="24"/>
          <w:szCs w:val="24"/>
        </w:rPr>
      </w:pPr>
    </w:p>
    <w:p w14:paraId="459C981F" w14:textId="77777777" w:rsidR="004B23BD" w:rsidRPr="004B23BD" w:rsidRDefault="004B23BD" w:rsidP="004B23BD">
      <w:pPr>
        <w:spacing w:line="480" w:lineRule="auto"/>
        <w:rPr>
          <w:rFonts w:ascii="Arial" w:hAnsi="Arial" w:cs="Arial"/>
          <w:sz w:val="24"/>
          <w:szCs w:val="24"/>
        </w:rPr>
      </w:pPr>
    </w:p>
    <w:p w14:paraId="2ADFBD7A" w14:textId="77777777" w:rsidR="005E6611" w:rsidRDefault="005E6611" w:rsidP="004B23BD">
      <w:pPr>
        <w:spacing w:line="480" w:lineRule="auto"/>
        <w:rPr>
          <w:rFonts w:ascii="Arial" w:hAnsi="Arial" w:cs="Arial"/>
          <w:sz w:val="24"/>
          <w:szCs w:val="24"/>
        </w:rPr>
      </w:pPr>
    </w:p>
    <w:p w14:paraId="0CB2B141" w14:textId="77777777" w:rsidR="002B15D9" w:rsidRDefault="002B15D9" w:rsidP="004B23BD">
      <w:pPr>
        <w:spacing w:line="480" w:lineRule="auto"/>
        <w:rPr>
          <w:rFonts w:ascii="Arial" w:hAnsi="Arial" w:cs="Arial"/>
          <w:sz w:val="24"/>
          <w:szCs w:val="24"/>
        </w:rPr>
      </w:pPr>
    </w:p>
    <w:p w14:paraId="399E598C" w14:textId="77777777" w:rsidR="002B15D9" w:rsidRDefault="002B15D9" w:rsidP="004B23BD">
      <w:pPr>
        <w:spacing w:line="480" w:lineRule="auto"/>
        <w:rPr>
          <w:rFonts w:ascii="Arial" w:hAnsi="Arial" w:cs="Arial"/>
          <w:sz w:val="24"/>
          <w:szCs w:val="24"/>
        </w:rPr>
      </w:pPr>
    </w:p>
    <w:p w14:paraId="074051B9" w14:textId="77777777" w:rsidR="002B15D9" w:rsidRDefault="002B15D9" w:rsidP="004B23BD">
      <w:pPr>
        <w:spacing w:line="480" w:lineRule="auto"/>
        <w:rPr>
          <w:rFonts w:ascii="Arial" w:hAnsi="Arial" w:cs="Arial"/>
          <w:sz w:val="24"/>
          <w:szCs w:val="24"/>
        </w:rPr>
      </w:pPr>
    </w:p>
    <w:p w14:paraId="13257787" w14:textId="77777777" w:rsidR="002B15D9" w:rsidRDefault="002B15D9" w:rsidP="004B23BD">
      <w:pPr>
        <w:spacing w:line="480" w:lineRule="auto"/>
        <w:rPr>
          <w:rFonts w:ascii="Arial" w:hAnsi="Arial" w:cs="Arial"/>
          <w:sz w:val="24"/>
          <w:szCs w:val="24"/>
        </w:rPr>
      </w:pPr>
    </w:p>
    <w:p w14:paraId="69FB41AD" w14:textId="77777777" w:rsidR="00B7320B" w:rsidRDefault="00B7320B" w:rsidP="004B23BD">
      <w:pPr>
        <w:spacing w:line="480" w:lineRule="auto"/>
        <w:rPr>
          <w:rFonts w:ascii="Arial" w:hAnsi="Arial" w:cs="Arial"/>
          <w:sz w:val="24"/>
          <w:szCs w:val="24"/>
        </w:rPr>
      </w:pPr>
    </w:p>
    <w:p w14:paraId="70065009" w14:textId="77777777" w:rsidR="00B7320B" w:rsidRDefault="00B7320B" w:rsidP="004B23BD">
      <w:pPr>
        <w:spacing w:line="480" w:lineRule="auto"/>
        <w:rPr>
          <w:rFonts w:ascii="Arial" w:hAnsi="Arial" w:cs="Arial"/>
          <w:sz w:val="24"/>
          <w:szCs w:val="24"/>
        </w:rPr>
      </w:pPr>
    </w:p>
    <w:p w14:paraId="5C2334A3" w14:textId="77777777" w:rsidR="00B7320B" w:rsidRDefault="00B7320B" w:rsidP="004B23BD">
      <w:pPr>
        <w:spacing w:line="480" w:lineRule="auto"/>
        <w:rPr>
          <w:rFonts w:ascii="Arial" w:hAnsi="Arial" w:cs="Arial"/>
          <w:sz w:val="24"/>
          <w:szCs w:val="24"/>
        </w:rPr>
      </w:pPr>
    </w:p>
    <w:p w14:paraId="2350910F" w14:textId="77777777" w:rsidR="00B7320B" w:rsidRDefault="00B7320B" w:rsidP="004B23BD">
      <w:pPr>
        <w:spacing w:line="480" w:lineRule="auto"/>
        <w:rPr>
          <w:rFonts w:ascii="Arial" w:hAnsi="Arial" w:cs="Arial"/>
          <w:sz w:val="24"/>
          <w:szCs w:val="24"/>
        </w:rPr>
      </w:pPr>
    </w:p>
    <w:p w14:paraId="14A4EBBE" w14:textId="60B28984" w:rsidR="00B7320B" w:rsidRDefault="00B7320B" w:rsidP="004B23BD">
      <w:pPr>
        <w:spacing w:line="480" w:lineRule="auto"/>
        <w:rPr>
          <w:rFonts w:ascii="Arial" w:hAnsi="Arial" w:cs="Arial"/>
          <w:sz w:val="24"/>
          <w:szCs w:val="24"/>
        </w:rPr>
      </w:pPr>
    </w:p>
    <w:p w14:paraId="22C55613" w14:textId="77777777" w:rsidR="00265114" w:rsidRDefault="00265114" w:rsidP="004B23BD">
      <w:pPr>
        <w:spacing w:line="480" w:lineRule="auto"/>
        <w:rPr>
          <w:rFonts w:ascii="Arial" w:hAnsi="Arial" w:cs="Arial"/>
          <w:sz w:val="24"/>
          <w:szCs w:val="24"/>
        </w:rPr>
      </w:pPr>
    </w:p>
    <w:p w14:paraId="6722AF75" w14:textId="77777777" w:rsidR="00265114" w:rsidRDefault="00265114" w:rsidP="004B23BD">
      <w:pPr>
        <w:spacing w:line="480" w:lineRule="auto"/>
        <w:rPr>
          <w:rFonts w:ascii="Arial" w:hAnsi="Arial" w:cs="Arial"/>
          <w:sz w:val="24"/>
          <w:szCs w:val="24"/>
        </w:rPr>
      </w:pPr>
    </w:p>
    <w:p w14:paraId="22CF8C96" w14:textId="77777777" w:rsidR="00265114" w:rsidRDefault="00265114" w:rsidP="004B23BD">
      <w:pPr>
        <w:spacing w:line="480" w:lineRule="auto"/>
        <w:rPr>
          <w:rFonts w:ascii="Arial" w:hAnsi="Arial" w:cs="Arial"/>
          <w:sz w:val="24"/>
          <w:szCs w:val="24"/>
        </w:rPr>
      </w:pPr>
    </w:p>
    <w:p w14:paraId="3376BB14" w14:textId="77777777" w:rsidR="00265114" w:rsidRDefault="00265114" w:rsidP="004B23BD">
      <w:pPr>
        <w:spacing w:line="480" w:lineRule="auto"/>
        <w:rPr>
          <w:rFonts w:ascii="Arial" w:hAnsi="Arial" w:cs="Arial"/>
          <w:sz w:val="24"/>
          <w:szCs w:val="24"/>
        </w:rPr>
      </w:pPr>
    </w:p>
    <w:p w14:paraId="5B11F65D" w14:textId="77777777" w:rsidR="00265114" w:rsidRDefault="00265114" w:rsidP="004B23BD">
      <w:pPr>
        <w:spacing w:line="480" w:lineRule="auto"/>
        <w:rPr>
          <w:rFonts w:ascii="Arial" w:hAnsi="Arial" w:cs="Arial"/>
          <w:sz w:val="24"/>
          <w:szCs w:val="24"/>
        </w:rPr>
      </w:pPr>
    </w:p>
    <w:p w14:paraId="54E87DF7" w14:textId="6A72A3B2" w:rsidR="00403DE0" w:rsidRPr="00B7320B" w:rsidRDefault="00B7320B" w:rsidP="00B7320B">
      <w:pPr>
        <w:spacing w:line="480" w:lineRule="auto"/>
        <w:rPr>
          <w:rFonts w:ascii="Arial" w:hAnsi="Arial" w:cs="Arial"/>
          <w:sz w:val="24"/>
          <w:szCs w:val="24"/>
        </w:rPr>
      </w:pPr>
      <w:r w:rsidRPr="00B7320B">
        <w:rPr>
          <w:rFonts w:ascii="Arial" w:hAnsi="Arial" w:cs="Arial"/>
          <w:sz w:val="24"/>
          <w:szCs w:val="24"/>
        </w:rPr>
        <w:lastRenderedPageBreak/>
        <w:t xml:space="preserve">References </w:t>
      </w:r>
    </w:p>
    <w:p w14:paraId="76355301" w14:textId="77777777" w:rsidR="00403DE0" w:rsidRPr="00B7320B" w:rsidRDefault="00403DE0" w:rsidP="00B7320B">
      <w:pPr>
        <w:pStyle w:val="ListParagraph"/>
        <w:rPr>
          <w:rFonts w:ascii="Arial" w:hAnsi="Arial" w:cs="Arial"/>
          <w:sz w:val="24"/>
          <w:szCs w:val="24"/>
        </w:rPr>
      </w:pPr>
    </w:p>
    <w:p w14:paraId="76BE4B3D" w14:textId="74A7CFB6" w:rsidR="00403DE0" w:rsidRPr="00B7320B" w:rsidRDefault="00403DE0" w:rsidP="00B7320B">
      <w:pPr>
        <w:pStyle w:val="referencescopy1"/>
        <w:numPr>
          <w:ilvl w:val="0"/>
          <w:numId w:val="3"/>
        </w:numPr>
        <w:shd w:val="clear" w:color="auto" w:fill="FFFFFF"/>
        <w:spacing w:before="0" w:beforeAutospacing="0" w:after="150" w:afterAutospacing="0" w:line="480" w:lineRule="auto"/>
        <w:rPr>
          <w:rFonts w:ascii="Arial" w:hAnsi="Arial" w:cs="Arial"/>
          <w:color w:val="3E3D40"/>
        </w:rPr>
      </w:pPr>
      <w:r w:rsidRPr="00B7320B">
        <w:rPr>
          <w:rFonts w:ascii="Arial" w:hAnsi="Arial" w:cs="Arial"/>
          <w:color w:val="3E3D40"/>
        </w:rPr>
        <w:t xml:space="preserve">Andersson N, Cockcroft A, and Shea B. (2008). </w:t>
      </w:r>
      <w:r w:rsidRPr="00403DE0">
        <w:rPr>
          <w:rFonts w:ascii="Arial" w:hAnsi="Arial" w:cs="Arial"/>
          <w:i/>
          <w:iCs/>
          <w:color w:val="3E3D40"/>
        </w:rPr>
        <w:t>Gender-based violence and HIV: relevance for HIV prevention in hyperendemic countries of southern Africa</w:t>
      </w:r>
      <w:r w:rsidRPr="00B7320B">
        <w:rPr>
          <w:rFonts w:ascii="Arial" w:hAnsi="Arial" w:cs="Arial"/>
          <w:color w:val="3E3D40"/>
        </w:rPr>
        <w:t xml:space="preserve">.  </w:t>
      </w:r>
      <w:proofErr w:type="gramStart"/>
      <w:r w:rsidRPr="00B7320B">
        <w:rPr>
          <w:rFonts w:ascii="Arial" w:hAnsi="Arial" w:cs="Arial"/>
          <w:color w:val="3E3D40"/>
        </w:rPr>
        <w:t>4:S</w:t>
      </w:r>
      <w:proofErr w:type="gramEnd"/>
      <w:r w:rsidRPr="00B7320B">
        <w:rPr>
          <w:rFonts w:ascii="Arial" w:hAnsi="Arial" w:cs="Arial"/>
          <w:color w:val="3E3D40"/>
        </w:rPr>
        <w:t xml:space="preserve">73–S86. </w:t>
      </w:r>
      <w:proofErr w:type="spellStart"/>
      <w:r w:rsidRPr="00B7320B">
        <w:rPr>
          <w:rFonts w:ascii="Arial" w:hAnsi="Arial" w:cs="Arial"/>
          <w:color w:val="3E3D40"/>
        </w:rPr>
        <w:t>doi</w:t>
      </w:r>
      <w:proofErr w:type="spellEnd"/>
      <w:r w:rsidRPr="00B7320B">
        <w:rPr>
          <w:rFonts w:ascii="Arial" w:hAnsi="Arial" w:cs="Arial"/>
          <w:color w:val="3E3D40"/>
        </w:rPr>
        <w:t>: 10.1097/01.aids.0000341778.73038.86</w:t>
      </w:r>
    </w:p>
    <w:p w14:paraId="7D59695A"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Barnes, C. and Mercer, G. (1996) </w:t>
      </w:r>
      <w:r w:rsidRPr="00403DE0">
        <w:rPr>
          <w:rFonts w:ascii="Arial" w:hAnsi="Arial" w:cs="Arial"/>
          <w:i/>
          <w:iCs/>
          <w:sz w:val="24"/>
          <w:szCs w:val="24"/>
        </w:rPr>
        <w:t>Exploring the Divide: Illness and Disability</w:t>
      </w:r>
      <w:r>
        <w:rPr>
          <w:rFonts w:ascii="Arial" w:hAnsi="Arial" w:cs="Arial"/>
          <w:sz w:val="24"/>
          <w:szCs w:val="24"/>
        </w:rPr>
        <w:t>.</w:t>
      </w:r>
      <w:r w:rsidRPr="00B7320B">
        <w:rPr>
          <w:rFonts w:ascii="Arial" w:hAnsi="Arial" w:cs="Arial"/>
          <w:sz w:val="24"/>
          <w:szCs w:val="24"/>
        </w:rPr>
        <w:t xml:space="preserve"> Leeds: The Disability Press</w:t>
      </w:r>
    </w:p>
    <w:p w14:paraId="6A2BAE2F"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Brotherton, G. and Cronin, M. (2013) </w:t>
      </w:r>
      <w:r w:rsidRPr="00403DE0">
        <w:rPr>
          <w:rFonts w:ascii="Arial" w:hAnsi="Arial" w:cs="Arial"/>
          <w:i/>
          <w:iCs/>
          <w:sz w:val="24"/>
          <w:szCs w:val="24"/>
        </w:rPr>
        <w:t>Working with Vulnerable Children, Young People and Families</w:t>
      </w:r>
      <w:r>
        <w:rPr>
          <w:rFonts w:ascii="Arial" w:hAnsi="Arial" w:cs="Arial"/>
          <w:i/>
          <w:iCs/>
          <w:sz w:val="24"/>
          <w:szCs w:val="24"/>
        </w:rPr>
        <w:t>.</w:t>
      </w:r>
      <w:r w:rsidRPr="00B7320B">
        <w:rPr>
          <w:rFonts w:ascii="Arial" w:hAnsi="Arial" w:cs="Arial"/>
          <w:sz w:val="24"/>
          <w:szCs w:val="24"/>
        </w:rPr>
        <w:t xml:space="preserve"> Abingdon: Routledge</w:t>
      </w:r>
    </w:p>
    <w:p w14:paraId="28C63118"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 Brown, H., Egan-Sage, E., Barry, G., and McKay C. (1996) </w:t>
      </w:r>
      <w:r w:rsidRPr="00343352">
        <w:rPr>
          <w:rFonts w:ascii="Arial" w:hAnsi="Arial" w:cs="Arial"/>
          <w:i/>
          <w:iCs/>
          <w:sz w:val="24"/>
          <w:szCs w:val="24"/>
        </w:rPr>
        <w:t xml:space="preserve">Towards Better Interviewing: A Handbook for Police Officers and Social Workers on the Sexual Abuse of Adults with Learning Disabilities. </w:t>
      </w:r>
      <w:r w:rsidRPr="00B7320B">
        <w:rPr>
          <w:rFonts w:ascii="Arial" w:hAnsi="Arial" w:cs="Arial"/>
          <w:sz w:val="24"/>
          <w:szCs w:val="24"/>
        </w:rPr>
        <w:t>Nottingham: NAPSAC.</w:t>
      </w:r>
    </w:p>
    <w:p w14:paraId="56562E66"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Brown, K. (2015) </w:t>
      </w:r>
      <w:r w:rsidRPr="00403DE0">
        <w:rPr>
          <w:rFonts w:ascii="Arial" w:hAnsi="Arial" w:cs="Arial"/>
          <w:i/>
          <w:iCs/>
          <w:sz w:val="24"/>
          <w:szCs w:val="24"/>
        </w:rPr>
        <w:t>Vulnerability and Young People: Care and Social Control in Policy and Practice.</w:t>
      </w:r>
      <w:r w:rsidRPr="00B7320B">
        <w:rPr>
          <w:rFonts w:ascii="Arial" w:hAnsi="Arial" w:cs="Arial"/>
          <w:sz w:val="24"/>
          <w:szCs w:val="24"/>
        </w:rPr>
        <w:t xml:space="preserve"> Bristol: Policy Press</w:t>
      </w:r>
    </w:p>
    <w:p w14:paraId="433EE03D"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Clare, I., and Gudjonsson, G. (1991</w:t>
      </w:r>
      <w:r w:rsidRPr="00343352">
        <w:rPr>
          <w:rFonts w:ascii="Arial" w:hAnsi="Arial" w:cs="Arial"/>
          <w:sz w:val="24"/>
          <w:szCs w:val="24"/>
        </w:rPr>
        <w:t>)</w:t>
      </w:r>
      <w:r w:rsidRPr="00343352">
        <w:rPr>
          <w:rFonts w:ascii="Arial" w:hAnsi="Arial" w:cs="Arial"/>
          <w:i/>
          <w:iCs/>
          <w:sz w:val="24"/>
          <w:szCs w:val="24"/>
        </w:rPr>
        <w:t>. Recall and understanding of the caution and rights in police detention among persons of average intellectual ability and persons with a mental handicap. Proceedings of the First DCLP Annual Conference, Volume Issues in Criminological and Legal Psychology Series, No. 17.</w:t>
      </w:r>
      <w:r w:rsidRPr="00B7320B">
        <w:rPr>
          <w:rFonts w:ascii="Arial" w:hAnsi="Arial" w:cs="Arial"/>
          <w:sz w:val="24"/>
          <w:szCs w:val="24"/>
        </w:rPr>
        <w:t xml:space="preserve"> Leicester: British Psychological Society. 34-42</w:t>
      </w:r>
    </w:p>
    <w:p w14:paraId="5E2D4E30"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Clare, I., and Gudjonsson, G. (1993) </w:t>
      </w:r>
      <w:r w:rsidRPr="00343352">
        <w:rPr>
          <w:rFonts w:ascii="Arial" w:hAnsi="Arial" w:cs="Arial"/>
          <w:i/>
          <w:iCs/>
          <w:sz w:val="24"/>
          <w:szCs w:val="24"/>
        </w:rPr>
        <w:t>Interrogative suggestibility, confabulation, and acquiescence in people with mild learning disabilities (mental handicap): Implications for reliability during police interview.</w:t>
      </w:r>
      <w:r w:rsidRPr="00B7320B">
        <w:rPr>
          <w:rFonts w:ascii="Arial" w:hAnsi="Arial" w:cs="Arial"/>
          <w:sz w:val="24"/>
          <w:szCs w:val="24"/>
        </w:rPr>
        <w:t xml:space="preserve"> </w:t>
      </w:r>
      <w:proofErr w:type="spellStart"/>
      <w:r w:rsidRPr="00B7320B">
        <w:rPr>
          <w:rFonts w:ascii="Arial" w:hAnsi="Arial" w:cs="Arial"/>
          <w:sz w:val="24"/>
          <w:szCs w:val="24"/>
        </w:rPr>
        <w:t>BrJ</w:t>
      </w:r>
      <w:proofErr w:type="spellEnd"/>
      <w:r w:rsidRPr="00B7320B">
        <w:rPr>
          <w:rFonts w:ascii="Arial" w:hAnsi="Arial" w:cs="Arial"/>
          <w:sz w:val="24"/>
          <w:szCs w:val="24"/>
        </w:rPr>
        <w:t xml:space="preserve"> Clin Psychol. 32:295-301</w:t>
      </w:r>
    </w:p>
    <w:p w14:paraId="0B1D72F7" w14:textId="77777777" w:rsidR="00403DE0" w:rsidRPr="00B85CC6"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lastRenderedPageBreak/>
        <w:t xml:space="preserve">Clare, I., and Gudjonsson, G., (1992) </w:t>
      </w:r>
      <w:r w:rsidRPr="00B85CC6">
        <w:rPr>
          <w:rFonts w:ascii="Arial" w:hAnsi="Arial" w:cs="Arial"/>
          <w:i/>
          <w:iCs/>
          <w:sz w:val="24"/>
          <w:szCs w:val="24"/>
        </w:rPr>
        <w:t>Devising and Piloting an Experimental Version of the 'Notice to Detained Persons'. Royal Commission on Criminal Justice, Research Study No. 7</w:t>
      </w:r>
      <w:r w:rsidRPr="00B7320B">
        <w:rPr>
          <w:rFonts w:ascii="Arial" w:hAnsi="Arial" w:cs="Arial"/>
          <w:sz w:val="24"/>
          <w:szCs w:val="24"/>
        </w:rPr>
        <w:t xml:space="preserve">. London: </w:t>
      </w:r>
      <w:r w:rsidRPr="00B7320B">
        <w:rPr>
          <w:rFonts w:ascii="Arial" w:hAnsi="Arial" w:cs="Arial"/>
          <w:sz w:val="24"/>
          <w:szCs w:val="24"/>
          <w:shd w:val="clear" w:color="auto" w:fill="FFFFFF"/>
        </w:rPr>
        <w:t>Her Majesty's Stationery Office</w:t>
      </w:r>
      <w:r w:rsidRPr="00B7320B">
        <w:rPr>
          <w:rFonts w:ascii="Arial" w:hAnsi="Arial" w:cs="Arial"/>
          <w:sz w:val="24"/>
          <w:szCs w:val="24"/>
        </w:rPr>
        <w:t xml:space="preserve">. </w:t>
      </w:r>
    </w:p>
    <w:p w14:paraId="03D013F3"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Craft, M. (1984) </w:t>
      </w:r>
      <w:r w:rsidRPr="00B85CC6">
        <w:rPr>
          <w:rFonts w:ascii="Arial" w:hAnsi="Arial" w:cs="Arial"/>
          <w:i/>
          <w:iCs/>
          <w:sz w:val="24"/>
          <w:szCs w:val="24"/>
        </w:rPr>
        <w:t xml:space="preserve">Low intelligence, mental handicap, and criminality. In: Craft M, Craft A, eds. Mentally Abnormal Offenders. </w:t>
      </w:r>
      <w:r w:rsidRPr="00B7320B">
        <w:rPr>
          <w:rFonts w:ascii="Arial" w:hAnsi="Arial" w:cs="Arial"/>
          <w:sz w:val="24"/>
          <w:szCs w:val="24"/>
        </w:rPr>
        <w:t xml:space="preserve">London: Bailliere-Tindall. 177-85 6 </w:t>
      </w:r>
    </w:p>
    <w:p w14:paraId="6099F6D1" w14:textId="77777777" w:rsidR="00403DE0" w:rsidRPr="00B7320B" w:rsidRDefault="00403DE0" w:rsidP="00B7320B">
      <w:pPr>
        <w:pStyle w:val="ListParagraph"/>
        <w:numPr>
          <w:ilvl w:val="0"/>
          <w:numId w:val="3"/>
        </w:numPr>
        <w:spacing w:line="480" w:lineRule="auto"/>
        <w:rPr>
          <w:rFonts w:ascii="Arial" w:hAnsi="Arial" w:cs="Arial"/>
          <w:sz w:val="24"/>
          <w:szCs w:val="24"/>
        </w:rPr>
      </w:pPr>
      <w:bookmarkStart w:id="1" w:name="B10"/>
      <w:bookmarkEnd w:id="1"/>
      <w:r w:rsidRPr="00B7320B">
        <w:rPr>
          <w:rFonts w:ascii="Arial" w:hAnsi="Arial" w:cs="Arial"/>
          <w:sz w:val="24"/>
          <w:szCs w:val="24"/>
        </w:rPr>
        <w:t>Criminal Justice Joint Inspection. (2021</w:t>
      </w:r>
      <w:r w:rsidRPr="00B7320B">
        <w:rPr>
          <w:rFonts w:ascii="Arial" w:hAnsi="Arial" w:cs="Arial"/>
          <w:i/>
          <w:iCs/>
          <w:sz w:val="24"/>
          <w:szCs w:val="24"/>
        </w:rPr>
        <w:t xml:space="preserve">) Criminal justice system failing people with mental health issues – with not enough progress over the past 12 years. </w:t>
      </w:r>
      <w:r w:rsidRPr="00B7320B">
        <w:rPr>
          <w:rFonts w:ascii="Arial" w:hAnsi="Arial" w:cs="Arial"/>
          <w:sz w:val="24"/>
          <w:szCs w:val="24"/>
        </w:rPr>
        <w:t xml:space="preserve">Oxford: Her Majesty’s Government. </w:t>
      </w:r>
    </w:p>
    <w:p w14:paraId="0D9E89D8"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Cummins, I. (2019) </w:t>
      </w:r>
      <w:r w:rsidRPr="00B7320B">
        <w:rPr>
          <w:rFonts w:ascii="Arial" w:hAnsi="Arial" w:cs="Arial"/>
          <w:i/>
          <w:iCs/>
          <w:sz w:val="24"/>
          <w:szCs w:val="24"/>
        </w:rPr>
        <w:t>The Impact of Austerity on Mental Health Service Provisions: A UK Perspective.</w:t>
      </w:r>
      <w:r w:rsidRPr="00B7320B">
        <w:rPr>
          <w:rFonts w:ascii="Arial" w:hAnsi="Arial" w:cs="Arial"/>
          <w:sz w:val="24"/>
          <w:szCs w:val="24"/>
        </w:rPr>
        <w:t xml:space="preserve"> Basel: Int J Environ Res Public Health.</w:t>
      </w:r>
    </w:p>
    <w:p w14:paraId="161AD5C0"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Department of Health. (1992) </w:t>
      </w:r>
      <w:r w:rsidRPr="00403DE0">
        <w:rPr>
          <w:rFonts w:ascii="Arial" w:hAnsi="Arial" w:cs="Arial"/>
          <w:i/>
          <w:iCs/>
          <w:sz w:val="24"/>
          <w:szCs w:val="24"/>
        </w:rPr>
        <w:t>Review of Health and Social services for Mentally Disordered Offenders and Others Requiring Similar Services.</w:t>
      </w:r>
      <w:r w:rsidRPr="00B7320B">
        <w:rPr>
          <w:rFonts w:ascii="Arial" w:hAnsi="Arial" w:cs="Arial"/>
          <w:sz w:val="24"/>
          <w:szCs w:val="24"/>
        </w:rPr>
        <w:t xml:space="preserve"> London: Her Majesty's Stationery Office</w:t>
      </w:r>
    </w:p>
    <w:p w14:paraId="1E86D5A8"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 Department of Health. (1993) </w:t>
      </w:r>
      <w:r w:rsidRPr="00403DE0">
        <w:rPr>
          <w:rFonts w:ascii="Arial" w:hAnsi="Arial" w:cs="Arial"/>
          <w:i/>
          <w:iCs/>
          <w:sz w:val="24"/>
          <w:szCs w:val="24"/>
        </w:rPr>
        <w:t>Services for People with Learning Disabilities and Challenging Behaviour or Mental Health Needs.</w:t>
      </w:r>
      <w:r>
        <w:rPr>
          <w:rFonts w:ascii="Arial" w:hAnsi="Arial" w:cs="Arial"/>
          <w:sz w:val="24"/>
          <w:szCs w:val="24"/>
        </w:rPr>
        <w:t xml:space="preserve"> </w:t>
      </w:r>
      <w:r w:rsidRPr="00B7320B">
        <w:rPr>
          <w:rFonts w:ascii="Arial" w:hAnsi="Arial" w:cs="Arial"/>
          <w:sz w:val="24"/>
          <w:szCs w:val="24"/>
        </w:rPr>
        <w:t xml:space="preserve">London: Her Majesty's Stationery Office. </w:t>
      </w:r>
    </w:p>
    <w:p w14:paraId="35BF5CA2"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color w:val="303030"/>
          <w:sz w:val="24"/>
          <w:szCs w:val="24"/>
        </w:rPr>
        <w:t xml:space="preserve">Devries KM, </w:t>
      </w:r>
      <w:proofErr w:type="spellStart"/>
      <w:r w:rsidRPr="00B7320B">
        <w:rPr>
          <w:rFonts w:ascii="Arial" w:hAnsi="Arial" w:cs="Arial"/>
          <w:color w:val="303030"/>
          <w:sz w:val="24"/>
          <w:szCs w:val="24"/>
        </w:rPr>
        <w:t>Mak</w:t>
      </w:r>
      <w:proofErr w:type="spellEnd"/>
      <w:r w:rsidRPr="00B7320B">
        <w:rPr>
          <w:rFonts w:ascii="Arial" w:hAnsi="Arial" w:cs="Arial"/>
          <w:color w:val="303030"/>
          <w:sz w:val="24"/>
          <w:szCs w:val="24"/>
        </w:rPr>
        <w:t xml:space="preserve"> JY, García-Moreno C, Petzold M, Child JC, </w:t>
      </w:r>
      <w:proofErr w:type="spellStart"/>
      <w:r w:rsidRPr="00B7320B">
        <w:rPr>
          <w:rFonts w:ascii="Arial" w:hAnsi="Arial" w:cs="Arial"/>
          <w:color w:val="303030"/>
          <w:sz w:val="24"/>
          <w:szCs w:val="24"/>
        </w:rPr>
        <w:t>Falder</w:t>
      </w:r>
      <w:proofErr w:type="spellEnd"/>
      <w:r w:rsidRPr="00B7320B">
        <w:rPr>
          <w:rFonts w:ascii="Arial" w:hAnsi="Arial" w:cs="Arial"/>
          <w:color w:val="303030"/>
          <w:sz w:val="24"/>
          <w:szCs w:val="24"/>
        </w:rPr>
        <w:t xml:space="preserve"> G, Lim S, Bacchus LJ, Engell RE, Rosenfeld L, Pallitto C, Vos T, Abrahams N and Watts CH. (2013</w:t>
      </w:r>
      <w:r w:rsidRPr="00B7320B">
        <w:rPr>
          <w:rFonts w:ascii="Arial" w:hAnsi="Arial" w:cs="Arial"/>
          <w:sz w:val="24"/>
          <w:szCs w:val="24"/>
        </w:rPr>
        <w:t xml:space="preserve">). </w:t>
      </w:r>
      <w:r w:rsidRPr="00B7320B">
        <w:rPr>
          <w:rFonts w:ascii="Arial" w:hAnsi="Arial" w:cs="Arial"/>
          <w:i/>
          <w:iCs/>
          <w:color w:val="303030"/>
          <w:sz w:val="24"/>
          <w:szCs w:val="24"/>
          <w:shd w:val="clear" w:color="auto" w:fill="FFFFFF"/>
        </w:rPr>
        <w:t xml:space="preserve">The global prevalence of intimate partner violence against women. </w:t>
      </w:r>
      <w:r w:rsidRPr="00B7320B">
        <w:rPr>
          <w:rFonts w:ascii="Arial" w:hAnsi="Arial" w:cs="Arial"/>
          <w:color w:val="303030"/>
          <w:sz w:val="24"/>
          <w:szCs w:val="24"/>
          <w:shd w:val="clear" w:color="auto" w:fill="FFFFFF"/>
        </w:rPr>
        <w:t xml:space="preserve">Pakistan: Global health Science. </w:t>
      </w:r>
      <w:r w:rsidRPr="00B7320B">
        <w:rPr>
          <w:rFonts w:ascii="Arial" w:hAnsi="Arial" w:cs="Arial"/>
          <w:color w:val="303030"/>
          <w:sz w:val="24"/>
          <w:szCs w:val="24"/>
        </w:rPr>
        <w:t>340(6140):1527-8.</w:t>
      </w:r>
    </w:p>
    <w:p w14:paraId="09517B16"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Fairclough, S. (2017). </w:t>
      </w:r>
      <w:r w:rsidRPr="00403DE0">
        <w:rPr>
          <w:rFonts w:ascii="Arial" w:hAnsi="Arial" w:cs="Arial"/>
          <w:i/>
          <w:iCs/>
          <w:sz w:val="24"/>
          <w:szCs w:val="24"/>
        </w:rPr>
        <w:t xml:space="preserve">The Role </w:t>
      </w:r>
      <w:proofErr w:type="gramStart"/>
      <w:r w:rsidRPr="00403DE0">
        <w:rPr>
          <w:rFonts w:ascii="Arial" w:hAnsi="Arial" w:cs="Arial"/>
          <w:i/>
          <w:iCs/>
          <w:sz w:val="24"/>
          <w:szCs w:val="24"/>
        </w:rPr>
        <w:t>Of</w:t>
      </w:r>
      <w:proofErr w:type="gramEnd"/>
      <w:r w:rsidRPr="00403DE0">
        <w:rPr>
          <w:rFonts w:ascii="Arial" w:hAnsi="Arial" w:cs="Arial"/>
          <w:i/>
          <w:iCs/>
          <w:sz w:val="24"/>
          <w:szCs w:val="24"/>
        </w:rPr>
        <w:t xml:space="preserve"> Equality in the Provision of Special Measures to Vulnerable and/or Intimidated Court Users Giving Evidence in Crown Court Trials. </w:t>
      </w:r>
      <w:r w:rsidRPr="00B7320B">
        <w:rPr>
          <w:rFonts w:ascii="Arial" w:hAnsi="Arial" w:cs="Arial"/>
          <w:sz w:val="24"/>
          <w:szCs w:val="24"/>
        </w:rPr>
        <w:t>Brimingham: Brimingham law School</w:t>
      </w:r>
    </w:p>
    <w:p w14:paraId="15EBB25E"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lastRenderedPageBreak/>
        <w:t xml:space="preserve">Fox-Harding, L. M. 11991) </w:t>
      </w:r>
      <w:r w:rsidRPr="00B85CC6">
        <w:rPr>
          <w:rFonts w:ascii="Arial" w:hAnsi="Arial" w:cs="Arial"/>
          <w:i/>
          <w:iCs/>
          <w:sz w:val="24"/>
          <w:szCs w:val="24"/>
        </w:rPr>
        <w:t>'The Children Act 1989 in Context: Four Perspectives in Child Care Law and Policy.</w:t>
      </w:r>
      <w:r w:rsidRPr="00B7320B">
        <w:rPr>
          <w:rFonts w:ascii="Arial" w:hAnsi="Arial" w:cs="Arial"/>
          <w:sz w:val="24"/>
          <w:szCs w:val="24"/>
        </w:rPr>
        <w:t>' The Journal of Social Welfare and Family Law Vol. 2, pp. 179-193.</w:t>
      </w:r>
    </w:p>
    <w:p w14:paraId="0E267C8B"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 Gudjonsson, G., Clare, I., and Cross, P. (1992) </w:t>
      </w:r>
      <w:r w:rsidRPr="00B85CC6">
        <w:rPr>
          <w:rFonts w:ascii="Arial" w:hAnsi="Arial" w:cs="Arial"/>
          <w:i/>
          <w:iCs/>
          <w:sz w:val="24"/>
          <w:szCs w:val="24"/>
        </w:rPr>
        <w:t xml:space="preserve">The revised PACE 'Notice to Detained Persons': how easy is it to read and understand? </w:t>
      </w:r>
      <w:r w:rsidRPr="00B7320B">
        <w:rPr>
          <w:rFonts w:ascii="Arial" w:hAnsi="Arial" w:cs="Arial"/>
          <w:sz w:val="24"/>
          <w:szCs w:val="24"/>
        </w:rPr>
        <w:t xml:space="preserve">J Forensic Science Society. 32:289-99 </w:t>
      </w:r>
    </w:p>
    <w:p w14:paraId="7584A367"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Heal, L., and </w:t>
      </w:r>
      <w:proofErr w:type="spellStart"/>
      <w:r w:rsidRPr="00B7320B">
        <w:rPr>
          <w:rFonts w:ascii="Arial" w:hAnsi="Arial" w:cs="Arial"/>
          <w:sz w:val="24"/>
          <w:szCs w:val="24"/>
        </w:rPr>
        <w:t>Sigelman</w:t>
      </w:r>
      <w:proofErr w:type="spellEnd"/>
      <w:r w:rsidRPr="00B7320B">
        <w:rPr>
          <w:rFonts w:ascii="Arial" w:hAnsi="Arial" w:cs="Arial"/>
          <w:sz w:val="24"/>
          <w:szCs w:val="24"/>
        </w:rPr>
        <w:t xml:space="preserve"> C. (1995). </w:t>
      </w:r>
      <w:r w:rsidRPr="00403DE0">
        <w:rPr>
          <w:rFonts w:ascii="Arial" w:hAnsi="Arial" w:cs="Arial"/>
          <w:i/>
          <w:iCs/>
          <w:sz w:val="24"/>
          <w:szCs w:val="24"/>
        </w:rPr>
        <w:t>Response biases in interviews of individuals with limited mental ability.</w:t>
      </w:r>
      <w:r w:rsidRPr="00B7320B">
        <w:rPr>
          <w:rFonts w:ascii="Arial" w:hAnsi="Arial" w:cs="Arial"/>
          <w:sz w:val="24"/>
          <w:szCs w:val="24"/>
        </w:rPr>
        <w:t xml:space="preserve"> J Intellect Disable Res. 39:33 1-40</w:t>
      </w:r>
    </w:p>
    <w:p w14:paraId="7C7DAE7C"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color w:val="303030"/>
          <w:sz w:val="24"/>
          <w:szCs w:val="24"/>
          <w:shd w:val="clear" w:color="auto" w:fill="FFFFFF"/>
        </w:rPr>
      </w:pPr>
      <w:r w:rsidRPr="00B7320B">
        <w:rPr>
          <w:rFonts w:ascii="Arial" w:hAnsi="Arial" w:cs="Arial"/>
          <w:color w:val="303030"/>
          <w:sz w:val="24"/>
          <w:szCs w:val="24"/>
          <w:shd w:val="clear" w:color="auto" w:fill="FFFFFF"/>
        </w:rPr>
        <w:t xml:space="preserve">Heise L, Garcia-Moreno C. (2002) Violence by intimate partners, </w:t>
      </w:r>
      <w:r w:rsidRPr="00B7320B">
        <w:rPr>
          <w:rStyle w:val="ref-journal"/>
          <w:rFonts w:ascii="Arial" w:hAnsi="Arial" w:cs="Arial"/>
          <w:i/>
          <w:iCs/>
          <w:color w:val="303030"/>
          <w:sz w:val="24"/>
          <w:szCs w:val="24"/>
          <w:shd w:val="clear" w:color="auto" w:fill="FFFFFF"/>
        </w:rPr>
        <w:t>World report on violence and health.</w:t>
      </w:r>
      <w:r w:rsidRPr="00B7320B">
        <w:rPr>
          <w:rFonts w:ascii="Arial" w:hAnsi="Arial" w:cs="Arial"/>
          <w:color w:val="303030"/>
          <w:sz w:val="24"/>
          <w:szCs w:val="24"/>
          <w:shd w:val="clear" w:color="auto" w:fill="FFFFFF"/>
        </w:rPr>
        <w:t> Geneva: World Health Organization. pp. 87–121</w:t>
      </w:r>
    </w:p>
    <w:p w14:paraId="7C9BC5DA"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Mackenzie, C., Rogers, W. and Dodds, S. (2014) </w:t>
      </w:r>
      <w:r w:rsidRPr="00403DE0">
        <w:rPr>
          <w:rFonts w:ascii="Arial" w:hAnsi="Arial" w:cs="Arial"/>
          <w:i/>
          <w:iCs/>
          <w:sz w:val="24"/>
          <w:szCs w:val="24"/>
        </w:rPr>
        <w:t>Vulnerability: New Essays in Ethics and Feminist Philosophy.</w:t>
      </w:r>
      <w:r w:rsidRPr="00B7320B">
        <w:rPr>
          <w:rFonts w:ascii="Arial" w:hAnsi="Arial" w:cs="Arial"/>
          <w:sz w:val="24"/>
          <w:szCs w:val="24"/>
        </w:rPr>
        <w:t xml:space="preserve"> Oxford: Oxford University Press.</w:t>
      </w:r>
    </w:p>
    <w:p w14:paraId="7F02314E" w14:textId="77777777" w:rsidR="00403DE0" w:rsidRPr="00403DE0"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McLaughlin, K. (2012) </w:t>
      </w:r>
      <w:r w:rsidRPr="00403DE0">
        <w:rPr>
          <w:rFonts w:ascii="Arial" w:hAnsi="Arial" w:cs="Arial"/>
          <w:i/>
          <w:iCs/>
          <w:sz w:val="24"/>
          <w:szCs w:val="24"/>
        </w:rPr>
        <w:t>Surviving Identity: Vulnerability and the Psychology of Recognition</w:t>
      </w:r>
      <w:r>
        <w:rPr>
          <w:rFonts w:ascii="Arial" w:hAnsi="Arial" w:cs="Arial"/>
          <w:sz w:val="24"/>
          <w:szCs w:val="24"/>
        </w:rPr>
        <w:t>.</w:t>
      </w:r>
      <w:r w:rsidRPr="00B7320B">
        <w:rPr>
          <w:rFonts w:ascii="Arial" w:hAnsi="Arial" w:cs="Arial"/>
          <w:sz w:val="24"/>
          <w:szCs w:val="24"/>
        </w:rPr>
        <w:t xml:space="preserve"> London: Routledge.</w:t>
      </w:r>
    </w:p>
    <w:p w14:paraId="122A79F2"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i/>
          <w:iCs/>
          <w:color w:val="303030"/>
          <w:sz w:val="24"/>
          <w:szCs w:val="24"/>
        </w:rPr>
        <w:t>Messing JT and Thaller J</w:t>
      </w:r>
      <w:r w:rsidRPr="00B7320B">
        <w:rPr>
          <w:rFonts w:ascii="Arial" w:hAnsi="Arial" w:cs="Arial"/>
          <w:color w:val="303030"/>
          <w:sz w:val="24"/>
          <w:szCs w:val="24"/>
          <w:shd w:val="clear" w:color="auto" w:fill="FFFFFF"/>
        </w:rPr>
        <w:t xml:space="preserve">. (2013) </w:t>
      </w:r>
      <w:r w:rsidRPr="00403DE0">
        <w:rPr>
          <w:rFonts w:ascii="Arial" w:hAnsi="Arial" w:cs="Arial"/>
          <w:i/>
          <w:iCs/>
          <w:color w:val="303030"/>
          <w:sz w:val="24"/>
          <w:szCs w:val="24"/>
          <w:shd w:val="clear" w:color="auto" w:fill="FFFFFF"/>
        </w:rPr>
        <w:t>The average predictive validity of intimate partner violence risk assessment instruments.</w:t>
      </w:r>
      <w:r w:rsidRPr="00B7320B">
        <w:rPr>
          <w:rFonts w:ascii="Arial" w:hAnsi="Arial" w:cs="Arial"/>
          <w:color w:val="303030"/>
          <w:sz w:val="24"/>
          <w:szCs w:val="24"/>
          <w:shd w:val="clear" w:color="auto" w:fill="FFFFFF"/>
        </w:rPr>
        <w:t xml:space="preserve"> Oxford: Journal of Interprets Violence. </w:t>
      </w:r>
      <w:r w:rsidRPr="00B7320B">
        <w:rPr>
          <w:rFonts w:ascii="Arial" w:hAnsi="Arial" w:cs="Arial"/>
          <w:i/>
          <w:iCs/>
          <w:color w:val="303030"/>
          <w:sz w:val="24"/>
          <w:szCs w:val="24"/>
        </w:rPr>
        <w:t>28(7):1537-58.</w:t>
      </w:r>
    </w:p>
    <w:p w14:paraId="0294EF17" w14:textId="77777777" w:rsidR="00403DE0" w:rsidRPr="00B7320B" w:rsidRDefault="00403DE0" w:rsidP="00B7320B">
      <w:pPr>
        <w:pStyle w:val="ListParagraph"/>
        <w:numPr>
          <w:ilvl w:val="0"/>
          <w:numId w:val="3"/>
        </w:numPr>
        <w:spacing w:line="480" w:lineRule="auto"/>
        <w:rPr>
          <w:rFonts w:ascii="Arial" w:hAnsi="Arial" w:cs="Arial"/>
          <w:sz w:val="24"/>
          <w:szCs w:val="24"/>
        </w:rPr>
      </w:pPr>
      <w:r w:rsidRPr="00B7320B">
        <w:rPr>
          <w:rFonts w:ascii="Arial" w:hAnsi="Arial" w:cs="Arial"/>
          <w:sz w:val="24"/>
          <w:szCs w:val="24"/>
        </w:rPr>
        <w:t xml:space="preserve">Murphy, G., and Clare, I. (1995). </w:t>
      </w:r>
      <w:r w:rsidRPr="00403DE0">
        <w:rPr>
          <w:rFonts w:ascii="Arial" w:hAnsi="Arial" w:cs="Arial"/>
          <w:i/>
          <w:iCs/>
          <w:sz w:val="24"/>
          <w:szCs w:val="24"/>
        </w:rPr>
        <w:t>Capacity to make decisions affecting the person: psychologist's contribution.</w:t>
      </w:r>
      <w:r w:rsidRPr="00B7320B">
        <w:rPr>
          <w:rFonts w:ascii="Arial" w:hAnsi="Arial" w:cs="Arial"/>
          <w:sz w:val="24"/>
          <w:szCs w:val="24"/>
        </w:rPr>
        <w:t xml:space="preserve"> Psychology in Legal Contexts. Chichester: Wiley. 97-128 29 </w:t>
      </w:r>
    </w:p>
    <w:p w14:paraId="26A50559"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Olsen, F. E. (1983) </w:t>
      </w:r>
      <w:r w:rsidRPr="00B85CC6">
        <w:rPr>
          <w:rFonts w:ascii="Arial" w:hAnsi="Arial" w:cs="Arial"/>
          <w:i/>
          <w:iCs/>
          <w:sz w:val="24"/>
          <w:szCs w:val="24"/>
        </w:rPr>
        <w:t>'The Family and the Market: A Study of Ideology and Legal Reform.'</w:t>
      </w:r>
      <w:r w:rsidRPr="00B7320B">
        <w:rPr>
          <w:rFonts w:ascii="Arial" w:hAnsi="Arial" w:cs="Arial"/>
          <w:sz w:val="24"/>
          <w:szCs w:val="24"/>
        </w:rPr>
        <w:t xml:space="preserve"> Harvard Law Review Vol. 96 No. 7, p. 1498.</w:t>
      </w:r>
    </w:p>
    <w:p w14:paraId="23CADF75"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Peroni, L. and Timmer, A. (2013) </w:t>
      </w:r>
      <w:r w:rsidRPr="00403DE0">
        <w:rPr>
          <w:rFonts w:ascii="Arial" w:hAnsi="Arial" w:cs="Arial"/>
          <w:i/>
          <w:iCs/>
          <w:sz w:val="24"/>
          <w:szCs w:val="24"/>
        </w:rPr>
        <w:t>‘Vulnerable groups: the promise of an emergent concept in European Human Rights Convention Law’.</w:t>
      </w:r>
      <w:r w:rsidRPr="00B7320B">
        <w:rPr>
          <w:rFonts w:ascii="Arial" w:hAnsi="Arial" w:cs="Arial"/>
          <w:sz w:val="24"/>
          <w:szCs w:val="24"/>
        </w:rPr>
        <w:t xml:space="preserve"> Oxford: International Journal of Constitutional Law. 11, 4, 1056-85</w:t>
      </w:r>
    </w:p>
    <w:p w14:paraId="38EB57DB" w14:textId="77777777" w:rsidR="00403DE0" w:rsidRPr="00B7320B" w:rsidRDefault="00403DE0" w:rsidP="00B7320B">
      <w:pPr>
        <w:pStyle w:val="referencescopy1"/>
        <w:numPr>
          <w:ilvl w:val="0"/>
          <w:numId w:val="3"/>
        </w:numPr>
        <w:shd w:val="clear" w:color="auto" w:fill="FFFFFF"/>
        <w:spacing w:before="0" w:beforeAutospacing="0" w:after="150" w:afterAutospacing="0" w:line="480" w:lineRule="auto"/>
        <w:rPr>
          <w:rFonts w:ascii="Arial" w:hAnsi="Arial" w:cs="Arial"/>
          <w:color w:val="3E3D40"/>
        </w:rPr>
      </w:pPr>
      <w:r w:rsidRPr="00B7320B">
        <w:rPr>
          <w:rFonts w:ascii="Arial" w:hAnsi="Arial" w:cs="Arial"/>
          <w:color w:val="3E3D40"/>
        </w:rPr>
        <w:lastRenderedPageBreak/>
        <w:t>Peterman P, O'Donnell T, Shah O-P, and van Gelder. (2020). </w:t>
      </w:r>
      <w:r w:rsidRPr="00B7320B">
        <w:rPr>
          <w:rFonts w:ascii="Arial" w:hAnsi="Arial" w:cs="Arial"/>
          <w:i/>
          <w:iCs/>
          <w:color w:val="3E3D40"/>
        </w:rPr>
        <w:t>“Pandemics and Violence Against Women and Children.”</w:t>
      </w:r>
      <w:r w:rsidRPr="00B7320B">
        <w:rPr>
          <w:rFonts w:ascii="Arial" w:hAnsi="Arial" w:cs="Arial"/>
          <w:color w:val="3E3D40"/>
        </w:rPr>
        <w:t xml:space="preserve">. Washington, DC: Centre for Global Development. </w:t>
      </w:r>
    </w:p>
    <w:p w14:paraId="379649EC"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color w:val="333333"/>
          <w:sz w:val="24"/>
          <w:szCs w:val="24"/>
          <w:shd w:val="clear" w:color="auto" w:fill="FFFFFF"/>
        </w:rPr>
        <w:t>Porteous-</w:t>
      </w:r>
      <w:proofErr w:type="spellStart"/>
      <w:r w:rsidRPr="00B7320B">
        <w:rPr>
          <w:rFonts w:ascii="Arial" w:hAnsi="Arial" w:cs="Arial"/>
          <w:color w:val="333333"/>
          <w:sz w:val="24"/>
          <w:szCs w:val="24"/>
          <w:shd w:val="clear" w:color="auto" w:fill="FFFFFF"/>
        </w:rPr>
        <w:t>Sebouhian</w:t>
      </w:r>
      <w:proofErr w:type="spellEnd"/>
      <w:r w:rsidRPr="00B7320B">
        <w:rPr>
          <w:rFonts w:ascii="Arial" w:hAnsi="Arial" w:cs="Arial"/>
          <w:color w:val="333333"/>
          <w:sz w:val="24"/>
          <w:szCs w:val="24"/>
          <w:shd w:val="clear" w:color="auto" w:fill="FFFFFF"/>
        </w:rPr>
        <w:t xml:space="preserve">, B. (2021) </w:t>
      </w:r>
      <w:r w:rsidRPr="00B7320B">
        <w:rPr>
          <w:rFonts w:ascii="Arial" w:hAnsi="Arial" w:cs="Arial"/>
          <w:i/>
          <w:iCs/>
          <w:color w:val="333333"/>
          <w:sz w:val="24"/>
          <w:szCs w:val="24"/>
          <w:shd w:val="clear" w:color="auto" w:fill="FFFFFF"/>
        </w:rPr>
        <w:t>The criminal justice system is failing people with mental health issues, says inspectorates.</w:t>
      </w:r>
      <w:r w:rsidRPr="00B7320B">
        <w:rPr>
          <w:rFonts w:ascii="Arial" w:hAnsi="Arial" w:cs="Arial"/>
          <w:color w:val="333333"/>
          <w:sz w:val="24"/>
          <w:szCs w:val="24"/>
          <w:shd w:val="clear" w:color="auto" w:fill="FFFFFF"/>
        </w:rPr>
        <w:t xml:space="preserve"> Oxford: Mental Health Today. </w:t>
      </w:r>
    </w:p>
    <w:p w14:paraId="1B9EA2A7"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Rivett, M., Howarth, E., and Harold, G. (2006) </w:t>
      </w:r>
      <w:r w:rsidRPr="00B7320B">
        <w:rPr>
          <w:rFonts w:ascii="Arial" w:hAnsi="Arial" w:cs="Arial"/>
          <w:i/>
          <w:iCs/>
          <w:sz w:val="24"/>
          <w:szCs w:val="24"/>
        </w:rPr>
        <w:t>Practice in Work with Child Witnesses of Domestic Violence</w:t>
      </w:r>
      <w:r w:rsidRPr="00B7320B">
        <w:rPr>
          <w:rFonts w:ascii="Arial" w:hAnsi="Arial" w:cs="Arial"/>
          <w:sz w:val="24"/>
          <w:szCs w:val="24"/>
        </w:rPr>
        <w:t xml:space="preserve">. </w:t>
      </w:r>
      <w:hyperlink r:id="rId7" w:history="1">
        <w:r w:rsidRPr="00B7320B">
          <w:rPr>
            <w:rStyle w:val="Hyperlink"/>
            <w:rFonts w:ascii="Arial" w:hAnsi="Arial" w:cs="Arial"/>
            <w:sz w:val="24"/>
            <w:szCs w:val="24"/>
          </w:rPr>
          <w:t>https://doi.org/10.1177/1359104506059131</w:t>
        </w:r>
      </w:hyperlink>
    </w:p>
    <w:p w14:paraId="2FD291D2"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Rousseau, J.J. (1792) </w:t>
      </w:r>
      <w:r w:rsidRPr="00403DE0">
        <w:rPr>
          <w:rFonts w:ascii="Arial" w:hAnsi="Arial" w:cs="Arial"/>
          <w:i/>
          <w:iCs/>
          <w:sz w:val="24"/>
          <w:szCs w:val="24"/>
        </w:rPr>
        <w:t>Emile, Translation by Foxley, B. (1974)</w:t>
      </w:r>
      <w:r w:rsidRPr="00B7320B">
        <w:rPr>
          <w:rFonts w:ascii="Arial" w:hAnsi="Arial" w:cs="Arial"/>
          <w:sz w:val="24"/>
          <w:szCs w:val="24"/>
        </w:rPr>
        <w:t>, London: Guernsey Press.</w:t>
      </w:r>
    </w:p>
    <w:p w14:paraId="3C31051F"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Smith, M. J. (1993) </w:t>
      </w:r>
      <w:r w:rsidRPr="00B7320B">
        <w:rPr>
          <w:rFonts w:ascii="Arial" w:hAnsi="Arial" w:cs="Arial"/>
          <w:i/>
          <w:iCs/>
          <w:sz w:val="24"/>
          <w:szCs w:val="24"/>
        </w:rPr>
        <w:t xml:space="preserve">Pressure, Power, and Policy: State Autonomy and Policy Networks in Britain and the United States. </w:t>
      </w:r>
      <w:r w:rsidRPr="00B7320B">
        <w:rPr>
          <w:rFonts w:ascii="Arial" w:hAnsi="Arial" w:cs="Arial"/>
          <w:sz w:val="24"/>
          <w:szCs w:val="24"/>
        </w:rPr>
        <w:t xml:space="preserve">Hemel Hempstead: Harvester </w:t>
      </w:r>
      <w:proofErr w:type="spellStart"/>
      <w:r w:rsidRPr="00B7320B">
        <w:rPr>
          <w:rFonts w:ascii="Arial" w:hAnsi="Arial" w:cs="Arial"/>
          <w:sz w:val="24"/>
          <w:szCs w:val="24"/>
        </w:rPr>
        <w:t>Wheatsheal</w:t>
      </w:r>
      <w:proofErr w:type="spellEnd"/>
      <w:r w:rsidRPr="00B7320B">
        <w:rPr>
          <w:rFonts w:ascii="Arial" w:hAnsi="Arial" w:cs="Arial"/>
          <w:sz w:val="24"/>
          <w:szCs w:val="24"/>
        </w:rPr>
        <w:t>, p. 50.</w:t>
      </w:r>
    </w:p>
    <w:p w14:paraId="3F9E5C50"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Wade, A. (1997). </w:t>
      </w:r>
      <w:r w:rsidRPr="00B7320B">
        <w:rPr>
          <w:rFonts w:ascii="Arial" w:hAnsi="Arial" w:cs="Arial"/>
          <w:i/>
          <w:iCs/>
          <w:sz w:val="24"/>
          <w:szCs w:val="24"/>
        </w:rPr>
        <w:t>The Child Witness and The Criminal Justice Process; A Case in Law Reform.</w:t>
      </w:r>
      <w:r w:rsidRPr="00B7320B">
        <w:rPr>
          <w:rFonts w:ascii="Arial" w:hAnsi="Arial" w:cs="Arial"/>
          <w:sz w:val="24"/>
          <w:szCs w:val="24"/>
        </w:rPr>
        <w:t xml:space="preserve"> Leeds: Department of Law. </w:t>
      </w:r>
    </w:p>
    <w:p w14:paraId="3948520A"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proofErr w:type="spellStart"/>
      <w:r w:rsidRPr="00B7320B">
        <w:rPr>
          <w:rFonts w:ascii="Arial" w:hAnsi="Arial" w:cs="Arial"/>
          <w:sz w:val="24"/>
          <w:szCs w:val="24"/>
        </w:rPr>
        <w:t>Walkgate</w:t>
      </w:r>
      <w:proofErr w:type="spellEnd"/>
      <w:r w:rsidRPr="00B7320B">
        <w:rPr>
          <w:rFonts w:ascii="Arial" w:hAnsi="Arial" w:cs="Arial"/>
          <w:sz w:val="24"/>
          <w:szCs w:val="24"/>
        </w:rPr>
        <w:t xml:space="preserve">, S. (2011) </w:t>
      </w:r>
      <w:r w:rsidRPr="00403DE0">
        <w:rPr>
          <w:rFonts w:ascii="Arial" w:hAnsi="Arial" w:cs="Arial"/>
          <w:i/>
          <w:iCs/>
          <w:sz w:val="24"/>
          <w:szCs w:val="24"/>
        </w:rPr>
        <w:t>‘Reframing criminal victimization: Finding a place for vulnerability and resilience’.</w:t>
      </w:r>
      <w:r w:rsidRPr="00B7320B">
        <w:rPr>
          <w:rFonts w:ascii="Arial" w:hAnsi="Arial" w:cs="Arial"/>
          <w:sz w:val="24"/>
          <w:szCs w:val="24"/>
        </w:rPr>
        <w:t xml:space="preserve"> Oxford: Theoretical Criminology, 15, 2, 179-94</w:t>
      </w:r>
    </w:p>
    <w:p w14:paraId="26800F78"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Williams, G. (1986) </w:t>
      </w:r>
      <w:r w:rsidRPr="00B7320B">
        <w:rPr>
          <w:rFonts w:ascii="Arial" w:hAnsi="Arial" w:cs="Arial"/>
          <w:i/>
          <w:iCs/>
          <w:sz w:val="24"/>
          <w:szCs w:val="24"/>
        </w:rPr>
        <w:t>'More humanity, Mr Hurd.'</w:t>
      </w:r>
      <w:r w:rsidRPr="00B7320B">
        <w:rPr>
          <w:rFonts w:ascii="Arial" w:hAnsi="Arial" w:cs="Arial"/>
          <w:sz w:val="24"/>
          <w:szCs w:val="24"/>
        </w:rPr>
        <w:t xml:space="preserve"> London: The Times </w:t>
      </w:r>
    </w:p>
    <w:p w14:paraId="19DE2D29" w14:textId="77777777" w:rsidR="00403DE0" w:rsidRPr="00B7320B" w:rsidRDefault="00403DE0" w:rsidP="00B7320B">
      <w:pPr>
        <w:pStyle w:val="ListParagraph"/>
        <w:numPr>
          <w:ilvl w:val="0"/>
          <w:numId w:val="3"/>
        </w:numPr>
        <w:overflowPunct w:val="0"/>
        <w:autoSpaceDE w:val="0"/>
        <w:autoSpaceDN w:val="0"/>
        <w:adjustRightInd w:val="0"/>
        <w:spacing w:before="240" w:line="480" w:lineRule="auto"/>
        <w:jc w:val="both"/>
        <w:textAlignment w:val="baseline"/>
        <w:rPr>
          <w:rFonts w:ascii="Arial" w:hAnsi="Arial" w:cs="Arial"/>
          <w:sz w:val="24"/>
          <w:szCs w:val="24"/>
        </w:rPr>
      </w:pPr>
      <w:r w:rsidRPr="00B7320B">
        <w:rPr>
          <w:rFonts w:ascii="Arial" w:hAnsi="Arial" w:cs="Arial"/>
          <w:sz w:val="24"/>
          <w:szCs w:val="24"/>
        </w:rPr>
        <w:t xml:space="preserve">Wishart, G. (2003) </w:t>
      </w:r>
      <w:r w:rsidRPr="00403DE0">
        <w:rPr>
          <w:rFonts w:ascii="Arial" w:hAnsi="Arial" w:cs="Arial"/>
          <w:i/>
          <w:iCs/>
          <w:sz w:val="24"/>
          <w:szCs w:val="24"/>
        </w:rPr>
        <w:t>‘The sexual abuse of people with learning difficulties: do we need a social approach model approach to vulnerability?’.</w:t>
      </w:r>
      <w:r w:rsidRPr="00B7320B">
        <w:rPr>
          <w:rFonts w:ascii="Arial" w:hAnsi="Arial" w:cs="Arial"/>
          <w:sz w:val="24"/>
          <w:szCs w:val="24"/>
        </w:rPr>
        <w:t xml:space="preserve"> Bingley: The Journal of Adult Protection, 5, 3, 14- 27</w:t>
      </w:r>
    </w:p>
    <w:p w14:paraId="7B774B11" w14:textId="77777777" w:rsidR="00403DE0" w:rsidRPr="00B7320B" w:rsidRDefault="00403DE0" w:rsidP="00B7320B">
      <w:pPr>
        <w:pStyle w:val="ListParagraph"/>
        <w:numPr>
          <w:ilvl w:val="0"/>
          <w:numId w:val="3"/>
        </w:numPr>
        <w:spacing w:line="480" w:lineRule="auto"/>
        <w:rPr>
          <w:rFonts w:ascii="Arial" w:hAnsi="Arial" w:cs="Arial"/>
          <w:i/>
          <w:iCs/>
          <w:color w:val="303030"/>
          <w:sz w:val="24"/>
          <w:szCs w:val="24"/>
        </w:rPr>
      </w:pPr>
      <w:r w:rsidRPr="00B7320B">
        <w:rPr>
          <w:rFonts w:ascii="Arial" w:hAnsi="Arial" w:cs="Arial"/>
          <w:sz w:val="24"/>
          <w:szCs w:val="24"/>
        </w:rPr>
        <w:t xml:space="preserve">Woodward M. (1995) </w:t>
      </w:r>
      <w:r w:rsidRPr="00403DE0">
        <w:rPr>
          <w:rFonts w:ascii="Arial" w:hAnsi="Arial" w:cs="Arial"/>
          <w:i/>
          <w:iCs/>
          <w:sz w:val="24"/>
          <w:szCs w:val="24"/>
        </w:rPr>
        <w:t>The role of low intelligence in delinquency.</w:t>
      </w:r>
      <w:r w:rsidRPr="00B7320B">
        <w:rPr>
          <w:rFonts w:ascii="Arial" w:hAnsi="Arial" w:cs="Arial"/>
          <w:sz w:val="24"/>
          <w:szCs w:val="24"/>
        </w:rPr>
        <w:t xml:space="preserve"> Br J Delinquency. 5:281-303</w:t>
      </w:r>
    </w:p>
    <w:p w14:paraId="5D89DAEB" w14:textId="77777777" w:rsidR="00B7320B" w:rsidRPr="00B7320B" w:rsidRDefault="00B7320B" w:rsidP="004B23BD">
      <w:pPr>
        <w:spacing w:line="480" w:lineRule="auto"/>
        <w:rPr>
          <w:rFonts w:ascii="Arial" w:hAnsi="Arial" w:cs="Arial"/>
          <w:sz w:val="24"/>
          <w:szCs w:val="24"/>
        </w:rPr>
      </w:pPr>
    </w:p>
    <w:p w14:paraId="558DCF85" w14:textId="77777777" w:rsidR="002B15D9" w:rsidRDefault="002B15D9" w:rsidP="004B23BD">
      <w:pPr>
        <w:spacing w:line="480" w:lineRule="auto"/>
        <w:rPr>
          <w:rFonts w:ascii="Arial" w:hAnsi="Arial" w:cs="Arial"/>
          <w:sz w:val="24"/>
          <w:szCs w:val="24"/>
        </w:rPr>
      </w:pPr>
    </w:p>
    <w:p w14:paraId="3ED7CF7B" w14:textId="77777777" w:rsidR="00265114" w:rsidRDefault="00265114" w:rsidP="004B23BD">
      <w:pPr>
        <w:spacing w:line="480" w:lineRule="auto"/>
        <w:rPr>
          <w:rFonts w:ascii="Arial" w:hAnsi="Arial" w:cs="Arial"/>
          <w:sz w:val="24"/>
          <w:szCs w:val="24"/>
        </w:rPr>
      </w:pPr>
    </w:p>
    <w:p w14:paraId="74BD8779" w14:textId="5B253E67" w:rsidR="00403DE0" w:rsidRDefault="00403DE0" w:rsidP="004B23BD">
      <w:pPr>
        <w:spacing w:line="480" w:lineRule="auto"/>
        <w:rPr>
          <w:rFonts w:ascii="Arial" w:hAnsi="Arial" w:cs="Arial"/>
          <w:sz w:val="24"/>
          <w:szCs w:val="24"/>
        </w:rPr>
      </w:pPr>
      <w:r>
        <w:rPr>
          <w:rFonts w:ascii="Arial" w:hAnsi="Arial" w:cs="Arial"/>
          <w:sz w:val="24"/>
          <w:szCs w:val="24"/>
        </w:rPr>
        <w:lastRenderedPageBreak/>
        <w:t xml:space="preserve">Case Law References </w:t>
      </w:r>
    </w:p>
    <w:p w14:paraId="6E6996E7" w14:textId="77777777" w:rsidR="00403DE0" w:rsidRPr="00B7320B" w:rsidRDefault="00403DE0" w:rsidP="00403DE0">
      <w:pPr>
        <w:pStyle w:val="ListParagraph"/>
        <w:numPr>
          <w:ilvl w:val="0"/>
          <w:numId w:val="5"/>
        </w:numPr>
        <w:spacing w:line="480" w:lineRule="auto"/>
        <w:rPr>
          <w:rFonts w:ascii="Arial" w:hAnsi="Arial" w:cs="Arial"/>
          <w:sz w:val="24"/>
          <w:szCs w:val="24"/>
        </w:rPr>
      </w:pPr>
      <w:r w:rsidRPr="00B7320B">
        <w:rPr>
          <w:rFonts w:ascii="Arial" w:hAnsi="Arial" w:cs="Arial"/>
          <w:sz w:val="24"/>
          <w:szCs w:val="24"/>
        </w:rPr>
        <w:t>Coroners and Justice Act 2009</w:t>
      </w:r>
    </w:p>
    <w:p w14:paraId="63CF0B56" w14:textId="77777777" w:rsidR="00403DE0" w:rsidRPr="00B7320B" w:rsidRDefault="00403DE0" w:rsidP="00403DE0">
      <w:pPr>
        <w:pStyle w:val="ListParagraph"/>
        <w:spacing w:line="480" w:lineRule="auto"/>
        <w:rPr>
          <w:rFonts w:ascii="Arial" w:hAnsi="Arial" w:cs="Arial"/>
          <w:sz w:val="24"/>
          <w:szCs w:val="24"/>
        </w:rPr>
      </w:pPr>
      <w:r w:rsidRPr="00B7320B">
        <w:rPr>
          <w:rFonts w:ascii="Arial" w:hAnsi="Arial" w:cs="Arial"/>
          <w:sz w:val="24"/>
          <w:szCs w:val="24"/>
        </w:rPr>
        <w:t>Available at: https://www.legislation.gov.uk/ukpga/2009/25/contents</w:t>
      </w:r>
    </w:p>
    <w:p w14:paraId="18F2BFFB" w14:textId="77777777" w:rsidR="00403DE0" w:rsidRPr="00B7320B" w:rsidRDefault="00403DE0" w:rsidP="00403DE0">
      <w:pPr>
        <w:pStyle w:val="ListParagraph"/>
        <w:numPr>
          <w:ilvl w:val="0"/>
          <w:numId w:val="5"/>
        </w:numPr>
        <w:spacing w:line="480" w:lineRule="auto"/>
        <w:rPr>
          <w:rFonts w:ascii="Arial" w:hAnsi="Arial" w:cs="Arial"/>
          <w:sz w:val="24"/>
          <w:szCs w:val="24"/>
        </w:rPr>
      </w:pPr>
      <w:r w:rsidRPr="00B7320B">
        <w:rPr>
          <w:rFonts w:ascii="Arial" w:hAnsi="Arial" w:cs="Arial"/>
          <w:sz w:val="24"/>
          <w:szCs w:val="24"/>
        </w:rPr>
        <w:t>Mental Health Act of 1983</w:t>
      </w:r>
    </w:p>
    <w:p w14:paraId="33BBBC94" w14:textId="77777777" w:rsidR="00403DE0" w:rsidRPr="00B7320B" w:rsidRDefault="00403DE0" w:rsidP="00403DE0">
      <w:pPr>
        <w:pStyle w:val="ListParagraph"/>
        <w:spacing w:line="480" w:lineRule="auto"/>
        <w:rPr>
          <w:rFonts w:ascii="Arial" w:hAnsi="Arial" w:cs="Arial"/>
          <w:sz w:val="24"/>
          <w:szCs w:val="24"/>
        </w:rPr>
      </w:pPr>
      <w:r w:rsidRPr="00B7320B">
        <w:rPr>
          <w:rFonts w:ascii="Arial" w:hAnsi="Arial" w:cs="Arial"/>
          <w:sz w:val="24"/>
          <w:szCs w:val="24"/>
        </w:rPr>
        <w:t>Available at: https://www.legislation.gov.uk/ukpga/1983/20/contents</w:t>
      </w:r>
    </w:p>
    <w:p w14:paraId="443E3CAD" w14:textId="77777777" w:rsidR="00403DE0" w:rsidRPr="00B7320B" w:rsidRDefault="00403DE0" w:rsidP="00403DE0">
      <w:pPr>
        <w:pStyle w:val="ListParagraph"/>
        <w:numPr>
          <w:ilvl w:val="0"/>
          <w:numId w:val="5"/>
        </w:numPr>
        <w:spacing w:line="480" w:lineRule="auto"/>
        <w:rPr>
          <w:rFonts w:ascii="Arial" w:hAnsi="Arial" w:cs="Arial"/>
          <w:sz w:val="24"/>
          <w:szCs w:val="24"/>
        </w:rPr>
      </w:pPr>
      <w:r w:rsidRPr="00B7320B">
        <w:rPr>
          <w:rFonts w:ascii="Arial" w:hAnsi="Arial" w:cs="Arial"/>
          <w:sz w:val="24"/>
          <w:szCs w:val="24"/>
        </w:rPr>
        <w:t>Youth Justice and Criminal Evidence Act,1999</w:t>
      </w:r>
    </w:p>
    <w:p w14:paraId="22AA9A8E" w14:textId="77777777" w:rsidR="00403DE0" w:rsidRPr="00B7320B" w:rsidRDefault="00403DE0" w:rsidP="00403DE0">
      <w:pPr>
        <w:pStyle w:val="ListParagraph"/>
        <w:spacing w:line="480" w:lineRule="auto"/>
        <w:rPr>
          <w:rFonts w:ascii="Arial" w:hAnsi="Arial" w:cs="Arial"/>
          <w:sz w:val="24"/>
          <w:szCs w:val="24"/>
        </w:rPr>
      </w:pPr>
      <w:r w:rsidRPr="00B7320B">
        <w:rPr>
          <w:rFonts w:ascii="Arial" w:hAnsi="Arial" w:cs="Arial"/>
          <w:sz w:val="24"/>
          <w:szCs w:val="24"/>
        </w:rPr>
        <w:t>Available at: https://www.legislation.gov.uk/ukpga/1999/23/contents</w:t>
      </w:r>
    </w:p>
    <w:p w14:paraId="05F80E09" w14:textId="77777777" w:rsidR="00403DE0" w:rsidRPr="00B7320B" w:rsidRDefault="00403DE0" w:rsidP="00403DE0">
      <w:pPr>
        <w:pStyle w:val="ListParagraph"/>
        <w:numPr>
          <w:ilvl w:val="0"/>
          <w:numId w:val="5"/>
        </w:numPr>
        <w:spacing w:line="480" w:lineRule="auto"/>
        <w:rPr>
          <w:rFonts w:ascii="Arial" w:hAnsi="Arial" w:cs="Arial"/>
          <w:sz w:val="24"/>
          <w:szCs w:val="24"/>
        </w:rPr>
      </w:pPr>
      <w:r w:rsidRPr="00B7320B">
        <w:rPr>
          <w:rFonts w:ascii="Arial" w:hAnsi="Arial" w:cs="Arial"/>
          <w:sz w:val="24"/>
          <w:szCs w:val="24"/>
        </w:rPr>
        <w:t>PACE 1984</w:t>
      </w:r>
    </w:p>
    <w:p w14:paraId="183F1795" w14:textId="77777777" w:rsidR="00403DE0" w:rsidRDefault="00403DE0" w:rsidP="00403DE0">
      <w:pPr>
        <w:pStyle w:val="ListParagraph"/>
        <w:spacing w:line="480" w:lineRule="auto"/>
        <w:rPr>
          <w:rFonts w:ascii="Arial" w:hAnsi="Arial" w:cs="Arial"/>
          <w:sz w:val="24"/>
          <w:szCs w:val="24"/>
        </w:rPr>
      </w:pPr>
      <w:r w:rsidRPr="00B7320B">
        <w:rPr>
          <w:rFonts w:ascii="Arial" w:hAnsi="Arial" w:cs="Arial"/>
          <w:sz w:val="24"/>
          <w:szCs w:val="24"/>
        </w:rPr>
        <w:t xml:space="preserve">Available at: </w:t>
      </w:r>
      <w:hyperlink r:id="rId8" w:history="1">
        <w:r w:rsidRPr="00B7320B">
          <w:rPr>
            <w:rStyle w:val="Hyperlink"/>
            <w:rFonts w:ascii="Arial" w:hAnsi="Arial" w:cs="Arial"/>
            <w:sz w:val="24"/>
            <w:szCs w:val="24"/>
          </w:rPr>
          <w:t>https://www.legislation.gov.uk/ukpga/1984/60/contents</w:t>
        </w:r>
      </w:hyperlink>
    </w:p>
    <w:p w14:paraId="3A1262EB" w14:textId="77777777" w:rsidR="00403DE0" w:rsidRPr="00B7320B" w:rsidRDefault="00403DE0" w:rsidP="004B23BD">
      <w:pPr>
        <w:spacing w:line="480" w:lineRule="auto"/>
        <w:rPr>
          <w:rFonts w:ascii="Arial" w:hAnsi="Arial" w:cs="Arial"/>
          <w:sz w:val="24"/>
          <w:szCs w:val="24"/>
        </w:rPr>
      </w:pPr>
    </w:p>
    <w:p w14:paraId="23BBF4DC" w14:textId="77777777" w:rsidR="002B15D9" w:rsidRPr="00B7320B" w:rsidRDefault="002B15D9" w:rsidP="004B23BD">
      <w:pPr>
        <w:spacing w:line="480" w:lineRule="auto"/>
        <w:rPr>
          <w:rFonts w:ascii="Arial" w:hAnsi="Arial" w:cs="Arial"/>
          <w:sz w:val="24"/>
          <w:szCs w:val="24"/>
        </w:rPr>
      </w:pPr>
    </w:p>
    <w:p w14:paraId="2210739B" w14:textId="77777777" w:rsidR="002B15D9" w:rsidRPr="00B7320B" w:rsidRDefault="002B15D9" w:rsidP="004B23BD">
      <w:pPr>
        <w:spacing w:line="480" w:lineRule="auto"/>
        <w:rPr>
          <w:rFonts w:ascii="Arial" w:hAnsi="Arial" w:cs="Arial"/>
          <w:sz w:val="24"/>
          <w:szCs w:val="24"/>
        </w:rPr>
      </w:pPr>
    </w:p>
    <w:p w14:paraId="7EE0C18C" w14:textId="77777777" w:rsidR="002B15D9" w:rsidRPr="00B7320B" w:rsidRDefault="002B15D9" w:rsidP="004B23BD">
      <w:pPr>
        <w:spacing w:line="480" w:lineRule="auto"/>
        <w:rPr>
          <w:rFonts w:ascii="Arial" w:hAnsi="Arial" w:cs="Arial"/>
          <w:sz w:val="24"/>
          <w:szCs w:val="24"/>
        </w:rPr>
      </w:pPr>
    </w:p>
    <w:p w14:paraId="66D06765" w14:textId="2ED3DAB8" w:rsidR="00076B9A" w:rsidRPr="00B7320B" w:rsidRDefault="00076B9A" w:rsidP="005804A1">
      <w:pPr>
        <w:spacing w:line="480" w:lineRule="auto"/>
        <w:rPr>
          <w:rFonts w:ascii="Arial" w:hAnsi="Arial" w:cs="Arial"/>
          <w:sz w:val="24"/>
          <w:szCs w:val="24"/>
        </w:rPr>
      </w:pPr>
    </w:p>
    <w:sectPr w:rsidR="00076B9A" w:rsidRPr="00B732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0233E"/>
    <w:multiLevelType w:val="hybridMultilevel"/>
    <w:tmpl w:val="2BC6A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062BD"/>
    <w:multiLevelType w:val="hybridMultilevel"/>
    <w:tmpl w:val="9384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B7419"/>
    <w:multiLevelType w:val="hybridMultilevel"/>
    <w:tmpl w:val="7116D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8F169C"/>
    <w:multiLevelType w:val="hybridMultilevel"/>
    <w:tmpl w:val="2BC6A1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MjYzM7Q0tTAwMTJT0lEKTi0uzszPAykwrgUAASEkoSwAAAA="/>
  </w:docVars>
  <w:rsids>
    <w:rsidRoot w:val="000F3032"/>
    <w:rsid w:val="00035E80"/>
    <w:rsid w:val="00055723"/>
    <w:rsid w:val="000702C3"/>
    <w:rsid w:val="0007616A"/>
    <w:rsid w:val="00076B9A"/>
    <w:rsid w:val="000B358C"/>
    <w:rsid w:val="000B65C0"/>
    <w:rsid w:val="000C08B3"/>
    <w:rsid w:val="000F3032"/>
    <w:rsid w:val="000F7CC7"/>
    <w:rsid w:val="00120E8C"/>
    <w:rsid w:val="001212D1"/>
    <w:rsid w:val="00124FA6"/>
    <w:rsid w:val="00125069"/>
    <w:rsid w:val="001308DF"/>
    <w:rsid w:val="00162CAA"/>
    <w:rsid w:val="00185065"/>
    <w:rsid w:val="001A1D15"/>
    <w:rsid w:val="001A7F40"/>
    <w:rsid w:val="001B2B04"/>
    <w:rsid w:val="001B2E2F"/>
    <w:rsid w:val="001D3E3F"/>
    <w:rsid w:val="001D5866"/>
    <w:rsid w:val="001F0730"/>
    <w:rsid w:val="001F1053"/>
    <w:rsid w:val="00202B26"/>
    <w:rsid w:val="002120DE"/>
    <w:rsid w:val="00213A59"/>
    <w:rsid w:val="00227697"/>
    <w:rsid w:val="002319D2"/>
    <w:rsid w:val="00235D4F"/>
    <w:rsid w:val="0023720F"/>
    <w:rsid w:val="00250BC8"/>
    <w:rsid w:val="00265114"/>
    <w:rsid w:val="00267D9C"/>
    <w:rsid w:val="00284E7D"/>
    <w:rsid w:val="002872A3"/>
    <w:rsid w:val="002900A7"/>
    <w:rsid w:val="002A588A"/>
    <w:rsid w:val="002B15D9"/>
    <w:rsid w:val="002C02BD"/>
    <w:rsid w:val="002C03AD"/>
    <w:rsid w:val="002C353C"/>
    <w:rsid w:val="002C542B"/>
    <w:rsid w:val="002D33CC"/>
    <w:rsid w:val="002F4EE6"/>
    <w:rsid w:val="002F7E63"/>
    <w:rsid w:val="0032299D"/>
    <w:rsid w:val="00334415"/>
    <w:rsid w:val="00343352"/>
    <w:rsid w:val="00351D66"/>
    <w:rsid w:val="00352E80"/>
    <w:rsid w:val="00391478"/>
    <w:rsid w:val="003A4F35"/>
    <w:rsid w:val="003B039D"/>
    <w:rsid w:val="003E09D9"/>
    <w:rsid w:val="003E63CF"/>
    <w:rsid w:val="003E7840"/>
    <w:rsid w:val="00403DE0"/>
    <w:rsid w:val="00407800"/>
    <w:rsid w:val="004164AB"/>
    <w:rsid w:val="0046362A"/>
    <w:rsid w:val="004973BA"/>
    <w:rsid w:val="004A5170"/>
    <w:rsid w:val="004B23BD"/>
    <w:rsid w:val="004C708A"/>
    <w:rsid w:val="004D3933"/>
    <w:rsid w:val="004F354E"/>
    <w:rsid w:val="004F491D"/>
    <w:rsid w:val="004F590D"/>
    <w:rsid w:val="00506D9A"/>
    <w:rsid w:val="00555893"/>
    <w:rsid w:val="00555C85"/>
    <w:rsid w:val="0057085B"/>
    <w:rsid w:val="005804A1"/>
    <w:rsid w:val="005913D3"/>
    <w:rsid w:val="0059194A"/>
    <w:rsid w:val="005A0725"/>
    <w:rsid w:val="005E6611"/>
    <w:rsid w:val="005F4AE0"/>
    <w:rsid w:val="0061251A"/>
    <w:rsid w:val="00624254"/>
    <w:rsid w:val="00633CE0"/>
    <w:rsid w:val="006409D5"/>
    <w:rsid w:val="00646664"/>
    <w:rsid w:val="00647D60"/>
    <w:rsid w:val="006642B2"/>
    <w:rsid w:val="006777B9"/>
    <w:rsid w:val="006B1651"/>
    <w:rsid w:val="006B4A6A"/>
    <w:rsid w:val="006C364D"/>
    <w:rsid w:val="006C6F71"/>
    <w:rsid w:val="006E0486"/>
    <w:rsid w:val="006E15E7"/>
    <w:rsid w:val="007106BE"/>
    <w:rsid w:val="00723B0F"/>
    <w:rsid w:val="007246E9"/>
    <w:rsid w:val="00725069"/>
    <w:rsid w:val="00727C41"/>
    <w:rsid w:val="0073190A"/>
    <w:rsid w:val="00747609"/>
    <w:rsid w:val="00752E27"/>
    <w:rsid w:val="00762620"/>
    <w:rsid w:val="007640C0"/>
    <w:rsid w:val="007671EA"/>
    <w:rsid w:val="007A0B82"/>
    <w:rsid w:val="007A1F57"/>
    <w:rsid w:val="007B5626"/>
    <w:rsid w:val="007D4F39"/>
    <w:rsid w:val="007E5311"/>
    <w:rsid w:val="0080685D"/>
    <w:rsid w:val="008240E5"/>
    <w:rsid w:val="0083306B"/>
    <w:rsid w:val="0086142A"/>
    <w:rsid w:val="008703E5"/>
    <w:rsid w:val="008A5315"/>
    <w:rsid w:val="008B0A98"/>
    <w:rsid w:val="008B33B1"/>
    <w:rsid w:val="008B45F9"/>
    <w:rsid w:val="008D28F2"/>
    <w:rsid w:val="008D46FA"/>
    <w:rsid w:val="008E7C38"/>
    <w:rsid w:val="00905AD3"/>
    <w:rsid w:val="009069E8"/>
    <w:rsid w:val="00917842"/>
    <w:rsid w:val="00924278"/>
    <w:rsid w:val="00932511"/>
    <w:rsid w:val="00937388"/>
    <w:rsid w:val="00957A1F"/>
    <w:rsid w:val="009711AF"/>
    <w:rsid w:val="009844D3"/>
    <w:rsid w:val="0099118F"/>
    <w:rsid w:val="00992225"/>
    <w:rsid w:val="009922B8"/>
    <w:rsid w:val="00997FE9"/>
    <w:rsid w:val="009A58CC"/>
    <w:rsid w:val="009B1396"/>
    <w:rsid w:val="009C1508"/>
    <w:rsid w:val="009D0ADA"/>
    <w:rsid w:val="009F2F38"/>
    <w:rsid w:val="00A136CF"/>
    <w:rsid w:val="00A146F1"/>
    <w:rsid w:val="00A23FB2"/>
    <w:rsid w:val="00A321E8"/>
    <w:rsid w:val="00A43422"/>
    <w:rsid w:val="00A50F3E"/>
    <w:rsid w:val="00A55260"/>
    <w:rsid w:val="00A567D7"/>
    <w:rsid w:val="00A5749E"/>
    <w:rsid w:val="00A6222C"/>
    <w:rsid w:val="00A66B89"/>
    <w:rsid w:val="00A7014A"/>
    <w:rsid w:val="00A9547E"/>
    <w:rsid w:val="00AB548C"/>
    <w:rsid w:val="00AB61D9"/>
    <w:rsid w:val="00AD2755"/>
    <w:rsid w:val="00AE590A"/>
    <w:rsid w:val="00AF051D"/>
    <w:rsid w:val="00AF1DF1"/>
    <w:rsid w:val="00B12EA8"/>
    <w:rsid w:val="00B13F5E"/>
    <w:rsid w:val="00B60BFE"/>
    <w:rsid w:val="00B63FEA"/>
    <w:rsid w:val="00B7320B"/>
    <w:rsid w:val="00B85CC6"/>
    <w:rsid w:val="00B86A09"/>
    <w:rsid w:val="00B91861"/>
    <w:rsid w:val="00BC4134"/>
    <w:rsid w:val="00BE05C5"/>
    <w:rsid w:val="00BF1C7F"/>
    <w:rsid w:val="00C266D4"/>
    <w:rsid w:val="00C365E0"/>
    <w:rsid w:val="00C473A5"/>
    <w:rsid w:val="00C51A22"/>
    <w:rsid w:val="00C61D91"/>
    <w:rsid w:val="00C66C9F"/>
    <w:rsid w:val="00C768E5"/>
    <w:rsid w:val="00CA2302"/>
    <w:rsid w:val="00CB4BE6"/>
    <w:rsid w:val="00CC2A7E"/>
    <w:rsid w:val="00CD4600"/>
    <w:rsid w:val="00CE3FB1"/>
    <w:rsid w:val="00CE5CE9"/>
    <w:rsid w:val="00CF07AB"/>
    <w:rsid w:val="00CF2585"/>
    <w:rsid w:val="00CF6AAC"/>
    <w:rsid w:val="00CF7364"/>
    <w:rsid w:val="00D32FF4"/>
    <w:rsid w:val="00D50B02"/>
    <w:rsid w:val="00D618C1"/>
    <w:rsid w:val="00D7691F"/>
    <w:rsid w:val="00D859EF"/>
    <w:rsid w:val="00D949C7"/>
    <w:rsid w:val="00DB2086"/>
    <w:rsid w:val="00DB41EC"/>
    <w:rsid w:val="00DC1BDD"/>
    <w:rsid w:val="00DE0052"/>
    <w:rsid w:val="00DE5B5D"/>
    <w:rsid w:val="00DF26E5"/>
    <w:rsid w:val="00E1258C"/>
    <w:rsid w:val="00E25D48"/>
    <w:rsid w:val="00E331C3"/>
    <w:rsid w:val="00E44928"/>
    <w:rsid w:val="00E63173"/>
    <w:rsid w:val="00E670E9"/>
    <w:rsid w:val="00E67667"/>
    <w:rsid w:val="00E706DD"/>
    <w:rsid w:val="00E80589"/>
    <w:rsid w:val="00E82677"/>
    <w:rsid w:val="00E91BBF"/>
    <w:rsid w:val="00EA7010"/>
    <w:rsid w:val="00EB0DE5"/>
    <w:rsid w:val="00EC1138"/>
    <w:rsid w:val="00ED1853"/>
    <w:rsid w:val="00EE3BCB"/>
    <w:rsid w:val="00F02070"/>
    <w:rsid w:val="00F020A9"/>
    <w:rsid w:val="00F11D5E"/>
    <w:rsid w:val="00F25F9B"/>
    <w:rsid w:val="00F30EAD"/>
    <w:rsid w:val="00F367A9"/>
    <w:rsid w:val="00F57BD3"/>
    <w:rsid w:val="00F62532"/>
    <w:rsid w:val="00F6466A"/>
    <w:rsid w:val="00F720D8"/>
    <w:rsid w:val="00F90EB0"/>
    <w:rsid w:val="00FA0AFC"/>
    <w:rsid w:val="00FA3BAD"/>
    <w:rsid w:val="00FB2EB9"/>
    <w:rsid w:val="00FD1B38"/>
    <w:rsid w:val="00FF0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E07A"/>
  <w15:chartTrackingRefBased/>
  <w15:docId w15:val="{A2FBAB04-D6DB-4BC0-BA30-6DB744936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03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32"/>
    <w:pPr>
      <w:ind w:left="720"/>
      <w:contextualSpacing/>
    </w:pPr>
  </w:style>
  <w:style w:type="character" w:styleId="Hyperlink">
    <w:name w:val="Hyperlink"/>
    <w:basedOn w:val="DefaultParagraphFont"/>
    <w:uiPriority w:val="99"/>
    <w:unhideWhenUsed/>
    <w:rsid w:val="00C768E5"/>
    <w:rPr>
      <w:color w:val="0563C1" w:themeColor="hyperlink"/>
      <w:u w:val="single"/>
    </w:rPr>
  </w:style>
  <w:style w:type="character" w:styleId="UnresolvedMention">
    <w:name w:val="Unresolved Mention"/>
    <w:basedOn w:val="DefaultParagraphFont"/>
    <w:uiPriority w:val="99"/>
    <w:semiHidden/>
    <w:unhideWhenUsed/>
    <w:rsid w:val="00C768E5"/>
    <w:rPr>
      <w:color w:val="605E5C"/>
      <w:shd w:val="clear" w:color="auto" w:fill="E1DFDD"/>
    </w:rPr>
  </w:style>
  <w:style w:type="paragraph" w:customStyle="1" w:styleId="referencescopy1">
    <w:name w:val="referencescopy1"/>
    <w:basedOn w:val="Normal"/>
    <w:rsid w:val="00E80589"/>
    <w:pPr>
      <w:spacing w:before="100" w:beforeAutospacing="1" w:after="100" w:afterAutospacing="1"/>
    </w:pPr>
    <w:rPr>
      <w:sz w:val="24"/>
      <w:szCs w:val="24"/>
    </w:rPr>
  </w:style>
  <w:style w:type="character" w:customStyle="1" w:styleId="ref-journal">
    <w:name w:val="ref-journal"/>
    <w:basedOn w:val="DefaultParagraphFont"/>
    <w:rsid w:val="00120E8C"/>
  </w:style>
  <w:style w:type="character" w:styleId="CommentReference">
    <w:name w:val="annotation reference"/>
    <w:basedOn w:val="DefaultParagraphFont"/>
    <w:uiPriority w:val="99"/>
    <w:semiHidden/>
    <w:unhideWhenUsed/>
    <w:rsid w:val="004F354E"/>
    <w:rPr>
      <w:sz w:val="16"/>
      <w:szCs w:val="16"/>
    </w:rPr>
  </w:style>
  <w:style w:type="paragraph" w:styleId="CommentText">
    <w:name w:val="annotation text"/>
    <w:basedOn w:val="Normal"/>
    <w:link w:val="CommentTextChar"/>
    <w:uiPriority w:val="99"/>
    <w:semiHidden/>
    <w:unhideWhenUsed/>
    <w:rsid w:val="004F354E"/>
  </w:style>
  <w:style w:type="character" w:customStyle="1" w:styleId="CommentTextChar">
    <w:name w:val="Comment Text Char"/>
    <w:basedOn w:val="DefaultParagraphFont"/>
    <w:link w:val="CommentText"/>
    <w:uiPriority w:val="99"/>
    <w:semiHidden/>
    <w:rsid w:val="004F354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F354E"/>
    <w:rPr>
      <w:b/>
      <w:bCs/>
    </w:rPr>
  </w:style>
  <w:style w:type="character" w:customStyle="1" w:styleId="CommentSubjectChar">
    <w:name w:val="Comment Subject Char"/>
    <w:basedOn w:val="CommentTextChar"/>
    <w:link w:val="CommentSubject"/>
    <w:uiPriority w:val="99"/>
    <w:semiHidden/>
    <w:rsid w:val="004F354E"/>
    <w:rPr>
      <w:rFonts w:ascii="Times New Roman" w:eastAsia="Times New Roman" w:hAnsi="Times New Roman" w:cs="Times New Roman"/>
      <w:b/>
      <w:bCs/>
      <w:sz w:val="20"/>
      <w:szCs w:val="20"/>
      <w:lang w:eastAsia="en-GB"/>
    </w:rPr>
  </w:style>
  <w:style w:type="character" w:customStyle="1" w:styleId="normaltextrun">
    <w:name w:val="normaltextrun"/>
    <w:basedOn w:val="DefaultParagraphFont"/>
    <w:rsid w:val="00E70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3073">
      <w:bodyDiv w:val="1"/>
      <w:marLeft w:val="0"/>
      <w:marRight w:val="0"/>
      <w:marTop w:val="0"/>
      <w:marBottom w:val="0"/>
      <w:divBdr>
        <w:top w:val="none" w:sz="0" w:space="0" w:color="auto"/>
        <w:left w:val="none" w:sz="0" w:space="0" w:color="auto"/>
        <w:bottom w:val="none" w:sz="0" w:space="0" w:color="auto"/>
        <w:right w:val="none" w:sz="0" w:space="0" w:color="auto"/>
      </w:divBdr>
      <w:divsChild>
        <w:div w:id="718210724">
          <w:marLeft w:val="0"/>
          <w:marRight w:val="0"/>
          <w:marTop w:val="120"/>
          <w:marBottom w:val="0"/>
          <w:divBdr>
            <w:top w:val="none" w:sz="0" w:space="0" w:color="auto"/>
            <w:left w:val="none" w:sz="0" w:space="0" w:color="auto"/>
            <w:bottom w:val="none" w:sz="0" w:space="0" w:color="auto"/>
            <w:right w:val="none" w:sz="0" w:space="0" w:color="auto"/>
          </w:divBdr>
        </w:div>
        <w:div w:id="1206599885">
          <w:marLeft w:val="0"/>
          <w:marRight w:val="0"/>
          <w:marTop w:val="120"/>
          <w:marBottom w:val="0"/>
          <w:divBdr>
            <w:top w:val="none" w:sz="0" w:space="0" w:color="auto"/>
            <w:left w:val="none" w:sz="0" w:space="0" w:color="auto"/>
            <w:bottom w:val="none" w:sz="0" w:space="0" w:color="auto"/>
            <w:right w:val="none" w:sz="0" w:space="0" w:color="auto"/>
          </w:divBdr>
        </w:div>
      </w:divsChild>
    </w:div>
    <w:div w:id="676080641">
      <w:bodyDiv w:val="1"/>
      <w:marLeft w:val="0"/>
      <w:marRight w:val="0"/>
      <w:marTop w:val="0"/>
      <w:marBottom w:val="0"/>
      <w:divBdr>
        <w:top w:val="none" w:sz="0" w:space="0" w:color="auto"/>
        <w:left w:val="none" w:sz="0" w:space="0" w:color="auto"/>
        <w:bottom w:val="none" w:sz="0" w:space="0" w:color="auto"/>
        <w:right w:val="none" w:sz="0" w:space="0" w:color="auto"/>
      </w:divBdr>
    </w:div>
    <w:div w:id="981160705">
      <w:bodyDiv w:val="1"/>
      <w:marLeft w:val="0"/>
      <w:marRight w:val="0"/>
      <w:marTop w:val="0"/>
      <w:marBottom w:val="0"/>
      <w:divBdr>
        <w:top w:val="none" w:sz="0" w:space="0" w:color="auto"/>
        <w:left w:val="none" w:sz="0" w:space="0" w:color="auto"/>
        <w:bottom w:val="none" w:sz="0" w:space="0" w:color="auto"/>
        <w:right w:val="none" w:sz="0" w:space="0" w:color="auto"/>
      </w:divBdr>
      <w:divsChild>
        <w:div w:id="1664775428">
          <w:marLeft w:val="480"/>
          <w:marRight w:val="0"/>
          <w:marTop w:val="0"/>
          <w:marBottom w:val="120"/>
          <w:divBdr>
            <w:top w:val="none" w:sz="0" w:space="0" w:color="auto"/>
            <w:left w:val="none" w:sz="0" w:space="0" w:color="auto"/>
            <w:bottom w:val="none" w:sz="0" w:space="0" w:color="auto"/>
            <w:right w:val="none" w:sz="0" w:space="0" w:color="auto"/>
          </w:divBdr>
        </w:div>
        <w:div w:id="1401563561">
          <w:marLeft w:val="480"/>
          <w:marRight w:val="0"/>
          <w:marTop w:val="0"/>
          <w:marBottom w:val="120"/>
          <w:divBdr>
            <w:top w:val="none" w:sz="0" w:space="0" w:color="auto"/>
            <w:left w:val="none" w:sz="0" w:space="0" w:color="auto"/>
            <w:bottom w:val="none" w:sz="0" w:space="0" w:color="auto"/>
            <w:right w:val="none" w:sz="0" w:space="0" w:color="auto"/>
          </w:divBdr>
        </w:div>
      </w:divsChild>
    </w:div>
    <w:div w:id="1032879622">
      <w:bodyDiv w:val="1"/>
      <w:marLeft w:val="0"/>
      <w:marRight w:val="0"/>
      <w:marTop w:val="0"/>
      <w:marBottom w:val="0"/>
      <w:divBdr>
        <w:top w:val="none" w:sz="0" w:space="0" w:color="auto"/>
        <w:left w:val="none" w:sz="0" w:space="0" w:color="auto"/>
        <w:bottom w:val="none" w:sz="0" w:space="0" w:color="auto"/>
        <w:right w:val="none" w:sz="0" w:space="0" w:color="auto"/>
      </w:divBdr>
      <w:divsChild>
        <w:div w:id="307781814">
          <w:marLeft w:val="0"/>
          <w:marRight w:val="0"/>
          <w:marTop w:val="120"/>
          <w:marBottom w:val="0"/>
          <w:divBdr>
            <w:top w:val="none" w:sz="0" w:space="0" w:color="auto"/>
            <w:left w:val="none" w:sz="0" w:space="0" w:color="auto"/>
            <w:bottom w:val="none" w:sz="0" w:space="0" w:color="auto"/>
            <w:right w:val="none" w:sz="0" w:space="0" w:color="auto"/>
          </w:divBdr>
        </w:div>
        <w:div w:id="139539407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4/60/contents" TargetMode="External"/><Relationship Id="rId3" Type="http://schemas.openxmlformats.org/officeDocument/2006/relationships/styles" Target="styles.xml"/><Relationship Id="rId7" Type="http://schemas.openxmlformats.org/officeDocument/2006/relationships/hyperlink" Target="https://doi.org/10.1177/13591045060591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38E24-B930-45D7-8447-228A63FEB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18</Pages>
  <Words>4112</Words>
  <Characters>23440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213</cp:revision>
  <dcterms:created xsi:type="dcterms:W3CDTF">2022-03-06T19:11:00Z</dcterms:created>
  <dcterms:modified xsi:type="dcterms:W3CDTF">2022-03-11T21:03:00Z</dcterms:modified>
</cp:coreProperties>
</file>