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2797241F" w:rsidR="00D8137B" w:rsidRDefault="32433627" w:rsidP="7336895D">
      <w:r>
        <w:rPr>
          <w:noProof/>
        </w:rPr>
        <w:drawing>
          <wp:inline distT="0" distB="0" distL="0" distR="0" wp14:anchorId="4D66A03C" wp14:editId="79283025">
            <wp:extent cx="2038350" cy="704850"/>
            <wp:effectExtent l="0" t="0" r="0" b="0"/>
            <wp:docPr id="1054758965" name="Picture 1054758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38350" cy="704850"/>
                    </a:xfrm>
                    <a:prstGeom prst="rect">
                      <a:avLst/>
                    </a:prstGeom>
                  </pic:spPr>
                </pic:pic>
              </a:graphicData>
            </a:graphic>
          </wp:inline>
        </w:drawing>
      </w:r>
    </w:p>
    <w:p w14:paraId="3ACE678D" w14:textId="597DED31" w:rsidR="7336895D" w:rsidRDefault="7336895D" w:rsidP="7336895D"/>
    <w:p w14:paraId="78777CD6" w14:textId="4B5E931E" w:rsidR="32433627" w:rsidRDefault="32433627" w:rsidP="7336895D">
      <w:pPr>
        <w:rPr>
          <w:rFonts w:ascii="Arial" w:eastAsia="Arial" w:hAnsi="Arial" w:cs="Arial"/>
          <w:b/>
          <w:bCs/>
          <w:sz w:val="32"/>
          <w:szCs w:val="32"/>
        </w:rPr>
      </w:pPr>
      <w:r w:rsidRPr="7336895D">
        <w:rPr>
          <w:rFonts w:ascii="Arial" w:eastAsia="Arial" w:hAnsi="Arial" w:cs="Arial"/>
          <w:b/>
          <w:bCs/>
          <w:sz w:val="32"/>
          <w:szCs w:val="32"/>
        </w:rPr>
        <w:t>BSc Professional Investigation Workbooks</w:t>
      </w:r>
    </w:p>
    <w:p w14:paraId="64E33565" w14:textId="46E09D10" w:rsidR="7336895D" w:rsidRDefault="7336895D" w:rsidP="7336895D">
      <w:pPr>
        <w:rPr>
          <w:rFonts w:ascii="Arial" w:eastAsia="Arial" w:hAnsi="Arial" w:cs="Arial"/>
          <w:sz w:val="32"/>
          <w:szCs w:val="32"/>
        </w:rPr>
      </w:pPr>
    </w:p>
    <w:p w14:paraId="43AF8E42" w14:textId="51AC86D6" w:rsidR="32433627" w:rsidRDefault="32433627" w:rsidP="7336895D">
      <w:pPr>
        <w:ind w:right="237"/>
        <w:rPr>
          <w:rFonts w:ascii="Arial" w:eastAsia="Arial" w:hAnsi="Arial" w:cs="Arial"/>
          <w:color w:val="000000" w:themeColor="text1"/>
          <w:sz w:val="32"/>
          <w:szCs w:val="32"/>
        </w:rPr>
      </w:pPr>
      <w:r w:rsidRPr="7336895D">
        <w:rPr>
          <w:rFonts w:ascii="Arial" w:eastAsia="Arial" w:hAnsi="Arial" w:cs="Arial"/>
          <w:b/>
          <w:bCs/>
          <w:color w:val="000000" w:themeColor="text1"/>
          <w:sz w:val="32"/>
          <w:szCs w:val="32"/>
        </w:rPr>
        <w:t>LEVEL 6 - 40 Credits</w:t>
      </w:r>
    </w:p>
    <w:p w14:paraId="772420AF" w14:textId="50D05E20" w:rsidR="7336895D" w:rsidRDefault="7336895D" w:rsidP="7336895D">
      <w:pPr>
        <w:ind w:right="237"/>
        <w:rPr>
          <w:rFonts w:ascii="Arial" w:eastAsia="Arial" w:hAnsi="Arial" w:cs="Arial"/>
          <w:color w:val="000000" w:themeColor="text1"/>
          <w:sz w:val="32"/>
          <w:szCs w:val="32"/>
        </w:rPr>
      </w:pPr>
    </w:p>
    <w:p w14:paraId="1741DE64" w14:textId="55BD30B3" w:rsidR="32433627" w:rsidRDefault="32433627" w:rsidP="69B3A30A">
      <w:pPr>
        <w:ind w:right="237"/>
        <w:rPr>
          <w:rFonts w:ascii="Arial" w:eastAsia="Arial" w:hAnsi="Arial" w:cs="Arial"/>
          <w:b/>
          <w:bCs/>
          <w:color w:val="000000" w:themeColor="text1"/>
          <w:sz w:val="32"/>
          <w:szCs w:val="32"/>
        </w:rPr>
      </w:pPr>
      <w:r w:rsidRPr="69B3A30A">
        <w:rPr>
          <w:rFonts w:ascii="Arial" w:eastAsia="Arial" w:hAnsi="Arial" w:cs="Arial"/>
          <w:b/>
          <w:bCs/>
          <w:color w:val="000000" w:themeColor="text1"/>
          <w:sz w:val="32"/>
          <w:szCs w:val="32"/>
        </w:rPr>
        <w:t>Workbook title</w:t>
      </w:r>
      <w:r w:rsidR="021C0392" w:rsidRPr="69B3A30A">
        <w:rPr>
          <w:rFonts w:ascii="Arial" w:eastAsia="Arial" w:hAnsi="Arial" w:cs="Arial"/>
          <w:b/>
          <w:bCs/>
          <w:color w:val="000000" w:themeColor="text1"/>
          <w:sz w:val="32"/>
          <w:szCs w:val="32"/>
        </w:rPr>
        <w:t xml:space="preserve">: Competency Based Workbook </w:t>
      </w:r>
      <w:r w:rsidR="6E27A6BC" w:rsidRPr="69B3A30A">
        <w:rPr>
          <w:rFonts w:ascii="Arial" w:eastAsia="Arial" w:hAnsi="Arial" w:cs="Arial"/>
          <w:b/>
          <w:bCs/>
          <w:color w:val="000000" w:themeColor="text1"/>
          <w:sz w:val="32"/>
          <w:szCs w:val="32"/>
        </w:rPr>
        <w:t>2</w:t>
      </w:r>
    </w:p>
    <w:p w14:paraId="6E7A6A33" w14:textId="4F5AAC18" w:rsidR="7336895D" w:rsidRDefault="7336895D" w:rsidP="7336895D">
      <w:pPr>
        <w:ind w:right="237"/>
        <w:rPr>
          <w:rFonts w:ascii="Arial" w:eastAsia="Arial" w:hAnsi="Arial" w:cs="Arial"/>
          <w:b/>
          <w:bCs/>
          <w:color w:val="000000" w:themeColor="text1"/>
          <w:sz w:val="32"/>
          <w:szCs w:val="32"/>
        </w:rPr>
      </w:pPr>
    </w:p>
    <w:p w14:paraId="3A6ED416" w14:textId="3352F1C1" w:rsidR="63BD137B" w:rsidRDefault="63BD137B" w:rsidP="7336895D">
      <w:pPr>
        <w:ind w:right="237"/>
        <w:rPr>
          <w:rFonts w:ascii="Arial" w:eastAsia="Arial" w:hAnsi="Arial" w:cs="Arial"/>
          <w:color w:val="000000" w:themeColor="text1"/>
          <w:sz w:val="32"/>
          <w:szCs w:val="32"/>
        </w:rPr>
      </w:pPr>
      <w:r w:rsidRPr="7336895D">
        <w:rPr>
          <w:rFonts w:ascii="Arial" w:eastAsia="Arial" w:hAnsi="Arial" w:cs="Arial"/>
          <w:b/>
          <w:bCs/>
          <w:color w:val="000000" w:themeColor="text1"/>
          <w:sz w:val="32"/>
          <w:szCs w:val="32"/>
        </w:rPr>
        <w:t>(SOUTH WALES POLICE AND UWTSD)</w:t>
      </w:r>
    </w:p>
    <w:p w14:paraId="01172258" w14:textId="53985F26" w:rsidR="7336895D" w:rsidRDefault="7336895D" w:rsidP="7336895D">
      <w:pPr>
        <w:ind w:right="237"/>
        <w:rPr>
          <w:rFonts w:ascii="Arial" w:eastAsia="Arial" w:hAnsi="Arial" w:cs="Arial"/>
          <w:b/>
          <w:bCs/>
          <w:color w:val="000000" w:themeColor="text1"/>
          <w:sz w:val="36"/>
          <w:szCs w:val="36"/>
        </w:rPr>
      </w:pPr>
    </w:p>
    <w:p w14:paraId="56F74FD0" w14:textId="3B1D8CFD" w:rsidR="7336895D" w:rsidRDefault="7336895D" w:rsidP="7336895D">
      <w:pPr>
        <w:rPr>
          <w:rFonts w:ascii="Arial" w:eastAsia="Arial" w:hAnsi="Arial" w:cs="Arial"/>
          <w:sz w:val="36"/>
          <w:szCs w:val="36"/>
        </w:rPr>
      </w:pPr>
    </w:p>
    <w:tbl>
      <w:tblPr>
        <w:tblStyle w:val="TableGrid"/>
        <w:tblW w:w="0" w:type="auto"/>
        <w:tblLayout w:type="fixed"/>
        <w:tblLook w:val="06A0" w:firstRow="1" w:lastRow="0" w:firstColumn="1" w:lastColumn="0" w:noHBand="1" w:noVBand="1"/>
      </w:tblPr>
      <w:tblGrid>
        <w:gridCol w:w="9015"/>
      </w:tblGrid>
      <w:tr w:rsidR="7336895D" w14:paraId="5364FEF4" w14:textId="77777777" w:rsidTr="69B3A30A">
        <w:trPr>
          <w:trHeight w:val="2385"/>
        </w:trPr>
        <w:tc>
          <w:tcPr>
            <w:tcW w:w="9015" w:type="dxa"/>
          </w:tcPr>
          <w:p w14:paraId="33A0AD40" w14:textId="746D506D" w:rsidR="00343817" w:rsidRDefault="63BD137B" w:rsidP="7336895D">
            <w:pPr>
              <w:ind w:right="237"/>
              <w:rPr>
                <w:rFonts w:ascii="Arial" w:eastAsia="Arial" w:hAnsi="Arial" w:cs="Arial"/>
                <w:b/>
                <w:bCs/>
                <w:color w:val="000000" w:themeColor="text1"/>
                <w:sz w:val="36"/>
                <w:szCs w:val="36"/>
              </w:rPr>
            </w:pPr>
            <w:r w:rsidRPr="7336895D">
              <w:rPr>
                <w:rFonts w:ascii="Arial" w:eastAsia="Arial" w:hAnsi="Arial" w:cs="Arial"/>
                <w:b/>
                <w:bCs/>
                <w:color w:val="000000" w:themeColor="text1"/>
                <w:sz w:val="36"/>
                <w:szCs w:val="36"/>
              </w:rPr>
              <w:t xml:space="preserve">Learner name: </w:t>
            </w:r>
          </w:p>
          <w:p w14:paraId="2BF5B3F1" w14:textId="20B36E58" w:rsidR="63BD137B" w:rsidRDefault="00343817" w:rsidP="7336895D">
            <w:pPr>
              <w:ind w:right="237"/>
              <w:rPr>
                <w:rFonts w:ascii="Arial" w:eastAsia="Arial" w:hAnsi="Arial" w:cs="Arial"/>
                <w:color w:val="000000" w:themeColor="text1"/>
                <w:sz w:val="36"/>
                <w:szCs w:val="36"/>
              </w:rPr>
            </w:pPr>
            <w:r>
              <w:rPr>
                <w:rFonts w:ascii="Arial" w:eastAsia="Arial" w:hAnsi="Arial" w:cs="Arial"/>
                <w:b/>
                <w:bCs/>
                <w:color w:val="000000" w:themeColor="text1"/>
                <w:sz w:val="36"/>
                <w:szCs w:val="36"/>
              </w:rPr>
              <w:t>Liz Evans</w:t>
            </w:r>
          </w:p>
          <w:p w14:paraId="5EBB5AA1" w14:textId="0C17428C" w:rsidR="7336895D" w:rsidRDefault="7336895D" w:rsidP="7336895D">
            <w:pPr>
              <w:ind w:right="237"/>
              <w:rPr>
                <w:rFonts w:ascii="Arial" w:eastAsia="Arial" w:hAnsi="Arial" w:cs="Arial"/>
                <w:color w:val="000000" w:themeColor="text1"/>
                <w:sz w:val="36"/>
                <w:szCs w:val="36"/>
              </w:rPr>
            </w:pPr>
          </w:p>
          <w:p w14:paraId="0FA944B7" w14:textId="509FBF71" w:rsidR="63BD137B" w:rsidRDefault="63BD137B" w:rsidP="7336895D">
            <w:pPr>
              <w:ind w:right="237"/>
              <w:rPr>
                <w:rFonts w:ascii="Arial" w:eastAsia="Arial" w:hAnsi="Arial" w:cs="Arial"/>
                <w:color w:val="000000" w:themeColor="text1"/>
                <w:sz w:val="36"/>
                <w:szCs w:val="36"/>
              </w:rPr>
            </w:pPr>
            <w:r w:rsidRPr="7336895D">
              <w:rPr>
                <w:rFonts w:ascii="Arial" w:eastAsia="Arial" w:hAnsi="Arial" w:cs="Arial"/>
                <w:b/>
                <w:bCs/>
                <w:color w:val="000000" w:themeColor="text1"/>
                <w:sz w:val="36"/>
                <w:szCs w:val="36"/>
              </w:rPr>
              <w:t>Learner’s University Registration Number:</w:t>
            </w:r>
          </w:p>
          <w:p w14:paraId="27A16160" w14:textId="3A93373B" w:rsidR="7336895D" w:rsidRDefault="00343817" w:rsidP="69B3A30A">
            <w:pPr>
              <w:rPr>
                <w:rFonts w:ascii="Arial" w:eastAsia="Arial" w:hAnsi="Arial" w:cs="Arial"/>
                <w:b/>
                <w:bCs/>
                <w:color w:val="000000" w:themeColor="text1"/>
                <w:sz w:val="36"/>
                <w:szCs w:val="36"/>
              </w:rPr>
            </w:pPr>
            <w:r>
              <w:rPr>
                <w:rFonts w:ascii="Arial" w:eastAsia="Arial" w:hAnsi="Arial" w:cs="Arial"/>
                <w:b/>
                <w:bCs/>
                <w:color w:val="000000" w:themeColor="text1"/>
                <w:sz w:val="36"/>
                <w:szCs w:val="36"/>
              </w:rPr>
              <w:t>2113746</w:t>
            </w:r>
          </w:p>
          <w:p w14:paraId="4AD79C9E" w14:textId="3A4BC3FC" w:rsidR="7336895D" w:rsidRDefault="7336895D" w:rsidP="69B3A30A">
            <w:pPr>
              <w:rPr>
                <w:rFonts w:ascii="Arial" w:eastAsia="Arial" w:hAnsi="Arial" w:cs="Arial"/>
                <w:b/>
                <w:bCs/>
                <w:color w:val="000000" w:themeColor="text1"/>
                <w:sz w:val="36"/>
                <w:szCs w:val="36"/>
              </w:rPr>
            </w:pPr>
          </w:p>
          <w:p w14:paraId="1820B7EB" w14:textId="0E939DD6" w:rsidR="7336895D" w:rsidRDefault="7336895D" w:rsidP="69B3A30A">
            <w:pPr>
              <w:rPr>
                <w:rFonts w:ascii="Arial" w:eastAsia="Arial" w:hAnsi="Arial" w:cs="Arial"/>
                <w:b/>
                <w:bCs/>
                <w:color w:val="000000" w:themeColor="text1"/>
                <w:sz w:val="36"/>
                <w:szCs w:val="36"/>
              </w:rPr>
            </w:pPr>
          </w:p>
        </w:tc>
      </w:tr>
    </w:tbl>
    <w:p w14:paraId="024E0F58" w14:textId="398B655E" w:rsidR="7336895D" w:rsidRDefault="7336895D" w:rsidP="7336895D">
      <w:pPr>
        <w:ind w:right="237"/>
        <w:rPr>
          <w:rFonts w:ascii="Arial" w:eastAsia="Arial" w:hAnsi="Arial" w:cs="Arial"/>
          <w:color w:val="000000" w:themeColor="text1"/>
          <w:sz w:val="32"/>
          <w:szCs w:val="32"/>
        </w:rPr>
      </w:pPr>
    </w:p>
    <w:p w14:paraId="38292130" w14:textId="372B775F" w:rsidR="63BD137B" w:rsidRDefault="63BD137B" w:rsidP="7336895D">
      <w:pPr>
        <w:ind w:right="237"/>
        <w:rPr>
          <w:rFonts w:ascii="Arial" w:eastAsia="Arial" w:hAnsi="Arial" w:cs="Arial"/>
          <w:color w:val="000000" w:themeColor="text1"/>
          <w:sz w:val="32"/>
          <w:szCs w:val="32"/>
        </w:rPr>
      </w:pPr>
      <w:r w:rsidRPr="7336895D">
        <w:rPr>
          <w:rFonts w:ascii="Arial" w:eastAsia="Arial" w:hAnsi="Arial" w:cs="Arial"/>
          <w:b/>
          <w:bCs/>
          <w:color w:val="000000" w:themeColor="text1"/>
          <w:sz w:val="32"/>
          <w:szCs w:val="32"/>
        </w:rPr>
        <w:t>FACULTY OF BUSINESS AND MANAGEMENT</w:t>
      </w:r>
    </w:p>
    <w:p w14:paraId="3D5DE8C3" w14:textId="5B63EC2B" w:rsidR="63BD137B" w:rsidRDefault="63BD137B" w:rsidP="7336895D">
      <w:pPr>
        <w:ind w:right="237"/>
        <w:rPr>
          <w:rFonts w:ascii="Arial" w:eastAsia="Arial" w:hAnsi="Arial" w:cs="Arial"/>
          <w:color w:val="000000" w:themeColor="text1"/>
          <w:sz w:val="32"/>
          <w:szCs w:val="32"/>
        </w:rPr>
      </w:pPr>
      <w:r w:rsidRPr="7336895D">
        <w:rPr>
          <w:rFonts w:ascii="Arial" w:eastAsia="Arial" w:hAnsi="Arial" w:cs="Arial"/>
          <w:b/>
          <w:bCs/>
          <w:color w:val="000000" w:themeColor="text1"/>
          <w:sz w:val="32"/>
          <w:szCs w:val="32"/>
        </w:rPr>
        <w:t>PUBLIC SERVICE PROGRAMME</w:t>
      </w:r>
    </w:p>
    <w:p w14:paraId="1FCCF47F" w14:textId="7C0860E7" w:rsidR="7336895D" w:rsidRDefault="7336895D" w:rsidP="7336895D">
      <w:pPr>
        <w:ind w:right="237"/>
        <w:rPr>
          <w:rFonts w:ascii="Arial" w:eastAsia="Arial" w:hAnsi="Arial" w:cs="Arial"/>
          <w:color w:val="000000" w:themeColor="text1"/>
          <w:sz w:val="32"/>
          <w:szCs w:val="32"/>
        </w:rPr>
      </w:pPr>
    </w:p>
    <w:p w14:paraId="71FE781B" w14:textId="7CF0CC15" w:rsidR="63BD137B" w:rsidRDefault="63BD137B" w:rsidP="69B3A30A">
      <w:pPr>
        <w:ind w:right="237"/>
        <w:rPr>
          <w:rFonts w:ascii="Arial" w:eastAsia="Arial" w:hAnsi="Arial" w:cs="Arial"/>
          <w:b/>
          <w:bCs/>
          <w:i/>
          <w:iCs/>
          <w:color w:val="000000" w:themeColor="text1"/>
          <w:sz w:val="32"/>
          <w:szCs w:val="32"/>
        </w:rPr>
      </w:pPr>
      <w:r w:rsidRPr="69B3A30A">
        <w:rPr>
          <w:rFonts w:ascii="Arial" w:eastAsia="Arial" w:hAnsi="Arial" w:cs="Arial"/>
          <w:b/>
          <w:bCs/>
          <w:i/>
          <w:iCs/>
          <w:color w:val="000000" w:themeColor="text1"/>
          <w:sz w:val="32"/>
          <w:szCs w:val="32"/>
        </w:rPr>
        <w:t xml:space="preserve">Module title: </w:t>
      </w:r>
      <w:r w:rsidR="1307522D" w:rsidRPr="69B3A30A">
        <w:rPr>
          <w:rFonts w:ascii="Arial" w:eastAsia="Arial" w:hAnsi="Arial" w:cs="Arial"/>
          <w:b/>
          <w:bCs/>
          <w:i/>
          <w:iCs/>
          <w:color w:val="000000" w:themeColor="text1"/>
          <w:sz w:val="32"/>
          <w:szCs w:val="32"/>
        </w:rPr>
        <w:t>Professional Investigative Practice BMPI6002</w:t>
      </w:r>
    </w:p>
    <w:p w14:paraId="07F7D617" w14:textId="4325D2DC" w:rsidR="7336895D" w:rsidRDefault="7336895D" w:rsidP="7336895D">
      <w:pPr>
        <w:ind w:right="237"/>
        <w:rPr>
          <w:rFonts w:ascii="Arial" w:eastAsia="Arial" w:hAnsi="Arial" w:cs="Arial"/>
          <w:b/>
          <w:bCs/>
          <w:i/>
          <w:iCs/>
          <w:color w:val="000000" w:themeColor="text1"/>
          <w:sz w:val="36"/>
          <w:szCs w:val="36"/>
        </w:rPr>
      </w:pPr>
    </w:p>
    <w:p w14:paraId="0BF94E73" w14:textId="54C0D90E" w:rsidR="7336895D" w:rsidRDefault="7336895D" w:rsidP="7336895D">
      <w:pPr>
        <w:ind w:right="237"/>
        <w:rPr>
          <w:rFonts w:ascii="Arial" w:eastAsia="Arial" w:hAnsi="Arial" w:cs="Arial"/>
          <w:b/>
          <w:bCs/>
          <w:i/>
          <w:iCs/>
          <w:color w:val="000000" w:themeColor="text1"/>
          <w:sz w:val="28"/>
          <w:szCs w:val="28"/>
        </w:rPr>
      </w:pPr>
    </w:p>
    <w:p w14:paraId="62F5231B" w14:textId="5D6B4DEA" w:rsidR="010A2EC9" w:rsidRDefault="010A2EC9" w:rsidP="7336895D">
      <w:pPr>
        <w:rPr>
          <w:rFonts w:ascii="Calibri" w:eastAsia="Calibri" w:hAnsi="Calibri" w:cs="Calibri"/>
        </w:rPr>
      </w:pPr>
      <w:r w:rsidRPr="515A1CF8">
        <w:rPr>
          <w:rFonts w:ascii="Arial" w:eastAsia="Arial" w:hAnsi="Arial" w:cs="Arial"/>
          <w:b/>
          <w:bCs/>
          <w:sz w:val="24"/>
          <w:szCs w:val="24"/>
        </w:rPr>
        <w:lastRenderedPageBreak/>
        <w:t xml:space="preserve">Task </w:t>
      </w:r>
      <w:r w:rsidRPr="515A1CF8">
        <w:rPr>
          <w:rFonts w:ascii="Arial" w:eastAsia="Arial" w:hAnsi="Arial" w:cs="Arial"/>
          <w:b/>
          <w:bCs/>
          <w:color w:val="000000" w:themeColor="text1"/>
          <w:sz w:val="24"/>
          <w:szCs w:val="24"/>
        </w:rPr>
        <w:t xml:space="preserve">1: </w:t>
      </w:r>
    </w:p>
    <w:p w14:paraId="0876D802" w14:textId="50410A8F" w:rsidR="727E3A7D" w:rsidRDefault="36ED0FD5" w:rsidP="515A1CF8">
      <w:pPr>
        <w:rPr>
          <w:rFonts w:ascii="Arial" w:eastAsia="Arial" w:hAnsi="Arial" w:cs="Arial"/>
          <w:color w:val="000000" w:themeColor="text1"/>
          <w:sz w:val="24"/>
          <w:szCs w:val="24"/>
        </w:rPr>
      </w:pPr>
      <w:r w:rsidRPr="515A1CF8">
        <w:rPr>
          <w:rFonts w:ascii="Arial" w:eastAsia="Arial" w:hAnsi="Arial" w:cs="Arial"/>
          <w:b/>
          <w:bCs/>
          <w:color w:val="000000" w:themeColor="text1"/>
          <w:sz w:val="24"/>
          <w:szCs w:val="24"/>
        </w:rPr>
        <w:t xml:space="preserve">You must choose a serious and complex investigation in which you played a significant role with the gathering of evidential material. </w:t>
      </w:r>
    </w:p>
    <w:p w14:paraId="1F98BC2F" w14:textId="3FE7CF2F" w:rsidR="727E3A7D" w:rsidRDefault="727E3A7D" w:rsidP="515A1CF8">
      <w:pPr>
        <w:rPr>
          <w:rFonts w:ascii="Arial" w:eastAsia="Arial" w:hAnsi="Arial" w:cs="Arial"/>
          <w:b/>
          <w:bCs/>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7336895D" w14:paraId="7598B4AD" w14:textId="77777777" w:rsidTr="79283025">
        <w:tc>
          <w:tcPr>
            <w:tcW w:w="9015" w:type="dxa"/>
          </w:tcPr>
          <w:p w14:paraId="0754EC58" w14:textId="775FC2FA" w:rsidR="7336895D" w:rsidRDefault="7336895D" w:rsidP="7336895D"/>
          <w:p w14:paraId="51D17758" w14:textId="78D106A6" w:rsidR="7336895D" w:rsidRDefault="0A027A66" w:rsidP="515A1CF8">
            <w:pPr>
              <w:rPr>
                <w:rFonts w:ascii="Arial" w:eastAsia="Arial" w:hAnsi="Arial" w:cs="Arial"/>
                <w:sz w:val="24"/>
                <w:szCs w:val="24"/>
              </w:rPr>
            </w:pPr>
            <w:r w:rsidRPr="515A1CF8">
              <w:rPr>
                <w:rFonts w:ascii="Arial" w:eastAsia="Arial" w:hAnsi="Arial" w:cs="Arial"/>
                <w:b/>
                <w:bCs/>
                <w:color w:val="000000" w:themeColor="text1"/>
                <w:sz w:val="24"/>
                <w:szCs w:val="24"/>
              </w:rPr>
              <w:t>Give a brief description</w:t>
            </w:r>
            <w:r w:rsidRPr="515A1CF8">
              <w:rPr>
                <w:rFonts w:ascii="Arial" w:eastAsia="Arial" w:hAnsi="Arial" w:cs="Arial"/>
                <w:color w:val="000000" w:themeColor="text1"/>
                <w:sz w:val="24"/>
                <w:szCs w:val="24"/>
              </w:rPr>
              <w:t xml:space="preserve"> of the investigation including social and legislative contexts and any relevant cultural, ethnicity and language issues.  </w:t>
            </w:r>
          </w:p>
          <w:p w14:paraId="7CAE03A0" w14:textId="08B83F3F" w:rsidR="515A1CF8" w:rsidRDefault="515A1CF8" w:rsidP="515A1CF8">
            <w:pPr>
              <w:rPr>
                <w:rFonts w:ascii="Arial" w:eastAsia="Arial" w:hAnsi="Arial" w:cs="Arial"/>
                <w:color w:val="000000" w:themeColor="text1"/>
                <w:sz w:val="24"/>
                <w:szCs w:val="24"/>
              </w:rPr>
            </w:pPr>
          </w:p>
          <w:p w14:paraId="763D83D5" w14:textId="4463B2B9" w:rsidR="0164F6A5" w:rsidRDefault="0164F6A5" w:rsidP="79283025">
            <w:pPr>
              <w:rPr>
                <w:rFonts w:ascii="Arial" w:eastAsia="Arial" w:hAnsi="Arial" w:cs="Arial"/>
                <w:color w:val="000000" w:themeColor="text1"/>
                <w:sz w:val="24"/>
                <w:szCs w:val="24"/>
              </w:rPr>
            </w:pPr>
            <w:r w:rsidRPr="79283025">
              <w:rPr>
                <w:rFonts w:ascii="Arial" w:eastAsia="Arial" w:hAnsi="Arial" w:cs="Arial"/>
                <w:b/>
                <w:bCs/>
                <w:color w:val="000000" w:themeColor="text1"/>
                <w:sz w:val="24"/>
                <w:szCs w:val="24"/>
              </w:rPr>
              <w:t xml:space="preserve">Evaluate </w:t>
            </w:r>
            <w:r w:rsidRPr="79283025">
              <w:rPr>
                <w:rFonts w:ascii="Arial" w:eastAsia="Arial" w:hAnsi="Arial" w:cs="Arial"/>
                <w:color w:val="000000" w:themeColor="text1"/>
                <w:sz w:val="24"/>
                <w:szCs w:val="24"/>
              </w:rPr>
              <w:t>how you have worked with others (</w:t>
            </w:r>
            <w:r w:rsidR="7EAEC107" w:rsidRPr="79283025">
              <w:rPr>
                <w:rFonts w:ascii="Arial" w:eastAsia="Arial" w:hAnsi="Arial" w:cs="Arial"/>
                <w:color w:val="000000" w:themeColor="text1"/>
                <w:sz w:val="24"/>
                <w:szCs w:val="24"/>
              </w:rPr>
              <w:t>e.g.</w:t>
            </w:r>
            <w:r w:rsidRPr="79283025">
              <w:rPr>
                <w:rFonts w:ascii="Arial" w:eastAsia="Arial" w:hAnsi="Arial" w:cs="Arial"/>
                <w:color w:val="000000" w:themeColor="text1"/>
                <w:sz w:val="24"/>
                <w:szCs w:val="24"/>
              </w:rPr>
              <w:t>, investigators, specialists and managers) to establish and use approp</w:t>
            </w:r>
            <w:r w:rsidR="5AD504FB" w:rsidRPr="79283025">
              <w:rPr>
                <w:rFonts w:ascii="Arial" w:eastAsia="Arial" w:hAnsi="Arial" w:cs="Arial"/>
                <w:color w:val="000000" w:themeColor="text1"/>
                <w:sz w:val="24"/>
                <w:szCs w:val="24"/>
              </w:rPr>
              <w:t xml:space="preserve">riate methods for gathering material. </w:t>
            </w:r>
          </w:p>
          <w:p w14:paraId="2A5CCC9C" w14:textId="2C120F3B" w:rsidR="7336895D" w:rsidRDefault="7336895D" w:rsidP="515A1CF8">
            <w:pPr>
              <w:rPr>
                <w:rFonts w:ascii="Arial" w:eastAsia="Arial" w:hAnsi="Arial" w:cs="Arial"/>
              </w:rPr>
            </w:pPr>
          </w:p>
          <w:p w14:paraId="00A3DFC1" w14:textId="1129976D" w:rsidR="7336895D" w:rsidRDefault="42895FE0" w:rsidP="515A1CF8">
            <w:pPr>
              <w:rPr>
                <w:rFonts w:ascii="Arial" w:eastAsia="Arial" w:hAnsi="Arial" w:cs="Arial"/>
              </w:rPr>
            </w:pPr>
            <w:r w:rsidRPr="79283025">
              <w:rPr>
                <w:rFonts w:ascii="Arial" w:eastAsia="Arial" w:hAnsi="Arial" w:cs="Arial"/>
                <w:b/>
                <w:bCs/>
              </w:rPr>
              <w:t>Assess</w:t>
            </w:r>
            <w:r w:rsidRPr="79283025">
              <w:rPr>
                <w:rFonts w:ascii="Arial" w:eastAsia="Arial" w:hAnsi="Arial" w:cs="Arial"/>
              </w:rPr>
              <w:t xml:space="preserve"> how you have </w:t>
            </w:r>
            <w:r w:rsidR="181D3C55" w:rsidRPr="79283025">
              <w:rPr>
                <w:rFonts w:ascii="Arial" w:eastAsia="Arial" w:hAnsi="Arial" w:cs="Arial"/>
              </w:rPr>
              <w:t>gathered</w:t>
            </w:r>
            <w:r w:rsidRPr="79283025">
              <w:rPr>
                <w:rFonts w:ascii="Arial" w:eastAsia="Arial" w:hAnsi="Arial" w:cs="Arial"/>
              </w:rPr>
              <w:t xml:space="preserve"> </w:t>
            </w:r>
            <w:r w:rsidR="1BF96E37" w:rsidRPr="79283025">
              <w:rPr>
                <w:rFonts w:ascii="Arial" w:eastAsia="Arial" w:hAnsi="Arial" w:cs="Arial"/>
              </w:rPr>
              <w:t>material</w:t>
            </w:r>
            <w:r w:rsidRPr="79283025">
              <w:rPr>
                <w:rFonts w:ascii="Arial" w:eastAsia="Arial" w:hAnsi="Arial" w:cs="Arial"/>
              </w:rPr>
              <w:t xml:space="preserve"> from a range of appropriate sources. C</w:t>
            </w:r>
            <w:r w:rsidR="48EFF644" w:rsidRPr="79283025">
              <w:rPr>
                <w:rFonts w:ascii="Arial" w:eastAsia="Arial" w:hAnsi="Arial" w:cs="Arial"/>
              </w:rPr>
              <w:t xml:space="preserve">onsider how you have recorded and retained evidence in a format </w:t>
            </w:r>
            <w:r w:rsidR="7CC9909C" w:rsidRPr="79283025">
              <w:rPr>
                <w:rFonts w:ascii="Arial" w:eastAsia="Arial" w:hAnsi="Arial" w:cs="Arial"/>
              </w:rPr>
              <w:t xml:space="preserve">in line with policy and procedure. </w:t>
            </w:r>
          </w:p>
          <w:p w14:paraId="675F1B33" w14:textId="21D8656A" w:rsidR="7336895D" w:rsidRDefault="7336895D" w:rsidP="7336895D"/>
          <w:p w14:paraId="3E6715F6" w14:textId="30782BFD" w:rsidR="7336895D" w:rsidRDefault="74F38385" w:rsidP="515A1CF8">
            <w:pPr>
              <w:rPr>
                <w:rFonts w:ascii="Arial" w:eastAsia="Arial" w:hAnsi="Arial" w:cs="Arial"/>
              </w:rPr>
            </w:pPr>
            <w:r w:rsidRPr="79283025">
              <w:rPr>
                <w:rFonts w:ascii="Arial" w:eastAsia="Arial" w:hAnsi="Arial" w:cs="Arial"/>
                <w:b/>
                <w:bCs/>
              </w:rPr>
              <w:t>Describe</w:t>
            </w:r>
            <w:r w:rsidRPr="79283025">
              <w:rPr>
                <w:rFonts w:ascii="Arial" w:eastAsia="Arial" w:hAnsi="Arial" w:cs="Arial"/>
              </w:rPr>
              <w:t xml:space="preserve"> how you have identified and planned your own investigative actions, taking </w:t>
            </w:r>
            <w:r w:rsidR="149FDD07" w:rsidRPr="79283025">
              <w:rPr>
                <w:rFonts w:ascii="Arial" w:eastAsia="Arial" w:hAnsi="Arial" w:cs="Arial"/>
              </w:rPr>
              <w:t>in account</w:t>
            </w:r>
            <w:r w:rsidRPr="79283025">
              <w:rPr>
                <w:rFonts w:ascii="Arial" w:eastAsia="Arial" w:hAnsi="Arial" w:cs="Arial"/>
              </w:rPr>
              <w:t xml:space="preserve"> resources, </w:t>
            </w:r>
            <w:r w:rsidR="7964D7A3" w:rsidRPr="79283025">
              <w:rPr>
                <w:rFonts w:ascii="Arial" w:eastAsia="Arial" w:hAnsi="Arial" w:cs="Arial"/>
              </w:rPr>
              <w:t>priorities</w:t>
            </w:r>
            <w:r w:rsidRPr="79283025">
              <w:rPr>
                <w:rFonts w:ascii="Arial" w:eastAsia="Arial" w:hAnsi="Arial" w:cs="Arial"/>
              </w:rPr>
              <w:t xml:space="preserve"> and </w:t>
            </w:r>
            <w:r w:rsidR="09514B01" w:rsidRPr="79283025">
              <w:rPr>
                <w:rFonts w:ascii="Arial" w:eastAsia="Arial" w:hAnsi="Arial" w:cs="Arial"/>
              </w:rPr>
              <w:t>proportionality</w:t>
            </w:r>
            <w:r w:rsidRPr="79283025">
              <w:rPr>
                <w:rFonts w:ascii="Arial" w:eastAsia="Arial" w:hAnsi="Arial" w:cs="Arial"/>
              </w:rPr>
              <w:t xml:space="preserve"> to achieve </w:t>
            </w:r>
            <w:r w:rsidR="63AFFE02" w:rsidRPr="79283025">
              <w:rPr>
                <w:rFonts w:ascii="Arial" w:eastAsia="Arial" w:hAnsi="Arial" w:cs="Arial"/>
              </w:rPr>
              <w:t>investigatory</w:t>
            </w:r>
            <w:r w:rsidR="4E806944" w:rsidRPr="79283025">
              <w:rPr>
                <w:rFonts w:ascii="Arial" w:eastAsia="Arial" w:hAnsi="Arial" w:cs="Arial"/>
              </w:rPr>
              <w:t xml:space="preserve"> objectives. </w:t>
            </w:r>
          </w:p>
          <w:p w14:paraId="4A5988BD" w14:textId="69ED97DF" w:rsidR="7336895D" w:rsidRDefault="7336895D" w:rsidP="7336895D"/>
          <w:p w14:paraId="01B79DB0" w14:textId="09EC329B" w:rsidR="7336895D" w:rsidRDefault="7336895D" w:rsidP="7336895D"/>
          <w:p w14:paraId="52E39293" w14:textId="4C1EC6B2" w:rsidR="7336895D" w:rsidRDefault="51D3E347" w:rsidP="727E3A7D">
            <w:pPr>
              <w:ind w:right="237"/>
              <w:jc w:val="both"/>
              <w:rPr>
                <w:rFonts w:ascii="Calibri" w:eastAsia="Calibri" w:hAnsi="Calibri" w:cs="Calibri"/>
              </w:rPr>
            </w:pPr>
            <w:r w:rsidRPr="727E3A7D">
              <w:rPr>
                <w:rFonts w:ascii="Arial" w:eastAsia="Arial" w:hAnsi="Arial" w:cs="Arial"/>
                <w:color w:val="000000" w:themeColor="text1"/>
                <w:sz w:val="24"/>
                <w:szCs w:val="24"/>
              </w:rPr>
              <w:t xml:space="preserve">2000 words </w:t>
            </w:r>
            <w:r w:rsidRPr="727E3A7D">
              <w:rPr>
                <w:rFonts w:ascii="Arial" w:eastAsia="Arial" w:hAnsi="Arial" w:cs="Arial"/>
                <w:i/>
                <w:iCs/>
                <w:color w:val="000000" w:themeColor="text1"/>
                <w:sz w:val="24"/>
                <w:szCs w:val="24"/>
              </w:rPr>
              <w:t>(+/- 10%: include your actual word count at the end of each section)</w:t>
            </w:r>
          </w:p>
          <w:p w14:paraId="2F7715EC" w14:textId="1135D54F" w:rsidR="7336895D" w:rsidRDefault="7336895D" w:rsidP="7336895D"/>
        </w:tc>
      </w:tr>
    </w:tbl>
    <w:p w14:paraId="6369FF69" w14:textId="20023D75" w:rsidR="7336895D" w:rsidRDefault="7336895D" w:rsidP="7336895D">
      <w:pPr>
        <w:ind w:left="3600" w:right="107" w:firstLine="720"/>
        <w:rPr>
          <w:rFonts w:ascii="Arial" w:eastAsia="Arial" w:hAnsi="Arial" w:cs="Arial"/>
          <w:b/>
          <w:bCs/>
          <w:color w:val="000000" w:themeColor="text1"/>
          <w:sz w:val="24"/>
          <w:szCs w:val="24"/>
        </w:rPr>
      </w:pPr>
    </w:p>
    <w:p w14:paraId="48D13E8A" w14:textId="56512037" w:rsidR="7336895D" w:rsidRDefault="7336895D" w:rsidP="727E3A7D">
      <w:pPr>
        <w:ind w:right="237"/>
        <w:jc w:val="both"/>
        <w:rPr>
          <w:rFonts w:ascii="Arial" w:eastAsia="Arial" w:hAnsi="Arial" w:cs="Arial"/>
          <w:color w:val="000000" w:themeColor="text1"/>
          <w:sz w:val="24"/>
          <w:szCs w:val="24"/>
        </w:rPr>
      </w:pPr>
    </w:p>
    <w:p w14:paraId="638B35D4" w14:textId="1455A464" w:rsidR="7336895D" w:rsidRDefault="5E6D5126" w:rsidP="727E3A7D">
      <w:pPr>
        <w:ind w:right="237"/>
        <w:jc w:val="both"/>
        <w:rPr>
          <w:rFonts w:ascii="Arial" w:eastAsia="Arial" w:hAnsi="Arial" w:cs="Arial"/>
          <w:color w:val="000000" w:themeColor="text1"/>
          <w:sz w:val="24"/>
          <w:szCs w:val="24"/>
        </w:rPr>
      </w:pPr>
      <w:r w:rsidRPr="727E3A7D">
        <w:rPr>
          <w:rFonts w:ascii="Arial" w:eastAsia="Arial" w:hAnsi="Arial" w:cs="Arial"/>
          <w:b/>
          <w:bCs/>
          <w:color w:val="000000" w:themeColor="text1"/>
          <w:sz w:val="24"/>
          <w:szCs w:val="24"/>
        </w:rPr>
        <w:t>ANSWER:</w:t>
      </w:r>
    </w:p>
    <w:p w14:paraId="424EFAD9" w14:textId="77777777" w:rsidR="00343817" w:rsidRPr="00F03CF1" w:rsidRDefault="00343817" w:rsidP="00343817">
      <w:pPr>
        <w:rPr>
          <w:rFonts w:ascii="Arial" w:hAnsi="Arial" w:cs="Arial"/>
          <w:u w:val="single"/>
        </w:rPr>
      </w:pPr>
      <w:r w:rsidRPr="00F03CF1">
        <w:rPr>
          <w:rFonts w:ascii="Arial" w:hAnsi="Arial" w:cs="Arial"/>
          <w:u w:val="single"/>
        </w:rPr>
        <w:t>Introduction</w:t>
      </w:r>
    </w:p>
    <w:p w14:paraId="6AFA35C4" w14:textId="77777777" w:rsidR="00343817" w:rsidRPr="00F03CF1" w:rsidRDefault="00343817" w:rsidP="00343817">
      <w:pPr>
        <w:rPr>
          <w:rFonts w:ascii="Arial" w:hAnsi="Arial" w:cs="Arial"/>
        </w:rPr>
      </w:pPr>
      <w:r w:rsidRPr="00F03CF1">
        <w:rPr>
          <w:rFonts w:ascii="Arial" w:hAnsi="Arial" w:cs="Arial"/>
        </w:rPr>
        <w:t>The example I will refer to is an investigation relating to a repeat allegation by a young child that she had been sexually assaulted by her mother’s partner.</w:t>
      </w:r>
    </w:p>
    <w:p w14:paraId="1BED7F5D" w14:textId="77777777" w:rsidR="00343817" w:rsidRPr="00F03CF1" w:rsidRDefault="00343817" w:rsidP="00343817">
      <w:pPr>
        <w:rPr>
          <w:rFonts w:ascii="Arial" w:hAnsi="Arial" w:cs="Arial"/>
        </w:rPr>
      </w:pPr>
      <w:r w:rsidRPr="00F03CF1">
        <w:rPr>
          <w:rFonts w:ascii="Arial" w:hAnsi="Arial" w:cs="Arial"/>
        </w:rPr>
        <w:t xml:space="preserve">There were no cultural, language or ethnicity issues to consider however, the victim was a vulnerable child who was now suffering from significant trauma and was heavily involved with support agencies. Furthermore, the mother was now implicated in causing and allowing the offence to occur. </w:t>
      </w:r>
    </w:p>
    <w:p w14:paraId="013BE0A4" w14:textId="5DDAB55A" w:rsidR="00343817" w:rsidRPr="00F03CF1" w:rsidRDefault="00343817" w:rsidP="00343817">
      <w:pPr>
        <w:rPr>
          <w:rFonts w:ascii="Arial" w:hAnsi="Arial" w:cs="Arial"/>
        </w:rPr>
      </w:pPr>
      <w:r w:rsidRPr="00F03CF1">
        <w:rPr>
          <w:rFonts w:ascii="Arial" w:hAnsi="Arial" w:cs="Arial"/>
        </w:rPr>
        <w:t xml:space="preserve">There were many legislative considerations involved with the investigation however, primarily </w:t>
      </w:r>
      <w:r w:rsidR="00D43E21">
        <w:rPr>
          <w:rFonts w:ascii="Arial" w:hAnsi="Arial" w:cs="Arial"/>
        </w:rPr>
        <w:t>Safeguarding, Police practice</w:t>
      </w:r>
      <w:r w:rsidR="00882E05">
        <w:rPr>
          <w:rFonts w:ascii="Arial" w:hAnsi="Arial" w:cs="Arial"/>
        </w:rPr>
        <w:t xml:space="preserve">s and data management. </w:t>
      </w:r>
    </w:p>
    <w:p w14:paraId="1B7B9E14" w14:textId="5C6A92AA" w:rsidR="7336895D" w:rsidRDefault="7336895D" w:rsidP="727E3A7D">
      <w:pPr>
        <w:ind w:right="237"/>
        <w:jc w:val="both"/>
        <w:rPr>
          <w:rFonts w:ascii="Arial" w:eastAsia="Arial" w:hAnsi="Arial" w:cs="Arial"/>
          <w:color w:val="000000" w:themeColor="text1"/>
          <w:sz w:val="24"/>
          <w:szCs w:val="24"/>
        </w:rPr>
      </w:pPr>
    </w:p>
    <w:p w14:paraId="0C93D70C" w14:textId="178507E6" w:rsidR="7336895D" w:rsidRPr="007F5D32" w:rsidRDefault="00882E05" w:rsidP="00343817">
      <w:pPr>
        <w:ind w:left="3600" w:right="107" w:firstLine="720"/>
        <w:jc w:val="right"/>
        <w:rPr>
          <w:rFonts w:ascii="Arial" w:eastAsia="Arial" w:hAnsi="Arial" w:cs="Arial"/>
          <w:color w:val="FF0000"/>
          <w:sz w:val="24"/>
          <w:szCs w:val="24"/>
        </w:rPr>
      </w:pPr>
      <w:r w:rsidRPr="007F5D32">
        <w:rPr>
          <w:rFonts w:ascii="Arial" w:eastAsia="Arial" w:hAnsi="Arial" w:cs="Arial"/>
          <w:color w:val="FF0000"/>
          <w:sz w:val="24"/>
          <w:szCs w:val="24"/>
        </w:rPr>
        <w:t>90</w:t>
      </w:r>
    </w:p>
    <w:p w14:paraId="23D875DA" w14:textId="0C377374" w:rsidR="7336895D" w:rsidRDefault="7336895D" w:rsidP="7336895D">
      <w:pPr>
        <w:ind w:left="3600" w:right="107" w:firstLine="720"/>
        <w:jc w:val="both"/>
        <w:rPr>
          <w:rFonts w:ascii="Arial" w:eastAsia="Arial" w:hAnsi="Arial" w:cs="Arial"/>
          <w:b/>
          <w:bCs/>
          <w:color w:val="000000" w:themeColor="text1"/>
          <w:sz w:val="24"/>
          <w:szCs w:val="24"/>
        </w:rPr>
      </w:pPr>
    </w:p>
    <w:p w14:paraId="1D0AC715" w14:textId="2A6C2878" w:rsidR="7336895D" w:rsidRDefault="7336895D" w:rsidP="7336895D">
      <w:pPr>
        <w:ind w:left="3600" w:right="107" w:firstLine="720"/>
        <w:jc w:val="both"/>
        <w:rPr>
          <w:rFonts w:ascii="Arial" w:eastAsia="Arial" w:hAnsi="Arial" w:cs="Arial"/>
          <w:b/>
          <w:bCs/>
          <w:color w:val="000000" w:themeColor="text1"/>
          <w:sz w:val="24"/>
          <w:szCs w:val="24"/>
        </w:rPr>
      </w:pPr>
    </w:p>
    <w:p w14:paraId="12595738" w14:textId="0873A7BC" w:rsidR="00882E05" w:rsidRDefault="00882E05" w:rsidP="7336895D">
      <w:pPr>
        <w:ind w:left="3600" w:right="107" w:firstLine="720"/>
        <w:jc w:val="both"/>
        <w:rPr>
          <w:rFonts w:ascii="Arial" w:eastAsia="Arial" w:hAnsi="Arial" w:cs="Arial"/>
          <w:b/>
          <w:bCs/>
          <w:color w:val="000000" w:themeColor="text1"/>
          <w:sz w:val="24"/>
          <w:szCs w:val="24"/>
        </w:rPr>
      </w:pPr>
    </w:p>
    <w:p w14:paraId="57F6871A" w14:textId="77777777" w:rsidR="00882E05" w:rsidRDefault="00882E05" w:rsidP="7336895D">
      <w:pPr>
        <w:ind w:left="3600" w:right="107" w:firstLine="720"/>
        <w:jc w:val="both"/>
        <w:rPr>
          <w:rFonts w:ascii="Arial" w:eastAsia="Arial" w:hAnsi="Arial" w:cs="Arial"/>
          <w:b/>
          <w:bCs/>
          <w:color w:val="000000" w:themeColor="text1"/>
          <w:sz w:val="24"/>
          <w:szCs w:val="24"/>
        </w:rPr>
      </w:pPr>
    </w:p>
    <w:p w14:paraId="6D405086" w14:textId="77777777" w:rsidR="008A504B" w:rsidRPr="005A1D90" w:rsidRDefault="008A504B" w:rsidP="008A504B">
      <w:pPr>
        <w:spacing w:after="0" w:line="240" w:lineRule="auto"/>
        <w:rPr>
          <w:b/>
          <w:bCs/>
        </w:rPr>
      </w:pPr>
      <w:r w:rsidRPr="005A1D90">
        <w:rPr>
          <w:rFonts w:ascii="Arial" w:eastAsia="Arial" w:hAnsi="Arial" w:cs="Arial"/>
          <w:b/>
          <w:bCs/>
          <w:i/>
          <w:iCs/>
        </w:rPr>
        <w:lastRenderedPageBreak/>
        <w:t xml:space="preserve">Describe how you have identified and planned your own investigative actions, taking in account resources, priorities and proportionality to achieve investigatory objectives. </w:t>
      </w:r>
    </w:p>
    <w:p w14:paraId="68DC79FA" w14:textId="77777777" w:rsidR="008A504B" w:rsidRDefault="008A504B" w:rsidP="00343817">
      <w:pPr>
        <w:rPr>
          <w:rFonts w:ascii="Arial" w:hAnsi="Arial" w:cs="Arial"/>
          <w:sz w:val="24"/>
          <w:szCs w:val="24"/>
        </w:rPr>
      </w:pPr>
    </w:p>
    <w:p w14:paraId="42416204" w14:textId="266CF483" w:rsidR="00343817" w:rsidRPr="00F03CF1" w:rsidRDefault="00343817" w:rsidP="00343817">
      <w:pPr>
        <w:rPr>
          <w:rFonts w:ascii="Arial" w:hAnsi="Arial" w:cs="Arial"/>
        </w:rPr>
      </w:pPr>
      <w:r w:rsidRPr="00F03CF1">
        <w:rPr>
          <w:rFonts w:ascii="Arial" w:hAnsi="Arial" w:cs="Arial"/>
        </w:rPr>
        <w:t xml:space="preserve">Firstly, was the application of National </w:t>
      </w:r>
      <w:r w:rsidR="008942FD" w:rsidRPr="00F03CF1">
        <w:rPr>
          <w:rFonts w:ascii="Arial" w:hAnsi="Arial" w:cs="Arial"/>
        </w:rPr>
        <w:t>Decision-Making</w:t>
      </w:r>
      <w:r w:rsidRPr="00F03CF1">
        <w:rPr>
          <w:rFonts w:ascii="Arial" w:hAnsi="Arial" w:cs="Arial"/>
        </w:rPr>
        <w:t xml:space="preserve"> Model (NDM) to the initial information received.  This identified the risk and threat of recurrence of the incident with consequential harm to this victim and potentially others without appropriate intervention. It also determined what type of investigation method was required to deal with reactive crime. The ultimate objective was to Safeguard the vulnerable whether that be by criminal prosecution or otherwise, in accordance with policing policy to keep communities safe and maintain trust in Policing, and the criminal justice system (Dyfed Powys Police, 2021). </w:t>
      </w:r>
    </w:p>
    <w:p w14:paraId="583836D9" w14:textId="632AE9C6" w:rsidR="00343817" w:rsidRPr="00F03CF1" w:rsidRDefault="00343817" w:rsidP="008A504B">
      <w:r w:rsidRPr="00F03CF1">
        <w:rPr>
          <w:rFonts w:ascii="Arial" w:hAnsi="Arial" w:cs="Arial"/>
          <w:color w:val="000000"/>
          <w:shd w:val="clear" w:color="auto" w:fill="FFFFFF"/>
        </w:rPr>
        <w:t>The use of the NDM improves consistency in approaches to joint working around vulnerability by providing directions towards critical thinking. (Sullivan, 2017)</w:t>
      </w:r>
      <w:r w:rsidR="008A504B" w:rsidRPr="00F03CF1">
        <w:rPr>
          <w:rFonts w:ascii="Arial" w:hAnsi="Arial" w:cs="Arial"/>
          <w:color w:val="000000"/>
          <w:shd w:val="clear" w:color="auto" w:fill="FFFFFF"/>
        </w:rPr>
        <w:t>.</w:t>
      </w:r>
    </w:p>
    <w:p w14:paraId="7F9CF553" w14:textId="77777777" w:rsidR="00343817" w:rsidRDefault="00343817" w:rsidP="00343817">
      <w:r>
        <w:rPr>
          <w:noProof/>
        </w:rPr>
        <w:drawing>
          <wp:inline distT="0" distB="0" distL="0" distR="0" wp14:anchorId="052F7308" wp14:editId="085CAF8F">
            <wp:extent cx="3795098" cy="2323801"/>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795098" cy="2323801"/>
                    </a:xfrm>
                    <a:prstGeom prst="rect">
                      <a:avLst/>
                    </a:prstGeom>
                    <a:noFill/>
                    <a:ln>
                      <a:noFill/>
                      <a:prstDash/>
                    </a:ln>
                  </pic:spPr>
                </pic:pic>
              </a:graphicData>
            </a:graphic>
          </wp:inline>
        </w:drawing>
      </w:r>
    </w:p>
    <w:p w14:paraId="437C70D5" w14:textId="77777777" w:rsidR="00343817" w:rsidRDefault="00343817" w:rsidP="00343817">
      <w:pPr>
        <w:jc w:val="right"/>
      </w:pPr>
      <w:r>
        <w:t>(College of Policing, 2013).</w:t>
      </w:r>
    </w:p>
    <w:p w14:paraId="180162A3" w14:textId="5DA0F820" w:rsidR="00343817" w:rsidRDefault="00343817" w:rsidP="00343817">
      <w:pPr>
        <w:rPr>
          <w:rFonts w:ascii="Arial" w:hAnsi="Arial" w:cs="Arial"/>
        </w:rPr>
      </w:pPr>
      <w:r w:rsidRPr="00F03CF1">
        <w:rPr>
          <w:rFonts w:ascii="Arial" w:hAnsi="Arial" w:cs="Arial"/>
        </w:rPr>
        <w:t xml:space="preserve">The application of the Golden hour principles (GHP) of an investigation to the initial information received allows the type of investigative actions and resources required thereafter to be determined. </w:t>
      </w:r>
    </w:p>
    <w:p w14:paraId="5A846194" w14:textId="77777777" w:rsidR="008942FD" w:rsidRDefault="00343817" w:rsidP="008942FD">
      <w:pPr>
        <w:jc w:val="center"/>
        <w:rPr>
          <w:rFonts w:ascii="Open Sans" w:hAnsi="Open Sans" w:cs="Open Sans"/>
          <w:color w:val="000000"/>
          <w:sz w:val="20"/>
          <w:szCs w:val="20"/>
          <w:shd w:val="clear" w:color="auto" w:fill="FFFFFF"/>
        </w:rPr>
      </w:pPr>
      <w:r>
        <w:rPr>
          <w:noProof/>
        </w:rPr>
        <w:drawing>
          <wp:inline distT="0" distB="0" distL="0" distR="0" wp14:anchorId="66C7B685" wp14:editId="474D43C8">
            <wp:extent cx="3780430" cy="2538484"/>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840329" cy="2578705"/>
                    </a:xfrm>
                    <a:prstGeom prst="rect">
                      <a:avLst/>
                    </a:prstGeom>
                    <a:noFill/>
                    <a:ln>
                      <a:noFill/>
                      <a:prstDash/>
                    </a:ln>
                  </pic:spPr>
                </pic:pic>
              </a:graphicData>
            </a:graphic>
          </wp:inline>
        </w:drawing>
      </w:r>
    </w:p>
    <w:p w14:paraId="7B1558F4" w14:textId="7A2E3A6D" w:rsidR="00343817" w:rsidRDefault="00343817" w:rsidP="008942FD">
      <w:pPr>
        <w:jc w:val="right"/>
      </w:pPr>
      <w:r>
        <w:rPr>
          <w:rFonts w:ascii="Open Sans" w:hAnsi="Open Sans" w:cs="Open Sans"/>
          <w:color w:val="000000"/>
          <w:sz w:val="20"/>
          <w:szCs w:val="20"/>
          <w:shd w:val="clear" w:color="auto" w:fill="FFFFFF"/>
        </w:rPr>
        <w:t>(Investigation process, College of Policing, 2021).</w:t>
      </w:r>
    </w:p>
    <w:p w14:paraId="7D029368" w14:textId="77777777" w:rsidR="00343817" w:rsidRDefault="00343817" w:rsidP="00343817">
      <w:r>
        <w:rPr>
          <w:noProof/>
        </w:rPr>
        <w:drawing>
          <wp:inline distT="0" distB="0" distL="0" distR="0" wp14:anchorId="46DC4465" wp14:editId="0B38AF69">
            <wp:extent cx="3820500" cy="3528861"/>
            <wp:effectExtent l="0" t="0" r="8550" b="0"/>
            <wp:docPr id="3"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820500" cy="3528861"/>
                    </a:xfrm>
                    <a:prstGeom prst="rect">
                      <a:avLst/>
                    </a:prstGeom>
                    <a:noFill/>
                    <a:ln>
                      <a:noFill/>
                      <a:prstDash/>
                    </a:ln>
                  </pic:spPr>
                </pic:pic>
              </a:graphicData>
            </a:graphic>
          </wp:inline>
        </w:drawing>
      </w:r>
    </w:p>
    <w:p w14:paraId="66DDE5E7" w14:textId="77777777" w:rsidR="00343817" w:rsidRDefault="00343817" w:rsidP="00343817">
      <w:pPr>
        <w:jc w:val="right"/>
      </w:pPr>
      <w:r>
        <w:t>(Attorney General Guidelines, 2020 (AGG))</w:t>
      </w:r>
    </w:p>
    <w:p w14:paraId="69C9C920" w14:textId="77777777" w:rsidR="00343817" w:rsidRDefault="00343817" w:rsidP="00343817"/>
    <w:p w14:paraId="1051F7F7" w14:textId="28E9CCFE" w:rsidR="00343817" w:rsidRPr="00F03CF1" w:rsidRDefault="00343817" w:rsidP="00343817">
      <w:pPr>
        <w:rPr>
          <w:rFonts w:ascii="Arial" w:hAnsi="Arial" w:cs="Arial"/>
        </w:rPr>
      </w:pPr>
      <w:r w:rsidRPr="00F03CF1">
        <w:rPr>
          <w:rFonts w:ascii="Arial" w:hAnsi="Arial" w:cs="Arial"/>
        </w:rPr>
        <w:t>Roycroft (2019)</w:t>
      </w:r>
      <w:r w:rsidR="000B44D2" w:rsidRPr="00F03CF1">
        <w:rPr>
          <w:rFonts w:ascii="Arial" w:hAnsi="Arial" w:cs="Arial"/>
        </w:rPr>
        <w:t>,</w:t>
      </w:r>
      <w:r w:rsidRPr="00F03CF1">
        <w:rPr>
          <w:rFonts w:ascii="Arial" w:hAnsi="Arial" w:cs="Arial"/>
        </w:rPr>
        <w:t xml:space="preserve"> states that applying such principles ensures the accountability of investigators in documenting their decision-making rationale confirming the provenance of the investigation thereafter.</w:t>
      </w:r>
    </w:p>
    <w:p w14:paraId="33A26F0F" w14:textId="4241D6BF" w:rsidR="00343817" w:rsidRPr="00F03CF1" w:rsidRDefault="0092592F" w:rsidP="00343817">
      <w:pPr>
        <w:rPr>
          <w:rFonts w:ascii="Arial" w:hAnsi="Arial" w:cs="Arial"/>
        </w:rPr>
      </w:pPr>
      <w:r>
        <w:rPr>
          <w:rFonts w:ascii="Arial" w:hAnsi="Arial" w:cs="Arial"/>
        </w:rPr>
        <w:t>This was a stressful, sensitive, complex case with many lines of enquiry,</w:t>
      </w:r>
      <w:r w:rsidRPr="008E4E6B">
        <w:rPr>
          <w:rFonts w:ascii="Arial" w:hAnsi="Arial" w:cs="Arial"/>
        </w:rPr>
        <w:t xml:space="preserve"> </w:t>
      </w:r>
      <w:r w:rsidRPr="00F03CF1">
        <w:rPr>
          <w:rFonts w:ascii="Arial" w:hAnsi="Arial" w:cs="Arial"/>
        </w:rPr>
        <w:t>it was important to remain non-judgemental</w:t>
      </w:r>
      <w:r w:rsidR="0034347B">
        <w:rPr>
          <w:rFonts w:ascii="Arial" w:hAnsi="Arial" w:cs="Arial"/>
        </w:rPr>
        <w:t xml:space="preserve"> to </w:t>
      </w:r>
      <w:r w:rsidR="0034347B" w:rsidRPr="00F03CF1">
        <w:rPr>
          <w:rFonts w:ascii="Arial" w:hAnsi="Arial" w:cs="Arial"/>
        </w:rPr>
        <w:t xml:space="preserve">comply with </w:t>
      </w:r>
      <w:r w:rsidR="0034347B" w:rsidRPr="008942FD">
        <w:rPr>
          <w:rFonts w:ascii="Arial" w:hAnsi="Arial" w:cs="Arial"/>
          <w:i/>
          <w:iCs/>
        </w:rPr>
        <w:t>CPIA</w:t>
      </w:r>
      <w:r w:rsidR="0034347B" w:rsidRPr="00F03CF1">
        <w:rPr>
          <w:rFonts w:ascii="Arial" w:hAnsi="Arial" w:cs="Arial"/>
        </w:rPr>
        <w:t xml:space="preserve"> (</w:t>
      </w:r>
      <w:r w:rsidR="0034347B" w:rsidRPr="003734FF">
        <w:rPr>
          <w:rFonts w:ascii="Arial" w:hAnsi="Arial" w:cs="Arial"/>
          <w:i/>
          <w:iCs/>
        </w:rPr>
        <w:t>Criminal Procedures Investigatory Act</w:t>
      </w:r>
      <w:r w:rsidR="0034347B">
        <w:rPr>
          <w:rFonts w:ascii="Arial" w:hAnsi="Arial" w:cs="Arial"/>
        </w:rPr>
        <w:t xml:space="preserve"> </w:t>
      </w:r>
      <w:r w:rsidR="0034347B" w:rsidRPr="00F03CF1">
        <w:rPr>
          <w:rFonts w:ascii="Arial" w:hAnsi="Arial" w:cs="Arial"/>
        </w:rPr>
        <w:t xml:space="preserve">1996, sect.3.5). </w:t>
      </w:r>
      <w:r w:rsidR="00343817" w:rsidRPr="00F03CF1">
        <w:rPr>
          <w:rFonts w:ascii="Arial" w:hAnsi="Arial" w:cs="Arial"/>
        </w:rPr>
        <w:t>Pressures upon investigators and emotions surrounding the case may negatively impact judgement in decision making and contribute towards bias. (Ask, Alison, 2010)</w:t>
      </w:r>
      <w:r w:rsidR="00436DEE">
        <w:rPr>
          <w:rFonts w:ascii="Arial" w:hAnsi="Arial" w:cs="Arial"/>
        </w:rPr>
        <w:t xml:space="preserve">. </w:t>
      </w:r>
      <w:r w:rsidR="00343817" w:rsidRPr="00F03CF1">
        <w:rPr>
          <w:rFonts w:ascii="Arial" w:hAnsi="Arial" w:cs="Arial"/>
        </w:rPr>
        <w:t xml:space="preserve">Research demonstrates how investigators with an ability to reason, to deal rationally with stress when placed under time pressure, are better able to prioritise initial investigative actions but adversely, have reduced ability to continue to formulate hypotheses (Alison, et al., 2013).  </w:t>
      </w:r>
    </w:p>
    <w:p w14:paraId="798B725B" w14:textId="7A62593D" w:rsidR="00343817" w:rsidRPr="00F03CF1" w:rsidRDefault="0034347B" w:rsidP="00343817">
      <w:pPr>
        <w:rPr>
          <w:rFonts w:ascii="Arial" w:hAnsi="Arial" w:cs="Arial"/>
        </w:rPr>
      </w:pPr>
      <w:r>
        <w:rPr>
          <w:rFonts w:ascii="Arial" w:hAnsi="Arial" w:cs="Arial"/>
        </w:rPr>
        <w:t>P</w:t>
      </w:r>
      <w:r w:rsidR="00343817" w:rsidRPr="00F03CF1">
        <w:rPr>
          <w:rFonts w:ascii="Arial" w:hAnsi="Arial" w:cs="Arial"/>
        </w:rPr>
        <w:t>resenting investigators with a systematic range of possibilities improves their objective mentality</w:t>
      </w:r>
      <w:r>
        <w:rPr>
          <w:rFonts w:ascii="Arial" w:hAnsi="Arial" w:cs="Arial"/>
        </w:rPr>
        <w:t xml:space="preserve"> ensuring an ethical investigation</w:t>
      </w:r>
      <w:r w:rsidR="00343817" w:rsidRPr="00F03CF1">
        <w:rPr>
          <w:rFonts w:ascii="Arial" w:hAnsi="Arial" w:cs="Arial"/>
        </w:rPr>
        <w:t>. As does the ‘Investigative Mind-set’ ABC rule (Assume Nothing, Believe nothing, Challenge and Check everything) (Association of Chief Police Officers, 2005). Factors which may influence the mind-set towards guilty predisposition are emotional and moral motivations. (</w:t>
      </w:r>
      <w:proofErr w:type="spellStart"/>
      <w:r w:rsidR="00343817" w:rsidRPr="00F03CF1">
        <w:rPr>
          <w:rFonts w:ascii="Arial" w:hAnsi="Arial" w:cs="Arial"/>
        </w:rPr>
        <w:t>Fahsing</w:t>
      </w:r>
      <w:proofErr w:type="spellEnd"/>
      <w:r w:rsidR="00343817" w:rsidRPr="00F03CF1">
        <w:rPr>
          <w:rFonts w:ascii="Arial" w:hAnsi="Arial" w:cs="Arial"/>
        </w:rPr>
        <w:t>, 2016) and goals (</w:t>
      </w:r>
      <w:proofErr w:type="spellStart"/>
      <w:r w:rsidR="00343817" w:rsidRPr="00F03CF1">
        <w:rPr>
          <w:rFonts w:ascii="Arial" w:hAnsi="Arial" w:cs="Arial"/>
        </w:rPr>
        <w:t>Fahsing</w:t>
      </w:r>
      <w:proofErr w:type="spellEnd"/>
      <w:r w:rsidR="00343817" w:rsidRPr="00F03CF1">
        <w:rPr>
          <w:rFonts w:ascii="Arial" w:hAnsi="Arial" w:cs="Arial"/>
        </w:rPr>
        <w:t xml:space="preserve">, et al., 2021).  </w:t>
      </w:r>
    </w:p>
    <w:p w14:paraId="75AEFA14" w14:textId="77777777" w:rsidR="00343817" w:rsidRPr="00F03CF1" w:rsidRDefault="00343817" w:rsidP="00343817">
      <w:pPr>
        <w:rPr>
          <w:rFonts w:ascii="Arial" w:hAnsi="Arial" w:cs="Arial"/>
        </w:rPr>
      </w:pPr>
      <w:r w:rsidRPr="00F03CF1">
        <w:rPr>
          <w:rFonts w:ascii="Arial" w:hAnsi="Arial" w:cs="Arial"/>
        </w:rPr>
        <w:t>From the outset, there was time pressure to complete a complex and protracted investigation. Efficiency was critical in order to secure and preserve evidence and minimise delays in the investigation which may result in unnecessary distress to the victim. It was vital to identify and prioritise actions and appropriately support the victim. A crime was recorded in accordance with government rules to ensure integrity of the investigation thereafter. (Home Office, 2021).</w:t>
      </w:r>
    </w:p>
    <w:p w14:paraId="54BCB631" w14:textId="77777777" w:rsidR="00343817" w:rsidRPr="00F03CF1" w:rsidRDefault="00343817" w:rsidP="00343817">
      <w:pPr>
        <w:rPr>
          <w:rFonts w:ascii="Arial" w:hAnsi="Arial" w:cs="Arial"/>
        </w:rPr>
      </w:pPr>
      <w:r w:rsidRPr="00F03CF1">
        <w:rPr>
          <w:rFonts w:ascii="Arial" w:hAnsi="Arial" w:cs="Arial"/>
        </w:rPr>
        <w:t xml:space="preserve">Principally, was risk assessment. </w:t>
      </w:r>
      <w:r w:rsidRPr="00F03CF1">
        <w:rPr>
          <w:rFonts w:ascii="Arial" w:hAnsi="Arial" w:cs="Arial"/>
          <w:color w:val="000000"/>
          <w:shd w:val="clear" w:color="auto" w:fill="FFFFFF"/>
        </w:rPr>
        <w:t>Research shows how children who have experienced trauma and distress as victims of sexual abuse are subjected to repeated such ordeal during the course of the criminal justice system and how fear negatively impacts upon their ability to give evidence and consequently, poor outcomes at Court (Goodman, Gail, et al., 1992).</w:t>
      </w:r>
    </w:p>
    <w:p w14:paraId="66A6696A" w14:textId="627CC391" w:rsidR="00343817" w:rsidRPr="00F03CF1" w:rsidRDefault="0034347B" w:rsidP="00343817">
      <w:pPr>
        <w:rPr>
          <w:rFonts w:ascii="Arial" w:hAnsi="Arial" w:cs="Arial"/>
        </w:rPr>
      </w:pPr>
      <w:r>
        <w:rPr>
          <w:rFonts w:ascii="Arial" w:hAnsi="Arial" w:cs="Arial"/>
        </w:rPr>
        <w:t>R</w:t>
      </w:r>
      <w:r w:rsidR="00343817" w:rsidRPr="00F03CF1">
        <w:rPr>
          <w:rFonts w:ascii="Arial" w:hAnsi="Arial" w:cs="Arial"/>
        </w:rPr>
        <w:t xml:space="preserve">isk of further harm </w:t>
      </w:r>
      <w:r w:rsidR="00343817" w:rsidRPr="00F03CF1">
        <w:rPr>
          <w:rFonts w:ascii="Arial" w:hAnsi="Arial" w:cs="Arial"/>
          <w:color w:val="000000"/>
          <w:shd w:val="clear" w:color="auto" w:fill="FFFFFF"/>
        </w:rPr>
        <w:t xml:space="preserve">was not immediate. Consideration was given as to how this could be appropriately managed. </w:t>
      </w:r>
      <w:r>
        <w:rPr>
          <w:rFonts w:ascii="Arial" w:hAnsi="Arial" w:cs="Arial"/>
          <w:color w:val="000000"/>
          <w:shd w:val="clear" w:color="auto" w:fill="FFFFFF"/>
        </w:rPr>
        <w:t>Duty was shared with</w:t>
      </w:r>
      <w:r w:rsidR="00343817" w:rsidRPr="00F03CF1">
        <w:rPr>
          <w:rFonts w:ascii="Arial" w:hAnsi="Arial" w:cs="Arial"/>
          <w:color w:val="000000"/>
          <w:shd w:val="clear" w:color="auto" w:fill="FFFFFF"/>
        </w:rPr>
        <w:t xml:space="preserve"> Social Services since this was a Joint Investigation</w:t>
      </w:r>
      <w:r w:rsidR="00343817" w:rsidRPr="00F03CF1">
        <w:rPr>
          <w:rFonts w:ascii="Arial" w:hAnsi="Arial" w:cs="Arial"/>
        </w:rPr>
        <w:t xml:space="preserve">. </w:t>
      </w:r>
      <w:r w:rsidR="00343817" w:rsidRPr="00F03CF1">
        <w:rPr>
          <w:rFonts w:ascii="Arial" w:hAnsi="Arial" w:cs="Arial"/>
          <w:color w:val="000000"/>
          <w:shd w:val="clear" w:color="auto" w:fill="FFFFFF"/>
        </w:rPr>
        <w:t>(</w:t>
      </w:r>
      <w:r w:rsidR="00343817" w:rsidRPr="005878DD">
        <w:rPr>
          <w:rFonts w:ascii="Arial" w:hAnsi="Arial" w:cs="Arial"/>
          <w:i/>
          <w:iCs/>
          <w:color w:val="000000"/>
          <w:shd w:val="clear" w:color="auto" w:fill="FFFFFF"/>
        </w:rPr>
        <w:t>Children Act 1989</w:t>
      </w:r>
      <w:r w:rsidR="005878DD">
        <w:rPr>
          <w:rFonts w:ascii="Arial" w:hAnsi="Arial" w:cs="Arial"/>
          <w:i/>
          <w:iCs/>
          <w:color w:val="000000"/>
          <w:shd w:val="clear" w:color="auto" w:fill="FFFFFF"/>
        </w:rPr>
        <w:t>,</w:t>
      </w:r>
      <w:r w:rsidR="000B44D2" w:rsidRPr="00F03CF1">
        <w:rPr>
          <w:rFonts w:ascii="Arial" w:hAnsi="Arial" w:cs="Arial"/>
          <w:color w:val="000000"/>
          <w:shd w:val="clear" w:color="auto" w:fill="FFFFFF"/>
        </w:rPr>
        <w:t xml:space="preserve"> Sect. 47</w:t>
      </w:r>
      <w:r w:rsidR="00343817" w:rsidRPr="00F03CF1">
        <w:rPr>
          <w:rFonts w:ascii="Arial" w:hAnsi="Arial" w:cs="Arial"/>
          <w:color w:val="000000"/>
          <w:shd w:val="clear" w:color="auto" w:fill="FFFFFF"/>
        </w:rPr>
        <w:t>). Government research established that early multi-agency working and improved information sharing between agencies improves the outcome for a child. They also pledged to improve services for child victims of crime. (HM Government, 2003). The Crown Prosecution Service (CPS)</w:t>
      </w:r>
      <w:r w:rsidR="005878DD">
        <w:rPr>
          <w:rFonts w:ascii="Arial" w:hAnsi="Arial" w:cs="Arial"/>
          <w:color w:val="000000"/>
          <w:shd w:val="clear" w:color="auto" w:fill="FFFFFF"/>
        </w:rPr>
        <w:t>,</w:t>
      </w:r>
      <w:r w:rsidR="00343817" w:rsidRPr="00F03CF1">
        <w:rPr>
          <w:rFonts w:ascii="Arial" w:hAnsi="Arial" w:cs="Arial"/>
          <w:color w:val="000000"/>
          <w:shd w:val="clear" w:color="auto" w:fill="FFFFFF"/>
        </w:rPr>
        <w:t xml:space="preserve"> corroborates how the criminal justice process is likely to re</w:t>
      </w:r>
      <w:r w:rsidR="00876DD3">
        <w:rPr>
          <w:rFonts w:ascii="Arial" w:hAnsi="Arial" w:cs="Arial"/>
          <w:color w:val="000000"/>
          <w:shd w:val="clear" w:color="auto" w:fill="FFFFFF"/>
        </w:rPr>
        <w:t>-</w:t>
      </w:r>
      <w:r w:rsidR="00343817" w:rsidRPr="00F03CF1">
        <w:rPr>
          <w:rFonts w:ascii="Arial" w:hAnsi="Arial" w:cs="Arial"/>
          <w:color w:val="000000"/>
          <w:shd w:val="clear" w:color="auto" w:fill="FFFFFF"/>
        </w:rPr>
        <w:t>traumatis</w:t>
      </w:r>
      <w:r w:rsidR="00876DD3">
        <w:rPr>
          <w:rFonts w:ascii="Arial" w:hAnsi="Arial" w:cs="Arial"/>
          <w:color w:val="000000"/>
          <w:shd w:val="clear" w:color="auto" w:fill="FFFFFF"/>
        </w:rPr>
        <w:t>e</w:t>
      </w:r>
      <w:r w:rsidR="00343817" w:rsidRPr="00F03CF1">
        <w:rPr>
          <w:rFonts w:ascii="Arial" w:hAnsi="Arial" w:cs="Arial"/>
          <w:color w:val="000000"/>
          <w:shd w:val="clear" w:color="auto" w:fill="FFFFFF"/>
        </w:rPr>
        <w:t xml:space="preserve"> the victim. They also have a duty to Safeguard </w:t>
      </w:r>
      <w:r w:rsidR="00876DD3">
        <w:rPr>
          <w:rFonts w:ascii="Arial" w:hAnsi="Arial" w:cs="Arial"/>
          <w:color w:val="000000"/>
          <w:shd w:val="clear" w:color="auto" w:fill="FFFFFF"/>
        </w:rPr>
        <w:t>in</w:t>
      </w:r>
      <w:r w:rsidR="00343817" w:rsidRPr="00F03CF1">
        <w:rPr>
          <w:rFonts w:ascii="Arial" w:hAnsi="Arial" w:cs="Arial"/>
          <w:color w:val="000000"/>
          <w:shd w:val="clear" w:color="auto" w:fill="FFFFFF"/>
        </w:rPr>
        <w:t xml:space="preserve"> their role to prosecute offenders who pose a risk to children. (CPS, 2019). </w:t>
      </w:r>
    </w:p>
    <w:p w14:paraId="1926EBC4" w14:textId="5F23C0AA" w:rsidR="00343817" w:rsidRPr="000B44D2" w:rsidRDefault="009C0EBE" w:rsidP="00343817">
      <w:pPr>
        <w:rPr>
          <w:rFonts w:ascii="Arial" w:hAnsi="Arial" w:cs="Arial"/>
          <w:sz w:val="24"/>
          <w:szCs w:val="24"/>
        </w:rPr>
      </w:pPr>
      <w:r>
        <w:rPr>
          <w:rFonts w:ascii="Arial" w:hAnsi="Arial" w:cs="Arial"/>
        </w:rPr>
        <w:t xml:space="preserve">Material </w:t>
      </w:r>
      <w:r w:rsidR="00343817" w:rsidRPr="00F03CF1">
        <w:rPr>
          <w:rFonts w:ascii="Arial" w:hAnsi="Arial" w:cs="Arial"/>
        </w:rPr>
        <w:t>that was most relevant and/or at risk of depletions, destruction or contamination</w:t>
      </w:r>
      <w:r>
        <w:rPr>
          <w:rFonts w:ascii="Arial" w:hAnsi="Arial" w:cs="Arial"/>
        </w:rPr>
        <w:t xml:space="preserve"> was prioritised</w:t>
      </w:r>
      <w:r w:rsidR="00343817" w:rsidRPr="00F03CF1">
        <w:rPr>
          <w:rFonts w:ascii="Arial" w:hAnsi="Arial" w:cs="Arial"/>
        </w:rPr>
        <w:t>. Consideration was given to the retention time of such material</w:t>
      </w:r>
      <w:r w:rsidR="00876DD3">
        <w:rPr>
          <w:rFonts w:ascii="Arial" w:hAnsi="Arial" w:cs="Arial"/>
        </w:rPr>
        <w:t xml:space="preserve">, </w:t>
      </w:r>
      <w:r w:rsidR="00343817" w:rsidRPr="00F03CF1">
        <w:rPr>
          <w:rFonts w:ascii="Arial" w:hAnsi="Arial" w:cs="Arial"/>
        </w:rPr>
        <w:t>gathering methods and specialist support requirements. The suspect was a source of valuable information and a strategy was formulated accordingly to trace/locate and arrest him. The necessity of his arrest was to facilitate legal searches and secure and preserve evidence, also to impose bail for safeguarding. (</w:t>
      </w:r>
      <w:r w:rsidR="000B44D2" w:rsidRPr="005878DD">
        <w:rPr>
          <w:rFonts w:ascii="Arial" w:hAnsi="Arial" w:cs="Arial"/>
          <w:i/>
          <w:iCs/>
        </w:rPr>
        <w:t>P</w:t>
      </w:r>
      <w:r w:rsidR="003734FF">
        <w:rPr>
          <w:rFonts w:ascii="Arial" w:hAnsi="Arial" w:cs="Arial"/>
          <w:i/>
          <w:iCs/>
        </w:rPr>
        <w:t>olice and Criminal Evidence Act</w:t>
      </w:r>
      <w:r w:rsidR="000B44D2" w:rsidRPr="005878DD">
        <w:rPr>
          <w:rFonts w:ascii="Arial" w:hAnsi="Arial" w:cs="Arial"/>
          <w:i/>
          <w:iCs/>
        </w:rPr>
        <w:t xml:space="preserve"> 1984</w:t>
      </w:r>
      <w:r w:rsidR="003734FF">
        <w:rPr>
          <w:rFonts w:ascii="Arial" w:hAnsi="Arial" w:cs="Arial"/>
          <w:i/>
          <w:iCs/>
        </w:rPr>
        <w:t>, PACE</w:t>
      </w:r>
      <w:r w:rsidR="00343817" w:rsidRPr="00F03CF1">
        <w:rPr>
          <w:rFonts w:ascii="Arial" w:hAnsi="Arial" w:cs="Arial"/>
        </w:rPr>
        <w:t xml:space="preserve">). Digital location data, vital </w:t>
      </w:r>
      <w:r w:rsidR="00876DD3">
        <w:rPr>
          <w:rFonts w:ascii="Arial" w:hAnsi="Arial" w:cs="Arial"/>
        </w:rPr>
        <w:t>in</w:t>
      </w:r>
      <w:r w:rsidR="00343817" w:rsidRPr="00F03CF1">
        <w:rPr>
          <w:rFonts w:ascii="Arial" w:hAnsi="Arial" w:cs="Arial"/>
        </w:rPr>
        <w:t xml:space="preserve"> supporting this offence, is only retained by Communication service providers (CSP</w:t>
      </w:r>
      <w:r w:rsidR="00876DD3">
        <w:rPr>
          <w:rFonts w:ascii="Arial" w:hAnsi="Arial" w:cs="Arial"/>
        </w:rPr>
        <w:t>s</w:t>
      </w:r>
      <w:r w:rsidR="00343817" w:rsidRPr="00F03CF1">
        <w:rPr>
          <w:rFonts w:ascii="Arial" w:hAnsi="Arial" w:cs="Arial"/>
        </w:rPr>
        <w:t xml:space="preserve">) for 12 months. </w:t>
      </w:r>
      <w:r w:rsidR="00343817" w:rsidRPr="00F03CF1">
        <w:rPr>
          <w:rFonts w:ascii="Arial" w:hAnsi="Arial" w:cs="Arial"/>
          <w:color w:val="000000"/>
          <w:shd w:val="clear" w:color="auto" w:fill="FFFFFF"/>
        </w:rPr>
        <w:t xml:space="preserve">I conducted a victim’s needs assessment in order to evaluate the child’s vulnerabilities and to plan how best to secure her evidence in accordance with Achieving Best Evidence </w:t>
      </w:r>
      <w:r w:rsidR="005878DD">
        <w:rPr>
          <w:rFonts w:ascii="Arial" w:hAnsi="Arial" w:cs="Arial"/>
          <w:color w:val="000000"/>
          <w:shd w:val="clear" w:color="auto" w:fill="FFFFFF"/>
        </w:rPr>
        <w:t xml:space="preserve">(ABE) </w:t>
      </w:r>
      <w:r w:rsidR="005878DD" w:rsidRPr="00F03CF1">
        <w:rPr>
          <w:rFonts w:ascii="Arial" w:hAnsi="Arial" w:cs="Arial"/>
          <w:color w:val="000000"/>
          <w:shd w:val="clear" w:color="auto" w:fill="FFFFFF"/>
        </w:rPr>
        <w:t>(</w:t>
      </w:r>
      <w:r w:rsidR="005878DD" w:rsidRPr="00F03CF1">
        <w:rPr>
          <w:rFonts w:ascii="Arial" w:hAnsi="Arial" w:cs="Arial"/>
          <w:i/>
          <w:iCs/>
          <w:color w:val="000000"/>
          <w:shd w:val="clear" w:color="auto" w:fill="FFFFFF"/>
        </w:rPr>
        <w:t>Youth Justice and Criminal Evidence Act</w:t>
      </w:r>
      <w:r w:rsidR="005878DD" w:rsidRPr="00F03CF1">
        <w:rPr>
          <w:rFonts w:ascii="Arial" w:hAnsi="Arial" w:cs="Arial"/>
          <w:color w:val="000000"/>
          <w:shd w:val="clear" w:color="auto" w:fill="FFFFFF"/>
        </w:rPr>
        <w:t xml:space="preserve"> </w:t>
      </w:r>
      <w:r w:rsidR="005878DD" w:rsidRPr="005878DD">
        <w:rPr>
          <w:rFonts w:ascii="Arial" w:hAnsi="Arial" w:cs="Arial"/>
          <w:i/>
          <w:iCs/>
          <w:color w:val="000000"/>
          <w:shd w:val="clear" w:color="auto" w:fill="FFFFFF"/>
        </w:rPr>
        <w:t>1999</w:t>
      </w:r>
      <w:r w:rsidR="005878DD">
        <w:rPr>
          <w:rFonts w:ascii="Arial" w:hAnsi="Arial" w:cs="Arial"/>
          <w:color w:val="000000"/>
          <w:shd w:val="clear" w:color="auto" w:fill="FFFFFF"/>
        </w:rPr>
        <w:t>, Sect 16, 17</w:t>
      </w:r>
      <w:r w:rsidR="00436DEE">
        <w:rPr>
          <w:rFonts w:ascii="Arial" w:hAnsi="Arial" w:cs="Arial"/>
          <w:color w:val="000000"/>
          <w:shd w:val="clear" w:color="auto" w:fill="FFFFFF"/>
        </w:rPr>
        <w:t>, YJ &amp; CEA</w:t>
      </w:r>
      <w:r w:rsidR="005878DD" w:rsidRPr="00F03CF1">
        <w:rPr>
          <w:rFonts w:ascii="Arial" w:hAnsi="Arial" w:cs="Arial"/>
          <w:color w:val="000000"/>
          <w:shd w:val="clear" w:color="auto" w:fill="FFFFFF"/>
        </w:rPr>
        <w:t>)</w:t>
      </w:r>
      <w:r w:rsidR="005878DD">
        <w:rPr>
          <w:rFonts w:ascii="Arial" w:hAnsi="Arial" w:cs="Arial"/>
          <w:color w:val="000000"/>
          <w:shd w:val="clear" w:color="auto" w:fill="FFFFFF"/>
        </w:rPr>
        <w:t xml:space="preserve">, </w:t>
      </w:r>
      <w:r w:rsidR="00343817" w:rsidRPr="00F03CF1">
        <w:rPr>
          <w:rFonts w:ascii="Arial" w:hAnsi="Arial" w:cs="Arial"/>
          <w:color w:val="000000"/>
          <w:shd w:val="clear" w:color="auto" w:fill="FFFFFF"/>
        </w:rPr>
        <w:t>whilst meeting her needs. This is the recommended technique when interviewing children. (CPS, 2019). Appropriate referrals were made to support the victim.</w:t>
      </w:r>
    </w:p>
    <w:p w14:paraId="033BBFD4" w14:textId="554B247E" w:rsidR="7336895D" w:rsidRPr="008A504B" w:rsidRDefault="00D2646A" w:rsidP="00343817">
      <w:pPr>
        <w:jc w:val="right"/>
        <w:rPr>
          <w:color w:val="FF0000"/>
        </w:rPr>
      </w:pPr>
      <w:r>
        <w:rPr>
          <w:color w:val="FF0000"/>
        </w:rPr>
        <w:t>632</w:t>
      </w:r>
    </w:p>
    <w:p w14:paraId="2F96BE64" w14:textId="7E5A2630" w:rsidR="7336895D" w:rsidRDefault="7336895D" w:rsidP="7336895D">
      <w:pPr>
        <w:rPr>
          <w:b/>
          <w:bCs/>
        </w:rPr>
      </w:pPr>
    </w:p>
    <w:p w14:paraId="5395E104" w14:textId="69A94F4C" w:rsidR="008A504B" w:rsidRPr="005A1D90" w:rsidRDefault="008A504B" w:rsidP="008A504B">
      <w:pPr>
        <w:spacing w:after="0" w:line="240" w:lineRule="auto"/>
        <w:rPr>
          <w:b/>
          <w:bCs/>
        </w:rPr>
      </w:pPr>
      <w:r w:rsidRPr="005A1D90">
        <w:rPr>
          <w:rFonts w:ascii="Arial" w:eastAsia="Arial" w:hAnsi="Arial" w:cs="Arial"/>
          <w:b/>
          <w:bCs/>
          <w:i/>
          <w:iCs/>
        </w:rPr>
        <w:t xml:space="preserve">Assess how you have gathered material from a range of appropriate sources. Consider how you have recorded and retained evidence in a format in line with policy and procedure. </w:t>
      </w:r>
    </w:p>
    <w:p w14:paraId="37E62E1F" w14:textId="77777777" w:rsidR="008A504B" w:rsidRDefault="008A504B" w:rsidP="008A504B">
      <w:pPr>
        <w:spacing w:after="0" w:line="240" w:lineRule="auto"/>
        <w:rPr>
          <w:i/>
          <w:iCs/>
          <w:color w:val="0070C0"/>
        </w:rPr>
      </w:pPr>
    </w:p>
    <w:p w14:paraId="148422AC" w14:textId="0A7F7C9E" w:rsidR="008A504B" w:rsidRPr="00F03CF1" w:rsidRDefault="008A504B" w:rsidP="008A504B">
      <w:pPr>
        <w:rPr>
          <w:rFonts w:ascii="Arial" w:hAnsi="Arial" w:cs="Arial"/>
        </w:rPr>
      </w:pPr>
      <w:r w:rsidRPr="00F03CF1">
        <w:rPr>
          <w:rFonts w:ascii="Arial" w:hAnsi="Arial" w:cs="Arial"/>
        </w:rPr>
        <w:t>T</w:t>
      </w:r>
      <w:r w:rsidRPr="00F03CF1">
        <w:rPr>
          <w:rFonts w:ascii="Arial" w:hAnsi="Arial" w:cs="Arial"/>
          <w:color w:val="000000"/>
          <w:shd w:val="clear" w:color="auto" w:fill="FFFFFF"/>
        </w:rPr>
        <w:t xml:space="preserve">he credibility of victims in cases of sexual assault and child abuse investigations such as this is a significant factor in successful prosecutions. There is a reliance upon the investigator to assess and convey this to the Prosecutor. (Morgan, </w:t>
      </w:r>
      <w:proofErr w:type="spellStart"/>
      <w:r w:rsidRPr="00F03CF1">
        <w:rPr>
          <w:rFonts w:ascii="Arial" w:hAnsi="Arial" w:cs="Arial"/>
          <w:color w:val="000000"/>
          <w:shd w:val="clear" w:color="auto" w:fill="FFFFFF"/>
        </w:rPr>
        <w:t>Zedner</w:t>
      </w:r>
      <w:proofErr w:type="spellEnd"/>
      <w:r w:rsidRPr="00F03CF1">
        <w:rPr>
          <w:rFonts w:ascii="Arial" w:hAnsi="Arial" w:cs="Arial"/>
          <w:color w:val="000000"/>
          <w:shd w:val="clear" w:color="auto" w:fill="FFFFFF"/>
        </w:rPr>
        <w:t xml:space="preserve">, 1998, cited by Ashworth, 2000). The </w:t>
      </w:r>
      <w:r w:rsidRPr="00F03CF1">
        <w:rPr>
          <w:rFonts w:ascii="Arial" w:hAnsi="Arial" w:cs="Arial"/>
        </w:rPr>
        <w:t xml:space="preserve">gathering and assessment of third-party material (information held by agencies such as the local authority, health, education, counsellors) is a requirement in accordance with the </w:t>
      </w:r>
      <w:r w:rsidRPr="00184204">
        <w:rPr>
          <w:rFonts w:ascii="Arial" w:hAnsi="Arial" w:cs="Arial"/>
          <w:i/>
          <w:iCs/>
        </w:rPr>
        <w:t>CPIA</w:t>
      </w:r>
      <w:r w:rsidRPr="00F03CF1">
        <w:rPr>
          <w:rFonts w:ascii="Arial" w:hAnsi="Arial" w:cs="Arial"/>
        </w:rPr>
        <w:t xml:space="preserve"> (</w:t>
      </w:r>
      <w:r w:rsidRPr="00184204">
        <w:rPr>
          <w:rFonts w:ascii="Arial" w:hAnsi="Arial" w:cs="Arial"/>
          <w:i/>
          <w:iCs/>
        </w:rPr>
        <w:t>A</w:t>
      </w:r>
      <w:r w:rsidR="00184204" w:rsidRPr="00184204">
        <w:rPr>
          <w:rFonts w:ascii="Arial" w:hAnsi="Arial" w:cs="Arial"/>
          <w:i/>
          <w:iCs/>
        </w:rPr>
        <w:t>ttorney General’s Guidelines,</w:t>
      </w:r>
      <w:r w:rsidRPr="00184204">
        <w:rPr>
          <w:rFonts w:ascii="Arial" w:hAnsi="Arial" w:cs="Arial"/>
          <w:i/>
          <w:iCs/>
        </w:rPr>
        <w:t xml:space="preserve"> 2020</w:t>
      </w:r>
      <w:r w:rsidR="00184204">
        <w:rPr>
          <w:rFonts w:ascii="Arial" w:hAnsi="Arial" w:cs="Arial"/>
        </w:rPr>
        <w:t xml:space="preserve"> (AGG)</w:t>
      </w:r>
      <w:r w:rsidRPr="00F03CF1">
        <w:rPr>
          <w:rFonts w:ascii="Arial" w:hAnsi="Arial" w:cs="Arial"/>
        </w:rPr>
        <w:t xml:space="preserve">) to identify and disclose any material which may undermine the prosecution case or assist the defence and to ensure a fair and efficient process (Wainwright., et al, 2017). The purpose of this is that issues with thorough disclosure have resulted in failures. (BBC, 2018). Consequently, loss of public confidence. </w:t>
      </w:r>
    </w:p>
    <w:p w14:paraId="2C32D7EF" w14:textId="4693E7DC" w:rsidR="008A504B" w:rsidRPr="00F03CF1" w:rsidRDefault="008A504B" w:rsidP="008A504B">
      <w:pPr>
        <w:rPr>
          <w:rFonts w:ascii="Arial" w:hAnsi="Arial" w:cs="Arial"/>
        </w:rPr>
      </w:pPr>
      <w:r w:rsidRPr="00F03CF1">
        <w:rPr>
          <w:rFonts w:ascii="Arial" w:hAnsi="Arial" w:cs="Arial"/>
        </w:rPr>
        <w:t>There were vast amounts of material in this investigation to consider which was particularly time consuming. There was no issue with authority since this was freely granted by the victim’s legal guardian however, conflict can exist and authority can be challenged as to the relevancy and proportionality which is intrusive and in breach of their Human Rights (</w:t>
      </w:r>
      <w:r w:rsidRPr="00F03CF1">
        <w:rPr>
          <w:rFonts w:ascii="Arial" w:hAnsi="Arial" w:cs="Arial"/>
          <w:i/>
          <w:iCs/>
        </w:rPr>
        <w:t>E</w:t>
      </w:r>
      <w:r w:rsidR="00184204">
        <w:rPr>
          <w:rFonts w:ascii="Arial" w:hAnsi="Arial" w:cs="Arial"/>
          <w:i/>
          <w:iCs/>
        </w:rPr>
        <w:t>uropean Court of Human Rights</w:t>
      </w:r>
      <w:r w:rsidRPr="00184204">
        <w:rPr>
          <w:rFonts w:ascii="Arial" w:hAnsi="Arial" w:cs="Arial"/>
          <w:i/>
          <w:iCs/>
        </w:rPr>
        <w:t xml:space="preserve"> 1998</w:t>
      </w:r>
      <w:r w:rsidRPr="00F03CF1">
        <w:rPr>
          <w:rFonts w:ascii="Arial" w:hAnsi="Arial" w:cs="Arial"/>
        </w:rPr>
        <w:t>, Article 8</w:t>
      </w:r>
      <w:r w:rsidR="00184204">
        <w:rPr>
          <w:rFonts w:ascii="Arial" w:hAnsi="Arial" w:cs="Arial"/>
        </w:rPr>
        <w:t xml:space="preserve"> (ECHR</w:t>
      </w:r>
      <w:r w:rsidRPr="00F03CF1">
        <w:rPr>
          <w:rFonts w:ascii="Arial" w:hAnsi="Arial" w:cs="Arial"/>
        </w:rPr>
        <w:t>)</w:t>
      </w:r>
      <w:r w:rsidR="00184204">
        <w:rPr>
          <w:rFonts w:ascii="Arial" w:hAnsi="Arial" w:cs="Arial"/>
        </w:rPr>
        <w:t>)</w:t>
      </w:r>
      <w:r w:rsidRPr="00F03CF1">
        <w:rPr>
          <w:rFonts w:ascii="Arial" w:hAnsi="Arial" w:cs="Arial"/>
        </w:rPr>
        <w:t xml:space="preserve">. (Victims Commissioner, 2021). </w:t>
      </w:r>
      <w:r w:rsidRPr="00F03CF1">
        <w:rPr>
          <w:rFonts w:ascii="Arial" w:hAnsi="Arial" w:cs="Arial"/>
          <w:color w:val="000000"/>
          <w:shd w:val="clear" w:color="auto" w:fill="FFFFFF"/>
        </w:rPr>
        <w:t xml:space="preserve">Despite the CPIA rules clearly stating that lines of enquiry should not be speculative and that there should be a suspicion that relevant material which meets the test for disclosure exists, there continues to be a routine requirement to explore any material which undermines the witness. </w:t>
      </w:r>
      <w:r w:rsidRPr="00F03CF1">
        <w:rPr>
          <w:rFonts w:ascii="Arial" w:hAnsi="Arial" w:cs="Arial"/>
        </w:rPr>
        <w:t xml:space="preserve"> A consequence of this is the length of the Criminal Justice Process and perceived excessive intrusion, feeling disbelieved contributes towards high numbers of victims withdrawing their support. </w:t>
      </w:r>
      <w:r w:rsidRPr="00F03CF1">
        <w:rPr>
          <w:rFonts w:ascii="Arial" w:hAnsi="Arial" w:cs="Arial"/>
          <w:color w:val="000000"/>
          <w:shd w:val="clear" w:color="auto" w:fill="FFFFFF"/>
        </w:rPr>
        <w:t>(George, Ferguson, 2021).</w:t>
      </w:r>
      <w:r w:rsidRPr="00F03CF1">
        <w:rPr>
          <w:rFonts w:ascii="Arial" w:hAnsi="Arial" w:cs="Arial"/>
        </w:rPr>
        <w:t xml:space="preserve"> The invasion upon their private life is unnecessary. (</w:t>
      </w:r>
      <w:proofErr w:type="spellStart"/>
      <w:r w:rsidRPr="00F03CF1">
        <w:rPr>
          <w:rFonts w:ascii="Arial" w:hAnsi="Arial" w:cs="Arial"/>
        </w:rPr>
        <w:t>Mohdin</w:t>
      </w:r>
      <w:proofErr w:type="spellEnd"/>
      <w:r w:rsidRPr="00F03CF1">
        <w:rPr>
          <w:rFonts w:ascii="Arial" w:hAnsi="Arial" w:cs="Arial"/>
        </w:rPr>
        <w:t xml:space="preserve">, Barr, The Guardian, 2019. As cited by Rumney, McPhee, 2020). </w:t>
      </w:r>
    </w:p>
    <w:p w14:paraId="3592AF30" w14:textId="77777777" w:rsidR="008A504B" w:rsidRPr="00F03CF1" w:rsidRDefault="008A504B" w:rsidP="008A504B">
      <w:pPr>
        <w:rPr>
          <w:rFonts w:ascii="Arial" w:hAnsi="Arial" w:cs="Arial"/>
        </w:rPr>
      </w:pPr>
      <w:r w:rsidRPr="00F03CF1">
        <w:rPr>
          <w:rFonts w:ascii="Arial" w:hAnsi="Arial" w:cs="Arial"/>
        </w:rPr>
        <w:t xml:space="preserve">This raises the question why is this CPS requirement of excessive intrusion only applicable in such cases and why only towards the victim. Andrews (2020), challenges the fairness and effectiveness of CPIA disclosure and the Victim’s Commissioner, (2021), has drafted recommendations agreed to be considered by Government to redress this balance in protecting the rights of the victim and improving prosecution rates. </w:t>
      </w:r>
    </w:p>
    <w:p w14:paraId="5757833A" w14:textId="77777777" w:rsidR="008A504B" w:rsidRPr="00F03CF1" w:rsidRDefault="008A504B" w:rsidP="008A504B">
      <w:pPr>
        <w:rPr>
          <w:rFonts w:ascii="Arial" w:hAnsi="Arial" w:cs="Arial"/>
        </w:rPr>
      </w:pPr>
      <w:r w:rsidRPr="00F03CF1">
        <w:rPr>
          <w:rFonts w:ascii="Arial" w:hAnsi="Arial" w:cs="Arial"/>
          <w:color w:val="000000"/>
          <w:shd w:val="clear" w:color="auto" w:fill="FFFFFF"/>
        </w:rPr>
        <w:t xml:space="preserve">Quite rightly, the need for effective case management to meet the complex needs for disclosure </w:t>
      </w:r>
      <w:r w:rsidRPr="00F03CF1">
        <w:rPr>
          <w:rFonts w:ascii="Arial" w:hAnsi="Arial" w:cs="Arial"/>
        </w:rPr>
        <w:t>(Rt Hon Lord Justice Goldring QC, 2017)</w:t>
      </w:r>
      <w:r w:rsidRPr="00F03CF1">
        <w:rPr>
          <w:rFonts w:ascii="Arial" w:hAnsi="Arial" w:cs="Arial"/>
          <w:color w:val="000000"/>
          <w:shd w:val="clear" w:color="auto" w:fill="FFFFFF"/>
        </w:rPr>
        <w:t xml:space="preserve"> is assisted by the CPS early advice process whereby proportionality parameters and reasonable lines of enquiry are established. However, in my recent experience, inconsistency between lawyers continues to lead to frustration. I should have considered re-visiting CPS advice which was an available option to review parameters. (College of Policing, 2022).</w:t>
      </w:r>
    </w:p>
    <w:p w14:paraId="53522A27" w14:textId="3D8D728F" w:rsidR="008A504B" w:rsidRPr="00F03CF1" w:rsidRDefault="008A504B" w:rsidP="008A504B">
      <w:pPr>
        <w:rPr>
          <w:rFonts w:ascii="Arial" w:hAnsi="Arial" w:cs="Arial"/>
        </w:rPr>
      </w:pPr>
      <w:r w:rsidRPr="00F03CF1">
        <w:rPr>
          <w:rFonts w:ascii="Arial" w:hAnsi="Arial" w:cs="Arial"/>
          <w:color w:val="000000"/>
          <w:shd w:val="clear" w:color="auto" w:fill="FFFFFF"/>
        </w:rPr>
        <w:t xml:space="preserve">Time was the challenge in completing this task. Ironically, forced change to working practices due to the pandemic improved efficiency </w:t>
      </w:r>
      <w:r w:rsidRPr="00F03CF1">
        <w:rPr>
          <w:rFonts w:ascii="Arial" w:hAnsi="Arial" w:cs="Arial"/>
        </w:rPr>
        <w:t xml:space="preserve">(Kaushik, </w:t>
      </w:r>
      <w:proofErr w:type="spellStart"/>
      <w:r w:rsidRPr="00F03CF1">
        <w:rPr>
          <w:rFonts w:ascii="Arial" w:hAnsi="Arial" w:cs="Arial"/>
        </w:rPr>
        <w:t>Guleria</w:t>
      </w:r>
      <w:proofErr w:type="spellEnd"/>
      <w:r w:rsidRPr="00F03CF1">
        <w:rPr>
          <w:rFonts w:ascii="Arial" w:hAnsi="Arial" w:cs="Arial"/>
        </w:rPr>
        <w:t xml:space="preserve">, 2020). I was restricted to legislative compliance of information sharing either by agreed protocol with the local authority or </w:t>
      </w:r>
      <w:r w:rsidRPr="00184204">
        <w:rPr>
          <w:rFonts w:ascii="Arial" w:hAnsi="Arial" w:cs="Arial"/>
          <w:i/>
          <w:iCs/>
        </w:rPr>
        <w:t>DPA</w:t>
      </w:r>
      <w:r w:rsidRPr="00F03CF1">
        <w:rPr>
          <w:rFonts w:ascii="Arial" w:hAnsi="Arial" w:cs="Arial"/>
        </w:rPr>
        <w:t xml:space="preserve"> (1998). </w:t>
      </w:r>
      <w:r w:rsidR="002C0B93">
        <w:rPr>
          <w:rFonts w:ascii="Arial" w:hAnsi="Arial" w:cs="Arial"/>
        </w:rPr>
        <w:t xml:space="preserve">Appointing </w:t>
      </w:r>
      <w:r w:rsidRPr="00F03CF1">
        <w:rPr>
          <w:rFonts w:ascii="Arial" w:hAnsi="Arial" w:cs="Arial"/>
        </w:rPr>
        <w:t>a specific disclosure officer in addition to the investigator was considered and would have benefitted efficiency (</w:t>
      </w:r>
      <w:proofErr w:type="spellStart"/>
      <w:r w:rsidRPr="00F03CF1">
        <w:rPr>
          <w:rFonts w:ascii="Arial" w:hAnsi="Arial" w:cs="Arial"/>
        </w:rPr>
        <w:t>Plotnikoff</w:t>
      </w:r>
      <w:proofErr w:type="spellEnd"/>
      <w:r w:rsidRPr="00F03CF1">
        <w:rPr>
          <w:rFonts w:ascii="Arial" w:hAnsi="Arial" w:cs="Arial"/>
        </w:rPr>
        <w:t>, Woolfson, 2006). However, inadequate resources prevented this. (HMIC, 2017).</w:t>
      </w:r>
    </w:p>
    <w:p w14:paraId="1227EB18" w14:textId="77777777" w:rsidR="008A504B" w:rsidRPr="00F03CF1" w:rsidRDefault="008A504B" w:rsidP="008A504B">
      <w:pPr>
        <w:rPr>
          <w:rFonts w:ascii="Arial" w:hAnsi="Arial" w:cs="Arial"/>
        </w:rPr>
      </w:pPr>
      <w:r w:rsidRPr="00F03CF1">
        <w:rPr>
          <w:rFonts w:ascii="Arial" w:hAnsi="Arial" w:cs="Arial"/>
        </w:rPr>
        <w:t xml:space="preserve">Digital evidence supporting communication and location data was vital in this investigation. The issue was the volume of such exhibits seized and management of information which related such as location, attribution, examination status and result and continuity. Especially since submission was staged, I found that exhibits were in different locations and the standard property system isn’t particularly effective.  What was needed, was a database management system. </w:t>
      </w:r>
    </w:p>
    <w:p w14:paraId="2072B1CA" w14:textId="77777777" w:rsidR="008A504B" w:rsidRDefault="008A504B" w:rsidP="008A504B"/>
    <w:p w14:paraId="6B1B6374" w14:textId="77777777" w:rsidR="008A504B" w:rsidRDefault="008A504B" w:rsidP="008A504B">
      <w:r>
        <w:rPr>
          <w:noProof/>
        </w:rPr>
        <w:drawing>
          <wp:inline distT="0" distB="0" distL="0" distR="0" wp14:anchorId="299779DD" wp14:editId="332ADE37">
            <wp:extent cx="3303169" cy="1440765"/>
            <wp:effectExtent l="0" t="0" r="0" b="7035"/>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303169" cy="1440765"/>
                    </a:xfrm>
                    <a:prstGeom prst="rect">
                      <a:avLst/>
                    </a:prstGeom>
                    <a:noFill/>
                    <a:ln>
                      <a:noFill/>
                      <a:prstDash/>
                    </a:ln>
                  </pic:spPr>
                </pic:pic>
              </a:graphicData>
            </a:graphic>
          </wp:inline>
        </w:drawing>
      </w:r>
    </w:p>
    <w:p w14:paraId="14C34783" w14:textId="77777777" w:rsidR="008A504B" w:rsidRDefault="008A504B" w:rsidP="008A504B">
      <w:pPr>
        <w:jc w:val="right"/>
      </w:pPr>
      <w:r>
        <w:t xml:space="preserve">Capabilities of a data management system, Sumathi, </w:t>
      </w:r>
      <w:proofErr w:type="spellStart"/>
      <w:r>
        <w:t>Esakkirajan</w:t>
      </w:r>
      <w:proofErr w:type="spellEnd"/>
      <w:r>
        <w:t>, 2007)</w:t>
      </w:r>
    </w:p>
    <w:p w14:paraId="229B357F" w14:textId="77777777" w:rsidR="008A504B" w:rsidRDefault="008A504B" w:rsidP="008A504B"/>
    <w:p w14:paraId="376018DC" w14:textId="19910D70" w:rsidR="008A504B" w:rsidRPr="00F03CF1" w:rsidRDefault="008A504B" w:rsidP="008A504B">
      <w:pPr>
        <w:rPr>
          <w:rFonts w:ascii="Arial" w:hAnsi="Arial" w:cs="Arial"/>
        </w:rPr>
      </w:pPr>
      <w:r w:rsidRPr="00F03CF1">
        <w:rPr>
          <w:rFonts w:ascii="Arial" w:hAnsi="Arial" w:cs="Arial"/>
        </w:rPr>
        <w:t>Upon reflection, the Home Office Large Major Enquiry System (H</w:t>
      </w:r>
      <w:r w:rsidR="00261BCB">
        <w:rPr>
          <w:rFonts w:ascii="Arial" w:hAnsi="Arial" w:cs="Arial"/>
        </w:rPr>
        <w:t>OLMES</w:t>
      </w:r>
      <w:r w:rsidRPr="00F03CF1">
        <w:rPr>
          <w:rFonts w:ascii="Arial" w:hAnsi="Arial" w:cs="Arial"/>
        </w:rPr>
        <w:t>), which is such a database used in complex and major investigations, would have been an appropriate method to manage this information to ensure the integrity of exhibit management and analysis of data. (College of Policing, 2022). The benefits of HOLMES are that its standards are accredited to ensure integrity and functions can be restricted to, as in this case, exhibits management only for lower-level crimes. (</w:t>
      </w:r>
      <w:proofErr w:type="spellStart"/>
      <w:r w:rsidRPr="00F03CF1">
        <w:rPr>
          <w:rFonts w:ascii="Arial" w:hAnsi="Arial" w:cs="Arial"/>
        </w:rPr>
        <w:t>Castleview</w:t>
      </w:r>
      <w:proofErr w:type="spellEnd"/>
      <w:r w:rsidRPr="00F03CF1">
        <w:rPr>
          <w:rFonts w:ascii="Arial" w:hAnsi="Arial" w:cs="Arial"/>
        </w:rPr>
        <w:t xml:space="preserve">, </w:t>
      </w:r>
      <w:proofErr w:type="spellStart"/>
      <w:r w:rsidRPr="00F03CF1">
        <w:rPr>
          <w:rFonts w:ascii="Arial" w:hAnsi="Arial" w:cs="Arial"/>
        </w:rPr>
        <w:t>n.d</w:t>
      </w:r>
      <w:proofErr w:type="spellEnd"/>
      <w:r w:rsidRPr="00F03CF1">
        <w:rPr>
          <w:rFonts w:ascii="Arial" w:hAnsi="Arial" w:cs="Arial"/>
        </w:rPr>
        <w:t xml:space="preserve">). As a trained HOLMES user, I am aware that the database produces a spreadsheet of the data which can then be provided as disclosure to comply with </w:t>
      </w:r>
      <w:r w:rsidRPr="002C0B93">
        <w:rPr>
          <w:rFonts w:ascii="Arial" w:hAnsi="Arial" w:cs="Arial"/>
          <w:i/>
          <w:iCs/>
        </w:rPr>
        <w:t>CPIA</w:t>
      </w:r>
      <w:r w:rsidRPr="00F03CF1">
        <w:rPr>
          <w:rFonts w:ascii="Arial" w:hAnsi="Arial" w:cs="Arial"/>
        </w:rPr>
        <w:t xml:space="preserve">. The difficulty in this instance was that I was not the original investigating officer and exhibits were found to be in an unmanageable state prior to my involvement. In my opinion, HOLMES is an underused and valuable tool in data management and the availability of trained users could impede its effectiveness. </w:t>
      </w:r>
    </w:p>
    <w:p w14:paraId="7CA693F3" w14:textId="77777777" w:rsidR="008A504B" w:rsidRPr="00F03CF1" w:rsidRDefault="008A504B" w:rsidP="008A504B">
      <w:pPr>
        <w:rPr>
          <w:rFonts w:ascii="Arial" w:hAnsi="Arial" w:cs="Arial"/>
          <w:strike/>
        </w:rPr>
      </w:pPr>
    </w:p>
    <w:p w14:paraId="1D86BDED" w14:textId="57008E75" w:rsidR="008A504B" w:rsidRPr="00F03CF1" w:rsidRDefault="008A504B" w:rsidP="008A504B">
      <w:pPr>
        <w:rPr>
          <w:rFonts w:ascii="Arial" w:hAnsi="Arial" w:cs="Arial"/>
        </w:rPr>
      </w:pPr>
      <w:r w:rsidRPr="00F03CF1">
        <w:rPr>
          <w:rFonts w:ascii="Arial" w:hAnsi="Arial" w:cs="Arial"/>
        </w:rPr>
        <w:t xml:space="preserve">The force policy is vague and only refers to obligations for the management of material under guidelines </w:t>
      </w:r>
      <w:r w:rsidR="00261BCB" w:rsidRPr="00261BCB">
        <w:rPr>
          <w:rFonts w:ascii="Arial" w:hAnsi="Arial" w:cs="Arial"/>
          <w:i/>
          <w:iCs/>
        </w:rPr>
        <w:t>MOPI</w:t>
      </w:r>
      <w:r w:rsidRPr="00F03CF1">
        <w:rPr>
          <w:rFonts w:ascii="Arial" w:hAnsi="Arial" w:cs="Arial"/>
        </w:rPr>
        <w:t xml:space="preserve"> and </w:t>
      </w:r>
      <w:r w:rsidRPr="00261BCB">
        <w:rPr>
          <w:rFonts w:ascii="Arial" w:hAnsi="Arial" w:cs="Arial"/>
          <w:i/>
          <w:iCs/>
        </w:rPr>
        <w:t>CPIA</w:t>
      </w:r>
      <w:r w:rsidRPr="00F03CF1">
        <w:rPr>
          <w:rFonts w:ascii="Arial" w:hAnsi="Arial" w:cs="Arial"/>
        </w:rPr>
        <w:t xml:space="preserve"> however, </w:t>
      </w:r>
      <w:r w:rsidR="00261BCB">
        <w:rPr>
          <w:rFonts w:ascii="Arial" w:hAnsi="Arial" w:cs="Arial"/>
        </w:rPr>
        <w:t>t</w:t>
      </w:r>
      <w:r w:rsidRPr="00F03CF1">
        <w:rPr>
          <w:rFonts w:ascii="Arial" w:hAnsi="Arial" w:cs="Arial"/>
        </w:rPr>
        <w:t xml:space="preserve">he College of Policing (2020), sets out the Police’s obligations to comply with data security and integrity in accordance with DPA (1998) and GDPR and consequences of failure to do so which are complaints/litigation (Privacy international, cites Information Commissioners Office, 2020), risk to public safety and loss of public confidence. To comply with these, given consideration to a risk of any paper information being lost, digital information being missed, this was the accepted working practice and ensures data security, the most appropriate was to manage the investigation and complete case file preparation was on force computer systems from the outset. This ensured the CPIA principles of Record, Retain, </w:t>
      </w:r>
      <w:proofErr w:type="gramStart"/>
      <w:r w:rsidRPr="00F03CF1">
        <w:rPr>
          <w:rFonts w:ascii="Arial" w:hAnsi="Arial" w:cs="Arial"/>
        </w:rPr>
        <w:t>Reveal</w:t>
      </w:r>
      <w:proofErr w:type="gramEnd"/>
      <w:r w:rsidRPr="00F03CF1">
        <w:rPr>
          <w:rFonts w:ascii="Arial" w:hAnsi="Arial" w:cs="Arial"/>
        </w:rPr>
        <w:t xml:space="preserve"> principles were being met. The Information Disclosure Management document (</w:t>
      </w:r>
      <w:r w:rsidRPr="00261BCB">
        <w:rPr>
          <w:rFonts w:ascii="Arial" w:hAnsi="Arial" w:cs="Arial"/>
          <w:i/>
          <w:iCs/>
        </w:rPr>
        <w:t>AGG, 2020</w:t>
      </w:r>
      <w:r w:rsidRPr="00F03CF1">
        <w:rPr>
          <w:rFonts w:ascii="Arial" w:hAnsi="Arial" w:cs="Arial"/>
        </w:rPr>
        <w:t xml:space="preserve">), was completed which records evidential and relevant unused material, legislation and powers used and decision-making rationale. The case file was then progressively built using the appropriate software system which also ensured compliance data security, </w:t>
      </w:r>
      <w:r w:rsidRPr="00261BCB">
        <w:rPr>
          <w:rFonts w:ascii="Arial" w:hAnsi="Arial" w:cs="Arial"/>
          <w:i/>
          <w:iCs/>
        </w:rPr>
        <w:t>MOPI</w:t>
      </w:r>
      <w:r w:rsidRPr="00F03CF1">
        <w:rPr>
          <w:rFonts w:ascii="Arial" w:hAnsi="Arial" w:cs="Arial"/>
        </w:rPr>
        <w:t xml:space="preserve"> and </w:t>
      </w:r>
      <w:r w:rsidRPr="00261BCB">
        <w:rPr>
          <w:rFonts w:ascii="Arial" w:hAnsi="Arial" w:cs="Arial"/>
          <w:i/>
          <w:iCs/>
        </w:rPr>
        <w:t>CPIA.</w:t>
      </w:r>
      <w:r w:rsidRPr="00F03CF1">
        <w:rPr>
          <w:rFonts w:ascii="Arial" w:hAnsi="Arial" w:cs="Arial"/>
        </w:rPr>
        <w:t xml:space="preserve"> Additional benefits are that the material can be accessed by anyone authorised to do so, it also enhances efficiency and is in the required format for CPS pre charge advice.  </w:t>
      </w:r>
    </w:p>
    <w:p w14:paraId="5530EF42" w14:textId="77777777" w:rsidR="008A504B" w:rsidRPr="00F03CF1" w:rsidRDefault="008A504B" w:rsidP="008A504B">
      <w:pPr>
        <w:rPr>
          <w:rFonts w:ascii="Arial" w:hAnsi="Arial" w:cs="Arial"/>
        </w:rPr>
      </w:pPr>
    </w:p>
    <w:p w14:paraId="51579FBA" w14:textId="3A3D0129" w:rsidR="008A504B" w:rsidRDefault="008A504B" w:rsidP="008A504B">
      <w:pPr>
        <w:rPr>
          <w:rFonts w:ascii="Arial" w:hAnsi="Arial" w:cs="Arial"/>
          <w:color w:val="000000"/>
          <w:shd w:val="clear" w:color="auto" w:fill="FFFFFF"/>
        </w:rPr>
      </w:pPr>
      <w:r w:rsidRPr="00F03CF1">
        <w:rPr>
          <w:rFonts w:ascii="Arial" w:hAnsi="Arial" w:cs="Arial"/>
        </w:rPr>
        <w:t xml:space="preserve">In conclusion, lawful information gathering and its accurate recording/retention/revelation in accordance with legislation is likely to contribute towards confidence and transparency in the investigation as long as this is effectively communicated in the disclosure process. An example could be in relation to the accurate continuity of exhibits and disclosure of such document to demonstrate to the defence that there is no risk of contamination. Material provided or tasks completed by appropriately trained specialists and approved/accredited methods is also less likely to be challenged since it provides enhanced surety of its accuracy and integrity. </w:t>
      </w:r>
      <w:r w:rsidRPr="00F03CF1">
        <w:rPr>
          <w:rFonts w:ascii="Arial" w:hAnsi="Arial" w:cs="Arial"/>
          <w:color w:val="000000"/>
          <w:shd w:val="clear" w:color="auto" w:fill="FFFFFF"/>
        </w:rPr>
        <w:t xml:space="preserve">(Casey, 2011). </w:t>
      </w:r>
    </w:p>
    <w:p w14:paraId="516241CF" w14:textId="6707F58A" w:rsidR="005A1D90" w:rsidRPr="005A1D90" w:rsidRDefault="005A1D90" w:rsidP="005A1D90">
      <w:pPr>
        <w:jc w:val="right"/>
        <w:rPr>
          <w:rFonts w:ascii="Arial" w:hAnsi="Arial" w:cs="Arial"/>
          <w:color w:val="FF0000"/>
        </w:rPr>
      </w:pPr>
      <w:r w:rsidRPr="005A1D90">
        <w:rPr>
          <w:rFonts w:ascii="Arial" w:hAnsi="Arial" w:cs="Arial"/>
          <w:color w:val="FF0000"/>
          <w:shd w:val="clear" w:color="auto" w:fill="FFFFFF"/>
        </w:rPr>
        <w:t>9</w:t>
      </w:r>
      <w:r w:rsidR="002C0B93">
        <w:rPr>
          <w:rFonts w:ascii="Arial" w:hAnsi="Arial" w:cs="Arial"/>
          <w:color w:val="FF0000"/>
          <w:shd w:val="clear" w:color="auto" w:fill="FFFFFF"/>
        </w:rPr>
        <w:t>88</w:t>
      </w:r>
    </w:p>
    <w:p w14:paraId="175A99E4" w14:textId="53244D91" w:rsidR="7336895D" w:rsidRDefault="7336895D" w:rsidP="7336895D">
      <w:pPr>
        <w:rPr>
          <w:b/>
          <w:bCs/>
        </w:rPr>
      </w:pPr>
    </w:p>
    <w:p w14:paraId="3DD5C49F" w14:textId="77777777" w:rsidR="005A1D90" w:rsidRPr="005A1D90" w:rsidRDefault="005A1D90" w:rsidP="005A1D90">
      <w:pPr>
        <w:spacing w:after="0" w:line="240" w:lineRule="auto"/>
        <w:rPr>
          <w:b/>
          <w:bCs/>
        </w:rPr>
      </w:pPr>
      <w:r w:rsidRPr="005A1D90">
        <w:rPr>
          <w:rFonts w:ascii="Arial" w:eastAsia="Arial" w:hAnsi="Arial" w:cs="Arial"/>
          <w:b/>
          <w:bCs/>
          <w:i/>
          <w:iCs/>
        </w:rPr>
        <w:t xml:space="preserve">Evaluate how you have worked with others (e.g., investigators, specialists and managers) to establish and use appropriate methods for gathering material. </w:t>
      </w:r>
    </w:p>
    <w:p w14:paraId="62E632B3" w14:textId="38DD1BCD" w:rsidR="7336895D" w:rsidRDefault="7336895D" w:rsidP="7336895D">
      <w:pPr>
        <w:rPr>
          <w:b/>
          <w:bCs/>
        </w:rPr>
      </w:pPr>
    </w:p>
    <w:p w14:paraId="682DDE2A" w14:textId="1FEF47E9" w:rsidR="005A1D90" w:rsidRPr="005A1D90" w:rsidRDefault="005A1D90" w:rsidP="005A1D90">
      <w:pPr>
        <w:rPr>
          <w:rFonts w:ascii="Arial" w:hAnsi="Arial" w:cs="Arial"/>
          <w:color w:val="000000"/>
          <w:shd w:val="clear" w:color="auto" w:fill="FFFFFF"/>
        </w:rPr>
      </w:pPr>
      <w:r w:rsidRPr="005A1D90">
        <w:rPr>
          <w:rFonts w:ascii="Arial" w:hAnsi="Arial" w:cs="Arial"/>
          <w:color w:val="000000"/>
          <w:shd w:val="clear" w:color="auto" w:fill="FFFFFF"/>
        </w:rPr>
        <w:t xml:space="preserve">Supervisor </w:t>
      </w:r>
      <w:r w:rsidR="006E274B">
        <w:rPr>
          <w:rFonts w:ascii="Arial" w:hAnsi="Arial" w:cs="Arial"/>
          <w:color w:val="000000"/>
          <w:shd w:val="clear" w:color="auto" w:fill="FFFFFF"/>
        </w:rPr>
        <w:t xml:space="preserve">authority </w:t>
      </w:r>
      <w:r w:rsidRPr="005A1D90">
        <w:rPr>
          <w:rFonts w:ascii="Arial" w:hAnsi="Arial" w:cs="Arial"/>
          <w:color w:val="000000"/>
          <w:shd w:val="clear" w:color="auto" w:fill="FFFFFF"/>
        </w:rPr>
        <w:t xml:space="preserve">was required to consider the victim’s needs assessment and making a decision on whether ABE interview was the most appropriate method of securing her evidence, as recommended best practice (Davies, Westcott, 1999), and whether an intermediary would be beneficial. (Ministry of Justice, National Police Chiefs’ Council, 2022). </w:t>
      </w:r>
    </w:p>
    <w:p w14:paraId="42B0E3F9" w14:textId="347288CB" w:rsidR="005A1D90" w:rsidRPr="005A1D90" w:rsidRDefault="005A1D90" w:rsidP="005A1D90">
      <w:pPr>
        <w:rPr>
          <w:rFonts w:ascii="Arial" w:hAnsi="Arial" w:cs="Arial"/>
          <w:color w:val="000000"/>
          <w:shd w:val="clear" w:color="auto" w:fill="FFFFFF"/>
        </w:rPr>
      </w:pPr>
      <w:r w:rsidRPr="005A1D90">
        <w:rPr>
          <w:rFonts w:ascii="Arial" w:hAnsi="Arial" w:cs="Arial"/>
          <w:color w:val="000000"/>
          <w:shd w:val="clear" w:color="auto" w:fill="FFFFFF"/>
        </w:rPr>
        <w:t xml:space="preserve">Witt and Hellman (1992), state how engagement and collaboration between an employee and supervisor in work related decision-making improves supervisor feedback and communication. Also, promoting the employee’s perception of organisational support than those who make independent decisions or having decisions made for them. Despite this joint ownership method, the supervisor remains accountable for the final decision which defends the employee in the event of negative consequences. Cost and time-delay implications of an intermediary were considered and balanced against the risk that accuracy of evidence of an older child (11yrs), diminishes over time. (Davies, Westcott, 1999). However, the victim was becoming increasingly vulnerable from mental health and her cognitive ability and communication may deteriorate. The lack of an intermediary for ABE may give further grounds for the opposition at Court. (Cooper, 2014). </w:t>
      </w:r>
    </w:p>
    <w:p w14:paraId="408DCC34" w14:textId="564CEB48" w:rsidR="005A1D90" w:rsidRPr="005A1D90" w:rsidRDefault="005A1D90" w:rsidP="005A1D90">
      <w:pPr>
        <w:rPr>
          <w:rFonts w:ascii="Arial" w:hAnsi="Arial" w:cs="Arial"/>
          <w:color w:val="000000"/>
          <w:shd w:val="clear" w:color="auto" w:fill="FFFFFF"/>
        </w:rPr>
      </w:pPr>
      <w:r w:rsidRPr="005A1D90">
        <w:rPr>
          <w:rFonts w:ascii="Arial" w:hAnsi="Arial" w:cs="Arial"/>
          <w:color w:val="000000"/>
          <w:shd w:val="clear" w:color="auto" w:fill="FFFFFF"/>
        </w:rPr>
        <w:t>The result was a consensus to proceed with ABE interview urgently without an intermediary. This conversation was beneficial since the decision</w:t>
      </w:r>
      <w:r w:rsidR="006E274B">
        <w:rPr>
          <w:rFonts w:ascii="Arial" w:hAnsi="Arial" w:cs="Arial"/>
          <w:color w:val="000000"/>
          <w:shd w:val="clear" w:color="auto" w:fill="FFFFFF"/>
        </w:rPr>
        <w:t>-</w:t>
      </w:r>
      <w:r w:rsidRPr="005A1D90">
        <w:rPr>
          <w:rFonts w:ascii="Arial" w:hAnsi="Arial" w:cs="Arial"/>
          <w:color w:val="000000"/>
          <w:shd w:val="clear" w:color="auto" w:fill="FFFFFF"/>
        </w:rPr>
        <w:t xml:space="preserve">making was not only based on best practice but upon my judgement and experience since I’d had the direct contact with her. I felt that my views and judgement were expressed and considered which resulted in a sense of value whilst the supervisor remained accountable. Whilst this may be true, Witt and Hellman’s study was limited to the government employees and isn’t recent research, but is partly supported by Heyler, et al., (2016).  This study may be more relevant as it refers to the military, disciplined/rank environment similar to the Police force. Whilst they refer to colleague input promoting ethical decision-making, they also identify superior pressure and fear of consequences of failure to comply with poor decision-making which takes considerable moral courage to challenge. Despite </w:t>
      </w:r>
      <w:r w:rsidR="006E274B">
        <w:rPr>
          <w:rFonts w:ascii="Arial" w:hAnsi="Arial" w:cs="Arial"/>
          <w:color w:val="000000"/>
          <w:shd w:val="clear" w:color="auto" w:fill="FFFFFF"/>
        </w:rPr>
        <w:t>my</w:t>
      </w:r>
      <w:r w:rsidRPr="005A1D90">
        <w:rPr>
          <w:rFonts w:ascii="Arial" w:hAnsi="Arial" w:cs="Arial"/>
          <w:color w:val="000000"/>
          <w:shd w:val="clear" w:color="auto" w:fill="FFFFFF"/>
        </w:rPr>
        <w:t xml:space="preserve"> duty to comply with orders, I felt comfortable to discuss my concerns of how a lack of intermediary may have negative consequences upon the victim’s ability to provide best evidence at court however, when balancing this risk and justification, an alternative measure was </w:t>
      </w:r>
      <w:r w:rsidR="006E274B">
        <w:rPr>
          <w:rFonts w:ascii="Arial" w:hAnsi="Arial" w:cs="Arial"/>
          <w:color w:val="000000"/>
          <w:shd w:val="clear" w:color="auto" w:fill="FFFFFF"/>
        </w:rPr>
        <w:t>agreed</w:t>
      </w:r>
      <w:r w:rsidRPr="005A1D90">
        <w:rPr>
          <w:rFonts w:ascii="Arial" w:hAnsi="Arial" w:cs="Arial"/>
          <w:color w:val="000000"/>
          <w:shd w:val="clear" w:color="auto" w:fill="FFFFFF"/>
        </w:rPr>
        <w:t xml:space="preserve"> to </w:t>
      </w:r>
      <w:r w:rsidR="006E274B">
        <w:rPr>
          <w:rFonts w:ascii="Arial" w:hAnsi="Arial" w:cs="Arial"/>
          <w:color w:val="000000"/>
          <w:shd w:val="clear" w:color="auto" w:fill="FFFFFF"/>
        </w:rPr>
        <w:t>reduce</w:t>
      </w:r>
      <w:r w:rsidRPr="005A1D90">
        <w:rPr>
          <w:rFonts w:ascii="Arial" w:hAnsi="Arial" w:cs="Arial"/>
          <w:color w:val="000000"/>
          <w:shd w:val="clear" w:color="auto" w:fill="FFFFFF"/>
        </w:rPr>
        <w:t xml:space="preserve"> this risk which was to intensify support.</w:t>
      </w:r>
      <w:r w:rsidR="00C615DC">
        <w:rPr>
          <w:rFonts w:ascii="Arial" w:hAnsi="Arial" w:cs="Arial"/>
          <w:color w:val="000000"/>
          <w:shd w:val="clear" w:color="auto" w:fill="FFFFFF"/>
        </w:rPr>
        <w:t xml:space="preserve"> Chen et al.,</w:t>
      </w:r>
      <w:r w:rsidRPr="005A1D90">
        <w:rPr>
          <w:rFonts w:ascii="Arial" w:hAnsi="Arial" w:cs="Arial"/>
          <w:color w:val="000000"/>
          <w:shd w:val="clear" w:color="auto" w:fill="FFFFFF"/>
        </w:rPr>
        <w:t xml:space="preserve"> </w:t>
      </w:r>
      <w:r w:rsidR="00C615DC">
        <w:rPr>
          <w:rFonts w:ascii="Arial" w:hAnsi="Arial" w:cs="Arial"/>
          <w:color w:val="000000"/>
          <w:shd w:val="clear" w:color="auto" w:fill="FFFFFF"/>
        </w:rPr>
        <w:t xml:space="preserve">(2012, p. 598, cite Dienesch &amp; Liden, 1986), describe this as “interpersonal trust” between supervisors and subordinates. </w:t>
      </w:r>
    </w:p>
    <w:p w14:paraId="1ADFBE69" w14:textId="6DC6D856" w:rsidR="005A1D90" w:rsidRPr="005A1D90" w:rsidRDefault="005A1D90" w:rsidP="005A1D90">
      <w:pPr>
        <w:rPr>
          <w:rFonts w:ascii="Arial" w:hAnsi="Arial" w:cs="Arial"/>
        </w:rPr>
      </w:pPr>
      <w:r w:rsidRPr="005A1D90">
        <w:rPr>
          <w:rFonts w:ascii="Arial" w:hAnsi="Arial" w:cs="Arial"/>
          <w:color w:val="000000"/>
          <w:shd w:val="clear" w:color="auto" w:fill="FFFFFF"/>
        </w:rPr>
        <w:t xml:space="preserve">A wide support network had been put in place to support the emotional and psychological needs of the victim, including ISVA </w:t>
      </w:r>
      <w:r w:rsidRPr="005A1D90">
        <w:rPr>
          <w:rFonts w:ascii="Arial" w:hAnsi="Arial" w:cs="Arial"/>
          <w:shd w:val="clear" w:color="auto" w:fill="FFFFFF"/>
        </w:rPr>
        <w:t xml:space="preserve">(National Police Chiefs’ Council &amp; CPS National Framework, 2021), who may provide pre-trial preparation to reduce anxiety (Gibney, Jones 2014). </w:t>
      </w:r>
      <w:r w:rsidR="005B09CD">
        <w:rPr>
          <w:rFonts w:ascii="Arial" w:hAnsi="Arial" w:cs="Arial"/>
          <w:shd w:val="clear" w:color="auto" w:fill="FFFFFF"/>
        </w:rPr>
        <w:t>O</w:t>
      </w:r>
      <w:r w:rsidRPr="005A1D90">
        <w:rPr>
          <w:rFonts w:ascii="Arial" w:hAnsi="Arial" w:cs="Arial"/>
          <w:shd w:val="clear" w:color="auto" w:fill="FFFFFF"/>
        </w:rPr>
        <w:t xml:space="preserve">f concern was that false allegations can be made to gain attention and sympathy. The desired response outcome is more likely the more severe the report (Rumney, McCartan, 2017), and that support was further validating the offence. Objectively, this could be perceived by the defence as </w:t>
      </w:r>
      <w:r w:rsidR="00A841DF">
        <w:rPr>
          <w:rFonts w:ascii="Arial" w:hAnsi="Arial" w:cs="Arial"/>
          <w:shd w:val="clear" w:color="auto" w:fill="FFFFFF"/>
        </w:rPr>
        <w:t xml:space="preserve">an </w:t>
      </w:r>
      <w:r w:rsidRPr="005A1D90">
        <w:rPr>
          <w:rFonts w:ascii="Arial" w:hAnsi="Arial" w:cs="Arial"/>
          <w:shd w:val="clear" w:color="auto" w:fill="FFFFFF"/>
        </w:rPr>
        <w:t xml:space="preserve">attention seeking behaviour motive to make the allegation. Whilst this is a potential risk to the prosecution outcome, there is also a psychological harm risk if it is said that she is not believed. It is a difficult position to argue the case for and against victim support. </w:t>
      </w:r>
    </w:p>
    <w:p w14:paraId="0FCE918A" w14:textId="77777777" w:rsidR="00F44597" w:rsidRDefault="00F44597" w:rsidP="005A1D90">
      <w:pPr>
        <w:jc w:val="right"/>
        <w:rPr>
          <w:rFonts w:ascii="Arial" w:eastAsia="Arial" w:hAnsi="Arial" w:cs="Arial"/>
          <w:b/>
          <w:bCs/>
          <w:color w:val="FF0000"/>
          <w:sz w:val="24"/>
          <w:szCs w:val="24"/>
        </w:rPr>
      </w:pPr>
    </w:p>
    <w:p w14:paraId="198B0F62" w14:textId="6E0C0168" w:rsidR="00F44597" w:rsidRPr="007F5D32" w:rsidRDefault="005B09CD" w:rsidP="005A1D90">
      <w:pPr>
        <w:jc w:val="right"/>
        <w:rPr>
          <w:rFonts w:ascii="Arial" w:eastAsia="Arial" w:hAnsi="Arial" w:cs="Arial"/>
          <w:color w:val="FF0000"/>
          <w:sz w:val="24"/>
          <w:szCs w:val="24"/>
        </w:rPr>
      </w:pPr>
      <w:r>
        <w:rPr>
          <w:rFonts w:ascii="Arial" w:eastAsia="Arial" w:hAnsi="Arial" w:cs="Arial"/>
          <w:color w:val="FF0000"/>
          <w:sz w:val="24"/>
          <w:szCs w:val="24"/>
        </w:rPr>
        <w:t>49</w:t>
      </w:r>
      <w:r w:rsidR="00A841DF">
        <w:rPr>
          <w:rFonts w:ascii="Arial" w:eastAsia="Arial" w:hAnsi="Arial" w:cs="Arial"/>
          <w:color w:val="FF0000"/>
          <w:sz w:val="24"/>
          <w:szCs w:val="24"/>
        </w:rPr>
        <w:t>4</w:t>
      </w:r>
    </w:p>
    <w:p w14:paraId="4BD00FC0" w14:textId="00FAA517" w:rsidR="727E3A7D" w:rsidRPr="005A1D90" w:rsidRDefault="005A1D90" w:rsidP="005A1D90">
      <w:pPr>
        <w:jc w:val="right"/>
        <w:rPr>
          <w:rFonts w:ascii="Arial" w:eastAsia="Arial" w:hAnsi="Arial" w:cs="Arial"/>
          <w:b/>
          <w:bCs/>
          <w:color w:val="FF0000"/>
          <w:sz w:val="24"/>
          <w:szCs w:val="24"/>
        </w:rPr>
      </w:pPr>
      <w:r w:rsidRPr="005A1D90">
        <w:rPr>
          <w:rFonts w:ascii="Arial" w:eastAsia="Arial" w:hAnsi="Arial" w:cs="Arial"/>
          <w:b/>
          <w:bCs/>
          <w:color w:val="FF0000"/>
          <w:sz w:val="24"/>
          <w:szCs w:val="24"/>
        </w:rPr>
        <w:t>2</w:t>
      </w:r>
      <w:r w:rsidR="007F5D32">
        <w:rPr>
          <w:rFonts w:ascii="Arial" w:eastAsia="Arial" w:hAnsi="Arial" w:cs="Arial"/>
          <w:b/>
          <w:bCs/>
          <w:color w:val="FF0000"/>
          <w:sz w:val="24"/>
          <w:szCs w:val="24"/>
        </w:rPr>
        <w:t>2</w:t>
      </w:r>
      <w:r w:rsidR="00A841DF">
        <w:rPr>
          <w:rFonts w:ascii="Arial" w:eastAsia="Arial" w:hAnsi="Arial" w:cs="Arial"/>
          <w:b/>
          <w:bCs/>
          <w:color w:val="FF0000"/>
          <w:sz w:val="24"/>
          <w:szCs w:val="24"/>
        </w:rPr>
        <w:t>0</w:t>
      </w:r>
      <w:r w:rsidR="002C0B93">
        <w:rPr>
          <w:rFonts w:ascii="Arial" w:eastAsia="Arial" w:hAnsi="Arial" w:cs="Arial"/>
          <w:b/>
          <w:bCs/>
          <w:color w:val="FF0000"/>
          <w:sz w:val="24"/>
          <w:szCs w:val="24"/>
        </w:rPr>
        <w:t>4</w:t>
      </w:r>
    </w:p>
    <w:p w14:paraId="527C0F6F" w14:textId="38DB61C0" w:rsidR="727E3A7D" w:rsidRDefault="727E3A7D" w:rsidP="727E3A7D">
      <w:pPr>
        <w:rPr>
          <w:rFonts w:ascii="Arial" w:eastAsia="Arial" w:hAnsi="Arial" w:cs="Arial"/>
          <w:b/>
          <w:bCs/>
          <w:sz w:val="24"/>
          <w:szCs w:val="24"/>
        </w:rPr>
      </w:pPr>
    </w:p>
    <w:p w14:paraId="5341D339" w14:textId="1F510EB2" w:rsidR="00F03CF1" w:rsidRDefault="00F03CF1" w:rsidP="727E3A7D">
      <w:pPr>
        <w:rPr>
          <w:rFonts w:ascii="Arial" w:eastAsia="Arial" w:hAnsi="Arial" w:cs="Arial"/>
          <w:b/>
          <w:bCs/>
          <w:sz w:val="24"/>
          <w:szCs w:val="24"/>
        </w:rPr>
      </w:pPr>
    </w:p>
    <w:p w14:paraId="03AD861B" w14:textId="32FE5934" w:rsidR="00F03CF1" w:rsidRDefault="00F03CF1" w:rsidP="727E3A7D">
      <w:pPr>
        <w:rPr>
          <w:rFonts w:ascii="Arial" w:eastAsia="Arial" w:hAnsi="Arial" w:cs="Arial"/>
          <w:b/>
          <w:bCs/>
          <w:sz w:val="24"/>
          <w:szCs w:val="24"/>
        </w:rPr>
      </w:pPr>
    </w:p>
    <w:p w14:paraId="62B0FDD9" w14:textId="77777777" w:rsidR="00F03CF1" w:rsidRDefault="00F03CF1" w:rsidP="727E3A7D">
      <w:pPr>
        <w:rPr>
          <w:rFonts w:ascii="Arial" w:eastAsia="Arial" w:hAnsi="Arial" w:cs="Arial"/>
          <w:b/>
          <w:bCs/>
          <w:sz w:val="24"/>
          <w:szCs w:val="24"/>
        </w:rPr>
      </w:pPr>
    </w:p>
    <w:p w14:paraId="7A5B9A68" w14:textId="06A24A82" w:rsidR="727E3A7D" w:rsidRDefault="727E3A7D" w:rsidP="727E3A7D">
      <w:pPr>
        <w:rPr>
          <w:rFonts w:ascii="Arial" w:eastAsia="Arial" w:hAnsi="Arial" w:cs="Arial"/>
          <w:b/>
          <w:bCs/>
          <w:sz w:val="24"/>
          <w:szCs w:val="24"/>
        </w:rPr>
      </w:pPr>
    </w:p>
    <w:p w14:paraId="1B110730" w14:textId="77777777" w:rsidR="008A504B" w:rsidRDefault="008A504B" w:rsidP="727E3A7D">
      <w:pPr>
        <w:rPr>
          <w:rFonts w:ascii="Arial" w:eastAsia="Arial" w:hAnsi="Arial" w:cs="Arial"/>
          <w:b/>
          <w:bCs/>
          <w:sz w:val="24"/>
          <w:szCs w:val="24"/>
        </w:rPr>
      </w:pPr>
    </w:p>
    <w:p w14:paraId="18D09435" w14:textId="77777777" w:rsidR="002C0B93" w:rsidRDefault="002C0B93" w:rsidP="00F03CF1">
      <w:pPr>
        <w:rPr>
          <w:rFonts w:cs="Calibri"/>
          <w:b/>
          <w:bCs/>
          <w:color w:val="000000"/>
          <w:u w:val="single"/>
          <w:shd w:val="clear" w:color="auto" w:fill="FFFFFF"/>
        </w:rPr>
      </w:pPr>
    </w:p>
    <w:p w14:paraId="6165B56E" w14:textId="267CB24A" w:rsidR="00F03CF1" w:rsidRPr="005A1D90" w:rsidRDefault="005A1D90" w:rsidP="00F03CF1">
      <w:pPr>
        <w:rPr>
          <w:rFonts w:cs="Calibri"/>
          <w:b/>
          <w:bCs/>
          <w:color w:val="000000"/>
          <w:u w:val="single"/>
          <w:shd w:val="clear" w:color="auto" w:fill="FFFFFF"/>
        </w:rPr>
      </w:pPr>
      <w:r w:rsidRPr="005A1D90">
        <w:rPr>
          <w:rFonts w:cs="Calibri"/>
          <w:b/>
          <w:bCs/>
          <w:color w:val="000000"/>
          <w:u w:val="single"/>
          <w:shd w:val="clear" w:color="auto" w:fill="FFFFFF"/>
        </w:rPr>
        <w:t>Reference</w:t>
      </w:r>
    </w:p>
    <w:p w14:paraId="15EE28DC" w14:textId="77777777" w:rsidR="00F03CF1" w:rsidRDefault="00F03CF1" w:rsidP="00F03CF1">
      <w:pPr>
        <w:shd w:val="clear" w:color="auto" w:fill="FFFFFF"/>
        <w:spacing w:after="0" w:line="360" w:lineRule="atLeast"/>
        <w:outlineLvl w:val="0"/>
        <w:rPr>
          <w:rFonts w:eastAsia="Times New Roman" w:cs="Calibri"/>
          <w:color w:val="555555"/>
          <w:kern w:val="3"/>
          <w:lang w:eastAsia="en-GB"/>
        </w:rPr>
      </w:pPr>
    </w:p>
    <w:p w14:paraId="48A60EB4" w14:textId="77777777" w:rsidR="003E7506" w:rsidRPr="005A1D90" w:rsidRDefault="003E7506" w:rsidP="00F03CF1">
      <w:pPr>
        <w:rPr>
          <w:rFonts w:ascii="Open Sans" w:hAnsi="Open Sans" w:cs="Open Sans"/>
          <w:sz w:val="20"/>
          <w:szCs w:val="20"/>
        </w:rPr>
      </w:pPr>
      <w:r w:rsidRPr="005A1D90">
        <w:rPr>
          <w:rFonts w:ascii="Open Sans" w:hAnsi="Open Sans" w:cs="Open Sans"/>
          <w:sz w:val="20"/>
          <w:szCs w:val="20"/>
          <w:shd w:val="clear" w:color="auto" w:fill="FFFFFF"/>
        </w:rPr>
        <w:t>Alison, L., Doran, B., Long, M. L., Power, N., &amp; Humphrey, A. (2013) The effects of subjective time pressure and individual differences on hypotheses generation and action prioritization in police investigations</w:t>
      </w:r>
      <w:r w:rsidRPr="005A1D90">
        <w:rPr>
          <w:rFonts w:ascii="Open Sans" w:hAnsi="Open Sans" w:cs="Open Sans"/>
          <w:i/>
          <w:iCs/>
          <w:sz w:val="20"/>
          <w:szCs w:val="20"/>
          <w:shd w:val="clear" w:color="auto" w:fill="FFFFFF"/>
        </w:rPr>
        <w:t>.</w:t>
      </w:r>
      <w:r w:rsidRPr="005A1D90">
        <w:rPr>
          <w:rFonts w:ascii="Open Sans" w:hAnsi="Open Sans" w:cs="Open Sans"/>
          <w:sz w:val="20"/>
          <w:szCs w:val="20"/>
          <w:shd w:val="clear" w:color="auto" w:fill="FFFFFF"/>
        </w:rPr>
        <w:t> </w:t>
      </w:r>
      <w:r w:rsidRPr="005A1D90">
        <w:rPr>
          <w:rStyle w:val="Emphasis"/>
          <w:rFonts w:ascii="Open Sans" w:hAnsi="Open Sans" w:cs="Open Sans"/>
          <w:sz w:val="20"/>
          <w:szCs w:val="20"/>
          <w:shd w:val="clear" w:color="auto" w:fill="FFFFFF"/>
        </w:rPr>
        <w:t>Journal of Experimental Psychology: Applied, 19</w:t>
      </w:r>
      <w:r w:rsidRPr="005A1D90">
        <w:rPr>
          <w:rFonts w:ascii="Open Sans" w:hAnsi="Open Sans" w:cs="Open Sans"/>
          <w:sz w:val="20"/>
          <w:szCs w:val="20"/>
          <w:shd w:val="clear" w:color="auto" w:fill="FFFFFF"/>
        </w:rPr>
        <w:t xml:space="preserve">(1). [E-journal] pp. 83, 93.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hyperlink r:id="rId11" w:history="1">
        <w:r w:rsidRPr="005A1D90">
          <w:rPr>
            <w:rFonts w:ascii="Open Sans" w:hAnsi="Open Sans" w:cs="Open Sans"/>
            <w:sz w:val="20"/>
            <w:szCs w:val="20"/>
            <w:u w:val="single"/>
            <w:shd w:val="clear" w:color="auto" w:fill="FFFFFF"/>
          </w:rPr>
          <w:t>https://doi.org/10.1037/a0032148</w:t>
        </w:r>
      </w:hyperlink>
      <w:r w:rsidRPr="005A1D90">
        <w:rPr>
          <w:rFonts w:ascii="Open Sans" w:hAnsi="Open Sans" w:cs="Open Sans"/>
          <w:sz w:val="20"/>
          <w:szCs w:val="20"/>
        </w:rPr>
        <w:t xml:space="preserve"> </w:t>
      </w:r>
    </w:p>
    <w:p w14:paraId="258EDD9E" w14:textId="77777777" w:rsidR="003E7506" w:rsidRPr="005A1D90" w:rsidRDefault="003E7506" w:rsidP="00F03CF1">
      <w:pPr>
        <w:rPr>
          <w:rFonts w:ascii="Open Sans" w:hAnsi="Open Sans" w:cs="Open Sans"/>
          <w:sz w:val="20"/>
          <w:szCs w:val="20"/>
        </w:rPr>
      </w:pPr>
      <w:r w:rsidRPr="005A1D90">
        <w:rPr>
          <w:rFonts w:ascii="Open Sans" w:hAnsi="Open Sans" w:cs="Open Sans"/>
          <w:sz w:val="20"/>
          <w:szCs w:val="20"/>
        </w:rPr>
        <w:t>Andrews, M.  N.E. L. (2020) ‘</w:t>
      </w:r>
      <w:r w:rsidRPr="005A1D90">
        <w:rPr>
          <w:rStyle w:val="citetitle"/>
          <w:rFonts w:ascii="Open Sans" w:hAnsi="Open Sans" w:cs="Open Sans"/>
          <w:i/>
          <w:iCs/>
          <w:sz w:val="20"/>
          <w:szCs w:val="20"/>
        </w:rPr>
        <w:t>The Outdated Rules on the Disclosure of Unused Material Undermine the Fairness and Effectiveness of the Criminal Trial’</w:t>
      </w:r>
      <w:r w:rsidRPr="005A1D90">
        <w:rPr>
          <w:rStyle w:val="citetitle"/>
          <w:rFonts w:ascii="Open Sans" w:hAnsi="Open Sans" w:cs="Open Sans"/>
          <w:sz w:val="20"/>
          <w:szCs w:val="20"/>
        </w:rPr>
        <w:t xml:space="preserve">. </w:t>
      </w:r>
      <w:r w:rsidRPr="005A1D90">
        <w:rPr>
          <w:rFonts w:ascii="Open Sans" w:hAnsi="Open Sans" w:cs="Open Sans"/>
          <w:sz w:val="20"/>
          <w:szCs w:val="20"/>
        </w:rPr>
        <w:t xml:space="preserve">Rev. 1. </w:t>
      </w:r>
      <w:proofErr w:type="spellStart"/>
      <w:r w:rsidRPr="005A1D90">
        <w:rPr>
          <w:rFonts w:ascii="Open Sans" w:hAnsi="Open Sans" w:cs="Open Sans"/>
          <w:sz w:val="20"/>
          <w:szCs w:val="20"/>
          <w:shd w:val="clear" w:color="auto" w:fill="FFFFFF"/>
        </w:rPr>
        <w:t>HeinOnline</w:t>
      </w:r>
      <w:proofErr w:type="spellEnd"/>
      <w:r w:rsidRPr="005A1D90">
        <w:rPr>
          <w:rFonts w:ascii="Open Sans" w:hAnsi="Open Sans" w:cs="Open Sans"/>
          <w:sz w:val="20"/>
          <w:szCs w:val="20"/>
          <w:shd w:val="clear" w:color="auto" w:fill="FFFFFF"/>
        </w:rPr>
        <w:t xml:space="preserve"> website </w:t>
      </w:r>
      <w:r w:rsidRPr="005A1D90">
        <w:rPr>
          <w:rFonts w:ascii="Open Sans" w:hAnsi="Open Sans" w:cs="Open Sans"/>
          <w:color w:val="000000"/>
          <w:sz w:val="20"/>
          <w:szCs w:val="20"/>
          <w:shd w:val="clear" w:color="auto" w:fill="FFFFFF"/>
        </w:rPr>
        <w:t>[online]</w:t>
      </w:r>
      <w:r w:rsidRPr="005A1D90">
        <w:rPr>
          <w:rFonts w:ascii="Open Sans" w:hAnsi="Open Sans" w:cs="Open Sans"/>
          <w:sz w:val="20"/>
          <w:szCs w:val="20"/>
          <w:shd w:val="clear" w:color="auto" w:fill="FFFFFF"/>
        </w:rPr>
        <w:t> </w:t>
      </w:r>
      <w:bookmarkStart w:id="0" w:name="_Hlk96942940"/>
      <w:r w:rsidRPr="005A1D90">
        <w:rPr>
          <w:rFonts w:ascii="Open Sans" w:hAnsi="Open Sans" w:cs="Open Sans"/>
          <w:sz w:val="20"/>
          <w:szCs w:val="20"/>
          <w:shd w:val="clear" w:color="auto" w:fill="FFFFFF"/>
        </w:rPr>
        <w:t xml:space="preserve">p 1. Available </w:t>
      </w:r>
      <w:proofErr w:type="gramStart"/>
      <w:r w:rsidRPr="005A1D90">
        <w:rPr>
          <w:rFonts w:ascii="Open Sans" w:hAnsi="Open Sans" w:cs="Open Sans"/>
          <w:sz w:val="20"/>
          <w:szCs w:val="20"/>
          <w:shd w:val="clear" w:color="auto" w:fill="FFFFFF"/>
        </w:rPr>
        <w:t>at :</w:t>
      </w:r>
      <w:bookmarkEnd w:id="0"/>
      <w:proofErr w:type="gramEnd"/>
      <w:r w:rsidRPr="005A1D90">
        <w:rPr>
          <w:rFonts w:ascii="Open Sans" w:hAnsi="Open Sans" w:cs="Open Sans"/>
          <w:sz w:val="20"/>
          <w:szCs w:val="20"/>
          <w:shd w:val="clear" w:color="auto" w:fill="FFFFFF"/>
        </w:rPr>
        <w:t xml:space="preserve"> </w:t>
      </w:r>
      <w:r w:rsidRPr="005A1D90">
        <w:rPr>
          <w:rFonts w:ascii="Open Sans" w:hAnsi="Open Sans" w:cs="Open Sans"/>
          <w:sz w:val="20"/>
          <w:szCs w:val="20"/>
          <w:u w:val="single"/>
          <w:shd w:val="clear" w:color="auto" w:fill="FFFFFF"/>
        </w:rPr>
        <w:t>https://heinonline.org/HOL/LandingPage?handle=hein.journals/neastlr7&amp;div=7&amp;id=&amp;page=</w:t>
      </w:r>
      <w:r w:rsidRPr="005A1D90">
        <w:rPr>
          <w:rFonts w:ascii="Open Sans" w:hAnsi="Open Sans" w:cs="Open Sans"/>
          <w:sz w:val="20"/>
          <w:szCs w:val="20"/>
          <w:shd w:val="clear" w:color="auto" w:fill="FFFFFF"/>
        </w:rPr>
        <w:t xml:space="preserve"> (Accessed: 25 February 2022)</w:t>
      </w:r>
    </w:p>
    <w:p w14:paraId="74D8C226" w14:textId="77777777" w:rsidR="003E7506" w:rsidRPr="005A1D90" w:rsidRDefault="003E7506" w:rsidP="00F03CF1">
      <w:pPr>
        <w:rPr>
          <w:rFonts w:ascii="Open Sans" w:hAnsi="Open Sans" w:cs="Open Sans"/>
          <w:sz w:val="20"/>
          <w:szCs w:val="20"/>
        </w:rPr>
      </w:pPr>
      <w:r w:rsidRPr="005A1D90">
        <w:rPr>
          <w:rFonts w:ascii="Open Sans" w:hAnsi="Open Sans" w:cs="Open Sans"/>
          <w:sz w:val="20"/>
          <w:szCs w:val="20"/>
          <w:shd w:val="clear" w:color="auto" w:fill="FFFFFF"/>
        </w:rPr>
        <w:t>Ask, K. and Alison, L., 2010. Investigators’ decision making. </w:t>
      </w:r>
      <w:r w:rsidRPr="005A1D90">
        <w:rPr>
          <w:rFonts w:ascii="Open Sans" w:hAnsi="Open Sans" w:cs="Open Sans"/>
          <w:i/>
          <w:iCs/>
          <w:sz w:val="20"/>
          <w:szCs w:val="20"/>
          <w:shd w:val="clear" w:color="auto" w:fill="FFFFFF"/>
        </w:rPr>
        <w:t>Forensic psychology in context: Nordic and international perspectives</w:t>
      </w:r>
      <w:r w:rsidRPr="005A1D90">
        <w:rPr>
          <w:rFonts w:ascii="Open Sans" w:hAnsi="Open Sans" w:cs="Open Sans"/>
          <w:sz w:val="20"/>
          <w:szCs w:val="20"/>
          <w:shd w:val="clear" w:color="auto" w:fill="FFFFFF"/>
        </w:rPr>
        <w:t xml:space="preserve">, pp.45-46. Available at : </w:t>
      </w:r>
      <w:hyperlink r:id="rId12" w:history="1">
        <w:r w:rsidRPr="005A1D90">
          <w:rPr>
            <w:rStyle w:val="Hyperlink"/>
            <w:rFonts w:ascii="Open Sans" w:hAnsi="Open Sans" w:cs="Open Sans"/>
            <w:color w:val="auto"/>
            <w:sz w:val="20"/>
            <w:szCs w:val="20"/>
          </w:rPr>
          <w:t>https://www.researchgate.net/profile/karl-Ask/publication/316241525_Investigators’decision_making/links/58f749150f7e9b67a34dd6ad/Investigators-decision-making.pdf</w:t>
        </w:r>
      </w:hyperlink>
      <w:r w:rsidRPr="005A1D90">
        <w:rPr>
          <w:rFonts w:ascii="Open Sans" w:hAnsi="Open Sans" w:cs="Open Sans"/>
          <w:sz w:val="20"/>
          <w:szCs w:val="20"/>
        </w:rPr>
        <w:t xml:space="preserve"> [pdf] [online] </w:t>
      </w:r>
      <w:r w:rsidRPr="005A1D90">
        <w:rPr>
          <w:rFonts w:ascii="Open Sans" w:hAnsi="Open Sans" w:cs="Open Sans"/>
          <w:sz w:val="20"/>
          <w:szCs w:val="20"/>
          <w:shd w:val="clear" w:color="auto" w:fill="FFFFFF"/>
        </w:rPr>
        <w:t>(Accessed: 25 February 2022)</w:t>
      </w:r>
    </w:p>
    <w:p w14:paraId="3A9D1E25" w14:textId="77777777" w:rsidR="003E7506" w:rsidRPr="005A1D90" w:rsidRDefault="003E7506" w:rsidP="00F03CF1">
      <w:pPr>
        <w:rPr>
          <w:rFonts w:ascii="Open Sans" w:hAnsi="Open Sans" w:cs="Open Sans"/>
          <w:sz w:val="20"/>
          <w:szCs w:val="20"/>
        </w:rPr>
      </w:pPr>
      <w:r w:rsidRPr="005A1D90">
        <w:rPr>
          <w:rFonts w:ascii="Open Sans" w:hAnsi="Open Sans" w:cs="Open Sans"/>
          <w:sz w:val="20"/>
          <w:szCs w:val="20"/>
          <w:shd w:val="clear" w:color="auto" w:fill="FFFFFF"/>
        </w:rPr>
        <w:t>Casey, E. (2011) </w:t>
      </w:r>
      <w:r w:rsidRPr="005A1D90">
        <w:rPr>
          <w:rFonts w:ascii="Open Sans" w:hAnsi="Open Sans" w:cs="Open Sans"/>
          <w:i/>
          <w:iCs/>
          <w:sz w:val="20"/>
          <w:szCs w:val="20"/>
          <w:shd w:val="clear" w:color="auto" w:fill="FFFFFF"/>
        </w:rPr>
        <w:t>Digital Evidence and Computer Crime: Forensic Science, computers and the internet</w:t>
      </w:r>
      <w:r w:rsidRPr="005A1D90">
        <w:rPr>
          <w:rFonts w:ascii="Open Sans" w:hAnsi="Open Sans" w:cs="Open Sans"/>
          <w:sz w:val="20"/>
          <w:szCs w:val="20"/>
          <w:shd w:val="clear" w:color="auto" w:fill="FFFFFF"/>
        </w:rPr>
        <w:t xml:space="preserve">. 3rd ed. Baltimore, USA: Academic Press, p.50. </w:t>
      </w:r>
    </w:p>
    <w:p w14:paraId="389A5279" w14:textId="38487CDC" w:rsidR="003E7506" w:rsidRDefault="003E7506" w:rsidP="00F03CF1">
      <w:pPr>
        <w:rPr>
          <w:rFonts w:ascii="Open Sans" w:hAnsi="Open Sans" w:cs="Open Sans"/>
          <w:sz w:val="20"/>
          <w:szCs w:val="20"/>
          <w:shd w:val="clear" w:color="auto" w:fill="FFFFFF"/>
        </w:rPr>
      </w:pPr>
      <w:proofErr w:type="spellStart"/>
      <w:r w:rsidRPr="005A1D90">
        <w:rPr>
          <w:rFonts w:ascii="Open Sans" w:hAnsi="Open Sans" w:cs="Open Sans"/>
          <w:sz w:val="20"/>
          <w:szCs w:val="20"/>
          <w:shd w:val="clear" w:color="auto" w:fill="FFFFFF"/>
        </w:rPr>
        <w:t>Castleview</w:t>
      </w:r>
      <w:proofErr w:type="spellEnd"/>
      <w:r w:rsidRPr="005A1D90">
        <w:rPr>
          <w:rFonts w:ascii="Open Sans" w:hAnsi="Open Sans" w:cs="Open Sans"/>
          <w:sz w:val="20"/>
          <w:szCs w:val="20"/>
          <w:shd w:val="clear" w:color="auto" w:fill="FFFFFF"/>
        </w:rPr>
        <w:t xml:space="preserve">, n.d. </w:t>
      </w:r>
      <w:r w:rsidRPr="005A1D90">
        <w:rPr>
          <w:rFonts w:ascii="Open Sans" w:hAnsi="Open Sans" w:cs="Open Sans"/>
          <w:i/>
          <w:iCs/>
          <w:sz w:val="20"/>
          <w:szCs w:val="20"/>
          <w:shd w:val="clear" w:color="auto" w:fill="FFFFFF"/>
        </w:rPr>
        <w:t>Home Office Large Scale Enquiry System 2.</w:t>
      </w:r>
      <w:r w:rsidRPr="005A1D90">
        <w:rPr>
          <w:rFonts w:ascii="Open Sans" w:hAnsi="Open Sans" w:cs="Open Sans"/>
          <w:sz w:val="20"/>
          <w:szCs w:val="20"/>
          <w:shd w:val="clear" w:color="auto" w:fill="FFFFFF"/>
        </w:rPr>
        <w:t xml:space="preserve"> </w:t>
      </w:r>
      <w:proofErr w:type="spellStart"/>
      <w:r w:rsidRPr="005A1D90">
        <w:rPr>
          <w:rFonts w:ascii="Open Sans" w:hAnsi="Open Sans" w:cs="Open Sans"/>
          <w:sz w:val="20"/>
          <w:szCs w:val="20"/>
          <w:shd w:val="clear" w:color="auto" w:fill="FFFFFF"/>
        </w:rPr>
        <w:t>Castleview</w:t>
      </w:r>
      <w:proofErr w:type="spellEnd"/>
      <w:r w:rsidRPr="005A1D90">
        <w:rPr>
          <w:rFonts w:ascii="Open Sans" w:hAnsi="Open Sans" w:cs="Open Sans"/>
          <w:sz w:val="20"/>
          <w:szCs w:val="20"/>
          <w:shd w:val="clear" w:color="auto" w:fill="FFFFFF"/>
        </w:rPr>
        <w:t xml:space="preserve"> website.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https://</w:t>
      </w:r>
      <w:r w:rsidRPr="005A1D90">
        <w:rPr>
          <w:rFonts w:ascii="Open Sans" w:hAnsi="Open Sans" w:cs="Open Sans"/>
          <w:sz w:val="20"/>
          <w:szCs w:val="20"/>
        </w:rPr>
        <w:t xml:space="preserve"> </w:t>
      </w:r>
      <w:hyperlink r:id="rId13" w:history="1">
        <w:r w:rsidRPr="005A1D90">
          <w:rPr>
            <w:rStyle w:val="Hyperlink"/>
            <w:rFonts w:ascii="Open Sans" w:hAnsi="Open Sans" w:cs="Open Sans"/>
            <w:color w:val="auto"/>
            <w:sz w:val="20"/>
            <w:szCs w:val="20"/>
            <w:shd w:val="clear" w:color="auto" w:fill="FFFFFF"/>
          </w:rPr>
          <w:t>www.castleviewuk.com/files/holmes2.pdf</w:t>
        </w:r>
      </w:hyperlink>
      <w:r w:rsidRPr="005A1D90">
        <w:rPr>
          <w:rFonts w:ascii="Open Sans" w:hAnsi="Open Sans" w:cs="Open Sans"/>
          <w:sz w:val="20"/>
          <w:szCs w:val="20"/>
          <w:shd w:val="clear" w:color="auto" w:fill="FFFFFF"/>
        </w:rPr>
        <w:t xml:space="preserve"> (Accessed: 5 April 2022) </w:t>
      </w:r>
    </w:p>
    <w:p w14:paraId="4FEADD9C" w14:textId="5ACCE360" w:rsidR="00C615DC" w:rsidRPr="005A1D90" w:rsidRDefault="00C615DC" w:rsidP="00F03CF1">
      <w:pPr>
        <w:rPr>
          <w:rFonts w:ascii="Open Sans" w:hAnsi="Open Sans" w:cs="Open Sans"/>
          <w:sz w:val="20"/>
          <w:szCs w:val="20"/>
        </w:rPr>
      </w:pPr>
      <w:r>
        <w:rPr>
          <w:rFonts w:ascii="Open Sans" w:hAnsi="Open Sans" w:cs="Open Sans"/>
          <w:sz w:val="20"/>
          <w:szCs w:val="20"/>
        </w:rPr>
        <w:t xml:space="preserve">Chen, Z., Lam, W. &amp; Shone, J.A. </w:t>
      </w:r>
      <w:r w:rsidR="00EE1FC7">
        <w:rPr>
          <w:rFonts w:ascii="Open Sans" w:hAnsi="Open Sans" w:cs="Open Sans"/>
          <w:sz w:val="20"/>
          <w:szCs w:val="20"/>
        </w:rPr>
        <w:t xml:space="preserve">(2012) </w:t>
      </w:r>
      <w:r>
        <w:rPr>
          <w:rFonts w:ascii="Open Sans" w:hAnsi="Open Sans" w:cs="Open Sans"/>
          <w:sz w:val="20"/>
          <w:szCs w:val="20"/>
        </w:rPr>
        <w:t>Effects of perceptions on LMX and work performance: Effects of supervisors’ perception of subordinates’ emotional intelligence and subordinates</w:t>
      </w:r>
      <w:r w:rsidR="00EE1FC7">
        <w:rPr>
          <w:rFonts w:ascii="Open Sans" w:hAnsi="Open Sans" w:cs="Open Sans"/>
          <w:sz w:val="20"/>
          <w:szCs w:val="20"/>
        </w:rPr>
        <w:t xml:space="preserve">’ perception of trust in the supervisor on LMX and, consequently, performance. </w:t>
      </w:r>
      <w:r w:rsidR="00EE1FC7" w:rsidRPr="00EE1FC7">
        <w:rPr>
          <w:rFonts w:ascii="Open Sans" w:hAnsi="Open Sans" w:cs="Open Sans"/>
          <w:i/>
          <w:iCs/>
          <w:sz w:val="20"/>
          <w:szCs w:val="20"/>
        </w:rPr>
        <w:t>Asia Pac</w:t>
      </w:r>
      <w:r w:rsidR="00EE1FC7">
        <w:rPr>
          <w:rFonts w:ascii="Open Sans" w:hAnsi="Open Sans" w:cs="Open Sans"/>
          <w:i/>
          <w:iCs/>
          <w:sz w:val="20"/>
          <w:szCs w:val="20"/>
        </w:rPr>
        <w:t>ific</w:t>
      </w:r>
      <w:r w:rsidR="00EE1FC7" w:rsidRPr="00EE1FC7">
        <w:rPr>
          <w:rFonts w:ascii="Open Sans" w:hAnsi="Open Sans" w:cs="Open Sans"/>
          <w:i/>
          <w:iCs/>
          <w:sz w:val="20"/>
          <w:szCs w:val="20"/>
        </w:rPr>
        <w:t xml:space="preserve"> J</w:t>
      </w:r>
      <w:r w:rsidR="00EE1FC7">
        <w:rPr>
          <w:rFonts w:ascii="Open Sans" w:hAnsi="Open Sans" w:cs="Open Sans"/>
          <w:i/>
          <w:iCs/>
          <w:sz w:val="20"/>
          <w:szCs w:val="20"/>
        </w:rPr>
        <w:t xml:space="preserve">ournal of Management. </w:t>
      </w:r>
      <w:r w:rsidR="00EE1FC7" w:rsidRPr="00EE1FC7">
        <w:rPr>
          <w:rFonts w:ascii="Open Sans" w:hAnsi="Open Sans" w:cs="Open Sans"/>
          <w:sz w:val="20"/>
          <w:szCs w:val="20"/>
        </w:rPr>
        <w:t>[E-journal]</w:t>
      </w:r>
      <w:r w:rsidR="00EE1FC7">
        <w:rPr>
          <w:rFonts w:ascii="Open Sans" w:hAnsi="Open Sans" w:cs="Open Sans"/>
          <w:sz w:val="20"/>
          <w:szCs w:val="20"/>
        </w:rPr>
        <w:t xml:space="preserve"> 29, p. 598. Available at </w:t>
      </w:r>
      <w:proofErr w:type="gramStart"/>
      <w:r w:rsidR="00EE1FC7">
        <w:rPr>
          <w:rFonts w:ascii="Open Sans" w:hAnsi="Open Sans" w:cs="Open Sans"/>
          <w:sz w:val="20"/>
          <w:szCs w:val="20"/>
        </w:rPr>
        <w:t>DOI :</w:t>
      </w:r>
      <w:proofErr w:type="gramEnd"/>
      <w:r w:rsidR="00EE1FC7">
        <w:rPr>
          <w:rFonts w:ascii="Open Sans" w:hAnsi="Open Sans" w:cs="Open Sans"/>
          <w:sz w:val="20"/>
          <w:szCs w:val="20"/>
        </w:rPr>
        <w:t xml:space="preserve"> 10.1007/s10490-010-9210-z </w:t>
      </w:r>
    </w:p>
    <w:p w14:paraId="135ACE6A" w14:textId="77777777" w:rsidR="003E7506" w:rsidRPr="005A1D90" w:rsidRDefault="003E7506" w:rsidP="00F03CF1">
      <w:pPr>
        <w:rPr>
          <w:rFonts w:ascii="Open Sans" w:hAnsi="Open Sans" w:cs="Open Sans"/>
          <w:sz w:val="20"/>
          <w:szCs w:val="20"/>
        </w:rPr>
      </w:pPr>
      <w:r w:rsidRPr="009371C2">
        <w:rPr>
          <w:rFonts w:ascii="Open Sans" w:hAnsi="Open Sans" w:cs="Open Sans"/>
          <w:i/>
          <w:iCs/>
          <w:sz w:val="20"/>
          <w:szCs w:val="20"/>
          <w:shd w:val="clear" w:color="auto" w:fill="FFFFFF"/>
        </w:rPr>
        <w:t>Children Act</w:t>
      </w:r>
      <w:r w:rsidRPr="005A1D90">
        <w:rPr>
          <w:rFonts w:ascii="Open Sans" w:hAnsi="Open Sans" w:cs="Open Sans"/>
          <w:sz w:val="20"/>
          <w:szCs w:val="20"/>
          <w:shd w:val="clear" w:color="auto" w:fill="FFFFFF"/>
        </w:rPr>
        <w:t xml:space="preserve"> 1989.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r w:rsidRPr="005A1D90">
        <w:rPr>
          <w:rFonts w:ascii="Open Sans" w:hAnsi="Open Sans" w:cs="Open Sans"/>
          <w:sz w:val="20"/>
          <w:szCs w:val="20"/>
          <w:u w:val="single"/>
          <w:shd w:val="clear" w:color="auto" w:fill="FFFFFF"/>
        </w:rPr>
        <w:t>https://www.legislation.gov.uk/ukpga/1989/41/section/47</w:t>
      </w:r>
      <w:r w:rsidRPr="005A1D90">
        <w:rPr>
          <w:rFonts w:ascii="Open Sans" w:hAnsi="Open Sans" w:cs="Open Sans"/>
          <w:sz w:val="20"/>
          <w:szCs w:val="20"/>
          <w:shd w:val="clear" w:color="auto" w:fill="FFFFFF"/>
        </w:rPr>
        <w:t xml:space="preserve"> (Accessed: 23 February 2022)</w:t>
      </w:r>
    </w:p>
    <w:p w14:paraId="1DAD85E9" w14:textId="77777777" w:rsidR="003E7506" w:rsidRPr="005A1D90" w:rsidRDefault="003E7506" w:rsidP="00F03CF1">
      <w:pPr>
        <w:rPr>
          <w:rFonts w:ascii="Open Sans" w:hAnsi="Open Sans" w:cs="Open Sans"/>
          <w:sz w:val="20"/>
          <w:szCs w:val="20"/>
        </w:rPr>
      </w:pPr>
      <w:r w:rsidRPr="005A1D90">
        <w:rPr>
          <w:rFonts w:ascii="Open Sans" w:hAnsi="Open Sans" w:cs="Open Sans"/>
          <w:sz w:val="20"/>
          <w:szCs w:val="20"/>
          <w:shd w:val="clear" w:color="auto" w:fill="FFFFFF"/>
        </w:rPr>
        <w:t>College of Policing (</w:t>
      </w:r>
      <w:proofErr w:type="spellStart"/>
      <w:r w:rsidRPr="005A1D90">
        <w:rPr>
          <w:rFonts w:ascii="Open Sans" w:hAnsi="Open Sans" w:cs="Open Sans"/>
          <w:sz w:val="20"/>
          <w:szCs w:val="20"/>
          <w:shd w:val="clear" w:color="auto" w:fill="FFFFFF"/>
        </w:rPr>
        <w:t>n.d</w:t>
      </w:r>
      <w:proofErr w:type="spellEnd"/>
      <w:r w:rsidRPr="005A1D90">
        <w:rPr>
          <w:rFonts w:ascii="Open Sans" w:hAnsi="Open Sans" w:cs="Open Sans"/>
          <w:sz w:val="20"/>
          <w:szCs w:val="20"/>
          <w:shd w:val="clear" w:color="auto" w:fill="FFFFFF"/>
        </w:rPr>
        <w:t xml:space="preserve">). </w:t>
      </w:r>
      <w:r w:rsidRPr="005A1D90">
        <w:rPr>
          <w:rFonts w:ascii="Open Sans" w:hAnsi="Open Sans" w:cs="Open Sans"/>
          <w:i/>
          <w:iCs/>
          <w:sz w:val="20"/>
          <w:szCs w:val="20"/>
          <w:shd w:val="clear" w:color="auto" w:fill="FFFFFF"/>
        </w:rPr>
        <w:t>Exhibits Officer Role Profile – Draft.</w:t>
      </w:r>
      <w:r w:rsidRPr="005A1D90">
        <w:rPr>
          <w:rFonts w:ascii="Open Sans" w:hAnsi="Open Sans" w:cs="Open Sans"/>
          <w:sz w:val="20"/>
          <w:szCs w:val="20"/>
          <w:shd w:val="clear" w:color="auto" w:fill="FFFFFF"/>
        </w:rPr>
        <w:t xml:space="preserve">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r w:rsidRPr="005A1D90">
        <w:rPr>
          <w:rFonts w:ascii="Open Sans" w:hAnsi="Open Sans" w:cs="Open Sans"/>
          <w:sz w:val="20"/>
          <w:szCs w:val="20"/>
          <w:u w:val="single"/>
          <w:shd w:val="clear" w:color="auto" w:fill="FFFFFF"/>
        </w:rPr>
        <w:t>https://</w:t>
      </w:r>
      <w:r w:rsidRPr="005A1D90">
        <w:rPr>
          <w:rFonts w:ascii="Open Sans" w:hAnsi="Open Sans" w:cs="Open Sans"/>
          <w:sz w:val="20"/>
          <w:szCs w:val="20"/>
          <w:u w:val="single"/>
        </w:rPr>
        <w:t xml:space="preserve"> </w:t>
      </w:r>
      <w:r w:rsidRPr="005A1D90">
        <w:rPr>
          <w:rFonts w:ascii="Open Sans" w:hAnsi="Open Sans" w:cs="Open Sans"/>
          <w:sz w:val="20"/>
          <w:szCs w:val="20"/>
          <w:u w:val="single"/>
          <w:shd w:val="clear" w:color="auto" w:fill="FFFFFF"/>
        </w:rPr>
        <w:t xml:space="preserve">profdev.college.police.uk/professional-profile/exhibits-officer-draft/  </w:t>
      </w:r>
      <w:r w:rsidRPr="005A1D90">
        <w:rPr>
          <w:rFonts w:ascii="Open Sans" w:hAnsi="Open Sans" w:cs="Open Sans"/>
          <w:sz w:val="20"/>
          <w:szCs w:val="20"/>
          <w:shd w:val="clear" w:color="auto" w:fill="FFFFFF"/>
        </w:rPr>
        <w:t xml:space="preserve">(Accessed: 5 April 2022) </w:t>
      </w:r>
    </w:p>
    <w:p w14:paraId="24F70779" w14:textId="77777777" w:rsidR="003E7506" w:rsidRPr="005A1D90" w:rsidRDefault="003E7506" w:rsidP="00F03CF1">
      <w:pPr>
        <w:rPr>
          <w:rFonts w:ascii="Open Sans" w:hAnsi="Open Sans" w:cs="Open Sans"/>
          <w:sz w:val="20"/>
          <w:szCs w:val="20"/>
        </w:rPr>
      </w:pPr>
      <w:r w:rsidRPr="005A1D90">
        <w:rPr>
          <w:rFonts w:ascii="Open Sans" w:hAnsi="Open Sans" w:cs="Open Sans"/>
          <w:sz w:val="20"/>
          <w:szCs w:val="20"/>
        </w:rPr>
        <w:t xml:space="preserve">College of Policing. (2013, updated 2022) Available </w:t>
      </w:r>
      <w:proofErr w:type="gramStart"/>
      <w:r w:rsidRPr="005A1D90">
        <w:rPr>
          <w:rFonts w:ascii="Open Sans" w:hAnsi="Open Sans" w:cs="Open Sans"/>
          <w:sz w:val="20"/>
          <w:szCs w:val="20"/>
        </w:rPr>
        <w:t>at :</w:t>
      </w:r>
      <w:proofErr w:type="gramEnd"/>
      <w:r w:rsidRPr="005A1D90">
        <w:rPr>
          <w:rFonts w:ascii="Open Sans" w:hAnsi="Open Sans" w:cs="Open Sans"/>
          <w:sz w:val="20"/>
          <w:szCs w:val="20"/>
        </w:rPr>
        <w:t xml:space="preserve"> </w:t>
      </w:r>
      <w:hyperlink r:id="rId14" w:anchor="exhibits-management" w:history="1">
        <w:r w:rsidRPr="005A1D90">
          <w:rPr>
            <w:rStyle w:val="Hyperlink"/>
            <w:rFonts w:ascii="Open Sans" w:hAnsi="Open Sans" w:cs="Open Sans"/>
            <w:color w:val="auto"/>
            <w:sz w:val="20"/>
            <w:szCs w:val="20"/>
          </w:rPr>
          <w:t>https://www.app.college.police.uk/app-content/investigations/managing-investigations/#exhibits-management</w:t>
        </w:r>
      </w:hyperlink>
      <w:r w:rsidRPr="005A1D90">
        <w:rPr>
          <w:rFonts w:ascii="Open Sans" w:hAnsi="Open Sans" w:cs="Open Sans"/>
          <w:sz w:val="20"/>
          <w:szCs w:val="20"/>
        </w:rPr>
        <w:t xml:space="preserve"> (Accessed: 5 April 2022)</w:t>
      </w:r>
    </w:p>
    <w:p w14:paraId="33E67FE7" w14:textId="77777777" w:rsidR="003E7506" w:rsidRPr="005A1D90" w:rsidRDefault="003E7506" w:rsidP="00F03CF1">
      <w:pPr>
        <w:rPr>
          <w:rFonts w:ascii="Open Sans" w:hAnsi="Open Sans" w:cs="Open Sans"/>
          <w:sz w:val="20"/>
          <w:szCs w:val="20"/>
        </w:rPr>
      </w:pPr>
      <w:r w:rsidRPr="005A1D90">
        <w:rPr>
          <w:rFonts w:ascii="Open Sans" w:hAnsi="Open Sans" w:cs="Open Sans"/>
          <w:sz w:val="20"/>
          <w:szCs w:val="20"/>
          <w:shd w:val="clear" w:color="auto" w:fill="FFFFFF"/>
        </w:rPr>
        <w:t xml:space="preserve">College of Policing. (2015, updated 2020). </w:t>
      </w:r>
      <w:r w:rsidRPr="005A1D90">
        <w:rPr>
          <w:rFonts w:ascii="Open Sans" w:hAnsi="Open Sans" w:cs="Open Sans"/>
          <w:i/>
          <w:iCs/>
          <w:sz w:val="20"/>
          <w:szCs w:val="20"/>
          <w:shd w:val="clear" w:color="auto" w:fill="FFFFFF"/>
        </w:rPr>
        <w:t>Information assurance</w:t>
      </w:r>
      <w:r w:rsidRPr="005A1D90">
        <w:rPr>
          <w:rFonts w:ascii="Open Sans" w:hAnsi="Open Sans" w:cs="Open Sans"/>
          <w:sz w:val="20"/>
          <w:szCs w:val="20"/>
          <w:shd w:val="clear" w:color="auto" w:fill="FFFFFF"/>
        </w:rPr>
        <w:t xml:space="preserve">.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hyperlink r:id="rId15" w:history="1">
        <w:r w:rsidRPr="005A1D90">
          <w:rPr>
            <w:rStyle w:val="Hyperlink"/>
            <w:rFonts w:ascii="Open Sans" w:hAnsi="Open Sans" w:cs="Open Sans"/>
            <w:color w:val="auto"/>
            <w:sz w:val="20"/>
            <w:szCs w:val="20"/>
            <w:shd w:val="clear" w:color="auto" w:fill="FFFFFF"/>
          </w:rPr>
          <w:t>https://www.app.college.police.uk/app-content/information-management/information-assurance/?highlight=holmes?s=holmes</w:t>
        </w:r>
      </w:hyperlink>
      <w:r w:rsidRPr="005A1D90">
        <w:rPr>
          <w:rFonts w:ascii="Open Sans" w:hAnsi="Open Sans" w:cs="Open Sans"/>
          <w:sz w:val="20"/>
          <w:szCs w:val="20"/>
          <w:u w:val="single"/>
          <w:shd w:val="clear" w:color="auto" w:fill="FFFFFF"/>
        </w:rPr>
        <w:t xml:space="preserve"> </w:t>
      </w:r>
      <w:r w:rsidRPr="005A1D90">
        <w:rPr>
          <w:rFonts w:ascii="Open Sans" w:hAnsi="Open Sans" w:cs="Open Sans"/>
          <w:sz w:val="20"/>
          <w:szCs w:val="20"/>
          <w:shd w:val="clear" w:color="auto" w:fill="FFFFFF"/>
        </w:rPr>
        <w:t>(Accessed: 5 April 2022)</w:t>
      </w:r>
    </w:p>
    <w:p w14:paraId="2CC59DAE" w14:textId="77777777" w:rsidR="003E7506" w:rsidRPr="005A1D90" w:rsidRDefault="003E7506" w:rsidP="00F03CF1">
      <w:pPr>
        <w:rPr>
          <w:rFonts w:ascii="Open Sans" w:hAnsi="Open Sans" w:cs="Open Sans"/>
          <w:sz w:val="20"/>
          <w:szCs w:val="20"/>
        </w:rPr>
      </w:pPr>
      <w:r w:rsidRPr="005A1D90">
        <w:rPr>
          <w:rFonts w:ascii="Open Sans" w:hAnsi="Open Sans" w:cs="Open Sans"/>
          <w:sz w:val="20"/>
          <w:szCs w:val="20"/>
          <w:shd w:val="clear" w:color="auto" w:fill="FFFFFF"/>
        </w:rPr>
        <w:t>College of Policing. (2021) </w:t>
      </w:r>
      <w:r w:rsidRPr="005A1D90">
        <w:rPr>
          <w:rFonts w:ascii="Open Sans" w:hAnsi="Open Sans" w:cs="Open Sans"/>
          <w:i/>
          <w:iCs/>
          <w:sz w:val="20"/>
          <w:szCs w:val="20"/>
          <w:shd w:val="clear" w:color="auto" w:fill="FFFFFF"/>
        </w:rPr>
        <w:t>Investigation process</w:t>
      </w:r>
      <w:r w:rsidRPr="005A1D90">
        <w:rPr>
          <w:rFonts w:ascii="Open Sans" w:hAnsi="Open Sans" w:cs="Open Sans"/>
          <w:sz w:val="20"/>
          <w:szCs w:val="20"/>
          <w:shd w:val="clear" w:color="auto" w:fill="FFFFFF"/>
        </w:rPr>
        <w:t xml:space="preserve">.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r w:rsidRPr="005A1D90">
        <w:rPr>
          <w:rFonts w:ascii="Open Sans" w:hAnsi="Open Sans" w:cs="Open Sans"/>
          <w:sz w:val="20"/>
          <w:szCs w:val="20"/>
          <w:u w:val="single"/>
          <w:shd w:val="clear" w:color="auto" w:fill="FFFFFF"/>
        </w:rPr>
        <w:t>https://www.app.college.police.uk/app-content/investigations/investigation-process/</w:t>
      </w:r>
      <w:r w:rsidRPr="005A1D90">
        <w:rPr>
          <w:rFonts w:ascii="Open Sans" w:hAnsi="Open Sans" w:cs="Open Sans"/>
          <w:sz w:val="20"/>
          <w:szCs w:val="20"/>
          <w:shd w:val="clear" w:color="auto" w:fill="FFFFFF"/>
        </w:rPr>
        <w:t xml:space="preserve"> (Accessed: 23 February 2022)</w:t>
      </w:r>
    </w:p>
    <w:p w14:paraId="343EF11B" w14:textId="77777777" w:rsidR="003E7506" w:rsidRPr="005A1D90" w:rsidRDefault="003E7506" w:rsidP="00F03CF1">
      <w:pPr>
        <w:spacing w:after="0" w:line="240" w:lineRule="auto"/>
        <w:rPr>
          <w:rFonts w:ascii="Open Sans" w:hAnsi="Open Sans" w:cs="Open Sans"/>
          <w:sz w:val="20"/>
          <w:szCs w:val="20"/>
        </w:rPr>
      </w:pPr>
      <w:r w:rsidRPr="005A1D90">
        <w:rPr>
          <w:rFonts w:ascii="Open Sans" w:hAnsi="Open Sans" w:cs="Open Sans"/>
          <w:sz w:val="20"/>
          <w:szCs w:val="20"/>
          <w:shd w:val="clear" w:color="auto" w:fill="FFFFFF"/>
        </w:rPr>
        <w:t>Cooper, P. 2014. </w:t>
      </w:r>
      <w:r w:rsidRPr="005A1D90">
        <w:rPr>
          <w:rFonts w:ascii="Open Sans" w:hAnsi="Open Sans" w:cs="Open Sans"/>
          <w:i/>
          <w:iCs/>
          <w:sz w:val="20"/>
          <w:szCs w:val="20"/>
          <w:shd w:val="clear" w:color="auto" w:fill="FFFFFF"/>
        </w:rPr>
        <w:t>Highs and Lows: The 4th Intermediary Survey</w:t>
      </w:r>
      <w:r w:rsidRPr="005A1D90">
        <w:rPr>
          <w:rFonts w:ascii="Open Sans" w:hAnsi="Open Sans" w:cs="Open Sans"/>
          <w:sz w:val="20"/>
          <w:szCs w:val="20"/>
          <w:shd w:val="clear" w:color="auto" w:fill="FFFFFF"/>
        </w:rPr>
        <w:t xml:space="preserve">. Kingston University, London. p. 20 Kingston University </w:t>
      </w:r>
      <w:proofErr w:type="spellStart"/>
      <w:r w:rsidRPr="005A1D90">
        <w:rPr>
          <w:rFonts w:ascii="Open Sans" w:hAnsi="Open Sans" w:cs="Open Sans"/>
          <w:sz w:val="20"/>
          <w:szCs w:val="20"/>
          <w:shd w:val="clear" w:color="auto" w:fill="FFFFFF"/>
        </w:rPr>
        <w:t>eprint</w:t>
      </w:r>
      <w:proofErr w:type="spellEnd"/>
      <w:r w:rsidRPr="005A1D90">
        <w:rPr>
          <w:rFonts w:ascii="Open Sans" w:hAnsi="Open Sans" w:cs="Open Sans"/>
          <w:sz w:val="20"/>
          <w:szCs w:val="20"/>
          <w:shd w:val="clear" w:color="auto" w:fill="FFFFFF"/>
        </w:rPr>
        <w:t xml:space="preserve"> [online].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hyperlink r:id="rId16" w:history="1">
        <w:r w:rsidRPr="005A1D90">
          <w:rPr>
            <w:rStyle w:val="Hyperlink"/>
            <w:rFonts w:ascii="Open Sans" w:hAnsi="Open Sans" w:cs="Open Sans"/>
            <w:color w:val="auto"/>
            <w:sz w:val="20"/>
            <w:szCs w:val="20"/>
            <w:shd w:val="clear" w:color="auto" w:fill="FFFFFF"/>
          </w:rPr>
          <w:t>https://eprints.kingston.ac.uk/id/eprint/28868/1/Cooper_P-28868</w:t>
        </w:r>
      </w:hyperlink>
      <w:r w:rsidRPr="005A1D90">
        <w:rPr>
          <w:rFonts w:ascii="Open Sans" w:hAnsi="Open Sans" w:cs="Open Sans"/>
          <w:sz w:val="20"/>
          <w:szCs w:val="20"/>
          <w:shd w:val="clear" w:color="auto" w:fill="FFFFFF"/>
        </w:rPr>
        <w:t>. [pdf] (Accessed: 26 February 2022)</w:t>
      </w:r>
    </w:p>
    <w:p w14:paraId="6DB46AED" w14:textId="77777777" w:rsidR="003E7506" w:rsidRPr="005A1D90" w:rsidRDefault="003E7506" w:rsidP="00F03CF1">
      <w:pPr>
        <w:rPr>
          <w:rFonts w:ascii="Open Sans" w:hAnsi="Open Sans" w:cs="Open Sans"/>
          <w:sz w:val="20"/>
          <w:szCs w:val="20"/>
        </w:rPr>
      </w:pPr>
      <w:r w:rsidRPr="005A1D90">
        <w:rPr>
          <w:rFonts w:ascii="Open Sans" w:hAnsi="Open Sans" w:cs="Open Sans"/>
          <w:i/>
          <w:iCs/>
          <w:sz w:val="20"/>
          <w:szCs w:val="20"/>
          <w:shd w:val="clear" w:color="auto" w:fill="FFFFFF"/>
        </w:rPr>
        <w:t>Crime and Disorder Act 1998</w:t>
      </w:r>
      <w:r w:rsidRPr="005A1D90">
        <w:rPr>
          <w:rFonts w:ascii="Open Sans" w:hAnsi="Open Sans" w:cs="Open Sans"/>
          <w:sz w:val="20"/>
          <w:szCs w:val="20"/>
          <w:shd w:val="clear" w:color="auto" w:fill="FFFFFF"/>
        </w:rPr>
        <w:t>. c, 37. Sect 115.</w:t>
      </w:r>
    </w:p>
    <w:p w14:paraId="3D77094C" w14:textId="77777777" w:rsidR="003E7506" w:rsidRPr="005A1D90" w:rsidRDefault="003E7506" w:rsidP="00F03CF1">
      <w:pPr>
        <w:rPr>
          <w:rFonts w:ascii="Open Sans" w:hAnsi="Open Sans" w:cs="Open Sans"/>
          <w:sz w:val="20"/>
          <w:szCs w:val="20"/>
        </w:rPr>
      </w:pPr>
      <w:r w:rsidRPr="009371C2">
        <w:rPr>
          <w:rFonts w:ascii="Open Sans" w:hAnsi="Open Sans" w:cs="Open Sans"/>
          <w:i/>
          <w:iCs/>
          <w:sz w:val="20"/>
          <w:szCs w:val="20"/>
          <w:shd w:val="clear" w:color="auto" w:fill="FFFFFF"/>
        </w:rPr>
        <w:t>Criminal Procedures and Investigations Act</w:t>
      </w:r>
      <w:r w:rsidRPr="005A1D90">
        <w:rPr>
          <w:rFonts w:ascii="Open Sans" w:hAnsi="Open Sans" w:cs="Open Sans"/>
          <w:sz w:val="20"/>
          <w:szCs w:val="20"/>
          <w:shd w:val="clear" w:color="auto" w:fill="FFFFFF"/>
        </w:rPr>
        <w:t xml:space="preserve"> 1996, s. 23(1)) (Code of Practice) Order 2020</w:t>
      </w:r>
      <w:r w:rsidRPr="005A1D90">
        <w:rPr>
          <w:rFonts w:ascii="Open Sans" w:hAnsi="Open Sans" w:cs="Open Sans"/>
          <w:i/>
          <w:iCs/>
          <w:sz w:val="20"/>
          <w:szCs w:val="20"/>
          <w:shd w:val="clear" w:color="auto" w:fill="FFFFFF"/>
        </w:rPr>
        <w:t>.</w:t>
      </w:r>
      <w:r w:rsidRPr="005A1D90">
        <w:rPr>
          <w:rFonts w:ascii="Open Sans" w:hAnsi="Open Sans" w:cs="Open Sans"/>
          <w:sz w:val="20"/>
          <w:szCs w:val="20"/>
          <w:shd w:val="clear" w:color="auto" w:fill="FFFFFF"/>
        </w:rPr>
        <w:t xml:space="preserve"> Ministry of Justice. UK government Website,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hyperlink r:id="rId17" w:history="1">
        <w:r w:rsidRPr="005A1D90">
          <w:rPr>
            <w:rStyle w:val="Hyperlink"/>
            <w:rFonts w:ascii="Open Sans" w:hAnsi="Open Sans" w:cs="Open Sans"/>
            <w:color w:val="auto"/>
            <w:sz w:val="20"/>
            <w:szCs w:val="20"/>
            <w:shd w:val="clear" w:color="auto" w:fill="FFFFFF"/>
          </w:rPr>
          <w:t>https://www.gov.uk/government/publications/criminal-procedure-and-investigations-act-1996-section-231-code-of-practice</w:t>
        </w:r>
      </w:hyperlink>
      <w:r w:rsidRPr="005A1D90">
        <w:rPr>
          <w:rFonts w:ascii="Open Sans" w:hAnsi="Open Sans" w:cs="Open Sans"/>
          <w:sz w:val="20"/>
          <w:szCs w:val="20"/>
          <w:shd w:val="clear" w:color="auto" w:fill="FFFFFF"/>
        </w:rPr>
        <w:t xml:space="preserve"> (Accessed 12 February 2022)</w:t>
      </w:r>
    </w:p>
    <w:p w14:paraId="1AAC848D" w14:textId="77777777" w:rsidR="003E7506" w:rsidRPr="005A1D90" w:rsidRDefault="003E7506" w:rsidP="00F03CF1">
      <w:pPr>
        <w:rPr>
          <w:rFonts w:ascii="Open Sans" w:hAnsi="Open Sans" w:cs="Open Sans"/>
          <w:sz w:val="20"/>
          <w:szCs w:val="20"/>
        </w:rPr>
      </w:pPr>
      <w:r w:rsidRPr="005A1D90">
        <w:rPr>
          <w:rFonts w:ascii="Open Sans" w:hAnsi="Open Sans" w:cs="Open Sans"/>
          <w:sz w:val="20"/>
          <w:szCs w:val="20"/>
          <w:shd w:val="clear" w:color="auto" w:fill="FFFFFF"/>
        </w:rPr>
        <w:t>Crown Prosecution Service, (2018) </w:t>
      </w:r>
      <w:r w:rsidRPr="005A1D90">
        <w:rPr>
          <w:rFonts w:ascii="Open Sans" w:hAnsi="Open Sans" w:cs="Open Sans"/>
          <w:i/>
          <w:iCs/>
          <w:sz w:val="20"/>
          <w:szCs w:val="20"/>
          <w:shd w:val="clear" w:color="auto" w:fill="FFFFFF"/>
        </w:rPr>
        <w:t xml:space="preserve">The Code for Crown Prosecutors. </w:t>
      </w:r>
      <w:r w:rsidRPr="005A1D90">
        <w:rPr>
          <w:rFonts w:ascii="Open Sans" w:hAnsi="Open Sans" w:cs="Open Sans"/>
          <w:sz w:val="20"/>
          <w:szCs w:val="20"/>
          <w:shd w:val="clear" w:color="auto" w:fill="FFFFFF"/>
        </w:rPr>
        <w:t>26</w:t>
      </w:r>
      <w:r w:rsidRPr="005A1D90">
        <w:rPr>
          <w:rFonts w:ascii="Open Sans" w:hAnsi="Open Sans" w:cs="Open Sans"/>
          <w:sz w:val="20"/>
          <w:szCs w:val="20"/>
          <w:shd w:val="clear" w:color="auto" w:fill="FFFFFF"/>
          <w:vertAlign w:val="superscript"/>
        </w:rPr>
        <w:t>th</w:t>
      </w:r>
      <w:r w:rsidRPr="005A1D90">
        <w:rPr>
          <w:rFonts w:ascii="Open Sans" w:hAnsi="Open Sans" w:cs="Open Sans"/>
          <w:sz w:val="20"/>
          <w:szCs w:val="20"/>
          <w:shd w:val="clear" w:color="auto" w:fill="FFFFFF"/>
        </w:rPr>
        <w:t xml:space="preserve"> October.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r w:rsidRPr="005A1D90">
        <w:rPr>
          <w:rFonts w:ascii="Open Sans" w:hAnsi="Open Sans" w:cs="Open Sans"/>
          <w:sz w:val="20"/>
          <w:szCs w:val="20"/>
          <w:u w:val="single"/>
          <w:shd w:val="clear" w:color="auto" w:fill="FFFFFF"/>
        </w:rPr>
        <w:t>https://www.cps.gov.uk/publication/code-crown-prosecutors</w:t>
      </w:r>
      <w:r w:rsidRPr="005A1D90">
        <w:rPr>
          <w:rFonts w:ascii="Open Sans" w:hAnsi="Open Sans" w:cs="Open Sans"/>
          <w:sz w:val="20"/>
          <w:szCs w:val="20"/>
          <w:shd w:val="clear" w:color="auto" w:fill="FFFFFF"/>
        </w:rPr>
        <w:t xml:space="preserve"> (Accessed: 24 February 2022)</w:t>
      </w:r>
    </w:p>
    <w:p w14:paraId="6765C3D3" w14:textId="77777777" w:rsidR="003E7506" w:rsidRPr="005A1D90" w:rsidRDefault="003E7506" w:rsidP="00F03CF1">
      <w:pPr>
        <w:rPr>
          <w:rFonts w:ascii="Open Sans" w:hAnsi="Open Sans" w:cs="Open Sans"/>
          <w:sz w:val="20"/>
          <w:szCs w:val="20"/>
        </w:rPr>
      </w:pPr>
      <w:r w:rsidRPr="005A1D90">
        <w:rPr>
          <w:rFonts w:ascii="Open Sans" w:hAnsi="Open Sans" w:cs="Open Sans"/>
          <w:sz w:val="20"/>
          <w:szCs w:val="20"/>
          <w:shd w:val="clear" w:color="auto" w:fill="FFFFFF"/>
        </w:rPr>
        <w:t xml:space="preserve">Crown Prosecution Service, (2019) </w:t>
      </w:r>
      <w:r w:rsidRPr="005A1D90">
        <w:rPr>
          <w:rFonts w:ascii="Open Sans" w:hAnsi="Open Sans" w:cs="Open Sans"/>
          <w:i/>
          <w:iCs/>
          <w:sz w:val="20"/>
          <w:szCs w:val="20"/>
          <w:shd w:val="clear" w:color="auto" w:fill="FFFFFF"/>
        </w:rPr>
        <w:t>Safeguarding Children as Victims and Witnesses.</w:t>
      </w:r>
      <w:r w:rsidRPr="005A1D90">
        <w:rPr>
          <w:rFonts w:ascii="Open Sans" w:hAnsi="Open Sans" w:cs="Open Sans"/>
          <w:sz w:val="20"/>
          <w:szCs w:val="20"/>
          <w:shd w:val="clear" w:color="auto" w:fill="FFFFFF"/>
        </w:rPr>
        <w:t xml:space="preserve"> Updated October.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r w:rsidRPr="005A1D90">
        <w:rPr>
          <w:rFonts w:ascii="Open Sans" w:hAnsi="Open Sans" w:cs="Open Sans"/>
          <w:sz w:val="20"/>
          <w:szCs w:val="20"/>
          <w:u w:val="single"/>
          <w:shd w:val="clear" w:color="auto" w:fill="FFFFFF"/>
        </w:rPr>
        <w:t>https://www.cps.gov.uk/legal-guidance/safeguarding-children-victims-and-witnesses</w:t>
      </w:r>
      <w:r w:rsidRPr="005A1D90">
        <w:rPr>
          <w:rFonts w:ascii="Open Sans" w:hAnsi="Open Sans" w:cs="Open Sans"/>
          <w:sz w:val="20"/>
          <w:szCs w:val="20"/>
          <w:shd w:val="clear" w:color="auto" w:fill="FFFFFF"/>
        </w:rPr>
        <w:t xml:space="preserve"> (Accessed: 23 February 2022)</w:t>
      </w:r>
    </w:p>
    <w:p w14:paraId="4616751B" w14:textId="77777777" w:rsidR="003E7506" w:rsidRPr="005A1D90" w:rsidRDefault="003E7506" w:rsidP="00F03CF1">
      <w:pPr>
        <w:rPr>
          <w:rFonts w:ascii="Open Sans" w:hAnsi="Open Sans" w:cs="Open Sans"/>
          <w:sz w:val="20"/>
          <w:szCs w:val="20"/>
        </w:rPr>
      </w:pPr>
      <w:r w:rsidRPr="005A1D90">
        <w:rPr>
          <w:rFonts w:ascii="Open Sans" w:hAnsi="Open Sans" w:cs="Open Sans"/>
          <w:sz w:val="20"/>
          <w:szCs w:val="20"/>
          <w:shd w:val="clear" w:color="auto" w:fill="FFFFFF"/>
        </w:rPr>
        <w:t xml:space="preserve">Crown Prosecution Service, (2021) </w:t>
      </w:r>
      <w:r w:rsidRPr="005A1D90">
        <w:rPr>
          <w:rFonts w:ascii="Open Sans" w:hAnsi="Open Sans" w:cs="Open Sans"/>
          <w:i/>
          <w:iCs/>
          <w:sz w:val="20"/>
          <w:szCs w:val="20"/>
          <w:shd w:val="clear" w:color="auto" w:fill="FFFFFF"/>
        </w:rPr>
        <w:t>Disclosure Manual: Chapter 31 Cases using Holmes</w:t>
      </w:r>
      <w:r w:rsidRPr="005A1D90">
        <w:rPr>
          <w:rFonts w:ascii="Open Sans" w:hAnsi="Open Sans" w:cs="Open Sans"/>
          <w:sz w:val="20"/>
          <w:szCs w:val="20"/>
          <w:shd w:val="clear" w:color="auto" w:fill="FFFFFF"/>
        </w:rPr>
        <w:t xml:space="preserve">.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hyperlink r:id="rId18" w:history="1">
        <w:r w:rsidRPr="005A1D90">
          <w:rPr>
            <w:rStyle w:val="Hyperlink"/>
            <w:rFonts w:ascii="Open Sans" w:hAnsi="Open Sans" w:cs="Open Sans"/>
            <w:color w:val="auto"/>
            <w:sz w:val="20"/>
            <w:szCs w:val="20"/>
            <w:shd w:val="clear" w:color="auto" w:fill="FFFFFF"/>
          </w:rPr>
          <w:t>https://www.cps.gov.uk/legal-guidance/disclosure-manual-chapter-31-cases-using-holmes</w:t>
        </w:r>
      </w:hyperlink>
      <w:r w:rsidRPr="005A1D90">
        <w:rPr>
          <w:rFonts w:ascii="Open Sans" w:hAnsi="Open Sans" w:cs="Open Sans"/>
          <w:sz w:val="20"/>
          <w:szCs w:val="20"/>
          <w:shd w:val="clear" w:color="auto" w:fill="FFFFFF"/>
        </w:rPr>
        <w:t xml:space="preserve"> (Accessed: 5 April 2022)</w:t>
      </w:r>
    </w:p>
    <w:p w14:paraId="66976586" w14:textId="08C9449B" w:rsidR="003E7506" w:rsidRPr="005A1D90" w:rsidRDefault="003E7506" w:rsidP="00F03CF1">
      <w:pPr>
        <w:rPr>
          <w:rFonts w:ascii="Open Sans" w:hAnsi="Open Sans" w:cs="Open Sans"/>
          <w:sz w:val="20"/>
          <w:szCs w:val="20"/>
        </w:rPr>
      </w:pPr>
      <w:r w:rsidRPr="005A1D90">
        <w:rPr>
          <w:rFonts w:ascii="Open Sans" w:hAnsi="Open Sans" w:cs="Open Sans"/>
          <w:i/>
          <w:iCs/>
          <w:sz w:val="20"/>
          <w:szCs w:val="20"/>
          <w:shd w:val="clear" w:color="auto" w:fill="FFFFFF"/>
        </w:rPr>
        <w:t>Data Protection</w:t>
      </w:r>
      <w:r w:rsidRPr="005A1D90">
        <w:rPr>
          <w:rFonts w:ascii="Open Sans" w:hAnsi="Open Sans" w:cs="Open Sans"/>
          <w:sz w:val="20"/>
          <w:szCs w:val="20"/>
          <w:shd w:val="clear" w:color="auto" w:fill="FFFFFF"/>
        </w:rPr>
        <w:t xml:space="preserve"> Act 1998, </w:t>
      </w:r>
      <w:r w:rsidRPr="005A1D90">
        <w:rPr>
          <w:rFonts w:ascii="Open Sans" w:hAnsi="Open Sans" w:cs="Open Sans"/>
          <w:i/>
          <w:iCs/>
          <w:sz w:val="20"/>
          <w:szCs w:val="20"/>
          <w:shd w:val="clear" w:color="auto" w:fill="FFFFFF"/>
        </w:rPr>
        <w:t>c. 29.</w:t>
      </w:r>
      <w:r w:rsidRPr="005A1D90">
        <w:rPr>
          <w:rFonts w:ascii="Open Sans" w:hAnsi="Open Sans" w:cs="Open Sans"/>
          <w:sz w:val="20"/>
          <w:szCs w:val="20"/>
          <w:shd w:val="clear" w:color="auto" w:fill="FFFFFF"/>
        </w:rPr>
        <w:t xml:space="preserve">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hyperlink r:id="rId19" w:history="1">
        <w:r w:rsidRPr="005A1D90">
          <w:rPr>
            <w:rStyle w:val="Hyperlink"/>
            <w:rFonts w:ascii="Open Sans" w:hAnsi="Open Sans" w:cs="Open Sans"/>
            <w:color w:val="auto"/>
            <w:sz w:val="20"/>
            <w:szCs w:val="20"/>
            <w:shd w:val="clear" w:color="auto" w:fill="FFFFFF"/>
          </w:rPr>
          <w:t>https://www.legislation.gov.uk/ukpga/1998/29/section/29/enacted</w:t>
        </w:r>
      </w:hyperlink>
      <w:r w:rsidRPr="005A1D90">
        <w:rPr>
          <w:rFonts w:ascii="Open Sans" w:hAnsi="Open Sans" w:cs="Open Sans"/>
          <w:sz w:val="20"/>
          <w:szCs w:val="20"/>
          <w:shd w:val="clear" w:color="auto" w:fill="FFFFFF"/>
        </w:rPr>
        <w:t xml:space="preserve"> (Accessed 12 February 2022)</w:t>
      </w:r>
    </w:p>
    <w:p w14:paraId="591EA1EA" w14:textId="77777777" w:rsidR="003E7506" w:rsidRPr="005A1D90" w:rsidRDefault="003E7506" w:rsidP="00F03CF1">
      <w:pPr>
        <w:rPr>
          <w:rFonts w:ascii="Open Sans" w:hAnsi="Open Sans" w:cs="Open Sans"/>
          <w:sz w:val="20"/>
          <w:szCs w:val="20"/>
        </w:rPr>
      </w:pPr>
      <w:r w:rsidRPr="005A1D90">
        <w:rPr>
          <w:rFonts w:ascii="Open Sans" w:hAnsi="Open Sans" w:cs="Open Sans"/>
          <w:sz w:val="20"/>
          <w:szCs w:val="20"/>
          <w:shd w:val="clear" w:color="auto" w:fill="FFFFFF"/>
        </w:rPr>
        <w:t>Davies, G. &amp; Westcott, H., 1999. </w:t>
      </w:r>
      <w:r w:rsidRPr="005A1D90">
        <w:rPr>
          <w:rFonts w:ascii="Open Sans" w:hAnsi="Open Sans" w:cs="Open Sans"/>
          <w:i/>
          <w:iCs/>
          <w:sz w:val="20"/>
          <w:szCs w:val="20"/>
          <w:shd w:val="clear" w:color="auto" w:fill="FFFFFF"/>
        </w:rPr>
        <w:t>Interviewing Child Witnesses under the Memorandum of Good Practice: A research review</w:t>
      </w:r>
      <w:r w:rsidRPr="005A1D90">
        <w:rPr>
          <w:rFonts w:ascii="Open Sans" w:hAnsi="Open Sans" w:cs="Open Sans"/>
          <w:sz w:val="20"/>
          <w:szCs w:val="20"/>
          <w:shd w:val="clear" w:color="auto" w:fill="FFFFFF"/>
        </w:rPr>
        <w:t xml:space="preserve">. Policing and reducing crime Unit. Police research series, paper 115. Lx.iriss.org.uk. website [online] pp. 1, 8.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hyperlink r:id="rId20" w:history="1">
        <w:r w:rsidRPr="005A1D90">
          <w:rPr>
            <w:rStyle w:val="Hyperlink"/>
            <w:rFonts w:ascii="Open Sans" w:hAnsi="Open Sans" w:cs="Open Sans"/>
            <w:color w:val="auto"/>
            <w:sz w:val="20"/>
            <w:szCs w:val="20"/>
            <w:shd w:val="clear" w:color="auto" w:fill="FFFFFF"/>
          </w:rPr>
          <w:t>https://lx.iriss.org.uk/sites/default/files/resources/040.%20Research%20Review%20of%20the%20Memorandum%20of%20Good%20Practice</w:t>
        </w:r>
      </w:hyperlink>
      <w:r w:rsidRPr="005A1D90">
        <w:rPr>
          <w:rFonts w:ascii="Open Sans" w:hAnsi="Open Sans" w:cs="Open Sans"/>
          <w:sz w:val="20"/>
          <w:szCs w:val="20"/>
          <w:shd w:val="clear" w:color="auto" w:fill="FFFFFF"/>
        </w:rPr>
        <w:t xml:space="preserve">. [pdf] </w:t>
      </w:r>
      <w:bookmarkStart w:id="1" w:name="_Hlk97668365"/>
      <w:r w:rsidRPr="005A1D90">
        <w:rPr>
          <w:rFonts w:ascii="Open Sans" w:hAnsi="Open Sans" w:cs="Open Sans"/>
          <w:sz w:val="20"/>
          <w:szCs w:val="20"/>
          <w:shd w:val="clear" w:color="auto" w:fill="FFFFFF"/>
        </w:rPr>
        <w:t>(Accessed: 26 February 2022)</w:t>
      </w:r>
      <w:bookmarkEnd w:id="1"/>
    </w:p>
    <w:p w14:paraId="07367EDB" w14:textId="77777777" w:rsidR="003E7506" w:rsidRPr="005A1D90" w:rsidRDefault="003E7506" w:rsidP="00F03CF1">
      <w:pPr>
        <w:rPr>
          <w:rFonts w:ascii="Open Sans" w:hAnsi="Open Sans" w:cs="Open Sans"/>
          <w:sz w:val="20"/>
          <w:szCs w:val="20"/>
        </w:rPr>
      </w:pPr>
      <w:proofErr w:type="spellStart"/>
      <w:r w:rsidRPr="005A1D90">
        <w:rPr>
          <w:rFonts w:ascii="Open Sans" w:hAnsi="Open Sans" w:cs="Open Sans"/>
          <w:sz w:val="20"/>
          <w:szCs w:val="20"/>
          <w:shd w:val="clear" w:color="auto" w:fill="FFFFFF"/>
        </w:rPr>
        <w:t>Defense</w:t>
      </w:r>
      <w:proofErr w:type="spellEnd"/>
      <w:r w:rsidRPr="005A1D90">
        <w:rPr>
          <w:rFonts w:ascii="Open Sans" w:hAnsi="Open Sans" w:cs="Open Sans"/>
          <w:sz w:val="20"/>
          <w:szCs w:val="20"/>
          <w:shd w:val="clear" w:color="auto" w:fill="FFFFFF"/>
        </w:rPr>
        <w:t xml:space="preserve"> technical Information </w:t>
      </w:r>
      <w:proofErr w:type="spellStart"/>
      <w:r w:rsidRPr="005A1D90">
        <w:rPr>
          <w:rFonts w:ascii="Open Sans" w:hAnsi="Open Sans" w:cs="Open Sans"/>
          <w:sz w:val="20"/>
          <w:szCs w:val="20"/>
          <w:shd w:val="clear" w:color="auto" w:fill="FFFFFF"/>
        </w:rPr>
        <w:t>Center</w:t>
      </w:r>
      <w:proofErr w:type="spellEnd"/>
      <w:r w:rsidRPr="005A1D90">
        <w:rPr>
          <w:rFonts w:ascii="Open Sans" w:hAnsi="Open Sans" w:cs="Open Sans"/>
          <w:sz w:val="20"/>
          <w:szCs w:val="20"/>
          <w:shd w:val="clear" w:color="auto" w:fill="FFFFFF"/>
        </w:rPr>
        <w:t xml:space="preserve">, Federal Aviation Administration </w:t>
      </w:r>
      <w:proofErr w:type="gramStart"/>
      <w:r w:rsidRPr="005A1D90">
        <w:rPr>
          <w:rFonts w:ascii="Open Sans" w:hAnsi="Open Sans" w:cs="Open Sans"/>
          <w:sz w:val="20"/>
          <w:szCs w:val="20"/>
          <w:shd w:val="clear" w:color="auto" w:fill="FFFFFF"/>
        </w:rPr>
        <w:t>Oklahoma city</w:t>
      </w:r>
      <w:proofErr w:type="gramEnd"/>
      <w:r w:rsidRPr="005A1D90">
        <w:rPr>
          <w:rFonts w:ascii="Open Sans" w:hAnsi="Open Sans" w:cs="Open Sans"/>
          <w:sz w:val="20"/>
          <w:szCs w:val="20"/>
          <w:shd w:val="clear" w:color="auto" w:fill="FFFFFF"/>
        </w:rPr>
        <w:t xml:space="preserve"> OK Civil aeromedical institute, (1992). </w:t>
      </w:r>
      <w:r w:rsidRPr="005A1D90">
        <w:rPr>
          <w:rFonts w:ascii="Open Sans" w:hAnsi="Open Sans" w:cs="Open Sans"/>
          <w:i/>
          <w:iCs/>
          <w:sz w:val="20"/>
          <w:szCs w:val="20"/>
          <w:shd w:val="clear" w:color="auto" w:fill="FFFFFF"/>
        </w:rPr>
        <w:t>Effects of Subordinate Feedback to the Supervisor and Participation in Decision-Making in the prediction of organizational support</w:t>
      </w:r>
      <w:r w:rsidRPr="005A1D90">
        <w:rPr>
          <w:rFonts w:ascii="Open Sans" w:hAnsi="Open Sans" w:cs="Open Sans"/>
          <w:sz w:val="20"/>
          <w:szCs w:val="20"/>
          <w:shd w:val="clear" w:color="auto" w:fill="FFFFFF"/>
        </w:rPr>
        <w:t xml:space="preserve">. pp. 1-6.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hyperlink r:id="rId21" w:history="1">
        <w:r w:rsidRPr="005A1D90">
          <w:rPr>
            <w:rStyle w:val="Hyperlink"/>
            <w:rFonts w:ascii="Open Sans" w:hAnsi="Open Sans" w:cs="Open Sans"/>
            <w:color w:val="auto"/>
            <w:sz w:val="20"/>
            <w:szCs w:val="20"/>
            <w:shd w:val="clear" w:color="auto" w:fill="FFFFFF"/>
          </w:rPr>
          <w:t>https://apps.dtic.mil/sti/citations/ADA249805</w:t>
        </w:r>
      </w:hyperlink>
      <w:r w:rsidRPr="005A1D90">
        <w:rPr>
          <w:rFonts w:ascii="Open Sans" w:hAnsi="Open Sans" w:cs="Open Sans"/>
          <w:sz w:val="20"/>
          <w:szCs w:val="20"/>
          <w:shd w:val="clear" w:color="auto" w:fill="FFFFFF"/>
        </w:rPr>
        <w:t xml:space="preserve"> (Accessed: 7 April 2022) </w:t>
      </w:r>
    </w:p>
    <w:p w14:paraId="50AD39CD" w14:textId="77777777" w:rsidR="003E7506" w:rsidRPr="005A1D90" w:rsidRDefault="003E7506" w:rsidP="00F03CF1">
      <w:pPr>
        <w:rPr>
          <w:rFonts w:ascii="Open Sans" w:hAnsi="Open Sans" w:cs="Open Sans"/>
          <w:sz w:val="20"/>
          <w:szCs w:val="20"/>
        </w:rPr>
      </w:pPr>
      <w:r w:rsidRPr="005A1D90">
        <w:rPr>
          <w:rFonts w:ascii="Open Sans" w:hAnsi="Open Sans" w:cs="Open Sans"/>
          <w:sz w:val="20"/>
          <w:szCs w:val="20"/>
          <w:shd w:val="clear" w:color="auto" w:fill="FFFFFF"/>
        </w:rPr>
        <w:t>Dyfed Powys Police, Policing &amp; Crime Commissioner. (2021) </w:t>
      </w:r>
      <w:r w:rsidRPr="005A1D90">
        <w:rPr>
          <w:rFonts w:ascii="Open Sans" w:hAnsi="Open Sans" w:cs="Open Sans"/>
          <w:i/>
          <w:iCs/>
          <w:sz w:val="20"/>
          <w:szCs w:val="20"/>
          <w:shd w:val="clear" w:color="auto" w:fill="FFFFFF"/>
        </w:rPr>
        <w:t>The Police and Crime Plan 2021-2025</w:t>
      </w:r>
      <w:r w:rsidRPr="005A1D90">
        <w:rPr>
          <w:rFonts w:ascii="Open Sans" w:hAnsi="Open Sans" w:cs="Open Sans"/>
          <w:sz w:val="20"/>
          <w:szCs w:val="20"/>
          <w:shd w:val="clear" w:color="auto" w:fill="FFFFFF"/>
        </w:rPr>
        <w:t xml:space="preserve">. Dyfed Powys Police, Policing &amp; Crime Commissioner Website.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r w:rsidRPr="005A1D90">
        <w:rPr>
          <w:rFonts w:ascii="Open Sans" w:hAnsi="Open Sans" w:cs="Open Sans"/>
          <w:sz w:val="20"/>
          <w:szCs w:val="20"/>
          <w:u w:val="single"/>
          <w:shd w:val="clear" w:color="auto" w:fill="FFFFFF"/>
        </w:rPr>
        <w:t>https://www.dyfedpowys-pcc.org.uk/en/the-commissioner/the-police-and-crime-plan/</w:t>
      </w:r>
      <w:r w:rsidRPr="005A1D90">
        <w:rPr>
          <w:rFonts w:ascii="Open Sans" w:hAnsi="Open Sans" w:cs="Open Sans"/>
          <w:sz w:val="20"/>
          <w:szCs w:val="20"/>
          <w:shd w:val="clear" w:color="auto" w:fill="FFFFFF"/>
        </w:rPr>
        <w:t xml:space="preserve"> (Accessed: 23 February 2022)</w:t>
      </w:r>
    </w:p>
    <w:p w14:paraId="208F47B0" w14:textId="77777777" w:rsidR="003E7506" w:rsidRPr="005A1D90" w:rsidRDefault="003E7506" w:rsidP="00F03CF1">
      <w:pPr>
        <w:rPr>
          <w:rFonts w:ascii="Open Sans" w:hAnsi="Open Sans" w:cs="Open Sans"/>
          <w:sz w:val="20"/>
          <w:szCs w:val="20"/>
        </w:rPr>
      </w:pPr>
      <w:proofErr w:type="spellStart"/>
      <w:r w:rsidRPr="005A1D90">
        <w:rPr>
          <w:rFonts w:ascii="Open Sans" w:hAnsi="Open Sans" w:cs="Open Sans"/>
          <w:sz w:val="20"/>
          <w:szCs w:val="20"/>
          <w:shd w:val="clear" w:color="auto" w:fill="FFFFFF"/>
        </w:rPr>
        <w:t>Fahsing</w:t>
      </w:r>
      <w:proofErr w:type="spellEnd"/>
      <w:r w:rsidRPr="005A1D90">
        <w:rPr>
          <w:rFonts w:ascii="Open Sans" w:hAnsi="Open Sans" w:cs="Open Sans"/>
          <w:sz w:val="20"/>
          <w:szCs w:val="20"/>
          <w:shd w:val="clear" w:color="auto" w:fill="FFFFFF"/>
        </w:rPr>
        <w:t>, I. (2016) </w:t>
      </w:r>
      <w:r w:rsidRPr="005A1D90">
        <w:rPr>
          <w:rFonts w:ascii="Open Sans" w:hAnsi="Open Sans" w:cs="Open Sans"/>
          <w:i/>
          <w:iCs/>
          <w:sz w:val="20"/>
          <w:szCs w:val="20"/>
          <w:shd w:val="clear" w:color="auto" w:fill="FFFFFF"/>
        </w:rPr>
        <w:t xml:space="preserve">The making of an expert </w:t>
      </w:r>
      <w:proofErr w:type="gramStart"/>
      <w:r w:rsidRPr="005A1D90">
        <w:rPr>
          <w:rFonts w:ascii="Open Sans" w:hAnsi="Open Sans" w:cs="Open Sans"/>
          <w:i/>
          <w:iCs/>
          <w:sz w:val="20"/>
          <w:szCs w:val="20"/>
          <w:shd w:val="clear" w:color="auto" w:fill="FFFFFF"/>
        </w:rPr>
        <w:t>detective :</w:t>
      </w:r>
      <w:proofErr w:type="gramEnd"/>
      <w:r w:rsidRPr="005A1D90">
        <w:rPr>
          <w:rFonts w:ascii="Open Sans" w:hAnsi="Open Sans" w:cs="Open Sans"/>
          <w:i/>
          <w:iCs/>
          <w:sz w:val="20"/>
          <w:szCs w:val="20"/>
          <w:shd w:val="clear" w:color="auto" w:fill="FFFFFF"/>
        </w:rPr>
        <w:t xml:space="preserve"> Thinking and deciding in criminal investigations</w:t>
      </w:r>
      <w:r w:rsidRPr="005A1D90">
        <w:rPr>
          <w:rFonts w:ascii="Open Sans" w:hAnsi="Open Sans" w:cs="Open Sans"/>
          <w:sz w:val="20"/>
          <w:szCs w:val="20"/>
          <w:shd w:val="clear" w:color="auto" w:fill="FFFFFF"/>
        </w:rPr>
        <w:t xml:space="preserve">. Doctorate. University of </w:t>
      </w:r>
      <w:proofErr w:type="spellStart"/>
      <w:r w:rsidRPr="005A1D90">
        <w:rPr>
          <w:rFonts w:ascii="Open Sans" w:hAnsi="Open Sans" w:cs="Open Sans"/>
          <w:sz w:val="20"/>
          <w:szCs w:val="20"/>
          <w:shd w:val="clear" w:color="auto" w:fill="FFFFFF"/>
        </w:rPr>
        <w:t>Gothenberg</w:t>
      </w:r>
      <w:proofErr w:type="spellEnd"/>
      <w:r w:rsidRPr="005A1D90">
        <w:rPr>
          <w:rFonts w:ascii="Open Sans" w:hAnsi="Open Sans" w:cs="Open Sans"/>
          <w:sz w:val="20"/>
          <w:szCs w:val="20"/>
          <w:shd w:val="clear" w:color="auto" w:fill="FFFFFF"/>
        </w:rPr>
        <w:t>, Norway. pp, 24, 25. Cites Fischhoff, B. (1975) ‘</w:t>
      </w:r>
      <w:r w:rsidRPr="005A1D90">
        <w:rPr>
          <w:rFonts w:ascii="Open Sans" w:hAnsi="Open Sans" w:cs="Open Sans"/>
          <w:i/>
          <w:iCs/>
          <w:sz w:val="20"/>
          <w:szCs w:val="20"/>
          <w:shd w:val="clear" w:color="auto" w:fill="FFFFFF"/>
        </w:rPr>
        <w:t>Hindsight is not equal to foresight: The effect of outcome knowledge on judgement under uncertainty’</w:t>
      </w:r>
      <w:r w:rsidRPr="005A1D90">
        <w:rPr>
          <w:rFonts w:ascii="Open Sans" w:hAnsi="Open Sans" w:cs="Open Sans"/>
          <w:sz w:val="20"/>
          <w:szCs w:val="20"/>
          <w:shd w:val="clear" w:color="auto" w:fill="FFFFFF"/>
        </w:rPr>
        <w:t xml:space="preserve">. Journal of Experimental Psychology: Human Perception and Performance, [s. l.], v. 1, n. 3, pp. 288-299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hyperlink r:id="rId22" w:history="1">
        <w:r w:rsidRPr="005A1D90">
          <w:rPr>
            <w:rStyle w:val="Hyperlink"/>
            <w:rFonts w:ascii="Open Sans" w:hAnsi="Open Sans" w:cs="Open Sans"/>
            <w:color w:val="auto"/>
            <w:sz w:val="20"/>
            <w:szCs w:val="20"/>
            <w:shd w:val="clear" w:color="auto" w:fill="FFFFFF"/>
          </w:rPr>
          <w:t>https://search-ebscohost-com.exproxy.uwtsd.ac.uk/login.aspx</w:t>
        </w:r>
      </w:hyperlink>
      <w:r w:rsidRPr="005A1D90">
        <w:rPr>
          <w:rFonts w:ascii="Open Sans" w:hAnsi="Open Sans" w:cs="Open Sans"/>
          <w:sz w:val="20"/>
          <w:szCs w:val="20"/>
          <w:u w:val="single"/>
          <w:shd w:val="clear" w:color="auto" w:fill="FFFFFF"/>
        </w:rPr>
        <w:t xml:space="preserve">? </w:t>
      </w:r>
      <w:r w:rsidRPr="005A1D90">
        <w:rPr>
          <w:rFonts w:ascii="Open Sans" w:hAnsi="Open Sans" w:cs="Open Sans"/>
          <w:sz w:val="20"/>
          <w:szCs w:val="20"/>
          <w:shd w:val="clear" w:color="auto" w:fill="FFFFFF"/>
        </w:rPr>
        <w:t>(Accessed: 26 February 2022)</w:t>
      </w:r>
    </w:p>
    <w:p w14:paraId="33BDF917" w14:textId="77777777" w:rsidR="003E7506" w:rsidRPr="005A1D90" w:rsidRDefault="003E7506" w:rsidP="00F03CF1">
      <w:pPr>
        <w:rPr>
          <w:rFonts w:ascii="Open Sans" w:hAnsi="Open Sans" w:cs="Open Sans"/>
          <w:sz w:val="20"/>
          <w:szCs w:val="20"/>
        </w:rPr>
      </w:pPr>
      <w:proofErr w:type="spellStart"/>
      <w:r w:rsidRPr="005A1D90">
        <w:rPr>
          <w:rFonts w:ascii="Open Sans" w:hAnsi="Open Sans" w:cs="Open Sans"/>
          <w:sz w:val="20"/>
          <w:szCs w:val="20"/>
        </w:rPr>
        <w:t>Fahsing</w:t>
      </w:r>
      <w:proofErr w:type="spellEnd"/>
      <w:r w:rsidRPr="005A1D90">
        <w:rPr>
          <w:rFonts w:ascii="Open Sans" w:hAnsi="Open Sans" w:cs="Open Sans"/>
          <w:sz w:val="20"/>
          <w:szCs w:val="20"/>
        </w:rPr>
        <w:t>, I., Rachlew, A. and May, L. (2021) ‘Have you considered the opposite? A debiasing strategy for judgment in criminal investigation’, The Police Journal. [E-</w:t>
      </w:r>
      <w:proofErr w:type="spellStart"/>
      <w:r w:rsidRPr="005A1D90">
        <w:rPr>
          <w:rFonts w:ascii="Open Sans" w:hAnsi="Open Sans" w:cs="Open Sans"/>
          <w:sz w:val="20"/>
          <w:szCs w:val="20"/>
        </w:rPr>
        <w:t>jpournal</w:t>
      </w:r>
      <w:proofErr w:type="spellEnd"/>
      <w:r w:rsidRPr="005A1D90">
        <w:rPr>
          <w:rFonts w:ascii="Open Sans" w:hAnsi="Open Sans" w:cs="Open Sans"/>
          <w:sz w:val="20"/>
          <w:szCs w:val="20"/>
        </w:rPr>
        <w:t xml:space="preserve">] Available at: </w:t>
      </w:r>
      <w:proofErr w:type="spellStart"/>
      <w:r w:rsidRPr="005A1D90">
        <w:rPr>
          <w:rFonts w:ascii="Open Sans" w:hAnsi="Open Sans" w:cs="Open Sans"/>
          <w:sz w:val="20"/>
          <w:szCs w:val="20"/>
          <w:u w:val="single"/>
        </w:rPr>
        <w:t>doi</w:t>
      </w:r>
      <w:proofErr w:type="spellEnd"/>
      <w:r w:rsidRPr="005A1D90">
        <w:rPr>
          <w:rFonts w:ascii="Open Sans" w:hAnsi="Open Sans" w:cs="Open Sans"/>
          <w:sz w:val="20"/>
          <w:szCs w:val="20"/>
          <w:u w:val="single"/>
        </w:rPr>
        <w:t>: 10.1177/0032258X211038888.</w:t>
      </w:r>
    </w:p>
    <w:p w14:paraId="1A09AC24" w14:textId="77777777" w:rsidR="003E7506" w:rsidRPr="005A1D90" w:rsidRDefault="003E7506" w:rsidP="00F03CF1">
      <w:pPr>
        <w:rPr>
          <w:rFonts w:ascii="Open Sans" w:hAnsi="Open Sans" w:cs="Open Sans"/>
          <w:sz w:val="20"/>
          <w:szCs w:val="20"/>
        </w:rPr>
      </w:pPr>
      <w:r w:rsidRPr="005A1D90">
        <w:rPr>
          <w:rFonts w:ascii="Open Sans" w:hAnsi="Open Sans" w:cs="Open Sans"/>
          <w:sz w:val="20"/>
          <w:szCs w:val="20"/>
        </w:rPr>
        <w:t xml:space="preserve">Gibney, D. &amp; Jones, A. (2014) </w:t>
      </w:r>
      <w:r w:rsidRPr="005A1D90">
        <w:rPr>
          <w:rFonts w:ascii="Open Sans" w:hAnsi="Open Sans" w:cs="Open Sans"/>
          <w:i/>
          <w:iCs/>
          <w:sz w:val="20"/>
          <w:szCs w:val="20"/>
        </w:rPr>
        <w:t>A crisis worker's observations on the psychosocial support for victims and families following child sexual abuse; a case study.</w:t>
      </w:r>
      <w:r w:rsidRPr="005A1D90">
        <w:rPr>
          <w:rFonts w:ascii="Open Sans" w:hAnsi="Open Sans" w:cs="Open Sans"/>
          <w:sz w:val="20"/>
          <w:szCs w:val="20"/>
        </w:rPr>
        <w:t xml:space="preserve"> </w:t>
      </w:r>
      <w:r w:rsidRPr="005A1D90">
        <w:rPr>
          <w:rFonts w:ascii="Open Sans" w:hAnsi="Open Sans" w:cs="Open Sans"/>
          <w:i/>
          <w:iCs/>
          <w:sz w:val="20"/>
          <w:szCs w:val="20"/>
        </w:rPr>
        <w:t>Journal of Forensic and Legal Medicine.</w:t>
      </w:r>
      <w:r w:rsidRPr="005A1D90">
        <w:rPr>
          <w:rFonts w:ascii="Open Sans" w:hAnsi="Open Sans" w:cs="Open Sans"/>
          <w:sz w:val="20"/>
          <w:szCs w:val="20"/>
        </w:rPr>
        <w:t xml:space="preserve"> [E-journal] p. 27. </w:t>
      </w:r>
      <w:r w:rsidRPr="005A1D90">
        <w:rPr>
          <w:rFonts w:ascii="Open Sans" w:hAnsi="Open Sans" w:cs="Open Sans"/>
          <w:sz w:val="20"/>
          <w:szCs w:val="20"/>
          <w:shd w:val="clear" w:color="auto" w:fill="FFFFFF"/>
        </w:rPr>
        <w:t xml:space="preserve">Available at: </w:t>
      </w:r>
      <w:hyperlink r:id="rId23" w:history="1">
        <w:r w:rsidRPr="005A1D90">
          <w:rPr>
            <w:rStyle w:val="Hyperlink"/>
            <w:rFonts w:ascii="Open Sans" w:hAnsi="Open Sans" w:cs="Open Sans"/>
            <w:color w:val="auto"/>
            <w:sz w:val="20"/>
            <w:szCs w:val="20"/>
          </w:rPr>
          <w:t>https://doi.org/10.1016/j.jflm.2014.07.001</w:t>
        </w:r>
      </w:hyperlink>
      <w:r w:rsidRPr="005A1D90">
        <w:rPr>
          <w:rFonts w:ascii="Open Sans" w:hAnsi="Open Sans" w:cs="Open Sans"/>
          <w:sz w:val="20"/>
          <w:szCs w:val="20"/>
        </w:rPr>
        <w:t>. (Accessed: 28 February 2022)</w:t>
      </w:r>
    </w:p>
    <w:p w14:paraId="001DB12E" w14:textId="77777777" w:rsidR="003E7506" w:rsidRPr="005A1D90" w:rsidRDefault="003E7506" w:rsidP="00F03CF1">
      <w:pPr>
        <w:spacing w:after="0" w:line="240" w:lineRule="auto"/>
        <w:rPr>
          <w:rFonts w:ascii="Open Sans" w:hAnsi="Open Sans" w:cs="Open Sans"/>
          <w:sz w:val="20"/>
          <w:szCs w:val="20"/>
        </w:rPr>
      </w:pPr>
      <w:r w:rsidRPr="005A1D90">
        <w:rPr>
          <w:rFonts w:ascii="Open Sans" w:eastAsia="Times New Roman" w:hAnsi="Open Sans" w:cs="Open Sans"/>
          <w:sz w:val="20"/>
          <w:szCs w:val="20"/>
          <w:lang w:eastAsia="en-GB"/>
        </w:rPr>
        <w:t>Goodman, Gail S., et al. (1992) ‘</w:t>
      </w:r>
      <w:r w:rsidRPr="005A1D90">
        <w:rPr>
          <w:rFonts w:ascii="Open Sans" w:eastAsia="Times New Roman" w:hAnsi="Open Sans" w:cs="Open Sans"/>
          <w:i/>
          <w:iCs/>
          <w:sz w:val="20"/>
          <w:szCs w:val="20"/>
          <w:lang w:eastAsia="en-GB"/>
        </w:rPr>
        <w:t>Testifying in Criminal Court: Emotional Effects on Child Sexual Assault Victims.’</w:t>
      </w:r>
      <w:r w:rsidRPr="005A1D90">
        <w:rPr>
          <w:rFonts w:ascii="Open Sans" w:eastAsia="Times New Roman" w:hAnsi="Open Sans" w:cs="Open Sans"/>
          <w:sz w:val="20"/>
          <w:szCs w:val="20"/>
          <w:lang w:eastAsia="en-GB"/>
        </w:rPr>
        <w:t xml:space="preserve"> </w:t>
      </w:r>
      <w:r w:rsidRPr="005A1D90">
        <w:rPr>
          <w:rFonts w:ascii="Open Sans" w:eastAsia="Times New Roman" w:hAnsi="Open Sans" w:cs="Open Sans"/>
          <w:i/>
          <w:iCs/>
          <w:sz w:val="20"/>
          <w:szCs w:val="20"/>
          <w:lang w:eastAsia="en-GB"/>
        </w:rPr>
        <w:t>Monographs of the Society for Research in Child Development</w:t>
      </w:r>
      <w:r w:rsidRPr="005A1D90">
        <w:rPr>
          <w:rFonts w:ascii="Open Sans" w:eastAsia="Times New Roman" w:hAnsi="Open Sans" w:cs="Open Sans"/>
          <w:sz w:val="20"/>
          <w:szCs w:val="20"/>
          <w:lang w:eastAsia="en-GB"/>
        </w:rPr>
        <w:t xml:space="preserve">, vol. 57, no. 5. Society for Research in Child Development, Wiley. p. v, Available </w:t>
      </w:r>
      <w:proofErr w:type="gramStart"/>
      <w:r w:rsidRPr="005A1D90">
        <w:rPr>
          <w:rFonts w:ascii="Open Sans" w:eastAsia="Times New Roman" w:hAnsi="Open Sans" w:cs="Open Sans"/>
          <w:sz w:val="20"/>
          <w:szCs w:val="20"/>
          <w:lang w:eastAsia="en-GB"/>
        </w:rPr>
        <w:t>at :</w:t>
      </w:r>
      <w:proofErr w:type="gramEnd"/>
      <w:r w:rsidRPr="005A1D90">
        <w:rPr>
          <w:rFonts w:ascii="Open Sans" w:eastAsia="Times New Roman" w:hAnsi="Open Sans" w:cs="Open Sans"/>
          <w:sz w:val="20"/>
          <w:szCs w:val="20"/>
          <w:lang w:eastAsia="en-GB"/>
        </w:rPr>
        <w:t xml:space="preserve"> </w:t>
      </w:r>
      <w:r w:rsidRPr="005A1D90">
        <w:rPr>
          <w:rFonts w:ascii="Open Sans" w:eastAsia="Times New Roman" w:hAnsi="Open Sans" w:cs="Open Sans"/>
          <w:sz w:val="20"/>
          <w:szCs w:val="20"/>
          <w:u w:val="single"/>
          <w:lang w:eastAsia="en-GB"/>
        </w:rPr>
        <w:t>https://doi.org/10.2307/1166127</w:t>
      </w:r>
      <w:r w:rsidRPr="005A1D90">
        <w:rPr>
          <w:rFonts w:ascii="Open Sans" w:eastAsia="Times New Roman" w:hAnsi="Open Sans" w:cs="Open Sans"/>
          <w:sz w:val="20"/>
          <w:szCs w:val="20"/>
          <w:lang w:eastAsia="en-GB"/>
        </w:rPr>
        <w:t>.</w:t>
      </w:r>
    </w:p>
    <w:p w14:paraId="0E22EBDC" w14:textId="77777777" w:rsidR="003E7506" w:rsidRPr="005A1D90" w:rsidRDefault="003E7506" w:rsidP="00F03CF1">
      <w:pPr>
        <w:rPr>
          <w:rFonts w:ascii="Open Sans" w:hAnsi="Open Sans" w:cs="Open Sans"/>
          <w:sz w:val="20"/>
          <w:szCs w:val="20"/>
        </w:rPr>
      </w:pPr>
      <w:r w:rsidRPr="005A1D90">
        <w:rPr>
          <w:rFonts w:ascii="Open Sans" w:hAnsi="Open Sans" w:cs="Open Sans"/>
          <w:sz w:val="20"/>
          <w:szCs w:val="20"/>
          <w:shd w:val="clear" w:color="auto" w:fill="FFFFFF"/>
        </w:rPr>
        <w:t xml:space="preserve">Helyer, G., et al. (2016) A qualitative study investigating the ethical </w:t>
      </w:r>
      <w:proofErr w:type="gramStart"/>
      <w:r w:rsidRPr="005A1D90">
        <w:rPr>
          <w:rFonts w:ascii="Open Sans" w:hAnsi="Open Sans" w:cs="Open Sans"/>
          <w:sz w:val="20"/>
          <w:szCs w:val="20"/>
          <w:shd w:val="clear" w:color="auto" w:fill="FFFFFF"/>
        </w:rPr>
        <w:t>decision making</w:t>
      </w:r>
      <w:proofErr w:type="gramEnd"/>
      <w:r w:rsidRPr="005A1D90">
        <w:rPr>
          <w:rFonts w:ascii="Open Sans" w:hAnsi="Open Sans" w:cs="Open Sans"/>
          <w:sz w:val="20"/>
          <w:szCs w:val="20"/>
          <w:shd w:val="clear" w:color="auto" w:fill="FFFFFF"/>
        </w:rPr>
        <w:t xml:space="preserve"> process: A proposed model. </w:t>
      </w:r>
      <w:r w:rsidRPr="005A1D90">
        <w:rPr>
          <w:rFonts w:ascii="Open Sans" w:hAnsi="Open Sans" w:cs="Open Sans"/>
          <w:i/>
          <w:iCs/>
          <w:sz w:val="20"/>
          <w:szCs w:val="20"/>
          <w:shd w:val="clear" w:color="auto" w:fill="FFFFFF"/>
        </w:rPr>
        <w:t>The Leadership Quarterly</w:t>
      </w:r>
      <w:r w:rsidRPr="005A1D90">
        <w:rPr>
          <w:rFonts w:ascii="Open Sans" w:hAnsi="Open Sans" w:cs="Open Sans"/>
          <w:sz w:val="20"/>
          <w:szCs w:val="20"/>
          <w:shd w:val="clear" w:color="auto" w:fill="FFFFFF"/>
        </w:rPr>
        <w:t xml:space="preserve">. [E-journal] pp. 794-798.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hyperlink r:id="rId24" w:tooltip="Persistent link using digital object identifier" w:history="1">
        <w:r w:rsidRPr="005A1D90">
          <w:rPr>
            <w:rFonts w:ascii="Open Sans" w:hAnsi="Open Sans" w:cs="Open Sans"/>
            <w:sz w:val="20"/>
            <w:szCs w:val="20"/>
            <w:u w:val="single"/>
          </w:rPr>
          <w:t>doi.org/10.1016/j.leaqua.2016.05.003</w:t>
        </w:r>
      </w:hyperlink>
      <w:r w:rsidRPr="005A1D90">
        <w:rPr>
          <w:rFonts w:ascii="Open Sans" w:hAnsi="Open Sans" w:cs="Open Sans"/>
          <w:sz w:val="20"/>
          <w:szCs w:val="20"/>
        </w:rPr>
        <w:t xml:space="preserve"> </w:t>
      </w:r>
    </w:p>
    <w:p w14:paraId="6CBF0899" w14:textId="77777777" w:rsidR="003E7506" w:rsidRPr="005A1D90" w:rsidRDefault="003E7506" w:rsidP="00F03CF1">
      <w:pPr>
        <w:rPr>
          <w:rFonts w:ascii="Open Sans" w:hAnsi="Open Sans" w:cs="Open Sans"/>
          <w:sz w:val="20"/>
          <w:szCs w:val="20"/>
        </w:rPr>
      </w:pPr>
      <w:r w:rsidRPr="005A1D90">
        <w:rPr>
          <w:rFonts w:ascii="Open Sans" w:hAnsi="Open Sans" w:cs="Open Sans"/>
          <w:sz w:val="20"/>
          <w:szCs w:val="20"/>
          <w:shd w:val="clear" w:color="auto" w:fill="FFFFFF"/>
        </w:rPr>
        <w:t>Her Majesty’s Inspectorate of Constabulary, Fire and Rescue Service. (2017) </w:t>
      </w:r>
      <w:r w:rsidRPr="005A1D90">
        <w:rPr>
          <w:rFonts w:ascii="Open Sans" w:hAnsi="Open Sans" w:cs="Open Sans"/>
          <w:i/>
          <w:iCs/>
          <w:sz w:val="20"/>
          <w:szCs w:val="20"/>
          <w:shd w:val="clear" w:color="auto" w:fill="FFFFFF"/>
        </w:rPr>
        <w:t>HMIC raises warning flag as forces strive to cope with increased demand</w:t>
      </w:r>
      <w:r w:rsidRPr="005A1D90">
        <w:rPr>
          <w:rFonts w:ascii="Open Sans" w:hAnsi="Open Sans" w:cs="Open Sans"/>
          <w:sz w:val="20"/>
          <w:szCs w:val="20"/>
          <w:shd w:val="clear" w:color="auto" w:fill="FFFFFF"/>
        </w:rPr>
        <w:t xml:space="preserve">.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r w:rsidRPr="005A1D90">
        <w:rPr>
          <w:rFonts w:ascii="Open Sans" w:hAnsi="Open Sans" w:cs="Open Sans"/>
          <w:sz w:val="20"/>
          <w:szCs w:val="20"/>
          <w:u w:val="single"/>
          <w:shd w:val="clear" w:color="auto" w:fill="FFFFFF"/>
        </w:rPr>
        <w:t>https://www.justiceinspectorates.gov.uk/hmicfrs/news/news-feed/hmic-raises-warning-flag-as-forces-strive-to-cope-with-increased-demand/</w:t>
      </w:r>
      <w:r w:rsidRPr="005A1D90">
        <w:rPr>
          <w:rFonts w:ascii="Open Sans" w:hAnsi="Open Sans" w:cs="Open Sans"/>
          <w:sz w:val="20"/>
          <w:szCs w:val="20"/>
          <w:shd w:val="clear" w:color="auto" w:fill="FFFFFF"/>
        </w:rPr>
        <w:t xml:space="preserve"> </w:t>
      </w:r>
      <w:bookmarkStart w:id="2" w:name="_Hlk97669815"/>
      <w:r w:rsidRPr="005A1D90">
        <w:rPr>
          <w:rFonts w:ascii="Open Sans" w:hAnsi="Open Sans" w:cs="Open Sans"/>
          <w:sz w:val="20"/>
          <w:szCs w:val="20"/>
          <w:shd w:val="clear" w:color="auto" w:fill="FFFFFF"/>
        </w:rPr>
        <w:t>(Accessed: 25 February 2022)</w:t>
      </w:r>
      <w:bookmarkEnd w:id="2"/>
    </w:p>
    <w:p w14:paraId="77B9CE32" w14:textId="77777777" w:rsidR="003E7506" w:rsidRPr="005A1D90" w:rsidRDefault="003E7506" w:rsidP="00F03CF1">
      <w:pPr>
        <w:rPr>
          <w:rFonts w:ascii="Open Sans" w:hAnsi="Open Sans" w:cs="Open Sans"/>
          <w:sz w:val="20"/>
          <w:szCs w:val="20"/>
        </w:rPr>
      </w:pPr>
      <w:r w:rsidRPr="005A1D90">
        <w:rPr>
          <w:rFonts w:ascii="Open Sans" w:hAnsi="Open Sans" w:cs="Open Sans"/>
          <w:sz w:val="20"/>
          <w:szCs w:val="20"/>
          <w:shd w:val="clear" w:color="auto" w:fill="FFFFFF"/>
        </w:rPr>
        <w:t>HM Treasury, (2003). </w:t>
      </w:r>
      <w:r w:rsidRPr="005A1D90">
        <w:rPr>
          <w:rFonts w:ascii="Open Sans" w:hAnsi="Open Sans" w:cs="Open Sans"/>
          <w:i/>
          <w:iCs/>
          <w:sz w:val="20"/>
          <w:szCs w:val="20"/>
          <w:shd w:val="clear" w:color="auto" w:fill="FFFFFF"/>
        </w:rPr>
        <w:t>Every Child Matters Report to Parliament</w:t>
      </w:r>
      <w:r w:rsidRPr="005A1D90">
        <w:rPr>
          <w:rFonts w:ascii="Open Sans" w:hAnsi="Open Sans" w:cs="Open Sans"/>
          <w:sz w:val="20"/>
          <w:szCs w:val="20"/>
          <w:shd w:val="clear" w:color="auto" w:fill="FFFFFF"/>
        </w:rPr>
        <w:t xml:space="preserve">. </w:t>
      </w:r>
      <w:r w:rsidRPr="005A1D90">
        <w:rPr>
          <w:rFonts w:ascii="Open Sans" w:hAnsi="Open Sans" w:cs="Open Sans"/>
          <w:i/>
          <w:iCs/>
          <w:sz w:val="20"/>
          <w:szCs w:val="20"/>
          <w:shd w:val="clear" w:color="auto" w:fill="FFFFFF"/>
        </w:rPr>
        <w:t>Green paper presented to Parliament by the Chief Secretary to the Treasury by Command of Her Majesty</w:t>
      </w:r>
      <w:r w:rsidRPr="005A1D90">
        <w:rPr>
          <w:rFonts w:ascii="Open Sans" w:hAnsi="Open Sans" w:cs="Open Sans"/>
          <w:sz w:val="20"/>
          <w:szCs w:val="20"/>
          <w:shd w:val="clear" w:color="auto" w:fill="FFFFFF"/>
        </w:rPr>
        <w:t xml:space="preserve">. Report </w:t>
      </w:r>
      <w:proofErr w:type="gramStart"/>
      <w:r w:rsidRPr="005A1D90">
        <w:rPr>
          <w:rFonts w:ascii="Open Sans" w:hAnsi="Open Sans" w:cs="Open Sans"/>
          <w:sz w:val="20"/>
          <w:szCs w:val="20"/>
          <w:shd w:val="clear" w:color="auto" w:fill="FFFFFF"/>
        </w:rPr>
        <w:t>Ref :</w:t>
      </w:r>
      <w:proofErr w:type="gramEnd"/>
      <w:r w:rsidRPr="005A1D90">
        <w:rPr>
          <w:rFonts w:ascii="Open Sans" w:hAnsi="Open Sans" w:cs="Open Sans"/>
          <w:sz w:val="20"/>
          <w:szCs w:val="20"/>
          <w:shd w:val="clear" w:color="auto" w:fill="FFFFFF"/>
        </w:rPr>
        <w:t xml:space="preserve"> </w:t>
      </w:r>
      <w:r w:rsidRPr="005A1D90">
        <w:rPr>
          <w:rStyle w:val="commandpapernumber"/>
          <w:rFonts w:ascii="Open Sans" w:hAnsi="Open Sans" w:cs="Open Sans"/>
          <w:sz w:val="20"/>
          <w:szCs w:val="20"/>
          <w:shd w:val="clear" w:color="auto" w:fill="FFFFFF"/>
        </w:rPr>
        <w:t>Cm. 5860.</w:t>
      </w:r>
      <w:r w:rsidRPr="005A1D90">
        <w:rPr>
          <w:rFonts w:ascii="Open Sans" w:hAnsi="Open Sans" w:cs="Open Sans"/>
          <w:sz w:val="20"/>
          <w:szCs w:val="20"/>
          <w:shd w:val="clear" w:color="auto" w:fill="FFFFFF"/>
        </w:rPr>
        <w:t xml:space="preserve"> UK Government Website. pp, 34, 51. </w:t>
      </w:r>
      <w:bookmarkStart w:id="3" w:name="_Hlk96961203"/>
      <w:r w:rsidRPr="005A1D90">
        <w:rPr>
          <w:rFonts w:ascii="Open Sans" w:hAnsi="Open Sans" w:cs="Open Sans"/>
          <w:sz w:val="20"/>
          <w:szCs w:val="20"/>
          <w:shd w:val="clear" w:color="auto" w:fill="FFFFFF"/>
        </w:rPr>
        <w:t xml:space="preserve">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bookmarkStart w:id="4" w:name="_Hlk96961231"/>
      <w:bookmarkEnd w:id="3"/>
      <w:r w:rsidRPr="005A1D90">
        <w:rPr>
          <w:rFonts w:ascii="Open Sans" w:hAnsi="Open Sans" w:cs="Open Sans"/>
          <w:sz w:val="20"/>
          <w:szCs w:val="20"/>
          <w:u w:val="single"/>
          <w:shd w:val="clear" w:color="auto" w:fill="FFFFFF"/>
        </w:rPr>
        <w:t>https://www.gov.uk/government/publications/every-child-matters</w:t>
      </w:r>
      <w:r w:rsidRPr="005A1D90">
        <w:rPr>
          <w:rFonts w:ascii="Open Sans" w:hAnsi="Open Sans" w:cs="Open Sans"/>
          <w:sz w:val="20"/>
          <w:szCs w:val="20"/>
          <w:shd w:val="clear" w:color="auto" w:fill="FFFFFF"/>
        </w:rPr>
        <w:t xml:space="preserve"> (Accessed: 24 February 2022)</w:t>
      </w:r>
      <w:bookmarkEnd w:id="4"/>
    </w:p>
    <w:p w14:paraId="2E2846E1" w14:textId="77777777" w:rsidR="003E7506" w:rsidRPr="005A1D90" w:rsidRDefault="003E7506" w:rsidP="00F03CF1">
      <w:pPr>
        <w:spacing w:after="0" w:line="240" w:lineRule="auto"/>
        <w:rPr>
          <w:rFonts w:ascii="Open Sans" w:hAnsi="Open Sans" w:cs="Open Sans"/>
          <w:sz w:val="20"/>
          <w:szCs w:val="20"/>
        </w:rPr>
      </w:pPr>
      <w:r w:rsidRPr="005A1D90">
        <w:rPr>
          <w:rFonts w:ascii="Open Sans" w:hAnsi="Open Sans" w:cs="Open Sans"/>
          <w:sz w:val="20"/>
          <w:szCs w:val="20"/>
          <w:shd w:val="clear" w:color="auto" w:fill="FFFFFF"/>
        </w:rPr>
        <w:t xml:space="preserve">Home Office and National Police Chiefs’ Council, 2022. </w:t>
      </w:r>
      <w:r w:rsidRPr="005A1D90">
        <w:rPr>
          <w:rFonts w:ascii="Open Sans" w:hAnsi="Open Sans" w:cs="Open Sans"/>
          <w:i/>
          <w:iCs/>
          <w:sz w:val="20"/>
          <w:szCs w:val="20"/>
          <w:shd w:val="clear" w:color="auto" w:fill="FFFFFF"/>
        </w:rPr>
        <w:t>Achieving Best Evidence in Criminal Proceedings: Guidance on Interviewing Victims and Witnesses, and Guidance on Using Special Measures</w:t>
      </w:r>
      <w:r w:rsidRPr="005A1D90">
        <w:rPr>
          <w:rFonts w:ascii="Open Sans" w:hAnsi="Open Sans" w:cs="Open Sans"/>
          <w:sz w:val="20"/>
          <w:szCs w:val="20"/>
          <w:shd w:val="clear" w:color="auto" w:fill="FFFFFF"/>
        </w:rPr>
        <w:t xml:space="preserve">. Assets Publishing Website [online].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hyperlink r:id="rId25" w:history="1">
        <w:r w:rsidRPr="005A1D90">
          <w:rPr>
            <w:rStyle w:val="Hyperlink"/>
            <w:rFonts w:ascii="Open Sans" w:hAnsi="Open Sans" w:cs="Open Sans"/>
            <w:color w:val="auto"/>
            <w:sz w:val="20"/>
            <w:szCs w:val="20"/>
            <w:shd w:val="clear" w:color="auto" w:fill="FFFFFF"/>
          </w:rPr>
          <w:t>https://assets.publishing.service.gov.uk/government/uploads/system/uploads/attachment_data/file/1051269/achieving-best-evidence-criminal-proceedings</w:t>
        </w:r>
      </w:hyperlink>
      <w:r w:rsidRPr="005A1D90">
        <w:rPr>
          <w:rFonts w:ascii="Open Sans" w:hAnsi="Open Sans" w:cs="Open Sans"/>
          <w:sz w:val="20"/>
          <w:szCs w:val="20"/>
          <w:shd w:val="clear" w:color="auto" w:fill="FFFFFF"/>
        </w:rPr>
        <w:t xml:space="preserve">. [pdf] </w:t>
      </w:r>
      <w:bookmarkStart w:id="5" w:name="_Hlk96962117"/>
      <w:r w:rsidRPr="005A1D90">
        <w:rPr>
          <w:rFonts w:ascii="Open Sans" w:hAnsi="Open Sans" w:cs="Open Sans"/>
          <w:sz w:val="20"/>
          <w:szCs w:val="20"/>
          <w:shd w:val="clear" w:color="auto" w:fill="FFFFFF"/>
        </w:rPr>
        <w:t>(Accessed: 26 February 2022)</w:t>
      </w:r>
      <w:bookmarkEnd w:id="5"/>
    </w:p>
    <w:p w14:paraId="744D0B58" w14:textId="77777777" w:rsidR="009371C2" w:rsidRDefault="009371C2" w:rsidP="00F03CF1">
      <w:pPr>
        <w:spacing w:after="0" w:line="240" w:lineRule="auto"/>
        <w:rPr>
          <w:rFonts w:ascii="Open Sans" w:hAnsi="Open Sans" w:cs="Open Sans"/>
          <w:sz w:val="20"/>
          <w:szCs w:val="20"/>
          <w:shd w:val="clear" w:color="auto" w:fill="FFFFFF"/>
        </w:rPr>
      </w:pPr>
    </w:p>
    <w:p w14:paraId="5A34032C" w14:textId="706BD812" w:rsidR="003E7506" w:rsidRPr="005A1D90" w:rsidRDefault="003E7506" w:rsidP="00F03CF1">
      <w:pPr>
        <w:spacing w:after="0" w:line="240" w:lineRule="auto"/>
        <w:rPr>
          <w:rFonts w:ascii="Open Sans" w:hAnsi="Open Sans" w:cs="Open Sans"/>
          <w:sz w:val="20"/>
          <w:szCs w:val="20"/>
        </w:rPr>
      </w:pPr>
      <w:r w:rsidRPr="005A1D90">
        <w:rPr>
          <w:rFonts w:ascii="Open Sans" w:hAnsi="Open Sans" w:cs="Open Sans"/>
          <w:sz w:val="20"/>
          <w:szCs w:val="20"/>
          <w:shd w:val="clear" w:color="auto" w:fill="FFFFFF"/>
        </w:rPr>
        <w:t>Home Office, (2013). </w:t>
      </w:r>
      <w:r w:rsidRPr="005A1D90">
        <w:rPr>
          <w:rFonts w:ascii="Open Sans" w:hAnsi="Open Sans" w:cs="Open Sans"/>
          <w:i/>
          <w:iCs/>
          <w:sz w:val="20"/>
          <w:szCs w:val="20"/>
          <w:shd w:val="clear" w:color="auto" w:fill="FFFFFF"/>
        </w:rPr>
        <w:t>Counting rules for recorded crime</w:t>
      </w:r>
      <w:r w:rsidRPr="005A1D90">
        <w:rPr>
          <w:rFonts w:ascii="Open Sans" w:hAnsi="Open Sans" w:cs="Open Sans"/>
          <w:sz w:val="20"/>
          <w:szCs w:val="20"/>
          <w:shd w:val="clear" w:color="auto" w:fill="FFFFFF"/>
        </w:rPr>
        <w:t>. UK Government website. Government publication. 4</w:t>
      </w:r>
      <w:r w:rsidRPr="005A1D90">
        <w:rPr>
          <w:rFonts w:ascii="Open Sans" w:hAnsi="Open Sans" w:cs="Open Sans"/>
          <w:sz w:val="20"/>
          <w:szCs w:val="20"/>
          <w:shd w:val="clear" w:color="auto" w:fill="FFFFFF"/>
          <w:vertAlign w:val="superscript"/>
        </w:rPr>
        <w:t>th</w:t>
      </w:r>
      <w:r w:rsidRPr="005A1D90">
        <w:rPr>
          <w:rFonts w:ascii="Open Sans" w:hAnsi="Open Sans" w:cs="Open Sans"/>
          <w:sz w:val="20"/>
          <w:szCs w:val="20"/>
          <w:shd w:val="clear" w:color="auto" w:fill="FFFFFF"/>
        </w:rPr>
        <w:t xml:space="preserve"> July. Available at: </w:t>
      </w:r>
      <w:hyperlink r:id="rId26" w:history="1">
        <w:r w:rsidRPr="005A1D90">
          <w:rPr>
            <w:rStyle w:val="Hyperlink"/>
            <w:rFonts w:ascii="Open Sans" w:hAnsi="Open Sans" w:cs="Open Sans"/>
            <w:color w:val="auto"/>
            <w:sz w:val="20"/>
            <w:szCs w:val="20"/>
            <w:shd w:val="clear" w:color="auto" w:fill="FFFFFF"/>
          </w:rPr>
          <w:t>https://www.go.uk/government/publications/counting-rules-for-recorded-crime</w:t>
        </w:r>
      </w:hyperlink>
      <w:r w:rsidRPr="005A1D90">
        <w:rPr>
          <w:rFonts w:ascii="Open Sans" w:hAnsi="Open Sans" w:cs="Open Sans"/>
          <w:sz w:val="20"/>
          <w:szCs w:val="20"/>
          <w:shd w:val="clear" w:color="auto" w:fill="FFFFFF"/>
        </w:rPr>
        <w:t xml:space="preserve"> (</w:t>
      </w:r>
      <w:proofErr w:type="gramStart"/>
      <w:r w:rsidRPr="005A1D90">
        <w:rPr>
          <w:rFonts w:ascii="Open Sans" w:hAnsi="Open Sans" w:cs="Open Sans"/>
          <w:sz w:val="20"/>
          <w:szCs w:val="20"/>
          <w:shd w:val="clear" w:color="auto" w:fill="FFFFFF"/>
        </w:rPr>
        <w:t>Accessed :</w:t>
      </w:r>
      <w:proofErr w:type="gramEnd"/>
      <w:r w:rsidRPr="005A1D90">
        <w:rPr>
          <w:rFonts w:ascii="Open Sans" w:hAnsi="Open Sans" w:cs="Open Sans"/>
          <w:sz w:val="20"/>
          <w:szCs w:val="20"/>
          <w:shd w:val="clear" w:color="auto" w:fill="FFFFFF"/>
        </w:rPr>
        <w:t xml:space="preserve"> 26 February 2022)</w:t>
      </w:r>
    </w:p>
    <w:p w14:paraId="186A9C3C" w14:textId="77777777" w:rsidR="003E7506" w:rsidRPr="005A1D90" w:rsidRDefault="00F67D9E" w:rsidP="00F03CF1">
      <w:pPr>
        <w:rPr>
          <w:rFonts w:ascii="Open Sans" w:hAnsi="Open Sans" w:cs="Open Sans"/>
          <w:sz w:val="20"/>
          <w:szCs w:val="20"/>
        </w:rPr>
      </w:pPr>
      <w:hyperlink r:id="rId27" w:history="1">
        <w:r w:rsidR="003E7506" w:rsidRPr="005A1D90">
          <w:rPr>
            <w:rStyle w:val="Hyperlink"/>
            <w:rFonts w:ascii="Open Sans" w:hAnsi="Open Sans" w:cs="Open Sans"/>
            <w:color w:val="auto"/>
            <w:sz w:val="20"/>
            <w:szCs w:val="20"/>
            <w:shd w:val="clear" w:color="auto" w:fill="FFFFFF"/>
          </w:rPr>
          <w:t>https://www.gov.uk/government/publications/attorney-generals-guidelines-on-disclosure-2020</w:t>
        </w:r>
      </w:hyperlink>
      <w:r w:rsidR="003E7506" w:rsidRPr="005A1D90">
        <w:rPr>
          <w:rFonts w:ascii="Open Sans" w:hAnsi="Open Sans" w:cs="Open Sans"/>
          <w:sz w:val="20"/>
          <w:szCs w:val="20"/>
          <w:shd w:val="clear" w:color="auto" w:fill="FFFFFF"/>
        </w:rPr>
        <w:t xml:space="preserve"> (Accessed 25 February 2022)</w:t>
      </w:r>
    </w:p>
    <w:p w14:paraId="4CF856D4" w14:textId="3B7C11F1" w:rsidR="003E7506" w:rsidRPr="005A1D90" w:rsidRDefault="003E7506" w:rsidP="00F03CF1">
      <w:pPr>
        <w:rPr>
          <w:rFonts w:ascii="Open Sans" w:hAnsi="Open Sans" w:cs="Open Sans"/>
          <w:sz w:val="20"/>
          <w:szCs w:val="20"/>
        </w:rPr>
      </w:pPr>
      <w:r w:rsidRPr="005A1D90">
        <w:rPr>
          <w:rFonts w:ascii="Open Sans" w:hAnsi="Open Sans" w:cs="Open Sans"/>
          <w:i/>
          <w:iCs/>
          <w:sz w:val="20"/>
          <w:szCs w:val="20"/>
          <w:shd w:val="clear" w:color="auto" w:fill="FFFFFF"/>
        </w:rPr>
        <w:t>Human Rights Act</w:t>
      </w:r>
      <w:r w:rsidRPr="005A1D90">
        <w:rPr>
          <w:rFonts w:ascii="Open Sans" w:hAnsi="Open Sans" w:cs="Open Sans"/>
          <w:sz w:val="20"/>
          <w:szCs w:val="20"/>
          <w:shd w:val="clear" w:color="auto" w:fill="FFFFFF"/>
        </w:rPr>
        <w:t xml:space="preserve"> 1998, Article 5. European Court of Human Rights. Available </w:t>
      </w:r>
      <w:proofErr w:type="gramStart"/>
      <w:r w:rsidRPr="005A1D90">
        <w:rPr>
          <w:rFonts w:ascii="Open Sans" w:hAnsi="Open Sans" w:cs="Open Sans"/>
          <w:sz w:val="20"/>
          <w:szCs w:val="20"/>
          <w:shd w:val="clear" w:color="auto" w:fill="FFFFFF"/>
        </w:rPr>
        <w:t>at :</w:t>
      </w:r>
      <w:proofErr w:type="gramEnd"/>
      <w:r w:rsidRPr="005A1D90">
        <w:rPr>
          <w:rFonts w:ascii="Open Sans" w:hAnsi="Open Sans" w:cs="Open Sans"/>
          <w:sz w:val="20"/>
          <w:szCs w:val="20"/>
          <w:shd w:val="clear" w:color="auto" w:fill="FFFFFF"/>
        </w:rPr>
        <w:t xml:space="preserve"> </w:t>
      </w:r>
      <w:hyperlink r:id="rId28" w:history="1">
        <w:r w:rsidRPr="005A1D90">
          <w:rPr>
            <w:rStyle w:val="Hyperlink"/>
            <w:rFonts w:ascii="Open Sans" w:hAnsi="Open Sans" w:cs="Open Sans"/>
            <w:color w:val="auto"/>
            <w:sz w:val="20"/>
            <w:szCs w:val="20"/>
            <w:shd w:val="clear" w:color="auto" w:fill="FFFFFF"/>
          </w:rPr>
          <w:t>https://www.legislation.gov.uk/ukpga/1998/42/schedule/1/part/I/chapter/4</w:t>
        </w:r>
      </w:hyperlink>
      <w:r w:rsidRPr="005A1D90">
        <w:rPr>
          <w:rFonts w:ascii="Open Sans" w:hAnsi="Open Sans" w:cs="Open Sans"/>
          <w:sz w:val="20"/>
          <w:szCs w:val="20"/>
          <w:shd w:val="clear" w:color="auto" w:fill="FFFFFF"/>
        </w:rPr>
        <w:t xml:space="preserve"> (Accessed </w:t>
      </w:r>
      <w:r w:rsidRPr="005A1D90">
        <w:rPr>
          <w:rFonts w:ascii="Open Sans" w:hAnsi="Open Sans" w:cs="Open Sans"/>
          <w:color w:val="000000"/>
          <w:sz w:val="20"/>
          <w:szCs w:val="20"/>
          <w:shd w:val="clear" w:color="auto" w:fill="FFFFFF"/>
        </w:rPr>
        <w:t>12 February 2022)</w:t>
      </w:r>
    </w:p>
    <w:p w14:paraId="6E27E339" w14:textId="3B4C9019" w:rsidR="003E7506" w:rsidRPr="005A1D90" w:rsidRDefault="003E7506" w:rsidP="00F03CF1">
      <w:pPr>
        <w:rPr>
          <w:rFonts w:ascii="Open Sans" w:hAnsi="Open Sans" w:cs="Open Sans"/>
          <w:sz w:val="20"/>
          <w:szCs w:val="20"/>
        </w:rPr>
      </w:pPr>
      <w:r w:rsidRPr="005A1D90">
        <w:rPr>
          <w:rFonts w:ascii="Open Sans" w:hAnsi="Open Sans" w:cs="Open Sans"/>
          <w:i/>
          <w:iCs/>
          <w:color w:val="000000"/>
          <w:sz w:val="20"/>
          <w:szCs w:val="20"/>
          <w:shd w:val="clear" w:color="auto" w:fill="FFFFFF"/>
        </w:rPr>
        <w:t>Human Rights Act</w:t>
      </w:r>
      <w:r w:rsidRPr="005A1D90">
        <w:rPr>
          <w:rFonts w:ascii="Open Sans" w:hAnsi="Open Sans" w:cs="Open Sans"/>
          <w:color w:val="000000"/>
          <w:sz w:val="20"/>
          <w:szCs w:val="20"/>
          <w:shd w:val="clear" w:color="auto" w:fill="FFFFFF"/>
        </w:rPr>
        <w:t xml:space="preserve"> 1998, Article 6. European Court of Human Rights. Available at: </w:t>
      </w:r>
      <w:r w:rsidRPr="005A1D90">
        <w:rPr>
          <w:rFonts w:ascii="Open Sans" w:hAnsi="Open Sans" w:cs="Open Sans"/>
          <w:color w:val="000000"/>
          <w:sz w:val="20"/>
          <w:szCs w:val="20"/>
          <w:u w:val="single"/>
          <w:shd w:val="clear" w:color="auto" w:fill="FFFFFF"/>
        </w:rPr>
        <w:t>https://www.legislation.gov.uk/ukpga/1998/42/schedule/1/part/I/chapter/5</w:t>
      </w:r>
      <w:r w:rsidRPr="005A1D90">
        <w:rPr>
          <w:rFonts w:ascii="Open Sans" w:hAnsi="Open Sans" w:cs="Open Sans"/>
          <w:color w:val="000000"/>
          <w:sz w:val="20"/>
          <w:szCs w:val="20"/>
          <w:shd w:val="clear" w:color="auto" w:fill="FFFFFF"/>
        </w:rPr>
        <w:t xml:space="preserve"> (Accessed: 12 February 2022)</w:t>
      </w:r>
    </w:p>
    <w:p w14:paraId="0B44E43E" w14:textId="6A76EB73" w:rsidR="003E7506" w:rsidRPr="005A1D90" w:rsidRDefault="003E7506" w:rsidP="00F03CF1">
      <w:pPr>
        <w:rPr>
          <w:rFonts w:ascii="Open Sans" w:hAnsi="Open Sans" w:cs="Open Sans"/>
          <w:sz w:val="20"/>
          <w:szCs w:val="20"/>
        </w:rPr>
      </w:pPr>
      <w:r w:rsidRPr="005A1D90">
        <w:rPr>
          <w:rFonts w:ascii="Open Sans" w:hAnsi="Open Sans" w:cs="Open Sans"/>
          <w:i/>
          <w:iCs/>
          <w:color w:val="000000"/>
          <w:sz w:val="20"/>
          <w:szCs w:val="20"/>
          <w:shd w:val="clear" w:color="auto" w:fill="FFFFFF"/>
        </w:rPr>
        <w:t>Human Rights Act</w:t>
      </w:r>
      <w:r w:rsidRPr="005A1D90">
        <w:rPr>
          <w:rFonts w:ascii="Open Sans" w:hAnsi="Open Sans" w:cs="Open Sans"/>
          <w:color w:val="000000"/>
          <w:sz w:val="20"/>
          <w:szCs w:val="20"/>
          <w:shd w:val="clear" w:color="auto" w:fill="FFFFFF"/>
        </w:rPr>
        <w:t xml:space="preserve"> 1998. European Court of Human Rights. Available </w:t>
      </w:r>
      <w:proofErr w:type="gramStart"/>
      <w:r w:rsidRPr="005A1D90">
        <w:rPr>
          <w:rFonts w:ascii="Open Sans" w:hAnsi="Open Sans" w:cs="Open Sans"/>
          <w:color w:val="000000"/>
          <w:sz w:val="20"/>
          <w:szCs w:val="20"/>
          <w:shd w:val="clear" w:color="auto" w:fill="FFFFFF"/>
        </w:rPr>
        <w:t>at :</w:t>
      </w:r>
      <w:proofErr w:type="gramEnd"/>
      <w:r w:rsidRPr="005A1D90">
        <w:rPr>
          <w:rFonts w:ascii="Open Sans" w:hAnsi="Open Sans" w:cs="Open Sans"/>
          <w:color w:val="000000"/>
          <w:sz w:val="20"/>
          <w:szCs w:val="20"/>
          <w:shd w:val="clear" w:color="auto" w:fill="FFFFFF"/>
        </w:rPr>
        <w:t xml:space="preserve"> </w:t>
      </w:r>
      <w:r w:rsidRPr="005A1D90">
        <w:rPr>
          <w:rFonts w:ascii="Open Sans" w:hAnsi="Open Sans" w:cs="Open Sans"/>
          <w:color w:val="000000"/>
          <w:sz w:val="20"/>
          <w:szCs w:val="20"/>
          <w:u w:val="single"/>
          <w:shd w:val="clear" w:color="auto" w:fill="FFFFFF"/>
        </w:rPr>
        <w:t>https://www.legislation.gov.uk/ukpga/1998/42/schedule/1/part/I/chapter/7</w:t>
      </w:r>
      <w:r w:rsidRPr="005A1D90">
        <w:rPr>
          <w:rFonts w:ascii="Open Sans" w:hAnsi="Open Sans" w:cs="Open Sans"/>
          <w:color w:val="000000"/>
          <w:sz w:val="20"/>
          <w:szCs w:val="20"/>
          <w:shd w:val="clear" w:color="auto" w:fill="FFFFFF"/>
        </w:rPr>
        <w:t xml:space="preserve"> (Accessed: 2 March 2022)</w:t>
      </w:r>
    </w:p>
    <w:p w14:paraId="6CF4CC9A" w14:textId="77777777" w:rsidR="003E7506" w:rsidRPr="005A1D90" w:rsidRDefault="003E7506" w:rsidP="00F03CF1">
      <w:pPr>
        <w:rPr>
          <w:rFonts w:ascii="Open Sans" w:hAnsi="Open Sans" w:cs="Open Sans"/>
          <w:sz w:val="20"/>
          <w:szCs w:val="20"/>
        </w:rPr>
      </w:pPr>
      <w:r w:rsidRPr="005A1D90">
        <w:rPr>
          <w:rFonts w:ascii="Open Sans" w:hAnsi="Open Sans" w:cs="Open Sans"/>
          <w:sz w:val="20"/>
          <w:szCs w:val="20"/>
        </w:rPr>
        <w:t>Johnston, E. (2020) The adversarial defence lawyer: Myths, disclosure and efficiency—A contemporary analysis of the role in the era of the Criminal Procedure Rules.</w:t>
      </w:r>
      <w:r w:rsidRPr="005A1D90">
        <w:rPr>
          <w:rFonts w:ascii="Open Sans" w:hAnsi="Open Sans" w:cs="Open Sans"/>
          <w:i/>
          <w:iCs/>
          <w:sz w:val="20"/>
          <w:szCs w:val="20"/>
        </w:rPr>
        <w:t xml:space="preserve"> The International Journal of Evidence &amp; Proof</w:t>
      </w:r>
      <w:r w:rsidRPr="005A1D90">
        <w:rPr>
          <w:rFonts w:ascii="Open Sans" w:hAnsi="Open Sans" w:cs="Open Sans"/>
          <w:sz w:val="20"/>
          <w:szCs w:val="20"/>
        </w:rPr>
        <w:t xml:space="preserve">. [E-journal] 24(1), pp. 35–58. Available </w:t>
      </w:r>
      <w:proofErr w:type="gramStart"/>
      <w:r w:rsidRPr="005A1D90">
        <w:rPr>
          <w:rFonts w:ascii="Open Sans" w:hAnsi="Open Sans" w:cs="Open Sans"/>
          <w:sz w:val="20"/>
          <w:szCs w:val="20"/>
        </w:rPr>
        <w:t>at :</w:t>
      </w:r>
      <w:proofErr w:type="gramEnd"/>
      <w:r w:rsidRPr="005A1D90">
        <w:rPr>
          <w:rFonts w:ascii="Open Sans" w:hAnsi="Open Sans" w:cs="Open Sans"/>
          <w:sz w:val="20"/>
          <w:szCs w:val="20"/>
        </w:rPr>
        <w:t xml:space="preserve"> doi:</w:t>
      </w:r>
      <w:r w:rsidRPr="005A1D90">
        <w:rPr>
          <w:rFonts w:ascii="Open Sans" w:hAnsi="Open Sans" w:cs="Open Sans"/>
          <w:sz w:val="20"/>
          <w:szCs w:val="20"/>
          <w:u w:val="single"/>
        </w:rPr>
        <w:t>10.1177/1365712719867972</w:t>
      </w:r>
      <w:r w:rsidRPr="005A1D90">
        <w:rPr>
          <w:rFonts w:ascii="Open Sans" w:hAnsi="Open Sans" w:cs="Open Sans"/>
          <w:sz w:val="20"/>
          <w:szCs w:val="20"/>
        </w:rPr>
        <w:t xml:space="preserve">. </w:t>
      </w:r>
      <w:r w:rsidRPr="005A1D90">
        <w:rPr>
          <w:rFonts w:ascii="Open Sans" w:hAnsi="Open Sans" w:cs="Open Sans"/>
          <w:color w:val="000000"/>
          <w:sz w:val="20"/>
          <w:szCs w:val="20"/>
          <w:shd w:val="clear" w:color="auto" w:fill="FFFFFF"/>
        </w:rPr>
        <w:t>(Accessed: 25 February 2022)</w:t>
      </w:r>
    </w:p>
    <w:p w14:paraId="065A24FD" w14:textId="77777777" w:rsidR="003E7506" w:rsidRPr="005A1D90" w:rsidRDefault="003E7506" w:rsidP="00F03CF1">
      <w:pPr>
        <w:rPr>
          <w:rFonts w:ascii="Open Sans" w:hAnsi="Open Sans" w:cs="Open Sans"/>
          <w:sz w:val="20"/>
          <w:szCs w:val="20"/>
        </w:rPr>
      </w:pPr>
      <w:r w:rsidRPr="005A1D90">
        <w:rPr>
          <w:rFonts w:ascii="Open Sans" w:hAnsi="Open Sans" w:cs="Open Sans"/>
          <w:color w:val="000000"/>
          <w:sz w:val="20"/>
          <w:szCs w:val="20"/>
          <w:shd w:val="clear" w:color="auto" w:fill="FFFFFF"/>
        </w:rPr>
        <w:t xml:space="preserve">Kaushik, M. &amp; </w:t>
      </w:r>
      <w:proofErr w:type="spellStart"/>
      <w:r w:rsidRPr="005A1D90">
        <w:rPr>
          <w:rFonts w:ascii="Open Sans" w:hAnsi="Open Sans" w:cs="Open Sans"/>
          <w:color w:val="000000"/>
          <w:sz w:val="20"/>
          <w:szCs w:val="20"/>
          <w:shd w:val="clear" w:color="auto" w:fill="FFFFFF"/>
        </w:rPr>
        <w:t>Guleria</w:t>
      </w:r>
      <w:proofErr w:type="spellEnd"/>
      <w:r w:rsidRPr="005A1D90">
        <w:rPr>
          <w:rFonts w:ascii="Open Sans" w:hAnsi="Open Sans" w:cs="Open Sans"/>
          <w:color w:val="000000"/>
          <w:sz w:val="20"/>
          <w:szCs w:val="20"/>
          <w:shd w:val="clear" w:color="auto" w:fill="FFFFFF"/>
        </w:rPr>
        <w:t xml:space="preserve">, N. 2020. </w:t>
      </w:r>
      <w:r w:rsidRPr="005A1D90">
        <w:rPr>
          <w:rFonts w:ascii="Open Sans" w:hAnsi="Open Sans" w:cs="Open Sans"/>
          <w:i/>
          <w:iCs/>
          <w:color w:val="000000"/>
          <w:sz w:val="20"/>
          <w:szCs w:val="20"/>
          <w:shd w:val="clear" w:color="auto" w:fill="FFFFFF"/>
        </w:rPr>
        <w:t>The Impact of Pandemic COVID -19 in Workplace.</w:t>
      </w:r>
      <w:r w:rsidRPr="005A1D90">
        <w:rPr>
          <w:rFonts w:ascii="Open Sans" w:hAnsi="Open Sans" w:cs="Open Sans"/>
          <w:color w:val="000000"/>
          <w:sz w:val="20"/>
          <w:szCs w:val="20"/>
          <w:shd w:val="clear" w:color="auto" w:fill="FFFFFF"/>
        </w:rPr>
        <w:t xml:space="preserve"> European Journal of Business and Management. </w:t>
      </w:r>
      <w:proofErr w:type="spellStart"/>
      <w:r w:rsidRPr="005A1D90">
        <w:rPr>
          <w:rFonts w:ascii="Open Sans" w:hAnsi="Open Sans" w:cs="Open Sans"/>
          <w:color w:val="000000"/>
          <w:sz w:val="20"/>
          <w:szCs w:val="20"/>
          <w:shd w:val="clear" w:color="auto" w:fill="FFFFFF"/>
        </w:rPr>
        <w:t>Researchgate</w:t>
      </w:r>
      <w:proofErr w:type="spellEnd"/>
      <w:r w:rsidRPr="005A1D90">
        <w:rPr>
          <w:rFonts w:ascii="Open Sans" w:hAnsi="Open Sans" w:cs="Open Sans"/>
          <w:color w:val="000000"/>
          <w:sz w:val="20"/>
          <w:szCs w:val="20"/>
          <w:shd w:val="clear" w:color="auto" w:fill="FFFFFF"/>
        </w:rPr>
        <w:t xml:space="preserve"> Website [online] 12(15), pp.10, 11. Available at : </w:t>
      </w:r>
      <w:hyperlink r:id="rId29" w:history="1">
        <w:r w:rsidRPr="005A1D90">
          <w:rPr>
            <w:rStyle w:val="Hyperlink"/>
            <w:rFonts w:ascii="Open Sans" w:hAnsi="Open Sans" w:cs="Open Sans"/>
            <w:color w:val="auto"/>
            <w:sz w:val="20"/>
            <w:szCs w:val="20"/>
            <w:shd w:val="clear" w:color="auto" w:fill="FFFFFF"/>
          </w:rPr>
          <w:t>https://www.researchgate.net/profile/Neha-Guleria-2/publication/353659460_The_Impact_of_Pandemic_COVID_-19_in_Workplace/links/6109085c1ca20f6f86f718be/The-Impact-of-Pandemic-COVID-19-in-Workplace</w:t>
        </w:r>
      </w:hyperlink>
      <w:r w:rsidRPr="005A1D90">
        <w:rPr>
          <w:rFonts w:ascii="Open Sans" w:hAnsi="Open Sans" w:cs="Open Sans"/>
          <w:sz w:val="20"/>
          <w:szCs w:val="20"/>
          <w:shd w:val="clear" w:color="auto" w:fill="FFFFFF"/>
        </w:rPr>
        <w:t xml:space="preserve">. </w:t>
      </w:r>
      <w:r w:rsidRPr="005A1D90">
        <w:rPr>
          <w:rFonts w:ascii="Open Sans" w:hAnsi="Open Sans" w:cs="Open Sans"/>
          <w:color w:val="000000"/>
          <w:sz w:val="20"/>
          <w:szCs w:val="20"/>
          <w:shd w:val="clear" w:color="auto" w:fill="FFFFFF"/>
        </w:rPr>
        <w:t>[pdf] (Accessed: 28 February 2022)</w:t>
      </w:r>
    </w:p>
    <w:p w14:paraId="4B49A6E5" w14:textId="77777777" w:rsidR="003E7506" w:rsidRPr="005A1D90" w:rsidRDefault="003E7506" w:rsidP="00F03CF1">
      <w:pPr>
        <w:rPr>
          <w:rFonts w:ascii="Open Sans" w:hAnsi="Open Sans" w:cs="Open Sans"/>
          <w:sz w:val="20"/>
          <w:szCs w:val="20"/>
        </w:rPr>
      </w:pPr>
      <w:proofErr w:type="spellStart"/>
      <w:r w:rsidRPr="005A1D90">
        <w:rPr>
          <w:rFonts w:ascii="Open Sans" w:hAnsi="Open Sans" w:cs="Open Sans"/>
          <w:color w:val="000000"/>
          <w:sz w:val="20"/>
          <w:szCs w:val="20"/>
          <w:shd w:val="clear" w:color="auto" w:fill="FFFFFF"/>
        </w:rPr>
        <w:t>Meysen</w:t>
      </w:r>
      <w:proofErr w:type="spellEnd"/>
      <w:r w:rsidRPr="005A1D90">
        <w:rPr>
          <w:rFonts w:ascii="Open Sans" w:hAnsi="Open Sans" w:cs="Open Sans"/>
          <w:color w:val="000000"/>
          <w:sz w:val="20"/>
          <w:szCs w:val="20"/>
          <w:shd w:val="clear" w:color="auto" w:fill="FFFFFF"/>
        </w:rPr>
        <w:t xml:space="preserve">, T. &amp; Kelly, L. (2018) Child protection systems between professional cooperation and trustful relationships: A comparison of professional practical and ethical dilemmas in England/Wales, Germany, Portugal, and Slovenia. </w:t>
      </w:r>
      <w:r w:rsidRPr="005A1D90">
        <w:rPr>
          <w:rFonts w:ascii="Open Sans" w:hAnsi="Open Sans" w:cs="Open Sans"/>
          <w:i/>
          <w:iCs/>
          <w:color w:val="000000"/>
          <w:sz w:val="20"/>
          <w:szCs w:val="20"/>
          <w:shd w:val="clear" w:color="auto" w:fill="FFFFFF"/>
        </w:rPr>
        <w:t>Child &amp; Family Social Work</w:t>
      </w:r>
      <w:r w:rsidRPr="005A1D90">
        <w:rPr>
          <w:rFonts w:ascii="Open Sans" w:hAnsi="Open Sans" w:cs="Open Sans"/>
          <w:color w:val="000000"/>
          <w:sz w:val="20"/>
          <w:szCs w:val="20"/>
          <w:shd w:val="clear" w:color="auto" w:fill="FFFFFF"/>
        </w:rPr>
        <w:t xml:space="preserve">. [E-journal] pp. 227, 228. Available </w:t>
      </w:r>
      <w:proofErr w:type="gramStart"/>
      <w:r w:rsidRPr="005A1D90">
        <w:rPr>
          <w:rFonts w:ascii="Open Sans" w:hAnsi="Open Sans" w:cs="Open Sans"/>
          <w:color w:val="000000"/>
          <w:sz w:val="20"/>
          <w:szCs w:val="20"/>
          <w:shd w:val="clear" w:color="auto" w:fill="FFFFFF"/>
        </w:rPr>
        <w:t>at :</w:t>
      </w:r>
      <w:proofErr w:type="gramEnd"/>
      <w:r w:rsidRPr="005A1D90">
        <w:rPr>
          <w:rFonts w:ascii="Open Sans" w:hAnsi="Open Sans" w:cs="Open Sans"/>
          <w:color w:val="000000"/>
          <w:sz w:val="20"/>
          <w:szCs w:val="20"/>
          <w:shd w:val="clear" w:color="auto" w:fill="FFFFFF"/>
        </w:rPr>
        <w:t xml:space="preserve"> </w:t>
      </w:r>
      <w:r w:rsidRPr="005A1D90">
        <w:rPr>
          <w:rFonts w:ascii="Open Sans" w:hAnsi="Open Sans" w:cs="Open Sans"/>
          <w:color w:val="000000"/>
          <w:sz w:val="20"/>
          <w:szCs w:val="20"/>
          <w:u w:val="single"/>
          <w:shd w:val="clear" w:color="auto" w:fill="FFFFFF"/>
        </w:rPr>
        <w:t>https://onlinelibrary.wiley.com/doi/10.1111/cfs.12403</w:t>
      </w:r>
      <w:r w:rsidRPr="005A1D90">
        <w:rPr>
          <w:rFonts w:ascii="Open Sans" w:hAnsi="Open Sans" w:cs="Open Sans"/>
          <w:color w:val="000000"/>
          <w:sz w:val="20"/>
          <w:szCs w:val="20"/>
          <w:shd w:val="clear" w:color="auto" w:fill="FFFFFF"/>
        </w:rPr>
        <w:t xml:space="preserve"> (Accessed: 28 February 2022)</w:t>
      </w:r>
    </w:p>
    <w:p w14:paraId="639486BE" w14:textId="77777777" w:rsidR="003E7506" w:rsidRPr="005A1D90" w:rsidRDefault="003E7506" w:rsidP="00F03CF1">
      <w:pPr>
        <w:rPr>
          <w:rFonts w:ascii="Open Sans" w:hAnsi="Open Sans" w:cs="Open Sans"/>
          <w:sz w:val="20"/>
          <w:szCs w:val="20"/>
        </w:rPr>
      </w:pPr>
      <w:proofErr w:type="spellStart"/>
      <w:r w:rsidRPr="005A1D90">
        <w:rPr>
          <w:rFonts w:ascii="Open Sans" w:hAnsi="Open Sans" w:cs="Open Sans"/>
          <w:sz w:val="20"/>
          <w:szCs w:val="20"/>
        </w:rPr>
        <w:t>Mohdin</w:t>
      </w:r>
      <w:proofErr w:type="spellEnd"/>
      <w:r w:rsidRPr="005A1D90">
        <w:rPr>
          <w:rFonts w:ascii="Open Sans" w:hAnsi="Open Sans" w:cs="Open Sans"/>
          <w:sz w:val="20"/>
          <w:szCs w:val="20"/>
        </w:rPr>
        <w:t xml:space="preserve">, A. &amp; Barr, C. (2019) ‘I was devastated’: the crime victims made to give up their phones’, The Guardian, 21 September. </w:t>
      </w:r>
      <w:r w:rsidRPr="005A1D90">
        <w:rPr>
          <w:rFonts w:ascii="Open Sans" w:hAnsi="Open Sans" w:cs="Open Sans"/>
          <w:color w:val="000000"/>
          <w:sz w:val="20"/>
          <w:szCs w:val="20"/>
          <w:shd w:val="clear" w:color="auto" w:fill="FFFFFF"/>
        </w:rPr>
        <w:t xml:space="preserve">Available </w:t>
      </w:r>
      <w:proofErr w:type="gramStart"/>
      <w:r w:rsidRPr="005A1D90">
        <w:rPr>
          <w:rFonts w:ascii="Open Sans" w:hAnsi="Open Sans" w:cs="Open Sans"/>
          <w:color w:val="000000"/>
          <w:sz w:val="20"/>
          <w:szCs w:val="20"/>
          <w:shd w:val="clear" w:color="auto" w:fill="FFFFFF"/>
        </w:rPr>
        <w:t>at :</w:t>
      </w:r>
      <w:proofErr w:type="gramEnd"/>
      <w:r w:rsidRPr="005A1D90">
        <w:rPr>
          <w:rFonts w:ascii="Open Sans" w:hAnsi="Open Sans" w:cs="Open Sans"/>
          <w:color w:val="000000"/>
          <w:sz w:val="20"/>
          <w:szCs w:val="20"/>
          <w:shd w:val="clear" w:color="auto" w:fill="FFFFFF"/>
        </w:rPr>
        <w:t xml:space="preserve"> </w:t>
      </w:r>
      <w:r w:rsidRPr="005A1D90">
        <w:rPr>
          <w:rFonts w:ascii="Open Sans" w:hAnsi="Open Sans" w:cs="Open Sans"/>
          <w:sz w:val="20"/>
          <w:szCs w:val="20"/>
          <w:u w:val="single"/>
        </w:rPr>
        <w:t>https://www.theguardian.com/society/2019/sep/21/devastated-crimevictims-made-to-give-up-phones</w:t>
      </w:r>
      <w:r w:rsidRPr="005A1D90">
        <w:rPr>
          <w:rFonts w:ascii="Open Sans" w:hAnsi="Open Sans" w:cs="Open Sans"/>
          <w:sz w:val="20"/>
          <w:szCs w:val="20"/>
        </w:rPr>
        <w:t xml:space="preserve">. (Accessed: 25 February 2022) </w:t>
      </w:r>
    </w:p>
    <w:p w14:paraId="540201E9" w14:textId="77777777" w:rsidR="003E7506" w:rsidRPr="005A1D90" w:rsidRDefault="003E7506" w:rsidP="00F03CF1">
      <w:pPr>
        <w:rPr>
          <w:rFonts w:ascii="Open Sans" w:hAnsi="Open Sans" w:cs="Open Sans"/>
          <w:sz w:val="20"/>
          <w:szCs w:val="20"/>
        </w:rPr>
      </w:pPr>
      <w:r w:rsidRPr="005A1D90">
        <w:rPr>
          <w:rFonts w:ascii="Open Sans" w:hAnsi="Open Sans" w:cs="Open Sans"/>
          <w:color w:val="000000"/>
          <w:sz w:val="20"/>
          <w:szCs w:val="20"/>
          <w:shd w:val="clear" w:color="auto" w:fill="FFFFFF"/>
        </w:rPr>
        <w:t xml:space="preserve">Morgan, J. &amp; </w:t>
      </w:r>
      <w:proofErr w:type="spellStart"/>
      <w:r w:rsidRPr="005A1D90">
        <w:rPr>
          <w:rFonts w:ascii="Open Sans" w:hAnsi="Open Sans" w:cs="Open Sans"/>
          <w:color w:val="000000"/>
          <w:sz w:val="20"/>
          <w:szCs w:val="20"/>
          <w:shd w:val="clear" w:color="auto" w:fill="FFFFFF"/>
        </w:rPr>
        <w:t>Zedner</w:t>
      </w:r>
      <w:proofErr w:type="spellEnd"/>
      <w:r w:rsidRPr="005A1D90">
        <w:rPr>
          <w:rFonts w:ascii="Open Sans" w:hAnsi="Open Sans" w:cs="Open Sans"/>
          <w:color w:val="000000"/>
          <w:sz w:val="20"/>
          <w:szCs w:val="20"/>
          <w:shd w:val="clear" w:color="auto" w:fill="FFFFFF"/>
        </w:rPr>
        <w:t>, L. (1998) </w:t>
      </w:r>
      <w:r w:rsidRPr="005A1D90">
        <w:rPr>
          <w:rFonts w:ascii="Open Sans" w:hAnsi="Open Sans" w:cs="Open Sans"/>
          <w:i/>
          <w:iCs/>
          <w:color w:val="000000"/>
          <w:sz w:val="20"/>
          <w:szCs w:val="20"/>
          <w:shd w:val="clear" w:color="auto" w:fill="FFFFFF"/>
        </w:rPr>
        <w:t>Child Victims: Crime, Impact, and Criminal Justice</w:t>
      </w:r>
      <w:r w:rsidRPr="005A1D90">
        <w:rPr>
          <w:rFonts w:ascii="Open Sans" w:hAnsi="Open Sans" w:cs="Open Sans"/>
          <w:color w:val="000000"/>
          <w:sz w:val="20"/>
          <w:szCs w:val="20"/>
          <w:shd w:val="clear" w:color="auto" w:fill="FFFFFF"/>
        </w:rPr>
        <w:t xml:space="preserve">. Oxford: Clarendon, p.122. Cited by Ashworth. (2000) Developments in the Public Prosecutor's Office in England and Wales. </w:t>
      </w:r>
      <w:r w:rsidRPr="005A1D90">
        <w:rPr>
          <w:rStyle w:val="Emphasis"/>
          <w:rFonts w:ascii="Open Sans" w:hAnsi="Open Sans" w:cs="Open Sans"/>
          <w:color w:val="000000"/>
          <w:sz w:val="20"/>
          <w:szCs w:val="20"/>
          <w:shd w:val="clear" w:color="auto" w:fill="FFFFFF"/>
        </w:rPr>
        <w:t>European Journal of Crime, Criminal Law and Criminal Justice</w:t>
      </w:r>
      <w:r w:rsidRPr="005A1D90">
        <w:rPr>
          <w:rFonts w:ascii="Open Sans" w:hAnsi="Open Sans" w:cs="Open Sans"/>
          <w:color w:val="000000"/>
          <w:sz w:val="20"/>
          <w:szCs w:val="20"/>
          <w:shd w:val="clear" w:color="auto" w:fill="FFFFFF"/>
        </w:rPr>
        <w:t xml:space="preserve">. [E-journal] </w:t>
      </w:r>
      <w:r w:rsidRPr="005A1D90">
        <w:rPr>
          <w:rStyle w:val="Emphasis"/>
          <w:rFonts w:ascii="Open Sans" w:hAnsi="Open Sans" w:cs="Open Sans"/>
          <w:color w:val="000000"/>
          <w:sz w:val="20"/>
          <w:szCs w:val="20"/>
          <w:shd w:val="clear" w:color="auto" w:fill="FFFFFF"/>
        </w:rPr>
        <w:t>8</w:t>
      </w:r>
      <w:r w:rsidRPr="005A1D90">
        <w:rPr>
          <w:rFonts w:ascii="Open Sans" w:hAnsi="Open Sans" w:cs="Open Sans"/>
          <w:color w:val="000000"/>
          <w:sz w:val="20"/>
          <w:szCs w:val="20"/>
          <w:shd w:val="clear" w:color="auto" w:fill="FFFFFF"/>
        </w:rPr>
        <w:t xml:space="preserve">(3), pp, 264, 275, 276. Available </w:t>
      </w:r>
      <w:proofErr w:type="gramStart"/>
      <w:r w:rsidRPr="005A1D90">
        <w:rPr>
          <w:rFonts w:ascii="Open Sans" w:hAnsi="Open Sans" w:cs="Open Sans"/>
          <w:color w:val="000000"/>
          <w:sz w:val="20"/>
          <w:szCs w:val="20"/>
          <w:shd w:val="clear" w:color="auto" w:fill="FFFFFF"/>
        </w:rPr>
        <w:t>at :</w:t>
      </w:r>
      <w:proofErr w:type="gramEnd"/>
      <w:r w:rsidRPr="005A1D90">
        <w:rPr>
          <w:rFonts w:ascii="Open Sans" w:hAnsi="Open Sans" w:cs="Open Sans"/>
          <w:color w:val="000000"/>
          <w:sz w:val="20"/>
          <w:szCs w:val="20"/>
          <w:shd w:val="clear" w:color="auto" w:fill="FFFFFF"/>
        </w:rPr>
        <w:t xml:space="preserve"> </w:t>
      </w:r>
      <w:r w:rsidRPr="005A1D90">
        <w:rPr>
          <w:rFonts w:ascii="Open Sans" w:hAnsi="Open Sans" w:cs="Open Sans"/>
          <w:color w:val="3A3A3A"/>
          <w:sz w:val="20"/>
          <w:szCs w:val="20"/>
          <w:u w:val="single"/>
          <w:shd w:val="clear" w:color="auto" w:fill="FFFFFF"/>
        </w:rPr>
        <w:t>https://doi.org/10.1163/15718170020519184</w:t>
      </w:r>
      <w:r w:rsidRPr="005A1D90">
        <w:rPr>
          <w:rFonts w:ascii="Open Sans" w:hAnsi="Open Sans" w:cs="Open Sans"/>
          <w:color w:val="000000"/>
          <w:sz w:val="20"/>
          <w:szCs w:val="20"/>
          <w:shd w:val="clear" w:color="auto" w:fill="FFFFFF"/>
        </w:rPr>
        <w:t xml:space="preserve"> </w:t>
      </w:r>
    </w:p>
    <w:p w14:paraId="6C102E25" w14:textId="77777777" w:rsidR="003E7506" w:rsidRPr="005A1D90" w:rsidRDefault="003E7506" w:rsidP="00F03CF1">
      <w:pPr>
        <w:rPr>
          <w:rFonts w:ascii="Open Sans" w:hAnsi="Open Sans" w:cs="Open Sans"/>
          <w:sz w:val="20"/>
          <w:szCs w:val="20"/>
        </w:rPr>
      </w:pPr>
      <w:r w:rsidRPr="005A1D90">
        <w:rPr>
          <w:rFonts w:ascii="Open Sans" w:hAnsi="Open Sans" w:cs="Open Sans"/>
          <w:color w:val="000000"/>
          <w:sz w:val="20"/>
          <w:szCs w:val="20"/>
          <w:shd w:val="clear" w:color="auto" w:fill="FFFFFF"/>
        </w:rPr>
        <w:t>National Centre of Policing Excellence on behalf of The Association of Chief Police Officers</w:t>
      </w:r>
      <w:r w:rsidRPr="005A1D90">
        <w:rPr>
          <w:rFonts w:ascii="Open Sans" w:hAnsi="Open Sans" w:cs="Open Sans"/>
          <w:i/>
          <w:iCs/>
          <w:color w:val="000000"/>
          <w:sz w:val="20"/>
          <w:szCs w:val="20"/>
          <w:shd w:val="clear" w:color="auto" w:fill="FFFFFF"/>
        </w:rPr>
        <w:t xml:space="preserve">. </w:t>
      </w:r>
      <w:r w:rsidRPr="005A1D90">
        <w:rPr>
          <w:rFonts w:ascii="Open Sans" w:hAnsi="Open Sans" w:cs="Open Sans"/>
          <w:color w:val="000000"/>
          <w:sz w:val="20"/>
          <w:szCs w:val="20"/>
          <w:shd w:val="clear" w:color="auto" w:fill="FFFFFF"/>
        </w:rPr>
        <w:t xml:space="preserve">2005. </w:t>
      </w:r>
      <w:r w:rsidRPr="005A1D90">
        <w:rPr>
          <w:rFonts w:ascii="Open Sans" w:hAnsi="Open Sans" w:cs="Open Sans"/>
          <w:i/>
          <w:iCs/>
          <w:color w:val="000000"/>
          <w:sz w:val="20"/>
          <w:szCs w:val="20"/>
          <w:shd w:val="clear" w:color="auto" w:fill="FFFFFF"/>
        </w:rPr>
        <w:t>Practice Advice on Core Investigative Doctrine</w:t>
      </w:r>
      <w:r w:rsidRPr="005A1D90">
        <w:rPr>
          <w:rFonts w:ascii="Open Sans" w:hAnsi="Open Sans" w:cs="Open Sans"/>
          <w:color w:val="000000"/>
          <w:sz w:val="20"/>
          <w:szCs w:val="20"/>
          <w:shd w:val="clear" w:color="auto" w:fill="FFFFFF"/>
        </w:rPr>
        <w:t xml:space="preserve">. College of Policing website [online] pp.62, 62. Available </w:t>
      </w:r>
      <w:proofErr w:type="gramStart"/>
      <w:r w:rsidRPr="005A1D90">
        <w:rPr>
          <w:rFonts w:ascii="Open Sans" w:hAnsi="Open Sans" w:cs="Open Sans"/>
          <w:color w:val="000000"/>
          <w:sz w:val="20"/>
          <w:szCs w:val="20"/>
          <w:shd w:val="clear" w:color="auto" w:fill="FFFFFF"/>
        </w:rPr>
        <w:t>at :</w:t>
      </w:r>
      <w:proofErr w:type="gramEnd"/>
      <w:r w:rsidRPr="005A1D90">
        <w:rPr>
          <w:rFonts w:ascii="Open Sans" w:hAnsi="Open Sans" w:cs="Open Sans"/>
          <w:color w:val="000000"/>
          <w:sz w:val="20"/>
          <w:szCs w:val="20"/>
          <w:shd w:val="clear" w:color="auto" w:fill="FFFFFF"/>
        </w:rPr>
        <w:t xml:space="preserve"> </w:t>
      </w:r>
      <w:r w:rsidRPr="005A1D90">
        <w:rPr>
          <w:rFonts w:ascii="Open Sans" w:hAnsi="Open Sans" w:cs="Open Sans"/>
          <w:color w:val="000000"/>
          <w:sz w:val="20"/>
          <w:szCs w:val="20"/>
          <w:u w:val="single"/>
          <w:shd w:val="clear" w:color="auto" w:fill="FFFFFF"/>
        </w:rPr>
        <w:t xml:space="preserve">https://library.college.police.uk/docs/acpo/Core-Investigative-Doctrine. </w:t>
      </w:r>
      <w:r w:rsidRPr="005A1D90">
        <w:rPr>
          <w:rFonts w:ascii="Open Sans" w:hAnsi="Open Sans" w:cs="Open Sans"/>
          <w:color w:val="000000"/>
          <w:sz w:val="20"/>
          <w:szCs w:val="20"/>
          <w:shd w:val="clear" w:color="auto" w:fill="FFFFFF"/>
        </w:rPr>
        <w:t>[pdf] (Accessed: 28 February 2022)</w:t>
      </w:r>
    </w:p>
    <w:p w14:paraId="43C72DDD" w14:textId="77777777" w:rsidR="003E7506" w:rsidRPr="005A1D90" w:rsidRDefault="003E7506" w:rsidP="00F03CF1">
      <w:pPr>
        <w:rPr>
          <w:rFonts w:ascii="Open Sans" w:hAnsi="Open Sans" w:cs="Open Sans"/>
          <w:sz w:val="20"/>
          <w:szCs w:val="20"/>
        </w:rPr>
      </w:pPr>
      <w:r w:rsidRPr="005A1D90">
        <w:rPr>
          <w:rFonts w:ascii="Open Sans" w:hAnsi="Open Sans" w:cs="Open Sans"/>
          <w:color w:val="000000"/>
          <w:sz w:val="20"/>
          <w:szCs w:val="20"/>
          <w:shd w:val="clear" w:color="auto" w:fill="FFFFFF"/>
        </w:rPr>
        <w:t>National Police Chiefs' Council (NPCC), (2021) </w:t>
      </w:r>
      <w:r w:rsidRPr="005A1D90">
        <w:rPr>
          <w:rFonts w:ascii="Open Sans" w:hAnsi="Open Sans" w:cs="Open Sans"/>
          <w:i/>
          <w:iCs/>
          <w:color w:val="000000"/>
          <w:sz w:val="20"/>
          <w:szCs w:val="20"/>
          <w:shd w:val="clear" w:color="auto" w:fill="FFFFFF"/>
        </w:rPr>
        <w:t>Closer working commitment by CPS and Police to close gap on rape and sexual offence prosecutions</w:t>
      </w:r>
      <w:r w:rsidRPr="005A1D90">
        <w:rPr>
          <w:rFonts w:ascii="Open Sans" w:hAnsi="Open Sans" w:cs="Open Sans"/>
          <w:color w:val="000000"/>
          <w:sz w:val="20"/>
          <w:szCs w:val="20"/>
          <w:shd w:val="clear" w:color="auto" w:fill="FFFFFF"/>
        </w:rPr>
        <w:t xml:space="preserve">. Available at: </w:t>
      </w:r>
      <w:r w:rsidRPr="005A1D90">
        <w:rPr>
          <w:rFonts w:ascii="Open Sans" w:hAnsi="Open Sans" w:cs="Open Sans"/>
          <w:color w:val="000000"/>
          <w:sz w:val="20"/>
          <w:szCs w:val="20"/>
          <w:u w:val="single"/>
          <w:shd w:val="clear" w:color="auto" w:fill="FFFFFF"/>
        </w:rPr>
        <w:t>https://news.npcc.police.uk/releases/closer-working-commitment-by-cps-and-police-to-close-gap-on-rape-and-sexual-offence-prosecutions</w:t>
      </w:r>
      <w:r w:rsidRPr="005A1D90">
        <w:rPr>
          <w:rFonts w:ascii="Open Sans" w:hAnsi="Open Sans" w:cs="Open Sans"/>
          <w:color w:val="000000"/>
          <w:sz w:val="20"/>
          <w:szCs w:val="20"/>
          <w:shd w:val="clear" w:color="auto" w:fill="FFFFFF"/>
        </w:rPr>
        <w:t xml:space="preserve"> </w:t>
      </w:r>
      <w:bookmarkStart w:id="6" w:name="_Hlk97671491"/>
      <w:r w:rsidRPr="005A1D90">
        <w:rPr>
          <w:rFonts w:ascii="Open Sans" w:hAnsi="Open Sans" w:cs="Open Sans"/>
          <w:color w:val="000000"/>
          <w:sz w:val="20"/>
          <w:szCs w:val="20"/>
          <w:shd w:val="clear" w:color="auto" w:fill="FFFFFF"/>
        </w:rPr>
        <w:t>(Accessed: 24 February 2022)</w:t>
      </w:r>
      <w:bookmarkEnd w:id="6"/>
    </w:p>
    <w:p w14:paraId="4B374AD4" w14:textId="77777777" w:rsidR="003E7506" w:rsidRPr="005A1D90" w:rsidRDefault="003E7506" w:rsidP="00F03CF1">
      <w:pPr>
        <w:rPr>
          <w:rFonts w:ascii="Open Sans" w:hAnsi="Open Sans" w:cs="Open Sans"/>
          <w:sz w:val="20"/>
          <w:szCs w:val="20"/>
        </w:rPr>
      </w:pPr>
      <w:r w:rsidRPr="005A1D90">
        <w:rPr>
          <w:rFonts w:ascii="Open Sans" w:hAnsi="Open Sans" w:cs="Open Sans"/>
          <w:color w:val="000000"/>
          <w:sz w:val="20"/>
          <w:szCs w:val="20"/>
          <w:shd w:val="clear" w:color="auto" w:fill="FFFFFF"/>
        </w:rPr>
        <w:t xml:space="preserve">Oldham, S. (2013) ‘5 cases about the Criminal Procedure Rules’. Crime Home by Stephen Oldham Solicitors. Available at: </w:t>
      </w:r>
      <w:r w:rsidRPr="005A1D90">
        <w:rPr>
          <w:rFonts w:ascii="Open Sans" w:hAnsi="Open Sans" w:cs="Open Sans"/>
          <w:color w:val="000000"/>
          <w:sz w:val="20"/>
          <w:szCs w:val="20"/>
          <w:u w:val="single"/>
          <w:shd w:val="clear" w:color="auto" w:fill="FFFFFF"/>
        </w:rPr>
        <w:t>https://crimehome.wordpress.com/2013/03/19/5-cases-about-the-criminal-procedure-rules/</w:t>
      </w:r>
      <w:r w:rsidRPr="005A1D90">
        <w:rPr>
          <w:rFonts w:ascii="Open Sans" w:hAnsi="Open Sans" w:cs="Open Sans"/>
          <w:color w:val="000000"/>
          <w:sz w:val="20"/>
          <w:szCs w:val="20"/>
          <w:shd w:val="clear" w:color="auto" w:fill="FFFFFF"/>
        </w:rPr>
        <w:t xml:space="preserve"> (Accessed: 28 February 2022)</w:t>
      </w:r>
    </w:p>
    <w:p w14:paraId="233E952A" w14:textId="77777777" w:rsidR="003E7506" w:rsidRPr="005A1D90" w:rsidRDefault="003E7506" w:rsidP="00F03CF1">
      <w:pPr>
        <w:rPr>
          <w:rFonts w:ascii="Open Sans" w:hAnsi="Open Sans" w:cs="Open Sans"/>
          <w:sz w:val="20"/>
          <w:szCs w:val="20"/>
        </w:rPr>
      </w:pPr>
      <w:proofErr w:type="spellStart"/>
      <w:r w:rsidRPr="005A1D90">
        <w:rPr>
          <w:rFonts w:ascii="Open Sans" w:hAnsi="Open Sans" w:cs="Open Sans"/>
          <w:color w:val="000000"/>
          <w:sz w:val="20"/>
          <w:szCs w:val="20"/>
          <w:shd w:val="clear" w:color="auto" w:fill="FFFFFF"/>
        </w:rPr>
        <w:t>Plotnikoff</w:t>
      </w:r>
      <w:proofErr w:type="spellEnd"/>
      <w:r w:rsidRPr="005A1D90">
        <w:rPr>
          <w:rFonts w:ascii="Open Sans" w:hAnsi="Open Sans" w:cs="Open Sans"/>
          <w:color w:val="000000"/>
          <w:sz w:val="20"/>
          <w:szCs w:val="20"/>
          <w:shd w:val="clear" w:color="auto" w:fill="FFFFFF"/>
        </w:rPr>
        <w:t>, J. &amp; Woolfson, R., 2001. </w:t>
      </w:r>
      <w:r w:rsidRPr="005A1D90">
        <w:rPr>
          <w:rFonts w:ascii="Open Sans" w:hAnsi="Open Sans" w:cs="Open Sans"/>
          <w:i/>
          <w:iCs/>
          <w:color w:val="000000"/>
          <w:sz w:val="20"/>
          <w:szCs w:val="20"/>
          <w:shd w:val="clear" w:color="auto" w:fill="FFFFFF"/>
        </w:rPr>
        <w:t>'A fair balance’? Evaluation of the operation of disclosure law</w:t>
      </w:r>
      <w:r w:rsidRPr="005A1D90">
        <w:rPr>
          <w:rFonts w:ascii="Open Sans" w:hAnsi="Open Sans" w:cs="Open Sans"/>
          <w:color w:val="000000"/>
          <w:sz w:val="20"/>
          <w:szCs w:val="20"/>
          <w:shd w:val="clear" w:color="auto" w:fill="FFFFFF"/>
        </w:rPr>
        <w:t xml:space="preserve">. </w:t>
      </w:r>
      <w:r w:rsidRPr="005A1D90">
        <w:rPr>
          <w:rFonts w:ascii="Open Sans" w:hAnsi="Open Sans" w:cs="Open Sans"/>
          <w:i/>
          <w:iCs/>
          <w:color w:val="000000"/>
          <w:sz w:val="20"/>
          <w:szCs w:val="20"/>
          <w:shd w:val="clear" w:color="auto" w:fill="FFFFFF"/>
        </w:rPr>
        <w:t>The Research, Development and Statistics Directorate, Home Office</w:t>
      </w:r>
      <w:r w:rsidRPr="005A1D90">
        <w:rPr>
          <w:rFonts w:ascii="Open Sans" w:hAnsi="Open Sans" w:cs="Open Sans"/>
          <w:color w:val="000000"/>
          <w:sz w:val="20"/>
          <w:szCs w:val="20"/>
          <w:shd w:val="clear" w:color="auto" w:fill="FFFFFF"/>
        </w:rPr>
        <w:t xml:space="preserve">. Research gate Website [online] pp. 6,18, 21, 22, 62, 111, 112. Available at: </w:t>
      </w:r>
      <w:hyperlink r:id="rId30" w:history="1">
        <w:r w:rsidRPr="005A1D90">
          <w:rPr>
            <w:rStyle w:val="Hyperlink"/>
            <w:rFonts w:ascii="Open Sans" w:hAnsi="Open Sans" w:cs="Open Sans"/>
            <w:color w:val="auto"/>
            <w:sz w:val="20"/>
            <w:szCs w:val="20"/>
            <w:shd w:val="clear" w:color="auto" w:fill="FFFFFF"/>
          </w:rPr>
          <w:t>https://www.researchgate.net/profile/Richard-Woolfson/publication/344208077_'A_fair_balance'_Evaluation_of_the_operation_of_disclosure_law/links/5f5bae4d299bf1d43cfab811/A-fair-balance-Evaluation-of-the-operation-of-disclosure-law</w:t>
        </w:r>
      </w:hyperlink>
      <w:r w:rsidRPr="005A1D90">
        <w:rPr>
          <w:rFonts w:ascii="Open Sans" w:hAnsi="Open Sans" w:cs="Open Sans"/>
          <w:color w:val="000000"/>
          <w:sz w:val="20"/>
          <w:szCs w:val="20"/>
          <w:shd w:val="clear" w:color="auto" w:fill="FFFFFF"/>
        </w:rPr>
        <w:t>. [pdf] (Accessed: 28 February 2022)</w:t>
      </w:r>
    </w:p>
    <w:p w14:paraId="32ED202F" w14:textId="306F616D" w:rsidR="003E7506" w:rsidRPr="005A1D90" w:rsidRDefault="003E7506" w:rsidP="00F03CF1">
      <w:pPr>
        <w:rPr>
          <w:rFonts w:ascii="Open Sans" w:hAnsi="Open Sans" w:cs="Open Sans"/>
          <w:sz w:val="20"/>
          <w:szCs w:val="20"/>
        </w:rPr>
      </w:pPr>
      <w:r w:rsidRPr="005A1D90">
        <w:rPr>
          <w:rFonts w:ascii="Open Sans" w:hAnsi="Open Sans" w:cs="Open Sans"/>
          <w:i/>
          <w:iCs/>
          <w:color w:val="000000"/>
          <w:sz w:val="20"/>
          <w:szCs w:val="20"/>
          <w:shd w:val="clear" w:color="auto" w:fill="FFFFFF"/>
        </w:rPr>
        <w:t>Police and Criminal Evidence Act</w:t>
      </w:r>
      <w:r w:rsidR="009371C2">
        <w:rPr>
          <w:rFonts w:ascii="Open Sans" w:hAnsi="Open Sans" w:cs="Open Sans"/>
          <w:i/>
          <w:iCs/>
          <w:color w:val="000000"/>
          <w:sz w:val="20"/>
          <w:szCs w:val="20"/>
          <w:shd w:val="clear" w:color="auto" w:fill="FFFFFF"/>
        </w:rPr>
        <w:t xml:space="preserve"> </w:t>
      </w:r>
      <w:r w:rsidRPr="005A1D90">
        <w:rPr>
          <w:rFonts w:ascii="Open Sans" w:hAnsi="Open Sans" w:cs="Open Sans"/>
          <w:color w:val="000000"/>
          <w:sz w:val="20"/>
          <w:szCs w:val="20"/>
          <w:shd w:val="clear" w:color="auto" w:fill="FFFFFF"/>
        </w:rPr>
        <w:t xml:space="preserve">1984. Available </w:t>
      </w:r>
      <w:proofErr w:type="gramStart"/>
      <w:r w:rsidRPr="005A1D90">
        <w:rPr>
          <w:rFonts w:ascii="Open Sans" w:hAnsi="Open Sans" w:cs="Open Sans"/>
          <w:color w:val="000000"/>
          <w:sz w:val="20"/>
          <w:szCs w:val="20"/>
          <w:shd w:val="clear" w:color="auto" w:fill="FFFFFF"/>
        </w:rPr>
        <w:t>at :</w:t>
      </w:r>
      <w:proofErr w:type="gramEnd"/>
      <w:r w:rsidRPr="005A1D90">
        <w:rPr>
          <w:rFonts w:ascii="Open Sans" w:hAnsi="Open Sans" w:cs="Open Sans"/>
          <w:color w:val="000000"/>
          <w:sz w:val="20"/>
          <w:szCs w:val="20"/>
          <w:shd w:val="clear" w:color="auto" w:fill="FFFFFF"/>
        </w:rPr>
        <w:t xml:space="preserve"> </w:t>
      </w:r>
      <w:r w:rsidRPr="005A1D90">
        <w:rPr>
          <w:rFonts w:ascii="Open Sans" w:hAnsi="Open Sans" w:cs="Open Sans"/>
          <w:color w:val="000000"/>
          <w:sz w:val="20"/>
          <w:szCs w:val="20"/>
          <w:u w:val="single"/>
          <w:shd w:val="clear" w:color="auto" w:fill="FFFFFF"/>
        </w:rPr>
        <w:t>https://www.legislation.gov.uk/ukpga/1984/60/contents</w:t>
      </w:r>
      <w:r w:rsidRPr="005A1D90">
        <w:rPr>
          <w:rFonts w:ascii="Open Sans" w:hAnsi="Open Sans" w:cs="Open Sans"/>
          <w:color w:val="000000"/>
          <w:sz w:val="20"/>
          <w:szCs w:val="20"/>
          <w:shd w:val="clear" w:color="auto" w:fill="FFFFFF"/>
        </w:rPr>
        <w:t xml:space="preserve"> (Accessed: 12 February 2022)</w:t>
      </w:r>
    </w:p>
    <w:p w14:paraId="4DF88031" w14:textId="6888AFF7" w:rsidR="003E7506" w:rsidRPr="005A1D90" w:rsidRDefault="003E7506" w:rsidP="00F03CF1">
      <w:pPr>
        <w:rPr>
          <w:rFonts w:ascii="Open Sans" w:hAnsi="Open Sans" w:cs="Open Sans"/>
          <w:sz w:val="20"/>
          <w:szCs w:val="20"/>
        </w:rPr>
      </w:pPr>
      <w:r w:rsidRPr="005A1D90">
        <w:rPr>
          <w:rFonts w:ascii="Open Sans" w:hAnsi="Open Sans" w:cs="Open Sans"/>
          <w:i/>
          <w:iCs/>
          <w:color w:val="000000"/>
          <w:sz w:val="20"/>
          <w:szCs w:val="20"/>
          <w:shd w:val="clear" w:color="auto" w:fill="FFFFFF"/>
        </w:rPr>
        <w:t>Police and Criminal Evidence Act</w:t>
      </w:r>
      <w:r w:rsidRPr="005A1D90">
        <w:rPr>
          <w:rFonts w:ascii="Open Sans" w:hAnsi="Open Sans" w:cs="Open Sans"/>
          <w:color w:val="000000"/>
          <w:sz w:val="20"/>
          <w:szCs w:val="20"/>
          <w:shd w:val="clear" w:color="auto" w:fill="FFFFFF"/>
        </w:rPr>
        <w:t xml:space="preserve"> 1989,</w:t>
      </w:r>
      <w:r w:rsidRPr="005A1D90">
        <w:rPr>
          <w:rFonts w:ascii="Open Sans" w:hAnsi="Open Sans" w:cs="Open Sans"/>
          <w:i/>
          <w:iCs/>
          <w:color w:val="000000"/>
          <w:sz w:val="20"/>
          <w:szCs w:val="20"/>
          <w:shd w:val="clear" w:color="auto" w:fill="FFFFFF"/>
        </w:rPr>
        <w:t xml:space="preserve"> s. 78. Inadmissible evidence</w:t>
      </w:r>
      <w:r w:rsidRPr="005A1D90">
        <w:rPr>
          <w:rFonts w:ascii="Open Sans" w:hAnsi="Open Sans" w:cs="Open Sans"/>
          <w:color w:val="000000"/>
          <w:sz w:val="20"/>
          <w:szCs w:val="20"/>
          <w:shd w:val="clear" w:color="auto" w:fill="FFFFFF"/>
        </w:rPr>
        <w:t xml:space="preserve">. Available </w:t>
      </w:r>
      <w:proofErr w:type="gramStart"/>
      <w:r w:rsidRPr="005A1D90">
        <w:rPr>
          <w:rFonts w:ascii="Open Sans" w:hAnsi="Open Sans" w:cs="Open Sans"/>
          <w:color w:val="000000"/>
          <w:sz w:val="20"/>
          <w:szCs w:val="20"/>
          <w:shd w:val="clear" w:color="auto" w:fill="FFFFFF"/>
        </w:rPr>
        <w:t>at :</w:t>
      </w:r>
      <w:proofErr w:type="gramEnd"/>
      <w:r w:rsidRPr="005A1D90">
        <w:rPr>
          <w:rFonts w:ascii="Open Sans" w:hAnsi="Open Sans" w:cs="Open Sans"/>
          <w:color w:val="000000"/>
          <w:sz w:val="20"/>
          <w:szCs w:val="20"/>
          <w:shd w:val="clear" w:color="auto" w:fill="FFFFFF"/>
        </w:rPr>
        <w:t xml:space="preserve"> </w:t>
      </w:r>
      <w:r w:rsidRPr="005A1D90">
        <w:rPr>
          <w:rFonts w:ascii="Open Sans" w:hAnsi="Open Sans" w:cs="Open Sans"/>
          <w:color w:val="000000"/>
          <w:sz w:val="20"/>
          <w:szCs w:val="20"/>
          <w:u w:val="single"/>
          <w:shd w:val="clear" w:color="auto" w:fill="FFFFFF"/>
        </w:rPr>
        <w:t>https://www.legislation.gov.uk/ukpga/1984/60/section/78</w:t>
      </w:r>
      <w:r w:rsidRPr="005A1D90">
        <w:rPr>
          <w:rFonts w:ascii="Open Sans" w:hAnsi="Open Sans" w:cs="Open Sans"/>
          <w:color w:val="000000"/>
          <w:sz w:val="20"/>
          <w:szCs w:val="20"/>
          <w:shd w:val="clear" w:color="auto" w:fill="FFFFFF"/>
        </w:rPr>
        <w:t xml:space="preserve"> (Accessed: 16 January 2022)</w:t>
      </w:r>
    </w:p>
    <w:p w14:paraId="515ABED4" w14:textId="77777777" w:rsidR="003E7506" w:rsidRPr="005A1D90" w:rsidRDefault="003E7506" w:rsidP="00F03CF1">
      <w:pPr>
        <w:rPr>
          <w:rFonts w:ascii="Open Sans" w:hAnsi="Open Sans" w:cs="Open Sans"/>
          <w:sz w:val="20"/>
          <w:szCs w:val="20"/>
        </w:rPr>
      </w:pPr>
      <w:r w:rsidRPr="005A1D90">
        <w:rPr>
          <w:rFonts w:ascii="Open Sans" w:hAnsi="Open Sans" w:cs="Open Sans"/>
          <w:color w:val="000000"/>
          <w:sz w:val="20"/>
          <w:szCs w:val="20"/>
          <w:shd w:val="clear" w:color="auto" w:fill="FFFFFF"/>
        </w:rPr>
        <w:t xml:space="preserve">Privacy International (2020) ‘Critical ICO report says the Police must stop taking data from victims’ phones without better safeguards’, Available </w:t>
      </w:r>
      <w:proofErr w:type="gramStart"/>
      <w:r w:rsidRPr="005A1D90">
        <w:rPr>
          <w:rFonts w:ascii="Open Sans" w:hAnsi="Open Sans" w:cs="Open Sans"/>
          <w:color w:val="000000"/>
          <w:sz w:val="20"/>
          <w:szCs w:val="20"/>
          <w:shd w:val="clear" w:color="auto" w:fill="FFFFFF"/>
        </w:rPr>
        <w:t>at :</w:t>
      </w:r>
      <w:proofErr w:type="gramEnd"/>
      <w:r w:rsidRPr="005A1D90">
        <w:rPr>
          <w:rFonts w:ascii="Open Sans" w:hAnsi="Open Sans" w:cs="Open Sans"/>
          <w:color w:val="000000"/>
          <w:sz w:val="20"/>
          <w:szCs w:val="20"/>
          <w:shd w:val="clear" w:color="auto" w:fill="FFFFFF"/>
        </w:rPr>
        <w:t xml:space="preserve"> https://privacyinternational.org/press-release/3941/press-release-critical-ico-report-says-police-must-stop-taking-data-victims (Accessed: 5 April 2022) </w:t>
      </w:r>
    </w:p>
    <w:p w14:paraId="21579B7E" w14:textId="77777777" w:rsidR="003E7506" w:rsidRPr="005A1D90" w:rsidRDefault="003E7506" w:rsidP="00F03CF1">
      <w:pPr>
        <w:rPr>
          <w:rFonts w:ascii="Open Sans" w:hAnsi="Open Sans" w:cs="Open Sans"/>
          <w:sz w:val="20"/>
          <w:szCs w:val="20"/>
        </w:rPr>
      </w:pPr>
      <w:r w:rsidRPr="005A1D90">
        <w:rPr>
          <w:rFonts w:ascii="Open Sans" w:hAnsi="Open Sans" w:cs="Open Sans"/>
          <w:spacing w:val="4"/>
          <w:sz w:val="20"/>
          <w:szCs w:val="20"/>
          <w:shd w:val="clear" w:color="auto" w:fill="FCFCFC"/>
        </w:rPr>
        <w:t xml:space="preserve">Roycroft M. (2019) Why Understanding Police Investigative Decision Making Is Important. In: Roycroft M., Roach J. (eds) Decision Making in Police Enquiries and Critical Incidents. Palgrave Pivot, London. pp. 1-13. Available </w:t>
      </w:r>
      <w:proofErr w:type="gramStart"/>
      <w:r w:rsidRPr="005A1D90">
        <w:rPr>
          <w:rFonts w:ascii="Open Sans" w:hAnsi="Open Sans" w:cs="Open Sans"/>
          <w:spacing w:val="4"/>
          <w:sz w:val="20"/>
          <w:szCs w:val="20"/>
          <w:shd w:val="clear" w:color="auto" w:fill="FCFCFC"/>
        </w:rPr>
        <w:t>at :</w:t>
      </w:r>
      <w:proofErr w:type="gramEnd"/>
      <w:r w:rsidRPr="005A1D90">
        <w:rPr>
          <w:rFonts w:ascii="Open Sans" w:hAnsi="Open Sans" w:cs="Open Sans"/>
          <w:spacing w:val="4"/>
          <w:sz w:val="20"/>
          <w:szCs w:val="20"/>
          <w:shd w:val="clear" w:color="auto" w:fill="FCFCFC"/>
        </w:rPr>
        <w:t xml:space="preserve"> </w:t>
      </w:r>
      <w:hyperlink r:id="rId31" w:history="1">
        <w:r w:rsidRPr="005A1D90">
          <w:rPr>
            <w:rStyle w:val="Hyperlink"/>
            <w:rFonts w:ascii="Open Sans" w:hAnsi="Open Sans" w:cs="Open Sans"/>
            <w:color w:val="auto"/>
            <w:spacing w:val="4"/>
            <w:sz w:val="20"/>
            <w:szCs w:val="20"/>
            <w:shd w:val="clear" w:color="auto" w:fill="FCFCFC"/>
          </w:rPr>
          <w:t>https://doi.org/10.1057/978-1-349-95847-4_1</w:t>
        </w:r>
      </w:hyperlink>
    </w:p>
    <w:p w14:paraId="38F4E766" w14:textId="77777777" w:rsidR="003E7506" w:rsidRPr="005A1D90" w:rsidRDefault="003E7506" w:rsidP="00F03CF1">
      <w:pPr>
        <w:rPr>
          <w:rFonts w:ascii="Open Sans" w:hAnsi="Open Sans" w:cs="Open Sans"/>
          <w:sz w:val="20"/>
          <w:szCs w:val="20"/>
        </w:rPr>
      </w:pPr>
      <w:r w:rsidRPr="005A1D90">
        <w:rPr>
          <w:rFonts w:ascii="Open Sans" w:hAnsi="Open Sans" w:cs="Open Sans"/>
          <w:color w:val="000000"/>
          <w:sz w:val="20"/>
          <w:szCs w:val="20"/>
          <w:shd w:val="clear" w:color="auto" w:fill="FFFFFF"/>
        </w:rPr>
        <w:t>Rumney, P. and McCartan, K. (2017) Purported False Allegations of Rape, Child Abuse and Non-Sexual Violence. </w:t>
      </w:r>
      <w:r w:rsidRPr="005A1D90">
        <w:rPr>
          <w:rFonts w:ascii="Open Sans" w:hAnsi="Open Sans" w:cs="Open Sans"/>
          <w:i/>
          <w:iCs/>
          <w:color w:val="000000"/>
          <w:sz w:val="20"/>
          <w:szCs w:val="20"/>
          <w:shd w:val="clear" w:color="auto" w:fill="FFFFFF"/>
        </w:rPr>
        <w:t>The Journal of Criminal Law</w:t>
      </w:r>
      <w:r w:rsidRPr="005A1D90">
        <w:rPr>
          <w:rFonts w:ascii="Open Sans" w:hAnsi="Open Sans" w:cs="Open Sans"/>
          <w:color w:val="000000"/>
          <w:sz w:val="20"/>
          <w:szCs w:val="20"/>
          <w:shd w:val="clear" w:color="auto" w:fill="FFFFFF"/>
        </w:rPr>
        <w:t xml:space="preserve">, 81(6), p.507. Available </w:t>
      </w:r>
      <w:proofErr w:type="gramStart"/>
      <w:r w:rsidRPr="005A1D90">
        <w:rPr>
          <w:rFonts w:ascii="Open Sans" w:hAnsi="Open Sans" w:cs="Open Sans"/>
          <w:color w:val="000000"/>
          <w:sz w:val="20"/>
          <w:szCs w:val="20"/>
          <w:shd w:val="clear" w:color="auto" w:fill="FFFFFF"/>
        </w:rPr>
        <w:t>at :</w:t>
      </w:r>
      <w:proofErr w:type="gramEnd"/>
      <w:r w:rsidRPr="005A1D90">
        <w:rPr>
          <w:rFonts w:ascii="Open Sans" w:hAnsi="Open Sans" w:cs="Open Sans"/>
          <w:color w:val="000000"/>
          <w:sz w:val="20"/>
          <w:szCs w:val="20"/>
          <w:shd w:val="clear" w:color="auto" w:fill="FFFFFF"/>
        </w:rPr>
        <w:t xml:space="preserve"> </w:t>
      </w:r>
      <w:hyperlink r:id="rId32" w:history="1">
        <w:r w:rsidRPr="005A1D90">
          <w:rPr>
            <w:rFonts w:ascii="Open Sans" w:hAnsi="Open Sans" w:cs="Open Sans"/>
            <w:sz w:val="20"/>
            <w:szCs w:val="20"/>
            <w:u w:val="single"/>
            <w:shd w:val="clear" w:color="auto" w:fill="FFFFFF"/>
          </w:rPr>
          <w:t>https://doi.org/10.1177/0022018317746789</w:t>
        </w:r>
      </w:hyperlink>
      <w:r w:rsidRPr="005A1D90">
        <w:rPr>
          <w:rFonts w:ascii="Open Sans" w:hAnsi="Open Sans" w:cs="Open Sans"/>
          <w:sz w:val="20"/>
          <w:szCs w:val="20"/>
        </w:rPr>
        <w:t xml:space="preserve"> (Accessed : 24 February 2022)</w:t>
      </w:r>
    </w:p>
    <w:p w14:paraId="265DF77E" w14:textId="77777777" w:rsidR="003E7506" w:rsidRPr="005A1D90" w:rsidRDefault="003E7506" w:rsidP="00F03CF1">
      <w:pPr>
        <w:rPr>
          <w:rFonts w:ascii="Open Sans" w:hAnsi="Open Sans" w:cs="Open Sans"/>
          <w:sz w:val="20"/>
          <w:szCs w:val="20"/>
        </w:rPr>
      </w:pPr>
      <w:r w:rsidRPr="005A1D90">
        <w:rPr>
          <w:rFonts w:ascii="Open Sans" w:hAnsi="Open Sans" w:cs="Open Sans"/>
          <w:color w:val="000000"/>
          <w:sz w:val="20"/>
          <w:szCs w:val="20"/>
          <w:shd w:val="clear" w:color="auto" w:fill="FFFFFF"/>
        </w:rPr>
        <w:t>Shaw, D. (2018) ‘</w:t>
      </w:r>
      <w:r w:rsidRPr="005A1D90">
        <w:rPr>
          <w:rFonts w:ascii="Open Sans" w:hAnsi="Open Sans" w:cs="Open Sans"/>
          <w:i/>
          <w:iCs/>
          <w:color w:val="000000"/>
          <w:sz w:val="20"/>
          <w:szCs w:val="20"/>
          <w:shd w:val="clear" w:color="auto" w:fill="FFFFFF"/>
        </w:rPr>
        <w:t>Hundreds of cases dropped over evidence disclosure failings’</w:t>
      </w:r>
      <w:r w:rsidRPr="005A1D90">
        <w:rPr>
          <w:rFonts w:ascii="Open Sans" w:hAnsi="Open Sans" w:cs="Open Sans"/>
          <w:color w:val="000000"/>
          <w:sz w:val="20"/>
          <w:szCs w:val="20"/>
          <w:shd w:val="clear" w:color="auto" w:fill="FFFFFF"/>
        </w:rPr>
        <w:t>, BBC News website. 24</w:t>
      </w:r>
      <w:r w:rsidRPr="005A1D90">
        <w:rPr>
          <w:rFonts w:ascii="Open Sans" w:hAnsi="Open Sans" w:cs="Open Sans"/>
          <w:color w:val="000000"/>
          <w:sz w:val="20"/>
          <w:szCs w:val="20"/>
          <w:shd w:val="clear" w:color="auto" w:fill="FFFFFF"/>
          <w:vertAlign w:val="superscript"/>
        </w:rPr>
        <w:t>th</w:t>
      </w:r>
      <w:r w:rsidRPr="005A1D90">
        <w:rPr>
          <w:rFonts w:ascii="Open Sans" w:hAnsi="Open Sans" w:cs="Open Sans"/>
          <w:color w:val="000000"/>
          <w:sz w:val="20"/>
          <w:szCs w:val="20"/>
          <w:shd w:val="clear" w:color="auto" w:fill="FFFFFF"/>
        </w:rPr>
        <w:t xml:space="preserve"> January. Available at: </w:t>
      </w:r>
      <w:r w:rsidRPr="005A1D90">
        <w:rPr>
          <w:rFonts w:ascii="Open Sans" w:hAnsi="Open Sans" w:cs="Open Sans"/>
          <w:color w:val="000000"/>
          <w:sz w:val="20"/>
          <w:szCs w:val="20"/>
          <w:u w:val="single"/>
          <w:shd w:val="clear" w:color="auto" w:fill="FFFFFF"/>
        </w:rPr>
        <w:t>https://www.bbc.co.uk/news/uk-42795058</w:t>
      </w:r>
      <w:r w:rsidRPr="005A1D90">
        <w:rPr>
          <w:rFonts w:ascii="Open Sans" w:hAnsi="Open Sans" w:cs="Open Sans"/>
          <w:color w:val="000000"/>
          <w:sz w:val="20"/>
          <w:szCs w:val="20"/>
          <w:shd w:val="clear" w:color="auto" w:fill="FFFFFF"/>
        </w:rPr>
        <w:t xml:space="preserve"> </w:t>
      </w:r>
      <w:bookmarkStart w:id="7" w:name="_Hlk97667286"/>
      <w:r w:rsidRPr="005A1D90">
        <w:rPr>
          <w:rFonts w:ascii="Open Sans" w:hAnsi="Open Sans" w:cs="Open Sans"/>
          <w:color w:val="000000"/>
          <w:sz w:val="20"/>
          <w:szCs w:val="20"/>
          <w:shd w:val="clear" w:color="auto" w:fill="FFFFFF"/>
        </w:rPr>
        <w:t>(Accessed: 25 February 2022)</w:t>
      </w:r>
      <w:bookmarkEnd w:id="7"/>
    </w:p>
    <w:p w14:paraId="7DEC6287" w14:textId="77777777" w:rsidR="003E7506" w:rsidRPr="005A1D90" w:rsidRDefault="003E7506" w:rsidP="00F03CF1">
      <w:pPr>
        <w:rPr>
          <w:rFonts w:ascii="Open Sans" w:hAnsi="Open Sans" w:cs="Open Sans"/>
          <w:sz w:val="20"/>
          <w:szCs w:val="20"/>
        </w:rPr>
      </w:pPr>
      <w:r w:rsidRPr="005A1D90">
        <w:rPr>
          <w:rFonts w:ascii="Open Sans" w:hAnsi="Open Sans" w:cs="Open Sans"/>
          <w:color w:val="000000"/>
          <w:sz w:val="20"/>
          <w:szCs w:val="20"/>
          <w:shd w:val="clear" w:color="auto" w:fill="FFFFFF"/>
        </w:rPr>
        <w:t>Sullivan, C. (2017) </w:t>
      </w:r>
      <w:r w:rsidRPr="005A1D90">
        <w:rPr>
          <w:rFonts w:ascii="Open Sans" w:hAnsi="Open Sans" w:cs="Open Sans"/>
          <w:i/>
          <w:iCs/>
          <w:color w:val="000000"/>
          <w:sz w:val="20"/>
          <w:szCs w:val="20"/>
          <w:shd w:val="clear" w:color="auto" w:fill="FFFFFF"/>
        </w:rPr>
        <w:t xml:space="preserve">Interoperability of the National </w:t>
      </w:r>
      <w:proofErr w:type="gramStart"/>
      <w:r w:rsidRPr="005A1D90">
        <w:rPr>
          <w:rFonts w:ascii="Open Sans" w:hAnsi="Open Sans" w:cs="Open Sans"/>
          <w:i/>
          <w:iCs/>
          <w:color w:val="000000"/>
          <w:sz w:val="20"/>
          <w:szCs w:val="20"/>
          <w:shd w:val="clear" w:color="auto" w:fill="FFFFFF"/>
        </w:rPr>
        <w:t>Decision Making</w:t>
      </w:r>
      <w:proofErr w:type="gramEnd"/>
      <w:r w:rsidRPr="005A1D90">
        <w:rPr>
          <w:rFonts w:ascii="Open Sans" w:hAnsi="Open Sans" w:cs="Open Sans"/>
          <w:i/>
          <w:iCs/>
          <w:color w:val="000000"/>
          <w:sz w:val="20"/>
          <w:szCs w:val="20"/>
          <w:shd w:val="clear" w:color="auto" w:fill="FFFFFF"/>
        </w:rPr>
        <w:t xml:space="preserve"> Model. </w:t>
      </w:r>
      <w:r w:rsidRPr="005A1D90">
        <w:rPr>
          <w:rFonts w:ascii="Open Sans" w:hAnsi="Open Sans" w:cs="Open Sans"/>
          <w:color w:val="000000"/>
          <w:sz w:val="20"/>
          <w:szCs w:val="20"/>
          <w:shd w:val="clear" w:color="auto" w:fill="FFFFFF"/>
        </w:rPr>
        <w:t xml:space="preserve">East Midlands Police Academic Collaboration website.  Available </w:t>
      </w:r>
      <w:proofErr w:type="gramStart"/>
      <w:r w:rsidRPr="005A1D90">
        <w:rPr>
          <w:rFonts w:ascii="Open Sans" w:hAnsi="Open Sans" w:cs="Open Sans"/>
          <w:color w:val="000000"/>
          <w:sz w:val="20"/>
          <w:szCs w:val="20"/>
          <w:shd w:val="clear" w:color="auto" w:fill="FFFFFF"/>
        </w:rPr>
        <w:t>at :</w:t>
      </w:r>
      <w:proofErr w:type="gramEnd"/>
      <w:r w:rsidRPr="005A1D90">
        <w:rPr>
          <w:rFonts w:ascii="Open Sans" w:hAnsi="Open Sans" w:cs="Open Sans"/>
          <w:color w:val="000000"/>
          <w:sz w:val="20"/>
          <w:szCs w:val="20"/>
          <w:shd w:val="clear" w:color="auto" w:fill="FFFFFF"/>
        </w:rPr>
        <w:t xml:space="preserve"> https://www.empac.org.uk/interoperability-national-decision-making-model/ (Accessed 24 February 2022)</w:t>
      </w:r>
    </w:p>
    <w:p w14:paraId="708CD95D" w14:textId="77777777" w:rsidR="003E7506" w:rsidRPr="005A1D90" w:rsidRDefault="003E7506" w:rsidP="00F03CF1">
      <w:pPr>
        <w:rPr>
          <w:rFonts w:ascii="Open Sans" w:hAnsi="Open Sans" w:cs="Open Sans"/>
          <w:sz w:val="20"/>
          <w:szCs w:val="20"/>
        </w:rPr>
      </w:pPr>
      <w:r w:rsidRPr="005A1D90">
        <w:rPr>
          <w:rFonts w:ascii="Open Sans" w:hAnsi="Open Sans" w:cs="Open Sans"/>
          <w:color w:val="000000"/>
          <w:sz w:val="20"/>
          <w:szCs w:val="20"/>
          <w:shd w:val="clear" w:color="auto" w:fill="FFFFFF"/>
        </w:rPr>
        <w:t xml:space="preserve">Sumathi, A; </w:t>
      </w:r>
      <w:proofErr w:type="spellStart"/>
      <w:r w:rsidRPr="005A1D90">
        <w:rPr>
          <w:rFonts w:ascii="Open Sans" w:hAnsi="Open Sans" w:cs="Open Sans"/>
          <w:color w:val="000000"/>
          <w:sz w:val="20"/>
          <w:szCs w:val="20"/>
          <w:shd w:val="clear" w:color="auto" w:fill="FFFFFF"/>
        </w:rPr>
        <w:t>Esakkirajan</w:t>
      </w:r>
      <w:proofErr w:type="spellEnd"/>
      <w:r w:rsidRPr="005A1D90">
        <w:rPr>
          <w:rFonts w:ascii="Open Sans" w:hAnsi="Open Sans" w:cs="Open Sans"/>
          <w:color w:val="000000"/>
          <w:sz w:val="20"/>
          <w:szCs w:val="20"/>
          <w:shd w:val="clear" w:color="auto" w:fill="FFFFFF"/>
        </w:rPr>
        <w:t xml:space="preserve">, S. (2007) </w:t>
      </w:r>
      <w:r w:rsidRPr="005A1D90">
        <w:rPr>
          <w:rFonts w:ascii="Open Sans" w:hAnsi="Open Sans" w:cs="Open Sans"/>
          <w:i/>
          <w:iCs/>
          <w:color w:val="000000"/>
          <w:sz w:val="20"/>
          <w:szCs w:val="20"/>
          <w:shd w:val="clear" w:color="auto" w:fill="FFFFFF"/>
        </w:rPr>
        <w:t xml:space="preserve">Fundamentals of Relational Database Management System. </w:t>
      </w:r>
      <w:r w:rsidRPr="005A1D90">
        <w:rPr>
          <w:rFonts w:ascii="Open Sans" w:hAnsi="Open Sans" w:cs="Open Sans"/>
          <w:color w:val="000000"/>
          <w:sz w:val="20"/>
          <w:szCs w:val="20"/>
          <w:shd w:val="clear" w:color="auto" w:fill="FFFFFF"/>
        </w:rPr>
        <w:t>Berlin Heidelberg New York: Springer. p. 3.</w:t>
      </w:r>
    </w:p>
    <w:p w14:paraId="667BBC98" w14:textId="77777777" w:rsidR="003E7506" w:rsidRPr="005A1D90" w:rsidRDefault="003E7506" w:rsidP="00F03CF1">
      <w:pPr>
        <w:rPr>
          <w:rFonts w:ascii="Open Sans" w:hAnsi="Open Sans" w:cs="Open Sans"/>
          <w:sz w:val="20"/>
          <w:szCs w:val="20"/>
        </w:rPr>
      </w:pPr>
      <w:r w:rsidRPr="009371C2">
        <w:rPr>
          <w:rFonts w:ascii="Open Sans" w:hAnsi="Open Sans" w:cs="Open Sans"/>
          <w:i/>
          <w:iCs/>
          <w:color w:val="000000"/>
          <w:sz w:val="20"/>
          <w:szCs w:val="20"/>
          <w:shd w:val="clear" w:color="auto" w:fill="FFFFFF"/>
        </w:rPr>
        <w:t>The Social Services and Well-being (Wales) Act</w:t>
      </w:r>
      <w:r w:rsidRPr="005A1D90">
        <w:rPr>
          <w:rFonts w:ascii="Open Sans" w:hAnsi="Open Sans" w:cs="Open Sans"/>
          <w:color w:val="000000"/>
          <w:sz w:val="20"/>
          <w:szCs w:val="20"/>
          <w:shd w:val="clear" w:color="auto" w:fill="FFFFFF"/>
        </w:rPr>
        <w:t xml:space="preserve"> 2014 (Consequential Amendments) (Secondary Legislation) Regulations 2016. Available </w:t>
      </w:r>
      <w:proofErr w:type="gramStart"/>
      <w:r w:rsidRPr="005A1D90">
        <w:rPr>
          <w:rFonts w:ascii="Open Sans" w:hAnsi="Open Sans" w:cs="Open Sans"/>
          <w:color w:val="000000"/>
          <w:sz w:val="20"/>
          <w:szCs w:val="20"/>
          <w:shd w:val="clear" w:color="auto" w:fill="FFFFFF"/>
        </w:rPr>
        <w:t>at :</w:t>
      </w:r>
      <w:proofErr w:type="gramEnd"/>
      <w:r w:rsidRPr="005A1D90">
        <w:rPr>
          <w:rFonts w:ascii="Open Sans" w:hAnsi="Open Sans" w:cs="Open Sans"/>
          <w:color w:val="000000"/>
          <w:sz w:val="20"/>
          <w:szCs w:val="20"/>
          <w:shd w:val="clear" w:color="auto" w:fill="FFFFFF"/>
        </w:rPr>
        <w:t xml:space="preserve"> </w:t>
      </w:r>
      <w:r w:rsidRPr="005A1D90">
        <w:rPr>
          <w:rFonts w:ascii="Open Sans" w:hAnsi="Open Sans" w:cs="Open Sans"/>
          <w:color w:val="000000"/>
          <w:sz w:val="20"/>
          <w:szCs w:val="20"/>
          <w:u w:val="single"/>
          <w:shd w:val="clear" w:color="auto" w:fill="FFFFFF"/>
        </w:rPr>
        <w:t>https://www.legislation.gov.uk/wsi/2016/211/made</w:t>
      </w:r>
      <w:r w:rsidRPr="005A1D90">
        <w:rPr>
          <w:rFonts w:ascii="Open Sans" w:hAnsi="Open Sans" w:cs="Open Sans"/>
          <w:color w:val="000000"/>
          <w:sz w:val="20"/>
          <w:szCs w:val="20"/>
          <w:shd w:val="clear" w:color="auto" w:fill="FFFFFF"/>
        </w:rPr>
        <w:t xml:space="preserve"> (Accessed: 2 March 2022)</w:t>
      </w:r>
    </w:p>
    <w:p w14:paraId="33FEFE24" w14:textId="77777777" w:rsidR="003E7506" w:rsidRPr="005A1D90" w:rsidRDefault="003E7506" w:rsidP="00F03CF1">
      <w:pPr>
        <w:rPr>
          <w:rFonts w:ascii="Open Sans" w:hAnsi="Open Sans" w:cs="Open Sans"/>
          <w:sz w:val="20"/>
          <w:szCs w:val="20"/>
        </w:rPr>
      </w:pPr>
      <w:r w:rsidRPr="005A1D90">
        <w:rPr>
          <w:rFonts w:ascii="Open Sans" w:hAnsi="Open Sans" w:cs="Open Sans"/>
          <w:color w:val="000000"/>
          <w:sz w:val="20"/>
          <w:szCs w:val="20"/>
          <w:shd w:val="clear" w:color="auto" w:fill="FFFFFF"/>
        </w:rPr>
        <w:t xml:space="preserve">Tribe, R and Morrissey, J. (2020) </w:t>
      </w:r>
      <w:r w:rsidRPr="005A1D90">
        <w:rPr>
          <w:rFonts w:ascii="Open Sans" w:hAnsi="Open Sans" w:cs="Open Sans"/>
          <w:i/>
          <w:iCs/>
          <w:color w:val="000000"/>
          <w:sz w:val="20"/>
          <w:szCs w:val="20"/>
          <w:shd w:val="clear" w:color="auto" w:fill="FFFFFF"/>
        </w:rPr>
        <w:t>The Handbook of Professional Ethical and Research Practice for Psychologists, Counsellor, Psychotherapists and Psychiatrists</w:t>
      </w:r>
      <w:r w:rsidRPr="005A1D90">
        <w:rPr>
          <w:rFonts w:ascii="Open Sans" w:hAnsi="Open Sans" w:cs="Open Sans"/>
          <w:color w:val="000000"/>
          <w:sz w:val="20"/>
          <w:szCs w:val="20"/>
          <w:shd w:val="clear" w:color="auto" w:fill="FFFFFF"/>
        </w:rPr>
        <w:t>. 3</w:t>
      </w:r>
      <w:r w:rsidRPr="005A1D90">
        <w:rPr>
          <w:rFonts w:ascii="Open Sans" w:hAnsi="Open Sans" w:cs="Open Sans"/>
          <w:color w:val="000000"/>
          <w:sz w:val="20"/>
          <w:szCs w:val="20"/>
          <w:shd w:val="clear" w:color="auto" w:fill="FFFFFF"/>
          <w:vertAlign w:val="superscript"/>
        </w:rPr>
        <w:t>rd</w:t>
      </w:r>
      <w:r w:rsidRPr="005A1D90">
        <w:rPr>
          <w:rFonts w:ascii="Open Sans" w:hAnsi="Open Sans" w:cs="Open Sans"/>
          <w:color w:val="000000"/>
          <w:sz w:val="20"/>
          <w:szCs w:val="20"/>
          <w:shd w:val="clear" w:color="auto" w:fill="FFFFFF"/>
        </w:rPr>
        <w:t xml:space="preserve"> </w:t>
      </w:r>
      <w:proofErr w:type="spellStart"/>
      <w:r w:rsidRPr="005A1D90">
        <w:rPr>
          <w:rFonts w:ascii="Open Sans" w:hAnsi="Open Sans" w:cs="Open Sans"/>
          <w:color w:val="000000"/>
          <w:sz w:val="20"/>
          <w:szCs w:val="20"/>
          <w:shd w:val="clear" w:color="auto" w:fill="FFFFFF"/>
        </w:rPr>
        <w:t>edn</w:t>
      </w:r>
      <w:proofErr w:type="spellEnd"/>
      <w:r w:rsidRPr="005A1D90">
        <w:rPr>
          <w:rFonts w:ascii="Open Sans" w:hAnsi="Open Sans" w:cs="Open Sans"/>
          <w:color w:val="000000"/>
          <w:sz w:val="20"/>
          <w:szCs w:val="20"/>
          <w:shd w:val="clear" w:color="auto" w:fill="FFFFFF"/>
        </w:rPr>
        <w:t xml:space="preserve">. London: Brunner-Routledge. Available </w:t>
      </w:r>
      <w:proofErr w:type="gramStart"/>
      <w:r w:rsidRPr="005A1D90">
        <w:rPr>
          <w:rFonts w:ascii="Open Sans" w:hAnsi="Open Sans" w:cs="Open Sans"/>
          <w:color w:val="000000"/>
          <w:sz w:val="20"/>
          <w:szCs w:val="20"/>
          <w:shd w:val="clear" w:color="auto" w:fill="FFFFFF"/>
        </w:rPr>
        <w:t>at :</w:t>
      </w:r>
      <w:proofErr w:type="gramEnd"/>
      <w:r w:rsidRPr="005A1D90">
        <w:rPr>
          <w:rFonts w:ascii="Open Sans" w:hAnsi="Open Sans" w:cs="Open Sans"/>
          <w:color w:val="000000"/>
          <w:sz w:val="20"/>
          <w:szCs w:val="20"/>
          <w:shd w:val="clear" w:color="auto" w:fill="FFFFFF"/>
        </w:rPr>
        <w:t xml:space="preserve"> </w:t>
      </w:r>
      <w:hyperlink r:id="rId33" w:history="1">
        <w:r w:rsidRPr="005A1D90">
          <w:rPr>
            <w:rFonts w:ascii="Open Sans" w:hAnsi="Open Sans" w:cs="Open Sans"/>
            <w:sz w:val="20"/>
            <w:szCs w:val="20"/>
            <w:u w:val="single"/>
            <w:shd w:val="clear" w:color="auto" w:fill="FBFCFE"/>
          </w:rPr>
          <w:t>https://www.routledge.com/9781138352087</w:t>
        </w:r>
      </w:hyperlink>
    </w:p>
    <w:p w14:paraId="58688CA2" w14:textId="77777777" w:rsidR="003E7506" w:rsidRPr="005A1D90" w:rsidRDefault="003E7506" w:rsidP="00F03CF1">
      <w:pPr>
        <w:rPr>
          <w:rFonts w:ascii="Open Sans" w:hAnsi="Open Sans" w:cs="Open Sans"/>
          <w:sz w:val="20"/>
          <w:szCs w:val="20"/>
        </w:rPr>
      </w:pPr>
      <w:r w:rsidRPr="005A1D90">
        <w:rPr>
          <w:rFonts w:ascii="Open Sans" w:hAnsi="Open Sans" w:cs="Open Sans"/>
          <w:color w:val="000000"/>
          <w:sz w:val="20"/>
          <w:szCs w:val="20"/>
          <w:shd w:val="clear" w:color="auto" w:fill="FFFFFF"/>
        </w:rPr>
        <w:t>UK Government, 2014. </w:t>
      </w:r>
      <w:r w:rsidRPr="005A1D90">
        <w:rPr>
          <w:rFonts w:ascii="Open Sans" w:hAnsi="Open Sans" w:cs="Open Sans"/>
          <w:i/>
          <w:iCs/>
          <w:color w:val="000000"/>
          <w:sz w:val="20"/>
          <w:szCs w:val="20"/>
          <w:shd w:val="clear" w:color="auto" w:fill="FFFFFF"/>
        </w:rPr>
        <w:t>Letter from Simon Bailey to Peter Wanless, Home Secretary Rd: Police Records Management.</w:t>
      </w:r>
      <w:r w:rsidRPr="005A1D90">
        <w:rPr>
          <w:rFonts w:ascii="Open Sans" w:hAnsi="Open Sans" w:cs="Open Sans"/>
          <w:color w:val="000000"/>
          <w:sz w:val="20"/>
          <w:szCs w:val="20"/>
          <w:shd w:val="clear" w:color="auto" w:fill="FFFFFF"/>
        </w:rPr>
        <w:t xml:space="preserve"> Assets Publishing Website. Available </w:t>
      </w:r>
      <w:proofErr w:type="gramStart"/>
      <w:r w:rsidRPr="005A1D90">
        <w:rPr>
          <w:rFonts w:ascii="Open Sans" w:hAnsi="Open Sans" w:cs="Open Sans"/>
          <w:color w:val="000000"/>
          <w:sz w:val="20"/>
          <w:szCs w:val="20"/>
          <w:shd w:val="clear" w:color="auto" w:fill="FFFFFF"/>
        </w:rPr>
        <w:t>at :</w:t>
      </w:r>
      <w:proofErr w:type="gramEnd"/>
      <w:r w:rsidRPr="005A1D90">
        <w:rPr>
          <w:rFonts w:ascii="Open Sans" w:hAnsi="Open Sans" w:cs="Open Sans"/>
          <w:color w:val="000000"/>
          <w:sz w:val="20"/>
          <w:szCs w:val="20"/>
          <w:shd w:val="clear" w:color="auto" w:fill="FFFFFF"/>
        </w:rPr>
        <w:t xml:space="preserve"> </w:t>
      </w:r>
      <w:r w:rsidRPr="005A1D90">
        <w:rPr>
          <w:rFonts w:ascii="Open Sans" w:hAnsi="Open Sans" w:cs="Open Sans"/>
          <w:color w:val="000000"/>
          <w:sz w:val="20"/>
          <w:szCs w:val="20"/>
          <w:u w:val="single"/>
          <w:shd w:val="clear" w:color="auto" w:fill="FFFFFF"/>
        </w:rPr>
        <w:t>https://assets.publishing.service.gov.uk/government/uploads/system/uploads/attachment_data/file/372918/Annex_B_-_ACPO_retention_policy.</w:t>
      </w:r>
      <w:r w:rsidRPr="005A1D90">
        <w:rPr>
          <w:rFonts w:ascii="Open Sans" w:hAnsi="Open Sans" w:cs="Open Sans"/>
          <w:color w:val="000000"/>
          <w:sz w:val="20"/>
          <w:szCs w:val="20"/>
          <w:shd w:val="clear" w:color="auto" w:fill="FFFFFF"/>
        </w:rPr>
        <w:t xml:space="preserve"> [pdf] (Accessed: 12 February 2022)</w:t>
      </w:r>
    </w:p>
    <w:p w14:paraId="3DE80FB9" w14:textId="77777777" w:rsidR="003E7506" w:rsidRPr="005A1D90" w:rsidRDefault="003E7506" w:rsidP="00F03CF1">
      <w:pPr>
        <w:rPr>
          <w:rFonts w:ascii="Open Sans" w:hAnsi="Open Sans" w:cs="Open Sans"/>
          <w:sz w:val="20"/>
          <w:szCs w:val="20"/>
        </w:rPr>
      </w:pPr>
      <w:r w:rsidRPr="005A1D90">
        <w:rPr>
          <w:rFonts w:ascii="Open Sans" w:hAnsi="Open Sans" w:cs="Open Sans"/>
          <w:color w:val="000000"/>
          <w:sz w:val="20"/>
          <w:szCs w:val="20"/>
          <w:shd w:val="clear" w:color="auto" w:fill="FFFFFF"/>
        </w:rPr>
        <w:t>UK Government, Attorney General’s Office</w:t>
      </w:r>
      <w:r w:rsidRPr="005A1D90">
        <w:rPr>
          <w:rFonts w:ascii="Open Sans" w:hAnsi="Open Sans" w:cs="Open Sans"/>
          <w:i/>
          <w:iCs/>
          <w:color w:val="000000"/>
          <w:sz w:val="20"/>
          <w:szCs w:val="20"/>
          <w:shd w:val="clear" w:color="auto" w:fill="FFFFFF"/>
        </w:rPr>
        <w:t>, (2020). Attorney General's Guidelines for Disclosure</w:t>
      </w:r>
      <w:r w:rsidRPr="005A1D90">
        <w:rPr>
          <w:rFonts w:ascii="Open Sans" w:hAnsi="Open Sans" w:cs="Open Sans"/>
          <w:color w:val="000000"/>
          <w:sz w:val="20"/>
          <w:szCs w:val="20"/>
          <w:shd w:val="clear" w:color="auto" w:fill="FFFFFF"/>
        </w:rPr>
        <w:t xml:space="preserve">. Government publication. UK Government Website. p </w:t>
      </w:r>
      <w:proofErr w:type="gramStart"/>
      <w:r w:rsidRPr="005A1D90">
        <w:rPr>
          <w:rFonts w:ascii="Open Sans" w:hAnsi="Open Sans" w:cs="Open Sans"/>
          <w:color w:val="000000"/>
          <w:sz w:val="20"/>
          <w:szCs w:val="20"/>
          <w:shd w:val="clear" w:color="auto" w:fill="FFFFFF"/>
        </w:rPr>
        <w:t>2.Available</w:t>
      </w:r>
      <w:proofErr w:type="gramEnd"/>
      <w:r w:rsidRPr="005A1D90">
        <w:rPr>
          <w:rFonts w:ascii="Open Sans" w:hAnsi="Open Sans" w:cs="Open Sans"/>
          <w:color w:val="000000"/>
          <w:sz w:val="20"/>
          <w:szCs w:val="20"/>
          <w:shd w:val="clear" w:color="auto" w:fill="FFFFFF"/>
        </w:rPr>
        <w:t xml:space="preserve"> at : </w:t>
      </w:r>
      <w:hyperlink r:id="rId34" w:history="1">
        <w:r w:rsidRPr="005A1D90">
          <w:rPr>
            <w:rStyle w:val="Hyperlink"/>
            <w:rFonts w:ascii="Open Sans" w:hAnsi="Open Sans" w:cs="Open Sans"/>
            <w:color w:val="auto"/>
            <w:sz w:val="20"/>
            <w:szCs w:val="20"/>
            <w:shd w:val="clear" w:color="auto" w:fill="FFFFFF"/>
          </w:rPr>
          <w:t>https://www.gov.uk/government/publications/attorney-generals-guidelines-on-disclosure-2020</w:t>
        </w:r>
      </w:hyperlink>
      <w:r w:rsidRPr="005A1D90">
        <w:rPr>
          <w:rFonts w:ascii="Open Sans" w:hAnsi="Open Sans" w:cs="Open Sans"/>
          <w:sz w:val="20"/>
          <w:szCs w:val="20"/>
          <w:shd w:val="clear" w:color="auto" w:fill="FFFFFF"/>
        </w:rPr>
        <w:t xml:space="preserve"> </w:t>
      </w:r>
      <w:r w:rsidRPr="005A1D90">
        <w:rPr>
          <w:rFonts w:ascii="Open Sans" w:hAnsi="Open Sans" w:cs="Open Sans"/>
          <w:color w:val="000000"/>
          <w:sz w:val="20"/>
          <w:szCs w:val="20"/>
          <w:shd w:val="clear" w:color="auto" w:fill="FFFFFF"/>
        </w:rPr>
        <w:t>(Accessed: 24 February 2022)</w:t>
      </w:r>
    </w:p>
    <w:p w14:paraId="0AB00321" w14:textId="77777777" w:rsidR="003E7506" w:rsidRPr="005A1D90" w:rsidRDefault="003E7506" w:rsidP="00F03CF1">
      <w:pPr>
        <w:rPr>
          <w:rFonts w:ascii="Open Sans" w:hAnsi="Open Sans" w:cs="Open Sans"/>
          <w:sz w:val="20"/>
          <w:szCs w:val="20"/>
        </w:rPr>
      </w:pPr>
      <w:r w:rsidRPr="005A1D90">
        <w:rPr>
          <w:rFonts w:ascii="Open Sans" w:hAnsi="Open Sans" w:cs="Open Sans"/>
          <w:color w:val="000000"/>
          <w:sz w:val="20"/>
          <w:szCs w:val="20"/>
          <w:shd w:val="clear" w:color="auto" w:fill="FFFFFF"/>
        </w:rPr>
        <w:t>UK Government. 2021. </w:t>
      </w:r>
      <w:r w:rsidRPr="005A1D90">
        <w:rPr>
          <w:rFonts w:ascii="Open Sans" w:hAnsi="Open Sans" w:cs="Open Sans"/>
          <w:i/>
          <w:iCs/>
          <w:color w:val="000000"/>
          <w:sz w:val="20"/>
          <w:szCs w:val="20"/>
          <w:shd w:val="clear" w:color="auto" w:fill="FFFFFF"/>
        </w:rPr>
        <w:t>Forensic medical examination standard document FSR-C-116 (accessible version)</w:t>
      </w:r>
      <w:r w:rsidRPr="005A1D90">
        <w:rPr>
          <w:rFonts w:ascii="Open Sans" w:hAnsi="Open Sans" w:cs="Open Sans"/>
          <w:color w:val="000000"/>
          <w:sz w:val="20"/>
          <w:szCs w:val="20"/>
          <w:shd w:val="clear" w:color="auto" w:fill="FFFFFF"/>
        </w:rPr>
        <w:t>. Available at: https://www.gov.uk/government/consultations/forensic-medical-exam-standard-for-sexual-assault-complainants/forensic-medical-examination-standard-document-fsr-c-116-accessible-version (Accessed: 24 February 2022)</w:t>
      </w:r>
    </w:p>
    <w:p w14:paraId="1D74B114" w14:textId="77777777" w:rsidR="003E7506" w:rsidRPr="005A1D90" w:rsidRDefault="003E7506" w:rsidP="00F03CF1">
      <w:pPr>
        <w:rPr>
          <w:rFonts w:ascii="Open Sans" w:hAnsi="Open Sans" w:cs="Open Sans"/>
          <w:sz w:val="20"/>
          <w:szCs w:val="20"/>
        </w:rPr>
      </w:pPr>
      <w:r w:rsidRPr="005A1D90">
        <w:rPr>
          <w:rFonts w:ascii="Open Sans" w:hAnsi="Open Sans" w:cs="Open Sans"/>
          <w:color w:val="000000"/>
          <w:sz w:val="20"/>
          <w:szCs w:val="20"/>
          <w:shd w:val="clear" w:color="auto" w:fill="FFFFFF"/>
        </w:rPr>
        <w:t>Victims Commissioner, 2021. </w:t>
      </w:r>
      <w:r w:rsidRPr="005A1D90">
        <w:rPr>
          <w:rFonts w:ascii="Open Sans" w:hAnsi="Open Sans" w:cs="Open Sans"/>
          <w:i/>
          <w:iCs/>
          <w:color w:val="000000"/>
          <w:sz w:val="20"/>
          <w:szCs w:val="20"/>
          <w:shd w:val="clear" w:color="auto" w:fill="FFFFFF"/>
        </w:rPr>
        <w:t>Briefing on Intrusive demands for Third Party Material in rape cases and The Police, Crime, Sentencing and Courts Bill - Victims Commissioner</w:t>
      </w:r>
      <w:r w:rsidRPr="005A1D90">
        <w:rPr>
          <w:rFonts w:ascii="Open Sans" w:hAnsi="Open Sans" w:cs="Open Sans"/>
          <w:color w:val="000000"/>
          <w:sz w:val="20"/>
          <w:szCs w:val="20"/>
          <w:shd w:val="clear" w:color="auto" w:fill="FFFFFF"/>
        </w:rPr>
        <w:t xml:space="preserve">. Victims Commissioner website </w:t>
      </w:r>
      <w:bookmarkStart w:id="8" w:name="_Hlk97756557"/>
      <w:r w:rsidRPr="005A1D90">
        <w:rPr>
          <w:rFonts w:ascii="Open Sans" w:hAnsi="Open Sans" w:cs="Open Sans"/>
          <w:color w:val="000000"/>
          <w:sz w:val="20"/>
          <w:szCs w:val="20"/>
          <w:shd w:val="clear" w:color="auto" w:fill="FFFFFF"/>
        </w:rPr>
        <w:t xml:space="preserve">[online] </w:t>
      </w:r>
      <w:bookmarkEnd w:id="8"/>
      <w:r w:rsidRPr="005A1D90">
        <w:rPr>
          <w:rFonts w:ascii="Open Sans" w:hAnsi="Open Sans" w:cs="Open Sans"/>
          <w:color w:val="000000"/>
          <w:sz w:val="20"/>
          <w:szCs w:val="20"/>
          <w:shd w:val="clear" w:color="auto" w:fill="FFFFFF"/>
        </w:rPr>
        <w:t>Available at: https://victimscommissioner.org.uk/document/briefing-on-intrusive-demands-for-third-party-material-in-rape-cases-and-the-police-crime-sentencing-and-courts-bill/ [pdf] (Accessed: 2 March 2022)</w:t>
      </w:r>
    </w:p>
    <w:p w14:paraId="20BA0690" w14:textId="77777777" w:rsidR="003E7506" w:rsidRPr="005A1D90" w:rsidRDefault="003E7506" w:rsidP="00F03CF1">
      <w:pPr>
        <w:rPr>
          <w:rFonts w:ascii="Open Sans" w:hAnsi="Open Sans" w:cs="Open Sans"/>
          <w:sz w:val="20"/>
          <w:szCs w:val="20"/>
        </w:rPr>
      </w:pPr>
      <w:r w:rsidRPr="005A1D90">
        <w:rPr>
          <w:rFonts w:ascii="Open Sans" w:hAnsi="Open Sans" w:cs="Open Sans"/>
          <w:color w:val="000000"/>
          <w:sz w:val="20"/>
          <w:szCs w:val="20"/>
          <w:shd w:val="clear" w:color="auto" w:fill="FFFFFF"/>
        </w:rPr>
        <w:t>Wainwright, T., Fenn, E. and Begum, S. (2017) </w:t>
      </w:r>
      <w:r w:rsidRPr="005A1D90">
        <w:rPr>
          <w:rFonts w:ascii="Open Sans" w:hAnsi="Open Sans" w:cs="Open Sans"/>
          <w:i/>
          <w:iCs/>
          <w:color w:val="000000"/>
          <w:sz w:val="20"/>
          <w:szCs w:val="20"/>
          <w:shd w:val="clear" w:color="auto" w:fill="FFFFFF"/>
        </w:rPr>
        <w:t xml:space="preserve">Criminal Disclosure </w:t>
      </w:r>
      <w:proofErr w:type="spellStart"/>
      <w:r w:rsidRPr="005A1D90">
        <w:rPr>
          <w:rFonts w:ascii="Open Sans" w:hAnsi="Open Sans" w:cs="Open Sans"/>
          <w:i/>
          <w:iCs/>
          <w:color w:val="000000"/>
          <w:sz w:val="20"/>
          <w:szCs w:val="20"/>
          <w:shd w:val="clear" w:color="auto" w:fill="FFFFFF"/>
        </w:rPr>
        <w:t>Referencer</w:t>
      </w:r>
      <w:proofErr w:type="spellEnd"/>
      <w:r w:rsidRPr="005A1D90">
        <w:rPr>
          <w:rFonts w:ascii="Open Sans" w:hAnsi="Open Sans" w:cs="Open Sans"/>
          <w:color w:val="000000"/>
          <w:sz w:val="20"/>
          <w:szCs w:val="20"/>
          <w:shd w:val="clear" w:color="auto" w:fill="FFFFFF"/>
        </w:rPr>
        <w:t xml:space="preserve">. 2nd ed. London: Bloomsbury Professional, pp. v, 4, 6, 18, 19, 21, 22, 111, 112. Cites </w:t>
      </w:r>
      <w:r w:rsidRPr="005A1D90">
        <w:rPr>
          <w:rFonts w:ascii="Open Sans" w:hAnsi="Open Sans" w:cs="Open Sans"/>
          <w:sz w:val="20"/>
          <w:szCs w:val="20"/>
        </w:rPr>
        <w:t>Rt Hon Lord Justice Goldring QC.</w:t>
      </w:r>
    </w:p>
    <w:p w14:paraId="1B9A81EE" w14:textId="77777777" w:rsidR="003E7506" w:rsidRPr="005A1D90" w:rsidRDefault="003E7506" w:rsidP="00F03CF1">
      <w:pPr>
        <w:spacing w:after="0" w:line="240" w:lineRule="auto"/>
        <w:rPr>
          <w:rFonts w:ascii="Open Sans" w:hAnsi="Open Sans" w:cs="Open Sans"/>
          <w:sz w:val="20"/>
          <w:szCs w:val="20"/>
        </w:rPr>
      </w:pPr>
      <w:r w:rsidRPr="005A1D90">
        <w:rPr>
          <w:rFonts w:ascii="Open Sans" w:hAnsi="Open Sans" w:cs="Open Sans"/>
          <w:color w:val="000000"/>
          <w:sz w:val="20"/>
          <w:szCs w:val="20"/>
          <w:shd w:val="clear" w:color="auto" w:fill="FFFFFF"/>
        </w:rPr>
        <w:t xml:space="preserve">Wales Accord on the Sharing of Personal Information - WASPI. Waspi.org website [online] Available at: </w:t>
      </w:r>
      <w:hyperlink r:id="rId35" w:history="1">
        <w:r w:rsidRPr="005A1D90">
          <w:rPr>
            <w:rStyle w:val="Hyperlink"/>
            <w:rFonts w:ascii="Open Sans" w:hAnsi="Open Sans" w:cs="Open Sans"/>
            <w:color w:val="auto"/>
            <w:sz w:val="20"/>
            <w:szCs w:val="20"/>
            <w:shd w:val="clear" w:color="auto" w:fill="FFFFFF"/>
          </w:rPr>
          <w:t>http://www.waspi.org/documentation</w:t>
        </w:r>
      </w:hyperlink>
      <w:r w:rsidRPr="005A1D90">
        <w:rPr>
          <w:rFonts w:ascii="Open Sans" w:hAnsi="Open Sans" w:cs="Open Sans"/>
          <w:sz w:val="20"/>
          <w:szCs w:val="20"/>
          <w:shd w:val="clear" w:color="auto" w:fill="FFFFFF"/>
        </w:rPr>
        <w:t xml:space="preserve"> </w:t>
      </w:r>
      <w:r w:rsidRPr="005A1D90">
        <w:rPr>
          <w:rFonts w:ascii="Open Sans" w:hAnsi="Open Sans" w:cs="Open Sans"/>
          <w:color w:val="000000"/>
          <w:sz w:val="20"/>
          <w:szCs w:val="20"/>
          <w:shd w:val="clear" w:color="auto" w:fill="FFFFFF"/>
        </w:rPr>
        <w:t>(Accessed: 28 February 2022)</w:t>
      </w:r>
    </w:p>
    <w:p w14:paraId="720DD1A3" w14:textId="77777777" w:rsidR="009371C2" w:rsidRDefault="009371C2" w:rsidP="00F03CF1">
      <w:pPr>
        <w:rPr>
          <w:rFonts w:ascii="Open Sans" w:hAnsi="Open Sans" w:cs="Open Sans"/>
          <w:color w:val="000000"/>
          <w:sz w:val="20"/>
          <w:szCs w:val="20"/>
          <w:shd w:val="clear" w:color="auto" w:fill="FFFFFF"/>
        </w:rPr>
      </w:pPr>
    </w:p>
    <w:p w14:paraId="1177431B" w14:textId="2E0AB433" w:rsidR="003E7506" w:rsidRPr="001F49D2" w:rsidRDefault="003E7506" w:rsidP="00F03CF1">
      <w:pPr>
        <w:rPr>
          <w:rFonts w:ascii="Open Sans" w:hAnsi="Open Sans" w:cs="Open Sans"/>
          <w:color w:val="000000"/>
          <w:shd w:val="clear" w:color="auto" w:fill="FFFFFF"/>
        </w:rPr>
      </w:pPr>
      <w:r w:rsidRPr="001F49D2">
        <w:rPr>
          <w:rFonts w:ascii="Open Sans" w:hAnsi="Open Sans" w:cs="Open Sans"/>
          <w:color w:val="000000"/>
          <w:shd w:val="clear" w:color="auto" w:fill="FFFFFF"/>
        </w:rPr>
        <w:t>Welsh Government Safeguarding Wales. </w:t>
      </w:r>
      <w:r w:rsidRPr="001F49D2">
        <w:rPr>
          <w:rFonts w:ascii="Open Sans" w:hAnsi="Open Sans" w:cs="Open Sans"/>
          <w:i/>
          <w:iCs/>
          <w:color w:val="000000"/>
          <w:shd w:val="clear" w:color="auto" w:fill="FFFFFF"/>
        </w:rPr>
        <w:t>Wales Safeguarding Procedures</w:t>
      </w:r>
      <w:r w:rsidRPr="001F49D2">
        <w:rPr>
          <w:rFonts w:ascii="Open Sans" w:hAnsi="Open Sans" w:cs="Open Sans"/>
          <w:color w:val="000000"/>
          <w:shd w:val="clear" w:color="auto" w:fill="FFFFFF"/>
        </w:rPr>
        <w:t xml:space="preserve">. Available </w:t>
      </w:r>
      <w:proofErr w:type="gramStart"/>
      <w:r w:rsidRPr="001F49D2">
        <w:rPr>
          <w:rFonts w:ascii="Open Sans" w:hAnsi="Open Sans" w:cs="Open Sans"/>
          <w:color w:val="000000"/>
          <w:shd w:val="clear" w:color="auto" w:fill="FFFFFF"/>
        </w:rPr>
        <w:t>at :</w:t>
      </w:r>
      <w:proofErr w:type="gramEnd"/>
      <w:r w:rsidRPr="001F49D2">
        <w:rPr>
          <w:rFonts w:ascii="Open Sans" w:hAnsi="Open Sans" w:cs="Open Sans"/>
          <w:color w:val="000000"/>
          <w:shd w:val="clear" w:color="auto" w:fill="FFFFFF"/>
        </w:rPr>
        <w:t xml:space="preserve"> </w:t>
      </w:r>
      <w:r w:rsidRPr="001F49D2">
        <w:rPr>
          <w:rFonts w:ascii="Open Sans" w:hAnsi="Open Sans" w:cs="Open Sans"/>
          <w:color w:val="000000"/>
          <w:u w:val="single"/>
          <w:shd w:val="clear" w:color="auto" w:fill="FFFFFF"/>
        </w:rPr>
        <w:t>https://safeguarding.wales/</w:t>
      </w:r>
      <w:r w:rsidRPr="001F49D2">
        <w:rPr>
          <w:rFonts w:ascii="Open Sans" w:hAnsi="Open Sans" w:cs="Open Sans"/>
          <w:color w:val="000000"/>
          <w:shd w:val="clear" w:color="auto" w:fill="FFFFFF"/>
        </w:rPr>
        <w:t xml:space="preserve"> (Accessed: 12 February 2022)</w:t>
      </w:r>
    </w:p>
    <w:p w14:paraId="53195E03" w14:textId="77777777" w:rsidR="004A47B1" w:rsidRPr="001F49D2" w:rsidRDefault="004A47B1" w:rsidP="004A47B1">
      <w:pPr>
        <w:rPr>
          <w:rFonts w:ascii="Open Sans" w:hAnsi="Open Sans" w:cs="Open Sans"/>
          <w:color w:val="000000"/>
          <w:shd w:val="clear" w:color="auto" w:fill="FFFFFF"/>
        </w:rPr>
      </w:pPr>
      <w:r w:rsidRPr="001F49D2">
        <w:rPr>
          <w:rFonts w:ascii="Open Sans" w:hAnsi="Open Sans" w:cs="Open Sans"/>
          <w:i/>
          <w:iCs/>
          <w:color w:val="000000"/>
          <w:shd w:val="clear" w:color="auto" w:fill="FFFFFF"/>
        </w:rPr>
        <w:t>Youth Justice &amp; Criminal Evidence Act 1999</w:t>
      </w:r>
      <w:r w:rsidRPr="001F49D2">
        <w:rPr>
          <w:rFonts w:ascii="Open Sans" w:hAnsi="Open Sans" w:cs="Open Sans"/>
          <w:color w:val="000000"/>
          <w:shd w:val="clear" w:color="auto" w:fill="FFFFFF"/>
        </w:rPr>
        <w:t>. c. 23, Part II, Ch. 1. Sect 16. Available at https://</w:t>
      </w:r>
      <w:r w:rsidRPr="001F49D2">
        <w:rPr>
          <w:rFonts w:ascii="Open Sans" w:hAnsi="Open Sans" w:cs="Open Sans"/>
        </w:rPr>
        <w:t xml:space="preserve"> </w:t>
      </w:r>
      <w:hyperlink r:id="rId36" w:history="1">
        <w:r w:rsidRPr="001F49D2">
          <w:rPr>
            <w:rStyle w:val="Hyperlink"/>
            <w:rFonts w:ascii="Open Sans" w:hAnsi="Open Sans" w:cs="Open Sans"/>
            <w:color w:val="auto"/>
            <w:shd w:val="clear" w:color="auto" w:fill="FFFFFF"/>
          </w:rPr>
          <w:t>www.legislation.gov.uk/ukpga/1999/23/section/16</w:t>
        </w:r>
      </w:hyperlink>
      <w:r w:rsidRPr="001F49D2">
        <w:rPr>
          <w:rFonts w:ascii="Open Sans" w:hAnsi="Open Sans" w:cs="Open Sans"/>
          <w:color w:val="000000"/>
          <w:shd w:val="clear" w:color="auto" w:fill="FFFFFF"/>
        </w:rPr>
        <w:t xml:space="preserve"> (Accessed: 7 May 2022) </w:t>
      </w:r>
    </w:p>
    <w:p w14:paraId="0F388284" w14:textId="77777777" w:rsidR="004A47B1" w:rsidRPr="001F49D2" w:rsidRDefault="004A47B1" w:rsidP="004A47B1">
      <w:pPr>
        <w:rPr>
          <w:rFonts w:ascii="Open Sans" w:hAnsi="Open Sans" w:cs="Open Sans"/>
          <w:color w:val="000000"/>
          <w:shd w:val="clear" w:color="auto" w:fill="FFFFFF"/>
        </w:rPr>
      </w:pPr>
      <w:r w:rsidRPr="001F49D2">
        <w:rPr>
          <w:rFonts w:ascii="Open Sans" w:hAnsi="Open Sans" w:cs="Open Sans"/>
          <w:i/>
          <w:iCs/>
          <w:color w:val="000000"/>
          <w:shd w:val="clear" w:color="auto" w:fill="FFFFFF"/>
        </w:rPr>
        <w:t>Youth Justic &amp; Criminal Evidence Act</w:t>
      </w:r>
      <w:r w:rsidRPr="001F49D2">
        <w:rPr>
          <w:rFonts w:ascii="Open Sans" w:hAnsi="Open Sans" w:cs="Open Sans"/>
          <w:color w:val="000000"/>
          <w:shd w:val="clear" w:color="auto" w:fill="FFFFFF"/>
        </w:rPr>
        <w:t xml:space="preserve"> 1999. c. 23, Part II, Ch. 1, Sect 17. Available at https://</w:t>
      </w:r>
      <w:r w:rsidRPr="001F49D2">
        <w:rPr>
          <w:rFonts w:ascii="Open Sans" w:hAnsi="Open Sans" w:cs="Open Sans"/>
        </w:rPr>
        <w:t xml:space="preserve"> </w:t>
      </w:r>
      <w:hyperlink r:id="rId37" w:history="1">
        <w:r w:rsidRPr="001F49D2">
          <w:rPr>
            <w:rStyle w:val="Hyperlink"/>
            <w:rFonts w:ascii="Open Sans" w:hAnsi="Open Sans" w:cs="Open Sans"/>
            <w:color w:val="auto"/>
            <w:shd w:val="clear" w:color="auto" w:fill="FFFFFF"/>
          </w:rPr>
          <w:t>www.legislation.gov.uk/ukpga/1999/23/section/17</w:t>
        </w:r>
      </w:hyperlink>
      <w:r w:rsidRPr="001F49D2">
        <w:rPr>
          <w:rFonts w:ascii="Open Sans" w:hAnsi="Open Sans" w:cs="Open Sans"/>
          <w:shd w:val="clear" w:color="auto" w:fill="FFFFFF"/>
        </w:rPr>
        <w:t xml:space="preserve"> </w:t>
      </w:r>
      <w:r w:rsidRPr="001F49D2">
        <w:rPr>
          <w:rFonts w:ascii="Open Sans" w:hAnsi="Open Sans" w:cs="Open Sans"/>
          <w:color w:val="000000"/>
          <w:shd w:val="clear" w:color="auto" w:fill="FFFFFF"/>
        </w:rPr>
        <w:t xml:space="preserve">(Accessed: 7 May 2022) </w:t>
      </w:r>
    </w:p>
    <w:p w14:paraId="6BAFD208" w14:textId="77777777" w:rsidR="004A47B1" w:rsidRPr="005A1D90" w:rsidRDefault="004A47B1" w:rsidP="00F03CF1">
      <w:pPr>
        <w:rPr>
          <w:rFonts w:ascii="Open Sans" w:hAnsi="Open Sans" w:cs="Open Sans"/>
          <w:color w:val="000000"/>
          <w:sz w:val="20"/>
          <w:szCs w:val="20"/>
          <w:shd w:val="clear" w:color="auto" w:fill="FFFFFF"/>
        </w:rPr>
      </w:pPr>
    </w:p>
    <w:p w14:paraId="3411F1E7" w14:textId="77777777" w:rsidR="00F03CF1" w:rsidRDefault="00F03CF1" w:rsidP="727E3A7D">
      <w:pPr>
        <w:rPr>
          <w:rFonts w:ascii="Arial" w:eastAsia="Arial" w:hAnsi="Arial" w:cs="Arial"/>
          <w:b/>
          <w:bCs/>
          <w:sz w:val="24"/>
          <w:szCs w:val="24"/>
        </w:rPr>
      </w:pPr>
    </w:p>
    <w:p w14:paraId="30001965" w14:textId="77777777" w:rsidR="003E7506" w:rsidRDefault="003E7506" w:rsidP="7336895D">
      <w:pPr>
        <w:rPr>
          <w:rFonts w:ascii="Arial" w:eastAsia="Arial" w:hAnsi="Arial" w:cs="Arial"/>
          <w:b/>
          <w:bCs/>
          <w:sz w:val="24"/>
          <w:szCs w:val="24"/>
        </w:rPr>
      </w:pPr>
    </w:p>
    <w:p w14:paraId="6C0B5C2D" w14:textId="77777777" w:rsidR="00A377B7" w:rsidRDefault="00A377B7" w:rsidP="7336895D">
      <w:pPr>
        <w:rPr>
          <w:rFonts w:ascii="Arial" w:eastAsia="Arial" w:hAnsi="Arial" w:cs="Arial"/>
          <w:b/>
          <w:bCs/>
          <w:sz w:val="24"/>
          <w:szCs w:val="24"/>
        </w:rPr>
      </w:pPr>
    </w:p>
    <w:p w14:paraId="37D85D52" w14:textId="77777777" w:rsidR="00A377B7" w:rsidRDefault="00A377B7" w:rsidP="7336895D">
      <w:pPr>
        <w:rPr>
          <w:rFonts w:ascii="Arial" w:eastAsia="Arial" w:hAnsi="Arial" w:cs="Arial"/>
          <w:b/>
          <w:bCs/>
          <w:sz w:val="24"/>
          <w:szCs w:val="24"/>
        </w:rPr>
      </w:pPr>
    </w:p>
    <w:p w14:paraId="2533E2FC" w14:textId="77777777" w:rsidR="00A377B7" w:rsidRDefault="00A377B7" w:rsidP="7336895D">
      <w:pPr>
        <w:rPr>
          <w:rFonts w:ascii="Arial" w:eastAsia="Arial" w:hAnsi="Arial" w:cs="Arial"/>
          <w:b/>
          <w:bCs/>
          <w:sz w:val="24"/>
          <w:szCs w:val="24"/>
        </w:rPr>
      </w:pPr>
    </w:p>
    <w:p w14:paraId="1D44491B" w14:textId="77777777" w:rsidR="00A377B7" w:rsidRDefault="00A377B7" w:rsidP="7336895D">
      <w:pPr>
        <w:rPr>
          <w:rFonts w:ascii="Arial" w:eastAsia="Arial" w:hAnsi="Arial" w:cs="Arial"/>
          <w:b/>
          <w:bCs/>
          <w:sz w:val="24"/>
          <w:szCs w:val="24"/>
        </w:rPr>
      </w:pPr>
    </w:p>
    <w:p w14:paraId="490C2A8D" w14:textId="77777777" w:rsidR="00A377B7" w:rsidRDefault="00A377B7" w:rsidP="7336895D">
      <w:pPr>
        <w:rPr>
          <w:rFonts w:ascii="Arial" w:eastAsia="Arial" w:hAnsi="Arial" w:cs="Arial"/>
          <w:b/>
          <w:bCs/>
          <w:sz w:val="24"/>
          <w:szCs w:val="24"/>
        </w:rPr>
      </w:pPr>
    </w:p>
    <w:p w14:paraId="2F0FCB47" w14:textId="77777777" w:rsidR="00A377B7" w:rsidRDefault="00A377B7" w:rsidP="7336895D">
      <w:pPr>
        <w:rPr>
          <w:rFonts w:ascii="Arial" w:eastAsia="Arial" w:hAnsi="Arial" w:cs="Arial"/>
          <w:b/>
          <w:bCs/>
          <w:sz w:val="24"/>
          <w:szCs w:val="24"/>
        </w:rPr>
      </w:pPr>
    </w:p>
    <w:p w14:paraId="7CE90DE7" w14:textId="77777777" w:rsidR="00A377B7" w:rsidRDefault="00A377B7" w:rsidP="7336895D">
      <w:pPr>
        <w:rPr>
          <w:rFonts w:ascii="Arial" w:eastAsia="Arial" w:hAnsi="Arial" w:cs="Arial"/>
          <w:b/>
          <w:bCs/>
          <w:sz w:val="24"/>
          <w:szCs w:val="24"/>
        </w:rPr>
      </w:pPr>
    </w:p>
    <w:p w14:paraId="637CB9F4" w14:textId="77777777" w:rsidR="00A377B7" w:rsidRDefault="00A377B7" w:rsidP="7336895D">
      <w:pPr>
        <w:rPr>
          <w:rFonts w:ascii="Arial" w:eastAsia="Arial" w:hAnsi="Arial" w:cs="Arial"/>
          <w:b/>
          <w:bCs/>
          <w:sz w:val="24"/>
          <w:szCs w:val="24"/>
        </w:rPr>
      </w:pPr>
    </w:p>
    <w:p w14:paraId="0B67D6D0" w14:textId="77777777" w:rsidR="00A377B7" w:rsidRDefault="00A377B7" w:rsidP="7336895D">
      <w:pPr>
        <w:rPr>
          <w:rFonts w:ascii="Arial" w:eastAsia="Arial" w:hAnsi="Arial" w:cs="Arial"/>
          <w:b/>
          <w:bCs/>
          <w:sz w:val="24"/>
          <w:szCs w:val="24"/>
        </w:rPr>
      </w:pPr>
    </w:p>
    <w:p w14:paraId="47E1D4AC" w14:textId="77777777" w:rsidR="00A377B7" w:rsidRDefault="00A377B7" w:rsidP="7336895D">
      <w:pPr>
        <w:rPr>
          <w:rFonts w:ascii="Arial" w:eastAsia="Arial" w:hAnsi="Arial" w:cs="Arial"/>
          <w:b/>
          <w:bCs/>
          <w:sz w:val="24"/>
          <w:szCs w:val="24"/>
        </w:rPr>
      </w:pPr>
    </w:p>
    <w:p w14:paraId="082547CE" w14:textId="77777777" w:rsidR="00A377B7" w:rsidRDefault="00A377B7" w:rsidP="7336895D">
      <w:pPr>
        <w:rPr>
          <w:rFonts w:ascii="Arial" w:eastAsia="Arial" w:hAnsi="Arial" w:cs="Arial"/>
          <w:b/>
          <w:bCs/>
          <w:sz w:val="24"/>
          <w:szCs w:val="24"/>
        </w:rPr>
      </w:pPr>
    </w:p>
    <w:p w14:paraId="54D2BD09" w14:textId="77777777" w:rsidR="00A377B7" w:rsidRDefault="00A377B7" w:rsidP="7336895D">
      <w:pPr>
        <w:rPr>
          <w:rFonts w:ascii="Arial" w:eastAsia="Arial" w:hAnsi="Arial" w:cs="Arial"/>
          <w:b/>
          <w:bCs/>
          <w:sz w:val="24"/>
          <w:szCs w:val="24"/>
        </w:rPr>
      </w:pPr>
    </w:p>
    <w:p w14:paraId="3F0CB5D9" w14:textId="77777777" w:rsidR="00A377B7" w:rsidRDefault="00A377B7" w:rsidP="7336895D">
      <w:pPr>
        <w:rPr>
          <w:rFonts w:ascii="Arial" w:eastAsia="Arial" w:hAnsi="Arial" w:cs="Arial"/>
          <w:b/>
          <w:bCs/>
          <w:sz w:val="24"/>
          <w:szCs w:val="24"/>
        </w:rPr>
      </w:pPr>
    </w:p>
    <w:p w14:paraId="267860E8" w14:textId="77777777" w:rsidR="00A377B7" w:rsidRDefault="00A377B7" w:rsidP="7336895D">
      <w:pPr>
        <w:rPr>
          <w:rFonts w:ascii="Arial" w:eastAsia="Arial" w:hAnsi="Arial" w:cs="Arial"/>
          <w:b/>
          <w:bCs/>
          <w:sz w:val="24"/>
          <w:szCs w:val="24"/>
        </w:rPr>
      </w:pPr>
    </w:p>
    <w:p w14:paraId="3B80D31F" w14:textId="77777777" w:rsidR="00A377B7" w:rsidRDefault="00A377B7" w:rsidP="7336895D">
      <w:pPr>
        <w:rPr>
          <w:rFonts w:ascii="Arial" w:eastAsia="Arial" w:hAnsi="Arial" w:cs="Arial"/>
          <w:b/>
          <w:bCs/>
          <w:sz w:val="24"/>
          <w:szCs w:val="24"/>
        </w:rPr>
      </w:pPr>
    </w:p>
    <w:p w14:paraId="4A32851E" w14:textId="77777777" w:rsidR="00A377B7" w:rsidRDefault="00A377B7" w:rsidP="7336895D">
      <w:pPr>
        <w:rPr>
          <w:rFonts w:ascii="Arial" w:eastAsia="Arial" w:hAnsi="Arial" w:cs="Arial"/>
          <w:b/>
          <w:bCs/>
          <w:sz w:val="24"/>
          <w:szCs w:val="24"/>
        </w:rPr>
      </w:pPr>
    </w:p>
    <w:p w14:paraId="4C504A1C" w14:textId="77777777" w:rsidR="00A377B7" w:rsidRDefault="00A377B7" w:rsidP="7336895D">
      <w:pPr>
        <w:rPr>
          <w:rFonts w:ascii="Arial" w:eastAsia="Arial" w:hAnsi="Arial" w:cs="Arial"/>
          <w:b/>
          <w:bCs/>
          <w:sz w:val="24"/>
          <w:szCs w:val="24"/>
        </w:rPr>
      </w:pPr>
    </w:p>
    <w:p w14:paraId="5D965313" w14:textId="77777777" w:rsidR="00A377B7" w:rsidRDefault="00A377B7" w:rsidP="7336895D">
      <w:pPr>
        <w:rPr>
          <w:rFonts w:ascii="Arial" w:eastAsia="Arial" w:hAnsi="Arial" w:cs="Arial"/>
          <w:b/>
          <w:bCs/>
          <w:sz w:val="24"/>
          <w:szCs w:val="24"/>
        </w:rPr>
      </w:pPr>
    </w:p>
    <w:p w14:paraId="28A5538A" w14:textId="77777777" w:rsidR="00A377B7" w:rsidRDefault="00A377B7" w:rsidP="7336895D">
      <w:pPr>
        <w:rPr>
          <w:rFonts w:ascii="Arial" w:eastAsia="Arial" w:hAnsi="Arial" w:cs="Arial"/>
          <w:b/>
          <w:bCs/>
          <w:sz w:val="24"/>
          <w:szCs w:val="24"/>
        </w:rPr>
      </w:pPr>
    </w:p>
    <w:p w14:paraId="54DE5F5F" w14:textId="77777777" w:rsidR="00A377B7" w:rsidRDefault="00A377B7" w:rsidP="7336895D">
      <w:pPr>
        <w:rPr>
          <w:rFonts w:ascii="Arial" w:eastAsia="Arial" w:hAnsi="Arial" w:cs="Arial"/>
          <w:b/>
          <w:bCs/>
          <w:sz w:val="24"/>
          <w:szCs w:val="24"/>
        </w:rPr>
      </w:pPr>
    </w:p>
    <w:p w14:paraId="28F6A31C" w14:textId="77777777" w:rsidR="00A377B7" w:rsidRDefault="00A377B7" w:rsidP="7336895D">
      <w:pPr>
        <w:rPr>
          <w:rFonts w:ascii="Arial" w:eastAsia="Arial" w:hAnsi="Arial" w:cs="Arial"/>
          <w:b/>
          <w:bCs/>
          <w:sz w:val="24"/>
          <w:szCs w:val="24"/>
        </w:rPr>
      </w:pPr>
    </w:p>
    <w:p w14:paraId="53B62AC3" w14:textId="77777777" w:rsidR="00A377B7" w:rsidRDefault="00A377B7" w:rsidP="7336895D">
      <w:pPr>
        <w:rPr>
          <w:rFonts w:ascii="Arial" w:eastAsia="Arial" w:hAnsi="Arial" w:cs="Arial"/>
          <w:b/>
          <w:bCs/>
          <w:sz w:val="24"/>
          <w:szCs w:val="24"/>
        </w:rPr>
      </w:pPr>
    </w:p>
    <w:p w14:paraId="13F4C00A" w14:textId="4E1A4B5B" w:rsidR="010A2EC9" w:rsidRDefault="010A2EC9" w:rsidP="7336895D">
      <w:pPr>
        <w:rPr>
          <w:rFonts w:ascii="Arial" w:eastAsia="Arial" w:hAnsi="Arial" w:cs="Arial"/>
          <w:b/>
          <w:bCs/>
          <w:sz w:val="24"/>
          <w:szCs w:val="24"/>
        </w:rPr>
      </w:pPr>
      <w:r w:rsidRPr="515A1CF8">
        <w:rPr>
          <w:rFonts w:ascii="Arial" w:eastAsia="Arial" w:hAnsi="Arial" w:cs="Arial"/>
          <w:b/>
          <w:bCs/>
          <w:sz w:val="24"/>
          <w:szCs w:val="24"/>
        </w:rPr>
        <w:t xml:space="preserve">Task 2: </w:t>
      </w:r>
    </w:p>
    <w:p w14:paraId="2F03655D" w14:textId="50B7AA50" w:rsidR="7336895D" w:rsidRDefault="7336895D" w:rsidP="515A1CF8">
      <w:pPr>
        <w:rPr>
          <w:rFonts w:ascii="Calibri" w:eastAsia="Calibri" w:hAnsi="Calibri" w:cs="Calibri"/>
          <w:color w:val="000000" w:themeColor="text1"/>
        </w:rPr>
      </w:pPr>
    </w:p>
    <w:p w14:paraId="1D47177A" w14:textId="6ECC25A1" w:rsidR="7336895D" w:rsidRDefault="1EBEE606" w:rsidP="515A1CF8">
      <w:pPr>
        <w:rPr>
          <w:rFonts w:ascii="Arial" w:eastAsia="Arial" w:hAnsi="Arial" w:cs="Arial"/>
          <w:color w:val="000000" w:themeColor="text1"/>
          <w:sz w:val="24"/>
          <w:szCs w:val="24"/>
        </w:rPr>
      </w:pPr>
      <w:r w:rsidRPr="515A1CF8">
        <w:rPr>
          <w:rFonts w:ascii="Arial" w:eastAsia="Arial" w:hAnsi="Arial" w:cs="Arial"/>
          <w:b/>
          <w:bCs/>
          <w:color w:val="000000" w:themeColor="text1"/>
          <w:sz w:val="24"/>
          <w:szCs w:val="24"/>
        </w:rPr>
        <w:t xml:space="preserve">You must choose an investigation in which you played a significant role and reflect upon how you supported victims and or witnesses. </w:t>
      </w:r>
    </w:p>
    <w:p w14:paraId="2A30A3F0" w14:textId="386DF2F5" w:rsidR="7336895D" w:rsidRDefault="7336895D" w:rsidP="7336895D">
      <w:pPr>
        <w:rPr>
          <w:b/>
          <w:bCs/>
        </w:rPr>
      </w:pPr>
    </w:p>
    <w:tbl>
      <w:tblPr>
        <w:tblStyle w:val="TableGrid"/>
        <w:tblW w:w="0" w:type="auto"/>
        <w:tblLayout w:type="fixed"/>
        <w:tblLook w:val="06A0" w:firstRow="1" w:lastRow="0" w:firstColumn="1" w:lastColumn="0" w:noHBand="1" w:noVBand="1"/>
      </w:tblPr>
      <w:tblGrid>
        <w:gridCol w:w="9015"/>
      </w:tblGrid>
      <w:tr w:rsidR="7336895D" w14:paraId="377E1D5D" w14:textId="77777777" w:rsidTr="79283025">
        <w:tc>
          <w:tcPr>
            <w:tcW w:w="9015" w:type="dxa"/>
          </w:tcPr>
          <w:p w14:paraId="77EB8991" w14:textId="1C7BACBC" w:rsidR="7336895D" w:rsidRDefault="7336895D" w:rsidP="7336895D">
            <w:pPr>
              <w:rPr>
                <w:rFonts w:ascii="Arial" w:eastAsia="Arial" w:hAnsi="Arial" w:cs="Arial"/>
                <w:b/>
                <w:bCs/>
                <w:color w:val="000000" w:themeColor="text1"/>
                <w:sz w:val="24"/>
                <w:szCs w:val="24"/>
              </w:rPr>
            </w:pPr>
          </w:p>
          <w:p w14:paraId="309EE1A9" w14:textId="28613F84" w:rsidR="7336895D" w:rsidRDefault="7336895D" w:rsidP="7336895D">
            <w:pPr>
              <w:rPr>
                <w:rFonts w:ascii="Arial" w:eastAsia="Arial" w:hAnsi="Arial" w:cs="Arial"/>
                <w:b/>
                <w:bCs/>
                <w:color w:val="000000" w:themeColor="text1"/>
                <w:sz w:val="24"/>
                <w:szCs w:val="24"/>
              </w:rPr>
            </w:pPr>
          </w:p>
          <w:p w14:paraId="44012570" w14:textId="310F5E55" w:rsidR="7336895D" w:rsidRDefault="1EBEE606" w:rsidP="515A1CF8">
            <w:pPr>
              <w:spacing w:line="259" w:lineRule="auto"/>
              <w:ind w:right="237"/>
              <w:jc w:val="both"/>
            </w:pPr>
            <w:r w:rsidRPr="515A1CF8">
              <w:rPr>
                <w:rFonts w:ascii="Arial" w:eastAsia="Arial" w:hAnsi="Arial" w:cs="Arial"/>
                <w:b/>
                <w:bCs/>
                <w:color w:val="000000" w:themeColor="text1"/>
                <w:sz w:val="24"/>
                <w:szCs w:val="24"/>
              </w:rPr>
              <w:t>Give a brief description</w:t>
            </w:r>
            <w:r w:rsidRPr="515A1CF8">
              <w:rPr>
                <w:rFonts w:ascii="Arial" w:eastAsia="Arial" w:hAnsi="Arial" w:cs="Arial"/>
                <w:color w:val="000000" w:themeColor="text1"/>
                <w:sz w:val="24"/>
                <w:szCs w:val="24"/>
              </w:rPr>
              <w:t xml:space="preserve"> of the investigation including social and legislative contexts and any relevant cultural, ethnicity and language issues.  </w:t>
            </w:r>
            <w:r w:rsidRPr="515A1CF8">
              <w:rPr>
                <w:rFonts w:ascii="Arial" w:eastAsia="Arial" w:hAnsi="Arial" w:cs="Arial"/>
                <w:sz w:val="24"/>
                <w:szCs w:val="24"/>
              </w:rPr>
              <w:t xml:space="preserve"> </w:t>
            </w:r>
          </w:p>
          <w:p w14:paraId="2A0EC8D3" w14:textId="6AF2A5EB" w:rsidR="7336895D" w:rsidRDefault="7336895D" w:rsidP="515A1CF8">
            <w:pPr>
              <w:rPr>
                <w:rFonts w:ascii="Arial" w:eastAsia="Arial" w:hAnsi="Arial" w:cs="Arial"/>
                <w:b/>
                <w:bCs/>
                <w:color w:val="000000" w:themeColor="text1"/>
                <w:sz w:val="24"/>
                <w:szCs w:val="24"/>
              </w:rPr>
            </w:pPr>
          </w:p>
          <w:p w14:paraId="49AF60EB" w14:textId="7E8FD7D8" w:rsidR="1EBEE606" w:rsidRDefault="1EBEE606" w:rsidP="515A1CF8">
            <w:pPr>
              <w:rPr>
                <w:rFonts w:ascii="Arial" w:eastAsia="Arial" w:hAnsi="Arial" w:cs="Arial"/>
                <w:b/>
                <w:bCs/>
                <w:color w:val="000000" w:themeColor="text1"/>
                <w:sz w:val="24"/>
                <w:szCs w:val="24"/>
              </w:rPr>
            </w:pPr>
            <w:r w:rsidRPr="515A1CF8">
              <w:rPr>
                <w:rFonts w:ascii="Arial" w:eastAsia="Arial" w:hAnsi="Arial" w:cs="Arial"/>
                <w:b/>
                <w:bCs/>
                <w:color w:val="000000" w:themeColor="text1"/>
                <w:sz w:val="24"/>
                <w:szCs w:val="24"/>
              </w:rPr>
              <w:t xml:space="preserve">Critically evaluate </w:t>
            </w:r>
            <w:r w:rsidRPr="515A1CF8">
              <w:rPr>
                <w:rFonts w:ascii="Arial" w:eastAsia="Arial" w:hAnsi="Arial" w:cs="Arial"/>
                <w:color w:val="000000" w:themeColor="text1"/>
                <w:sz w:val="24"/>
                <w:szCs w:val="24"/>
              </w:rPr>
              <w:t xml:space="preserve">how you have provided appropriate support for victims during an investigation. Consider the use of </w:t>
            </w:r>
            <w:r w:rsidR="5FC6C293" w:rsidRPr="515A1CF8">
              <w:rPr>
                <w:rFonts w:ascii="Arial" w:eastAsia="Arial" w:hAnsi="Arial" w:cs="Arial"/>
                <w:color w:val="000000" w:themeColor="text1"/>
                <w:sz w:val="24"/>
                <w:szCs w:val="24"/>
              </w:rPr>
              <w:t xml:space="preserve">a victim strategy when required and working with the Victim Care Unit. </w:t>
            </w:r>
          </w:p>
          <w:p w14:paraId="44E0E104" w14:textId="74D7C2CC" w:rsidR="515A1CF8" w:rsidRDefault="515A1CF8" w:rsidP="515A1CF8">
            <w:pPr>
              <w:rPr>
                <w:rFonts w:ascii="Arial" w:eastAsia="Arial" w:hAnsi="Arial" w:cs="Arial"/>
                <w:color w:val="000000" w:themeColor="text1"/>
                <w:sz w:val="24"/>
                <w:szCs w:val="24"/>
              </w:rPr>
            </w:pPr>
          </w:p>
          <w:p w14:paraId="299FE2F7" w14:textId="5EF70B86" w:rsidR="587461C1" w:rsidRDefault="0C3EB9E8" w:rsidP="79283025">
            <w:pPr>
              <w:rPr>
                <w:rFonts w:ascii="Arial" w:eastAsia="Arial" w:hAnsi="Arial" w:cs="Arial"/>
                <w:color w:val="000000" w:themeColor="text1"/>
                <w:sz w:val="24"/>
                <w:szCs w:val="24"/>
              </w:rPr>
            </w:pPr>
            <w:r w:rsidRPr="79283025">
              <w:rPr>
                <w:rFonts w:ascii="Arial" w:eastAsia="Arial" w:hAnsi="Arial" w:cs="Arial"/>
                <w:b/>
                <w:bCs/>
                <w:color w:val="000000" w:themeColor="text1"/>
                <w:sz w:val="24"/>
                <w:szCs w:val="24"/>
              </w:rPr>
              <w:t>Examine</w:t>
            </w:r>
            <w:r w:rsidRPr="79283025">
              <w:rPr>
                <w:rFonts w:ascii="Arial" w:eastAsia="Arial" w:hAnsi="Arial" w:cs="Arial"/>
                <w:color w:val="000000" w:themeColor="text1"/>
                <w:sz w:val="24"/>
                <w:szCs w:val="24"/>
              </w:rPr>
              <w:t xml:space="preserve"> the use of appropriate responses to safeguarding concerns and manage</w:t>
            </w:r>
            <w:r w:rsidR="21E64008" w:rsidRPr="79283025">
              <w:rPr>
                <w:rFonts w:ascii="Arial" w:eastAsia="Arial" w:hAnsi="Arial" w:cs="Arial"/>
                <w:color w:val="000000" w:themeColor="text1"/>
                <w:sz w:val="24"/>
                <w:szCs w:val="24"/>
              </w:rPr>
              <w:t>ment</w:t>
            </w:r>
            <w:r w:rsidRPr="79283025">
              <w:rPr>
                <w:rFonts w:ascii="Arial" w:eastAsia="Arial" w:hAnsi="Arial" w:cs="Arial"/>
                <w:color w:val="000000" w:themeColor="text1"/>
                <w:sz w:val="24"/>
                <w:szCs w:val="24"/>
              </w:rPr>
              <w:t xml:space="preserve"> risk in investigations. (</w:t>
            </w:r>
            <w:r w:rsidR="55676C9F" w:rsidRPr="79283025">
              <w:rPr>
                <w:rFonts w:ascii="Arial" w:eastAsia="Arial" w:hAnsi="Arial" w:cs="Arial"/>
                <w:color w:val="000000" w:themeColor="text1"/>
                <w:sz w:val="24"/>
                <w:szCs w:val="24"/>
              </w:rPr>
              <w:t>Examples</w:t>
            </w:r>
            <w:r w:rsidRPr="79283025">
              <w:rPr>
                <w:rFonts w:ascii="Arial" w:eastAsia="Arial" w:hAnsi="Arial" w:cs="Arial"/>
                <w:color w:val="000000" w:themeColor="text1"/>
                <w:sz w:val="24"/>
                <w:szCs w:val="24"/>
              </w:rPr>
              <w:t xml:space="preserve"> inclu</w:t>
            </w:r>
            <w:r w:rsidR="48E74597" w:rsidRPr="79283025">
              <w:rPr>
                <w:rFonts w:ascii="Arial" w:eastAsia="Arial" w:hAnsi="Arial" w:cs="Arial"/>
                <w:color w:val="000000" w:themeColor="text1"/>
                <w:sz w:val="24"/>
                <w:szCs w:val="24"/>
              </w:rPr>
              <w:t>de but not limited to; child abuse, offences against vulnerable adults and domestic abuse).</w:t>
            </w:r>
          </w:p>
          <w:p w14:paraId="6308EF80" w14:textId="244D8081" w:rsidR="7336895D" w:rsidRDefault="7336895D" w:rsidP="515A1CF8">
            <w:pPr>
              <w:rPr>
                <w:rFonts w:ascii="Arial" w:eastAsia="Arial" w:hAnsi="Arial" w:cs="Arial"/>
                <w:b/>
                <w:bCs/>
                <w:color w:val="000000" w:themeColor="text1"/>
                <w:sz w:val="24"/>
                <w:szCs w:val="24"/>
              </w:rPr>
            </w:pPr>
          </w:p>
          <w:p w14:paraId="7CAF4048" w14:textId="6196AD54" w:rsidR="4D1E61E7" w:rsidRDefault="43D73861" w:rsidP="79283025">
            <w:pPr>
              <w:rPr>
                <w:rFonts w:ascii="Arial" w:eastAsia="Arial" w:hAnsi="Arial" w:cs="Arial"/>
                <w:color w:val="000000" w:themeColor="text1"/>
                <w:sz w:val="24"/>
                <w:szCs w:val="24"/>
              </w:rPr>
            </w:pPr>
            <w:r w:rsidRPr="79283025">
              <w:rPr>
                <w:rFonts w:ascii="Arial" w:eastAsia="Arial" w:hAnsi="Arial" w:cs="Arial"/>
                <w:b/>
                <w:bCs/>
                <w:color w:val="000000" w:themeColor="text1"/>
                <w:sz w:val="24"/>
                <w:szCs w:val="24"/>
              </w:rPr>
              <w:t xml:space="preserve">Consider and reflect </w:t>
            </w:r>
            <w:r w:rsidRPr="79283025">
              <w:rPr>
                <w:rFonts w:ascii="Arial" w:eastAsia="Arial" w:hAnsi="Arial" w:cs="Arial"/>
                <w:color w:val="000000" w:themeColor="text1"/>
                <w:sz w:val="24"/>
                <w:szCs w:val="24"/>
              </w:rPr>
              <w:t xml:space="preserve">upon how you have assessed threat, risk and harm </w:t>
            </w:r>
            <w:r w:rsidR="43DD8830" w:rsidRPr="79283025">
              <w:rPr>
                <w:rFonts w:ascii="Arial" w:eastAsia="Arial" w:hAnsi="Arial" w:cs="Arial"/>
                <w:color w:val="000000" w:themeColor="text1"/>
                <w:sz w:val="24"/>
                <w:szCs w:val="24"/>
              </w:rPr>
              <w:t>to</w:t>
            </w:r>
            <w:r w:rsidRPr="79283025">
              <w:rPr>
                <w:rFonts w:ascii="Arial" w:eastAsia="Arial" w:hAnsi="Arial" w:cs="Arial"/>
                <w:color w:val="000000" w:themeColor="text1"/>
                <w:sz w:val="24"/>
                <w:szCs w:val="24"/>
              </w:rPr>
              <w:t xml:space="preserve"> develop and implement plans and strategies to investigate serious and complex crime</w:t>
            </w:r>
            <w:r w:rsidR="174F78FE" w:rsidRPr="79283025">
              <w:rPr>
                <w:rFonts w:ascii="Arial" w:eastAsia="Arial" w:hAnsi="Arial" w:cs="Arial"/>
                <w:color w:val="000000" w:themeColor="text1"/>
                <w:sz w:val="24"/>
                <w:szCs w:val="24"/>
              </w:rPr>
              <w:t xml:space="preserve">. </w:t>
            </w:r>
          </w:p>
          <w:p w14:paraId="517D5725" w14:textId="763BA0DA" w:rsidR="7336895D" w:rsidRDefault="7336895D" w:rsidP="515A1CF8">
            <w:pPr>
              <w:rPr>
                <w:rFonts w:ascii="Arial" w:eastAsia="Arial" w:hAnsi="Arial" w:cs="Arial"/>
                <w:color w:val="000000" w:themeColor="text1"/>
                <w:sz w:val="24"/>
                <w:szCs w:val="24"/>
              </w:rPr>
            </w:pPr>
          </w:p>
          <w:p w14:paraId="1CBC0A2B" w14:textId="239D33DE" w:rsidR="7336895D" w:rsidRDefault="7336895D" w:rsidP="7336895D">
            <w:pPr>
              <w:rPr>
                <w:rFonts w:ascii="Arial" w:eastAsia="Arial" w:hAnsi="Arial" w:cs="Arial"/>
                <w:b/>
                <w:bCs/>
                <w:color w:val="000000" w:themeColor="text1"/>
                <w:sz w:val="24"/>
                <w:szCs w:val="24"/>
              </w:rPr>
            </w:pPr>
          </w:p>
          <w:p w14:paraId="7F275370" w14:textId="30744283" w:rsidR="7336895D" w:rsidRDefault="7336895D" w:rsidP="7336895D">
            <w:pPr>
              <w:rPr>
                <w:rFonts w:ascii="Arial" w:eastAsia="Arial" w:hAnsi="Arial" w:cs="Arial"/>
                <w:b/>
                <w:bCs/>
                <w:color w:val="000000" w:themeColor="text1"/>
                <w:sz w:val="24"/>
                <w:szCs w:val="24"/>
              </w:rPr>
            </w:pPr>
          </w:p>
          <w:p w14:paraId="22801FC5" w14:textId="5DB6F10F" w:rsidR="7336895D" w:rsidRDefault="7336895D" w:rsidP="7336895D">
            <w:pPr>
              <w:rPr>
                <w:rFonts w:ascii="Arial" w:eastAsia="Arial" w:hAnsi="Arial" w:cs="Arial"/>
                <w:b/>
                <w:bCs/>
                <w:color w:val="000000" w:themeColor="text1"/>
                <w:sz w:val="24"/>
                <w:szCs w:val="24"/>
              </w:rPr>
            </w:pPr>
          </w:p>
          <w:p w14:paraId="79F7C175" w14:textId="7CB3A010" w:rsidR="7336895D" w:rsidRDefault="304A670B" w:rsidP="727E3A7D">
            <w:pPr>
              <w:ind w:right="237"/>
              <w:jc w:val="both"/>
              <w:rPr>
                <w:rFonts w:ascii="Arial" w:eastAsia="Arial" w:hAnsi="Arial" w:cs="Arial"/>
                <w:sz w:val="24"/>
                <w:szCs w:val="24"/>
              </w:rPr>
            </w:pPr>
            <w:r w:rsidRPr="727E3A7D">
              <w:rPr>
                <w:rFonts w:ascii="Arial" w:eastAsia="Arial" w:hAnsi="Arial" w:cs="Arial"/>
                <w:color w:val="000000" w:themeColor="text1"/>
                <w:sz w:val="24"/>
                <w:szCs w:val="24"/>
              </w:rPr>
              <w:t xml:space="preserve">2000 words </w:t>
            </w:r>
            <w:r w:rsidRPr="727E3A7D">
              <w:rPr>
                <w:rFonts w:ascii="Arial" w:eastAsia="Arial" w:hAnsi="Arial" w:cs="Arial"/>
                <w:i/>
                <w:iCs/>
                <w:color w:val="000000" w:themeColor="text1"/>
                <w:sz w:val="24"/>
                <w:szCs w:val="24"/>
              </w:rPr>
              <w:t>(+/- 10%: include your actual word count at the end of each section)</w:t>
            </w:r>
          </w:p>
          <w:p w14:paraId="5C6A6876" w14:textId="7564B3FD" w:rsidR="7336895D" w:rsidRDefault="7336895D" w:rsidP="727E3A7D">
            <w:pPr>
              <w:rPr>
                <w:rFonts w:ascii="Arial" w:eastAsia="Arial" w:hAnsi="Arial" w:cs="Arial"/>
                <w:b/>
                <w:bCs/>
                <w:color w:val="000000" w:themeColor="text1"/>
                <w:sz w:val="24"/>
                <w:szCs w:val="24"/>
              </w:rPr>
            </w:pPr>
          </w:p>
          <w:p w14:paraId="33BEFD48" w14:textId="38C99E96" w:rsidR="7336895D" w:rsidRDefault="7336895D" w:rsidP="7336895D">
            <w:pPr>
              <w:rPr>
                <w:rFonts w:ascii="Arial" w:eastAsia="Arial" w:hAnsi="Arial" w:cs="Arial"/>
                <w:b/>
                <w:bCs/>
                <w:color w:val="000000" w:themeColor="text1"/>
                <w:sz w:val="24"/>
                <w:szCs w:val="24"/>
              </w:rPr>
            </w:pPr>
          </w:p>
        </w:tc>
      </w:tr>
    </w:tbl>
    <w:p w14:paraId="28824CA4" w14:textId="5793308C" w:rsidR="7336895D" w:rsidRDefault="7336895D" w:rsidP="7336895D">
      <w:pPr>
        <w:ind w:left="3600" w:right="107" w:firstLine="720"/>
        <w:jc w:val="both"/>
        <w:rPr>
          <w:rFonts w:ascii="Arial" w:eastAsia="Arial" w:hAnsi="Arial" w:cs="Arial"/>
          <w:b/>
          <w:bCs/>
          <w:color w:val="000000" w:themeColor="text1"/>
          <w:sz w:val="24"/>
          <w:szCs w:val="24"/>
        </w:rPr>
      </w:pPr>
    </w:p>
    <w:p w14:paraId="6468A0CB" w14:textId="5B0A4253" w:rsidR="7336895D" w:rsidRDefault="7336895D" w:rsidP="727E3A7D">
      <w:pPr>
        <w:ind w:right="237"/>
        <w:jc w:val="both"/>
        <w:rPr>
          <w:rFonts w:ascii="Arial" w:eastAsia="Arial" w:hAnsi="Arial" w:cs="Arial"/>
          <w:color w:val="000000" w:themeColor="text1"/>
          <w:sz w:val="24"/>
          <w:szCs w:val="24"/>
        </w:rPr>
      </w:pPr>
    </w:p>
    <w:p w14:paraId="27BFF515" w14:textId="175053D5" w:rsidR="7336895D" w:rsidRDefault="2173DA8E" w:rsidP="727E3A7D">
      <w:pPr>
        <w:ind w:right="237"/>
        <w:jc w:val="both"/>
        <w:rPr>
          <w:rFonts w:ascii="Arial" w:eastAsia="Arial" w:hAnsi="Arial" w:cs="Arial"/>
          <w:color w:val="000000" w:themeColor="text1"/>
          <w:sz w:val="24"/>
          <w:szCs w:val="24"/>
        </w:rPr>
      </w:pPr>
      <w:r w:rsidRPr="727E3A7D">
        <w:rPr>
          <w:rFonts w:ascii="Arial" w:eastAsia="Arial" w:hAnsi="Arial" w:cs="Arial"/>
          <w:b/>
          <w:bCs/>
          <w:color w:val="000000" w:themeColor="text1"/>
          <w:sz w:val="24"/>
          <w:szCs w:val="24"/>
        </w:rPr>
        <w:t>ANSWER:</w:t>
      </w:r>
    </w:p>
    <w:p w14:paraId="65EAC98A" w14:textId="77777777" w:rsidR="006F06F1" w:rsidRPr="006F06F1" w:rsidRDefault="006F06F1" w:rsidP="006F06F1">
      <w:pPr>
        <w:ind w:right="237"/>
        <w:jc w:val="both"/>
        <w:rPr>
          <w:rFonts w:ascii="Arial" w:hAnsi="Arial" w:cs="Arial"/>
        </w:rPr>
      </w:pPr>
      <w:r w:rsidRPr="006F06F1">
        <w:rPr>
          <w:rFonts w:ascii="Arial" w:eastAsia="Arial" w:hAnsi="Arial" w:cs="Arial"/>
          <w:color w:val="000000"/>
        </w:rPr>
        <w:t xml:space="preserve">The investigation I will refer to relates to a report made by a teenage girl to school staff of non-recent, intra-familial rape. The family were Turkish nationals and held strong Muslim beliefs. Understanding and respecting the cultural needs were important to this investigation. The school notified that she had recently began to wear a hijab and were concerned of forced marriage after a series of prolonged family holidays in Turkey. The child was a very talented student who spoke English and Turkish fluently, but her parents had limited English language ability. </w:t>
      </w:r>
    </w:p>
    <w:p w14:paraId="1A07A0AD" w14:textId="6C5EDED5" w:rsidR="7336895D" w:rsidRPr="006F06F1" w:rsidRDefault="006F06F1" w:rsidP="006F06F1">
      <w:pPr>
        <w:ind w:right="237"/>
        <w:jc w:val="right"/>
        <w:rPr>
          <w:rFonts w:ascii="Arial" w:eastAsia="Arial" w:hAnsi="Arial" w:cs="Arial"/>
          <w:color w:val="FF0000"/>
          <w:sz w:val="24"/>
          <w:szCs w:val="24"/>
        </w:rPr>
      </w:pPr>
      <w:r>
        <w:rPr>
          <w:rFonts w:ascii="Arial" w:eastAsia="Arial" w:hAnsi="Arial" w:cs="Arial"/>
          <w:color w:val="FF0000"/>
          <w:sz w:val="24"/>
          <w:szCs w:val="24"/>
        </w:rPr>
        <w:t>91</w:t>
      </w:r>
    </w:p>
    <w:p w14:paraId="5C716AB8" w14:textId="540CF344" w:rsidR="7336895D" w:rsidRDefault="7336895D" w:rsidP="727E3A7D">
      <w:pPr>
        <w:ind w:left="3600" w:right="107" w:firstLine="720"/>
        <w:jc w:val="both"/>
        <w:rPr>
          <w:rFonts w:ascii="Arial" w:eastAsia="Arial" w:hAnsi="Arial" w:cs="Arial"/>
          <w:b/>
          <w:bCs/>
          <w:color w:val="000000" w:themeColor="text1"/>
          <w:sz w:val="24"/>
          <w:szCs w:val="24"/>
        </w:rPr>
      </w:pPr>
    </w:p>
    <w:p w14:paraId="303543E7" w14:textId="01F0B110" w:rsidR="4AF6DABA" w:rsidRDefault="4AF6DABA" w:rsidP="727E3A7D">
      <w:pPr>
        <w:ind w:right="107"/>
        <w:rPr>
          <w:rFonts w:ascii="Arial" w:eastAsia="Arial" w:hAnsi="Arial" w:cs="Arial"/>
          <w:b/>
          <w:bCs/>
          <w:color w:val="000000" w:themeColor="text1"/>
          <w:sz w:val="24"/>
          <w:szCs w:val="24"/>
        </w:rPr>
      </w:pPr>
    </w:p>
    <w:p w14:paraId="26A99117" w14:textId="31652B05" w:rsidR="4AF6DABA" w:rsidRDefault="4AF6DABA" w:rsidP="727E3A7D">
      <w:pPr>
        <w:ind w:right="107"/>
        <w:rPr>
          <w:rFonts w:ascii="Arial" w:eastAsia="Arial" w:hAnsi="Arial" w:cs="Arial"/>
          <w:b/>
          <w:bCs/>
          <w:color w:val="000000" w:themeColor="text1"/>
          <w:sz w:val="24"/>
          <w:szCs w:val="24"/>
        </w:rPr>
      </w:pPr>
    </w:p>
    <w:p w14:paraId="1F6189C3" w14:textId="77777777" w:rsidR="006F06F1" w:rsidRPr="006F06F1" w:rsidRDefault="006F06F1" w:rsidP="006F06F1">
      <w:pPr>
        <w:rPr>
          <w:b/>
          <w:bCs/>
        </w:rPr>
      </w:pPr>
      <w:r w:rsidRPr="006F06F1">
        <w:rPr>
          <w:rFonts w:ascii="Arial" w:eastAsia="Arial" w:hAnsi="Arial" w:cs="Arial"/>
          <w:b/>
          <w:bCs/>
        </w:rPr>
        <w:t xml:space="preserve">Consider and reflect upon how you have assessed threat, risk and harm to develop and implement plans and strategies to investigate serious and complex crime. </w:t>
      </w:r>
    </w:p>
    <w:p w14:paraId="1C112FE3" w14:textId="1ACDBF70" w:rsidR="4AF6DABA" w:rsidRDefault="4AF6DABA" w:rsidP="727E3A7D">
      <w:pPr>
        <w:ind w:right="107"/>
        <w:rPr>
          <w:rFonts w:ascii="Arial" w:eastAsia="Arial" w:hAnsi="Arial" w:cs="Arial"/>
          <w:b/>
          <w:bCs/>
          <w:color w:val="000000" w:themeColor="text1"/>
          <w:sz w:val="24"/>
          <w:szCs w:val="24"/>
        </w:rPr>
      </w:pPr>
    </w:p>
    <w:p w14:paraId="2359003D" w14:textId="77777777" w:rsidR="006F06F1" w:rsidRDefault="006F06F1" w:rsidP="006F06F1">
      <w:pPr>
        <w:rPr>
          <w:rFonts w:ascii="Arial" w:eastAsia="Arial" w:hAnsi="Arial" w:cs="Arial"/>
          <w:color w:val="000000"/>
          <w:sz w:val="24"/>
          <w:szCs w:val="24"/>
        </w:rPr>
      </w:pPr>
      <w:r>
        <w:rPr>
          <w:rFonts w:ascii="Arial" w:eastAsia="Arial" w:hAnsi="Arial" w:cs="Arial"/>
          <w:color w:val="000000"/>
          <w:sz w:val="24"/>
          <w:szCs w:val="24"/>
        </w:rPr>
        <w:t xml:space="preserve">Having reflected upon this investigation, I have identified two issues. Firstly, I did not initially consider that the victim to be at high risk of such offence according to known factors. Secondly, I underestimated the hostility when engaging with the victim’s father who, insisted that he just wanted this to go away and no one to know about it. I’d received some training and was able to understand the cultural issues which impacted upon the investigation from the victim’s perspective. I compiled a reasonably strong case and presented to CPS for early investigatory advice who agreed however, I believe that I had a lack of academic knowledge around the psychology of child sex offenders and cultural implications in this investigation due to the underrepresentation in the area in which I work. I considered that may impact upon my ability to fully risk assess and present a stronger case file. The additional risk of the father’s hostility was lack of engagement and withdrawal of consent for the children to provide evidence may have reduced the chances of a successful prosecution and consequential risk reduction. At the time, I felt in a challenging situation and acknowledge the need to improve my knowledge.  </w:t>
      </w:r>
    </w:p>
    <w:p w14:paraId="286ADA90" w14:textId="77777777" w:rsidR="006F06F1" w:rsidRDefault="006F06F1" w:rsidP="006F06F1">
      <w:pPr>
        <w:rPr>
          <w:rFonts w:ascii="Arial" w:eastAsia="Arial" w:hAnsi="Arial" w:cs="Arial"/>
          <w:color w:val="000000"/>
          <w:sz w:val="24"/>
          <w:szCs w:val="24"/>
        </w:rPr>
      </w:pPr>
      <w:r>
        <w:rPr>
          <w:rFonts w:ascii="Arial" w:eastAsia="Arial" w:hAnsi="Arial" w:cs="Arial"/>
          <w:color w:val="000000"/>
          <w:sz w:val="24"/>
          <w:szCs w:val="24"/>
        </w:rPr>
        <w:t xml:space="preserve">Having researched relevant academic literature, my analysis of such material against factors of the investigation were as follows. </w:t>
      </w:r>
    </w:p>
    <w:p w14:paraId="264F827B" w14:textId="76554136" w:rsidR="006F06F1" w:rsidRDefault="006F06F1" w:rsidP="006F06F1">
      <w:pPr>
        <w:rPr>
          <w:rFonts w:ascii="Arial" w:eastAsia="Arial" w:hAnsi="Arial" w:cs="Arial"/>
          <w:color w:val="000000"/>
          <w:sz w:val="24"/>
          <w:szCs w:val="24"/>
        </w:rPr>
      </w:pPr>
      <w:r>
        <w:rPr>
          <w:rFonts w:ascii="Arial" w:eastAsia="Arial" w:hAnsi="Arial" w:cs="Arial"/>
          <w:color w:val="000000"/>
          <w:sz w:val="24"/>
          <w:szCs w:val="24"/>
        </w:rPr>
        <w:t>The victim in this case was 10 at the time of the offence, 15yrs at the time of reporting and had had been withdrawn from sexual education due to the family’s Muslim belief. It has been identified that ethnic minorities were less likely to report. (Davies, Jones, 2013). The vulnerable age for a girl to be sexually abused is 11-13yrs however, it may occur at a younger age but limited sexual awareness of a younger child contributes towards a lack of reporting. (Crosson-Tower, 2014, cites Bolen, 2007). Patel (2018)</w:t>
      </w:r>
      <w:r w:rsidR="00880E83">
        <w:rPr>
          <w:rFonts w:ascii="Arial" w:eastAsia="Arial" w:hAnsi="Arial" w:cs="Arial"/>
          <w:color w:val="000000"/>
          <w:sz w:val="24"/>
          <w:szCs w:val="24"/>
        </w:rPr>
        <w:t>,</w:t>
      </w:r>
      <w:r>
        <w:rPr>
          <w:rFonts w:ascii="Arial" w:eastAsia="Arial" w:hAnsi="Arial" w:cs="Arial"/>
          <w:color w:val="000000"/>
          <w:sz w:val="24"/>
          <w:szCs w:val="24"/>
        </w:rPr>
        <w:t xml:space="preserve"> dispels the perception that the Child Sexual Exploitation cases in Rochester and Rotherham by Pakistani and Muslim offenders only targeted white young females, blaming the media. Some victims were in fact Muslim girls which identifies that this victim was at risk within her own culture.</w:t>
      </w:r>
    </w:p>
    <w:p w14:paraId="534D7D0D" w14:textId="77777777" w:rsidR="006F06F1" w:rsidRDefault="006F06F1" w:rsidP="006F06F1">
      <w:r>
        <w:rPr>
          <w:rFonts w:ascii="Arial" w:eastAsia="Arial" w:hAnsi="Arial" w:cs="Arial"/>
          <w:color w:val="000000"/>
          <w:sz w:val="24"/>
          <w:szCs w:val="24"/>
        </w:rPr>
        <w:t>The alleged offender did not meet the risk factors of a dysfunctional and chaotic home life which lacked nurture of boundaries however, a significant proportion of adolescent sexual offenders commit acts against siblings. (Johnson, 1998). Consequently, there was a risk of harm towards this victim and siblings. They were interviewed as a further joint Police/Social Services investigation (</w:t>
      </w:r>
      <w:r>
        <w:rPr>
          <w:rFonts w:ascii="Arial" w:eastAsia="Arial" w:hAnsi="Arial" w:cs="Arial"/>
          <w:i/>
          <w:iCs/>
          <w:color w:val="000000"/>
          <w:sz w:val="24"/>
          <w:szCs w:val="24"/>
        </w:rPr>
        <w:t>Children Act 1989,</w:t>
      </w:r>
      <w:r>
        <w:rPr>
          <w:rFonts w:ascii="Arial" w:eastAsia="Arial" w:hAnsi="Arial" w:cs="Arial"/>
          <w:color w:val="000000"/>
          <w:sz w:val="24"/>
          <w:szCs w:val="24"/>
        </w:rPr>
        <w:t xml:space="preserve"> s. 47) to confirm or negate offences. </w:t>
      </w:r>
    </w:p>
    <w:p w14:paraId="5EC349CA" w14:textId="77777777" w:rsidR="006F06F1" w:rsidRDefault="006F06F1" w:rsidP="006F06F1">
      <w:pPr>
        <w:rPr>
          <w:rFonts w:ascii="Arial" w:eastAsia="Arial" w:hAnsi="Arial" w:cs="Arial"/>
          <w:color w:val="000000"/>
          <w:sz w:val="24"/>
          <w:szCs w:val="24"/>
        </w:rPr>
      </w:pPr>
      <w:r>
        <w:rPr>
          <w:rFonts w:ascii="Arial" w:eastAsia="Arial" w:hAnsi="Arial" w:cs="Arial"/>
          <w:color w:val="000000"/>
          <w:sz w:val="24"/>
          <w:szCs w:val="24"/>
        </w:rPr>
        <w:t xml:space="preserve">The victim had disclosed that he’d shown her pornography on his phone prior to assaulting her intending to “normalise” the act. Katz (2013) explains how the ease of internet access has significantly increased child sexual abuse offending. The study details how child victims feel unable to disengage with the perpetrator and that their activity is covert. This is an ever-increasing risk of sexual abuse of children which parents being unable to manage. Aitken et al., (2011, cites Moran, 2010; Livingstone, 2007; Byron, 2008) state how online indecent images are prolific with offenders collecting and trading. This identifies a risk to others from offenders using technology. </w:t>
      </w:r>
    </w:p>
    <w:p w14:paraId="04F2C412" w14:textId="77777777" w:rsidR="006F06F1" w:rsidRDefault="006F06F1" w:rsidP="006F06F1">
      <w:pPr>
        <w:rPr>
          <w:rFonts w:ascii="Arial" w:eastAsia="Arial" w:hAnsi="Arial" w:cs="Arial"/>
          <w:color w:val="000000"/>
          <w:sz w:val="24"/>
          <w:szCs w:val="24"/>
        </w:rPr>
      </w:pPr>
      <w:proofErr w:type="spellStart"/>
      <w:r>
        <w:rPr>
          <w:rFonts w:ascii="Arial" w:eastAsia="Arial" w:hAnsi="Arial" w:cs="Arial"/>
          <w:color w:val="000000"/>
          <w:sz w:val="24"/>
          <w:szCs w:val="24"/>
        </w:rPr>
        <w:t>Finkelhor’s</w:t>
      </w:r>
      <w:proofErr w:type="spellEnd"/>
      <w:r>
        <w:rPr>
          <w:rFonts w:ascii="Arial" w:eastAsia="Arial" w:hAnsi="Arial" w:cs="Arial"/>
          <w:color w:val="000000"/>
          <w:sz w:val="24"/>
          <w:szCs w:val="24"/>
        </w:rPr>
        <w:t xml:space="preserve"> Four Preconditions Model (1984) is a </w:t>
      </w:r>
      <w:proofErr w:type="gramStart"/>
      <w:r>
        <w:rPr>
          <w:rFonts w:ascii="Arial" w:eastAsia="Arial" w:hAnsi="Arial" w:cs="Arial"/>
          <w:color w:val="000000"/>
          <w:sz w:val="24"/>
          <w:szCs w:val="24"/>
        </w:rPr>
        <w:t>4 stage</w:t>
      </w:r>
      <w:proofErr w:type="gramEnd"/>
      <w:r>
        <w:rPr>
          <w:rFonts w:ascii="Arial" w:eastAsia="Arial" w:hAnsi="Arial" w:cs="Arial"/>
          <w:color w:val="000000"/>
          <w:sz w:val="24"/>
          <w:szCs w:val="24"/>
        </w:rPr>
        <w:t xml:space="preserve"> sequential model identifying the psychology of child sex offending.</w:t>
      </w:r>
    </w:p>
    <w:p w14:paraId="7058996A" w14:textId="77777777" w:rsidR="006F06F1" w:rsidRDefault="006F06F1" w:rsidP="006F06F1">
      <w:pPr>
        <w:tabs>
          <w:tab w:val="left" w:pos="1958"/>
        </w:tabs>
        <w:rPr>
          <w:rFonts w:ascii="Arial" w:eastAsia="Arial" w:hAnsi="Arial" w:cs="Arial"/>
          <w:color w:val="000000"/>
          <w:sz w:val="24"/>
          <w:szCs w:val="24"/>
        </w:rPr>
      </w:pPr>
      <w:r>
        <w:rPr>
          <w:rFonts w:ascii="Arial" w:eastAsia="Arial" w:hAnsi="Arial" w:cs="Arial"/>
          <w:color w:val="000000"/>
          <w:sz w:val="24"/>
          <w:szCs w:val="24"/>
        </w:rPr>
        <w:t xml:space="preserve">Motivation </w:t>
      </w:r>
    </w:p>
    <w:p w14:paraId="12025E2A" w14:textId="77777777" w:rsidR="006F06F1" w:rsidRDefault="006F06F1" w:rsidP="006F06F1">
      <w:pPr>
        <w:tabs>
          <w:tab w:val="left" w:pos="1958"/>
        </w:tabs>
      </w:pPr>
      <w:r>
        <w:rPr>
          <w:rFonts w:ascii="Arial" w:eastAsia="Arial" w:hAnsi="Arial" w:cs="Arial"/>
          <w:noProof/>
          <w:color w:val="000000"/>
          <w:sz w:val="24"/>
          <w:szCs w:val="24"/>
        </w:rPr>
        <mc:AlternateContent>
          <mc:Choice Requires="wps">
            <w:drawing>
              <wp:anchor distT="0" distB="0" distL="114300" distR="114300" simplePos="0" relativeHeight="251659264" behindDoc="0" locked="0" layoutInCell="1" allowOverlap="1" wp14:anchorId="4D65CB6F" wp14:editId="553A51DE">
                <wp:simplePos x="0" y="0"/>
                <wp:positionH relativeFrom="column">
                  <wp:posOffset>194611</wp:posOffset>
                </wp:positionH>
                <wp:positionV relativeFrom="paragraph">
                  <wp:posOffset>8714</wp:posOffset>
                </wp:positionV>
                <wp:extent cx="236857" cy="226698"/>
                <wp:effectExtent l="19050" t="0" r="10793" b="40002"/>
                <wp:wrapNone/>
                <wp:docPr id="6" name="Arrow: Down 3"/>
                <wp:cNvGraphicFramePr/>
                <a:graphic xmlns:a="http://schemas.openxmlformats.org/drawingml/2006/main">
                  <a:graphicData uri="http://schemas.microsoft.com/office/word/2010/wordprocessingShape">
                    <wps:wsp>
                      <wps:cNvSpPr/>
                      <wps:spPr>
                        <a:xfrm>
                          <a:off x="0" y="0"/>
                          <a:ext cx="236857" cy="226698"/>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4472C4"/>
                        </a:solidFill>
                        <a:ln w="12701" cap="flat">
                          <a:solidFill>
                            <a:srgbClr val="2F528F"/>
                          </a:solidFill>
                          <a:prstDash val="solid"/>
                          <a:miter/>
                        </a:ln>
                      </wps:spPr>
                      <wps:bodyPr lIns="0" tIns="0" rIns="0" bIns="0"/>
                    </wps:wsp>
                  </a:graphicData>
                </a:graphic>
              </wp:anchor>
            </w:drawing>
          </mc:Choice>
          <mc:Fallback xmlns="">
            <w:pict>
              <v:shape w14:anchorId="236D0097" id="Arrow: Down 3" o:spid="_x0000_s1026" style="position:absolute;margin-left:15.3pt;margin-top:.7pt;width:18.65pt;height:17.8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" path="m5400,r,10800l,10800,10800,21600,21600,10800r-5400,l16200,,5400,xe" fillcolor="#4472c4" strokecolor="#2f528f" strokeweight=".35281mm">
                <v:stroke joinstyle="miter"/>
                <v:path arrowok="t" o:connecttype="custom" o:connectlocs="118429,0;236857,113349;118429,226698;0,113349;0,113349;236857,113349" o:connectangles="270,0,90,180,180,0" textboxrect="5400,0,16200,16200"/>
              </v:shape>
            </w:pict>
          </mc:Fallback>
        </mc:AlternateContent>
      </w:r>
      <w:r>
        <w:rPr>
          <w:rFonts w:ascii="Arial" w:eastAsia="Arial" w:hAnsi="Arial" w:cs="Arial"/>
          <w:color w:val="000000"/>
          <w:sz w:val="24"/>
          <w:szCs w:val="24"/>
        </w:rPr>
        <w:tab/>
      </w:r>
      <w:r>
        <w:rPr>
          <w:rFonts w:ascii="Arial" w:eastAsia="Arial" w:hAnsi="Arial" w:cs="Arial"/>
          <w:color w:val="000000"/>
          <w:sz w:val="24"/>
          <w:szCs w:val="24"/>
        </w:rPr>
        <w:tab/>
      </w:r>
    </w:p>
    <w:p w14:paraId="7FE31F09" w14:textId="77777777" w:rsidR="006F06F1" w:rsidRDefault="006F06F1" w:rsidP="006F06F1">
      <w:pPr>
        <w:tabs>
          <w:tab w:val="left" w:pos="1958"/>
        </w:tabs>
        <w:rPr>
          <w:rFonts w:ascii="Arial" w:eastAsia="Arial" w:hAnsi="Arial" w:cs="Arial"/>
          <w:color w:val="000000"/>
          <w:sz w:val="24"/>
          <w:szCs w:val="24"/>
        </w:rPr>
      </w:pPr>
      <w:r>
        <w:rPr>
          <w:rFonts w:ascii="Arial" w:eastAsia="Arial" w:hAnsi="Arial" w:cs="Arial"/>
          <w:color w:val="000000"/>
          <w:sz w:val="24"/>
          <w:szCs w:val="24"/>
        </w:rPr>
        <w:t xml:space="preserve">Overcoming internal inhibitors </w:t>
      </w:r>
    </w:p>
    <w:p w14:paraId="472A9BCC" w14:textId="77777777" w:rsidR="006F06F1" w:rsidRDefault="006F06F1" w:rsidP="006F06F1">
      <w:pPr>
        <w:tabs>
          <w:tab w:val="left" w:pos="1958"/>
        </w:tabs>
      </w:pPr>
      <w:r>
        <w:rPr>
          <w:rFonts w:ascii="Arial" w:eastAsia="Arial" w:hAnsi="Arial" w:cs="Arial"/>
          <w:noProof/>
          <w:color w:val="000000"/>
          <w:sz w:val="24"/>
          <w:szCs w:val="24"/>
        </w:rPr>
        <mc:AlternateContent>
          <mc:Choice Requires="wps">
            <w:drawing>
              <wp:anchor distT="0" distB="0" distL="114300" distR="114300" simplePos="0" relativeHeight="251660288" behindDoc="0" locked="0" layoutInCell="1" allowOverlap="1" wp14:anchorId="396384BF" wp14:editId="39E857B9">
                <wp:simplePos x="0" y="0"/>
                <wp:positionH relativeFrom="column">
                  <wp:posOffset>212140</wp:posOffset>
                </wp:positionH>
                <wp:positionV relativeFrom="paragraph">
                  <wp:posOffset>7315</wp:posOffset>
                </wp:positionV>
                <wp:extent cx="236857" cy="226698"/>
                <wp:effectExtent l="19050" t="0" r="10793" b="40002"/>
                <wp:wrapNone/>
                <wp:docPr id="7" name="Arrow: Down 4"/>
                <wp:cNvGraphicFramePr/>
                <a:graphic xmlns:a="http://schemas.openxmlformats.org/drawingml/2006/main">
                  <a:graphicData uri="http://schemas.microsoft.com/office/word/2010/wordprocessingShape">
                    <wps:wsp>
                      <wps:cNvSpPr/>
                      <wps:spPr>
                        <a:xfrm>
                          <a:off x="0" y="0"/>
                          <a:ext cx="236857" cy="226698"/>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4472C4"/>
                        </a:solidFill>
                        <a:ln w="12701" cap="flat">
                          <a:solidFill>
                            <a:srgbClr val="2F528F"/>
                          </a:solidFill>
                          <a:prstDash val="solid"/>
                          <a:miter/>
                        </a:ln>
                      </wps:spPr>
                      <wps:bodyPr lIns="0" tIns="0" rIns="0" bIns="0"/>
                    </wps:wsp>
                  </a:graphicData>
                </a:graphic>
              </wp:anchor>
            </w:drawing>
          </mc:Choice>
          <mc:Fallback xmlns="">
            <w:pict>
              <v:shape w14:anchorId="70A2577F" id="Arrow: Down 4" o:spid="_x0000_s1026" style="position:absolute;margin-left:16.7pt;margin-top:.6pt;width:18.65pt;height:17.85pt;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" path="m5400,r,10800l,10800,10800,21600,21600,10800r-5400,l16200,,5400,xe" fillcolor="#4472c4" strokecolor="#2f528f" strokeweight=".35281mm">
                <v:stroke joinstyle="miter"/>
                <v:path arrowok="t" o:connecttype="custom" o:connectlocs="118429,0;236857,113349;118429,226698;0,113349;0,113349;236857,113349" o:connectangles="270,0,90,180,180,0" textboxrect="5400,0,16200,16200"/>
              </v:shape>
            </w:pict>
          </mc:Fallback>
        </mc:AlternateContent>
      </w:r>
    </w:p>
    <w:p w14:paraId="48A7C0F1" w14:textId="77777777" w:rsidR="006F06F1" w:rsidRDefault="006F06F1" w:rsidP="006F06F1">
      <w:pPr>
        <w:tabs>
          <w:tab w:val="left" w:pos="1958"/>
        </w:tabs>
        <w:rPr>
          <w:rFonts w:ascii="Arial" w:eastAsia="Arial" w:hAnsi="Arial" w:cs="Arial"/>
          <w:color w:val="000000"/>
          <w:sz w:val="24"/>
          <w:szCs w:val="24"/>
        </w:rPr>
      </w:pPr>
      <w:r>
        <w:rPr>
          <w:rFonts w:ascii="Arial" w:eastAsia="Arial" w:hAnsi="Arial" w:cs="Arial"/>
          <w:color w:val="000000"/>
          <w:sz w:val="24"/>
          <w:szCs w:val="24"/>
        </w:rPr>
        <w:t>Overcoming external inhibitors</w:t>
      </w:r>
    </w:p>
    <w:p w14:paraId="66A1C39A" w14:textId="77777777" w:rsidR="006F06F1" w:rsidRDefault="006F06F1" w:rsidP="006F06F1">
      <w:pPr>
        <w:tabs>
          <w:tab w:val="left" w:pos="1958"/>
        </w:tabs>
      </w:pPr>
      <w:r>
        <w:rPr>
          <w:rFonts w:ascii="Arial" w:eastAsia="Arial" w:hAnsi="Arial" w:cs="Arial"/>
          <w:noProof/>
          <w:color w:val="000000"/>
          <w:sz w:val="24"/>
          <w:szCs w:val="24"/>
        </w:rPr>
        <mc:AlternateContent>
          <mc:Choice Requires="wps">
            <w:drawing>
              <wp:anchor distT="0" distB="0" distL="114300" distR="114300" simplePos="0" relativeHeight="251661312" behindDoc="0" locked="0" layoutInCell="1" allowOverlap="1" wp14:anchorId="217A20DC" wp14:editId="654B6ACA">
                <wp:simplePos x="0" y="0"/>
                <wp:positionH relativeFrom="column">
                  <wp:posOffset>226771</wp:posOffset>
                </wp:positionH>
                <wp:positionV relativeFrom="paragraph">
                  <wp:posOffset>6684</wp:posOffset>
                </wp:positionV>
                <wp:extent cx="236857" cy="226698"/>
                <wp:effectExtent l="19050" t="0" r="10793" b="40002"/>
                <wp:wrapNone/>
                <wp:docPr id="8" name="Arrow: Down 5"/>
                <wp:cNvGraphicFramePr/>
                <a:graphic xmlns:a="http://schemas.openxmlformats.org/drawingml/2006/main">
                  <a:graphicData uri="http://schemas.microsoft.com/office/word/2010/wordprocessingShape">
                    <wps:wsp>
                      <wps:cNvSpPr/>
                      <wps:spPr>
                        <a:xfrm>
                          <a:off x="0" y="0"/>
                          <a:ext cx="236857" cy="226698"/>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4472C4"/>
                        </a:solidFill>
                        <a:ln w="12701" cap="flat">
                          <a:solidFill>
                            <a:srgbClr val="2F528F"/>
                          </a:solidFill>
                          <a:prstDash val="solid"/>
                          <a:miter/>
                        </a:ln>
                      </wps:spPr>
                      <wps:bodyPr lIns="0" tIns="0" rIns="0" bIns="0"/>
                    </wps:wsp>
                  </a:graphicData>
                </a:graphic>
              </wp:anchor>
            </w:drawing>
          </mc:Choice>
          <mc:Fallback xmlns="">
            <w:pict>
              <v:shape w14:anchorId="77B72EAC" id="Arrow: Down 5" o:spid="_x0000_s1026" style="position:absolute;margin-left:17.85pt;margin-top:.55pt;width:18.65pt;height:17.85pt;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" path="m5400,r,10800l,10800,10800,21600,21600,10800r-5400,l16200,,5400,xe" fillcolor="#4472c4" strokecolor="#2f528f" strokeweight=".35281mm">
                <v:stroke joinstyle="miter"/>
                <v:path arrowok="t" o:connecttype="custom" o:connectlocs="118429,0;236857,113349;118429,226698;0,113349;0,113349;236857,113349" o:connectangles="270,0,90,180,180,0" textboxrect="5400,0,16200,16200"/>
              </v:shape>
            </w:pict>
          </mc:Fallback>
        </mc:AlternateContent>
      </w:r>
    </w:p>
    <w:p w14:paraId="66D9D3EB" w14:textId="77777777" w:rsidR="006F06F1" w:rsidRDefault="006F06F1" w:rsidP="006F06F1">
      <w:pPr>
        <w:tabs>
          <w:tab w:val="left" w:pos="1958"/>
        </w:tabs>
      </w:pPr>
      <w:r>
        <w:rPr>
          <w:rFonts w:ascii="Arial" w:eastAsia="Arial" w:hAnsi="Arial" w:cs="Arial"/>
          <w:noProof/>
          <w:color w:val="000000"/>
          <w:sz w:val="24"/>
          <w:szCs w:val="24"/>
        </w:rPr>
        <mc:AlternateContent>
          <mc:Choice Requires="wps">
            <w:drawing>
              <wp:anchor distT="0" distB="0" distL="114300" distR="114300" simplePos="0" relativeHeight="251662336" behindDoc="0" locked="0" layoutInCell="1" allowOverlap="1" wp14:anchorId="194CC38B" wp14:editId="30F65E26">
                <wp:simplePos x="0" y="0"/>
                <wp:positionH relativeFrom="column">
                  <wp:posOffset>248716</wp:posOffset>
                </wp:positionH>
                <wp:positionV relativeFrom="paragraph">
                  <wp:posOffset>224357</wp:posOffset>
                </wp:positionV>
                <wp:extent cx="236857" cy="226698"/>
                <wp:effectExtent l="19050" t="0" r="10793" b="40002"/>
                <wp:wrapNone/>
                <wp:docPr id="9" name="Arrow: Down 6"/>
                <wp:cNvGraphicFramePr/>
                <a:graphic xmlns:a="http://schemas.openxmlformats.org/drawingml/2006/main">
                  <a:graphicData uri="http://schemas.microsoft.com/office/word/2010/wordprocessingShape">
                    <wps:wsp>
                      <wps:cNvSpPr/>
                      <wps:spPr>
                        <a:xfrm>
                          <a:off x="0" y="0"/>
                          <a:ext cx="236857" cy="226698"/>
                        </a:xfrm>
                        <a:custGeom>
                          <a:avLst>
                            <a:gd name="f0" fmla="val 10800"/>
                            <a:gd name="f1" fmla="val 5400"/>
                          </a:avLst>
                          <a:gdLst>
                            <a:gd name="f2" fmla="val 10800000"/>
                            <a:gd name="f3" fmla="val 5400000"/>
                            <a:gd name="f4" fmla="val 180"/>
                            <a:gd name="f5" fmla="val w"/>
                            <a:gd name="f6" fmla="val h"/>
                            <a:gd name="f7" fmla="val 0"/>
                            <a:gd name="f8" fmla="val 21600"/>
                            <a:gd name="f9" fmla="val 10800"/>
                            <a:gd name="f10" fmla="+- 0 0 -270"/>
                            <a:gd name="f11" fmla="+- 0 0 -90"/>
                            <a:gd name="f12" fmla="*/ f5 1 21600"/>
                            <a:gd name="f13" fmla="*/ f6 1 21600"/>
                            <a:gd name="f14" fmla="+- f8 0 f7"/>
                            <a:gd name="f15" fmla="pin 0 f1 10800"/>
                            <a:gd name="f16" fmla="pin 0 f0 21600"/>
                            <a:gd name="f17" fmla="*/ f10 f2 1"/>
                            <a:gd name="f18" fmla="*/ f11 f2 1"/>
                            <a:gd name="f19" fmla="val f15"/>
                            <a:gd name="f20" fmla="val f16"/>
                            <a:gd name="f21" fmla="*/ f14 1 21600"/>
                            <a:gd name="f22" fmla="*/ f15 f12 1"/>
                            <a:gd name="f23" fmla="*/ f16 f13 1"/>
                            <a:gd name="f24" fmla="*/ f17 1 f4"/>
                            <a:gd name="f25" fmla="*/ f18 1 f4"/>
                            <a:gd name="f26" fmla="+- 21600 0 f19"/>
                            <a:gd name="f27" fmla="+- 21600 0 f20"/>
                            <a:gd name="f28" fmla="*/ 0 f21 1"/>
                            <a:gd name="f29" fmla="*/ 21600 f21 1"/>
                            <a:gd name="f30" fmla="*/ f19 f12 1"/>
                            <a:gd name="f31" fmla="*/ f20 f13 1"/>
                            <a:gd name="f32" fmla="+- f24 0 f3"/>
                            <a:gd name="f33" fmla="+- f25 0 f3"/>
                            <a:gd name="f34" fmla="*/ f27 f19 1"/>
                            <a:gd name="f35" fmla="*/ f28 1 f21"/>
                            <a:gd name="f36" fmla="*/ f29 1 f21"/>
                            <a:gd name="f37" fmla="*/ f26 f12 1"/>
                            <a:gd name="f38" fmla="*/ f34 1 10800"/>
                            <a:gd name="f39" fmla="*/ f35 f13 1"/>
                            <a:gd name="f40" fmla="*/ f35 f12 1"/>
                            <a:gd name="f41" fmla="*/ f36 f12 1"/>
                            <a:gd name="f42" fmla="+- f20 f38 0"/>
                            <a:gd name="f43" fmla="*/ f42 f13 1"/>
                          </a:gdLst>
                          <a:ahLst>
                            <a:ahXY gdRefX="f1" minX="f7" maxX="f9" gdRefY="f0" minY="f7" maxY="f8">
                              <a:pos x="f22" y="f23"/>
                            </a:ahXY>
                          </a:ahLst>
                          <a:cxnLst>
                            <a:cxn ang="3cd4">
                              <a:pos x="hc" y="t"/>
                            </a:cxn>
                            <a:cxn ang="0">
                              <a:pos x="r" y="vc"/>
                            </a:cxn>
                            <a:cxn ang="cd4">
                              <a:pos x="hc" y="b"/>
                            </a:cxn>
                            <a:cxn ang="cd2">
                              <a:pos x="l" y="vc"/>
                            </a:cxn>
                            <a:cxn ang="f32">
                              <a:pos x="f40" y="f31"/>
                            </a:cxn>
                            <a:cxn ang="f33">
                              <a:pos x="f41" y="f31"/>
                            </a:cxn>
                          </a:cxnLst>
                          <a:rect l="f30" t="f39" r="f37" b="f43"/>
                          <a:pathLst>
                            <a:path w="21600" h="21600">
                              <a:moveTo>
                                <a:pt x="f19" y="f7"/>
                              </a:moveTo>
                              <a:lnTo>
                                <a:pt x="f19" y="f20"/>
                              </a:lnTo>
                              <a:lnTo>
                                <a:pt x="f7" y="f20"/>
                              </a:lnTo>
                              <a:lnTo>
                                <a:pt x="f9" y="f8"/>
                              </a:lnTo>
                              <a:lnTo>
                                <a:pt x="f8" y="f20"/>
                              </a:lnTo>
                              <a:lnTo>
                                <a:pt x="f26" y="f20"/>
                              </a:lnTo>
                              <a:lnTo>
                                <a:pt x="f26" y="f7"/>
                              </a:lnTo>
                              <a:close/>
                            </a:path>
                          </a:pathLst>
                        </a:custGeom>
                        <a:solidFill>
                          <a:srgbClr val="4472C4"/>
                        </a:solidFill>
                        <a:ln w="12701" cap="flat">
                          <a:solidFill>
                            <a:srgbClr val="2F528F"/>
                          </a:solidFill>
                          <a:prstDash val="solid"/>
                          <a:miter/>
                        </a:ln>
                      </wps:spPr>
                      <wps:bodyPr lIns="0" tIns="0" rIns="0" bIns="0"/>
                    </wps:wsp>
                  </a:graphicData>
                </a:graphic>
              </wp:anchor>
            </w:drawing>
          </mc:Choice>
          <mc:Fallback xmlns="">
            <w:pict>
              <v:shape w14:anchorId="03FE1A49" id="Arrow: Down 6" o:spid="_x0000_s1026" style="position:absolute;margin-left:19.6pt;margin-top:17.65pt;width:18.65pt;height:17.85pt;z-index:251662336;visibility:visible;mso-wrap-style:square;mso-wrap-distance-left:9pt;mso-wrap-distance-top:0;mso-wrap-distance-right:9pt;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" path="m5400,r,10800l,10800,10800,21600,21600,10800r-5400,l16200,,5400,xe" fillcolor="#4472c4" strokecolor="#2f528f" strokeweight=".35281mm">
                <v:stroke joinstyle="miter"/>
                <v:path arrowok="t" o:connecttype="custom" o:connectlocs="118429,0;236857,113349;118429,226698;0,113349;0,113349;236857,113349" o:connectangles="270,0,90,180,180,0" textboxrect="5400,0,16200,16200"/>
              </v:shape>
            </w:pict>
          </mc:Fallback>
        </mc:AlternateContent>
      </w:r>
      <w:r>
        <w:rPr>
          <w:rFonts w:ascii="Arial" w:eastAsia="Arial" w:hAnsi="Arial" w:cs="Arial"/>
          <w:color w:val="000000"/>
          <w:sz w:val="24"/>
          <w:szCs w:val="24"/>
        </w:rPr>
        <w:t xml:space="preserve">Overcoming victim resistance </w:t>
      </w:r>
    </w:p>
    <w:p w14:paraId="4DA3CA91" w14:textId="77777777" w:rsidR="006F06F1" w:rsidRDefault="006F06F1" w:rsidP="006F06F1">
      <w:pPr>
        <w:tabs>
          <w:tab w:val="left" w:pos="1958"/>
        </w:tabs>
        <w:rPr>
          <w:rFonts w:ascii="Arial" w:eastAsia="Arial" w:hAnsi="Arial" w:cs="Arial"/>
          <w:color w:val="000000"/>
          <w:sz w:val="24"/>
          <w:szCs w:val="24"/>
        </w:rPr>
      </w:pPr>
    </w:p>
    <w:p w14:paraId="1F9F019B" w14:textId="77777777" w:rsidR="006F06F1" w:rsidRDefault="006F06F1" w:rsidP="006F06F1">
      <w:pPr>
        <w:rPr>
          <w:rFonts w:ascii="Arial" w:eastAsia="Arial" w:hAnsi="Arial" w:cs="Arial"/>
          <w:color w:val="000000"/>
          <w:sz w:val="24"/>
          <w:szCs w:val="24"/>
        </w:rPr>
      </w:pPr>
      <w:r>
        <w:rPr>
          <w:rFonts w:ascii="Arial" w:eastAsia="Arial" w:hAnsi="Arial" w:cs="Arial"/>
          <w:color w:val="000000"/>
          <w:sz w:val="24"/>
          <w:szCs w:val="24"/>
        </w:rPr>
        <w:t xml:space="preserve">Harper (2020) explains how a method of overcoming victim resistance is to educate the victim on how to have sex. This provides the motive in the alleged offender’s act of showing her specific pornography. </w:t>
      </w:r>
    </w:p>
    <w:p w14:paraId="320D647C" w14:textId="77777777" w:rsidR="006F06F1" w:rsidRDefault="006F06F1" w:rsidP="006F06F1">
      <w:pPr>
        <w:rPr>
          <w:rFonts w:ascii="Arial" w:eastAsia="Arial" w:hAnsi="Arial" w:cs="Arial"/>
          <w:color w:val="000000"/>
          <w:sz w:val="24"/>
          <w:szCs w:val="24"/>
        </w:rPr>
      </w:pPr>
      <w:r>
        <w:rPr>
          <w:rFonts w:ascii="Arial" w:eastAsia="Arial" w:hAnsi="Arial" w:cs="Arial"/>
          <w:color w:val="000000"/>
          <w:sz w:val="24"/>
          <w:szCs w:val="24"/>
        </w:rPr>
        <w:t xml:space="preserve">I considered that a first offence as serious as this was unlikely. </w:t>
      </w:r>
      <w:proofErr w:type="spellStart"/>
      <w:r>
        <w:rPr>
          <w:rFonts w:ascii="Arial" w:eastAsia="Arial" w:hAnsi="Arial" w:cs="Arial"/>
          <w:color w:val="000000"/>
          <w:sz w:val="24"/>
          <w:szCs w:val="24"/>
        </w:rPr>
        <w:t>Finkelhor’s</w:t>
      </w:r>
      <w:proofErr w:type="spellEnd"/>
      <w:r>
        <w:rPr>
          <w:rFonts w:ascii="Arial" w:eastAsia="Arial" w:hAnsi="Arial" w:cs="Arial"/>
          <w:color w:val="000000"/>
          <w:sz w:val="24"/>
          <w:szCs w:val="24"/>
        </w:rPr>
        <w:t xml:space="preserve"> theory suggests justification and acceptability of sexual acts and that sexual offending is more likely to be progressive to continue to meet the needs of sexual gratification. This identifies a further risk of previous and continued offending with such psychological mind-set. There was a risk of loss of potential evidence upon his device which was seized and preserved for examination. The data was examined for the to support/negate the extent of his offending. </w:t>
      </w:r>
    </w:p>
    <w:p w14:paraId="46D4C655" w14:textId="77777777" w:rsidR="006F06F1" w:rsidRDefault="006F06F1" w:rsidP="006F06F1">
      <w:pPr>
        <w:rPr>
          <w:rFonts w:ascii="Arial" w:eastAsia="Arial" w:hAnsi="Arial" w:cs="Arial"/>
          <w:color w:val="000000"/>
          <w:sz w:val="24"/>
          <w:szCs w:val="24"/>
        </w:rPr>
      </w:pPr>
      <w:r>
        <w:rPr>
          <w:rFonts w:ascii="Arial" w:eastAsia="Arial" w:hAnsi="Arial" w:cs="Arial"/>
          <w:color w:val="000000"/>
          <w:sz w:val="24"/>
          <w:szCs w:val="24"/>
        </w:rPr>
        <w:t xml:space="preserve">Information that the family had failed to adequately manage a previous disclosure by the victim highlighted a risk of witness coercion in order to protect their cultural reputation. An account was taken and needs assessment was conducted with the victim without knowledge or consent of parents as permitted in Wales Safeguarding Procedures. The benefits of this were that she was in familiar surroundings but excluded from undue influence at school. It also provided the opportunity to build rapport, assess her wishes and needs and gain her confidence (College of Policing, 2020). </w:t>
      </w:r>
    </w:p>
    <w:p w14:paraId="6BC98A2F" w14:textId="77777777" w:rsidR="006F06F1" w:rsidRDefault="006F06F1" w:rsidP="006F06F1">
      <w:r>
        <w:rPr>
          <w:rFonts w:ascii="Arial" w:eastAsia="Arial" w:hAnsi="Arial" w:cs="Arial"/>
          <w:color w:val="000000"/>
          <w:sz w:val="24"/>
          <w:szCs w:val="24"/>
        </w:rPr>
        <w:t>J</w:t>
      </w:r>
      <w:r>
        <w:rPr>
          <w:rFonts w:ascii="Arial" w:eastAsia="Arial" w:hAnsi="Arial" w:cs="Arial"/>
          <w:sz w:val="24"/>
          <w:szCs w:val="24"/>
        </w:rPr>
        <w:t xml:space="preserve">udgement upon strong cultural values, shame and the family’s standing in society contributes towards reduced reporting of child sexual abuse. A dilemma for the child is who and how to disclose due to fear of reaction to what is a sensitive topic in the Muslim culture. The disclosure process to professionals could be perceived by the family as interference by agencies and is likely to cause distrust, fearing further challenge of their honour, especially if the child is spoken to without their consent. (Fontes, Plummer, 2010). This explains the father’s hostility and previous attempt to minimise the situation but also highlights the victim’s delay and detrimental implications of her disclosure. I established what the procedure there was in the event of the father’s refusal to allow the children (victim and her brother as a witness) which was by Social Services best interest assessments however, support was far more beneficial to the investigation and to the psychological interests of the children.  </w:t>
      </w:r>
    </w:p>
    <w:p w14:paraId="2DC72F14" w14:textId="6F6CD5B1" w:rsidR="006F06F1" w:rsidRDefault="006F06F1" w:rsidP="006F06F1">
      <w:r>
        <w:rPr>
          <w:rFonts w:ascii="Arial" w:eastAsia="Arial" w:hAnsi="Arial" w:cs="Arial"/>
          <w:color w:val="000000"/>
          <w:sz w:val="24"/>
          <w:szCs w:val="24"/>
        </w:rPr>
        <w:t xml:space="preserve">The benefit of having reflected upon how I analysed the literature review against investigative decision making, and in developing weaknesses in the case into strengths and improving my knowledge of cultural implications, communication with the father by reducing conflict, has improved the quality of the case file leading to a successful prosecution. The negative was that it took some time however, this is outweighed by the benefits in my knowledge and confidence in how to do so more effectively in the future. This is supported by the views of </w:t>
      </w:r>
      <w:proofErr w:type="spellStart"/>
      <w:r>
        <w:rPr>
          <w:rFonts w:ascii="Arial" w:eastAsia="Arial" w:hAnsi="Arial" w:cs="Arial"/>
          <w:color w:val="000000"/>
          <w:sz w:val="24"/>
          <w:szCs w:val="24"/>
        </w:rPr>
        <w:t>Fahsing</w:t>
      </w:r>
      <w:proofErr w:type="spellEnd"/>
      <w:r>
        <w:rPr>
          <w:rFonts w:ascii="Arial" w:eastAsia="Arial" w:hAnsi="Arial" w:cs="Arial"/>
          <w:color w:val="000000"/>
          <w:sz w:val="24"/>
          <w:szCs w:val="24"/>
        </w:rPr>
        <w:t xml:space="preserve"> &amp; Ask (2015), who argue that the professional approach to English Detectives’ training vastly improves their decision making, hypotheses and investigative actions. In this situation again, I would seek Ethnic minority support. It was considered in this instance however, there isn’t one locally. </w:t>
      </w:r>
    </w:p>
    <w:p w14:paraId="12C9AE43" w14:textId="26653D17" w:rsidR="4AF6DABA" w:rsidRPr="006F06F1" w:rsidRDefault="006F06F1" w:rsidP="006F06F1">
      <w:pPr>
        <w:ind w:right="107"/>
        <w:jc w:val="right"/>
        <w:rPr>
          <w:rFonts w:ascii="Arial" w:eastAsia="Arial" w:hAnsi="Arial" w:cs="Arial"/>
          <w:color w:val="FF0000"/>
          <w:sz w:val="24"/>
          <w:szCs w:val="24"/>
        </w:rPr>
      </w:pPr>
      <w:r w:rsidRPr="006F06F1">
        <w:rPr>
          <w:rFonts w:ascii="Arial" w:eastAsia="Arial" w:hAnsi="Arial" w:cs="Arial"/>
          <w:color w:val="FF0000"/>
          <w:sz w:val="24"/>
          <w:szCs w:val="24"/>
        </w:rPr>
        <w:t>101</w:t>
      </w:r>
      <w:r w:rsidR="0079656B">
        <w:rPr>
          <w:rFonts w:ascii="Arial" w:eastAsia="Arial" w:hAnsi="Arial" w:cs="Arial"/>
          <w:color w:val="FF0000"/>
          <w:sz w:val="24"/>
          <w:szCs w:val="24"/>
        </w:rPr>
        <w:t>1</w:t>
      </w:r>
    </w:p>
    <w:p w14:paraId="3E725781" w14:textId="77777777" w:rsidR="0079656B" w:rsidRDefault="0079656B" w:rsidP="006F06F1">
      <w:pPr>
        <w:rPr>
          <w:rFonts w:ascii="Arial" w:eastAsia="Arial" w:hAnsi="Arial" w:cs="Arial"/>
          <w:b/>
          <w:bCs/>
        </w:rPr>
      </w:pPr>
    </w:p>
    <w:p w14:paraId="469E4C7E" w14:textId="14E55ECB" w:rsidR="006F06F1" w:rsidRPr="006F06F1" w:rsidRDefault="006F06F1" w:rsidP="006F06F1">
      <w:pPr>
        <w:rPr>
          <w:b/>
          <w:bCs/>
        </w:rPr>
      </w:pPr>
      <w:r w:rsidRPr="006F06F1">
        <w:rPr>
          <w:rFonts w:ascii="Arial" w:eastAsia="Arial" w:hAnsi="Arial" w:cs="Arial"/>
          <w:b/>
          <w:bCs/>
        </w:rPr>
        <w:t>Examine the use of appropriate responses to safeguarding concerns and management risk in investigations. (Examples include but not limited to; child abuse, offences against vulnerable adults and domestic abuse).</w:t>
      </w:r>
    </w:p>
    <w:p w14:paraId="00E5E7B8" w14:textId="77777777" w:rsidR="00965385" w:rsidRPr="006F06F1" w:rsidRDefault="00965385" w:rsidP="727E3A7D">
      <w:pPr>
        <w:ind w:right="107"/>
        <w:rPr>
          <w:rFonts w:ascii="Arial" w:eastAsia="Arial" w:hAnsi="Arial" w:cs="Arial"/>
          <w:b/>
          <w:bCs/>
          <w:color w:val="000000" w:themeColor="text1"/>
        </w:rPr>
      </w:pPr>
    </w:p>
    <w:p w14:paraId="3BCB4597" w14:textId="679F41D1" w:rsidR="006F06F1" w:rsidRPr="006F06F1" w:rsidRDefault="006F06F1" w:rsidP="006F06F1">
      <w:pPr>
        <w:rPr>
          <w:rFonts w:ascii="Arial" w:eastAsia="Arial" w:hAnsi="Arial" w:cs="Arial"/>
          <w:color w:val="000000"/>
        </w:rPr>
      </w:pPr>
      <w:r w:rsidRPr="006F06F1">
        <w:rPr>
          <w:rFonts w:ascii="Arial" w:eastAsia="Arial" w:hAnsi="Arial" w:cs="Arial"/>
          <w:color w:val="000000"/>
        </w:rPr>
        <w:t>Dwyer and Rogstad</w:t>
      </w:r>
      <w:r>
        <w:rPr>
          <w:rFonts w:ascii="Arial" w:eastAsia="Arial" w:hAnsi="Arial" w:cs="Arial"/>
          <w:color w:val="000000"/>
        </w:rPr>
        <w:t xml:space="preserve"> (2022),</w:t>
      </w:r>
      <w:r w:rsidRPr="006F06F1">
        <w:rPr>
          <w:rFonts w:ascii="Arial" w:eastAsia="Arial" w:hAnsi="Arial" w:cs="Arial"/>
          <w:color w:val="000000"/>
        </w:rPr>
        <w:t xml:space="preserve"> describe safeguarding victims of child sexual exploitation and sexual assault involves: </w:t>
      </w:r>
    </w:p>
    <w:p w14:paraId="00399571" w14:textId="60CA979A" w:rsidR="006F06F1" w:rsidRPr="006F06F1" w:rsidRDefault="006F06F1" w:rsidP="006F06F1">
      <w:pPr>
        <w:ind w:left="720"/>
        <w:rPr>
          <w:rFonts w:ascii="Arial" w:eastAsia="Arial" w:hAnsi="Arial" w:cs="Arial"/>
          <w:color w:val="000000"/>
        </w:rPr>
      </w:pPr>
      <w:r>
        <w:rPr>
          <w:rFonts w:ascii="Arial" w:eastAsia="Arial" w:hAnsi="Arial" w:cs="Arial"/>
          <w:color w:val="000000"/>
        </w:rPr>
        <w:t>“</w:t>
      </w:r>
      <w:proofErr w:type="gramStart"/>
      <w:r w:rsidRPr="006F06F1">
        <w:rPr>
          <w:rFonts w:ascii="Arial" w:eastAsia="Arial" w:hAnsi="Arial" w:cs="Arial"/>
          <w:color w:val="000000"/>
        </w:rPr>
        <w:t>protecting</w:t>
      </w:r>
      <w:proofErr w:type="gramEnd"/>
      <w:r w:rsidRPr="006F06F1">
        <w:rPr>
          <w:rFonts w:ascii="Arial" w:eastAsia="Arial" w:hAnsi="Arial" w:cs="Arial"/>
          <w:color w:val="000000"/>
        </w:rPr>
        <w:t xml:space="preserve"> individuals from physical and psychological maltreatment, alongside promoting their well-being, and respecting their beliefs and wishes. Appropriate management requires collaborative working with a multidisciplinary team to provide holistic support.</w:t>
      </w:r>
      <w:r>
        <w:rPr>
          <w:rFonts w:ascii="Arial" w:eastAsia="Arial" w:hAnsi="Arial" w:cs="Arial"/>
          <w:color w:val="000000"/>
        </w:rPr>
        <w:t>”</w:t>
      </w:r>
      <w:r w:rsidRPr="006F06F1">
        <w:rPr>
          <w:rFonts w:ascii="Arial" w:eastAsia="Arial" w:hAnsi="Arial" w:cs="Arial"/>
          <w:color w:val="000000"/>
        </w:rPr>
        <w:t xml:space="preserve"> </w:t>
      </w:r>
    </w:p>
    <w:p w14:paraId="02EBE9AE" w14:textId="77777777" w:rsidR="006F06F1" w:rsidRDefault="006F06F1" w:rsidP="006F06F1">
      <w:pPr>
        <w:rPr>
          <w:rFonts w:ascii="Arial" w:eastAsia="Arial" w:hAnsi="Arial" w:cs="Arial"/>
          <w:color w:val="000000"/>
        </w:rPr>
      </w:pPr>
    </w:p>
    <w:p w14:paraId="346D37A2" w14:textId="02660746" w:rsidR="006F06F1" w:rsidRPr="006F06F1" w:rsidRDefault="006F06F1" w:rsidP="006F06F1">
      <w:pPr>
        <w:rPr>
          <w:rFonts w:ascii="Arial" w:eastAsia="Arial" w:hAnsi="Arial" w:cs="Arial"/>
          <w:color w:val="000000"/>
        </w:rPr>
      </w:pPr>
      <w:r w:rsidRPr="006F06F1">
        <w:rPr>
          <w:rFonts w:ascii="Arial" w:eastAsia="Arial" w:hAnsi="Arial" w:cs="Arial"/>
          <w:color w:val="000000"/>
        </w:rPr>
        <w:t>Following the initial disclosure, the school appropriately acknowledge the urgency and initiated the agreed referral protocol (Multi Agency Referral Form) which leads to a strategy discussion and agreed actions between agencies. Collaboration facilitates information sharing and the contribution of a variety of expertise in order to effectively assess and address the issue. (Safeguarding Wales</w:t>
      </w:r>
      <w:r w:rsidR="0079656B">
        <w:rPr>
          <w:rFonts w:ascii="Arial" w:eastAsia="Arial" w:hAnsi="Arial" w:cs="Arial"/>
          <w:color w:val="000000"/>
        </w:rPr>
        <w:t xml:space="preserve"> </w:t>
      </w:r>
      <w:proofErr w:type="spellStart"/>
      <w:r w:rsidR="0079656B">
        <w:rPr>
          <w:rFonts w:ascii="Arial" w:eastAsia="Arial" w:hAnsi="Arial" w:cs="Arial"/>
          <w:color w:val="000000"/>
        </w:rPr>
        <w:t>n.d</w:t>
      </w:r>
      <w:proofErr w:type="spellEnd"/>
      <w:r w:rsidRPr="006F06F1">
        <w:rPr>
          <w:rFonts w:ascii="Arial" w:eastAsia="Arial" w:hAnsi="Arial" w:cs="Arial"/>
          <w:color w:val="000000"/>
        </w:rPr>
        <w:t xml:space="preserve">). </w:t>
      </w:r>
    </w:p>
    <w:p w14:paraId="5CFC1818" w14:textId="77777777" w:rsidR="006F06F1" w:rsidRPr="006F06F1" w:rsidRDefault="006F06F1" w:rsidP="006F06F1">
      <w:pPr>
        <w:rPr>
          <w:rFonts w:ascii="Arial" w:eastAsia="Arial" w:hAnsi="Arial" w:cs="Arial"/>
          <w:color w:val="000000"/>
        </w:rPr>
      </w:pPr>
      <w:r w:rsidRPr="006F06F1">
        <w:rPr>
          <w:rFonts w:ascii="Arial" w:eastAsia="Arial" w:hAnsi="Arial" w:cs="Arial"/>
          <w:color w:val="000000"/>
        </w:rPr>
        <w:t>Relationships between professionals, the perception of Policing as the dominant agency and lack of understanding of each other’s roles can be an issue in the effectiveness of an outcome. (</w:t>
      </w:r>
      <w:proofErr w:type="spellStart"/>
      <w:r w:rsidRPr="006F06F1">
        <w:rPr>
          <w:rFonts w:ascii="Arial" w:eastAsia="Arial" w:hAnsi="Arial" w:cs="Arial"/>
          <w:color w:val="000000"/>
        </w:rPr>
        <w:t>Jahans</w:t>
      </w:r>
      <w:proofErr w:type="spellEnd"/>
      <w:r w:rsidRPr="006F06F1">
        <w:rPr>
          <w:rFonts w:ascii="Arial" w:eastAsia="Arial" w:hAnsi="Arial" w:cs="Arial"/>
          <w:color w:val="000000"/>
        </w:rPr>
        <w:t>-Baynton, Grealish, 2021).</w:t>
      </w:r>
    </w:p>
    <w:p w14:paraId="4E352D2E" w14:textId="77777777" w:rsidR="006F06F1" w:rsidRPr="006F06F1" w:rsidRDefault="006F06F1" w:rsidP="006F06F1">
      <w:pPr>
        <w:rPr>
          <w:rFonts w:ascii="Arial" w:eastAsia="Arial" w:hAnsi="Arial" w:cs="Arial"/>
          <w:color w:val="000000"/>
        </w:rPr>
      </w:pPr>
    </w:p>
    <w:p w14:paraId="69131D18" w14:textId="4F9E4080" w:rsidR="006F06F1" w:rsidRPr="006F06F1" w:rsidRDefault="006F06F1" w:rsidP="006F06F1">
      <w:pPr>
        <w:rPr>
          <w:rFonts w:ascii="Arial" w:eastAsia="Arial" w:hAnsi="Arial" w:cs="Arial"/>
          <w:color w:val="000000"/>
        </w:rPr>
      </w:pPr>
      <w:r w:rsidRPr="006F06F1">
        <w:rPr>
          <w:rFonts w:ascii="Arial" w:eastAsia="Arial" w:hAnsi="Arial" w:cs="Arial"/>
          <w:color w:val="000000"/>
        </w:rPr>
        <w:t>The college of policing guidance on risk management and safeguarding provides consistency to assessments and actions taken. The joint Police and Social services investigation (</w:t>
      </w:r>
      <w:r w:rsidRPr="006F06F1">
        <w:rPr>
          <w:rFonts w:ascii="Arial" w:eastAsia="Arial" w:hAnsi="Arial" w:cs="Arial"/>
          <w:i/>
          <w:iCs/>
          <w:color w:val="000000"/>
        </w:rPr>
        <w:t>Children Act</w:t>
      </w:r>
      <w:r w:rsidRPr="006F06F1">
        <w:rPr>
          <w:rFonts w:ascii="Arial" w:eastAsia="Arial" w:hAnsi="Arial" w:cs="Arial"/>
          <w:color w:val="000000"/>
        </w:rPr>
        <w:t xml:space="preserve"> 1989, s.47) identified and eliminated other potential victims. Their actions included the separation of the victim and alleged offender which provided her with reassurance (</w:t>
      </w:r>
      <w:proofErr w:type="spellStart"/>
      <w:r w:rsidRPr="006F06F1">
        <w:rPr>
          <w:rFonts w:ascii="Arial" w:eastAsia="Arial" w:hAnsi="Arial" w:cs="Arial"/>
          <w:color w:val="000000"/>
        </w:rPr>
        <w:t>Gaithier</w:t>
      </w:r>
      <w:proofErr w:type="spellEnd"/>
      <w:r w:rsidRPr="006F06F1">
        <w:rPr>
          <w:rFonts w:ascii="Arial" w:eastAsia="Arial" w:hAnsi="Arial" w:cs="Arial"/>
          <w:color w:val="000000"/>
        </w:rPr>
        <w:t xml:space="preserve">, 2009). The Police imposed appropriate bail conditions to prevent coercion, witness interference and further offences being committed. Social Services intervention also included education within the household to those at risk of abuse including explaining the role of the parents to safeguard. Police and Social Services discussed the school’s concern of forced marriage with the victim sensitively and were satisfied that any risk was eliminated. It was established that wearing her hijab was her own personal choice and she felt no oppression from her cultural beliefs other than family pride preventing her from disclosing earlier.  </w:t>
      </w:r>
    </w:p>
    <w:p w14:paraId="1D500454" w14:textId="431CEDD0" w:rsidR="006F06F1" w:rsidRPr="006F06F1" w:rsidRDefault="006F06F1" w:rsidP="006F06F1">
      <w:pPr>
        <w:rPr>
          <w:rFonts w:ascii="Arial" w:eastAsia="Arial" w:hAnsi="Arial" w:cs="Arial"/>
          <w:color w:val="000000"/>
        </w:rPr>
      </w:pPr>
      <w:r w:rsidRPr="006F06F1">
        <w:rPr>
          <w:rFonts w:ascii="Arial" w:eastAsia="Arial" w:hAnsi="Arial" w:cs="Arial"/>
          <w:color w:val="000000"/>
        </w:rPr>
        <w:t xml:space="preserve">Whilst Safeguarding may conflict with Human Rights </w:t>
      </w:r>
      <w:r w:rsidR="0079656B">
        <w:rPr>
          <w:rFonts w:ascii="Arial" w:eastAsia="Arial" w:hAnsi="Arial" w:cs="Arial"/>
          <w:color w:val="000000"/>
        </w:rPr>
        <w:t>(</w:t>
      </w:r>
      <w:r w:rsidRPr="006F06F1">
        <w:rPr>
          <w:rFonts w:ascii="Arial" w:eastAsia="Arial" w:hAnsi="Arial" w:cs="Arial"/>
          <w:color w:val="000000"/>
        </w:rPr>
        <w:t>Articles 8, Respect for private and family life and Article 9 Freedom of thought, belief and religion</w:t>
      </w:r>
      <w:r w:rsidR="0079656B">
        <w:rPr>
          <w:rFonts w:ascii="Arial" w:eastAsia="Arial" w:hAnsi="Arial" w:cs="Arial"/>
          <w:color w:val="000000"/>
        </w:rPr>
        <w:t>)</w:t>
      </w:r>
      <w:r w:rsidRPr="006F06F1">
        <w:rPr>
          <w:rFonts w:ascii="Arial" w:eastAsia="Arial" w:hAnsi="Arial" w:cs="Arial"/>
          <w:color w:val="000000"/>
        </w:rPr>
        <w:t xml:space="preserve">, Safeguarding will always prioritise this Act. </w:t>
      </w:r>
    </w:p>
    <w:p w14:paraId="21C2BF7E" w14:textId="0CE24D1E" w:rsidR="006F06F1" w:rsidRPr="006F06F1" w:rsidRDefault="006F06F1" w:rsidP="006F06F1">
      <w:r w:rsidRPr="006F06F1">
        <w:rPr>
          <w:rFonts w:ascii="Arial" w:eastAsia="Arial" w:hAnsi="Arial" w:cs="Arial"/>
          <w:color w:val="000000"/>
        </w:rPr>
        <w:t>When child sexual offences are reported, alleged offenders are at increased risk of suicide due to shame, fear of severe penalty and social oppression. (Key, Underwood, 2021). In order to safeguard the accused and comply with the Police duty of care to detainees including those released, information is provided for the Lucy Faithfull foundation whose objective is to support and educate offenders, to prevent further offending and reduce suicide rates. A fitness to release from custody assessment was also conducted (</w:t>
      </w:r>
      <w:r w:rsidR="0079656B">
        <w:rPr>
          <w:rFonts w:ascii="Arial" w:eastAsia="Arial" w:hAnsi="Arial" w:cs="Arial"/>
          <w:i/>
          <w:iCs/>
          <w:color w:val="000000"/>
        </w:rPr>
        <w:t>PACE</w:t>
      </w:r>
      <w:r w:rsidRPr="006F06F1">
        <w:rPr>
          <w:rFonts w:ascii="Arial" w:eastAsia="Arial" w:hAnsi="Arial" w:cs="Arial"/>
          <w:color w:val="000000"/>
        </w:rPr>
        <w:t xml:space="preserve">, </w:t>
      </w:r>
      <w:r w:rsidR="0079656B" w:rsidRPr="0079656B">
        <w:rPr>
          <w:rFonts w:ascii="Arial" w:eastAsia="Arial" w:hAnsi="Arial" w:cs="Arial"/>
          <w:i/>
          <w:iCs/>
          <w:color w:val="000000"/>
        </w:rPr>
        <w:t>1984</w:t>
      </w:r>
      <w:r w:rsidRPr="006F06F1">
        <w:rPr>
          <w:rFonts w:ascii="Arial" w:eastAsia="Arial" w:hAnsi="Arial" w:cs="Arial"/>
          <w:color w:val="000000"/>
        </w:rPr>
        <w:t>, Code C). Detainees in Police custody have a high rate of physical and mental health vulnerabilities and are within the hard-to-reach members of society. Custody is therefore a valuable opportunity for support referral. (</w:t>
      </w:r>
      <w:proofErr w:type="spellStart"/>
      <w:r w:rsidRPr="006F06F1">
        <w:rPr>
          <w:rFonts w:ascii="Arial" w:eastAsia="Arial" w:hAnsi="Arial" w:cs="Arial"/>
          <w:color w:val="000000"/>
        </w:rPr>
        <w:t>Rekrut</w:t>
      </w:r>
      <w:proofErr w:type="spellEnd"/>
      <w:r w:rsidRPr="006F06F1">
        <w:rPr>
          <w:rFonts w:ascii="Arial" w:eastAsia="Arial" w:hAnsi="Arial" w:cs="Arial"/>
          <w:color w:val="000000"/>
        </w:rPr>
        <w:t xml:space="preserve">-Lapa, Lapa, 2014). </w:t>
      </w:r>
    </w:p>
    <w:p w14:paraId="4739085C" w14:textId="60B53A49" w:rsidR="006F06F1" w:rsidRDefault="006F06F1" w:rsidP="006F06F1">
      <w:pPr>
        <w:rPr>
          <w:rFonts w:ascii="Arial" w:eastAsia="Arial" w:hAnsi="Arial" w:cs="Arial"/>
          <w:color w:val="000000"/>
        </w:rPr>
      </w:pPr>
      <w:r w:rsidRPr="006F06F1">
        <w:rPr>
          <w:rFonts w:ascii="Arial" w:eastAsia="Arial" w:hAnsi="Arial" w:cs="Arial"/>
          <w:color w:val="000000"/>
        </w:rPr>
        <w:t>Aiken, et al. (2011)</w:t>
      </w:r>
      <w:r w:rsidR="0079656B">
        <w:rPr>
          <w:rFonts w:ascii="Arial" w:eastAsia="Arial" w:hAnsi="Arial" w:cs="Arial"/>
          <w:color w:val="000000"/>
        </w:rPr>
        <w:t>,</w:t>
      </w:r>
      <w:r w:rsidRPr="006F06F1">
        <w:rPr>
          <w:rFonts w:ascii="Arial" w:eastAsia="Arial" w:hAnsi="Arial" w:cs="Arial"/>
          <w:color w:val="000000"/>
        </w:rPr>
        <w:t xml:space="preserve"> cites the obligation upon authorities to investigate the ever-increasing issue of online child abuse and exploitation and suggests funding from internet service provider customers to address this issue. </w:t>
      </w:r>
    </w:p>
    <w:p w14:paraId="2F04137F" w14:textId="65B7B810" w:rsidR="004E2825" w:rsidRPr="00B07509" w:rsidRDefault="00B07509" w:rsidP="00B07509">
      <w:pPr>
        <w:jc w:val="right"/>
        <w:rPr>
          <w:rFonts w:ascii="Arial" w:eastAsia="Arial" w:hAnsi="Arial" w:cs="Arial"/>
          <w:color w:val="FF0000"/>
        </w:rPr>
      </w:pPr>
      <w:r w:rsidRPr="00B07509">
        <w:rPr>
          <w:rFonts w:ascii="Arial" w:eastAsia="Arial" w:hAnsi="Arial" w:cs="Arial"/>
          <w:color w:val="FF0000"/>
        </w:rPr>
        <w:t>429</w:t>
      </w:r>
    </w:p>
    <w:p w14:paraId="577555B8" w14:textId="77777777" w:rsidR="00B07509" w:rsidRDefault="00B07509" w:rsidP="004E2825">
      <w:pPr>
        <w:rPr>
          <w:rFonts w:ascii="Arial" w:eastAsia="Arial" w:hAnsi="Arial" w:cs="Arial"/>
          <w:b/>
          <w:bCs/>
        </w:rPr>
      </w:pPr>
    </w:p>
    <w:p w14:paraId="740F4459" w14:textId="67698DE4" w:rsidR="004E2825" w:rsidRDefault="004E2825" w:rsidP="004E2825">
      <w:pPr>
        <w:rPr>
          <w:rFonts w:ascii="Arial" w:eastAsia="Arial" w:hAnsi="Arial" w:cs="Arial"/>
          <w:b/>
          <w:bCs/>
        </w:rPr>
      </w:pPr>
      <w:r w:rsidRPr="004E2825">
        <w:rPr>
          <w:rFonts w:ascii="Arial" w:eastAsia="Arial" w:hAnsi="Arial" w:cs="Arial"/>
          <w:b/>
          <w:bCs/>
        </w:rPr>
        <w:t xml:space="preserve">Critically evaluate how you have provided appropriate support for victims during an investigation. Consider the use of a victim strategy when required and working with the Victim Care Unit. </w:t>
      </w:r>
    </w:p>
    <w:p w14:paraId="26B125BA" w14:textId="77777777" w:rsidR="004E2825" w:rsidRPr="004E2825" w:rsidRDefault="004E2825" w:rsidP="004E2825">
      <w:pPr>
        <w:rPr>
          <w:b/>
          <w:bCs/>
        </w:rPr>
      </w:pPr>
    </w:p>
    <w:p w14:paraId="70A3FE1D" w14:textId="3F6C199D" w:rsidR="004E2825" w:rsidRPr="004E2825" w:rsidRDefault="004E2825" w:rsidP="004E2825">
      <w:pPr>
        <w:rPr>
          <w:rFonts w:ascii="Arial" w:eastAsia="Arial" w:hAnsi="Arial" w:cs="Arial"/>
          <w:color w:val="000000"/>
        </w:rPr>
      </w:pPr>
      <w:r w:rsidRPr="004E2825">
        <w:rPr>
          <w:rFonts w:ascii="Arial" w:eastAsia="Arial" w:hAnsi="Arial" w:cs="Arial"/>
          <w:color w:val="000000"/>
        </w:rPr>
        <w:t>In order to give the victim control, a rapport was built she was encouraged to have a voice which also assists with feeling believed. (Nelson-Gardell, 2001. p. 407) Culturally, this was a sensitive topic and she was treated with dignity</w:t>
      </w:r>
      <w:r w:rsidR="00B07509">
        <w:rPr>
          <w:rFonts w:ascii="Arial" w:eastAsia="Arial" w:hAnsi="Arial" w:cs="Arial"/>
          <w:color w:val="000000"/>
        </w:rPr>
        <w:t>.</w:t>
      </w:r>
    </w:p>
    <w:p w14:paraId="5E5884BC" w14:textId="21B3F818" w:rsidR="004E2825" w:rsidRPr="004E2825" w:rsidRDefault="004E2825" w:rsidP="004E2825">
      <w:r w:rsidRPr="004E2825">
        <w:rPr>
          <w:rFonts w:ascii="Arial" w:eastAsia="Arial" w:hAnsi="Arial" w:cs="Arial"/>
          <w:color w:val="000000"/>
        </w:rPr>
        <w:t xml:space="preserve">Crosson-Tower (2014, p. 22) explains how victim trauma is increased by the breach of trust when the abuser is a close relation, the severity of the abuse (penetrative) and reactions to disclosure by those around them (believed, supported). The victim’s lack of control during the offence then the removal of control during disclosure </w:t>
      </w:r>
      <w:r w:rsidR="00B07509">
        <w:rPr>
          <w:rFonts w:ascii="Arial" w:eastAsia="Arial" w:hAnsi="Arial" w:cs="Arial"/>
          <w:color w:val="000000"/>
        </w:rPr>
        <w:t>by another</w:t>
      </w:r>
      <w:r w:rsidRPr="004E2825">
        <w:rPr>
          <w:rFonts w:ascii="Arial" w:eastAsia="Arial" w:hAnsi="Arial" w:cs="Arial"/>
          <w:color w:val="000000"/>
        </w:rPr>
        <w:t xml:space="preserve">, can have negative psychological consequences to the victim, referred to as the “power of disclosure”. The effective management of disclosure, appropriate support and ensuring that the victim felt that she had </w:t>
      </w:r>
      <w:r w:rsidRPr="004E2825">
        <w:rPr>
          <w:rFonts w:ascii="Arial" w:eastAsia="Arial" w:hAnsi="Arial" w:cs="Arial"/>
        </w:rPr>
        <w:t>control</w:t>
      </w:r>
      <w:r w:rsidRPr="004E2825">
        <w:rPr>
          <w:rFonts w:ascii="Arial" w:eastAsia="Arial" w:hAnsi="Arial" w:cs="Arial"/>
          <w:color w:val="000000"/>
        </w:rPr>
        <w:t xml:space="preserve"> were vital in reducing the risk of further psychological trauma. (</w:t>
      </w:r>
      <w:proofErr w:type="spellStart"/>
      <w:r w:rsidRPr="004E2825">
        <w:rPr>
          <w:rFonts w:ascii="Arial" w:eastAsia="Arial" w:hAnsi="Arial" w:cs="Arial"/>
          <w:color w:val="000000"/>
        </w:rPr>
        <w:t>Zinsstag</w:t>
      </w:r>
      <w:proofErr w:type="spellEnd"/>
      <w:r w:rsidRPr="004E2825">
        <w:rPr>
          <w:rFonts w:ascii="Arial" w:eastAsia="Arial" w:hAnsi="Arial" w:cs="Arial"/>
          <w:color w:val="000000"/>
        </w:rPr>
        <w:t xml:space="preserve">, Keenan, 2017, pp.184, 85) (Kett, et al., 2010, p. 630). It could be said that further loss of control may re-traumatise the victim and this was to be considered. </w:t>
      </w:r>
    </w:p>
    <w:p w14:paraId="04E91736" w14:textId="7C79556F" w:rsidR="004E2825" w:rsidRPr="004E2825" w:rsidRDefault="004E2825" w:rsidP="004E2825">
      <w:r w:rsidRPr="004E2825">
        <w:rPr>
          <w:rFonts w:ascii="Arial" w:eastAsia="Arial" w:hAnsi="Arial" w:cs="Arial"/>
          <w:color w:val="000000"/>
        </w:rPr>
        <w:t>The victim was acutely aware of the personal and cultural consequences which would follow from her disclosure. This is a factor in the underreporting of sexual assault in ethnic minorities. The preservation of their virginity is expected for marriage. (British Association for Sexual Health and HIV, 2011)</w:t>
      </w:r>
      <w:r w:rsidRPr="004E2825">
        <w:rPr>
          <w:rFonts w:ascii="Arial" w:hAnsi="Arial" w:cs="Arial"/>
        </w:rPr>
        <w:t xml:space="preserve">. The victim was referred for support by a specialist adolescent Independent Sexual Violence Advocate (ISVA) who, along with routine emotional support and criminal justice information, was most appropriate to assess and further refer her for any additional support required such as CAMHS or Ethnic Minority support. The importance of ensuring that victims are listened to, respected and believed is re iterated in the Government Tackling Child Sexual Abuse Strategy 2021. It this case, the victim was Gillick competent however, due to her age, parental authority was still required. Special Measures were discussed and agreed with her as was how her disclosure was going to be conveyed to her parents. She was concerned about their reaction and a strategy was agreed. Her mother was distraught and frustrated that she hadn’t disclosed sooner. Both victim and mother became upset and it was an awkward situation relying on the interpreter due to the language barrier. According to </w:t>
      </w:r>
      <w:proofErr w:type="spellStart"/>
      <w:r w:rsidRPr="004E2825">
        <w:rPr>
          <w:rFonts w:ascii="Arial" w:hAnsi="Arial" w:cs="Arial"/>
        </w:rPr>
        <w:t>Higheagle</w:t>
      </w:r>
      <w:proofErr w:type="spellEnd"/>
      <w:r w:rsidRPr="004E2825">
        <w:rPr>
          <w:rFonts w:ascii="Arial" w:hAnsi="Arial" w:cs="Arial"/>
        </w:rPr>
        <w:t xml:space="preserve"> Strong, et al., (2020), physical contact is a particularly effective method of providing calm and reassurance in victim adolescence. I didn’t know if this was culturally or emotionally an obstacle at the time, nor did it exist in any training nor feel professional but I encouraged her mother to hug/hold her daughter which achieved the desired outcome in overcoming one of the victim’s most significant fears of her family’s reaction and acknowledgement of support. </w:t>
      </w:r>
    </w:p>
    <w:p w14:paraId="7D2C3034" w14:textId="77777777" w:rsidR="004E2825" w:rsidRPr="004E2825" w:rsidRDefault="004E2825" w:rsidP="004E2825">
      <w:r w:rsidRPr="004E2825">
        <w:rPr>
          <w:rFonts w:ascii="Arial" w:hAnsi="Arial" w:cs="Arial"/>
        </w:rPr>
        <w:t xml:space="preserve">The negative of enhanced engagement to meet the additional victim’s voice is that this is time consuming for the investigator alongside the existing complexities of the investigation and the demands of the enhanced service entitlement to victims of serious crime. (Victim’s charter, 1990) </w:t>
      </w:r>
      <w:r w:rsidRPr="004E2825">
        <w:rPr>
          <w:rFonts w:ascii="Arial" w:hAnsi="Arial" w:cs="Arial"/>
          <w:color w:val="000000"/>
        </w:rPr>
        <w:t xml:space="preserve">and expectation complete the investigation expeditiously. </w:t>
      </w:r>
    </w:p>
    <w:p w14:paraId="234246EF" w14:textId="77777777" w:rsidR="004E2825" w:rsidRPr="004E2825" w:rsidRDefault="004E2825" w:rsidP="004E2825">
      <w:r w:rsidRPr="004E2825">
        <w:rPr>
          <w:rFonts w:ascii="Arial" w:hAnsi="Arial" w:cs="Arial"/>
          <w:color w:val="000000"/>
        </w:rPr>
        <w:t xml:space="preserve">Haley (2010), states that the victim felt that their voice in Court did not meet up to their expectations, their need to express themselves in their own way was overpowered by the directed closed questioning style which made them feel excluded from the process. It could therefore be said that </w:t>
      </w:r>
      <w:r w:rsidRPr="004E2825">
        <w:rPr>
          <w:rFonts w:ascii="Arial" w:hAnsi="Arial" w:cs="Arial"/>
        </w:rPr>
        <w:t xml:space="preserve">the expectations of the victim prior to Court can also conflict with their voice. It may not always be possible to accommodate their voice within limitations of the criminal justice system and the law. This may be overcome with the management of clear and accurate information by the investigator and the ISVA about the system and their role in the process, allowing victims to make an informed decision. The victim care unit consult with the investigator prior to victim contact in cases of sexual assault. This is offered to the victim however, it is generally considered that too many support agencies may be overwhelming and duplication therefore, the ISVA provides adequate support. The advantage of an ISVA is continuity throughout the entire process. </w:t>
      </w:r>
    </w:p>
    <w:p w14:paraId="40A80508" w14:textId="77777777" w:rsidR="004E2825" w:rsidRPr="004E2825" w:rsidRDefault="004E2825" w:rsidP="004E2825">
      <w:r w:rsidRPr="004E2825">
        <w:rPr>
          <w:rFonts w:ascii="Arial" w:hAnsi="Arial" w:cs="Arial"/>
        </w:rPr>
        <w:t xml:space="preserve"> A further issue with child protection intervention in this instance is that religious beliefs under Sharia Law and Child protection guidelines/laws are not entirely in agreement due to power imbalances therefore, there are limitations to the effectiveness of support and it may not be welcomed by Muslim families. Whilst the child victim was accepting of support, the parents maintained legal authority. Any support needs to acknowledge this difficulty and use sensitive strategies build partnerships. (O’Leary, et al., 2020). </w:t>
      </w:r>
    </w:p>
    <w:p w14:paraId="144EEB4B" w14:textId="7F478BC7" w:rsidR="00C63C79" w:rsidRDefault="00C63C79" w:rsidP="004E2825">
      <w:pPr>
        <w:jc w:val="right"/>
        <w:rPr>
          <w:rFonts w:ascii="Arial" w:eastAsia="Arial" w:hAnsi="Arial" w:cs="Arial"/>
          <w:color w:val="FF0000"/>
        </w:rPr>
      </w:pPr>
      <w:r>
        <w:rPr>
          <w:rFonts w:ascii="Arial" w:eastAsia="Arial" w:hAnsi="Arial" w:cs="Arial"/>
          <w:color w:val="FF0000"/>
        </w:rPr>
        <w:t>706</w:t>
      </w:r>
    </w:p>
    <w:p w14:paraId="76CA4A60" w14:textId="77777777" w:rsidR="00C63C79" w:rsidRDefault="00C63C79" w:rsidP="004E2825">
      <w:pPr>
        <w:jc w:val="right"/>
        <w:rPr>
          <w:rFonts w:ascii="Arial" w:eastAsia="Arial" w:hAnsi="Arial" w:cs="Arial"/>
          <w:color w:val="FF0000"/>
        </w:rPr>
      </w:pPr>
    </w:p>
    <w:p w14:paraId="5C967480" w14:textId="52416E37" w:rsidR="004E2825" w:rsidRPr="00C63C79" w:rsidRDefault="004E2825" w:rsidP="004E2825">
      <w:pPr>
        <w:jc w:val="right"/>
        <w:rPr>
          <w:rFonts w:ascii="Arial" w:eastAsia="Arial" w:hAnsi="Arial" w:cs="Arial"/>
          <w:b/>
          <w:bCs/>
          <w:color w:val="FF0000"/>
        </w:rPr>
      </w:pPr>
      <w:r w:rsidRPr="00C63C79">
        <w:rPr>
          <w:rFonts w:ascii="Arial" w:eastAsia="Arial" w:hAnsi="Arial" w:cs="Arial"/>
          <w:b/>
          <w:bCs/>
          <w:color w:val="FF0000"/>
        </w:rPr>
        <w:t>22</w:t>
      </w:r>
      <w:r w:rsidR="00C63C79">
        <w:rPr>
          <w:rFonts w:ascii="Arial" w:eastAsia="Arial" w:hAnsi="Arial" w:cs="Arial"/>
          <w:b/>
          <w:bCs/>
          <w:color w:val="FF0000"/>
        </w:rPr>
        <w:t>37</w:t>
      </w:r>
    </w:p>
    <w:p w14:paraId="07802346" w14:textId="6130759F" w:rsidR="4AF6DABA" w:rsidRDefault="4AF6DABA" w:rsidP="727E3A7D">
      <w:pPr>
        <w:ind w:right="107"/>
        <w:rPr>
          <w:rFonts w:ascii="Arial" w:eastAsia="Arial" w:hAnsi="Arial" w:cs="Arial"/>
          <w:b/>
          <w:bCs/>
          <w:color w:val="000000" w:themeColor="text1"/>
          <w:sz w:val="24"/>
          <w:szCs w:val="24"/>
        </w:rPr>
      </w:pPr>
    </w:p>
    <w:p w14:paraId="1B1D350C" w14:textId="4A88D07F" w:rsidR="004E2825" w:rsidRDefault="004E2825" w:rsidP="727E3A7D">
      <w:pPr>
        <w:ind w:right="107"/>
        <w:rPr>
          <w:rFonts w:ascii="Arial" w:eastAsia="Arial" w:hAnsi="Arial" w:cs="Arial"/>
          <w:b/>
          <w:bCs/>
          <w:color w:val="000000" w:themeColor="text1"/>
          <w:sz w:val="24"/>
          <w:szCs w:val="24"/>
        </w:rPr>
      </w:pPr>
    </w:p>
    <w:p w14:paraId="7DB36862" w14:textId="66B8660B" w:rsidR="004E2825" w:rsidRDefault="004E2825" w:rsidP="727E3A7D">
      <w:pPr>
        <w:ind w:right="107"/>
        <w:rPr>
          <w:rFonts w:ascii="Arial" w:eastAsia="Arial" w:hAnsi="Arial" w:cs="Arial"/>
          <w:b/>
          <w:bCs/>
          <w:color w:val="000000" w:themeColor="text1"/>
          <w:sz w:val="24"/>
          <w:szCs w:val="24"/>
        </w:rPr>
      </w:pPr>
    </w:p>
    <w:p w14:paraId="78D0A978" w14:textId="77777777" w:rsidR="00A377B7" w:rsidRDefault="00A377B7" w:rsidP="004E2825">
      <w:pPr>
        <w:rPr>
          <w:rFonts w:ascii="Arial" w:hAnsi="Arial" w:cs="Arial"/>
          <w:b/>
          <w:bCs/>
          <w:color w:val="222222"/>
          <w:u w:val="single"/>
          <w:shd w:val="clear" w:color="auto" w:fill="FFFFFF"/>
        </w:rPr>
      </w:pPr>
    </w:p>
    <w:p w14:paraId="0B9C22A4" w14:textId="77777777" w:rsidR="00A377B7" w:rsidRDefault="00A377B7" w:rsidP="004E2825">
      <w:pPr>
        <w:rPr>
          <w:rFonts w:ascii="Arial" w:hAnsi="Arial" w:cs="Arial"/>
          <w:b/>
          <w:bCs/>
          <w:color w:val="222222"/>
          <w:u w:val="single"/>
          <w:shd w:val="clear" w:color="auto" w:fill="FFFFFF"/>
        </w:rPr>
      </w:pPr>
    </w:p>
    <w:p w14:paraId="401086B8" w14:textId="78024EF6" w:rsidR="004E2825" w:rsidRDefault="004E2825" w:rsidP="004E2825">
      <w:pPr>
        <w:rPr>
          <w:rFonts w:ascii="Arial" w:hAnsi="Arial" w:cs="Arial"/>
          <w:b/>
          <w:bCs/>
          <w:color w:val="222222"/>
          <w:u w:val="single"/>
          <w:shd w:val="clear" w:color="auto" w:fill="FFFFFF"/>
        </w:rPr>
      </w:pPr>
      <w:r>
        <w:rPr>
          <w:rFonts w:ascii="Arial" w:hAnsi="Arial" w:cs="Arial"/>
          <w:b/>
          <w:bCs/>
          <w:color w:val="222222"/>
          <w:u w:val="single"/>
          <w:shd w:val="clear" w:color="auto" w:fill="FFFFFF"/>
        </w:rPr>
        <w:t>Reference</w:t>
      </w:r>
    </w:p>
    <w:p w14:paraId="27653341" w14:textId="77777777" w:rsidR="004E2825" w:rsidRDefault="004E2825" w:rsidP="004E2825">
      <w:pPr>
        <w:rPr>
          <w:rFonts w:ascii="Open Sans" w:hAnsi="Open Sans" w:cs="Open Sans"/>
          <w:sz w:val="20"/>
          <w:szCs w:val="20"/>
          <w:shd w:val="clear" w:color="auto" w:fill="FFFFFF"/>
        </w:rPr>
      </w:pPr>
    </w:p>
    <w:p w14:paraId="77DE47C4" w14:textId="24F007BA" w:rsidR="004E2825" w:rsidRPr="004E2825" w:rsidRDefault="004E2825" w:rsidP="004E2825">
      <w:pPr>
        <w:rPr>
          <w:rFonts w:ascii="Open Sans" w:hAnsi="Open Sans" w:cs="Open Sans"/>
          <w:sz w:val="20"/>
          <w:szCs w:val="20"/>
        </w:rPr>
      </w:pPr>
      <w:r w:rsidRPr="004E2825">
        <w:rPr>
          <w:rFonts w:ascii="Open Sans" w:hAnsi="Open Sans" w:cs="Open Sans"/>
          <w:sz w:val="20"/>
          <w:szCs w:val="20"/>
          <w:shd w:val="clear" w:color="auto" w:fill="FFFFFF"/>
        </w:rPr>
        <w:t xml:space="preserve">Aiken, M., Moran, M. and Berry, M.J., 2011. </w:t>
      </w:r>
      <w:r w:rsidRPr="004E2825">
        <w:rPr>
          <w:rFonts w:ascii="Open Sans" w:hAnsi="Open Sans" w:cs="Open Sans"/>
          <w:i/>
          <w:iCs/>
          <w:sz w:val="20"/>
          <w:szCs w:val="20"/>
          <w:shd w:val="clear" w:color="auto" w:fill="FFFFFF"/>
        </w:rPr>
        <w:t>Child abuse material and the Internet: Cyberpsychology of online child related sex offending</w:t>
      </w:r>
      <w:r w:rsidRPr="004E2825">
        <w:rPr>
          <w:rFonts w:ascii="Open Sans" w:hAnsi="Open Sans" w:cs="Open Sans"/>
          <w:sz w:val="20"/>
          <w:szCs w:val="20"/>
          <w:shd w:val="clear" w:color="auto" w:fill="FFFFFF"/>
        </w:rPr>
        <w:t>. Paper presented at the 29th meeting of the INTERPOL Specialist Group on Crimes against Children, Lyons, France 5-7</w:t>
      </w:r>
      <w:r w:rsidRPr="004E2825">
        <w:rPr>
          <w:rFonts w:ascii="Open Sans" w:hAnsi="Open Sans" w:cs="Open Sans"/>
          <w:sz w:val="20"/>
          <w:szCs w:val="20"/>
          <w:shd w:val="clear" w:color="auto" w:fill="FFFFFF"/>
          <w:vertAlign w:val="superscript"/>
        </w:rPr>
        <w:t>th</w:t>
      </w:r>
      <w:r w:rsidRPr="004E2825">
        <w:rPr>
          <w:rFonts w:ascii="Open Sans" w:hAnsi="Open Sans" w:cs="Open Sans"/>
          <w:sz w:val="20"/>
          <w:szCs w:val="20"/>
          <w:shd w:val="clear" w:color="auto" w:fill="FFFFFF"/>
        </w:rPr>
        <w:t xml:space="preserve"> September 2011. pp. 10, 12, 14.</w:t>
      </w:r>
    </w:p>
    <w:p w14:paraId="257431E6" w14:textId="77777777" w:rsidR="004E2825" w:rsidRPr="004E2825" w:rsidRDefault="004E2825" w:rsidP="004E2825">
      <w:pPr>
        <w:rPr>
          <w:rFonts w:ascii="Open Sans" w:hAnsi="Open Sans" w:cs="Open Sans"/>
          <w:sz w:val="20"/>
          <w:szCs w:val="20"/>
        </w:rPr>
      </w:pPr>
      <w:r w:rsidRPr="004E2825">
        <w:rPr>
          <w:rFonts w:ascii="Open Sans" w:hAnsi="Open Sans" w:cs="Open Sans"/>
          <w:spacing w:val="4"/>
          <w:sz w:val="20"/>
          <w:szCs w:val="20"/>
          <w:shd w:val="clear" w:color="auto" w:fill="FCFCFC"/>
        </w:rPr>
        <w:t xml:space="preserve">Bailey, A., Squire T., Thornhill L. (2018) The Lucy Faithfull Foundation: Twenty-Five Years of Child Protection and Preventing Child Sexual Abuse. In: </w:t>
      </w:r>
      <w:proofErr w:type="spellStart"/>
      <w:r w:rsidRPr="004E2825">
        <w:rPr>
          <w:rFonts w:ascii="Open Sans" w:hAnsi="Open Sans" w:cs="Open Sans"/>
          <w:spacing w:val="4"/>
          <w:sz w:val="20"/>
          <w:szCs w:val="20"/>
          <w:shd w:val="clear" w:color="auto" w:fill="FCFCFC"/>
        </w:rPr>
        <w:t>Lievesley</w:t>
      </w:r>
      <w:proofErr w:type="spellEnd"/>
      <w:r w:rsidRPr="004E2825">
        <w:rPr>
          <w:rFonts w:ascii="Open Sans" w:hAnsi="Open Sans" w:cs="Open Sans"/>
          <w:spacing w:val="4"/>
          <w:sz w:val="20"/>
          <w:szCs w:val="20"/>
          <w:shd w:val="clear" w:color="auto" w:fill="FCFCFC"/>
        </w:rPr>
        <w:t xml:space="preserve"> R., Hocken K., Elliott H., Winder B., Blagden N., Banyard P. (eds) Sexual Crime and Prevention. Sexual Crime. Palgrave Macmillan, Cham. pp. 57-82. Available at: doi.org/</w:t>
      </w:r>
      <w:r w:rsidRPr="004E2825">
        <w:rPr>
          <w:rFonts w:ascii="Open Sans" w:hAnsi="Open Sans" w:cs="Open Sans"/>
          <w:spacing w:val="4"/>
          <w:sz w:val="20"/>
          <w:szCs w:val="20"/>
          <w:u w:val="single"/>
          <w:shd w:val="clear" w:color="auto" w:fill="FCFCFC"/>
        </w:rPr>
        <w:t>10.1007/978-3-319-98243-4_3</w:t>
      </w:r>
    </w:p>
    <w:p w14:paraId="75AB1C98" w14:textId="77777777" w:rsidR="004E2825" w:rsidRPr="004E2825" w:rsidRDefault="004E2825" w:rsidP="004E2825">
      <w:pPr>
        <w:rPr>
          <w:rFonts w:ascii="Open Sans" w:hAnsi="Open Sans" w:cs="Open Sans"/>
          <w:sz w:val="20"/>
          <w:szCs w:val="20"/>
        </w:rPr>
      </w:pPr>
      <w:r w:rsidRPr="004E2825">
        <w:rPr>
          <w:rFonts w:ascii="Open Sans" w:hAnsi="Open Sans" w:cs="Open Sans"/>
          <w:sz w:val="20"/>
          <w:szCs w:val="20"/>
        </w:rPr>
        <w:t xml:space="preserve">British Association of Sexual Health and HIV, 2011. UK National Guidelines on the Management of Adult and Adolescent complainants of Sexual Assault (updated June 2012). Google Scholar. P. 24. Available </w:t>
      </w:r>
      <w:proofErr w:type="gramStart"/>
      <w:r w:rsidRPr="004E2825">
        <w:rPr>
          <w:rFonts w:ascii="Open Sans" w:hAnsi="Open Sans" w:cs="Open Sans"/>
          <w:sz w:val="20"/>
          <w:szCs w:val="20"/>
        </w:rPr>
        <w:t>at :</w:t>
      </w:r>
      <w:proofErr w:type="gramEnd"/>
      <w:r w:rsidRPr="004E2825">
        <w:rPr>
          <w:rFonts w:ascii="Open Sans" w:hAnsi="Open Sans" w:cs="Open Sans"/>
          <w:sz w:val="20"/>
          <w:szCs w:val="20"/>
        </w:rPr>
        <w:t xml:space="preserve"> </w:t>
      </w:r>
      <w:hyperlink r:id="rId38" w:history="1">
        <w:r w:rsidRPr="004E2825">
          <w:rPr>
            <w:rStyle w:val="Hyperlink"/>
            <w:rFonts w:ascii="Open Sans" w:hAnsi="Open Sans" w:cs="Open Sans"/>
            <w:color w:val="auto"/>
            <w:sz w:val="20"/>
            <w:szCs w:val="20"/>
          </w:rPr>
          <w:t>http://citeseerx.ist.psu.edu/viewdoc/download?doi=10.1.1.365.7868&amp;rep=rep1&amp;type</w:t>
        </w:r>
      </w:hyperlink>
      <w:r w:rsidRPr="004E2825">
        <w:rPr>
          <w:rFonts w:ascii="Open Sans" w:hAnsi="Open Sans" w:cs="Open Sans"/>
          <w:sz w:val="20"/>
          <w:szCs w:val="20"/>
        </w:rPr>
        <w:t xml:space="preserve"> [pdf] (Accessed: 17 March 2022)</w:t>
      </w:r>
    </w:p>
    <w:p w14:paraId="4074DD78" w14:textId="03CB555A" w:rsidR="004E2825" w:rsidRPr="004E2825" w:rsidRDefault="004E2825" w:rsidP="004E2825">
      <w:pPr>
        <w:rPr>
          <w:rFonts w:ascii="Open Sans" w:hAnsi="Open Sans" w:cs="Open Sans"/>
          <w:sz w:val="20"/>
          <w:szCs w:val="20"/>
        </w:rPr>
      </w:pPr>
      <w:r w:rsidRPr="004E2825">
        <w:rPr>
          <w:rFonts w:ascii="Open Sans" w:hAnsi="Open Sans" w:cs="Open Sans"/>
          <w:i/>
          <w:iCs/>
          <w:sz w:val="20"/>
          <w:szCs w:val="20"/>
        </w:rPr>
        <w:t>Children A</w:t>
      </w:r>
      <w:r w:rsidR="00C63C79">
        <w:rPr>
          <w:rFonts w:ascii="Open Sans" w:hAnsi="Open Sans" w:cs="Open Sans"/>
          <w:i/>
          <w:iCs/>
          <w:sz w:val="20"/>
          <w:szCs w:val="20"/>
        </w:rPr>
        <w:t>ct</w:t>
      </w:r>
      <w:r w:rsidRPr="004E2825">
        <w:rPr>
          <w:rFonts w:ascii="Open Sans" w:hAnsi="Open Sans" w:cs="Open Sans"/>
          <w:sz w:val="20"/>
          <w:szCs w:val="20"/>
        </w:rPr>
        <w:t xml:space="preserve"> </w:t>
      </w:r>
      <w:r w:rsidRPr="00C63C79">
        <w:rPr>
          <w:rFonts w:ascii="Open Sans" w:hAnsi="Open Sans" w:cs="Open Sans"/>
          <w:sz w:val="20"/>
          <w:szCs w:val="20"/>
        </w:rPr>
        <w:t>198</w:t>
      </w:r>
      <w:r w:rsidRPr="00C63C79">
        <w:rPr>
          <w:rFonts w:ascii="Open Sans" w:hAnsi="Open Sans" w:cs="Open Sans"/>
          <w:i/>
          <w:iCs/>
          <w:sz w:val="20"/>
          <w:szCs w:val="20"/>
        </w:rPr>
        <w:t>9</w:t>
      </w:r>
      <w:r w:rsidRPr="004E2825">
        <w:rPr>
          <w:rFonts w:ascii="Open Sans" w:hAnsi="Open Sans" w:cs="Open Sans"/>
          <w:sz w:val="20"/>
          <w:szCs w:val="20"/>
        </w:rPr>
        <w:t xml:space="preserve">, s.47. </w:t>
      </w:r>
      <w:proofErr w:type="gramStart"/>
      <w:r w:rsidRPr="004E2825">
        <w:rPr>
          <w:rFonts w:ascii="Open Sans" w:hAnsi="Open Sans" w:cs="Open Sans"/>
          <w:sz w:val="20"/>
          <w:szCs w:val="20"/>
        </w:rPr>
        <w:t>Available :</w:t>
      </w:r>
      <w:proofErr w:type="gramEnd"/>
      <w:r w:rsidRPr="004E2825">
        <w:rPr>
          <w:rFonts w:ascii="Open Sans" w:hAnsi="Open Sans" w:cs="Open Sans"/>
          <w:sz w:val="20"/>
          <w:szCs w:val="20"/>
        </w:rPr>
        <w:t xml:space="preserve"> </w:t>
      </w:r>
      <w:hyperlink r:id="rId39" w:history="1">
        <w:r w:rsidRPr="004E2825">
          <w:rPr>
            <w:rStyle w:val="Hyperlink"/>
            <w:rFonts w:ascii="Open Sans" w:hAnsi="Open Sans" w:cs="Open Sans"/>
            <w:color w:val="auto"/>
            <w:sz w:val="20"/>
            <w:szCs w:val="20"/>
          </w:rPr>
          <w:t>www.legislation.gov.uk/ukpga/1989/41/section/47</w:t>
        </w:r>
      </w:hyperlink>
      <w:r w:rsidRPr="004E2825">
        <w:rPr>
          <w:rFonts w:ascii="Open Sans" w:hAnsi="Open Sans" w:cs="Open Sans"/>
          <w:sz w:val="20"/>
          <w:szCs w:val="20"/>
        </w:rPr>
        <w:t xml:space="preserve"> (Accessed: 17 March 2022) </w:t>
      </w:r>
    </w:p>
    <w:p w14:paraId="5E610DF2" w14:textId="77777777" w:rsidR="004E2825" w:rsidRPr="004E2825" w:rsidRDefault="004E2825" w:rsidP="004E2825">
      <w:pPr>
        <w:shd w:val="clear" w:color="auto" w:fill="FFFFFF"/>
        <w:spacing w:after="0" w:line="240" w:lineRule="auto"/>
        <w:rPr>
          <w:rFonts w:ascii="Open Sans" w:hAnsi="Open Sans" w:cs="Open Sans"/>
          <w:sz w:val="20"/>
          <w:szCs w:val="20"/>
        </w:rPr>
      </w:pPr>
      <w:r w:rsidRPr="004E2825">
        <w:rPr>
          <w:rFonts w:ascii="Open Sans" w:eastAsia="Times New Roman" w:hAnsi="Open Sans" w:cs="Open Sans"/>
          <w:sz w:val="20"/>
          <w:szCs w:val="20"/>
          <w:lang w:eastAsia="en-GB"/>
        </w:rPr>
        <w:t xml:space="preserve">Clark, H. (2010) ‘What is the justice system willing to offer?” Understanding sexual assault victim/survivors’ criminal justice needs.’ </w:t>
      </w:r>
      <w:r w:rsidRPr="004E2825">
        <w:rPr>
          <w:rFonts w:ascii="Open Sans" w:eastAsia="Times New Roman" w:hAnsi="Open Sans" w:cs="Open Sans"/>
          <w:i/>
          <w:iCs/>
          <w:sz w:val="20"/>
          <w:szCs w:val="20"/>
          <w:lang w:eastAsia="en-GB"/>
        </w:rPr>
        <w:t>Family Matters</w:t>
      </w:r>
      <w:r w:rsidRPr="004E2825">
        <w:rPr>
          <w:rFonts w:ascii="Open Sans" w:eastAsia="Times New Roman" w:hAnsi="Open Sans" w:cs="Open Sans"/>
          <w:sz w:val="20"/>
          <w:szCs w:val="20"/>
          <w:lang w:eastAsia="en-GB"/>
        </w:rPr>
        <w:t xml:space="preserve">, (85), [E-journal] pp. 28-37. Available at DOI: </w:t>
      </w:r>
      <w:r w:rsidRPr="004E2825">
        <w:rPr>
          <w:rFonts w:ascii="Open Sans" w:eastAsia="Times New Roman" w:hAnsi="Open Sans" w:cs="Open Sans"/>
          <w:sz w:val="20"/>
          <w:szCs w:val="20"/>
          <w:u w:val="single"/>
          <w:lang w:eastAsia="en-GB"/>
        </w:rPr>
        <w:t>10.3316/sgispt.20105629</w:t>
      </w:r>
      <w:r w:rsidRPr="004E2825">
        <w:rPr>
          <w:rFonts w:ascii="Open Sans" w:eastAsia="Times New Roman" w:hAnsi="Open Sans" w:cs="Open Sans"/>
          <w:sz w:val="20"/>
          <w:szCs w:val="20"/>
          <w:lang w:eastAsia="en-GB"/>
        </w:rPr>
        <w:t xml:space="preserve"> </w:t>
      </w:r>
    </w:p>
    <w:p w14:paraId="40141BA4" w14:textId="77777777" w:rsidR="001F49D2" w:rsidRDefault="001F49D2" w:rsidP="004E2825">
      <w:pPr>
        <w:rPr>
          <w:rFonts w:ascii="Open Sans" w:hAnsi="Open Sans" w:cs="Open Sans"/>
          <w:sz w:val="20"/>
          <w:szCs w:val="20"/>
          <w:shd w:val="clear" w:color="auto" w:fill="FFFFFF"/>
        </w:rPr>
      </w:pPr>
    </w:p>
    <w:p w14:paraId="4C60F673" w14:textId="4D4DE341" w:rsidR="004E2825" w:rsidRPr="004E2825" w:rsidRDefault="004E2825" w:rsidP="004E2825">
      <w:pPr>
        <w:rPr>
          <w:rFonts w:ascii="Open Sans" w:hAnsi="Open Sans" w:cs="Open Sans"/>
          <w:sz w:val="20"/>
          <w:szCs w:val="20"/>
        </w:rPr>
      </w:pPr>
      <w:r w:rsidRPr="004E2825">
        <w:rPr>
          <w:rFonts w:ascii="Open Sans" w:hAnsi="Open Sans" w:cs="Open Sans"/>
          <w:sz w:val="20"/>
          <w:szCs w:val="20"/>
          <w:shd w:val="clear" w:color="auto" w:fill="FFFFFF"/>
        </w:rPr>
        <w:t xml:space="preserve">College of Policing (2020) </w:t>
      </w:r>
      <w:r w:rsidRPr="004E2825">
        <w:rPr>
          <w:rFonts w:ascii="Open Sans" w:hAnsi="Open Sans" w:cs="Open Sans"/>
          <w:i/>
          <w:iCs/>
          <w:sz w:val="20"/>
          <w:szCs w:val="20"/>
          <w:shd w:val="clear" w:color="auto" w:fill="FFFFFF"/>
        </w:rPr>
        <w:t xml:space="preserve">Rapport Building. </w:t>
      </w:r>
      <w:r w:rsidRPr="004E2825">
        <w:rPr>
          <w:rFonts w:ascii="Open Sans" w:hAnsi="Open Sans" w:cs="Open Sans"/>
          <w:sz w:val="20"/>
          <w:szCs w:val="20"/>
          <w:shd w:val="clear" w:color="auto" w:fill="FFFFFF"/>
        </w:rPr>
        <w:t xml:space="preserve">Available </w:t>
      </w:r>
      <w:proofErr w:type="gramStart"/>
      <w:r w:rsidRPr="004E2825">
        <w:rPr>
          <w:rFonts w:ascii="Open Sans" w:hAnsi="Open Sans" w:cs="Open Sans"/>
          <w:sz w:val="20"/>
          <w:szCs w:val="20"/>
          <w:shd w:val="clear" w:color="auto" w:fill="FFFFFF"/>
        </w:rPr>
        <w:t>at :</w:t>
      </w:r>
      <w:proofErr w:type="gramEnd"/>
      <w:r w:rsidRPr="004E2825">
        <w:rPr>
          <w:rFonts w:ascii="Open Sans" w:hAnsi="Open Sans" w:cs="Open Sans"/>
          <w:sz w:val="20"/>
          <w:szCs w:val="20"/>
          <w:shd w:val="clear" w:color="auto" w:fill="FFFFFF"/>
        </w:rPr>
        <w:t xml:space="preserve"> </w:t>
      </w:r>
      <w:hyperlink r:id="rId40" w:history="1">
        <w:r w:rsidRPr="004E2825">
          <w:rPr>
            <w:rStyle w:val="Hyperlink"/>
            <w:rFonts w:ascii="Open Sans" w:hAnsi="Open Sans" w:cs="Open Sans"/>
            <w:color w:val="auto"/>
            <w:sz w:val="20"/>
            <w:szCs w:val="20"/>
            <w:shd w:val="clear" w:color="auto" w:fill="FFFFFF"/>
          </w:rPr>
          <w:t>www.college.police.uk/guidance/obtaining-initial-accounts/rapport-building</w:t>
        </w:r>
      </w:hyperlink>
      <w:r w:rsidRPr="004E2825">
        <w:rPr>
          <w:rFonts w:ascii="Open Sans" w:hAnsi="Open Sans" w:cs="Open Sans"/>
          <w:sz w:val="20"/>
          <w:szCs w:val="20"/>
          <w:shd w:val="clear" w:color="auto" w:fill="FFFFFF"/>
        </w:rPr>
        <w:t xml:space="preserve"> (Accessed: 17 March 2022) </w:t>
      </w:r>
    </w:p>
    <w:p w14:paraId="3EDB6515" w14:textId="5A4E7475" w:rsidR="004E2825" w:rsidRPr="004E2825" w:rsidRDefault="004E2825" w:rsidP="004E2825">
      <w:pPr>
        <w:rPr>
          <w:rFonts w:ascii="Open Sans" w:hAnsi="Open Sans" w:cs="Open Sans"/>
          <w:sz w:val="20"/>
          <w:szCs w:val="20"/>
        </w:rPr>
      </w:pPr>
      <w:r w:rsidRPr="004E2825">
        <w:rPr>
          <w:rFonts w:ascii="Open Sans" w:hAnsi="Open Sans" w:cs="Open Sans"/>
          <w:i/>
          <w:iCs/>
          <w:sz w:val="20"/>
          <w:szCs w:val="20"/>
        </w:rPr>
        <w:t>Criminal Procedure and Investigations Act</w:t>
      </w:r>
      <w:r w:rsidRPr="004E2825">
        <w:rPr>
          <w:rFonts w:ascii="Open Sans" w:hAnsi="Open Sans" w:cs="Open Sans"/>
          <w:sz w:val="20"/>
          <w:szCs w:val="20"/>
        </w:rPr>
        <w:t xml:space="preserve"> 1996 (section 23(1)) Code of Practice. Revised in accordance with section 25(4) of the Criminal Procedure and Investigations Act 1996. Available </w:t>
      </w:r>
      <w:proofErr w:type="gramStart"/>
      <w:r w:rsidRPr="004E2825">
        <w:rPr>
          <w:rFonts w:ascii="Open Sans" w:hAnsi="Open Sans" w:cs="Open Sans"/>
          <w:sz w:val="20"/>
          <w:szCs w:val="20"/>
        </w:rPr>
        <w:t>at :</w:t>
      </w:r>
      <w:proofErr w:type="gramEnd"/>
      <w:r w:rsidRPr="004E2825">
        <w:rPr>
          <w:rFonts w:ascii="Open Sans" w:hAnsi="Open Sans" w:cs="Open Sans"/>
          <w:sz w:val="20"/>
          <w:szCs w:val="20"/>
        </w:rPr>
        <w:t xml:space="preserve"> </w:t>
      </w:r>
      <w:hyperlink r:id="rId41" w:history="1">
        <w:r w:rsidRPr="004E2825">
          <w:rPr>
            <w:rStyle w:val="Hyperlink"/>
            <w:rFonts w:ascii="Open Sans" w:hAnsi="Open Sans" w:cs="Open Sans"/>
            <w:color w:val="auto"/>
            <w:sz w:val="20"/>
            <w:szCs w:val="20"/>
          </w:rPr>
          <w:t>www.gov.uk/government/publications/criminal-procedure-and-investigations-act-1996-section-231-code-of-practice</w:t>
        </w:r>
      </w:hyperlink>
      <w:r w:rsidRPr="004E2825">
        <w:rPr>
          <w:rFonts w:ascii="Open Sans" w:hAnsi="Open Sans" w:cs="Open Sans"/>
          <w:sz w:val="20"/>
          <w:szCs w:val="20"/>
        </w:rPr>
        <w:t xml:space="preserve"> (Accessed: 17 March 2022)</w:t>
      </w:r>
    </w:p>
    <w:p w14:paraId="01C19F2A" w14:textId="77777777" w:rsidR="004E2825" w:rsidRPr="004E2825" w:rsidRDefault="004E2825" w:rsidP="004E2825">
      <w:pPr>
        <w:rPr>
          <w:rFonts w:ascii="Open Sans" w:hAnsi="Open Sans" w:cs="Open Sans"/>
          <w:sz w:val="20"/>
          <w:szCs w:val="20"/>
        </w:rPr>
      </w:pPr>
      <w:r w:rsidRPr="004E2825">
        <w:rPr>
          <w:rFonts w:ascii="Open Sans" w:hAnsi="Open Sans" w:cs="Open Sans"/>
          <w:sz w:val="20"/>
          <w:szCs w:val="20"/>
          <w:shd w:val="clear" w:color="auto" w:fill="FFFFFF"/>
        </w:rPr>
        <w:t>Crossen-Tower, C. (2015) ‘The Dynamics of Child Sexual Abuse’ in </w:t>
      </w:r>
      <w:r w:rsidRPr="004E2825">
        <w:rPr>
          <w:rFonts w:ascii="Open Sans" w:hAnsi="Open Sans" w:cs="Open Sans"/>
          <w:i/>
          <w:iCs/>
          <w:sz w:val="20"/>
          <w:szCs w:val="20"/>
          <w:shd w:val="clear" w:color="auto" w:fill="FFFFFF"/>
        </w:rPr>
        <w:t>Confronting Child and Adolescent Sexual Abuse</w:t>
      </w:r>
      <w:r w:rsidRPr="004E2825">
        <w:rPr>
          <w:rFonts w:ascii="Open Sans" w:hAnsi="Open Sans" w:cs="Open Sans"/>
          <w:sz w:val="20"/>
          <w:szCs w:val="20"/>
          <w:shd w:val="clear" w:color="auto" w:fill="FFFFFF"/>
        </w:rPr>
        <w:t xml:space="preserve">. Thousand Oaks: SAGE Publications, Inc, p. 21 DOI: </w:t>
      </w:r>
      <w:r w:rsidRPr="004E2825">
        <w:rPr>
          <w:rFonts w:ascii="Open Sans" w:hAnsi="Open Sans" w:cs="Open Sans"/>
          <w:sz w:val="20"/>
          <w:szCs w:val="20"/>
          <w:u w:val="single"/>
          <w:shd w:val="clear" w:color="auto" w:fill="FFFFFF"/>
        </w:rPr>
        <w:t>10.4135/9781483368788.n2</w:t>
      </w:r>
    </w:p>
    <w:p w14:paraId="7C03BB23" w14:textId="77777777" w:rsidR="004E2825" w:rsidRPr="004E2825" w:rsidRDefault="004E2825" w:rsidP="004E2825">
      <w:pPr>
        <w:rPr>
          <w:rFonts w:ascii="Open Sans" w:hAnsi="Open Sans" w:cs="Open Sans"/>
          <w:sz w:val="20"/>
          <w:szCs w:val="20"/>
        </w:rPr>
      </w:pPr>
      <w:r w:rsidRPr="004E2825">
        <w:rPr>
          <w:rFonts w:ascii="Open Sans" w:hAnsi="Open Sans" w:cs="Open Sans"/>
          <w:sz w:val="20"/>
          <w:szCs w:val="20"/>
        </w:rPr>
        <w:t>Crosson-Tower, C. (2014) </w:t>
      </w:r>
      <w:r w:rsidRPr="004E2825">
        <w:rPr>
          <w:rFonts w:ascii="Open Sans" w:hAnsi="Open Sans" w:cs="Open Sans"/>
          <w:i/>
          <w:iCs/>
          <w:sz w:val="20"/>
          <w:szCs w:val="20"/>
        </w:rPr>
        <w:t>Confronting Child and Adolescent Sexual Abuse</w:t>
      </w:r>
      <w:r w:rsidRPr="004E2825">
        <w:rPr>
          <w:rFonts w:ascii="Open Sans" w:hAnsi="Open Sans" w:cs="Open Sans"/>
          <w:sz w:val="20"/>
          <w:szCs w:val="20"/>
        </w:rPr>
        <w:t xml:space="preserve">. United States: SAGE Publications. p. 22. </w:t>
      </w:r>
    </w:p>
    <w:p w14:paraId="362F265A" w14:textId="77777777" w:rsidR="004E2825" w:rsidRPr="004E2825" w:rsidRDefault="004E2825" w:rsidP="004E2825">
      <w:pPr>
        <w:rPr>
          <w:rFonts w:ascii="Open Sans" w:hAnsi="Open Sans" w:cs="Open Sans"/>
          <w:sz w:val="20"/>
          <w:szCs w:val="20"/>
        </w:rPr>
      </w:pPr>
      <w:r w:rsidRPr="004E2825">
        <w:rPr>
          <w:rFonts w:ascii="Open Sans" w:hAnsi="Open Sans" w:cs="Open Sans"/>
          <w:sz w:val="20"/>
          <w:szCs w:val="20"/>
        </w:rPr>
        <w:t xml:space="preserve">Davies, E. A. &amp; Jones, A. C. (2013) Risk factors in child sexual abuse, </w:t>
      </w:r>
      <w:r w:rsidRPr="004E2825">
        <w:rPr>
          <w:rFonts w:ascii="Open Sans" w:hAnsi="Open Sans" w:cs="Open Sans"/>
          <w:i/>
          <w:iCs/>
          <w:sz w:val="20"/>
          <w:szCs w:val="20"/>
        </w:rPr>
        <w:t xml:space="preserve">Journal of Forensic and Legal Medicine, </w:t>
      </w:r>
      <w:r w:rsidRPr="004E2825">
        <w:rPr>
          <w:rFonts w:ascii="Open Sans" w:hAnsi="Open Sans" w:cs="Open Sans"/>
          <w:sz w:val="20"/>
          <w:szCs w:val="20"/>
        </w:rPr>
        <w:t xml:space="preserve">[E-journal] Vol 20, Issue 3, pp, 146, 149. Available </w:t>
      </w:r>
      <w:proofErr w:type="gramStart"/>
      <w:r w:rsidRPr="004E2825">
        <w:rPr>
          <w:rFonts w:ascii="Open Sans" w:hAnsi="Open Sans" w:cs="Open Sans"/>
          <w:sz w:val="20"/>
          <w:szCs w:val="20"/>
        </w:rPr>
        <w:t>at :</w:t>
      </w:r>
      <w:proofErr w:type="gramEnd"/>
      <w:r w:rsidRPr="004E2825">
        <w:rPr>
          <w:rFonts w:ascii="Open Sans" w:hAnsi="Open Sans" w:cs="Open Sans"/>
          <w:sz w:val="20"/>
          <w:szCs w:val="20"/>
        </w:rPr>
        <w:t xml:space="preserve"> </w:t>
      </w:r>
      <w:hyperlink r:id="rId42" w:history="1">
        <w:r w:rsidRPr="004E2825">
          <w:rPr>
            <w:rStyle w:val="Hyperlink"/>
            <w:rFonts w:ascii="Open Sans" w:hAnsi="Open Sans" w:cs="Open Sans"/>
            <w:color w:val="auto"/>
            <w:sz w:val="20"/>
            <w:szCs w:val="20"/>
          </w:rPr>
          <w:t>DOI: 10.1016/j.jflm.2012.06.005</w:t>
        </w:r>
      </w:hyperlink>
      <w:r w:rsidRPr="004E2825">
        <w:rPr>
          <w:rFonts w:ascii="Open Sans" w:hAnsi="Open Sans" w:cs="Open Sans"/>
          <w:sz w:val="20"/>
          <w:szCs w:val="20"/>
          <w:u w:val="single"/>
        </w:rPr>
        <w:t>.</w:t>
      </w:r>
      <w:r w:rsidRPr="004E2825">
        <w:rPr>
          <w:rFonts w:ascii="Open Sans" w:hAnsi="Open Sans" w:cs="Open Sans"/>
          <w:sz w:val="20"/>
          <w:szCs w:val="20"/>
        </w:rPr>
        <w:t xml:space="preserve"> </w:t>
      </w:r>
    </w:p>
    <w:p w14:paraId="49DF262F" w14:textId="77777777" w:rsidR="004E2825" w:rsidRPr="004E2825" w:rsidRDefault="004E2825" w:rsidP="004E2825">
      <w:pPr>
        <w:rPr>
          <w:rFonts w:ascii="Open Sans" w:hAnsi="Open Sans" w:cs="Open Sans"/>
          <w:sz w:val="20"/>
          <w:szCs w:val="20"/>
        </w:rPr>
      </w:pPr>
      <w:r w:rsidRPr="004E2825">
        <w:rPr>
          <w:rFonts w:ascii="Open Sans" w:hAnsi="Open Sans" w:cs="Open Sans"/>
          <w:sz w:val="20"/>
          <w:szCs w:val="20"/>
        </w:rPr>
        <w:t xml:space="preserve">Dwyer, E. &amp; Rogstad, K. (2022) Safeguarding, child sexual exploitation and sexual assault, </w:t>
      </w:r>
      <w:r w:rsidRPr="004E2825">
        <w:rPr>
          <w:rFonts w:ascii="Open Sans" w:hAnsi="Open Sans" w:cs="Open Sans"/>
          <w:i/>
          <w:iCs/>
          <w:sz w:val="20"/>
          <w:szCs w:val="20"/>
        </w:rPr>
        <w:t>Medicine</w:t>
      </w:r>
      <w:r w:rsidRPr="004E2825">
        <w:rPr>
          <w:rFonts w:ascii="Open Sans" w:hAnsi="Open Sans" w:cs="Open Sans"/>
          <w:sz w:val="20"/>
          <w:szCs w:val="20"/>
        </w:rPr>
        <w:t xml:space="preserve">, [E-journal]. Available </w:t>
      </w:r>
      <w:proofErr w:type="gramStart"/>
      <w:r w:rsidRPr="004E2825">
        <w:rPr>
          <w:rFonts w:ascii="Open Sans" w:hAnsi="Open Sans" w:cs="Open Sans"/>
          <w:sz w:val="20"/>
          <w:szCs w:val="20"/>
        </w:rPr>
        <w:t>at :</w:t>
      </w:r>
      <w:proofErr w:type="gramEnd"/>
      <w:r w:rsidRPr="004E2825">
        <w:rPr>
          <w:rFonts w:ascii="Open Sans" w:hAnsi="Open Sans" w:cs="Open Sans"/>
          <w:sz w:val="20"/>
          <w:szCs w:val="20"/>
        </w:rPr>
        <w:t xml:space="preserve">  </w:t>
      </w:r>
      <w:hyperlink r:id="rId43" w:history="1">
        <w:r w:rsidRPr="004E2825">
          <w:rPr>
            <w:rFonts w:ascii="Open Sans" w:hAnsi="Open Sans" w:cs="Open Sans"/>
            <w:sz w:val="20"/>
            <w:szCs w:val="20"/>
          </w:rPr>
          <w:t xml:space="preserve">DOI: </w:t>
        </w:r>
        <w:r w:rsidRPr="004E2825">
          <w:rPr>
            <w:rStyle w:val="Hyperlink"/>
            <w:rFonts w:ascii="Open Sans" w:hAnsi="Open Sans" w:cs="Open Sans"/>
            <w:color w:val="auto"/>
            <w:sz w:val="20"/>
            <w:szCs w:val="20"/>
          </w:rPr>
          <w:t>0.1016/j.mpmed.2022.01.009</w:t>
        </w:r>
      </w:hyperlink>
      <w:r w:rsidRPr="004E2825">
        <w:rPr>
          <w:rFonts w:ascii="Open Sans" w:hAnsi="Open Sans" w:cs="Open Sans"/>
          <w:sz w:val="20"/>
          <w:szCs w:val="20"/>
        </w:rPr>
        <w:t>. (Accessed: 15 March 2022)</w:t>
      </w:r>
    </w:p>
    <w:p w14:paraId="10C8AA99" w14:textId="25989C27" w:rsidR="004E2825" w:rsidRPr="004E2825" w:rsidRDefault="004E2825" w:rsidP="004E2825">
      <w:pPr>
        <w:rPr>
          <w:rFonts w:ascii="Open Sans" w:hAnsi="Open Sans" w:cs="Open Sans"/>
          <w:sz w:val="20"/>
          <w:szCs w:val="20"/>
        </w:rPr>
      </w:pPr>
      <w:r w:rsidRPr="004E2825">
        <w:rPr>
          <w:rFonts w:ascii="Open Sans" w:hAnsi="Open Sans" w:cs="Open Sans"/>
          <w:i/>
          <w:iCs/>
          <w:sz w:val="20"/>
          <w:szCs w:val="20"/>
        </w:rPr>
        <w:t>European Court of Human Rights</w:t>
      </w:r>
      <w:r w:rsidRPr="004E2825">
        <w:rPr>
          <w:rFonts w:ascii="Open Sans" w:hAnsi="Open Sans" w:cs="Open Sans"/>
          <w:sz w:val="20"/>
          <w:szCs w:val="20"/>
        </w:rPr>
        <w:t xml:space="preserve"> 1998. Article 6 Right to a fair trial. Available </w:t>
      </w:r>
      <w:proofErr w:type="gramStart"/>
      <w:r w:rsidRPr="004E2825">
        <w:rPr>
          <w:rFonts w:ascii="Open Sans" w:hAnsi="Open Sans" w:cs="Open Sans"/>
          <w:sz w:val="20"/>
          <w:szCs w:val="20"/>
        </w:rPr>
        <w:t>at :</w:t>
      </w:r>
      <w:proofErr w:type="gramEnd"/>
      <w:r w:rsidRPr="004E2825">
        <w:rPr>
          <w:rFonts w:ascii="Open Sans" w:hAnsi="Open Sans" w:cs="Open Sans"/>
          <w:sz w:val="20"/>
          <w:szCs w:val="20"/>
        </w:rPr>
        <w:t xml:space="preserve"> </w:t>
      </w:r>
      <w:hyperlink r:id="rId44" w:history="1">
        <w:r w:rsidRPr="004E2825">
          <w:rPr>
            <w:rStyle w:val="Hyperlink"/>
            <w:rFonts w:ascii="Open Sans" w:hAnsi="Open Sans" w:cs="Open Sans"/>
            <w:color w:val="auto"/>
            <w:sz w:val="20"/>
            <w:szCs w:val="20"/>
          </w:rPr>
          <w:t>www.echr.coe.int/documents/guide_art_6_criminal_eng</w:t>
        </w:r>
      </w:hyperlink>
      <w:r w:rsidRPr="004E2825">
        <w:rPr>
          <w:rStyle w:val="Hyperlink"/>
          <w:rFonts w:ascii="Open Sans" w:hAnsi="Open Sans" w:cs="Open Sans"/>
          <w:color w:val="auto"/>
          <w:sz w:val="20"/>
          <w:szCs w:val="20"/>
        </w:rPr>
        <w:t>.pdf</w:t>
      </w:r>
      <w:r w:rsidRPr="004E2825">
        <w:rPr>
          <w:rFonts w:ascii="Open Sans" w:hAnsi="Open Sans" w:cs="Open Sans"/>
          <w:sz w:val="20"/>
          <w:szCs w:val="20"/>
        </w:rPr>
        <w:t xml:space="preserve"> [pdf] (Accessed: 17 March 2022). Article 8 Right to respect for private and family life, home and correspondence. Available </w:t>
      </w:r>
      <w:proofErr w:type="gramStart"/>
      <w:r w:rsidRPr="004E2825">
        <w:rPr>
          <w:rFonts w:ascii="Open Sans" w:hAnsi="Open Sans" w:cs="Open Sans"/>
          <w:sz w:val="20"/>
          <w:szCs w:val="20"/>
        </w:rPr>
        <w:t>at :</w:t>
      </w:r>
      <w:proofErr w:type="gramEnd"/>
      <w:r w:rsidRPr="004E2825">
        <w:rPr>
          <w:rFonts w:ascii="Open Sans" w:hAnsi="Open Sans" w:cs="Open Sans"/>
          <w:sz w:val="20"/>
          <w:szCs w:val="20"/>
        </w:rPr>
        <w:t xml:space="preserve"> </w:t>
      </w:r>
      <w:hyperlink r:id="rId45" w:history="1">
        <w:r w:rsidRPr="004E2825">
          <w:rPr>
            <w:rStyle w:val="Hyperlink"/>
            <w:rFonts w:ascii="Open Sans" w:hAnsi="Open Sans" w:cs="Open Sans"/>
            <w:color w:val="auto"/>
            <w:sz w:val="20"/>
            <w:szCs w:val="20"/>
          </w:rPr>
          <w:t>www.echr.coe.int/documents/guide_art_8_eng.pdf</w:t>
        </w:r>
      </w:hyperlink>
      <w:r w:rsidRPr="004E2825">
        <w:rPr>
          <w:rFonts w:ascii="Open Sans" w:hAnsi="Open Sans" w:cs="Open Sans"/>
          <w:sz w:val="20"/>
          <w:szCs w:val="20"/>
        </w:rPr>
        <w:t xml:space="preserve"> [pdf] (Accessed: 31</w:t>
      </w:r>
      <w:r w:rsidRPr="004E2825">
        <w:rPr>
          <w:rFonts w:ascii="Open Sans" w:hAnsi="Open Sans" w:cs="Open Sans"/>
          <w:sz w:val="20"/>
          <w:szCs w:val="20"/>
          <w:vertAlign w:val="superscript"/>
        </w:rPr>
        <w:t>st</w:t>
      </w:r>
      <w:r w:rsidRPr="004E2825">
        <w:rPr>
          <w:rFonts w:ascii="Open Sans" w:hAnsi="Open Sans" w:cs="Open Sans"/>
          <w:sz w:val="20"/>
          <w:szCs w:val="20"/>
        </w:rPr>
        <w:t xml:space="preserve"> March 2022). Article 9 Freedom of thought, conscience and religion. Available at </w:t>
      </w:r>
      <w:hyperlink r:id="rId46" w:history="1">
        <w:r w:rsidRPr="004E2825">
          <w:rPr>
            <w:rStyle w:val="Hyperlink"/>
            <w:rFonts w:ascii="Open Sans" w:hAnsi="Open Sans" w:cs="Open Sans"/>
            <w:color w:val="auto"/>
            <w:sz w:val="20"/>
            <w:szCs w:val="20"/>
          </w:rPr>
          <w:t>www.echr.coe.int/Documents/Guide_Art_9_ENG.pdf</w:t>
        </w:r>
      </w:hyperlink>
      <w:r w:rsidRPr="004E2825">
        <w:rPr>
          <w:rFonts w:ascii="Open Sans" w:hAnsi="Open Sans" w:cs="Open Sans"/>
          <w:sz w:val="20"/>
          <w:szCs w:val="20"/>
        </w:rPr>
        <w:t xml:space="preserve"> [pdf] (Accessed: 31</w:t>
      </w:r>
      <w:r w:rsidRPr="004E2825">
        <w:rPr>
          <w:rFonts w:ascii="Open Sans" w:hAnsi="Open Sans" w:cs="Open Sans"/>
          <w:sz w:val="20"/>
          <w:szCs w:val="20"/>
          <w:vertAlign w:val="superscript"/>
        </w:rPr>
        <w:t>st</w:t>
      </w:r>
      <w:r w:rsidRPr="004E2825">
        <w:rPr>
          <w:rFonts w:ascii="Open Sans" w:hAnsi="Open Sans" w:cs="Open Sans"/>
          <w:sz w:val="20"/>
          <w:szCs w:val="20"/>
        </w:rPr>
        <w:t xml:space="preserve"> March 2022)</w:t>
      </w:r>
    </w:p>
    <w:p w14:paraId="7D457B08" w14:textId="77777777" w:rsidR="004E2825" w:rsidRPr="004E2825" w:rsidRDefault="004E2825" w:rsidP="004E2825">
      <w:pPr>
        <w:rPr>
          <w:rFonts w:ascii="Open Sans" w:hAnsi="Open Sans" w:cs="Open Sans"/>
          <w:sz w:val="20"/>
          <w:szCs w:val="20"/>
        </w:rPr>
      </w:pPr>
      <w:proofErr w:type="spellStart"/>
      <w:r w:rsidRPr="004E2825">
        <w:rPr>
          <w:rFonts w:ascii="Open Sans" w:hAnsi="Open Sans" w:cs="Open Sans"/>
          <w:sz w:val="20"/>
          <w:szCs w:val="20"/>
          <w:shd w:val="clear" w:color="auto" w:fill="FFFFFF"/>
        </w:rPr>
        <w:t>Fahsing</w:t>
      </w:r>
      <w:proofErr w:type="spellEnd"/>
      <w:r w:rsidRPr="004E2825">
        <w:rPr>
          <w:rFonts w:ascii="Open Sans" w:hAnsi="Open Sans" w:cs="Open Sans"/>
          <w:sz w:val="20"/>
          <w:szCs w:val="20"/>
          <w:shd w:val="clear" w:color="auto" w:fill="FFFFFF"/>
        </w:rPr>
        <w:t>, I., Ask, K. (2016) The making of an expert detective: the role of experience in English and Norwegian police officers’ investigative decision-making. </w:t>
      </w:r>
      <w:r w:rsidRPr="004E2825">
        <w:rPr>
          <w:rFonts w:ascii="Open Sans" w:hAnsi="Open Sans" w:cs="Open Sans"/>
          <w:i/>
          <w:iCs/>
          <w:sz w:val="20"/>
          <w:szCs w:val="20"/>
          <w:shd w:val="clear" w:color="auto" w:fill="FFFFFF"/>
        </w:rPr>
        <w:t>Psychology, Crime &amp; Law</w:t>
      </w:r>
      <w:r w:rsidRPr="004E2825">
        <w:rPr>
          <w:rFonts w:ascii="Open Sans" w:hAnsi="Open Sans" w:cs="Open Sans"/>
          <w:sz w:val="20"/>
          <w:szCs w:val="20"/>
          <w:shd w:val="clear" w:color="auto" w:fill="FFFFFF"/>
        </w:rPr>
        <w:t>, [E-journal] 22:3, pp. 203-223, Available at: DOI: </w:t>
      </w:r>
      <w:hyperlink r:id="rId47" w:history="1">
        <w:r w:rsidRPr="004E2825">
          <w:rPr>
            <w:rFonts w:ascii="Open Sans" w:hAnsi="Open Sans" w:cs="Open Sans"/>
            <w:sz w:val="20"/>
            <w:szCs w:val="20"/>
            <w:u w:val="single"/>
            <w:shd w:val="clear" w:color="auto" w:fill="FFFFFF"/>
          </w:rPr>
          <w:t>10.1080/1068316X.2015.1077249</w:t>
        </w:r>
      </w:hyperlink>
    </w:p>
    <w:p w14:paraId="6D8DDEBC" w14:textId="77777777" w:rsidR="004E2825" w:rsidRPr="004E2825" w:rsidRDefault="004E2825" w:rsidP="004E2825">
      <w:pPr>
        <w:rPr>
          <w:rFonts w:ascii="Open Sans" w:hAnsi="Open Sans" w:cs="Open Sans"/>
          <w:sz w:val="20"/>
          <w:szCs w:val="20"/>
        </w:rPr>
      </w:pPr>
      <w:proofErr w:type="spellStart"/>
      <w:r w:rsidRPr="004E2825">
        <w:rPr>
          <w:rFonts w:ascii="Open Sans" w:hAnsi="Open Sans" w:cs="Open Sans"/>
          <w:sz w:val="20"/>
          <w:szCs w:val="20"/>
        </w:rPr>
        <w:t>Finklehor</w:t>
      </w:r>
      <w:proofErr w:type="spellEnd"/>
      <w:r w:rsidRPr="004E2825">
        <w:rPr>
          <w:rFonts w:ascii="Open Sans" w:hAnsi="Open Sans" w:cs="Open Sans"/>
          <w:sz w:val="20"/>
          <w:szCs w:val="20"/>
        </w:rPr>
        <w:t xml:space="preserve">, D. (2015) Developmental Victimology Lecture with </w:t>
      </w:r>
      <w:proofErr w:type="spellStart"/>
      <w:r w:rsidRPr="004E2825">
        <w:rPr>
          <w:rFonts w:ascii="Open Sans" w:hAnsi="Open Sans" w:cs="Open Sans"/>
          <w:sz w:val="20"/>
          <w:szCs w:val="20"/>
        </w:rPr>
        <w:t>Dr.</w:t>
      </w:r>
      <w:proofErr w:type="spellEnd"/>
      <w:r w:rsidRPr="004E2825">
        <w:rPr>
          <w:rFonts w:ascii="Open Sans" w:hAnsi="Open Sans" w:cs="Open Sans"/>
          <w:sz w:val="20"/>
          <w:szCs w:val="20"/>
        </w:rPr>
        <w:t xml:space="preserve"> David </w:t>
      </w:r>
      <w:proofErr w:type="spellStart"/>
      <w:r w:rsidRPr="004E2825">
        <w:rPr>
          <w:rFonts w:ascii="Open Sans" w:hAnsi="Open Sans" w:cs="Open Sans"/>
          <w:sz w:val="20"/>
          <w:szCs w:val="20"/>
        </w:rPr>
        <w:t>Finkelhor</w:t>
      </w:r>
      <w:proofErr w:type="spellEnd"/>
      <w:r w:rsidRPr="004E2825">
        <w:rPr>
          <w:rFonts w:ascii="Open Sans" w:hAnsi="Open Sans" w:cs="Open Sans"/>
          <w:sz w:val="20"/>
          <w:szCs w:val="20"/>
        </w:rPr>
        <w:t xml:space="preserve">. [video] Available at </w:t>
      </w:r>
      <w:hyperlink r:id="rId48" w:history="1">
        <w:r w:rsidRPr="004E2825">
          <w:rPr>
            <w:rStyle w:val="Hyperlink"/>
            <w:rFonts w:ascii="Open Sans" w:hAnsi="Open Sans" w:cs="Open Sans"/>
            <w:color w:val="auto"/>
            <w:sz w:val="20"/>
            <w:szCs w:val="20"/>
          </w:rPr>
          <w:t>https://www.youtube.com/watch?v=XsoYh5WF2Yc</w:t>
        </w:r>
      </w:hyperlink>
      <w:r w:rsidRPr="004E2825">
        <w:rPr>
          <w:rFonts w:ascii="Open Sans" w:hAnsi="Open Sans" w:cs="Open Sans"/>
          <w:sz w:val="20"/>
          <w:szCs w:val="20"/>
        </w:rPr>
        <w:t xml:space="preserve"> (Accessed: 10 March 2022)</w:t>
      </w:r>
    </w:p>
    <w:p w14:paraId="76A6C3CF" w14:textId="77777777" w:rsidR="004E2825" w:rsidRPr="004E2825" w:rsidRDefault="004E2825" w:rsidP="004E2825">
      <w:pPr>
        <w:rPr>
          <w:rFonts w:ascii="Open Sans" w:hAnsi="Open Sans" w:cs="Open Sans"/>
          <w:sz w:val="20"/>
          <w:szCs w:val="20"/>
        </w:rPr>
      </w:pPr>
      <w:r w:rsidRPr="004E2825">
        <w:rPr>
          <w:rFonts w:ascii="Open Sans" w:hAnsi="Open Sans" w:cs="Open Sans"/>
          <w:sz w:val="20"/>
          <w:szCs w:val="20"/>
          <w:shd w:val="clear" w:color="auto" w:fill="FFFFFF"/>
        </w:rPr>
        <w:t>Fontes, L. A., Plummer, C. (2010) Cultural Issues in Disclosures of Child Sexual Abuse, </w:t>
      </w:r>
      <w:r w:rsidRPr="004E2825">
        <w:rPr>
          <w:rFonts w:ascii="Open Sans" w:hAnsi="Open Sans" w:cs="Open Sans"/>
          <w:i/>
          <w:iCs/>
          <w:sz w:val="20"/>
          <w:szCs w:val="20"/>
          <w:shd w:val="clear" w:color="auto" w:fill="FFFFFF"/>
        </w:rPr>
        <w:t>Journal of Child Sexual Abuse</w:t>
      </w:r>
      <w:r w:rsidRPr="004E2825">
        <w:rPr>
          <w:rFonts w:ascii="Open Sans" w:hAnsi="Open Sans" w:cs="Open Sans"/>
          <w:sz w:val="20"/>
          <w:szCs w:val="20"/>
          <w:shd w:val="clear" w:color="auto" w:fill="FFFFFF"/>
        </w:rPr>
        <w:t>, [E-journal] 19:5, pp. 494-496, Available at: DOI: </w:t>
      </w:r>
      <w:hyperlink r:id="rId49" w:history="1">
        <w:r w:rsidRPr="004E2825">
          <w:rPr>
            <w:rFonts w:ascii="Open Sans" w:hAnsi="Open Sans" w:cs="Open Sans"/>
            <w:sz w:val="20"/>
            <w:szCs w:val="20"/>
            <w:u w:val="single"/>
            <w:shd w:val="clear" w:color="auto" w:fill="FFFFFF"/>
          </w:rPr>
          <w:t>10.1080/10538712.2010.512520</w:t>
        </w:r>
      </w:hyperlink>
    </w:p>
    <w:p w14:paraId="76B2E397" w14:textId="77777777" w:rsidR="004E2825" w:rsidRPr="004E2825" w:rsidRDefault="004E2825" w:rsidP="004E2825">
      <w:pPr>
        <w:rPr>
          <w:rFonts w:ascii="Open Sans" w:hAnsi="Open Sans" w:cs="Open Sans"/>
          <w:sz w:val="20"/>
          <w:szCs w:val="20"/>
        </w:rPr>
      </w:pPr>
      <w:r w:rsidRPr="004E2825">
        <w:rPr>
          <w:rFonts w:ascii="Open Sans" w:hAnsi="Open Sans" w:cs="Open Sans"/>
          <w:sz w:val="20"/>
          <w:szCs w:val="20"/>
          <w:shd w:val="clear" w:color="auto" w:fill="FFFFFF"/>
        </w:rPr>
        <w:t>Gauthier S. (2009) Police release with conditions of the accused in cases of domestic violence in Montreal, Canada. </w:t>
      </w:r>
      <w:r w:rsidRPr="004E2825">
        <w:rPr>
          <w:rFonts w:ascii="Open Sans" w:hAnsi="Open Sans" w:cs="Open Sans"/>
          <w:i/>
          <w:iCs/>
          <w:sz w:val="20"/>
          <w:szCs w:val="20"/>
          <w:shd w:val="clear" w:color="auto" w:fill="FFFFFF"/>
        </w:rPr>
        <w:t>Criminology &amp; Criminal Justice</w:t>
      </w:r>
      <w:r w:rsidRPr="004E2825">
        <w:rPr>
          <w:rFonts w:ascii="Open Sans" w:hAnsi="Open Sans" w:cs="Open Sans"/>
          <w:sz w:val="20"/>
          <w:szCs w:val="20"/>
          <w:shd w:val="clear" w:color="auto" w:fill="FFFFFF"/>
        </w:rPr>
        <w:t xml:space="preserve">.  [E-journal] 9(1) p. 62. Available </w:t>
      </w:r>
      <w:proofErr w:type="gramStart"/>
      <w:r w:rsidRPr="004E2825">
        <w:rPr>
          <w:rFonts w:ascii="Open Sans" w:hAnsi="Open Sans" w:cs="Open Sans"/>
          <w:sz w:val="20"/>
          <w:szCs w:val="20"/>
          <w:shd w:val="clear" w:color="auto" w:fill="FFFFFF"/>
        </w:rPr>
        <w:t>at :</w:t>
      </w:r>
      <w:proofErr w:type="gramEnd"/>
      <w:r w:rsidRPr="004E2825">
        <w:rPr>
          <w:rFonts w:ascii="Open Sans" w:hAnsi="Open Sans" w:cs="Open Sans"/>
          <w:sz w:val="20"/>
          <w:szCs w:val="20"/>
          <w:shd w:val="clear" w:color="auto" w:fill="FFFFFF"/>
        </w:rPr>
        <w:t xml:space="preserve"> DOI:</w:t>
      </w:r>
      <w:hyperlink r:id="rId50" w:history="1">
        <w:r w:rsidRPr="004E2825">
          <w:rPr>
            <w:rFonts w:ascii="Open Sans" w:hAnsi="Open Sans" w:cs="Open Sans"/>
            <w:sz w:val="20"/>
            <w:szCs w:val="20"/>
            <w:u w:val="single"/>
            <w:shd w:val="clear" w:color="auto" w:fill="FFFFFF"/>
          </w:rPr>
          <w:t>10.1177/1748895808099180</w:t>
        </w:r>
      </w:hyperlink>
    </w:p>
    <w:p w14:paraId="47D220C0" w14:textId="77777777" w:rsidR="004E2825" w:rsidRPr="004E2825" w:rsidRDefault="004E2825" w:rsidP="004E2825">
      <w:pPr>
        <w:rPr>
          <w:rFonts w:ascii="Open Sans" w:hAnsi="Open Sans" w:cs="Open Sans"/>
          <w:sz w:val="20"/>
          <w:szCs w:val="20"/>
        </w:rPr>
      </w:pPr>
      <w:r w:rsidRPr="004E2825">
        <w:rPr>
          <w:rFonts w:ascii="Open Sans" w:hAnsi="Open Sans" w:cs="Open Sans"/>
          <w:sz w:val="20"/>
          <w:szCs w:val="20"/>
          <w:shd w:val="clear" w:color="auto" w:fill="FFFFFF"/>
        </w:rPr>
        <w:t xml:space="preserve">Harper, C. (2020) </w:t>
      </w:r>
      <w:proofErr w:type="spellStart"/>
      <w:r w:rsidRPr="004E2825">
        <w:rPr>
          <w:rFonts w:ascii="Open Sans" w:hAnsi="Open Sans" w:cs="Open Sans"/>
          <w:sz w:val="20"/>
          <w:szCs w:val="20"/>
          <w:shd w:val="clear" w:color="auto" w:fill="FFFFFF"/>
        </w:rPr>
        <w:t>Finkelhor’s</w:t>
      </w:r>
      <w:proofErr w:type="spellEnd"/>
      <w:r w:rsidRPr="004E2825">
        <w:rPr>
          <w:rFonts w:ascii="Open Sans" w:hAnsi="Open Sans" w:cs="Open Sans"/>
          <w:sz w:val="20"/>
          <w:szCs w:val="20"/>
          <w:shd w:val="clear" w:color="auto" w:fill="FFFFFF"/>
        </w:rPr>
        <w:t xml:space="preserve"> Four Preconditions Model. [video]. Available at: </w:t>
      </w:r>
      <w:hyperlink r:id="rId51" w:history="1">
        <w:r w:rsidRPr="004E2825">
          <w:rPr>
            <w:rStyle w:val="Hyperlink"/>
            <w:rFonts w:ascii="Open Sans" w:hAnsi="Open Sans" w:cs="Open Sans"/>
            <w:color w:val="auto"/>
            <w:sz w:val="20"/>
            <w:szCs w:val="20"/>
            <w:shd w:val="clear" w:color="auto" w:fill="FFFFFF"/>
          </w:rPr>
          <w:t>https://www.youtube.com/watch?v=EFUbXlhltyk</w:t>
        </w:r>
      </w:hyperlink>
      <w:r w:rsidRPr="004E2825">
        <w:rPr>
          <w:rFonts w:ascii="Open Sans" w:hAnsi="Open Sans" w:cs="Open Sans"/>
          <w:sz w:val="20"/>
          <w:szCs w:val="20"/>
          <w:shd w:val="clear" w:color="auto" w:fill="FFFFFF"/>
        </w:rPr>
        <w:t xml:space="preserve"> (Accessed: 10 March 2022) </w:t>
      </w:r>
    </w:p>
    <w:p w14:paraId="633F3A31" w14:textId="77777777" w:rsidR="004E2825" w:rsidRPr="004E2825" w:rsidRDefault="004E2825" w:rsidP="004E2825">
      <w:pPr>
        <w:shd w:val="clear" w:color="auto" w:fill="FFFFFF"/>
        <w:spacing w:after="0" w:line="240" w:lineRule="auto"/>
        <w:rPr>
          <w:rFonts w:ascii="Open Sans" w:hAnsi="Open Sans" w:cs="Open Sans"/>
          <w:sz w:val="20"/>
          <w:szCs w:val="20"/>
        </w:rPr>
      </w:pPr>
      <w:proofErr w:type="spellStart"/>
      <w:r w:rsidRPr="004E2825">
        <w:rPr>
          <w:rFonts w:ascii="Open Sans" w:eastAsia="Times New Roman" w:hAnsi="Open Sans" w:cs="Open Sans"/>
          <w:sz w:val="20"/>
          <w:szCs w:val="20"/>
          <w:lang w:eastAsia="en-GB"/>
        </w:rPr>
        <w:t>Higheagle</w:t>
      </w:r>
      <w:proofErr w:type="spellEnd"/>
      <w:r w:rsidRPr="004E2825">
        <w:rPr>
          <w:rFonts w:ascii="Open Sans" w:eastAsia="Times New Roman" w:hAnsi="Open Sans" w:cs="Open Sans"/>
          <w:sz w:val="20"/>
          <w:szCs w:val="20"/>
          <w:lang w:eastAsia="en-GB"/>
        </w:rPr>
        <w:t xml:space="preserve"> Strong, Z., McMain, E.M., Frey, K.S., Wong, R.M., Dai, S., </w:t>
      </w:r>
      <w:proofErr w:type="spellStart"/>
      <w:r w:rsidRPr="004E2825">
        <w:rPr>
          <w:rFonts w:ascii="Open Sans" w:eastAsia="Times New Roman" w:hAnsi="Open Sans" w:cs="Open Sans"/>
          <w:sz w:val="20"/>
          <w:szCs w:val="20"/>
          <w:lang w:eastAsia="en-GB"/>
        </w:rPr>
        <w:t>Jin</w:t>
      </w:r>
      <w:proofErr w:type="spellEnd"/>
      <w:r w:rsidRPr="004E2825">
        <w:rPr>
          <w:rFonts w:ascii="Open Sans" w:eastAsia="Times New Roman" w:hAnsi="Open Sans" w:cs="Open Sans"/>
          <w:sz w:val="20"/>
          <w:szCs w:val="20"/>
          <w:lang w:eastAsia="en-GB"/>
        </w:rPr>
        <w:t>, G. (2020) Ethnically Diverse Adolescents Recount Third-Party Actions That Amplify Their Anger and Calm Their Emotions After Perceived Victimization. </w:t>
      </w:r>
      <w:r w:rsidRPr="004E2825">
        <w:rPr>
          <w:rFonts w:ascii="Open Sans" w:eastAsia="Times New Roman" w:hAnsi="Open Sans" w:cs="Open Sans"/>
          <w:i/>
          <w:iCs/>
          <w:sz w:val="20"/>
          <w:szCs w:val="20"/>
          <w:lang w:eastAsia="en-GB"/>
        </w:rPr>
        <w:t>Journal of Adolescent Research</w:t>
      </w:r>
      <w:r w:rsidRPr="004E2825">
        <w:rPr>
          <w:rFonts w:ascii="Open Sans" w:eastAsia="Times New Roman" w:hAnsi="Open Sans" w:cs="Open Sans"/>
          <w:sz w:val="20"/>
          <w:szCs w:val="20"/>
          <w:lang w:eastAsia="en-GB"/>
        </w:rPr>
        <w:t>. [E-journal] 35(4) pp. 472-473. Available at doi:</w:t>
      </w:r>
      <w:hyperlink r:id="rId52" w:history="1">
        <w:r w:rsidRPr="004E2825">
          <w:rPr>
            <w:rFonts w:ascii="Open Sans" w:eastAsia="Times New Roman" w:hAnsi="Open Sans" w:cs="Open Sans"/>
            <w:sz w:val="20"/>
            <w:szCs w:val="20"/>
            <w:u w:val="single"/>
            <w:lang w:eastAsia="en-GB"/>
          </w:rPr>
          <w:t>10.1177/0743558419864021</w:t>
        </w:r>
      </w:hyperlink>
    </w:p>
    <w:p w14:paraId="7998D857" w14:textId="77777777" w:rsidR="001F49D2" w:rsidRDefault="001F49D2" w:rsidP="004E2825">
      <w:pPr>
        <w:rPr>
          <w:rFonts w:ascii="Open Sans" w:hAnsi="Open Sans" w:cs="Open Sans"/>
          <w:spacing w:val="4"/>
          <w:sz w:val="20"/>
          <w:szCs w:val="20"/>
          <w:shd w:val="clear" w:color="auto" w:fill="FCFCFC"/>
        </w:rPr>
      </w:pPr>
    </w:p>
    <w:p w14:paraId="0BA85ED8" w14:textId="5FEF478D" w:rsidR="004E2825" w:rsidRPr="004E2825" w:rsidRDefault="004E2825" w:rsidP="004E2825">
      <w:pPr>
        <w:rPr>
          <w:rFonts w:ascii="Open Sans" w:hAnsi="Open Sans" w:cs="Open Sans"/>
          <w:sz w:val="20"/>
          <w:szCs w:val="20"/>
        </w:rPr>
      </w:pPr>
      <w:proofErr w:type="spellStart"/>
      <w:r w:rsidRPr="004E2825">
        <w:rPr>
          <w:rFonts w:ascii="Open Sans" w:hAnsi="Open Sans" w:cs="Open Sans"/>
          <w:spacing w:val="4"/>
          <w:sz w:val="20"/>
          <w:szCs w:val="20"/>
          <w:shd w:val="clear" w:color="auto" w:fill="FCFCFC"/>
        </w:rPr>
        <w:t>Jahans</w:t>
      </w:r>
      <w:proofErr w:type="spellEnd"/>
      <w:r w:rsidRPr="004E2825">
        <w:rPr>
          <w:rFonts w:ascii="Open Sans" w:hAnsi="Open Sans" w:cs="Open Sans"/>
          <w:spacing w:val="4"/>
          <w:sz w:val="20"/>
          <w:szCs w:val="20"/>
          <w:shd w:val="clear" w:color="auto" w:fill="FCFCFC"/>
        </w:rPr>
        <w:t xml:space="preserve">-Baynton, K., Grealish, A. (2021) Safeguarding communications between multiagency professionals when working with children and young people: A qualitative study. </w:t>
      </w:r>
      <w:r w:rsidRPr="004E2825">
        <w:rPr>
          <w:rFonts w:ascii="Open Sans" w:hAnsi="Open Sans" w:cs="Open Sans"/>
          <w:i/>
          <w:iCs/>
          <w:spacing w:val="4"/>
          <w:sz w:val="20"/>
          <w:szCs w:val="20"/>
          <w:shd w:val="clear" w:color="auto" w:fill="FCFCFC"/>
        </w:rPr>
        <w:t xml:space="preserve">Journal of Child and Adolescent Psychiatric Nursing. </w:t>
      </w:r>
      <w:r w:rsidRPr="004E2825">
        <w:rPr>
          <w:rFonts w:ascii="Open Sans" w:hAnsi="Open Sans" w:cs="Open Sans"/>
          <w:spacing w:val="4"/>
          <w:sz w:val="20"/>
          <w:szCs w:val="20"/>
          <w:shd w:val="clear" w:color="auto" w:fill="FCFCFC"/>
        </w:rPr>
        <w:t xml:space="preserve">[E-journal]. Available at: </w:t>
      </w:r>
      <w:hyperlink r:id="rId53" w:history="1">
        <w:r w:rsidRPr="004E2825">
          <w:rPr>
            <w:rFonts w:ascii="Open Sans" w:hAnsi="Open Sans" w:cs="Open Sans"/>
            <w:sz w:val="20"/>
            <w:szCs w:val="20"/>
            <w:shd w:val="clear" w:color="auto" w:fill="FFFFFF"/>
          </w:rPr>
          <w:t>doi.org/</w:t>
        </w:r>
        <w:r w:rsidRPr="004E2825">
          <w:rPr>
            <w:rFonts w:ascii="Open Sans" w:hAnsi="Open Sans" w:cs="Open Sans"/>
            <w:sz w:val="20"/>
            <w:szCs w:val="20"/>
            <w:u w:val="single"/>
            <w:shd w:val="clear" w:color="auto" w:fill="FFFFFF"/>
          </w:rPr>
          <w:t>10.1111/jcap.12363</w:t>
        </w:r>
      </w:hyperlink>
    </w:p>
    <w:p w14:paraId="554B2D4E" w14:textId="77777777" w:rsidR="004E2825" w:rsidRPr="004E2825" w:rsidRDefault="004E2825" w:rsidP="004E2825">
      <w:pPr>
        <w:rPr>
          <w:rFonts w:ascii="Open Sans" w:hAnsi="Open Sans" w:cs="Open Sans"/>
          <w:sz w:val="20"/>
          <w:szCs w:val="20"/>
        </w:rPr>
      </w:pPr>
      <w:r w:rsidRPr="004E2825">
        <w:rPr>
          <w:rFonts w:ascii="Open Sans" w:hAnsi="Open Sans" w:cs="Open Sans"/>
          <w:sz w:val="20"/>
          <w:szCs w:val="20"/>
        </w:rPr>
        <w:t xml:space="preserve">Johnson, T.C. (1998) Child perpetrators—children who molest other children: Preliminary findings, </w:t>
      </w:r>
      <w:r w:rsidRPr="004E2825">
        <w:rPr>
          <w:rFonts w:ascii="Open Sans" w:hAnsi="Open Sans" w:cs="Open Sans"/>
          <w:i/>
          <w:iCs/>
          <w:sz w:val="20"/>
          <w:szCs w:val="20"/>
        </w:rPr>
        <w:t>Child Abuse &amp; Neglect</w:t>
      </w:r>
      <w:r w:rsidRPr="004E2825">
        <w:rPr>
          <w:rFonts w:ascii="Open Sans" w:hAnsi="Open Sans" w:cs="Open Sans"/>
          <w:sz w:val="20"/>
          <w:szCs w:val="20"/>
        </w:rPr>
        <w:t xml:space="preserve">, [E-journal]. Vol 12, Issue 2, pp, 219-229. Available </w:t>
      </w:r>
      <w:proofErr w:type="gramStart"/>
      <w:r w:rsidRPr="004E2825">
        <w:rPr>
          <w:rFonts w:ascii="Open Sans" w:hAnsi="Open Sans" w:cs="Open Sans"/>
          <w:sz w:val="20"/>
          <w:szCs w:val="20"/>
        </w:rPr>
        <w:t>at :</w:t>
      </w:r>
      <w:proofErr w:type="gramEnd"/>
      <w:r w:rsidRPr="004E2825">
        <w:rPr>
          <w:rFonts w:ascii="Open Sans" w:hAnsi="Open Sans" w:cs="Open Sans"/>
          <w:sz w:val="20"/>
          <w:szCs w:val="20"/>
        </w:rPr>
        <w:t xml:space="preserve"> </w:t>
      </w:r>
      <w:hyperlink r:id="rId54" w:history="1">
        <w:r w:rsidRPr="004E2825">
          <w:rPr>
            <w:rStyle w:val="Hyperlink"/>
            <w:rFonts w:ascii="Open Sans" w:hAnsi="Open Sans" w:cs="Open Sans"/>
            <w:color w:val="auto"/>
            <w:sz w:val="20"/>
            <w:szCs w:val="20"/>
          </w:rPr>
          <w:t>DOI: 10.1016/0145-2134(88)90030-0</w:t>
        </w:r>
      </w:hyperlink>
      <w:r w:rsidRPr="004E2825">
        <w:rPr>
          <w:rFonts w:ascii="Open Sans" w:hAnsi="Open Sans" w:cs="Open Sans"/>
          <w:sz w:val="20"/>
          <w:szCs w:val="20"/>
        </w:rPr>
        <w:t>. (Accessed: 15 March 2022)</w:t>
      </w:r>
    </w:p>
    <w:p w14:paraId="4015E2F3" w14:textId="77777777" w:rsidR="004E2825" w:rsidRPr="004E2825" w:rsidRDefault="004E2825" w:rsidP="004E2825">
      <w:pPr>
        <w:rPr>
          <w:rFonts w:ascii="Open Sans" w:hAnsi="Open Sans" w:cs="Open Sans"/>
          <w:sz w:val="20"/>
          <w:szCs w:val="20"/>
        </w:rPr>
      </w:pPr>
      <w:r w:rsidRPr="004E2825">
        <w:rPr>
          <w:rFonts w:ascii="Open Sans" w:hAnsi="Open Sans" w:cs="Open Sans"/>
          <w:sz w:val="20"/>
          <w:szCs w:val="20"/>
          <w:shd w:val="clear" w:color="auto" w:fill="FFFFFF"/>
        </w:rPr>
        <w:t>Johnson, T.C. (2000) ‘Sexualized children and children who molest’, </w:t>
      </w:r>
      <w:r w:rsidRPr="004E2825">
        <w:rPr>
          <w:rFonts w:ascii="Open Sans" w:hAnsi="Open Sans" w:cs="Open Sans"/>
          <w:i/>
          <w:iCs/>
          <w:sz w:val="20"/>
          <w:szCs w:val="20"/>
          <w:shd w:val="clear" w:color="auto" w:fill="FFFFFF"/>
        </w:rPr>
        <w:t>SIECUS Report, </w:t>
      </w:r>
      <w:r w:rsidRPr="004E2825">
        <w:rPr>
          <w:rFonts w:ascii="Open Sans" w:hAnsi="Open Sans" w:cs="Open Sans"/>
          <w:sz w:val="20"/>
          <w:szCs w:val="20"/>
          <w:shd w:val="clear" w:color="auto" w:fill="FFFFFF"/>
        </w:rPr>
        <w:t>29(1), pp. 35-39.</w:t>
      </w:r>
    </w:p>
    <w:p w14:paraId="22B06769" w14:textId="77777777" w:rsidR="004E2825" w:rsidRPr="004E2825" w:rsidRDefault="004E2825" w:rsidP="004E2825">
      <w:pPr>
        <w:rPr>
          <w:rFonts w:ascii="Open Sans" w:hAnsi="Open Sans" w:cs="Open Sans"/>
          <w:sz w:val="20"/>
          <w:szCs w:val="20"/>
          <w:shd w:val="clear" w:color="auto" w:fill="FCFCFC"/>
        </w:rPr>
      </w:pPr>
      <w:r w:rsidRPr="004E2825">
        <w:rPr>
          <w:rFonts w:ascii="Open Sans" w:hAnsi="Open Sans" w:cs="Open Sans"/>
          <w:sz w:val="20"/>
          <w:szCs w:val="20"/>
          <w:shd w:val="clear" w:color="auto" w:fill="FCFCFC"/>
        </w:rPr>
        <w:t>Katz, C. (2013) ‘Internet-related child sexual abuse: What children tell us in their testimonies’. Child and Youth Services Review 35. pp. 1536-1539.</w:t>
      </w:r>
    </w:p>
    <w:p w14:paraId="647BE688" w14:textId="77777777" w:rsidR="004E2825" w:rsidRPr="004E2825" w:rsidRDefault="004E2825" w:rsidP="004E2825">
      <w:pPr>
        <w:rPr>
          <w:rFonts w:ascii="Open Sans" w:hAnsi="Open Sans" w:cs="Open Sans"/>
          <w:sz w:val="20"/>
          <w:szCs w:val="20"/>
        </w:rPr>
      </w:pPr>
      <w:r w:rsidRPr="004E2825">
        <w:rPr>
          <w:rFonts w:ascii="Open Sans" w:hAnsi="Open Sans" w:cs="Open Sans"/>
          <w:spacing w:val="4"/>
          <w:sz w:val="20"/>
          <w:szCs w:val="20"/>
          <w:shd w:val="clear" w:color="auto" w:fill="FCFCFC"/>
        </w:rPr>
        <w:t xml:space="preserve">Kett, M., Knepper, P. &amp; Shoham, S.G. (2010) </w:t>
      </w:r>
      <w:r w:rsidRPr="004E2825">
        <w:rPr>
          <w:rFonts w:ascii="Open Sans" w:hAnsi="Open Sans" w:cs="Open Sans"/>
          <w:i/>
          <w:iCs/>
          <w:spacing w:val="4"/>
          <w:sz w:val="20"/>
          <w:szCs w:val="20"/>
          <w:shd w:val="clear" w:color="auto" w:fill="FCFCFC"/>
        </w:rPr>
        <w:t>International Handbook if Victimology.</w:t>
      </w:r>
      <w:r w:rsidRPr="004E2825">
        <w:rPr>
          <w:rFonts w:ascii="Open Sans" w:hAnsi="Open Sans" w:cs="Open Sans"/>
          <w:spacing w:val="4"/>
          <w:sz w:val="20"/>
          <w:szCs w:val="20"/>
          <w:shd w:val="clear" w:color="auto" w:fill="FCFCFC"/>
        </w:rPr>
        <w:t xml:space="preserve"> Taylor &amp; Francis: UK. p. 630.</w:t>
      </w:r>
    </w:p>
    <w:p w14:paraId="0047E2E0" w14:textId="77777777" w:rsidR="004E2825" w:rsidRPr="004E2825" w:rsidRDefault="004E2825" w:rsidP="004E2825">
      <w:pPr>
        <w:rPr>
          <w:rFonts w:ascii="Open Sans" w:hAnsi="Open Sans" w:cs="Open Sans"/>
          <w:sz w:val="20"/>
          <w:szCs w:val="20"/>
        </w:rPr>
      </w:pPr>
      <w:r w:rsidRPr="004E2825">
        <w:rPr>
          <w:rFonts w:ascii="Open Sans" w:hAnsi="Open Sans" w:cs="Open Sans"/>
          <w:sz w:val="20"/>
          <w:szCs w:val="20"/>
        </w:rPr>
        <w:t xml:space="preserve">Key, R., Underwood, A. (2021) Suicidal behaviour in individuals accused or convicted of child sex abuse of indecent image offenses: Systematic review of prevalence and risk factors. </w:t>
      </w:r>
      <w:r w:rsidRPr="004E2825">
        <w:rPr>
          <w:rFonts w:ascii="Open Sans" w:hAnsi="Open Sans" w:cs="Open Sans"/>
          <w:i/>
          <w:iCs/>
          <w:sz w:val="20"/>
          <w:szCs w:val="20"/>
        </w:rPr>
        <w:t>Suicide and Life-threatening behaviour</w:t>
      </w:r>
      <w:r w:rsidRPr="004E2825">
        <w:rPr>
          <w:rFonts w:ascii="Open Sans" w:hAnsi="Open Sans" w:cs="Open Sans"/>
          <w:sz w:val="20"/>
          <w:szCs w:val="20"/>
        </w:rPr>
        <w:t>. [E-journal] Vol 51, Issue 4, p. 716. Available at: doi.org/</w:t>
      </w:r>
      <w:r w:rsidRPr="004E2825">
        <w:rPr>
          <w:rFonts w:ascii="Open Sans" w:hAnsi="Open Sans" w:cs="Open Sans"/>
          <w:sz w:val="20"/>
          <w:szCs w:val="20"/>
          <w:u w:val="single"/>
        </w:rPr>
        <w:t>10.1111/sltb.12749</w:t>
      </w:r>
    </w:p>
    <w:p w14:paraId="60D75B54" w14:textId="77777777" w:rsidR="004E2825" w:rsidRPr="004E2825" w:rsidRDefault="004E2825" w:rsidP="004E2825">
      <w:pPr>
        <w:shd w:val="clear" w:color="auto" w:fill="FFFFFF"/>
        <w:spacing w:after="0" w:line="240" w:lineRule="auto"/>
        <w:rPr>
          <w:rFonts w:ascii="Open Sans" w:hAnsi="Open Sans" w:cs="Open Sans"/>
          <w:sz w:val="20"/>
          <w:szCs w:val="20"/>
        </w:rPr>
      </w:pPr>
      <w:r w:rsidRPr="004E2825">
        <w:rPr>
          <w:rFonts w:ascii="Open Sans" w:eastAsia="Times New Roman" w:hAnsi="Open Sans" w:cs="Open Sans"/>
          <w:sz w:val="20"/>
          <w:szCs w:val="20"/>
          <w:lang w:eastAsia="en-GB"/>
        </w:rPr>
        <w:t>Ministry of Justice (2021</w:t>
      </w:r>
      <w:r w:rsidRPr="004E2825">
        <w:rPr>
          <w:rFonts w:ascii="Open Sans" w:eastAsia="Times New Roman" w:hAnsi="Open Sans" w:cs="Open Sans"/>
          <w:i/>
          <w:iCs/>
          <w:sz w:val="20"/>
          <w:szCs w:val="20"/>
          <w:lang w:eastAsia="en-GB"/>
        </w:rPr>
        <w:t>) Code of Practice for Victims of Crime in England and Wales (Victim’s Code</w:t>
      </w:r>
      <w:r w:rsidRPr="004E2825">
        <w:rPr>
          <w:rFonts w:ascii="Open Sans" w:eastAsia="Times New Roman" w:hAnsi="Open Sans" w:cs="Open Sans"/>
          <w:sz w:val="20"/>
          <w:szCs w:val="20"/>
          <w:lang w:eastAsia="en-GB"/>
        </w:rPr>
        <w:t xml:space="preserve">). Available </w:t>
      </w:r>
      <w:proofErr w:type="gramStart"/>
      <w:r w:rsidRPr="004E2825">
        <w:rPr>
          <w:rFonts w:ascii="Open Sans" w:eastAsia="Times New Roman" w:hAnsi="Open Sans" w:cs="Open Sans"/>
          <w:sz w:val="20"/>
          <w:szCs w:val="20"/>
          <w:lang w:eastAsia="en-GB"/>
        </w:rPr>
        <w:t>at :</w:t>
      </w:r>
      <w:proofErr w:type="gramEnd"/>
      <w:r w:rsidRPr="004E2825">
        <w:rPr>
          <w:rFonts w:ascii="Open Sans" w:eastAsia="Times New Roman" w:hAnsi="Open Sans" w:cs="Open Sans"/>
          <w:sz w:val="20"/>
          <w:szCs w:val="20"/>
          <w:lang w:eastAsia="en-GB"/>
        </w:rPr>
        <w:t xml:space="preserve"> </w:t>
      </w:r>
      <w:hyperlink r:id="rId55" w:history="1">
        <w:r w:rsidRPr="004E2825">
          <w:rPr>
            <w:rStyle w:val="Hyperlink"/>
            <w:rFonts w:ascii="Open Sans" w:eastAsia="Times New Roman" w:hAnsi="Open Sans" w:cs="Open Sans"/>
            <w:color w:val="auto"/>
            <w:sz w:val="20"/>
            <w:szCs w:val="20"/>
            <w:lang w:eastAsia="en-GB"/>
          </w:rPr>
          <w:t>www.gov.uk/government/publications/the-code-of-practice-for-victims-of-crime/code-of-practice-for-victims-of-crime-in-england-and-wales-victims-code</w:t>
        </w:r>
      </w:hyperlink>
      <w:r w:rsidRPr="004E2825">
        <w:rPr>
          <w:rFonts w:ascii="Open Sans" w:eastAsia="Times New Roman" w:hAnsi="Open Sans" w:cs="Open Sans"/>
          <w:sz w:val="20"/>
          <w:szCs w:val="20"/>
          <w:lang w:eastAsia="en-GB"/>
        </w:rPr>
        <w:t xml:space="preserve"> (Accessed: 17 March 2022)</w:t>
      </w:r>
    </w:p>
    <w:p w14:paraId="23FD75EF" w14:textId="77777777" w:rsidR="004E2825" w:rsidRDefault="004E2825" w:rsidP="004E2825">
      <w:pPr>
        <w:rPr>
          <w:rFonts w:ascii="Open Sans" w:hAnsi="Open Sans" w:cs="Open Sans"/>
          <w:sz w:val="20"/>
          <w:szCs w:val="20"/>
          <w:shd w:val="clear" w:color="auto" w:fill="FCFCFC"/>
        </w:rPr>
      </w:pPr>
    </w:p>
    <w:p w14:paraId="40D788F2" w14:textId="64441C45" w:rsidR="004E2825" w:rsidRPr="004E2825" w:rsidRDefault="004E2825" w:rsidP="004E2825">
      <w:pPr>
        <w:rPr>
          <w:rFonts w:ascii="Open Sans" w:hAnsi="Open Sans" w:cs="Open Sans"/>
          <w:sz w:val="20"/>
          <w:szCs w:val="20"/>
        </w:rPr>
      </w:pPr>
      <w:r w:rsidRPr="004E2825">
        <w:rPr>
          <w:rFonts w:ascii="Open Sans" w:hAnsi="Open Sans" w:cs="Open Sans"/>
          <w:sz w:val="20"/>
          <w:szCs w:val="20"/>
          <w:shd w:val="clear" w:color="auto" w:fill="FCFCFC"/>
        </w:rPr>
        <w:t>Nelson-Gardell, D. (2001) </w:t>
      </w:r>
      <w:r w:rsidRPr="004E2825">
        <w:rPr>
          <w:rFonts w:ascii="Open Sans" w:hAnsi="Open Sans" w:cs="Open Sans"/>
          <w:i/>
          <w:iCs/>
          <w:sz w:val="20"/>
          <w:szCs w:val="20"/>
          <w:shd w:val="clear" w:color="auto" w:fill="FCFCFC"/>
        </w:rPr>
        <w:t>The Voices of Victims: Surviving Child Sexual Abuse</w:t>
      </w:r>
      <w:r w:rsidRPr="004E2825">
        <w:rPr>
          <w:rFonts w:ascii="Open Sans" w:hAnsi="Open Sans" w:cs="Open Sans"/>
          <w:sz w:val="20"/>
          <w:szCs w:val="20"/>
          <w:shd w:val="clear" w:color="auto" w:fill="FCFCFC"/>
        </w:rPr>
        <w:t>. </w:t>
      </w:r>
      <w:r w:rsidRPr="004E2825">
        <w:rPr>
          <w:rFonts w:ascii="Open Sans" w:hAnsi="Open Sans" w:cs="Open Sans"/>
          <w:i/>
          <w:iCs/>
          <w:sz w:val="20"/>
          <w:szCs w:val="20"/>
          <w:shd w:val="clear" w:color="auto" w:fill="FCFCFC"/>
        </w:rPr>
        <w:t>Child and Adolescent Social Work Journal</w:t>
      </w:r>
      <w:r w:rsidRPr="004E2825">
        <w:rPr>
          <w:rFonts w:ascii="Open Sans" w:hAnsi="Open Sans" w:cs="Open Sans"/>
          <w:sz w:val="20"/>
          <w:szCs w:val="20"/>
          <w:shd w:val="clear" w:color="auto" w:fill="FCFCFC"/>
        </w:rPr>
        <w:t> [E-journal] 18,</w:t>
      </w:r>
      <w:r w:rsidRPr="004E2825">
        <w:rPr>
          <w:rFonts w:ascii="Open Sans" w:hAnsi="Open Sans" w:cs="Open Sans"/>
          <w:b/>
          <w:bCs/>
          <w:sz w:val="20"/>
          <w:szCs w:val="20"/>
          <w:shd w:val="clear" w:color="auto" w:fill="FCFCFC"/>
        </w:rPr>
        <w:t> </w:t>
      </w:r>
      <w:r w:rsidRPr="004E2825">
        <w:rPr>
          <w:rFonts w:ascii="Open Sans" w:hAnsi="Open Sans" w:cs="Open Sans"/>
          <w:sz w:val="20"/>
          <w:szCs w:val="20"/>
          <w:shd w:val="clear" w:color="auto" w:fill="FCFCFC"/>
        </w:rPr>
        <w:t xml:space="preserve">p. 407. Available at: </w:t>
      </w:r>
      <w:hyperlink r:id="rId56" w:history="1">
        <w:r w:rsidRPr="004E2825">
          <w:rPr>
            <w:rFonts w:ascii="Open Sans" w:hAnsi="Open Sans" w:cs="Open Sans"/>
            <w:sz w:val="20"/>
            <w:szCs w:val="20"/>
            <w:shd w:val="clear" w:color="auto" w:fill="FCFCFC"/>
          </w:rPr>
          <w:t xml:space="preserve">DOI: </w:t>
        </w:r>
        <w:r w:rsidRPr="004E2825">
          <w:rPr>
            <w:rStyle w:val="Hyperlink"/>
            <w:rFonts w:ascii="Open Sans" w:hAnsi="Open Sans" w:cs="Open Sans"/>
            <w:color w:val="auto"/>
            <w:sz w:val="20"/>
            <w:szCs w:val="20"/>
            <w:shd w:val="clear" w:color="auto" w:fill="FCFCFC"/>
          </w:rPr>
          <w:t>10.1023/A:1012936031764</w:t>
        </w:r>
      </w:hyperlink>
    </w:p>
    <w:p w14:paraId="27AD9591" w14:textId="77777777" w:rsidR="004E2825" w:rsidRPr="004E2825" w:rsidRDefault="004E2825" w:rsidP="004E2825">
      <w:pPr>
        <w:shd w:val="clear" w:color="auto" w:fill="FFFFFF"/>
        <w:spacing w:after="0" w:line="240" w:lineRule="auto"/>
        <w:rPr>
          <w:rFonts w:ascii="Open Sans" w:hAnsi="Open Sans" w:cs="Open Sans"/>
          <w:sz w:val="20"/>
          <w:szCs w:val="20"/>
        </w:rPr>
      </w:pPr>
      <w:r w:rsidRPr="004E2825">
        <w:rPr>
          <w:rFonts w:ascii="Open Sans" w:hAnsi="Open Sans" w:cs="Open Sans"/>
          <w:sz w:val="20"/>
          <w:szCs w:val="20"/>
          <w:shd w:val="clear" w:color="auto" w:fill="FFFFFF"/>
        </w:rPr>
        <w:t xml:space="preserve">O’Leary, P., Abdalla, M., Hutchinson. A., Squire, J., Young, A. (2020) Child Protection </w:t>
      </w:r>
      <w:proofErr w:type="gramStart"/>
      <w:r w:rsidRPr="004E2825">
        <w:rPr>
          <w:rFonts w:ascii="Open Sans" w:hAnsi="Open Sans" w:cs="Open Sans"/>
          <w:sz w:val="20"/>
          <w:szCs w:val="20"/>
          <w:shd w:val="clear" w:color="auto" w:fill="FFFFFF"/>
        </w:rPr>
        <w:t>With</w:t>
      </w:r>
      <w:proofErr w:type="gramEnd"/>
      <w:r w:rsidRPr="004E2825">
        <w:rPr>
          <w:rFonts w:ascii="Open Sans" w:hAnsi="Open Sans" w:cs="Open Sans"/>
          <w:sz w:val="20"/>
          <w:szCs w:val="20"/>
          <w:shd w:val="clear" w:color="auto" w:fill="FFFFFF"/>
        </w:rPr>
        <w:t xml:space="preserve"> Muslim Communities: Considerations For Non-Muslim-Based Orthodoxies/Paradigms in Child Welfare and Social Work, </w:t>
      </w:r>
      <w:r w:rsidRPr="004E2825">
        <w:rPr>
          <w:rFonts w:ascii="Open Sans" w:hAnsi="Open Sans" w:cs="Open Sans"/>
          <w:i/>
          <w:iCs/>
          <w:sz w:val="20"/>
          <w:szCs w:val="20"/>
          <w:shd w:val="clear" w:color="auto" w:fill="FFFFFF"/>
        </w:rPr>
        <w:t>The British Journal of Social Work</w:t>
      </w:r>
      <w:r w:rsidRPr="004E2825">
        <w:rPr>
          <w:rFonts w:ascii="Open Sans" w:hAnsi="Open Sans" w:cs="Open Sans"/>
          <w:sz w:val="20"/>
          <w:szCs w:val="20"/>
          <w:shd w:val="clear" w:color="auto" w:fill="FFFFFF"/>
        </w:rPr>
        <w:t xml:space="preserve">. [E-journal] Vol 50, Issue 4. p. 1203. Available </w:t>
      </w:r>
      <w:proofErr w:type="gramStart"/>
      <w:r w:rsidRPr="004E2825">
        <w:rPr>
          <w:rFonts w:ascii="Open Sans" w:hAnsi="Open Sans" w:cs="Open Sans"/>
          <w:sz w:val="20"/>
          <w:szCs w:val="20"/>
          <w:shd w:val="clear" w:color="auto" w:fill="FFFFFF"/>
        </w:rPr>
        <w:t>at :</w:t>
      </w:r>
      <w:proofErr w:type="gramEnd"/>
      <w:r w:rsidRPr="004E2825">
        <w:rPr>
          <w:rFonts w:ascii="Open Sans" w:hAnsi="Open Sans" w:cs="Open Sans"/>
          <w:sz w:val="20"/>
          <w:szCs w:val="20"/>
          <w:shd w:val="clear" w:color="auto" w:fill="FFFFFF"/>
        </w:rPr>
        <w:t xml:space="preserve">  </w:t>
      </w:r>
      <w:hyperlink r:id="rId57" w:history="1">
        <w:r w:rsidRPr="004E2825">
          <w:rPr>
            <w:rFonts w:ascii="Open Sans" w:hAnsi="Open Sans" w:cs="Open Sans"/>
            <w:sz w:val="20"/>
            <w:szCs w:val="20"/>
            <w:shd w:val="clear" w:color="auto" w:fill="FFFFFF"/>
          </w:rPr>
          <w:t xml:space="preserve">DOI: </w:t>
        </w:r>
        <w:r w:rsidRPr="004E2825">
          <w:rPr>
            <w:rFonts w:ascii="Open Sans" w:hAnsi="Open Sans" w:cs="Open Sans"/>
            <w:sz w:val="20"/>
            <w:szCs w:val="20"/>
            <w:u w:val="single"/>
            <w:shd w:val="clear" w:color="auto" w:fill="FFFFFF"/>
          </w:rPr>
          <w:t>10.1093/</w:t>
        </w:r>
        <w:proofErr w:type="spellStart"/>
        <w:r w:rsidRPr="004E2825">
          <w:rPr>
            <w:rFonts w:ascii="Open Sans" w:hAnsi="Open Sans" w:cs="Open Sans"/>
            <w:sz w:val="20"/>
            <w:szCs w:val="20"/>
            <w:u w:val="single"/>
            <w:shd w:val="clear" w:color="auto" w:fill="FFFFFF"/>
          </w:rPr>
          <w:t>bjsw</w:t>
        </w:r>
        <w:proofErr w:type="spellEnd"/>
        <w:r w:rsidRPr="004E2825">
          <w:rPr>
            <w:rFonts w:ascii="Open Sans" w:hAnsi="Open Sans" w:cs="Open Sans"/>
            <w:sz w:val="20"/>
            <w:szCs w:val="20"/>
            <w:u w:val="single"/>
            <w:shd w:val="clear" w:color="auto" w:fill="FFFFFF"/>
          </w:rPr>
          <w:t>/bcz088</w:t>
        </w:r>
      </w:hyperlink>
    </w:p>
    <w:p w14:paraId="5E4FEE83" w14:textId="77777777" w:rsidR="004E2825" w:rsidRDefault="004E2825" w:rsidP="004E2825">
      <w:pPr>
        <w:rPr>
          <w:rFonts w:ascii="Open Sans" w:hAnsi="Open Sans" w:cs="Open Sans"/>
          <w:spacing w:val="4"/>
          <w:sz w:val="20"/>
          <w:szCs w:val="20"/>
          <w:shd w:val="clear" w:color="auto" w:fill="FCFCFC"/>
        </w:rPr>
      </w:pPr>
    </w:p>
    <w:p w14:paraId="494F937F" w14:textId="4DA216C2" w:rsidR="004E2825" w:rsidRPr="004E2825" w:rsidRDefault="004E2825" w:rsidP="004E2825">
      <w:pPr>
        <w:rPr>
          <w:rFonts w:ascii="Open Sans" w:hAnsi="Open Sans" w:cs="Open Sans"/>
          <w:sz w:val="20"/>
          <w:szCs w:val="20"/>
        </w:rPr>
      </w:pPr>
      <w:r w:rsidRPr="004E2825">
        <w:rPr>
          <w:rFonts w:ascii="Open Sans" w:hAnsi="Open Sans" w:cs="Open Sans"/>
          <w:spacing w:val="4"/>
          <w:sz w:val="20"/>
          <w:szCs w:val="20"/>
          <w:shd w:val="clear" w:color="auto" w:fill="FCFCFC"/>
        </w:rPr>
        <w:t xml:space="preserve">Patel, T.G. (2018) </w:t>
      </w:r>
      <w:r w:rsidRPr="004E2825">
        <w:rPr>
          <w:rFonts w:ascii="Open Sans" w:hAnsi="Open Sans" w:cs="Open Sans"/>
          <w:i/>
          <w:iCs/>
          <w:spacing w:val="4"/>
          <w:sz w:val="20"/>
          <w:szCs w:val="20"/>
          <w:shd w:val="clear" w:color="auto" w:fill="FCFCFC"/>
        </w:rPr>
        <w:t>Cultural Repertoires and Modern Menaces: The Media’s Racialised Coverage of Child Sexual Exploitation</w:t>
      </w:r>
      <w:r w:rsidRPr="004E2825">
        <w:rPr>
          <w:rFonts w:ascii="Open Sans" w:hAnsi="Open Sans" w:cs="Open Sans"/>
          <w:spacing w:val="4"/>
          <w:sz w:val="20"/>
          <w:szCs w:val="20"/>
          <w:shd w:val="clear" w:color="auto" w:fill="FCFCFC"/>
        </w:rPr>
        <w:t xml:space="preserve">. Palgrave Studies in Crime, Media and Culture. Palgrave Macmillan, Cham. </w:t>
      </w:r>
      <w:hyperlink r:id="rId58" w:history="1">
        <w:r w:rsidRPr="004E2825">
          <w:rPr>
            <w:rStyle w:val="Hyperlink"/>
            <w:rFonts w:ascii="Open Sans" w:hAnsi="Open Sans" w:cs="Open Sans"/>
            <w:color w:val="auto"/>
            <w:spacing w:val="4"/>
            <w:sz w:val="20"/>
            <w:szCs w:val="20"/>
            <w:shd w:val="clear" w:color="auto" w:fill="FCFCFC"/>
          </w:rPr>
          <w:t>DOI: 10.1007/978-3-319-71776-0_3</w:t>
        </w:r>
      </w:hyperlink>
    </w:p>
    <w:p w14:paraId="0CDA5558" w14:textId="4596A5B5" w:rsidR="004E2825" w:rsidRPr="004E2825" w:rsidRDefault="004E2825" w:rsidP="004E2825">
      <w:pPr>
        <w:rPr>
          <w:rFonts w:ascii="Open Sans" w:hAnsi="Open Sans" w:cs="Open Sans"/>
          <w:sz w:val="20"/>
          <w:szCs w:val="20"/>
        </w:rPr>
      </w:pPr>
      <w:r w:rsidRPr="004E2825">
        <w:rPr>
          <w:rFonts w:ascii="Open Sans" w:hAnsi="Open Sans" w:cs="Open Sans"/>
          <w:i/>
          <w:iCs/>
          <w:sz w:val="20"/>
          <w:szCs w:val="20"/>
        </w:rPr>
        <w:t>Police and Criminal Evidence Act</w:t>
      </w:r>
      <w:r w:rsidRPr="004E2825">
        <w:rPr>
          <w:rFonts w:ascii="Open Sans" w:hAnsi="Open Sans" w:cs="Open Sans"/>
          <w:sz w:val="20"/>
          <w:szCs w:val="20"/>
        </w:rPr>
        <w:t xml:space="preserve"> 1984, Code C. Requirements for the detention, treatment and questioning of suspects not related to terrorism in police custody. Home Office. Government website. [online] Available </w:t>
      </w:r>
      <w:proofErr w:type="gramStart"/>
      <w:r w:rsidRPr="004E2825">
        <w:rPr>
          <w:rFonts w:ascii="Open Sans" w:hAnsi="Open Sans" w:cs="Open Sans"/>
          <w:sz w:val="20"/>
          <w:szCs w:val="20"/>
        </w:rPr>
        <w:t>at :</w:t>
      </w:r>
      <w:proofErr w:type="gramEnd"/>
      <w:r w:rsidRPr="004E2825">
        <w:rPr>
          <w:rFonts w:ascii="Open Sans" w:hAnsi="Open Sans" w:cs="Open Sans"/>
          <w:sz w:val="20"/>
          <w:szCs w:val="20"/>
        </w:rPr>
        <w:t xml:space="preserve"> </w:t>
      </w:r>
      <w:hyperlink r:id="rId59" w:history="1">
        <w:r w:rsidRPr="004E2825">
          <w:rPr>
            <w:rStyle w:val="Hyperlink"/>
            <w:rFonts w:ascii="Open Sans" w:hAnsi="Open Sans" w:cs="Open Sans"/>
            <w:color w:val="auto"/>
            <w:sz w:val="20"/>
            <w:szCs w:val="20"/>
          </w:rPr>
          <w:t>www.gov.uk/government/publications/pace-code-c-2019</w:t>
        </w:r>
      </w:hyperlink>
      <w:r w:rsidRPr="004E2825">
        <w:rPr>
          <w:rFonts w:ascii="Open Sans" w:hAnsi="Open Sans" w:cs="Open Sans"/>
          <w:sz w:val="20"/>
          <w:szCs w:val="20"/>
        </w:rPr>
        <w:t>. (Accessed: 16</w:t>
      </w:r>
      <w:r w:rsidRPr="004E2825">
        <w:rPr>
          <w:rFonts w:ascii="Open Sans" w:hAnsi="Open Sans" w:cs="Open Sans"/>
          <w:sz w:val="20"/>
          <w:szCs w:val="20"/>
          <w:vertAlign w:val="superscript"/>
        </w:rPr>
        <w:t xml:space="preserve"> </w:t>
      </w:r>
      <w:r w:rsidRPr="004E2825">
        <w:rPr>
          <w:rFonts w:ascii="Open Sans" w:hAnsi="Open Sans" w:cs="Open Sans"/>
          <w:sz w:val="20"/>
          <w:szCs w:val="20"/>
        </w:rPr>
        <w:t xml:space="preserve">March 2022) </w:t>
      </w:r>
    </w:p>
    <w:p w14:paraId="2F08BB28" w14:textId="77777777" w:rsidR="004E2825" w:rsidRPr="004E2825" w:rsidRDefault="004E2825" w:rsidP="004E2825">
      <w:pPr>
        <w:rPr>
          <w:rFonts w:ascii="Open Sans" w:hAnsi="Open Sans" w:cs="Open Sans"/>
          <w:sz w:val="20"/>
          <w:szCs w:val="20"/>
        </w:rPr>
      </w:pPr>
      <w:proofErr w:type="spellStart"/>
      <w:r w:rsidRPr="004E2825">
        <w:rPr>
          <w:rFonts w:ascii="Open Sans" w:hAnsi="Open Sans" w:cs="Open Sans"/>
          <w:sz w:val="20"/>
          <w:szCs w:val="20"/>
        </w:rPr>
        <w:t>Rekrut</w:t>
      </w:r>
      <w:proofErr w:type="spellEnd"/>
      <w:r w:rsidRPr="004E2825">
        <w:rPr>
          <w:rFonts w:ascii="Open Sans" w:hAnsi="Open Sans" w:cs="Open Sans"/>
          <w:sz w:val="20"/>
          <w:szCs w:val="20"/>
        </w:rPr>
        <w:t xml:space="preserve">-Lapa, T., Lapa, A. (2014) ‘Health needs of detainees in police custody in England and Wales. Literature review’. </w:t>
      </w:r>
      <w:r w:rsidRPr="004E2825">
        <w:rPr>
          <w:rFonts w:ascii="Open Sans" w:hAnsi="Open Sans" w:cs="Open Sans"/>
          <w:i/>
          <w:iCs/>
          <w:sz w:val="20"/>
          <w:szCs w:val="20"/>
        </w:rPr>
        <w:t>Journal of Forensic and Legal Medicine</w:t>
      </w:r>
      <w:r w:rsidRPr="004E2825">
        <w:rPr>
          <w:rFonts w:ascii="Open Sans" w:hAnsi="Open Sans" w:cs="Open Sans"/>
          <w:sz w:val="20"/>
          <w:szCs w:val="20"/>
        </w:rPr>
        <w:t xml:space="preserve">. [E-journal] Issue 27. p. 74. Available at: DOI: </w:t>
      </w:r>
      <w:r w:rsidRPr="004E2825">
        <w:rPr>
          <w:rFonts w:ascii="Open Sans" w:hAnsi="Open Sans" w:cs="Open Sans"/>
          <w:sz w:val="20"/>
          <w:szCs w:val="20"/>
          <w:u w:val="single"/>
        </w:rPr>
        <w:t>10.1016/j.jflm.2014.08.004</w:t>
      </w:r>
    </w:p>
    <w:p w14:paraId="7D00AB1E" w14:textId="77777777" w:rsidR="004E2825" w:rsidRPr="004E2825" w:rsidRDefault="004E2825" w:rsidP="004E2825">
      <w:pPr>
        <w:rPr>
          <w:rFonts w:ascii="Open Sans" w:hAnsi="Open Sans" w:cs="Open Sans"/>
          <w:sz w:val="20"/>
          <w:szCs w:val="20"/>
        </w:rPr>
      </w:pPr>
      <w:r w:rsidRPr="004E2825">
        <w:rPr>
          <w:rFonts w:ascii="Open Sans" w:hAnsi="Open Sans" w:cs="Open Sans"/>
          <w:sz w:val="20"/>
          <w:szCs w:val="20"/>
        </w:rPr>
        <w:t xml:space="preserve">Safeguarding Wales. (2022) Available </w:t>
      </w:r>
      <w:proofErr w:type="gramStart"/>
      <w:r w:rsidRPr="004E2825">
        <w:rPr>
          <w:rFonts w:ascii="Open Sans" w:hAnsi="Open Sans" w:cs="Open Sans"/>
          <w:sz w:val="20"/>
          <w:szCs w:val="20"/>
        </w:rPr>
        <w:t>at :</w:t>
      </w:r>
      <w:proofErr w:type="gramEnd"/>
      <w:r w:rsidRPr="004E2825">
        <w:rPr>
          <w:rFonts w:ascii="Open Sans" w:hAnsi="Open Sans" w:cs="Open Sans"/>
          <w:sz w:val="20"/>
          <w:szCs w:val="20"/>
        </w:rPr>
        <w:t xml:space="preserve"> </w:t>
      </w:r>
      <w:hyperlink r:id="rId60" w:history="1">
        <w:r w:rsidRPr="004E2825">
          <w:rPr>
            <w:rStyle w:val="Hyperlink"/>
            <w:rFonts w:ascii="Open Sans" w:hAnsi="Open Sans" w:cs="Open Sans"/>
            <w:color w:val="auto"/>
            <w:sz w:val="20"/>
            <w:szCs w:val="20"/>
          </w:rPr>
          <w:t>www.safeguarding.wales</w:t>
        </w:r>
      </w:hyperlink>
      <w:r w:rsidRPr="004E2825">
        <w:rPr>
          <w:rFonts w:ascii="Open Sans" w:hAnsi="Open Sans" w:cs="Open Sans"/>
          <w:sz w:val="20"/>
          <w:szCs w:val="20"/>
          <w:u w:val="single"/>
        </w:rPr>
        <w:t xml:space="preserve"> </w:t>
      </w:r>
      <w:r w:rsidRPr="004E2825">
        <w:rPr>
          <w:rFonts w:ascii="Open Sans" w:hAnsi="Open Sans" w:cs="Open Sans"/>
          <w:sz w:val="20"/>
          <w:szCs w:val="20"/>
        </w:rPr>
        <w:t xml:space="preserve">(Accessed: 17 March 2022) </w:t>
      </w:r>
    </w:p>
    <w:p w14:paraId="1DB1A9F1" w14:textId="77777777" w:rsidR="004E2825" w:rsidRPr="004E2825" w:rsidRDefault="004E2825" w:rsidP="004E2825">
      <w:pPr>
        <w:rPr>
          <w:rFonts w:ascii="Open Sans" w:hAnsi="Open Sans" w:cs="Open Sans"/>
          <w:sz w:val="20"/>
          <w:szCs w:val="20"/>
        </w:rPr>
      </w:pPr>
      <w:r w:rsidRPr="004E2825">
        <w:rPr>
          <w:rFonts w:ascii="Open Sans" w:hAnsi="Open Sans" w:cs="Open Sans"/>
          <w:spacing w:val="4"/>
          <w:sz w:val="20"/>
          <w:szCs w:val="20"/>
          <w:shd w:val="clear" w:color="auto" w:fill="FCFCFC"/>
        </w:rPr>
        <w:t xml:space="preserve">The Lucy Faithfull foundation. (2022) Working Together to Protect children. [online] Available at: </w:t>
      </w:r>
      <w:hyperlink r:id="rId61" w:history="1">
        <w:r w:rsidRPr="004E2825">
          <w:rPr>
            <w:rStyle w:val="Hyperlink"/>
            <w:rFonts w:ascii="Open Sans" w:hAnsi="Open Sans" w:cs="Open Sans"/>
            <w:color w:val="auto"/>
            <w:sz w:val="20"/>
            <w:szCs w:val="20"/>
          </w:rPr>
          <w:t>www.lucyfaithfull.org.uk</w:t>
        </w:r>
      </w:hyperlink>
      <w:r w:rsidRPr="004E2825">
        <w:rPr>
          <w:rFonts w:ascii="Open Sans" w:hAnsi="Open Sans" w:cs="Open Sans"/>
          <w:sz w:val="20"/>
          <w:szCs w:val="20"/>
        </w:rPr>
        <w:t xml:space="preserve"> (Accessed 16 March 2022)</w:t>
      </w:r>
    </w:p>
    <w:p w14:paraId="43D148C2" w14:textId="77777777" w:rsidR="004E2825" w:rsidRPr="004E2825" w:rsidRDefault="004E2825" w:rsidP="004E2825">
      <w:pPr>
        <w:rPr>
          <w:rFonts w:ascii="Open Sans" w:hAnsi="Open Sans" w:cs="Open Sans"/>
          <w:sz w:val="20"/>
          <w:szCs w:val="20"/>
        </w:rPr>
      </w:pPr>
      <w:r w:rsidRPr="004E2825">
        <w:rPr>
          <w:rFonts w:ascii="Open Sans" w:hAnsi="Open Sans" w:cs="Open Sans"/>
          <w:sz w:val="20"/>
          <w:szCs w:val="20"/>
          <w:shd w:val="clear" w:color="auto" w:fill="FCFCFC"/>
        </w:rPr>
        <w:t xml:space="preserve">Wales Safeguarding Procedures. Available at: </w:t>
      </w:r>
      <w:hyperlink r:id="rId62" w:history="1">
        <w:r w:rsidRPr="004E2825">
          <w:rPr>
            <w:rStyle w:val="Hyperlink"/>
            <w:rFonts w:ascii="Open Sans" w:hAnsi="Open Sans" w:cs="Open Sans"/>
            <w:color w:val="auto"/>
            <w:sz w:val="20"/>
            <w:szCs w:val="20"/>
            <w:shd w:val="clear" w:color="auto" w:fill="FCFCFC"/>
          </w:rPr>
          <w:t>https://www.safeguarding/wales</w:t>
        </w:r>
      </w:hyperlink>
      <w:r w:rsidRPr="004E2825">
        <w:rPr>
          <w:rFonts w:ascii="Open Sans" w:hAnsi="Open Sans" w:cs="Open Sans"/>
          <w:sz w:val="20"/>
          <w:szCs w:val="20"/>
          <w:shd w:val="clear" w:color="auto" w:fill="FCFCFC"/>
        </w:rPr>
        <w:t xml:space="preserve"> (Accessed: 10 March 2022)</w:t>
      </w:r>
    </w:p>
    <w:p w14:paraId="4EE11BE2" w14:textId="77777777" w:rsidR="004E2825" w:rsidRPr="004E2825" w:rsidRDefault="00F67D9E" w:rsidP="004E2825">
      <w:pPr>
        <w:shd w:val="clear" w:color="auto" w:fill="FFFFFF"/>
        <w:spacing w:after="0" w:line="240" w:lineRule="auto"/>
        <w:rPr>
          <w:rFonts w:ascii="Open Sans" w:hAnsi="Open Sans" w:cs="Open Sans"/>
          <w:sz w:val="20"/>
          <w:szCs w:val="20"/>
        </w:rPr>
      </w:pPr>
      <w:hyperlink r:id="rId63" w:tooltip="Dana Wilson-Kovacs" w:history="1">
        <w:r w:rsidR="004E2825" w:rsidRPr="004E2825">
          <w:rPr>
            <w:rFonts w:ascii="Open Sans" w:hAnsi="Open Sans" w:cs="Open Sans"/>
            <w:sz w:val="20"/>
            <w:szCs w:val="20"/>
            <w:shd w:val="clear" w:color="auto" w:fill="FFFFFF"/>
          </w:rPr>
          <w:t>Wilson-Kovacs, D.</w:t>
        </w:r>
      </w:hyperlink>
      <w:r w:rsidR="004E2825" w:rsidRPr="004E2825">
        <w:rPr>
          <w:rFonts w:ascii="Open Sans" w:hAnsi="Open Sans" w:cs="Open Sans"/>
          <w:sz w:val="20"/>
          <w:szCs w:val="20"/>
          <w:shd w:val="clear" w:color="auto" w:fill="FFFFFF"/>
        </w:rPr>
        <w:t> (2021) ‘Digital media investigators: challenges and opportunities in the use of digital forensics in police investigations in England and Wales’, </w:t>
      </w:r>
      <w:hyperlink r:id="rId64" w:history="1">
        <w:r w:rsidR="004E2825" w:rsidRPr="004E2825">
          <w:rPr>
            <w:rFonts w:ascii="Open Sans" w:hAnsi="Open Sans" w:cs="Open Sans"/>
            <w:i/>
            <w:iCs/>
            <w:sz w:val="20"/>
            <w:szCs w:val="20"/>
          </w:rPr>
          <w:t>Policing: An International Journal</w:t>
        </w:r>
      </w:hyperlink>
      <w:r w:rsidR="004E2825" w:rsidRPr="004E2825">
        <w:rPr>
          <w:rFonts w:ascii="Open Sans" w:hAnsi="Open Sans" w:cs="Open Sans"/>
          <w:sz w:val="20"/>
          <w:szCs w:val="20"/>
          <w:shd w:val="clear" w:color="auto" w:fill="FFFFFF"/>
        </w:rPr>
        <w:t>, Vol. 44 No. 4, pp. 669-682. </w:t>
      </w:r>
      <w:hyperlink r:id="rId65" w:tooltip="DOI: https://doi.org/10.1108/PIJPSM-02-2021-0019" w:history="1">
        <w:r w:rsidR="004E2825" w:rsidRPr="004E2825">
          <w:rPr>
            <w:rFonts w:ascii="Open Sans" w:hAnsi="Open Sans" w:cs="Open Sans"/>
            <w:sz w:val="20"/>
            <w:szCs w:val="20"/>
            <w:shd w:val="clear" w:color="auto" w:fill="FFFFFF"/>
          </w:rPr>
          <w:t xml:space="preserve">Available </w:t>
        </w:r>
        <w:proofErr w:type="gramStart"/>
        <w:r w:rsidR="004E2825" w:rsidRPr="004E2825">
          <w:rPr>
            <w:rFonts w:ascii="Open Sans" w:hAnsi="Open Sans" w:cs="Open Sans"/>
            <w:sz w:val="20"/>
            <w:szCs w:val="20"/>
            <w:shd w:val="clear" w:color="auto" w:fill="FFFFFF"/>
          </w:rPr>
          <w:t>at :</w:t>
        </w:r>
        <w:proofErr w:type="gramEnd"/>
        <w:r w:rsidR="004E2825" w:rsidRPr="004E2825">
          <w:rPr>
            <w:rFonts w:ascii="Open Sans" w:hAnsi="Open Sans" w:cs="Open Sans"/>
            <w:sz w:val="20"/>
            <w:szCs w:val="20"/>
            <w:shd w:val="clear" w:color="auto" w:fill="FFFFFF"/>
          </w:rPr>
          <w:t xml:space="preserve"> DOI: </w:t>
        </w:r>
        <w:r w:rsidR="004E2825" w:rsidRPr="004E2825">
          <w:rPr>
            <w:rFonts w:ascii="Open Sans" w:hAnsi="Open Sans" w:cs="Open Sans"/>
            <w:sz w:val="20"/>
            <w:szCs w:val="20"/>
            <w:u w:val="single"/>
            <w:shd w:val="clear" w:color="auto" w:fill="FFFFFF"/>
          </w:rPr>
          <w:t>10.1108/PIJPSM-02-2021-0019</w:t>
        </w:r>
      </w:hyperlink>
    </w:p>
    <w:p w14:paraId="559B6B72" w14:textId="77777777" w:rsidR="001F49D2" w:rsidRDefault="001F49D2" w:rsidP="004E2825">
      <w:pPr>
        <w:rPr>
          <w:rFonts w:ascii="Open Sans" w:hAnsi="Open Sans" w:cs="Open Sans"/>
          <w:spacing w:val="4"/>
          <w:sz w:val="20"/>
          <w:szCs w:val="20"/>
          <w:shd w:val="clear" w:color="auto" w:fill="FCFCFC"/>
        </w:rPr>
      </w:pPr>
    </w:p>
    <w:p w14:paraId="2CF78C0A" w14:textId="34D7CB34" w:rsidR="004E2825" w:rsidRPr="004E2825" w:rsidRDefault="004E2825" w:rsidP="004E2825">
      <w:pPr>
        <w:rPr>
          <w:rFonts w:ascii="Open Sans" w:hAnsi="Open Sans" w:cs="Open Sans"/>
          <w:sz w:val="20"/>
          <w:szCs w:val="20"/>
        </w:rPr>
      </w:pPr>
      <w:proofErr w:type="spellStart"/>
      <w:r w:rsidRPr="004E2825">
        <w:rPr>
          <w:rFonts w:ascii="Open Sans" w:hAnsi="Open Sans" w:cs="Open Sans"/>
          <w:spacing w:val="4"/>
          <w:sz w:val="20"/>
          <w:szCs w:val="20"/>
          <w:shd w:val="clear" w:color="auto" w:fill="FCFCFC"/>
        </w:rPr>
        <w:t>Zinsstag</w:t>
      </w:r>
      <w:proofErr w:type="spellEnd"/>
      <w:r w:rsidRPr="004E2825">
        <w:rPr>
          <w:rFonts w:ascii="Open Sans" w:hAnsi="Open Sans" w:cs="Open Sans"/>
          <w:spacing w:val="4"/>
          <w:sz w:val="20"/>
          <w:szCs w:val="20"/>
          <w:shd w:val="clear" w:color="auto" w:fill="FCFCFC"/>
        </w:rPr>
        <w:t xml:space="preserve">, E., Keenan, M. (2017) </w:t>
      </w:r>
      <w:r w:rsidRPr="004E2825">
        <w:rPr>
          <w:rFonts w:ascii="Open Sans" w:hAnsi="Open Sans" w:cs="Open Sans"/>
          <w:i/>
          <w:iCs/>
          <w:spacing w:val="4"/>
          <w:sz w:val="20"/>
          <w:szCs w:val="20"/>
          <w:shd w:val="clear" w:color="auto" w:fill="FCFCFC"/>
        </w:rPr>
        <w:t>Restorative Response to Sexual Violence. Legal, Social and Therapeutic Dimensions</w:t>
      </w:r>
      <w:r w:rsidRPr="004E2825">
        <w:rPr>
          <w:rFonts w:ascii="Open Sans" w:hAnsi="Open Sans" w:cs="Open Sans"/>
          <w:spacing w:val="4"/>
          <w:sz w:val="20"/>
          <w:szCs w:val="20"/>
          <w:shd w:val="clear" w:color="auto" w:fill="FCFCFC"/>
        </w:rPr>
        <w:t>. Routledge’s Frontiers of Criminal Justice. Routledge: Oxford. pp. 184, 185.</w:t>
      </w:r>
    </w:p>
    <w:p w14:paraId="031E64E0" w14:textId="77777777" w:rsidR="004E2825" w:rsidRDefault="004E2825" w:rsidP="727E3A7D">
      <w:pPr>
        <w:ind w:right="107"/>
        <w:rPr>
          <w:rFonts w:ascii="Arial" w:eastAsia="Arial" w:hAnsi="Arial" w:cs="Arial"/>
          <w:b/>
          <w:bCs/>
          <w:color w:val="000000" w:themeColor="text1"/>
          <w:sz w:val="24"/>
          <w:szCs w:val="24"/>
        </w:rPr>
      </w:pPr>
    </w:p>
    <w:p w14:paraId="11F2A8FD" w14:textId="77777777" w:rsidR="00EC5F4F" w:rsidRDefault="00EC5F4F" w:rsidP="515A1CF8">
      <w:pPr>
        <w:ind w:right="107"/>
        <w:rPr>
          <w:rFonts w:ascii="Arial" w:eastAsia="Arial" w:hAnsi="Arial" w:cs="Arial"/>
          <w:b/>
          <w:bCs/>
          <w:color w:val="000000" w:themeColor="text1"/>
          <w:sz w:val="24"/>
          <w:szCs w:val="24"/>
        </w:rPr>
      </w:pPr>
    </w:p>
    <w:p w14:paraId="15325A73" w14:textId="77777777" w:rsidR="00EC5F4F" w:rsidRDefault="00EC5F4F" w:rsidP="515A1CF8">
      <w:pPr>
        <w:ind w:right="107"/>
        <w:rPr>
          <w:rFonts w:ascii="Arial" w:eastAsia="Arial" w:hAnsi="Arial" w:cs="Arial"/>
          <w:b/>
          <w:bCs/>
          <w:color w:val="000000" w:themeColor="text1"/>
          <w:sz w:val="24"/>
          <w:szCs w:val="24"/>
        </w:rPr>
      </w:pPr>
    </w:p>
    <w:p w14:paraId="603F6BB2" w14:textId="77777777" w:rsidR="00EC5F4F" w:rsidRDefault="00EC5F4F" w:rsidP="515A1CF8">
      <w:pPr>
        <w:ind w:right="107"/>
        <w:rPr>
          <w:rFonts w:ascii="Arial" w:eastAsia="Arial" w:hAnsi="Arial" w:cs="Arial"/>
          <w:b/>
          <w:bCs/>
          <w:color w:val="000000" w:themeColor="text1"/>
          <w:sz w:val="24"/>
          <w:szCs w:val="24"/>
        </w:rPr>
      </w:pPr>
    </w:p>
    <w:p w14:paraId="0EB11CF8" w14:textId="77777777" w:rsidR="00EC5F4F" w:rsidRDefault="00EC5F4F" w:rsidP="515A1CF8">
      <w:pPr>
        <w:ind w:right="107"/>
        <w:rPr>
          <w:rFonts w:ascii="Arial" w:eastAsia="Arial" w:hAnsi="Arial" w:cs="Arial"/>
          <w:b/>
          <w:bCs/>
          <w:color w:val="000000" w:themeColor="text1"/>
          <w:sz w:val="24"/>
          <w:szCs w:val="24"/>
        </w:rPr>
      </w:pPr>
    </w:p>
    <w:p w14:paraId="14A8D69B" w14:textId="77777777" w:rsidR="00EC5F4F" w:rsidRDefault="00EC5F4F" w:rsidP="515A1CF8">
      <w:pPr>
        <w:ind w:right="107"/>
        <w:rPr>
          <w:rFonts w:ascii="Arial" w:eastAsia="Arial" w:hAnsi="Arial" w:cs="Arial"/>
          <w:b/>
          <w:bCs/>
          <w:color w:val="000000" w:themeColor="text1"/>
          <w:sz w:val="24"/>
          <w:szCs w:val="24"/>
        </w:rPr>
      </w:pPr>
    </w:p>
    <w:p w14:paraId="57C2AF5C" w14:textId="77777777" w:rsidR="00EC5F4F" w:rsidRDefault="00EC5F4F" w:rsidP="515A1CF8">
      <w:pPr>
        <w:ind w:right="107"/>
        <w:rPr>
          <w:rFonts w:ascii="Arial" w:eastAsia="Arial" w:hAnsi="Arial" w:cs="Arial"/>
          <w:b/>
          <w:bCs/>
          <w:color w:val="000000" w:themeColor="text1"/>
          <w:sz w:val="24"/>
          <w:szCs w:val="24"/>
        </w:rPr>
      </w:pPr>
    </w:p>
    <w:p w14:paraId="1CC7F138" w14:textId="77777777" w:rsidR="00EC5F4F" w:rsidRDefault="00EC5F4F" w:rsidP="515A1CF8">
      <w:pPr>
        <w:ind w:right="107"/>
        <w:rPr>
          <w:rFonts w:ascii="Arial" w:eastAsia="Arial" w:hAnsi="Arial" w:cs="Arial"/>
          <w:b/>
          <w:bCs/>
          <w:color w:val="000000" w:themeColor="text1"/>
          <w:sz w:val="24"/>
          <w:szCs w:val="24"/>
        </w:rPr>
      </w:pPr>
    </w:p>
    <w:p w14:paraId="1C16F0B3" w14:textId="77777777" w:rsidR="00EC5F4F" w:rsidRDefault="00EC5F4F" w:rsidP="515A1CF8">
      <w:pPr>
        <w:ind w:right="107"/>
        <w:rPr>
          <w:rFonts w:ascii="Arial" w:eastAsia="Arial" w:hAnsi="Arial" w:cs="Arial"/>
          <w:b/>
          <w:bCs/>
          <w:color w:val="000000" w:themeColor="text1"/>
          <w:sz w:val="24"/>
          <w:szCs w:val="24"/>
        </w:rPr>
      </w:pPr>
    </w:p>
    <w:p w14:paraId="6664E868" w14:textId="371CC57D" w:rsidR="4AF6DABA" w:rsidRDefault="4AF6DABA" w:rsidP="515A1CF8">
      <w:pPr>
        <w:ind w:right="107"/>
        <w:rPr>
          <w:rFonts w:ascii="Arial" w:eastAsia="Arial" w:hAnsi="Arial" w:cs="Arial"/>
          <w:b/>
          <w:bCs/>
          <w:color w:val="000000" w:themeColor="text1"/>
          <w:sz w:val="24"/>
          <w:szCs w:val="24"/>
        </w:rPr>
      </w:pPr>
      <w:r w:rsidRPr="515A1CF8">
        <w:rPr>
          <w:rFonts w:ascii="Arial" w:eastAsia="Arial" w:hAnsi="Arial" w:cs="Arial"/>
          <w:b/>
          <w:bCs/>
          <w:color w:val="000000" w:themeColor="text1"/>
          <w:sz w:val="24"/>
          <w:szCs w:val="24"/>
        </w:rPr>
        <w:t xml:space="preserve">Task 3: </w:t>
      </w:r>
    </w:p>
    <w:p w14:paraId="17370670" w14:textId="42B0EFCB" w:rsidR="515A1CF8" w:rsidRDefault="131953EB" w:rsidP="00EC5F4F">
      <w:pPr>
        <w:rPr>
          <w:rFonts w:ascii="Arial" w:eastAsia="Arial" w:hAnsi="Arial" w:cs="Arial"/>
          <w:b/>
          <w:bCs/>
          <w:color w:val="000000" w:themeColor="text1"/>
          <w:sz w:val="24"/>
          <w:szCs w:val="24"/>
        </w:rPr>
      </w:pPr>
      <w:r w:rsidRPr="515A1CF8">
        <w:rPr>
          <w:rFonts w:ascii="Arial" w:eastAsia="Arial" w:hAnsi="Arial" w:cs="Arial"/>
          <w:b/>
          <w:bCs/>
          <w:color w:val="000000" w:themeColor="text1"/>
          <w:sz w:val="24"/>
          <w:szCs w:val="24"/>
        </w:rPr>
        <w:t>You must choose a</w:t>
      </w:r>
      <w:r w:rsidR="2C4EA49A" w:rsidRPr="515A1CF8">
        <w:rPr>
          <w:rFonts w:ascii="Arial" w:eastAsia="Arial" w:hAnsi="Arial" w:cs="Arial"/>
          <w:b/>
          <w:bCs/>
          <w:color w:val="000000" w:themeColor="text1"/>
          <w:sz w:val="24"/>
          <w:szCs w:val="24"/>
        </w:rPr>
        <w:t xml:space="preserve"> serious and complex</w:t>
      </w:r>
      <w:r w:rsidRPr="515A1CF8">
        <w:rPr>
          <w:rFonts w:ascii="Arial" w:eastAsia="Arial" w:hAnsi="Arial" w:cs="Arial"/>
          <w:b/>
          <w:bCs/>
          <w:color w:val="000000" w:themeColor="text1"/>
          <w:sz w:val="24"/>
          <w:szCs w:val="24"/>
        </w:rPr>
        <w:t xml:space="preserve"> investigation in which you played a significant role with witnesses</w:t>
      </w:r>
      <w:r w:rsidR="1E611AAB" w:rsidRPr="515A1CF8">
        <w:rPr>
          <w:rFonts w:ascii="Arial" w:eastAsia="Arial" w:hAnsi="Arial" w:cs="Arial"/>
          <w:b/>
          <w:bCs/>
          <w:color w:val="000000" w:themeColor="text1"/>
          <w:sz w:val="24"/>
          <w:szCs w:val="24"/>
        </w:rPr>
        <w:t>, suspects or victims</w:t>
      </w:r>
      <w:r w:rsidR="01B3FCC5" w:rsidRPr="515A1CF8">
        <w:rPr>
          <w:rFonts w:ascii="Arial" w:eastAsia="Arial" w:hAnsi="Arial" w:cs="Arial"/>
          <w:b/>
          <w:bCs/>
          <w:color w:val="000000" w:themeColor="text1"/>
          <w:sz w:val="24"/>
          <w:szCs w:val="24"/>
        </w:rPr>
        <w:t>.</w:t>
      </w:r>
    </w:p>
    <w:tbl>
      <w:tblPr>
        <w:tblStyle w:val="TableGrid"/>
        <w:tblW w:w="0" w:type="auto"/>
        <w:tblLayout w:type="fixed"/>
        <w:tblLook w:val="06A0" w:firstRow="1" w:lastRow="0" w:firstColumn="1" w:lastColumn="0" w:noHBand="1" w:noVBand="1"/>
      </w:tblPr>
      <w:tblGrid>
        <w:gridCol w:w="9015"/>
      </w:tblGrid>
      <w:tr w:rsidR="7336895D" w14:paraId="66F0C074" w14:textId="77777777" w:rsidTr="00EC5F4F">
        <w:trPr>
          <w:trHeight w:val="6973"/>
        </w:trPr>
        <w:tc>
          <w:tcPr>
            <w:tcW w:w="9015" w:type="dxa"/>
          </w:tcPr>
          <w:p w14:paraId="4B914903" w14:textId="7C2B39DE" w:rsidR="7336895D" w:rsidRDefault="7336895D" w:rsidP="7336895D">
            <w:pPr>
              <w:rPr>
                <w:rFonts w:ascii="Arial" w:eastAsia="Arial" w:hAnsi="Arial" w:cs="Arial"/>
                <w:b/>
                <w:bCs/>
                <w:color w:val="000000" w:themeColor="text1"/>
                <w:sz w:val="24"/>
                <w:szCs w:val="24"/>
              </w:rPr>
            </w:pPr>
          </w:p>
          <w:p w14:paraId="5C5A628C" w14:textId="310F5E55" w:rsidR="7336895D" w:rsidRDefault="1E611AAB" w:rsidP="515A1CF8">
            <w:pPr>
              <w:spacing w:line="259" w:lineRule="auto"/>
              <w:ind w:right="237"/>
              <w:jc w:val="both"/>
            </w:pPr>
            <w:r w:rsidRPr="515A1CF8">
              <w:rPr>
                <w:rFonts w:ascii="Arial" w:eastAsia="Arial" w:hAnsi="Arial" w:cs="Arial"/>
                <w:b/>
                <w:bCs/>
                <w:color w:val="000000" w:themeColor="text1"/>
                <w:sz w:val="24"/>
                <w:szCs w:val="24"/>
              </w:rPr>
              <w:t>Give a brief description</w:t>
            </w:r>
            <w:r w:rsidRPr="515A1CF8">
              <w:rPr>
                <w:rFonts w:ascii="Arial" w:eastAsia="Arial" w:hAnsi="Arial" w:cs="Arial"/>
                <w:color w:val="000000" w:themeColor="text1"/>
                <w:sz w:val="24"/>
                <w:szCs w:val="24"/>
              </w:rPr>
              <w:t xml:space="preserve"> of the investigation including social and legislative contexts and any relevant cultural, ethnicity and language issues.  </w:t>
            </w:r>
            <w:r w:rsidRPr="515A1CF8">
              <w:rPr>
                <w:rFonts w:ascii="Arial" w:eastAsia="Arial" w:hAnsi="Arial" w:cs="Arial"/>
                <w:sz w:val="24"/>
                <w:szCs w:val="24"/>
              </w:rPr>
              <w:t xml:space="preserve"> </w:t>
            </w:r>
          </w:p>
          <w:p w14:paraId="2FA7AE7F" w14:textId="1EC2710B" w:rsidR="7336895D" w:rsidRDefault="7336895D" w:rsidP="515A1CF8">
            <w:pPr>
              <w:spacing w:line="259" w:lineRule="auto"/>
              <w:ind w:right="237"/>
              <w:jc w:val="both"/>
              <w:rPr>
                <w:rFonts w:ascii="Arial" w:eastAsia="Arial" w:hAnsi="Arial" w:cs="Arial"/>
                <w:sz w:val="24"/>
                <w:szCs w:val="24"/>
              </w:rPr>
            </w:pPr>
          </w:p>
          <w:p w14:paraId="3D2C74E4" w14:textId="78645C4E" w:rsidR="7336895D" w:rsidRDefault="7336895D" w:rsidP="515A1CF8">
            <w:pPr>
              <w:spacing w:line="259" w:lineRule="auto"/>
              <w:ind w:right="237"/>
              <w:jc w:val="both"/>
              <w:rPr>
                <w:rFonts w:ascii="Arial" w:eastAsia="Arial" w:hAnsi="Arial" w:cs="Arial"/>
                <w:sz w:val="24"/>
                <w:szCs w:val="24"/>
              </w:rPr>
            </w:pPr>
          </w:p>
          <w:p w14:paraId="68A4B315" w14:textId="29CD291F" w:rsidR="7336895D" w:rsidRDefault="493C9ADF" w:rsidP="79283025">
            <w:pPr>
              <w:rPr>
                <w:rFonts w:ascii="Arial" w:eastAsia="Arial" w:hAnsi="Arial" w:cs="Arial"/>
                <w:b/>
                <w:bCs/>
                <w:color w:val="000000" w:themeColor="text1"/>
                <w:sz w:val="24"/>
                <w:szCs w:val="24"/>
              </w:rPr>
            </w:pPr>
            <w:r w:rsidRPr="79283025">
              <w:rPr>
                <w:rFonts w:ascii="Arial" w:eastAsia="Arial" w:hAnsi="Arial" w:cs="Arial"/>
                <w:b/>
                <w:bCs/>
                <w:color w:val="000000" w:themeColor="text1"/>
                <w:sz w:val="24"/>
                <w:szCs w:val="24"/>
              </w:rPr>
              <w:t xml:space="preserve">Critically </w:t>
            </w:r>
            <w:r w:rsidR="603AFBA3" w:rsidRPr="79283025">
              <w:rPr>
                <w:rFonts w:ascii="Arial" w:eastAsia="Arial" w:hAnsi="Arial" w:cs="Arial"/>
                <w:b/>
                <w:bCs/>
                <w:color w:val="000000" w:themeColor="text1"/>
                <w:sz w:val="24"/>
                <w:szCs w:val="24"/>
              </w:rPr>
              <w:t>evaluate</w:t>
            </w:r>
            <w:r w:rsidRPr="79283025">
              <w:rPr>
                <w:rFonts w:ascii="Arial" w:eastAsia="Arial" w:hAnsi="Arial" w:cs="Arial"/>
                <w:b/>
                <w:bCs/>
                <w:color w:val="000000" w:themeColor="text1"/>
                <w:sz w:val="24"/>
                <w:szCs w:val="24"/>
              </w:rPr>
              <w:t xml:space="preserve"> </w:t>
            </w:r>
            <w:r w:rsidRPr="79283025">
              <w:rPr>
                <w:rFonts w:ascii="Arial" w:eastAsia="Arial" w:hAnsi="Arial" w:cs="Arial"/>
                <w:color w:val="000000" w:themeColor="text1"/>
                <w:sz w:val="24"/>
                <w:szCs w:val="24"/>
              </w:rPr>
              <w:t xml:space="preserve">the interview process of witnesses and </w:t>
            </w:r>
            <w:r w:rsidR="36A04A2A" w:rsidRPr="79283025">
              <w:rPr>
                <w:rFonts w:ascii="Arial" w:eastAsia="Arial" w:hAnsi="Arial" w:cs="Arial"/>
                <w:color w:val="000000" w:themeColor="text1"/>
                <w:sz w:val="24"/>
                <w:szCs w:val="24"/>
              </w:rPr>
              <w:t>suspects</w:t>
            </w:r>
            <w:r w:rsidRPr="79283025">
              <w:rPr>
                <w:rFonts w:ascii="Arial" w:eastAsia="Arial" w:hAnsi="Arial" w:cs="Arial"/>
                <w:color w:val="000000" w:themeColor="text1"/>
                <w:sz w:val="24"/>
                <w:szCs w:val="24"/>
              </w:rPr>
              <w:t xml:space="preserve"> and how you have </w:t>
            </w:r>
            <w:r w:rsidR="52849861" w:rsidRPr="79283025">
              <w:rPr>
                <w:rFonts w:ascii="Arial" w:eastAsia="Arial" w:hAnsi="Arial" w:cs="Arial"/>
                <w:color w:val="000000" w:themeColor="text1"/>
                <w:sz w:val="24"/>
                <w:szCs w:val="24"/>
              </w:rPr>
              <w:t>gathered</w:t>
            </w:r>
            <w:r w:rsidRPr="79283025">
              <w:rPr>
                <w:rFonts w:ascii="Arial" w:eastAsia="Arial" w:hAnsi="Arial" w:cs="Arial"/>
                <w:color w:val="000000" w:themeColor="text1"/>
                <w:sz w:val="24"/>
                <w:szCs w:val="24"/>
              </w:rPr>
              <w:t xml:space="preserve"> all required information in relation to the investigation in </w:t>
            </w:r>
            <w:r w:rsidR="34D73CD2" w:rsidRPr="79283025">
              <w:rPr>
                <w:rFonts w:ascii="Arial" w:eastAsia="Arial" w:hAnsi="Arial" w:cs="Arial"/>
                <w:color w:val="000000" w:themeColor="text1"/>
                <w:sz w:val="24"/>
                <w:szCs w:val="24"/>
              </w:rPr>
              <w:t>accordance</w:t>
            </w:r>
            <w:r w:rsidRPr="79283025">
              <w:rPr>
                <w:rFonts w:ascii="Arial" w:eastAsia="Arial" w:hAnsi="Arial" w:cs="Arial"/>
                <w:color w:val="000000" w:themeColor="text1"/>
                <w:sz w:val="24"/>
                <w:szCs w:val="24"/>
              </w:rPr>
              <w:t xml:space="preserve"> with P</w:t>
            </w:r>
            <w:r w:rsidR="571AFF25" w:rsidRPr="79283025">
              <w:rPr>
                <w:rFonts w:ascii="Arial" w:eastAsia="Arial" w:hAnsi="Arial" w:cs="Arial"/>
                <w:color w:val="000000" w:themeColor="text1"/>
                <w:sz w:val="24"/>
                <w:szCs w:val="24"/>
              </w:rPr>
              <w:t xml:space="preserve">IP2 investigative standards. </w:t>
            </w:r>
            <w:r w:rsidR="3715F650" w:rsidRPr="79283025">
              <w:rPr>
                <w:rFonts w:ascii="Arial" w:eastAsia="Arial" w:hAnsi="Arial" w:cs="Arial"/>
                <w:color w:val="000000" w:themeColor="text1"/>
                <w:sz w:val="24"/>
                <w:szCs w:val="24"/>
              </w:rPr>
              <w:t xml:space="preserve">(Consider generating further lines of enquiry where required). </w:t>
            </w:r>
          </w:p>
          <w:p w14:paraId="271C4687" w14:textId="59A344D4" w:rsidR="7336895D" w:rsidRDefault="7336895D" w:rsidP="7336895D">
            <w:pPr>
              <w:rPr>
                <w:rFonts w:ascii="Arial" w:eastAsia="Arial" w:hAnsi="Arial" w:cs="Arial"/>
                <w:b/>
                <w:bCs/>
                <w:color w:val="000000" w:themeColor="text1"/>
                <w:sz w:val="24"/>
                <w:szCs w:val="24"/>
              </w:rPr>
            </w:pPr>
          </w:p>
          <w:p w14:paraId="49577BB7" w14:textId="711C4357" w:rsidR="7336895D" w:rsidRDefault="7336895D" w:rsidP="7336895D">
            <w:pPr>
              <w:rPr>
                <w:rFonts w:ascii="Arial" w:eastAsia="Arial" w:hAnsi="Arial" w:cs="Arial"/>
                <w:b/>
                <w:bCs/>
                <w:color w:val="000000" w:themeColor="text1"/>
                <w:sz w:val="24"/>
                <w:szCs w:val="24"/>
              </w:rPr>
            </w:pPr>
          </w:p>
          <w:p w14:paraId="462E9563" w14:textId="6821C60C" w:rsidR="7336895D" w:rsidRDefault="360EEAD4" w:rsidP="515A1CF8">
            <w:pPr>
              <w:rPr>
                <w:rFonts w:ascii="Arial" w:eastAsia="Arial" w:hAnsi="Arial" w:cs="Arial"/>
                <w:b/>
                <w:bCs/>
                <w:color w:val="000000" w:themeColor="text1"/>
                <w:sz w:val="24"/>
                <w:szCs w:val="24"/>
              </w:rPr>
            </w:pPr>
            <w:r w:rsidRPr="515A1CF8">
              <w:rPr>
                <w:rFonts w:ascii="Arial" w:eastAsia="Arial" w:hAnsi="Arial" w:cs="Arial"/>
                <w:b/>
                <w:bCs/>
                <w:color w:val="000000" w:themeColor="text1"/>
                <w:sz w:val="24"/>
                <w:szCs w:val="24"/>
              </w:rPr>
              <w:t xml:space="preserve">Reflect upon </w:t>
            </w:r>
            <w:r w:rsidRPr="515A1CF8">
              <w:rPr>
                <w:rFonts w:ascii="Arial" w:eastAsia="Arial" w:hAnsi="Arial" w:cs="Arial"/>
                <w:color w:val="000000" w:themeColor="text1"/>
                <w:sz w:val="24"/>
                <w:szCs w:val="24"/>
              </w:rPr>
              <w:t xml:space="preserve">your application of relevant powers to arrest and apprehend where necessary and the use of special warnings when required. </w:t>
            </w:r>
          </w:p>
          <w:p w14:paraId="55587379" w14:textId="5906684B" w:rsidR="7336895D" w:rsidRDefault="7336895D" w:rsidP="7336895D">
            <w:pPr>
              <w:rPr>
                <w:rFonts w:ascii="Arial" w:eastAsia="Arial" w:hAnsi="Arial" w:cs="Arial"/>
                <w:b/>
                <w:bCs/>
                <w:color w:val="000000" w:themeColor="text1"/>
                <w:sz w:val="24"/>
                <w:szCs w:val="24"/>
              </w:rPr>
            </w:pPr>
          </w:p>
          <w:p w14:paraId="07FB6129" w14:textId="6E0D0685" w:rsidR="7336895D" w:rsidRDefault="7336895D" w:rsidP="7336895D">
            <w:pPr>
              <w:rPr>
                <w:rFonts w:ascii="Arial" w:eastAsia="Arial" w:hAnsi="Arial" w:cs="Arial"/>
                <w:b/>
                <w:bCs/>
                <w:color w:val="000000" w:themeColor="text1"/>
                <w:sz w:val="24"/>
                <w:szCs w:val="24"/>
              </w:rPr>
            </w:pPr>
          </w:p>
          <w:p w14:paraId="0896BCC9" w14:textId="5280C6BD" w:rsidR="7336895D" w:rsidRDefault="360EEAD4" w:rsidP="515A1CF8">
            <w:pPr>
              <w:rPr>
                <w:rFonts w:ascii="Arial" w:eastAsia="Arial" w:hAnsi="Arial" w:cs="Arial"/>
                <w:b/>
                <w:bCs/>
                <w:color w:val="000000" w:themeColor="text1"/>
                <w:sz w:val="24"/>
                <w:szCs w:val="24"/>
              </w:rPr>
            </w:pPr>
            <w:r w:rsidRPr="515A1CF8">
              <w:rPr>
                <w:rFonts w:ascii="Arial" w:eastAsia="Arial" w:hAnsi="Arial" w:cs="Arial"/>
                <w:b/>
                <w:bCs/>
                <w:color w:val="000000" w:themeColor="text1"/>
                <w:sz w:val="24"/>
                <w:szCs w:val="24"/>
              </w:rPr>
              <w:t xml:space="preserve">Illustrate </w:t>
            </w:r>
            <w:r w:rsidRPr="515A1CF8">
              <w:rPr>
                <w:rFonts w:ascii="Arial" w:eastAsia="Arial" w:hAnsi="Arial" w:cs="Arial"/>
                <w:color w:val="000000" w:themeColor="text1"/>
                <w:sz w:val="24"/>
                <w:szCs w:val="24"/>
              </w:rPr>
              <w:t>how you have undertaken associated search and custody procedures to protect and safeguard the public in accordance with legalisation and policy.</w:t>
            </w:r>
          </w:p>
          <w:p w14:paraId="7EE609DB" w14:textId="6FDC2839" w:rsidR="7336895D" w:rsidRDefault="7336895D" w:rsidP="515A1CF8">
            <w:pPr>
              <w:rPr>
                <w:rFonts w:ascii="Arial" w:eastAsia="Arial" w:hAnsi="Arial" w:cs="Arial"/>
                <w:b/>
                <w:bCs/>
                <w:color w:val="000000" w:themeColor="text1"/>
                <w:sz w:val="24"/>
                <w:szCs w:val="24"/>
              </w:rPr>
            </w:pPr>
          </w:p>
          <w:p w14:paraId="3CB218F0" w14:textId="0B791342" w:rsidR="7336895D" w:rsidRDefault="23CC4803" w:rsidP="515A1CF8">
            <w:pPr>
              <w:rPr>
                <w:rFonts w:ascii="Arial" w:eastAsia="Arial" w:hAnsi="Arial" w:cs="Arial"/>
                <w:color w:val="000000" w:themeColor="text1"/>
                <w:sz w:val="24"/>
                <w:szCs w:val="24"/>
              </w:rPr>
            </w:pPr>
            <w:r w:rsidRPr="515A1CF8">
              <w:rPr>
                <w:rFonts w:ascii="Arial" w:eastAsia="Arial" w:hAnsi="Arial" w:cs="Arial"/>
                <w:b/>
                <w:bCs/>
                <w:color w:val="000000" w:themeColor="text1"/>
                <w:sz w:val="24"/>
                <w:szCs w:val="24"/>
              </w:rPr>
              <w:t xml:space="preserve">Analyse </w:t>
            </w:r>
            <w:r w:rsidRPr="515A1CF8">
              <w:rPr>
                <w:rFonts w:ascii="Arial" w:eastAsia="Arial" w:hAnsi="Arial" w:cs="Arial"/>
                <w:color w:val="000000" w:themeColor="text1"/>
                <w:sz w:val="24"/>
                <w:szCs w:val="24"/>
              </w:rPr>
              <w:t xml:space="preserve">your understanding of ethics and values of the service. </w:t>
            </w:r>
          </w:p>
          <w:p w14:paraId="5D1074D9" w14:textId="10262CEB" w:rsidR="7336895D" w:rsidRDefault="7336895D" w:rsidP="515A1CF8">
            <w:pPr>
              <w:rPr>
                <w:rFonts w:ascii="Arial" w:eastAsia="Arial" w:hAnsi="Arial" w:cs="Arial"/>
                <w:b/>
                <w:bCs/>
                <w:color w:val="000000" w:themeColor="text1"/>
                <w:sz w:val="24"/>
                <w:szCs w:val="24"/>
              </w:rPr>
            </w:pPr>
          </w:p>
          <w:p w14:paraId="5E6DB52B" w14:textId="67704545" w:rsidR="515A1CF8" w:rsidRDefault="515A1CF8" w:rsidP="515A1CF8">
            <w:pPr>
              <w:rPr>
                <w:rFonts w:ascii="Arial" w:eastAsia="Arial" w:hAnsi="Arial" w:cs="Arial"/>
                <w:b/>
                <w:bCs/>
                <w:color w:val="000000" w:themeColor="text1"/>
                <w:sz w:val="24"/>
                <w:szCs w:val="24"/>
              </w:rPr>
            </w:pPr>
          </w:p>
          <w:p w14:paraId="62B8D211" w14:textId="5E9B6D57" w:rsidR="7336895D" w:rsidRDefault="7336895D" w:rsidP="7336895D">
            <w:pPr>
              <w:rPr>
                <w:rFonts w:ascii="Arial" w:eastAsia="Arial" w:hAnsi="Arial" w:cs="Arial"/>
                <w:b/>
                <w:bCs/>
                <w:color w:val="000000" w:themeColor="text1"/>
                <w:sz w:val="24"/>
                <w:szCs w:val="24"/>
              </w:rPr>
            </w:pPr>
          </w:p>
          <w:p w14:paraId="7CE49826" w14:textId="698EE564" w:rsidR="7336895D" w:rsidRDefault="7336895D" w:rsidP="7336895D">
            <w:pPr>
              <w:rPr>
                <w:rFonts w:ascii="Arial" w:eastAsia="Arial" w:hAnsi="Arial" w:cs="Arial"/>
                <w:b/>
                <w:bCs/>
                <w:color w:val="000000" w:themeColor="text1"/>
                <w:sz w:val="24"/>
                <w:szCs w:val="24"/>
              </w:rPr>
            </w:pPr>
          </w:p>
          <w:p w14:paraId="0493E09F" w14:textId="76FD0E33" w:rsidR="7336895D" w:rsidRDefault="141362C1" w:rsidP="727E3A7D">
            <w:pPr>
              <w:ind w:right="237"/>
              <w:jc w:val="both"/>
              <w:rPr>
                <w:rFonts w:ascii="Arial" w:eastAsia="Arial" w:hAnsi="Arial" w:cs="Arial"/>
                <w:sz w:val="24"/>
                <w:szCs w:val="24"/>
              </w:rPr>
            </w:pPr>
            <w:r w:rsidRPr="727E3A7D">
              <w:rPr>
                <w:rFonts w:ascii="Arial" w:eastAsia="Arial" w:hAnsi="Arial" w:cs="Arial"/>
                <w:color w:val="000000" w:themeColor="text1"/>
                <w:sz w:val="24"/>
                <w:szCs w:val="24"/>
              </w:rPr>
              <w:t xml:space="preserve">2000 words </w:t>
            </w:r>
            <w:r w:rsidRPr="727E3A7D">
              <w:rPr>
                <w:rFonts w:ascii="Arial" w:eastAsia="Arial" w:hAnsi="Arial" w:cs="Arial"/>
                <w:i/>
                <w:iCs/>
                <w:color w:val="000000" w:themeColor="text1"/>
                <w:sz w:val="24"/>
                <w:szCs w:val="24"/>
              </w:rPr>
              <w:t>(+/- 10%: include your actual word count at the end of each section)</w:t>
            </w:r>
          </w:p>
          <w:p w14:paraId="48890830" w14:textId="7AADAC30" w:rsidR="7336895D" w:rsidRDefault="7336895D" w:rsidP="727E3A7D">
            <w:pPr>
              <w:rPr>
                <w:rFonts w:ascii="Arial" w:eastAsia="Arial" w:hAnsi="Arial" w:cs="Arial"/>
                <w:b/>
                <w:bCs/>
                <w:color w:val="000000" w:themeColor="text1"/>
                <w:sz w:val="24"/>
                <w:szCs w:val="24"/>
              </w:rPr>
            </w:pPr>
          </w:p>
          <w:p w14:paraId="296E3AF7" w14:textId="6DBB3300" w:rsidR="7336895D" w:rsidRDefault="7336895D" w:rsidP="7336895D">
            <w:pPr>
              <w:rPr>
                <w:rFonts w:ascii="Arial" w:eastAsia="Arial" w:hAnsi="Arial" w:cs="Arial"/>
                <w:b/>
                <w:bCs/>
                <w:color w:val="000000" w:themeColor="text1"/>
                <w:sz w:val="24"/>
                <w:szCs w:val="24"/>
              </w:rPr>
            </w:pPr>
          </w:p>
        </w:tc>
      </w:tr>
    </w:tbl>
    <w:p w14:paraId="0ADACAE9" w14:textId="62152FEB" w:rsidR="7336895D" w:rsidRDefault="7336895D" w:rsidP="7336895D">
      <w:pPr>
        <w:ind w:left="3600" w:right="107" w:firstLine="720"/>
        <w:jc w:val="both"/>
        <w:rPr>
          <w:rFonts w:ascii="Arial" w:eastAsia="Arial" w:hAnsi="Arial" w:cs="Arial"/>
          <w:b/>
          <w:bCs/>
          <w:color w:val="000000" w:themeColor="text1"/>
          <w:sz w:val="24"/>
          <w:szCs w:val="24"/>
        </w:rPr>
      </w:pPr>
    </w:p>
    <w:p w14:paraId="4C89B639" w14:textId="77777777" w:rsidR="00EC5F4F" w:rsidRDefault="00EC5F4F" w:rsidP="00EC5F4F">
      <w:pPr>
        <w:ind w:right="237"/>
        <w:jc w:val="both"/>
        <w:rPr>
          <w:rFonts w:ascii="Arial" w:eastAsia="Arial" w:hAnsi="Arial" w:cs="Arial"/>
          <w:b/>
          <w:bCs/>
          <w:i/>
          <w:iCs/>
          <w:color w:val="000000"/>
        </w:rPr>
      </w:pPr>
      <w:r w:rsidRPr="00EC5F4F">
        <w:rPr>
          <w:rFonts w:ascii="Arial" w:eastAsia="Arial" w:hAnsi="Arial" w:cs="Arial"/>
          <w:b/>
          <w:bCs/>
          <w:i/>
          <w:iCs/>
          <w:color w:val="000000"/>
        </w:rPr>
        <w:t xml:space="preserve">Give a brief description of the investigation including social and legislative contexts and any relevant cultural, ethnicity and language issues.  </w:t>
      </w:r>
    </w:p>
    <w:p w14:paraId="5589EBB8" w14:textId="7777DDED" w:rsidR="00EC5F4F" w:rsidRPr="00EC5F4F" w:rsidRDefault="00EC5F4F" w:rsidP="00EC5F4F">
      <w:pPr>
        <w:ind w:right="237"/>
        <w:jc w:val="both"/>
        <w:rPr>
          <w:i/>
          <w:iCs/>
        </w:rPr>
      </w:pPr>
      <w:r w:rsidRPr="00EC5F4F">
        <w:rPr>
          <w:rFonts w:ascii="Arial" w:eastAsia="Arial" w:hAnsi="Arial" w:cs="Arial"/>
          <w:b/>
          <w:bCs/>
          <w:i/>
          <w:iCs/>
        </w:rPr>
        <w:t xml:space="preserve"> </w:t>
      </w:r>
    </w:p>
    <w:p w14:paraId="2724C9BD" w14:textId="77777777" w:rsidR="00EC5F4F" w:rsidRPr="005D211B" w:rsidRDefault="00EC5F4F" w:rsidP="00EC5F4F">
      <w:pPr>
        <w:rPr>
          <w:rFonts w:ascii="Arial" w:hAnsi="Arial" w:cs="Arial"/>
        </w:rPr>
      </w:pPr>
      <w:r w:rsidRPr="005D211B">
        <w:rPr>
          <w:rFonts w:ascii="Arial" w:hAnsi="Arial" w:cs="Arial"/>
        </w:rPr>
        <w:t xml:space="preserve">The investigation relates to a repeat allegation of sexual assault upon a female child by her mother’s partner. The first allegation didn’t result in prosecution. The victim maintained her truthfulness however, her sister, was adamant it was fabrication. Their mother was also a suspect for allowing the offence. </w:t>
      </w:r>
    </w:p>
    <w:p w14:paraId="495C249C" w14:textId="24F66300" w:rsidR="00EC5F4F" w:rsidRPr="005D211B" w:rsidRDefault="00EC5F4F" w:rsidP="00EC5F4F">
      <w:pPr>
        <w:rPr>
          <w:rFonts w:ascii="Arial" w:hAnsi="Arial" w:cs="Arial"/>
        </w:rPr>
      </w:pPr>
      <w:r w:rsidRPr="005D211B">
        <w:rPr>
          <w:rFonts w:ascii="Arial" w:hAnsi="Arial" w:cs="Arial"/>
        </w:rPr>
        <w:t>This information will relate to mid-point of the investigation whereby additional evidence gathered necessitated further arrest and interview of the suspects and further Achieving Best Evidence interviews (ABE</w:t>
      </w:r>
      <w:r w:rsidR="005D211B">
        <w:rPr>
          <w:rFonts w:ascii="Arial" w:hAnsi="Arial" w:cs="Arial"/>
        </w:rPr>
        <w:t>)</w:t>
      </w:r>
      <w:r w:rsidRPr="005D211B">
        <w:rPr>
          <w:rFonts w:ascii="Arial" w:hAnsi="Arial" w:cs="Arial"/>
        </w:rPr>
        <w:t xml:space="preserve"> </w:t>
      </w:r>
      <w:r w:rsidR="005D211B">
        <w:rPr>
          <w:rFonts w:ascii="Arial" w:hAnsi="Arial" w:cs="Arial"/>
        </w:rPr>
        <w:t>(</w:t>
      </w:r>
      <w:r w:rsidRPr="005D211B">
        <w:rPr>
          <w:rFonts w:ascii="Arial" w:hAnsi="Arial" w:cs="Arial"/>
          <w:i/>
          <w:iCs/>
        </w:rPr>
        <w:t>Youth Justice and Criminal Evidence Act</w:t>
      </w:r>
      <w:r w:rsidR="005D211B">
        <w:rPr>
          <w:rFonts w:ascii="Arial" w:hAnsi="Arial" w:cs="Arial"/>
          <w:i/>
          <w:iCs/>
        </w:rPr>
        <w:t xml:space="preserve"> </w:t>
      </w:r>
      <w:r w:rsidRPr="005D211B">
        <w:rPr>
          <w:rFonts w:ascii="Arial" w:hAnsi="Arial" w:cs="Arial"/>
        </w:rPr>
        <w:t xml:space="preserve">1999, Sect 16 &amp; 17), with the child victim and witness. There were no cultural, ethnicity or language issues however, there were vulnerabilities due to age and emotional trauma. </w:t>
      </w:r>
    </w:p>
    <w:p w14:paraId="462F518B" w14:textId="336CB031" w:rsidR="00EC5F4F" w:rsidRPr="00EC5F4F" w:rsidRDefault="00EC5F4F" w:rsidP="00EC5F4F">
      <w:pPr>
        <w:jc w:val="right"/>
        <w:rPr>
          <w:rFonts w:ascii="Arial" w:hAnsi="Arial" w:cs="Arial"/>
          <w:color w:val="FF0000"/>
          <w:sz w:val="24"/>
          <w:szCs w:val="24"/>
        </w:rPr>
      </w:pPr>
      <w:r w:rsidRPr="00EC5F4F">
        <w:rPr>
          <w:rFonts w:ascii="Arial" w:hAnsi="Arial" w:cs="Arial"/>
          <w:color w:val="FF0000"/>
          <w:sz w:val="24"/>
          <w:szCs w:val="24"/>
        </w:rPr>
        <w:t>99</w:t>
      </w:r>
    </w:p>
    <w:p w14:paraId="1B4EB6B1" w14:textId="77777777" w:rsidR="005D211B" w:rsidRDefault="005D211B" w:rsidP="00EC5F4F">
      <w:pPr>
        <w:rPr>
          <w:rFonts w:ascii="Arial" w:eastAsia="Arial" w:hAnsi="Arial" w:cs="Arial"/>
          <w:b/>
          <w:bCs/>
          <w:i/>
          <w:iCs/>
          <w:color w:val="000000"/>
        </w:rPr>
      </w:pPr>
    </w:p>
    <w:p w14:paraId="0B2C1924" w14:textId="1B40AD8D" w:rsidR="00EC5F4F" w:rsidRPr="00EC5F4F" w:rsidRDefault="00EC5F4F" w:rsidP="00EC5F4F">
      <w:pPr>
        <w:rPr>
          <w:rFonts w:ascii="Arial" w:eastAsia="Arial" w:hAnsi="Arial" w:cs="Arial"/>
          <w:b/>
          <w:bCs/>
          <w:i/>
          <w:iCs/>
          <w:color w:val="000000"/>
        </w:rPr>
      </w:pPr>
      <w:r w:rsidRPr="00EC5F4F">
        <w:rPr>
          <w:rFonts w:ascii="Arial" w:eastAsia="Arial" w:hAnsi="Arial" w:cs="Arial"/>
          <w:b/>
          <w:bCs/>
          <w:i/>
          <w:iCs/>
          <w:color w:val="000000"/>
        </w:rPr>
        <w:t xml:space="preserve">Critically evaluate the interview process of witnesses and suspects and how you have gathered all required information in relation to the investigation in accordance with PIP2 investigative standards. (Consider generating further lines of enquiry where required). </w:t>
      </w:r>
    </w:p>
    <w:p w14:paraId="37068CA7" w14:textId="77777777" w:rsidR="00EC5F4F" w:rsidRPr="00EC5F4F" w:rsidRDefault="00EC5F4F" w:rsidP="00EC5F4F">
      <w:pPr>
        <w:rPr>
          <w:rFonts w:ascii="Arial" w:eastAsia="Arial" w:hAnsi="Arial" w:cs="Arial"/>
        </w:rPr>
      </w:pPr>
      <w:r w:rsidRPr="00EC5F4F">
        <w:rPr>
          <w:rFonts w:ascii="Arial" w:eastAsia="Arial" w:hAnsi="Arial" w:cs="Arial"/>
        </w:rPr>
        <w:t xml:space="preserve">Methodology is critical in investigative interviewing. (College of Policing, </w:t>
      </w:r>
      <w:proofErr w:type="spellStart"/>
      <w:r w:rsidRPr="00EC5F4F">
        <w:rPr>
          <w:rFonts w:ascii="Arial" w:eastAsia="Arial" w:hAnsi="Arial" w:cs="Arial"/>
        </w:rPr>
        <w:t>n.d</w:t>
      </w:r>
      <w:proofErr w:type="spellEnd"/>
      <w:r w:rsidRPr="00EC5F4F">
        <w:rPr>
          <w:rFonts w:ascii="Arial" w:eastAsia="Arial" w:hAnsi="Arial" w:cs="Arial"/>
        </w:rPr>
        <w:t xml:space="preserve">).) </w:t>
      </w:r>
    </w:p>
    <w:p w14:paraId="114EBD1C" w14:textId="77777777" w:rsidR="00EC5F4F" w:rsidRDefault="00EC5F4F" w:rsidP="00EC5F4F">
      <w:pPr>
        <w:rPr>
          <w:rFonts w:ascii="Arial" w:eastAsia="Arial" w:hAnsi="Arial" w:cs="Arial"/>
          <w:sz w:val="24"/>
          <w:szCs w:val="24"/>
        </w:rPr>
      </w:pPr>
    </w:p>
    <w:p w14:paraId="14B9A641" w14:textId="77777777" w:rsidR="00EC5F4F" w:rsidRDefault="00EC5F4F" w:rsidP="00EC5F4F">
      <w:r>
        <w:rPr>
          <w:noProof/>
        </w:rPr>
        <w:drawing>
          <wp:inline distT="0" distB="0" distL="0" distR="0" wp14:anchorId="3D3B66BB" wp14:editId="2AE0EA07">
            <wp:extent cx="3843113" cy="3774899"/>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rcRect/>
                    <a:stretch>
                      <a:fillRect/>
                    </a:stretch>
                  </pic:blipFill>
                  <pic:spPr>
                    <a:xfrm>
                      <a:off x="0" y="0"/>
                      <a:ext cx="3843113" cy="3774899"/>
                    </a:xfrm>
                    <a:prstGeom prst="rect">
                      <a:avLst/>
                    </a:prstGeom>
                    <a:noFill/>
                    <a:ln>
                      <a:noFill/>
                      <a:prstDash/>
                    </a:ln>
                  </pic:spPr>
                </pic:pic>
              </a:graphicData>
            </a:graphic>
          </wp:inline>
        </w:drawing>
      </w:r>
    </w:p>
    <w:p w14:paraId="312BBF3D" w14:textId="77777777" w:rsidR="00EC5F4F" w:rsidRDefault="00EC5F4F" w:rsidP="00EC5F4F">
      <w:pPr>
        <w:jc w:val="right"/>
        <w:rPr>
          <w:rFonts w:ascii="Arial" w:eastAsia="Arial" w:hAnsi="Arial" w:cs="Arial"/>
          <w:sz w:val="20"/>
          <w:szCs w:val="20"/>
        </w:rPr>
      </w:pPr>
      <w:r>
        <w:rPr>
          <w:rFonts w:ascii="Arial" w:eastAsia="Arial" w:hAnsi="Arial" w:cs="Arial"/>
          <w:sz w:val="20"/>
          <w:szCs w:val="20"/>
        </w:rPr>
        <w:t xml:space="preserve">(PEACE model of investigative interviewing, College of Policing, </w:t>
      </w:r>
      <w:proofErr w:type="spellStart"/>
      <w:r>
        <w:rPr>
          <w:rFonts w:ascii="Arial" w:eastAsia="Arial" w:hAnsi="Arial" w:cs="Arial"/>
          <w:sz w:val="20"/>
          <w:szCs w:val="20"/>
        </w:rPr>
        <w:t>n.d</w:t>
      </w:r>
      <w:proofErr w:type="spellEnd"/>
      <w:r>
        <w:rPr>
          <w:rFonts w:ascii="Arial" w:eastAsia="Arial" w:hAnsi="Arial" w:cs="Arial"/>
          <w:sz w:val="20"/>
          <w:szCs w:val="20"/>
        </w:rPr>
        <w:t xml:space="preserve">). </w:t>
      </w:r>
    </w:p>
    <w:p w14:paraId="765466C4" w14:textId="77777777" w:rsidR="00EC5F4F" w:rsidRDefault="00EC5F4F" w:rsidP="00EC5F4F">
      <w:pPr>
        <w:rPr>
          <w:rFonts w:ascii="Arial" w:eastAsia="Times New Roman" w:hAnsi="Arial" w:cs="Arial"/>
          <w:u w:val="single"/>
          <w:lang w:eastAsia="en-GB"/>
        </w:rPr>
      </w:pPr>
    </w:p>
    <w:p w14:paraId="1EF764B7" w14:textId="77777777" w:rsidR="00EC5F4F" w:rsidRPr="00292282" w:rsidRDefault="00EC5F4F" w:rsidP="00EC5F4F">
      <w:pPr>
        <w:rPr>
          <w:rFonts w:ascii="Arial" w:eastAsia="Times New Roman" w:hAnsi="Arial" w:cs="Arial"/>
          <w:lang w:eastAsia="en-GB"/>
        </w:rPr>
      </w:pPr>
      <w:r w:rsidRPr="00292282">
        <w:rPr>
          <w:rFonts w:ascii="Arial" w:eastAsia="Times New Roman" w:hAnsi="Arial" w:cs="Arial"/>
          <w:u w:val="single"/>
          <w:lang w:eastAsia="en-GB"/>
        </w:rPr>
        <w:t>Planning and preparation</w:t>
      </w:r>
      <w:r w:rsidRPr="00292282">
        <w:rPr>
          <w:rFonts w:ascii="Arial" w:eastAsia="Times New Roman" w:hAnsi="Arial" w:cs="Arial"/>
          <w:lang w:eastAsia="en-GB"/>
        </w:rPr>
        <w:t xml:space="preserve">. </w:t>
      </w:r>
    </w:p>
    <w:p w14:paraId="13DF8F88" w14:textId="188C246E" w:rsidR="00EC5F4F" w:rsidRPr="00EC5F4F" w:rsidRDefault="00EC5F4F" w:rsidP="00EC5F4F">
      <w:pPr>
        <w:rPr>
          <w:rFonts w:ascii="Arial" w:eastAsia="Times New Roman" w:hAnsi="Arial" w:cs="Arial"/>
          <w:lang w:eastAsia="en-GB"/>
        </w:rPr>
      </w:pPr>
      <w:r w:rsidRPr="00292282">
        <w:rPr>
          <w:rFonts w:ascii="Arial" w:eastAsia="Times New Roman" w:hAnsi="Arial" w:cs="Arial"/>
          <w:lang w:eastAsia="en-GB"/>
        </w:rPr>
        <w:t>I conducted ABE interviews</w:t>
      </w:r>
      <w:r w:rsidR="007A27C9">
        <w:rPr>
          <w:rFonts w:ascii="Arial" w:eastAsia="Times New Roman" w:hAnsi="Arial" w:cs="Arial"/>
          <w:lang w:eastAsia="en-GB"/>
        </w:rPr>
        <w:t xml:space="preserve"> (Ministry of Justice, 2022),</w:t>
      </w:r>
      <w:r w:rsidRPr="00292282">
        <w:rPr>
          <w:rFonts w:ascii="Arial" w:eastAsia="Times New Roman" w:hAnsi="Arial" w:cs="Arial"/>
          <w:lang w:eastAsia="en-GB"/>
        </w:rPr>
        <w:t xml:space="preserve"> with both girls who were struggling psychologically</w:t>
      </w:r>
      <w:r w:rsidRPr="00EC5F4F">
        <w:rPr>
          <w:rFonts w:ascii="Arial" w:eastAsia="Times New Roman" w:hAnsi="Arial" w:cs="Arial"/>
          <w:lang w:eastAsia="en-GB"/>
        </w:rPr>
        <w:t>. I</w:t>
      </w:r>
      <w:r w:rsidRPr="00292282">
        <w:rPr>
          <w:rFonts w:ascii="Arial" w:eastAsia="Times New Roman" w:hAnsi="Arial" w:cs="Arial"/>
          <w:lang w:eastAsia="en-GB"/>
        </w:rPr>
        <w:t xml:space="preserve"> considered how this may impact upon the process. I created relaxe</w:t>
      </w:r>
      <w:r w:rsidRPr="00EC5F4F">
        <w:rPr>
          <w:rFonts w:ascii="Arial" w:eastAsia="Times New Roman" w:hAnsi="Arial" w:cs="Arial"/>
          <w:lang w:eastAsia="en-GB"/>
        </w:rPr>
        <w:t>d</w:t>
      </w:r>
      <w:r w:rsidRPr="00292282">
        <w:rPr>
          <w:rFonts w:ascii="Arial" w:eastAsia="Times New Roman" w:hAnsi="Arial" w:cs="Arial"/>
          <w:lang w:eastAsia="en-GB"/>
        </w:rPr>
        <w:t xml:space="preserve"> atmosphere and rapport by chatting to them about a neutral topic in an approachable manner to reduce anxiety, since hyperarousal (stress), limits mental processing of information (Fischer, </w:t>
      </w:r>
      <w:proofErr w:type="spellStart"/>
      <w:r w:rsidRPr="00292282">
        <w:rPr>
          <w:rFonts w:ascii="Arial" w:eastAsia="Times New Roman" w:hAnsi="Arial" w:cs="Arial"/>
          <w:lang w:eastAsia="en-GB"/>
        </w:rPr>
        <w:t>Geisleman</w:t>
      </w:r>
      <w:proofErr w:type="spellEnd"/>
      <w:r w:rsidRPr="00292282">
        <w:rPr>
          <w:rFonts w:ascii="Arial" w:eastAsia="Times New Roman" w:hAnsi="Arial" w:cs="Arial"/>
          <w:lang w:eastAsia="en-GB"/>
        </w:rPr>
        <w:t xml:space="preserve">, 2010). I sensed hostility between them and a desire to use the process as “points scoring” against the other. Over-familiarisation in rapport can be perceived as counselling to the victim which can result in acquiescence to “please the investigator”, so I maintained a professional </w:t>
      </w:r>
      <w:r w:rsidRPr="00EC5F4F">
        <w:rPr>
          <w:rFonts w:ascii="Arial" w:eastAsia="Times New Roman" w:hAnsi="Arial" w:cs="Arial"/>
          <w:lang w:eastAsia="en-GB"/>
        </w:rPr>
        <w:t>barrier.</w:t>
      </w:r>
      <w:r w:rsidRPr="00292282">
        <w:rPr>
          <w:rFonts w:ascii="Arial" w:eastAsia="Times New Roman" w:hAnsi="Arial" w:cs="Arial"/>
          <w:lang w:eastAsia="en-GB"/>
        </w:rPr>
        <w:t xml:space="preserve"> The PEACE model I used</w:t>
      </w:r>
      <w:r w:rsidRPr="00EC5F4F">
        <w:rPr>
          <w:rFonts w:ascii="Arial" w:eastAsia="Times New Roman" w:hAnsi="Arial" w:cs="Arial"/>
          <w:lang w:eastAsia="en-GB"/>
        </w:rPr>
        <w:t xml:space="preserve"> ensures compliance with legislation (PACE</w:t>
      </w:r>
      <w:r w:rsidR="005D211B">
        <w:rPr>
          <w:rFonts w:ascii="Arial" w:eastAsia="Times New Roman" w:hAnsi="Arial" w:cs="Arial"/>
          <w:lang w:eastAsia="en-GB"/>
        </w:rPr>
        <w:t>)</w:t>
      </w:r>
      <w:r w:rsidRPr="00EC5F4F">
        <w:rPr>
          <w:rFonts w:ascii="Arial" w:eastAsia="Times New Roman" w:hAnsi="Arial" w:cs="Arial"/>
          <w:lang w:eastAsia="en-GB"/>
        </w:rPr>
        <w:t xml:space="preserve"> </w:t>
      </w:r>
      <w:r w:rsidR="005D211B">
        <w:rPr>
          <w:rFonts w:ascii="Arial" w:eastAsia="Times New Roman" w:hAnsi="Arial" w:cs="Arial"/>
          <w:lang w:eastAsia="en-GB"/>
        </w:rPr>
        <w:t>(</w:t>
      </w:r>
      <w:r w:rsidRPr="00EC5F4F">
        <w:rPr>
          <w:rFonts w:ascii="Arial" w:eastAsia="Times New Roman" w:hAnsi="Arial" w:cs="Arial"/>
          <w:i/>
          <w:iCs/>
          <w:lang w:eastAsia="en-GB"/>
        </w:rPr>
        <w:t>Police and Criminal Evidence Act</w:t>
      </w:r>
      <w:r w:rsidRPr="00EC5F4F">
        <w:rPr>
          <w:rFonts w:ascii="Arial" w:eastAsia="Times New Roman" w:hAnsi="Arial" w:cs="Arial"/>
          <w:lang w:eastAsia="en-GB"/>
        </w:rPr>
        <w:t xml:space="preserve"> 1984, Code C). It</w:t>
      </w:r>
      <w:r w:rsidRPr="00292282">
        <w:rPr>
          <w:rFonts w:ascii="Arial" w:eastAsia="Times New Roman" w:hAnsi="Arial" w:cs="Arial"/>
          <w:lang w:eastAsia="en-GB"/>
        </w:rPr>
        <w:t xml:space="preserve"> is widely supported by Professionals as the most effective. (Lamb et at., 2007). It reduces re-traumatisation by preventing the need for re-interviewing through eliciting as much information as possible. (Bull, 2014). Therefore, my objective was to reduce </w:t>
      </w:r>
      <w:r w:rsidRPr="00EC5F4F">
        <w:rPr>
          <w:rFonts w:ascii="Arial" w:eastAsia="Times New Roman" w:hAnsi="Arial" w:cs="Arial"/>
          <w:lang w:eastAsia="en-GB"/>
        </w:rPr>
        <w:t>anxiety</w:t>
      </w:r>
      <w:r w:rsidRPr="00292282">
        <w:rPr>
          <w:rFonts w:ascii="Arial" w:eastAsia="Times New Roman" w:hAnsi="Arial" w:cs="Arial"/>
          <w:lang w:eastAsia="en-GB"/>
        </w:rPr>
        <w:t xml:space="preserve"> </w:t>
      </w:r>
      <w:r w:rsidRPr="00EC5F4F">
        <w:rPr>
          <w:rFonts w:ascii="Arial" w:eastAsia="Times New Roman" w:hAnsi="Arial" w:cs="Arial"/>
          <w:lang w:eastAsia="en-GB"/>
        </w:rPr>
        <w:t>and</w:t>
      </w:r>
      <w:r w:rsidRPr="00292282">
        <w:rPr>
          <w:rFonts w:ascii="Arial" w:eastAsia="Times New Roman" w:hAnsi="Arial" w:cs="Arial"/>
          <w:lang w:eastAsia="en-GB"/>
        </w:rPr>
        <w:t xml:space="preserve"> </w:t>
      </w:r>
      <w:r w:rsidRPr="00EC5F4F">
        <w:rPr>
          <w:rFonts w:ascii="Arial" w:eastAsia="Times New Roman" w:hAnsi="Arial" w:cs="Arial"/>
          <w:lang w:eastAsia="en-GB"/>
        </w:rPr>
        <w:t>conduct a thorough interview</w:t>
      </w:r>
      <w:r w:rsidRPr="00292282">
        <w:rPr>
          <w:rFonts w:ascii="Arial" w:eastAsia="Times New Roman" w:hAnsi="Arial" w:cs="Arial"/>
          <w:lang w:eastAsia="en-GB"/>
        </w:rPr>
        <w:t xml:space="preserve">. </w:t>
      </w:r>
    </w:p>
    <w:p w14:paraId="2566B84C" w14:textId="77777777" w:rsidR="005D211B" w:rsidRDefault="005D211B" w:rsidP="00EC5F4F">
      <w:pPr>
        <w:shd w:val="clear" w:color="auto" w:fill="FFFFFF"/>
        <w:spacing w:before="450" w:after="300" w:line="240" w:lineRule="auto"/>
        <w:outlineLvl w:val="3"/>
        <w:rPr>
          <w:rFonts w:ascii="Arial" w:eastAsia="Times New Roman" w:hAnsi="Arial" w:cs="Arial"/>
          <w:u w:val="single"/>
          <w:lang w:eastAsia="en-GB"/>
        </w:rPr>
      </w:pPr>
    </w:p>
    <w:p w14:paraId="02922017" w14:textId="35C36E2E" w:rsidR="00EC5F4F" w:rsidRPr="00EC5F4F" w:rsidRDefault="00EC5F4F" w:rsidP="00EC5F4F">
      <w:pPr>
        <w:shd w:val="clear" w:color="auto" w:fill="FFFFFF"/>
        <w:spacing w:before="450" w:after="300" w:line="240" w:lineRule="auto"/>
        <w:outlineLvl w:val="3"/>
        <w:rPr>
          <w:rFonts w:ascii="Arial" w:eastAsia="Times New Roman" w:hAnsi="Arial" w:cs="Arial"/>
          <w:u w:val="single"/>
          <w:lang w:eastAsia="en-GB"/>
        </w:rPr>
      </w:pPr>
      <w:r w:rsidRPr="00EC5F4F">
        <w:rPr>
          <w:rFonts w:ascii="Arial" w:eastAsia="Times New Roman" w:hAnsi="Arial" w:cs="Arial"/>
          <w:u w:val="single"/>
          <w:lang w:eastAsia="en-GB"/>
        </w:rPr>
        <w:t>Engage and Explain</w:t>
      </w:r>
    </w:p>
    <w:p w14:paraId="3AE5B100" w14:textId="77777777" w:rsidR="00EC5F4F" w:rsidRPr="00EC5F4F" w:rsidRDefault="00EC5F4F" w:rsidP="00EC5F4F">
      <w:pPr>
        <w:shd w:val="clear" w:color="auto" w:fill="FFFFFF"/>
        <w:spacing w:before="450" w:after="300" w:line="240" w:lineRule="auto"/>
        <w:outlineLvl w:val="3"/>
        <w:rPr>
          <w:rFonts w:ascii="Arial" w:eastAsia="Times New Roman" w:hAnsi="Arial" w:cs="Arial"/>
          <w:lang w:eastAsia="en-GB"/>
        </w:rPr>
      </w:pPr>
      <w:r w:rsidRPr="00EC5F4F">
        <w:rPr>
          <w:rFonts w:ascii="Arial" w:eastAsia="Times New Roman" w:hAnsi="Arial" w:cs="Arial"/>
          <w:lang w:eastAsia="en-GB"/>
        </w:rPr>
        <w:t xml:space="preserve">This stage of the interview covers a lot of necessary legal information, rules and assessment which is read from a “script” by the interviewer. This felt impersonal and formal but was a necessary prompt to ensure legislative integrity, since at that time, I was already distracted with an unfamiliar interview suite and equipment. As explained by Bull (2014, cites Lamb et al., 2007 p. 1217), that whilst this appears rigid, it reduces the interviewer’s cognitive load. </w:t>
      </w:r>
    </w:p>
    <w:p w14:paraId="18C43202" w14:textId="77777777" w:rsidR="00EC5F4F" w:rsidRPr="00EC5F4F" w:rsidRDefault="00EC5F4F" w:rsidP="00EC5F4F">
      <w:pPr>
        <w:shd w:val="clear" w:color="auto" w:fill="FFFFFF"/>
        <w:spacing w:before="450" w:after="300" w:line="240" w:lineRule="auto"/>
        <w:outlineLvl w:val="3"/>
        <w:rPr>
          <w:rFonts w:ascii="Arial" w:eastAsia="Times New Roman" w:hAnsi="Arial" w:cs="Arial"/>
          <w:u w:val="single"/>
          <w:lang w:eastAsia="en-GB"/>
        </w:rPr>
      </w:pPr>
      <w:r w:rsidRPr="00EC5F4F">
        <w:rPr>
          <w:rFonts w:ascii="Arial" w:eastAsia="Times New Roman" w:hAnsi="Arial" w:cs="Arial"/>
          <w:u w:val="single"/>
          <w:lang w:eastAsia="en-GB"/>
        </w:rPr>
        <w:t>Account</w:t>
      </w:r>
    </w:p>
    <w:p w14:paraId="39BF3B83" w14:textId="77777777" w:rsidR="00EC5F4F" w:rsidRPr="00EC5F4F" w:rsidRDefault="00EC5F4F" w:rsidP="00EC5F4F">
      <w:pPr>
        <w:shd w:val="clear" w:color="auto" w:fill="FFFFFF"/>
        <w:spacing w:before="450" w:after="300" w:line="240" w:lineRule="auto"/>
        <w:outlineLvl w:val="3"/>
        <w:rPr>
          <w:rFonts w:ascii="Arial" w:eastAsia="Times New Roman" w:hAnsi="Arial" w:cs="Arial"/>
          <w:lang w:eastAsia="en-GB"/>
        </w:rPr>
      </w:pPr>
      <w:r w:rsidRPr="00EC5F4F">
        <w:rPr>
          <w:rFonts w:ascii="Arial" w:eastAsia="Times New Roman" w:hAnsi="Arial" w:cs="Arial"/>
          <w:lang w:eastAsia="en-GB"/>
        </w:rPr>
        <w:t xml:space="preserve">I applied recommended techniques to elicit as much information as possible, directing free recall and mental reinstatement by closing their eyes without interruption (Milne and Powell, 2010), since interruption impedes memory recall and discouraging a victim to have control and provide a full account negatively impacts their psychological health. I used short, untagged, open questions, (Bull, 2014). Eisen et al., (2002), explains how this questioning style reduces suggestibility and improves detail with children. </w:t>
      </w:r>
    </w:p>
    <w:p w14:paraId="785AE0AF" w14:textId="77777777" w:rsidR="00EC5F4F" w:rsidRPr="00EC5F4F" w:rsidRDefault="00EC5F4F" w:rsidP="00EC5F4F">
      <w:pPr>
        <w:shd w:val="clear" w:color="auto" w:fill="FFFFFF"/>
        <w:spacing w:before="450" w:after="300" w:line="240" w:lineRule="auto"/>
        <w:outlineLvl w:val="3"/>
        <w:rPr>
          <w:rFonts w:ascii="Arial" w:eastAsia="Times New Roman" w:hAnsi="Arial" w:cs="Arial"/>
          <w:lang w:eastAsia="en-GB"/>
        </w:rPr>
      </w:pPr>
      <w:r w:rsidRPr="00EC5F4F">
        <w:rPr>
          <w:rFonts w:ascii="Arial" w:eastAsia="Times New Roman" w:hAnsi="Arial" w:cs="Arial"/>
          <w:lang w:eastAsia="en-GB"/>
        </w:rPr>
        <w:t xml:space="preserve">Unfortunately, I seemed to lose control when both offloaded frustrations resulting from hostility between them, expressing their hatred for one another for alleged dishonesty and ruining their life rather than evidential facts. We went significantly off topic and it felt like a counselling session rather than gathering evidence. </w:t>
      </w:r>
    </w:p>
    <w:p w14:paraId="516AA072" w14:textId="77777777" w:rsidR="00EC5F4F" w:rsidRPr="00EC5F4F" w:rsidRDefault="00EC5F4F" w:rsidP="00EC5F4F">
      <w:pPr>
        <w:shd w:val="clear" w:color="auto" w:fill="FFFFFF"/>
        <w:spacing w:before="450" w:after="300" w:line="240" w:lineRule="auto"/>
        <w:outlineLvl w:val="3"/>
        <w:rPr>
          <w:rFonts w:ascii="Arial" w:eastAsia="Times New Roman" w:hAnsi="Arial" w:cs="Arial"/>
          <w:lang w:eastAsia="en-GB"/>
        </w:rPr>
      </w:pPr>
      <w:r w:rsidRPr="00EC5F4F">
        <w:rPr>
          <w:rFonts w:ascii="Arial" w:eastAsia="Times New Roman" w:hAnsi="Arial" w:cs="Arial"/>
          <w:lang w:eastAsia="en-GB"/>
        </w:rPr>
        <w:t>I have considered what may have gone wrong here and its resolution. Bull (2014), states that maintaining control without a perception of authority is problematic. Correct application of the PEACE model</w:t>
      </w:r>
      <w:r w:rsidRPr="00292282">
        <w:rPr>
          <w:rFonts w:ascii="Arial" w:eastAsia="Times New Roman" w:hAnsi="Arial" w:cs="Arial"/>
          <w:lang w:eastAsia="en-GB"/>
        </w:rPr>
        <w:t xml:space="preserve"> has therapeutic benefits for the witness </w:t>
      </w:r>
      <w:r w:rsidRPr="00EC5F4F">
        <w:rPr>
          <w:rFonts w:ascii="Arial" w:eastAsia="Times New Roman" w:hAnsi="Arial" w:cs="Arial"/>
          <w:lang w:eastAsia="en-GB"/>
        </w:rPr>
        <w:t xml:space="preserve">and limitations to evidential points are frustrating and depersonalising. (Fischer and </w:t>
      </w:r>
      <w:proofErr w:type="spellStart"/>
      <w:r w:rsidRPr="00EC5F4F">
        <w:rPr>
          <w:rFonts w:ascii="Arial" w:eastAsia="Times New Roman" w:hAnsi="Arial" w:cs="Arial"/>
          <w:lang w:eastAsia="en-GB"/>
        </w:rPr>
        <w:t>Geisleman</w:t>
      </w:r>
      <w:proofErr w:type="spellEnd"/>
      <w:r w:rsidRPr="00EC5F4F">
        <w:rPr>
          <w:rFonts w:ascii="Arial" w:eastAsia="Times New Roman" w:hAnsi="Arial" w:cs="Arial"/>
          <w:lang w:eastAsia="en-GB"/>
        </w:rPr>
        <w:t>, 2010). Lamb et al., (2011), states how continued training is required in addition to a model of investigative interviewing as well as exploring possible alternative strategies to improve effectiveness. Eastwood et al., (2018), recommend the interviewee draws a sketch plan which is shown to increase and detail in free recall and shorten the length of the interview by promoting a mental grounding, to focus and recreate the scenario. It is likely to have benefits in maintaining focus and brevity in these interviews.</w:t>
      </w:r>
    </w:p>
    <w:p w14:paraId="029A0D75" w14:textId="77777777" w:rsidR="00EC5F4F" w:rsidRPr="00EC5F4F" w:rsidRDefault="00EC5F4F" w:rsidP="00EC5F4F">
      <w:pPr>
        <w:shd w:val="clear" w:color="auto" w:fill="FFFFFF"/>
        <w:spacing w:before="450" w:after="300" w:line="240" w:lineRule="auto"/>
        <w:outlineLvl w:val="3"/>
        <w:rPr>
          <w:rFonts w:ascii="Arial" w:eastAsia="Times New Roman" w:hAnsi="Arial" w:cs="Arial"/>
          <w:u w:val="single"/>
          <w:lang w:eastAsia="en-GB"/>
        </w:rPr>
      </w:pPr>
      <w:r w:rsidRPr="00EC5F4F">
        <w:rPr>
          <w:rFonts w:ascii="Arial" w:eastAsia="Times New Roman" w:hAnsi="Arial" w:cs="Arial"/>
          <w:u w:val="single"/>
          <w:lang w:eastAsia="en-GB"/>
        </w:rPr>
        <w:t>Evaluation</w:t>
      </w:r>
    </w:p>
    <w:p w14:paraId="6B030563" w14:textId="77777777" w:rsidR="00EC5F4F" w:rsidRPr="00EC5F4F" w:rsidRDefault="00EC5F4F" w:rsidP="00EC5F4F">
      <w:pPr>
        <w:shd w:val="clear" w:color="auto" w:fill="FFFFFF"/>
        <w:spacing w:before="450" w:after="300" w:line="240" w:lineRule="auto"/>
        <w:outlineLvl w:val="3"/>
        <w:rPr>
          <w:rFonts w:ascii="Arial" w:eastAsia="Times New Roman" w:hAnsi="Arial" w:cs="Arial"/>
          <w:lang w:eastAsia="en-GB"/>
        </w:rPr>
      </w:pPr>
      <w:r w:rsidRPr="00EC5F4F">
        <w:rPr>
          <w:rFonts w:ascii="Arial" w:eastAsia="Times New Roman" w:hAnsi="Arial" w:cs="Arial"/>
          <w:lang w:eastAsia="en-GB"/>
        </w:rPr>
        <w:t xml:space="preserve">I had managed to clarify investigative points as required however; I was concerned about negative feedback from CPS’s stipulation of 45-minute duration ABE interviews. The objective of cognitive interviewing is to elicit maximum information. This parameter may impede the investigator and may result in incomplete or unreliable information not meeting the PIP2 standards. </w:t>
      </w:r>
    </w:p>
    <w:p w14:paraId="6DF29688" w14:textId="6DF4997D" w:rsidR="00EC5F4F" w:rsidRPr="00EC5F4F" w:rsidRDefault="00EC5F4F" w:rsidP="00EC5F4F">
      <w:pPr>
        <w:shd w:val="clear" w:color="auto" w:fill="FFFFFF"/>
        <w:spacing w:before="450" w:after="300" w:line="240" w:lineRule="auto"/>
        <w:outlineLvl w:val="3"/>
        <w:rPr>
          <w:rFonts w:ascii="Arial" w:hAnsi="Arial" w:cs="Arial"/>
        </w:rPr>
      </w:pPr>
      <w:r w:rsidRPr="00EC5F4F">
        <w:rPr>
          <w:rFonts w:ascii="Arial" w:eastAsia="Times New Roman" w:hAnsi="Arial" w:cs="Arial"/>
          <w:lang w:eastAsia="en-GB"/>
        </w:rPr>
        <w:t>The same objective of using PEACE also applies to suspect interviewing. These suspect interviews were particularly complex however, parameters (</w:t>
      </w:r>
      <w:r w:rsidRPr="00EC5F4F">
        <w:rPr>
          <w:rFonts w:ascii="Arial" w:eastAsia="Times New Roman" w:hAnsi="Arial" w:cs="Arial"/>
          <w:i/>
          <w:iCs/>
          <w:lang w:eastAsia="en-GB"/>
        </w:rPr>
        <w:t>PACE</w:t>
      </w:r>
      <w:r w:rsidRPr="00EC5F4F">
        <w:rPr>
          <w:rFonts w:ascii="Arial" w:eastAsia="Times New Roman" w:hAnsi="Arial" w:cs="Arial"/>
          <w:lang w:eastAsia="en-GB"/>
        </w:rPr>
        <w:t xml:space="preserve"> 1984, Code C), did not impede on the process. As a result of enhanced training and planning, thorough detail was achieved. However, training to the PEACE model alone does not provide interviewers with the necessary skills to gain sufficient detail in topic questioning for complex and serious offences. Additional advanced interview technique training is required (Williamson, 2013).</w:t>
      </w:r>
    </w:p>
    <w:p w14:paraId="0E85E202" w14:textId="77777777" w:rsidR="00EC5F4F" w:rsidRPr="00EC5F4F" w:rsidRDefault="00EC5F4F" w:rsidP="00EC5F4F">
      <w:pPr>
        <w:shd w:val="clear" w:color="auto" w:fill="FFFFFF"/>
        <w:spacing w:before="450" w:after="300" w:line="240" w:lineRule="auto"/>
        <w:outlineLvl w:val="3"/>
        <w:rPr>
          <w:rFonts w:ascii="Arial" w:eastAsia="Times New Roman" w:hAnsi="Arial" w:cs="Arial"/>
          <w:lang w:eastAsia="en-GB"/>
        </w:rPr>
      </w:pPr>
      <w:r w:rsidRPr="00EC5F4F">
        <w:rPr>
          <w:rFonts w:ascii="Arial" w:eastAsia="Times New Roman" w:hAnsi="Arial" w:cs="Arial"/>
          <w:lang w:eastAsia="en-GB"/>
        </w:rPr>
        <w:t xml:space="preserve">In conclusion, PEACE is a basic framework which meets its objective but has its limitations. Additional advanced skills (PIP2) are added to enhance its effectiveness in serious and complex crime to gather information. </w:t>
      </w:r>
    </w:p>
    <w:p w14:paraId="413C3148" w14:textId="7C992B06" w:rsidR="00EC5F4F" w:rsidRPr="00410BF5" w:rsidRDefault="00EC5F4F" w:rsidP="00EC5F4F">
      <w:pPr>
        <w:shd w:val="clear" w:color="auto" w:fill="FFFFFF"/>
        <w:spacing w:before="450" w:after="300" w:line="240" w:lineRule="auto"/>
        <w:jc w:val="right"/>
        <w:outlineLvl w:val="3"/>
        <w:rPr>
          <w:rFonts w:ascii="Roboto" w:eastAsia="Times New Roman" w:hAnsi="Roboto"/>
          <w:color w:val="FF0000"/>
          <w:lang w:eastAsia="en-GB"/>
        </w:rPr>
      </w:pPr>
      <w:r w:rsidRPr="00410BF5">
        <w:rPr>
          <w:rFonts w:ascii="Roboto" w:eastAsia="Times New Roman" w:hAnsi="Roboto"/>
          <w:color w:val="FF0000"/>
          <w:lang w:eastAsia="en-GB"/>
        </w:rPr>
        <w:t>6</w:t>
      </w:r>
      <w:r w:rsidR="00BA2A70" w:rsidRPr="00410BF5">
        <w:rPr>
          <w:rFonts w:ascii="Roboto" w:eastAsia="Times New Roman" w:hAnsi="Roboto"/>
          <w:color w:val="FF0000"/>
          <w:lang w:eastAsia="en-GB"/>
        </w:rPr>
        <w:t>08</w:t>
      </w:r>
    </w:p>
    <w:p w14:paraId="3F0B048A" w14:textId="77777777" w:rsidR="00EC5F4F" w:rsidRPr="00EC5F4F" w:rsidRDefault="00EC5F4F" w:rsidP="00EC5F4F">
      <w:pPr>
        <w:rPr>
          <w:i/>
          <w:iCs/>
        </w:rPr>
      </w:pPr>
      <w:r w:rsidRPr="00EC5F4F">
        <w:rPr>
          <w:rFonts w:ascii="Arial" w:eastAsia="Arial" w:hAnsi="Arial" w:cs="Arial"/>
          <w:b/>
          <w:bCs/>
          <w:i/>
          <w:iCs/>
          <w:color w:val="000000"/>
        </w:rPr>
        <w:t xml:space="preserve">Reflect upon your application of relevant powers to arrest and apprehend where necessary and the use of special warnings when required. </w:t>
      </w:r>
    </w:p>
    <w:p w14:paraId="608C89CD" w14:textId="77777777" w:rsidR="00EC5F4F" w:rsidRPr="00EC5F4F" w:rsidRDefault="00EC5F4F" w:rsidP="00EC5F4F"/>
    <w:p w14:paraId="29E77562" w14:textId="77777777" w:rsidR="00EC5F4F" w:rsidRPr="00EC5F4F" w:rsidRDefault="00EC5F4F" w:rsidP="00EC5F4F">
      <w:r w:rsidRPr="00EC5F4F">
        <w:rPr>
          <w:rFonts w:ascii="Arial" w:eastAsia="Arial" w:hAnsi="Arial" w:cs="Arial"/>
          <w:color w:val="000000"/>
        </w:rPr>
        <w:t>Gibbs’ reflective cycle applies. (</w:t>
      </w:r>
      <w:r w:rsidRPr="00EC5F4F">
        <w:rPr>
          <w:rFonts w:ascii="Arial" w:eastAsia="Arial" w:hAnsi="Arial" w:cs="Arial"/>
        </w:rPr>
        <w:t>1988</w:t>
      </w:r>
      <w:r w:rsidRPr="00EC5F4F">
        <w:rPr>
          <w:rFonts w:ascii="Arial" w:eastAsia="Arial" w:hAnsi="Arial" w:cs="Arial"/>
          <w:color w:val="000000"/>
        </w:rPr>
        <w:t xml:space="preserve">). </w:t>
      </w:r>
    </w:p>
    <w:p w14:paraId="2F8F08A5" w14:textId="77777777" w:rsidR="00EC5F4F" w:rsidRPr="00EC5F4F" w:rsidRDefault="00EC5F4F" w:rsidP="00EC5F4F">
      <w:pPr>
        <w:rPr>
          <w:rFonts w:ascii="Arial" w:eastAsia="Arial" w:hAnsi="Arial" w:cs="Arial"/>
          <w:u w:val="single"/>
        </w:rPr>
      </w:pPr>
    </w:p>
    <w:p w14:paraId="1D4B65D4" w14:textId="77777777" w:rsidR="00EC5F4F" w:rsidRPr="00EC5F4F" w:rsidRDefault="00EC5F4F" w:rsidP="00EC5F4F">
      <w:pPr>
        <w:rPr>
          <w:rFonts w:ascii="Arial" w:eastAsia="Arial" w:hAnsi="Arial" w:cs="Arial"/>
          <w:u w:val="single"/>
        </w:rPr>
      </w:pPr>
      <w:r w:rsidRPr="00EC5F4F">
        <w:rPr>
          <w:rFonts w:ascii="Arial" w:eastAsia="Arial" w:hAnsi="Arial" w:cs="Arial"/>
          <w:u w:val="single"/>
        </w:rPr>
        <w:t>Description</w:t>
      </w:r>
    </w:p>
    <w:p w14:paraId="708E3F38" w14:textId="74B68CD2" w:rsidR="00EC5F4F" w:rsidRPr="00EC5F4F" w:rsidRDefault="00EC5F4F" w:rsidP="00EC5F4F">
      <w:r w:rsidRPr="00EC5F4F">
        <w:rPr>
          <w:rFonts w:ascii="Arial" w:eastAsia="Arial" w:hAnsi="Arial" w:cs="Arial"/>
        </w:rPr>
        <w:t>It was necessary to conduct 2 arrest phases for both of the suspects. Initially, following the report and again following further information. The suspects were not at home and whereabouts unknown. Intelligence was circulated and arrest strategy was completed for when they were located. Despite digital devices being seized by the arresting Officer (</w:t>
      </w:r>
      <w:r w:rsidRPr="00EC5F4F">
        <w:rPr>
          <w:rFonts w:ascii="Arial" w:eastAsia="Arial" w:hAnsi="Arial" w:cs="Arial"/>
          <w:i/>
          <w:iCs/>
        </w:rPr>
        <w:t>PACE</w:t>
      </w:r>
      <w:r w:rsidRPr="00EC5F4F">
        <w:rPr>
          <w:rFonts w:ascii="Arial" w:eastAsia="Arial" w:hAnsi="Arial" w:cs="Arial"/>
        </w:rPr>
        <w:t xml:space="preserve"> Sect 19, 32), as requested, they were not preserved following correct procedures to facilitate examination </w:t>
      </w:r>
      <w:proofErr w:type="gramStart"/>
      <w:r w:rsidRPr="00EC5F4F">
        <w:rPr>
          <w:rFonts w:ascii="Arial" w:eastAsia="Arial" w:hAnsi="Arial" w:cs="Arial"/>
        </w:rPr>
        <w:t>i.e.</w:t>
      </w:r>
      <w:proofErr w:type="gramEnd"/>
      <w:r w:rsidRPr="00EC5F4F">
        <w:rPr>
          <w:rFonts w:ascii="Arial" w:eastAsia="Arial" w:hAnsi="Arial" w:cs="Arial"/>
        </w:rPr>
        <w:t xml:space="preserve"> removal of pin code upon seizure. (Tamma et al., 2020</w:t>
      </w:r>
      <w:r w:rsidR="00BA2A70">
        <w:rPr>
          <w:rFonts w:ascii="Arial" w:eastAsia="Arial" w:hAnsi="Arial" w:cs="Arial"/>
        </w:rPr>
        <w:t>,</w:t>
      </w:r>
      <w:r w:rsidR="00BA2A70" w:rsidRPr="00BA2A70">
        <w:rPr>
          <w:rFonts w:ascii="Arial" w:eastAsia="Arial" w:hAnsi="Arial" w:cs="Arial"/>
        </w:rPr>
        <w:t xml:space="preserve"> </w:t>
      </w:r>
      <w:r w:rsidR="00BA2A70" w:rsidRPr="00EC5F4F">
        <w:rPr>
          <w:rFonts w:ascii="Arial" w:eastAsia="Arial" w:hAnsi="Arial" w:cs="Arial"/>
        </w:rPr>
        <w:t>p. 12</w:t>
      </w:r>
      <w:r w:rsidR="00BA2A70">
        <w:rPr>
          <w:rFonts w:ascii="Arial" w:eastAsia="Arial" w:hAnsi="Arial" w:cs="Arial"/>
        </w:rPr>
        <w:t>)</w:t>
      </w:r>
      <w:r w:rsidRPr="00EC5F4F">
        <w:rPr>
          <w:rFonts w:ascii="Arial" w:eastAsia="Arial" w:hAnsi="Arial" w:cs="Arial"/>
        </w:rPr>
        <w:t>. This became an issue later on in the investigation when the battery had expired and the suspect failed to provide the PIN code necessitating the use of Sect 49 RIPA warning (</w:t>
      </w:r>
      <w:r w:rsidRPr="00EC5F4F">
        <w:rPr>
          <w:rFonts w:ascii="Arial" w:eastAsia="Arial" w:hAnsi="Arial" w:cs="Arial"/>
          <w:i/>
          <w:iCs/>
        </w:rPr>
        <w:t xml:space="preserve">Regulation of Investigatory Powers Act, </w:t>
      </w:r>
      <w:r w:rsidRPr="00EC5F4F">
        <w:rPr>
          <w:rFonts w:ascii="Arial" w:eastAsia="Arial" w:hAnsi="Arial" w:cs="Arial"/>
        </w:rPr>
        <w:t xml:space="preserve">2016, Part III, Sect 22(4)). Whereby, failure to comply may result in prosecution for a separate offence to that being investigated. </w:t>
      </w:r>
    </w:p>
    <w:p w14:paraId="1C1C32F1" w14:textId="174DC569" w:rsidR="00EC5F4F" w:rsidRPr="00EC5F4F" w:rsidRDefault="00EC5F4F" w:rsidP="00EC5F4F">
      <w:r w:rsidRPr="00EC5F4F">
        <w:rPr>
          <w:rFonts w:ascii="Arial" w:eastAsia="Arial" w:hAnsi="Arial" w:cs="Arial"/>
        </w:rPr>
        <w:t>The second phase of arrests was only necessary due to the failure of Social Services in their duty to take safeguarding action. (</w:t>
      </w:r>
      <w:r w:rsidRPr="00EC5F4F">
        <w:rPr>
          <w:rFonts w:ascii="Arial" w:eastAsia="Arial" w:hAnsi="Arial" w:cs="Arial"/>
          <w:i/>
          <w:iCs/>
        </w:rPr>
        <w:t>Children Act 1989</w:t>
      </w:r>
      <w:r w:rsidRPr="00EC5F4F">
        <w:rPr>
          <w:rFonts w:ascii="Arial" w:eastAsia="Arial" w:hAnsi="Arial" w:cs="Arial"/>
        </w:rPr>
        <w:t>, Sect 17).</w:t>
      </w:r>
    </w:p>
    <w:p w14:paraId="00DB1B1A" w14:textId="77777777" w:rsidR="00EC5F4F" w:rsidRPr="00EC5F4F" w:rsidRDefault="00EC5F4F" w:rsidP="00EC5F4F">
      <w:pPr>
        <w:rPr>
          <w:rFonts w:ascii="Arial" w:eastAsia="Arial" w:hAnsi="Arial" w:cs="Arial"/>
          <w:u w:val="single"/>
        </w:rPr>
      </w:pPr>
    </w:p>
    <w:p w14:paraId="70AB55DC" w14:textId="77777777" w:rsidR="00EC5F4F" w:rsidRPr="00EC5F4F" w:rsidRDefault="00EC5F4F" w:rsidP="00EC5F4F">
      <w:pPr>
        <w:rPr>
          <w:rFonts w:ascii="Arial" w:eastAsia="Arial" w:hAnsi="Arial" w:cs="Arial"/>
          <w:u w:val="single"/>
        </w:rPr>
      </w:pPr>
      <w:r w:rsidRPr="00EC5F4F">
        <w:rPr>
          <w:rFonts w:ascii="Arial" w:eastAsia="Arial" w:hAnsi="Arial" w:cs="Arial"/>
          <w:u w:val="single"/>
        </w:rPr>
        <w:t>Feelings</w:t>
      </w:r>
    </w:p>
    <w:p w14:paraId="7809D992" w14:textId="77777777" w:rsidR="00EC5F4F" w:rsidRPr="00EC5F4F" w:rsidRDefault="00EC5F4F" w:rsidP="00EC5F4F">
      <w:pPr>
        <w:rPr>
          <w:rFonts w:ascii="Arial" w:eastAsia="Arial" w:hAnsi="Arial" w:cs="Arial"/>
        </w:rPr>
      </w:pPr>
      <w:r w:rsidRPr="00EC5F4F">
        <w:rPr>
          <w:rFonts w:ascii="Arial" w:eastAsia="Arial" w:hAnsi="Arial" w:cs="Arial"/>
        </w:rPr>
        <w:t>I felt disappointed that the devices had not been preserved correctly following seizure. I felt frustrated and let down by others who had failed in their duty and my expectations of standards. (Faullkner, Simpson, 2017).</w:t>
      </w:r>
    </w:p>
    <w:p w14:paraId="2CECBD23" w14:textId="77777777" w:rsidR="00EC5F4F" w:rsidRPr="00EC5F4F" w:rsidRDefault="00EC5F4F" w:rsidP="00EC5F4F">
      <w:pPr>
        <w:rPr>
          <w:rFonts w:ascii="Arial" w:eastAsia="Arial" w:hAnsi="Arial" w:cs="Arial"/>
          <w:u w:val="single"/>
        </w:rPr>
      </w:pPr>
      <w:r w:rsidRPr="00EC5F4F">
        <w:rPr>
          <w:rFonts w:ascii="Arial" w:eastAsia="Arial" w:hAnsi="Arial" w:cs="Arial"/>
          <w:u w:val="single"/>
        </w:rPr>
        <w:t>Evaluation</w:t>
      </w:r>
    </w:p>
    <w:p w14:paraId="1120AE60" w14:textId="77777777" w:rsidR="00EC5F4F" w:rsidRPr="00EC5F4F" w:rsidRDefault="00EC5F4F" w:rsidP="00EC5F4F">
      <w:pPr>
        <w:rPr>
          <w:rFonts w:ascii="Arial" w:eastAsia="Arial" w:hAnsi="Arial" w:cs="Arial"/>
        </w:rPr>
      </w:pPr>
      <w:r w:rsidRPr="00EC5F4F">
        <w:rPr>
          <w:rFonts w:ascii="Arial" w:eastAsia="Arial" w:hAnsi="Arial" w:cs="Arial"/>
        </w:rPr>
        <w:t>The positive outcome was that all actions were conducted lawfully, the suspects were arrested simultaneously then separated to prevent collusion, evidence was seized to prevent loss and appropriate safeguarding measures were enforced. The use of the warning and process which followed enabled an additional prosecution for failing to provide the access code and increased suspicion of concealing evidence. Partial device examination did achieve attribution evidence, which wouldn’t have been possible unless seized. Whilst I frequently issue the warnings in cases of digital device examination, never had I previously had to follow the process through to conclusion so this was a learning experience.</w:t>
      </w:r>
    </w:p>
    <w:p w14:paraId="2DCE575E" w14:textId="77777777" w:rsidR="00EC5F4F" w:rsidRPr="00EC5F4F" w:rsidRDefault="00EC5F4F" w:rsidP="00EC5F4F">
      <w:pPr>
        <w:rPr>
          <w:rFonts w:ascii="Arial" w:eastAsia="Arial" w:hAnsi="Arial" w:cs="Arial"/>
        </w:rPr>
      </w:pPr>
      <w:r w:rsidRPr="00EC5F4F">
        <w:rPr>
          <w:rFonts w:ascii="Arial" w:eastAsia="Arial" w:hAnsi="Arial" w:cs="Arial"/>
        </w:rPr>
        <w:t xml:space="preserve">The negative outcomes were the inability to fully examine the digital devices. This resulted in reduced location and victim communication data which would have evidentially supported the allegation. Safeguarding utilising bail conditions is temporary. </w:t>
      </w:r>
    </w:p>
    <w:p w14:paraId="5FFA775B" w14:textId="77777777" w:rsidR="00EC5F4F" w:rsidRPr="00EC5F4F" w:rsidRDefault="00EC5F4F" w:rsidP="00EC5F4F">
      <w:pPr>
        <w:rPr>
          <w:rFonts w:ascii="Arial" w:eastAsia="Arial" w:hAnsi="Arial" w:cs="Arial"/>
        </w:rPr>
      </w:pPr>
    </w:p>
    <w:p w14:paraId="26C1BF78" w14:textId="77777777" w:rsidR="00EC5F4F" w:rsidRPr="00EC5F4F" w:rsidRDefault="00EC5F4F" w:rsidP="00EC5F4F">
      <w:r w:rsidRPr="00EC5F4F">
        <w:rPr>
          <w:rFonts w:ascii="Arial" w:eastAsia="Arial" w:hAnsi="Arial" w:cs="Arial"/>
          <w:u w:val="single"/>
        </w:rPr>
        <w:t xml:space="preserve">Analysis </w:t>
      </w:r>
    </w:p>
    <w:p w14:paraId="71DB1729" w14:textId="5357A701" w:rsidR="00EC5F4F" w:rsidRPr="00EC5F4F" w:rsidRDefault="00EC5F4F" w:rsidP="00EC5F4F">
      <w:r w:rsidRPr="00EC5F4F">
        <w:rPr>
          <w:rFonts w:ascii="Arial" w:eastAsia="Arial" w:hAnsi="Arial" w:cs="Arial"/>
        </w:rPr>
        <w:t>I think that positive outcomes were achieved because of my knowledge and application of legislation (</w:t>
      </w:r>
      <w:r w:rsidRPr="00EC5F4F">
        <w:rPr>
          <w:rFonts w:ascii="Arial" w:eastAsia="Arial" w:hAnsi="Arial" w:cs="Arial"/>
          <w:i/>
          <w:iCs/>
        </w:rPr>
        <w:t>PACE 1984</w:t>
      </w:r>
      <w:r w:rsidRPr="00EC5F4F">
        <w:rPr>
          <w:rFonts w:ascii="Arial" w:eastAsia="Arial" w:hAnsi="Arial" w:cs="Arial"/>
        </w:rPr>
        <w:t xml:space="preserve">), and investigative practices (College of Policing, </w:t>
      </w:r>
      <w:proofErr w:type="gramStart"/>
      <w:r w:rsidR="00256380">
        <w:rPr>
          <w:rFonts w:ascii="Arial" w:eastAsia="Arial" w:hAnsi="Arial" w:cs="Arial"/>
        </w:rPr>
        <w:t>M</w:t>
      </w:r>
      <w:r w:rsidRPr="00EC5F4F">
        <w:rPr>
          <w:rFonts w:ascii="Arial" w:eastAsia="Arial" w:hAnsi="Arial" w:cs="Arial"/>
        </w:rPr>
        <w:t>anaging</w:t>
      </w:r>
      <w:proofErr w:type="gramEnd"/>
      <w:r w:rsidRPr="00EC5F4F">
        <w:rPr>
          <w:rFonts w:ascii="Arial" w:eastAsia="Arial" w:hAnsi="Arial" w:cs="Arial"/>
        </w:rPr>
        <w:t xml:space="preserve"> investigations, 2022) to PIP2 standard (College of Policing, Investigator PIP2, </w:t>
      </w:r>
      <w:proofErr w:type="spellStart"/>
      <w:r w:rsidRPr="00EC5F4F">
        <w:rPr>
          <w:rFonts w:ascii="Arial" w:eastAsia="Arial" w:hAnsi="Arial" w:cs="Arial"/>
        </w:rPr>
        <w:t>n.d</w:t>
      </w:r>
      <w:proofErr w:type="spellEnd"/>
      <w:r w:rsidRPr="00EC5F4F">
        <w:rPr>
          <w:rFonts w:ascii="Arial" w:eastAsia="Arial" w:hAnsi="Arial" w:cs="Arial"/>
        </w:rPr>
        <w:t>)</w:t>
      </w:r>
      <w:r w:rsidR="00256380">
        <w:rPr>
          <w:rFonts w:ascii="Arial" w:eastAsia="Arial" w:hAnsi="Arial" w:cs="Arial"/>
        </w:rPr>
        <w:t>,</w:t>
      </w:r>
      <w:r w:rsidRPr="00EC5F4F">
        <w:rPr>
          <w:rFonts w:ascii="Arial" w:eastAsia="Arial" w:hAnsi="Arial" w:cs="Arial"/>
        </w:rPr>
        <w:t xml:space="preserve"> which allowed me to gather and assess information, problem solve and make efficient and timely action to prevent loss of evidence. Such critical thinking skills referred to as a Detective’s essential functional toolkit by Eck and </w:t>
      </w:r>
      <w:proofErr w:type="spellStart"/>
      <w:r w:rsidRPr="00EC5F4F">
        <w:rPr>
          <w:rFonts w:ascii="Arial" w:eastAsia="Arial" w:hAnsi="Arial" w:cs="Arial"/>
        </w:rPr>
        <w:t>Rossmo</w:t>
      </w:r>
      <w:proofErr w:type="spellEnd"/>
      <w:r w:rsidRPr="00EC5F4F">
        <w:rPr>
          <w:rFonts w:ascii="Arial" w:eastAsia="Arial" w:hAnsi="Arial" w:cs="Arial"/>
        </w:rPr>
        <w:t xml:space="preserve">. (2019). </w:t>
      </w:r>
    </w:p>
    <w:p w14:paraId="7D14856A" w14:textId="77777777" w:rsidR="00EC5F4F" w:rsidRPr="00EC5F4F" w:rsidRDefault="00EC5F4F" w:rsidP="00EC5F4F">
      <w:pPr>
        <w:rPr>
          <w:rFonts w:ascii="Arial" w:eastAsia="Arial" w:hAnsi="Arial" w:cs="Arial"/>
        </w:rPr>
      </w:pPr>
      <w:r w:rsidRPr="00EC5F4F">
        <w:rPr>
          <w:rFonts w:ascii="Arial" w:eastAsia="Arial" w:hAnsi="Arial" w:cs="Arial"/>
        </w:rPr>
        <w:t>In relation to risk assessment and safeguarding actions, such decision-making when dealing with sex offenders by Police Officers is influenced by avoiding potential internal and external consequences and focusing on accountability. (</w:t>
      </w:r>
      <w:proofErr w:type="spellStart"/>
      <w:r w:rsidRPr="00EC5F4F">
        <w:rPr>
          <w:rFonts w:ascii="Arial" w:eastAsia="Arial" w:hAnsi="Arial" w:cs="Arial"/>
        </w:rPr>
        <w:t>Hoggett</w:t>
      </w:r>
      <w:proofErr w:type="spellEnd"/>
      <w:r w:rsidRPr="00EC5F4F">
        <w:rPr>
          <w:rFonts w:ascii="Arial" w:eastAsia="Arial" w:hAnsi="Arial" w:cs="Arial"/>
        </w:rPr>
        <w:t>, et al., 2020). In this case, I was satisfied that the actions were justified, proportionate, lawful, accountable and necessary, all correspondence with Social Services was documented to validate that Police action was necessary.</w:t>
      </w:r>
    </w:p>
    <w:p w14:paraId="174F27B9" w14:textId="77777777" w:rsidR="00EC5F4F" w:rsidRPr="00EC5F4F" w:rsidRDefault="00EC5F4F" w:rsidP="00EC5F4F">
      <w:pPr>
        <w:rPr>
          <w:rFonts w:ascii="Arial" w:eastAsia="Arial" w:hAnsi="Arial" w:cs="Arial"/>
        </w:rPr>
      </w:pPr>
      <w:r w:rsidRPr="00EC5F4F">
        <w:rPr>
          <w:rFonts w:ascii="Arial" w:eastAsia="Arial" w:hAnsi="Arial" w:cs="Arial"/>
        </w:rPr>
        <w:t xml:space="preserve">Having never experienced the Sect 49 </w:t>
      </w:r>
      <w:r w:rsidRPr="00256380">
        <w:rPr>
          <w:rFonts w:ascii="Arial" w:eastAsia="Arial" w:hAnsi="Arial" w:cs="Arial"/>
          <w:i/>
          <w:iCs/>
        </w:rPr>
        <w:t>RIPA</w:t>
      </w:r>
      <w:r w:rsidRPr="00EC5F4F">
        <w:rPr>
          <w:rFonts w:ascii="Arial" w:eastAsia="Arial" w:hAnsi="Arial" w:cs="Arial"/>
        </w:rPr>
        <w:t xml:space="preserve"> process previously, I was willing to consider this alternative line of enquiry by teaching myself. Taking personal responsibility for CPD in policing has benefits in dealing with complex tasks and sense of accomplishment. (Stevenson, 2020).</w:t>
      </w:r>
    </w:p>
    <w:p w14:paraId="52B3B38E" w14:textId="7D390F41" w:rsidR="00EC5F4F" w:rsidRPr="00EC5F4F" w:rsidRDefault="00EC5F4F" w:rsidP="00EC5F4F">
      <w:pPr>
        <w:rPr>
          <w:rFonts w:ascii="Arial" w:eastAsia="Arial" w:hAnsi="Arial" w:cs="Arial"/>
        </w:rPr>
      </w:pPr>
      <w:r w:rsidRPr="00EC5F4F">
        <w:rPr>
          <w:rFonts w:ascii="Arial" w:eastAsia="Arial" w:hAnsi="Arial" w:cs="Arial"/>
        </w:rPr>
        <w:t>Negatively, it was likely my feelings about the situation were because accountability in team work reduces conflict, blame, frustration and improves quality and productivity (Eikenberry, 2022). Described as incompetent device handling risking loss of evidence by Horsman and Sunde (</w:t>
      </w:r>
      <w:r w:rsidR="00256380">
        <w:rPr>
          <w:rFonts w:ascii="Arial" w:eastAsia="Arial" w:hAnsi="Arial" w:cs="Arial"/>
        </w:rPr>
        <w:t xml:space="preserve">2022, </w:t>
      </w:r>
      <w:r w:rsidRPr="00EC5F4F">
        <w:rPr>
          <w:rFonts w:ascii="Arial" w:eastAsia="Arial" w:hAnsi="Arial" w:cs="Arial"/>
        </w:rPr>
        <w:t>part 2, p. 175).</w:t>
      </w:r>
    </w:p>
    <w:p w14:paraId="52FC3623" w14:textId="77777777" w:rsidR="00EC5F4F" w:rsidRPr="00EC5F4F" w:rsidRDefault="00EC5F4F" w:rsidP="00EC5F4F">
      <w:r w:rsidRPr="00EC5F4F">
        <w:rPr>
          <w:rFonts w:ascii="Arial" w:eastAsia="Arial" w:hAnsi="Arial" w:cs="Arial"/>
        </w:rPr>
        <w:t xml:space="preserve">I acknowledge that I wasn’t detailed enough in the seizure strategy relating to the preservation of digital devices. I wrongly assumed that the Officer would know the procedure and considered it patronising in stipulating the obvious to someone of the same rank. Adams and Buck (2010), explain how in the Policing environment, conflict and role ambiguity can cause psychological distress, contrary when there is a reliance upon colleague support. This emotional self-awareness and balanced </w:t>
      </w:r>
      <w:r w:rsidRPr="00EC5F4F">
        <w:rPr>
          <w:rFonts w:ascii="Arial" w:hAnsi="Arial" w:cs="Arial"/>
          <w:color w:val="222222"/>
          <w:shd w:val="clear" w:color="auto" w:fill="FFFFFF"/>
        </w:rPr>
        <w:t xml:space="preserve">need for professional “assertive communication” </w:t>
      </w:r>
      <w:r w:rsidRPr="00EC5F4F">
        <w:rPr>
          <w:rFonts w:ascii="Arial" w:eastAsia="Arial" w:hAnsi="Arial" w:cs="Arial"/>
        </w:rPr>
        <w:t xml:space="preserve">described by </w:t>
      </w:r>
      <w:proofErr w:type="spellStart"/>
      <w:r w:rsidRPr="00EC5F4F">
        <w:rPr>
          <w:rFonts w:ascii="Arial" w:hAnsi="Arial" w:cs="Arial"/>
          <w:color w:val="222222"/>
          <w:shd w:val="clear" w:color="auto" w:fill="FFFFFF"/>
        </w:rPr>
        <w:t>Dumbravă</w:t>
      </w:r>
      <w:proofErr w:type="spellEnd"/>
      <w:r w:rsidRPr="00EC5F4F">
        <w:rPr>
          <w:rFonts w:ascii="Arial" w:hAnsi="Arial" w:cs="Arial"/>
          <w:color w:val="222222"/>
          <w:shd w:val="clear" w:color="auto" w:fill="FFFFFF"/>
        </w:rPr>
        <w:t xml:space="preserve"> (2011).</w:t>
      </w:r>
    </w:p>
    <w:p w14:paraId="30B5B79B" w14:textId="77777777" w:rsidR="00EC5F4F" w:rsidRPr="00EC5F4F" w:rsidRDefault="00EC5F4F" w:rsidP="00EC5F4F">
      <w:r w:rsidRPr="00EC5F4F">
        <w:rPr>
          <w:rFonts w:ascii="Arial" w:hAnsi="Arial" w:cs="Arial"/>
          <w:color w:val="222222"/>
          <w:shd w:val="clear" w:color="auto" w:fill="FFFFFF"/>
        </w:rPr>
        <w:t xml:space="preserve">A search warrant was an alternative consideration however, this was not feasible since it would have resulted in delay nor solved the issues. Arrest option was more appropriate. </w:t>
      </w:r>
    </w:p>
    <w:p w14:paraId="46517572" w14:textId="77777777" w:rsidR="00EC5F4F" w:rsidRPr="00EC5F4F" w:rsidRDefault="00EC5F4F" w:rsidP="00EC5F4F">
      <w:pPr>
        <w:rPr>
          <w:rFonts w:ascii="Arial" w:eastAsia="Arial" w:hAnsi="Arial" w:cs="Arial"/>
        </w:rPr>
      </w:pPr>
      <w:r w:rsidRPr="00EC5F4F">
        <w:rPr>
          <w:rFonts w:ascii="Arial" w:eastAsia="Arial" w:hAnsi="Arial" w:cs="Arial"/>
        </w:rPr>
        <w:t xml:space="preserve">In conclusion, there was some problem solving which was overcome with additional work and effort. I had completed repeated referrals to Social Services and given notice, their failure to act was out of my control, therefore there was no other option than to take necessary Safeguarding action myself. It was a learning experience in that I acknowledge that I need to be more assertive in giving clear instruction but mindful of communication skills to not cause offence. The warning was appropriate which led to a positive outcome and a learning experience for myself. </w:t>
      </w:r>
    </w:p>
    <w:p w14:paraId="3E1382D6" w14:textId="77777777" w:rsidR="00EC5F4F" w:rsidRPr="00EC5F4F" w:rsidRDefault="00EC5F4F" w:rsidP="00EC5F4F">
      <w:pPr>
        <w:rPr>
          <w:rFonts w:ascii="Arial" w:eastAsia="Arial" w:hAnsi="Arial" w:cs="Arial"/>
          <w:color w:val="0070C0"/>
        </w:rPr>
      </w:pPr>
    </w:p>
    <w:p w14:paraId="0D8F1F37" w14:textId="596616B1" w:rsidR="00EC5F4F" w:rsidRPr="00EC5F4F" w:rsidRDefault="00256380" w:rsidP="00EC5F4F">
      <w:pPr>
        <w:jc w:val="right"/>
        <w:rPr>
          <w:rFonts w:ascii="Arial" w:eastAsia="Arial" w:hAnsi="Arial" w:cs="Arial"/>
          <w:color w:val="FF0000"/>
        </w:rPr>
      </w:pPr>
      <w:r>
        <w:rPr>
          <w:rFonts w:ascii="Arial" w:eastAsia="Arial" w:hAnsi="Arial" w:cs="Arial"/>
          <w:color w:val="FF0000"/>
        </w:rPr>
        <w:t>711</w:t>
      </w:r>
    </w:p>
    <w:p w14:paraId="4A6388CF" w14:textId="0A5E74EB" w:rsidR="7336895D" w:rsidRDefault="7336895D" w:rsidP="00EC5F4F">
      <w:pPr>
        <w:ind w:left="3600" w:right="107" w:firstLine="720"/>
        <w:rPr>
          <w:rFonts w:ascii="Arial" w:eastAsia="Arial" w:hAnsi="Arial" w:cs="Arial"/>
          <w:b/>
          <w:bCs/>
          <w:color w:val="000000" w:themeColor="text1"/>
          <w:sz w:val="24"/>
          <w:szCs w:val="24"/>
        </w:rPr>
      </w:pPr>
    </w:p>
    <w:p w14:paraId="58D67349" w14:textId="5A207C8D" w:rsidR="7336895D" w:rsidRDefault="7336895D" w:rsidP="7336895D">
      <w:pPr>
        <w:ind w:right="107"/>
        <w:jc w:val="both"/>
        <w:rPr>
          <w:rFonts w:ascii="Arial" w:eastAsia="Arial" w:hAnsi="Arial" w:cs="Arial"/>
          <w:b/>
          <w:bCs/>
          <w:color w:val="000000" w:themeColor="text1"/>
          <w:sz w:val="24"/>
          <w:szCs w:val="24"/>
        </w:rPr>
      </w:pPr>
    </w:p>
    <w:p w14:paraId="2AEFACE8" w14:textId="2790EF1A" w:rsidR="7336895D" w:rsidRDefault="7336895D" w:rsidP="7336895D">
      <w:pPr>
        <w:ind w:right="107"/>
        <w:jc w:val="both"/>
        <w:rPr>
          <w:rFonts w:ascii="Arial" w:eastAsia="Arial" w:hAnsi="Arial" w:cs="Arial"/>
          <w:b/>
          <w:bCs/>
          <w:color w:val="000000" w:themeColor="text1"/>
          <w:sz w:val="24"/>
          <w:szCs w:val="24"/>
        </w:rPr>
      </w:pPr>
    </w:p>
    <w:p w14:paraId="3F680BF9" w14:textId="393CCD00" w:rsidR="7336895D" w:rsidRDefault="7336895D" w:rsidP="7336895D">
      <w:pPr>
        <w:ind w:right="107"/>
        <w:jc w:val="both"/>
        <w:rPr>
          <w:rFonts w:ascii="Arial" w:eastAsia="Arial" w:hAnsi="Arial" w:cs="Arial"/>
          <w:b/>
          <w:bCs/>
          <w:color w:val="000000" w:themeColor="text1"/>
          <w:sz w:val="24"/>
          <w:szCs w:val="24"/>
        </w:rPr>
      </w:pPr>
    </w:p>
    <w:p w14:paraId="6804E798" w14:textId="77777777" w:rsidR="00EC5F4F" w:rsidRPr="00EC5F4F" w:rsidRDefault="00EC5F4F" w:rsidP="00EC5F4F">
      <w:pPr>
        <w:rPr>
          <w:rFonts w:ascii="Arial" w:eastAsia="Arial" w:hAnsi="Arial" w:cs="Arial"/>
          <w:b/>
          <w:bCs/>
          <w:i/>
          <w:iCs/>
          <w:color w:val="000000"/>
        </w:rPr>
      </w:pPr>
      <w:r w:rsidRPr="00EC5F4F">
        <w:rPr>
          <w:rFonts w:ascii="Arial" w:eastAsia="Arial" w:hAnsi="Arial" w:cs="Arial"/>
          <w:b/>
          <w:bCs/>
          <w:i/>
          <w:iCs/>
          <w:color w:val="000000"/>
        </w:rPr>
        <w:t>Illustrate how you have undertaken associated search and custody procedures to protect and safeguard the public in accordance with legalisation and policy.</w:t>
      </w:r>
    </w:p>
    <w:p w14:paraId="257E41FB" w14:textId="77777777" w:rsidR="00EC5F4F" w:rsidRPr="00EC5F4F" w:rsidRDefault="00EC5F4F" w:rsidP="00EC5F4F">
      <w:pPr>
        <w:shd w:val="clear" w:color="auto" w:fill="FFFFFF"/>
        <w:spacing w:before="450" w:after="300" w:line="240" w:lineRule="auto"/>
        <w:outlineLvl w:val="3"/>
        <w:rPr>
          <w:rFonts w:ascii="Arial" w:eastAsia="Times New Roman" w:hAnsi="Arial" w:cs="Arial"/>
          <w:lang w:eastAsia="en-GB"/>
        </w:rPr>
      </w:pPr>
      <w:r w:rsidRPr="00EC5F4F">
        <w:rPr>
          <w:rFonts w:ascii="Arial" w:eastAsia="Times New Roman" w:hAnsi="Arial" w:cs="Arial"/>
          <w:lang w:eastAsia="en-GB"/>
        </w:rPr>
        <w:t xml:space="preserve">There is duty imposed upon Police to ensure that detainees are treated with dignity, respect their safety and wellbeing maintained and free from ill-treatment from first contact until release from custody. (Her Majesty’s Inspectorate of Constabularies, Fire and Rescue Services, 2021). </w:t>
      </w:r>
    </w:p>
    <w:p w14:paraId="77B612D2" w14:textId="77777777" w:rsidR="00EC5F4F" w:rsidRPr="00EC5F4F" w:rsidRDefault="00EC5F4F" w:rsidP="00EC5F4F">
      <w:pPr>
        <w:shd w:val="clear" w:color="auto" w:fill="FFFFFF"/>
        <w:spacing w:before="450" w:after="300" w:line="240" w:lineRule="auto"/>
        <w:outlineLvl w:val="3"/>
        <w:rPr>
          <w:rFonts w:ascii="Arial" w:eastAsia="Arial" w:hAnsi="Arial" w:cs="Arial"/>
        </w:rPr>
      </w:pPr>
      <w:r w:rsidRPr="00EC5F4F">
        <w:rPr>
          <w:rFonts w:ascii="Arial" w:eastAsia="Arial" w:hAnsi="Arial" w:cs="Arial"/>
        </w:rPr>
        <w:t>In 2019/2020, the IOPC (Independent Office for Police Conduct) investigated 147 cases of deaths during or following Police contact. This figure reduced to 129 in 2020/2021. (IOPC, 2020, 2021). (**increased IOPC capacity and Covid-19 pandemic have impacted upon the 2020/21 figures).</w:t>
      </w:r>
    </w:p>
    <w:p w14:paraId="1EFCFDEC" w14:textId="77777777" w:rsidR="00EC5F4F" w:rsidRPr="00EC5F4F" w:rsidRDefault="00EC5F4F" w:rsidP="00EC5F4F">
      <w:pPr>
        <w:shd w:val="clear" w:color="auto" w:fill="FFFFFF"/>
        <w:spacing w:before="450" w:after="300" w:line="240" w:lineRule="auto"/>
        <w:outlineLvl w:val="3"/>
      </w:pPr>
      <w:r w:rsidRPr="00EC5F4F">
        <w:rPr>
          <w:rFonts w:ascii="Arial" w:eastAsia="Times New Roman" w:hAnsi="Arial" w:cs="Arial"/>
          <w:u w:val="single"/>
          <w:lang w:eastAsia="en-GB"/>
        </w:rPr>
        <w:t>IOPC investigated incidents by type of death and investigation type, 2019/2020</w:t>
      </w:r>
      <w:r w:rsidRPr="00EC5F4F">
        <w:rPr>
          <w:rFonts w:ascii="Arial" w:eastAsia="Times New Roman" w:hAnsi="Arial" w:cs="Arial"/>
          <w:lang w:eastAsia="en-GB"/>
        </w:rPr>
        <w:t>.</w:t>
      </w:r>
    </w:p>
    <w:p w14:paraId="6AA6157B" w14:textId="77777777" w:rsidR="00EC5F4F" w:rsidRPr="00EC5F4F" w:rsidRDefault="00EC5F4F" w:rsidP="00EC5F4F">
      <w:pPr>
        <w:shd w:val="clear" w:color="auto" w:fill="FFFFFF"/>
        <w:spacing w:before="450" w:after="300" w:line="240" w:lineRule="auto"/>
        <w:outlineLvl w:val="3"/>
      </w:pPr>
      <w:r w:rsidRPr="00EC5F4F">
        <w:rPr>
          <w:rFonts w:ascii="Arial" w:eastAsia="Times New Roman" w:hAnsi="Arial" w:cs="Arial"/>
          <w:noProof/>
          <w:lang w:eastAsia="en-GB"/>
        </w:rPr>
        <w:drawing>
          <wp:inline distT="0" distB="0" distL="0" distR="0" wp14:anchorId="57EB8752" wp14:editId="01B32CC2">
            <wp:extent cx="5392527" cy="2191423"/>
            <wp:effectExtent l="0" t="0" r="0" b="0"/>
            <wp:docPr id="10"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5392527" cy="2191423"/>
                    </a:xfrm>
                    <a:prstGeom prst="rect">
                      <a:avLst/>
                    </a:prstGeom>
                    <a:noFill/>
                    <a:ln>
                      <a:noFill/>
                      <a:prstDash/>
                    </a:ln>
                  </pic:spPr>
                </pic:pic>
              </a:graphicData>
            </a:graphic>
          </wp:inline>
        </w:drawing>
      </w:r>
    </w:p>
    <w:p w14:paraId="00930C38" w14:textId="77777777" w:rsidR="00EC5F4F" w:rsidRPr="00EC5F4F" w:rsidRDefault="00EC5F4F" w:rsidP="00EC5F4F">
      <w:pPr>
        <w:shd w:val="clear" w:color="auto" w:fill="FFFFFF"/>
        <w:spacing w:before="450" w:after="300" w:line="240" w:lineRule="auto"/>
        <w:jc w:val="right"/>
        <w:outlineLvl w:val="3"/>
        <w:rPr>
          <w:rFonts w:ascii="Arial" w:eastAsia="Times New Roman" w:hAnsi="Arial" w:cs="Arial"/>
          <w:lang w:eastAsia="en-GB"/>
        </w:rPr>
      </w:pPr>
      <w:r w:rsidRPr="00EC5F4F">
        <w:rPr>
          <w:rFonts w:ascii="Arial" w:eastAsia="Times New Roman" w:hAnsi="Arial" w:cs="Arial"/>
          <w:lang w:eastAsia="en-GB"/>
        </w:rPr>
        <w:t>(Independent Office for Police Conduct, 2020)</w:t>
      </w:r>
    </w:p>
    <w:p w14:paraId="24486F7A" w14:textId="77777777" w:rsidR="00EC5F4F" w:rsidRPr="00EC5F4F" w:rsidRDefault="00EC5F4F" w:rsidP="00EC5F4F">
      <w:pPr>
        <w:shd w:val="clear" w:color="auto" w:fill="FFFFFF"/>
        <w:spacing w:before="450" w:after="300" w:line="240" w:lineRule="auto"/>
        <w:outlineLvl w:val="3"/>
      </w:pPr>
      <w:r w:rsidRPr="00EC5F4F">
        <w:rPr>
          <w:rFonts w:ascii="Arial" w:eastAsia="Times New Roman" w:hAnsi="Arial" w:cs="Arial"/>
          <w:u w:val="single"/>
          <w:lang w:eastAsia="en-GB"/>
        </w:rPr>
        <w:t>IOPC investigated incidents by type of death and investigation type, 2020/2021</w:t>
      </w:r>
      <w:r w:rsidRPr="00EC5F4F">
        <w:rPr>
          <w:rFonts w:ascii="Arial" w:eastAsia="Times New Roman" w:hAnsi="Arial" w:cs="Arial"/>
          <w:lang w:eastAsia="en-GB"/>
        </w:rPr>
        <w:t>.</w:t>
      </w:r>
    </w:p>
    <w:p w14:paraId="09E95877" w14:textId="77777777" w:rsidR="00EC5F4F" w:rsidRPr="00EC5F4F" w:rsidRDefault="00EC5F4F" w:rsidP="00EC5F4F">
      <w:pPr>
        <w:shd w:val="clear" w:color="auto" w:fill="FFFFFF"/>
        <w:spacing w:before="450" w:after="300" w:line="240" w:lineRule="auto"/>
        <w:jc w:val="right"/>
        <w:outlineLvl w:val="3"/>
      </w:pPr>
      <w:r w:rsidRPr="00EC5F4F">
        <w:rPr>
          <w:rFonts w:ascii="Arial" w:eastAsia="Times New Roman" w:hAnsi="Arial" w:cs="Arial"/>
          <w:noProof/>
          <w:lang w:eastAsia="en-GB"/>
        </w:rPr>
        <w:drawing>
          <wp:inline distT="0" distB="0" distL="0" distR="0" wp14:anchorId="51C8CB64" wp14:editId="1F2FAF06">
            <wp:extent cx="5656423" cy="1991590"/>
            <wp:effectExtent l="0" t="0" r="1427" b="8660"/>
            <wp:docPr id="1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5656423" cy="1991590"/>
                    </a:xfrm>
                    <a:prstGeom prst="rect">
                      <a:avLst/>
                    </a:prstGeom>
                    <a:noFill/>
                    <a:ln>
                      <a:noFill/>
                      <a:prstDash/>
                    </a:ln>
                  </pic:spPr>
                </pic:pic>
              </a:graphicData>
            </a:graphic>
          </wp:inline>
        </w:drawing>
      </w:r>
    </w:p>
    <w:p w14:paraId="57F39499" w14:textId="77777777" w:rsidR="00EC5F4F" w:rsidRPr="00EC5F4F" w:rsidRDefault="00EC5F4F" w:rsidP="00EC5F4F">
      <w:pPr>
        <w:shd w:val="clear" w:color="auto" w:fill="FFFFFF"/>
        <w:spacing w:before="450" w:after="300" w:line="240" w:lineRule="auto"/>
        <w:jc w:val="right"/>
        <w:outlineLvl w:val="3"/>
        <w:rPr>
          <w:rFonts w:ascii="Arial" w:eastAsia="Times New Roman" w:hAnsi="Arial" w:cs="Arial"/>
          <w:lang w:eastAsia="en-GB"/>
        </w:rPr>
      </w:pPr>
      <w:r w:rsidRPr="00EC5F4F">
        <w:rPr>
          <w:rFonts w:ascii="Arial" w:eastAsia="Times New Roman" w:hAnsi="Arial" w:cs="Arial"/>
          <w:lang w:eastAsia="en-GB"/>
        </w:rPr>
        <w:t>(Independent Office for Police Conduct, 2021)</w:t>
      </w:r>
    </w:p>
    <w:p w14:paraId="36989F17" w14:textId="77777777" w:rsidR="00EC5F4F" w:rsidRPr="00EC5F4F" w:rsidRDefault="00EC5F4F" w:rsidP="00EC5F4F">
      <w:pPr>
        <w:shd w:val="clear" w:color="auto" w:fill="FFFFFF"/>
        <w:spacing w:before="450" w:after="300" w:line="240" w:lineRule="auto"/>
        <w:outlineLvl w:val="3"/>
        <w:rPr>
          <w:rFonts w:ascii="Arial" w:eastAsia="Times New Roman" w:hAnsi="Arial" w:cs="Arial"/>
          <w:lang w:eastAsia="en-GB"/>
        </w:rPr>
      </w:pPr>
      <w:r w:rsidRPr="00EC5F4F">
        <w:rPr>
          <w:rFonts w:ascii="Arial" w:eastAsia="Times New Roman" w:hAnsi="Arial" w:cs="Arial"/>
          <w:lang w:eastAsia="en-GB"/>
        </w:rPr>
        <w:t xml:space="preserve">Fortunately, this was a pre-planned arrest, sufficient Officers of the same gender as the detainees, (male and female), were present in order to separate, conduct searches and escort in accordance with the </w:t>
      </w:r>
      <w:r w:rsidRPr="00256380">
        <w:rPr>
          <w:rFonts w:ascii="Arial" w:eastAsia="Times New Roman" w:hAnsi="Arial" w:cs="Arial"/>
          <w:i/>
          <w:iCs/>
          <w:lang w:eastAsia="en-GB"/>
        </w:rPr>
        <w:t>Equality Act</w:t>
      </w:r>
      <w:r w:rsidRPr="00EC5F4F">
        <w:rPr>
          <w:rFonts w:ascii="Arial" w:eastAsia="Times New Roman" w:hAnsi="Arial" w:cs="Arial"/>
          <w:lang w:eastAsia="en-GB"/>
        </w:rPr>
        <w:t xml:space="preserve"> (2010), as advised in policy, wherever possible (College of Policing, 2016). </w:t>
      </w:r>
    </w:p>
    <w:p w14:paraId="181C0DEC" w14:textId="53C04963" w:rsidR="00EC5F4F" w:rsidRPr="00EC5F4F" w:rsidRDefault="00EC5F4F" w:rsidP="00EC5F4F">
      <w:pPr>
        <w:shd w:val="clear" w:color="auto" w:fill="FFFFFF"/>
        <w:spacing w:before="450" w:after="300" w:line="240" w:lineRule="auto"/>
        <w:outlineLvl w:val="3"/>
      </w:pPr>
      <w:r w:rsidRPr="00EC5F4F">
        <w:rPr>
          <w:rFonts w:ascii="Arial" w:eastAsia="Times New Roman" w:hAnsi="Arial" w:cs="Arial"/>
          <w:lang w:eastAsia="en-GB"/>
        </w:rPr>
        <w:t>The importance and duty of care in conducting thorough searches of detainees being escorted to custody (</w:t>
      </w:r>
      <w:r w:rsidR="002C0305" w:rsidRPr="002C0305">
        <w:rPr>
          <w:rFonts w:ascii="Arial" w:eastAsia="Times New Roman" w:hAnsi="Arial" w:cs="Arial"/>
          <w:i/>
          <w:iCs/>
          <w:lang w:eastAsia="en-GB"/>
        </w:rPr>
        <w:t>PACE</w:t>
      </w:r>
      <w:r w:rsidRPr="00EC5F4F">
        <w:rPr>
          <w:rFonts w:ascii="Arial" w:eastAsia="Times New Roman" w:hAnsi="Arial" w:cs="Arial"/>
          <w:lang w:eastAsia="en-GB"/>
        </w:rPr>
        <w:t xml:space="preserve"> 1984, sect 32), cannot be emphasised enough following the shooting of Custody Sergeant </w:t>
      </w:r>
      <w:r w:rsidRPr="00EC5F4F">
        <w:rPr>
          <w:rFonts w:ascii="Arial" w:eastAsia="Arial" w:hAnsi="Arial" w:cs="Arial"/>
        </w:rPr>
        <w:t xml:space="preserve">Matiu Ratana in 2020 by a detainee who was handcuffed to the rear. (BBC, 2020). </w:t>
      </w:r>
    </w:p>
    <w:p w14:paraId="074EE50A" w14:textId="77777777" w:rsidR="00EC5F4F" w:rsidRPr="00EC5F4F" w:rsidRDefault="00EC5F4F" w:rsidP="00EC5F4F">
      <w:pPr>
        <w:shd w:val="clear" w:color="auto" w:fill="FFFFFF"/>
        <w:spacing w:before="450" w:after="300" w:line="240" w:lineRule="auto"/>
        <w:outlineLvl w:val="3"/>
      </w:pPr>
      <w:r w:rsidRPr="00EC5F4F">
        <w:rPr>
          <w:rFonts w:ascii="Arial" w:eastAsia="Times New Roman" w:hAnsi="Arial" w:cs="Arial"/>
          <w:lang w:eastAsia="en-GB"/>
        </w:rPr>
        <w:t>I communicated with her in a respectful manner to keep her calm, compliant and to prevent risk of harm to myself and others from antagonization whilst searching her by the approved method. The vehicle was also searched prior to escort to remove any items for escape or as weapons. (College of Policing, 2022). Detainees’ reaction to being arrested or attempting to escape may risk their own lives, (Leigh et al., 1998), cause harm to Officers preventing them or in such an event in a moving vehicle, risking harm to the public. Improvements in recent Police training in conflict management to improve compliance has reduced need for restraint and risk of harm to Police and public (UK Government, 2021). Officer’s behaviour can influence the need for use of force which may result in distrust. (Akinlabi, 2019). Witnesses to excessive force can also by psychologically harmed. (Oluwagbenga, 2020). The 4</w:t>
      </w:r>
      <w:r w:rsidRPr="00EC5F4F">
        <w:rPr>
          <w:rFonts w:ascii="Arial" w:eastAsia="Times New Roman" w:hAnsi="Arial" w:cs="Arial"/>
          <w:vertAlign w:val="superscript"/>
          <w:lang w:eastAsia="en-GB"/>
        </w:rPr>
        <w:t>th</w:t>
      </w:r>
      <w:r w:rsidRPr="00EC5F4F">
        <w:rPr>
          <w:rFonts w:ascii="Arial" w:eastAsia="Times New Roman" w:hAnsi="Arial" w:cs="Arial"/>
          <w:lang w:eastAsia="en-GB"/>
        </w:rPr>
        <w:t xml:space="preserve"> and 6</w:t>
      </w:r>
      <w:r w:rsidRPr="00EC5F4F">
        <w:rPr>
          <w:rFonts w:ascii="Arial" w:eastAsia="Times New Roman" w:hAnsi="Arial" w:cs="Arial"/>
          <w:vertAlign w:val="superscript"/>
          <w:lang w:eastAsia="en-GB"/>
        </w:rPr>
        <w:t>th</w:t>
      </w:r>
      <w:r w:rsidRPr="00EC5F4F">
        <w:rPr>
          <w:rFonts w:ascii="Arial" w:eastAsia="Times New Roman" w:hAnsi="Arial" w:cs="Arial"/>
          <w:lang w:eastAsia="en-GB"/>
        </w:rPr>
        <w:t xml:space="preserve"> ‘</w:t>
      </w:r>
      <w:proofErr w:type="spellStart"/>
      <w:r w:rsidRPr="00EC5F4F">
        <w:rPr>
          <w:rFonts w:ascii="Arial" w:eastAsia="Times New Roman" w:hAnsi="Arial" w:cs="Arial"/>
          <w:lang w:eastAsia="en-GB"/>
        </w:rPr>
        <w:t>Peelian</w:t>
      </w:r>
      <w:proofErr w:type="spellEnd"/>
      <w:r w:rsidRPr="00EC5F4F">
        <w:rPr>
          <w:rFonts w:ascii="Arial" w:eastAsia="Times New Roman" w:hAnsi="Arial" w:cs="Arial"/>
          <w:lang w:eastAsia="en-GB"/>
        </w:rPr>
        <w:t xml:space="preserve"> Principle’ (Sir Robert Peel, 1829, UK Government, 2012), state how use of force should be minimal, necessary and appropriate to reduce threat of harm. Excessive use of force can result in litigation and loss of public confidence. (</w:t>
      </w:r>
      <w:proofErr w:type="spellStart"/>
      <w:r w:rsidRPr="00EC5F4F">
        <w:rPr>
          <w:rFonts w:ascii="Arial" w:eastAsia="Times New Roman" w:hAnsi="Arial" w:cs="Arial"/>
          <w:lang w:eastAsia="en-GB"/>
        </w:rPr>
        <w:t>Hamourtziadou</w:t>
      </w:r>
      <w:proofErr w:type="spellEnd"/>
      <w:r w:rsidRPr="00EC5F4F">
        <w:rPr>
          <w:rFonts w:ascii="Arial" w:eastAsia="Times New Roman" w:hAnsi="Arial" w:cs="Arial"/>
          <w:lang w:eastAsia="en-GB"/>
        </w:rPr>
        <w:t xml:space="preserve"> et al., 2021). It was therefore necessary to constantly monitor and risk assess her behaviour in order to effectively and proportionately manage her security and safeguarding during detention. Since she was compliant and passively aggressive with an Officer with her, seat-belted in the rear of vehicle which was locked, discretion was used and she was not handcuffed during escort. </w:t>
      </w:r>
    </w:p>
    <w:p w14:paraId="78B55CFD" w14:textId="77777777" w:rsidR="00EC5F4F" w:rsidRPr="00EC5F4F" w:rsidRDefault="00EC5F4F" w:rsidP="00EC5F4F">
      <w:pPr>
        <w:shd w:val="clear" w:color="auto" w:fill="FFFFFF"/>
        <w:spacing w:before="450" w:after="300" w:line="240" w:lineRule="auto"/>
        <w:outlineLvl w:val="3"/>
        <w:rPr>
          <w:rFonts w:ascii="Arial" w:eastAsia="Times New Roman" w:hAnsi="Arial" w:cs="Arial"/>
          <w:lang w:eastAsia="en-GB"/>
        </w:rPr>
      </w:pPr>
      <w:r w:rsidRPr="00EC5F4F">
        <w:rPr>
          <w:rFonts w:ascii="Arial" w:eastAsia="Times New Roman" w:hAnsi="Arial" w:cs="Arial"/>
          <w:lang w:eastAsia="en-GB"/>
        </w:rPr>
        <w:t>Further consideration was that this arrest and search was during the Covid-19 pandemic whereby additional procedures were in place to prevent the spread of the virus. Anxious of the implications to health from close contact or deliberate infection (Savage, 2021), my colleagues and I complied with the policy. (College of Policing, 2020). A failure by Police to comply during a search resulted in a complaint in relation to risk to public health and safety (</w:t>
      </w:r>
      <w:proofErr w:type="spellStart"/>
      <w:r w:rsidRPr="00EC5F4F">
        <w:rPr>
          <w:rFonts w:ascii="Arial" w:eastAsia="Times New Roman" w:hAnsi="Arial" w:cs="Arial"/>
          <w:lang w:eastAsia="en-GB"/>
        </w:rPr>
        <w:t>Alijayyoussi</w:t>
      </w:r>
      <w:proofErr w:type="spellEnd"/>
      <w:r w:rsidRPr="00EC5F4F">
        <w:rPr>
          <w:rFonts w:ascii="Arial" w:eastAsia="Times New Roman" w:hAnsi="Arial" w:cs="Arial"/>
          <w:lang w:eastAsia="en-GB"/>
        </w:rPr>
        <w:t xml:space="preserve">, 2020). </w:t>
      </w:r>
    </w:p>
    <w:p w14:paraId="60BD4421" w14:textId="28A742CE" w:rsidR="00EC5F4F" w:rsidRPr="00EC5F4F" w:rsidRDefault="002C0305" w:rsidP="00EC5F4F">
      <w:pPr>
        <w:shd w:val="clear" w:color="auto" w:fill="FFFFFF"/>
        <w:spacing w:before="450" w:after="300" w:line="240" w:lineRule="auto"/>
        <w:jc w:val="right"/>
        <w:outlineLvl w:val="3"/>
        <w:rPr>
          <w:rFonts w:ascii="Arial" w:eastAsia="Times New Roman" w:hAnsi="Arial" w:cs="Arial"/>
          <w:color w:val="FF0000"/>
          <w:lang w:eastAsia="en-GB"/>
        </w:rPr>
      </w:pPr>
      <w:r>
        <w:rPr>
          <w:rFonts w:ascii="Arial" w:eastAsia="Times New Roman" w:hAnsi="Arial" w:cs="Arial"/>
          <w:color w:val="FF0000"/>
          <w:lang w:eastAsia="en-GB"/>
        </w:rPr>
        <w:t>4</w:t>
      </w:r>
      <w:r w:rsidR="00410BF5">
        <w:rPr>
          <w:rFonts w:ascii="Arial" w:eastAsia="Times New Roman" w:hAnsi="Arial" w:cs="Arial"/>
          <w:color w:val="FF0000"/>
          <w:lang w:eastAsia="en-GB"/>
        </w:rPr>
        <w:t>2</w:t>
      </w:r>
      <w:r>
        <w:rPr>
          <w:rFonts w:ascii="Arial" w:eastAsia="Times New Roman" w:hAnsi="Arial" w:cs="Arial"/>
          <w:color w:val="FF0000"/>
          <w:lang w:eastAsia="en-GB"/>
        </w:rPr>
        <w:t>1</w:t>
      </w:r>
    </w:p>
    <w:p w14:paraId="1B1091CA" w14:textId="4DFE528A" w:rsidR="727E3A7D" w:rsidRPr="00D41B3A" w:rsidRDefault="727E3A7D" w:rsidP="727E3A7D">
      <w:pPr>
        <w:ind w:right="107"/>
        <w:jc w:val="both"/>
        <w:rPr>
          <w:rFonts w:ascii="Arial" w:eastAsia="Arial" w:hAnsi="Arial" w:cs="Arial"/>
          <w:b/>
          <w:bCs/>
          <w:color w:val="000000" w:themeColor="text1"/>
        </w:rPr>
      </w:pPr>
    </w:p>
    <w:p w14:paraId="588CE173" w14:textId="77777777" w:rsidR="00D41B3A" w:rsidRPr="00D41B3A" w:rsidRDefault="00D41B3A" w:rsidP="00D41B3A">
      <w:pPr>
        <w:rPr>
          <w:rFonts w:ascii="Arial" w:eastAsia="Arial" w:hAnsi="Arial" w:cs="Arial"/>
          <w:b/>
          <w:bCs/>
          <w:color w:val="000000"/>
        </w:rPr>
      </w:pPr>
      <w:r w:rsidRPr="00D41B3A">
        <w:rPr>
          <w:rFonts w:ascii="Arial" w:eastAsia="Arial" w:hAnsi="Arial" w:cs="Arial"/>
          <w:b/>
          <w:bCs/>
          <w:color w:val="000000"/>
        </w:rPr>
        <w:t xml:space="preserve">Analyse your understanding of ethics and values of the service. </w:t>
      </w:r>
    </w:p>
    <w:p w14:paraId="2FB1EF9D" w14:textId="77777777" w:rsidR="00D41B3A" w:rsidRPr="00D41B3A" w:rsidRDefault="00D41B3A" w:rsidP="00D41B3A">
      <w:pPr>
        <w:rPr>
          <w:rFonts w:ascii="Arial" w:hAnsi="Arial" w:cs="Arial"/>
        </w:rPr>
      </w:pPr>
      <w:r w:rsidRPr="00D41B3A">
        <w:rPr>
          <w:rFonts w:ascii="Arial" w:hAnsi="Arial" w:cs="Arial"/>
        </w:rPr>
        <w:t xml:space="preserve">The Policing Code of ethics relates to the standard of professional working practice imposed upon all Police staff to maintain public confidence in the service (College of Policing, </w:t>
      </w:r>
      <w:proofErr w:type="spellStart"/>
      <w:r w:rsidRPr="00D41B3A">
        <w:rPr>
          <w:rFonts w:ascii="Arial" w:hAnsi="Arial" w:cs="Arial"/>
        </w:rPr>
        <w:t>n.d</w:t>
      </w:r>
      <w:proofErr w:type="spellEnd"/>
      <w:r w:rsidRPr="00D41B3A">
        <w:rPr>
          <w:rFonts w:ascii="Arial" w:hAnsi="Arial" w:cs="Arial"/>
        </w:rPr>
        <w:t xml:space="preserve">).  </w:t>
      </w:r>
    </w:p>
    <w:p w14:paraId="58423705" w14:textId="73054B9F" w:rsidR="00D41B3A" w:rsidRPr="00D41B3A" w:rsidRDefault="00D41B3A" w:rsidP="00D41B3A">
      <w:pPr>
        <w:rPr>
          <w:rFonts w:ascii="Arial" w:hAnsi="Arial" w:cs="Arial"/>
        </w:rPr>
      </w:pPr>
      <w:r w:rsidRPr="00D41B3A">
        <w:rPr>
          <w:rFonts w:ascii="Arial" w:hAnsi="Arial" w:cs="Arial"/>
        </w:rPr>
        <w:t>Cohen (2021), states how the given authority a Police Officer has to remove an individual’s Human Right of liberty (</w:t>
      </w:r>
      <w:r w:rsidRPr="00D41B3A">
        <w:rPr>
          <w:rFonts w:ascii="Arial" w:hAnsi="Arial" w:cs="Arial"/>
          <w:i/>
          <w:iCs/>
        </w:rPr>
        <w:t>EHCR</w:t>
      </w:r>
      <w:r w:rsidRPr="00D41B3A">
        <w:rPr>
          <w:rFonts w:ascii="Arial" w:hAnsi="Arial" w:cs="Arial"/>
        </w:rPr>
        <w:t xml:space="preserve">, 1998, article 5) should not be underestimated. Non ethical working practices are increasingly becoming a source of conflict with the public who are becoming less tolerant since data showing public confidence is declining, more noticeably in ethnic minorities (UK Government, 2021). Cohen further explores whether recent methods of Police training in ethics are effective. </w:t>
      </w:r>
    </w:p>
    <w:p w14:paraId="7F45A49D" w14:textId="77777777" w:rsidR="00D41B3A" w:rsidRPr="00D41B3A" w:rsidRDefault="00D41B3A" w:rsidP="00D41B3A">
      <w:pPr>
        <w:rPr>
          <w:rFonts w:ascii="Arial" w:hAnsi="Arial" w:cs="Arial"/>
        </w:rPr>
      </w:pPr>
      <w:r w:rsidRPr="00D41B3A">
        <w:rPr>
          <w:rFonts w:ascii="Arial" w:hAnsi="Arial" w:cs="Arial"/>
        </w:rPr>
        <w:t>My own interpretation of ethics and values in that Policing is a service to protect the rights and safety of the public, this includes that of the detainee with fairness, dignity and respect. There is a need for a documented standard of expected behaviour since, corruption and misconduct most certainly decreases public confidence (press and data sources). A strong moral integrity does exist within the service however, a reluctance to report within the organisation occurs. (</w:t>
      </w:r>
      <w:proofErr w:type="spellStart"/>
      <w:r w:rsidRPr="00D41B3A">
        <w:rPr>
          <w:rFonts w:ascii="Arial" w:hAnsi="Arial" w:cs="Arial"/>
        </w:rPr>
        <w:t>Westmarland</w:t>
      </w:r>
      <w:proofErr w:type="spellEnd"/>
      <w:r w:rsidRPr="00D41B3A">
        <w:rPr>
          <w:rFonts w:ascii="Arial" w:hAnsi="Arial" w:cs="Arial"/>
        </w:rPr>
        <w:t xml:space="preserve">, Rowe, 2018). </w:t>
      </w:r>
    </w:p>
    <w:p w14:paraId="2DC90728" w14:textId="2D32F8D1" w:rsidR="00D41B3A" w:rsidRPr="00D41B3A" w:rsidRDefault="00D41B3A" w:rsidP="00D41B3A">
      <w:pPr>
        <w:rPr>
          <w:rFonts w:ascii="Arial" w:hAnsi="Arial" w:cs="Arial"/>
        </w:rPr>
      </w:pPr>
      <w:r w:rsidRPr="00D41B3A">
        <w:rPr>
          <w:rFonts w:ascii="Arial" w:hAnsi="Arial" w:cs="Arial"/>
        </w:rPr>
        <w:t>However, I suspect if there now exists an inherent fear of allegations and criticism within the service with a necessity to prove accountability (Body Worn Video (UK Government, 2021, point 2.11), recording of use of force (BBC, 2016), which is discouraging retention and recruitment. (</w:t>
      </w:r>
      <w:proofErr w:type="spellStart"/>
      <w:r w:rsidRPr="00D41B3A">
        <w:rPr>
          <w:rFonts w:ascii="Arial" w:hAnsi="Arial" w:cs="Arial"/>
        </w:rPr>
        <w:t>Chevremont</w:t>
      </w:r>
      <w:proofErr w:type="spellEnd"/>
      <w:r w:rsidRPr="00D41B3A">
        <w:rPr>
          <w:rFonts w:ascii="Arial" w:hAnsi="Arial" w:cs="Arial"/>
        </w:rPr>
        <w:t xml:space="preserve">, 2018). Tinker et. al, (2016) identifies how scrutiny of Police integrity reduces confidence in legitimate practices potentially undermining morale. </w:t>
      </w:r>
    </w:p>
    <w:p w14:paraId="14246792" w14:textId="77777777" w:rsidR="00D41B3A" w:rsidRPr="00D41B3A" w:rsidRDefault="00D41B3A" w:rsidP="00D41B3A">
      <w:pPr>
        <w:rPr>
          <w:rFonts w:ascii="Arial" w:hAnsi="Arial" w:cs="Arial"/>
        </w:rPr>
      </w:pPr>
      <w:r w:rsidRPr="00D41B3A">
        <w:rPr>
          <w:rFonts w:ascii="Arial" w:hAnsi="Arial" w:cs="Arial"/>
        </w:rPr>
        <w:t xml:space="preserve">I have reflected upon my own training and the transition from the formal disciplined environment to academic and whether this may influence any change in ethical practice. Heslop (2019), confirms that whilst ethical issues were believed to be ‘Police culture’, academia was introduced to reduce this. However, the same problems exist within academic settings and no such developments have been made. Wooden &amp; Nixon (2014), suggest how a blended practical and academic training approach may contribute towards compliance. Personally, my career has mainly transitioned from risk of physical conflict to psychological with exposure to serious and abhorrent crime. I believe much of ethical behaviour to be from personal characteristics of self-regulation in preventing bias. As in the given example, detainees are under suspicion. The female was obstructive and had medical issues however, my behaviour was free from judgement and ensured her welfare since it may have a detrimental impact upon the outcome of the investigation and ultimately public safety and confidence if I fail to conduct my duty in a professional manner. </w:t>
      </w:r>
    </w:p>
    <w:p w14:paraId="53A5FDF1" w14:textId="77777777" w:rsidR="00D41B3A" w:rsidRDefault="00D41B3A" w:rsidP="00D41B3A"/>
    <w:p w14:paraId="220BDF58" w14:textId="135B2FFB" w:rsidR="00D41B3A" w:rsidRDefault="00D41B3A" w:rsidP="00D41B3A">
      <w:pPr>
        <w:jc w:val="right"/>
        <w:rPr>
          <w:color w:val="FF0000"/>
        </w:rPr>
      </w:pPr>
      <w:r>
        <w:rPr>
          <w:color w:val="FF0000"/>
        </w:rPr>
        <w:t>3</w:t>
      </w:r>
      <w:r w:rsidR="002C0305">
        <w:rPr>
          <w:color w:val="FF0000"/>
        </w:rPr>
        <w:t>83</w:t>
      </w:r>
    </w:p>
    <w:p w14:paraId="3C83EFD0" w14:textId="76D8F0D1" w:rsidR="00D41B3A" w:rsidRDefault="00D41B3A" w:rsidP="00D41B3A">
      <w:pPr>
        <w:jc w:val="right"/>
        <w:rPr>
          <w:b/>
          <w:bCs/>
          <w:color w:val="FF0000"/>
        </w:rPr>
      </w:pPr>
      <w:r>
        <w:rPr>
          <w:b/>
          <w:bCs/>
          <w:color w:val="FF0000"/>
        </w:rPr>
        <w:t>= Total 2</w:t>
      </w:r>
      <w:r w:rsidR="00410BF5">
        <w:rPr>
          <w:b/>
          <w:bCs/>
          <w:color w:val="FF0000"/>
        </w:rPr>
        <w:t>2</w:t>
      </w:r>
      <w:r w:rsidR="0002340C">
        <w:rPr>
          <w:b/>
          <w:bCs/>
          <w:color w:val="FF0000"/>
        </w:rPr>
        <w:t>2</w:t>
      </w:r>
      <w:r w:rsidR="00410BF5">
        <w:rPr>
          <w:b/>
          <w:bCs/>
          <w:color w:val="FF0000"/>
        </w:rPr>
        <w:t>2</w:t>
      </w:r>
    </w:p>
    <w:p w14:paraId="2CEC64BF" w14:textId="4918FABC" w:rsidR="004C6C7B" w:rsidRPr="004C6C7B" w:rsidRDefault="004C6C7B" w:rsidP="00D41B3A">
      <w:pPr>
        <w:rPr>
          <w:rFonts w:ascii="Open Sans" w:hAnsi="Open Sans" w:cs="Open Sans"/>
          <w:b/>
          <w:bCs/>
          <w:sz w:val="20"/>
          <w:szCs w:val="20"/>
          <w:u w:val="single"/>
          <w:shd w:val="clear" w:color="auto" w:fill="FFFFFF"/>
        </w:rPr>
      </w:pPr>
      <w:r w:rsidRPr="004C6C7B">
        <w:rPr>
          <w:rFonts w:ascii="Open Sans" w:hAnsi="Open Sans" w:cs="Open Sans"/>
          <w:b/>
          <w:bCs/>
          <w:sz w:val="20"/>
          <w:szCs w:val="20"/>
          <w:u w:val="single"/>
          <w:shd w:val="clear" w:color="auto" w:fill="FFFFFF"/>
        </w:rPr>
        <w:t>Reference</w:t>
      </w:r>
    </w:p>
    <w:p w14:paraId="5637C759" w14:textId="2A44D000" w:rsidR="00D41B3A" w:rsidRPr="00D41B3A" w:rsidRDefault="00D41B3A" w:rsidP="00D41B3A">
      <w:pPr>
        <w:rPr>
          <w:rFonts w:ascii="Open Sans" w:hAnsi="Open Sans" w:cs="Open Sans"/>
          <w:sz w:val="20"/>
          <w:szCs w:val="20"/>
        </w:rPr>
      </w:pPr>
      <w:r w:rsidRPr="00D41B3A">
        <w:rPr>
          <w:rFonts w:ascii="Open Sans" w:hAnsi="Open Sans" w:cs="Open Sans"/>
          <w:sz w:val="20"/>
          <w:szCs w:val="20"/>
          <w:shd w:val="clear" w:color="auto" w:fill="FFFFFF"/>
        </w:rPr>
        <w:t xml:space="preserve">Adams, G. A. and Buck, J. (2010) ‘Social Stressors and Strain Among Police Officers: It’s Not Just the Bad Guys’, </w:t>
      </w:r>
      <w:r w:rsidRPr="00D41B3A">
        <w:rPr>
          <w:rFonts w:ascii="Open Sans" w:hAnsi="Open Sans" w:cs="Open Sans"/>
          <w:i/>
          <w:iCs/>
          <w:sz w:val="20"/>
          <w:szCs w:val="20"/>
          <w:shd w:val="clear" w:color="auto" w:fill="FFFFFF"/>
        </w:rPr>
        <w:t xml:space="preserve">Criminal Justice and </w:t>
      </w:r>
      <w:proofErr w:type="spellStart"/>
      <w:r w:rsidRPr="00D41B3A">
        <w:rPr>
          <w:rFonts w:ascii="Open Sans" w:hAnsi="Open Sans" w:cs="Open Sans"/>
          <w:i/>
          <w:iCs/>
          <w:sz w:val="20"/>
          <w:szCs w:val="20"/>
          <w:shd w:val="clear" w:color="auto" w:fill="FFFFFF"/>
        </w:rPr>
        <w:t>Behavior</w:t>
      </w:r>
      <w:proofErr w:type="spellEnd"/>
      <w:r w:rsidRPr="00D41B3A">
        <w:rPr>
          <w:rFonts w:ascii="Open Sans" w:hAnsi="Open Sans" w:cs="Open Sans"/>
          <w:sz w:val="20"/>
          <w:szCs w:val="20"/>
          <w:shd w:val="clear" w:color="auto" w:fill="FFFFFF"/>
        </w:rPr>
        <w:t xml:space="preserve">. [E-journal] 37(9), p. 1038. </w:t>
      </w:r>
      <w:proofErr w:type="spellStart"/>
      <w:r w:rsidRPr="00D41B3A">
        <w:rPr>
          <w:rFonts w:ascii="Open Sans" w:hAnsi="Open Sans" w:cs="Open Sans"/>
          <w:sz w:val="20"/>
          <w:szCs w:val="20"/>
          <w:shd w:val="clear" w:color="auto" w:fill="FFFFFF"/>
        </w:rPr>
        <w:t>doi</w:t>
      </w:r>
      <w:proofErr w:type="spellEnd"/>
      <w:r w:rsidRPr="00D41B3A">
        <w:rPr>
          <w:rFonts w:ascii="Open Sans" w:hAnsi="Open Sans" w:cs="Open Sans"/>
          <w:sz w:val="20"/>
          <w:szCs w:val="20"/>
          <w:shd w:val="clear" w:color="auto" w:fill="FFFFFF"/>
        </w:rPr>
        <w:t xml:space="preserve">: </w:t>
      </w:r>
      <w:r w:rsidRPr="00D41B3A">
        <w:rPr>
          <w:rFonts w:ascii="Open Sans" w:hAnsi="Open Sans" w:cs="Open Sans"/>
          <w:sz w:val="20"/>
          <w:szCs w:val="20"/>
          <w:u w:val="single"/>
          <w:shd w:val="clear" w:color="auto" w:fill="FFFFFF"/>
        </w:rPr>
        <w:t>10.1177/0093854810374282</w:t>
      </w:r>
      <w:r w:rsidRPr="00D41B3A">
        <w:rPr>
          <w:rFonts w:ascii="Open Sans" w:hAnsi="Open Sans" w:cs="Open Sans"/>
          <w:sz w:val="20"/>
          <w:szCs w:val="20"/>
          <w:shd w:val="clear" w:color="auto" w:fill="FFFFFF"/>
        </w:rPr>
        <w:t>.</w:t>
      </w:r>
    </w:p>
    <w:p w14:paraId="34E78403"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shd w:val="clear" w:color="auto" w:fill="FFFFFF"/>
        </w:rPr>
        <w:t>Akinlabi, O. M. (2019) Citizens’ accounts of police use of force and its implication for trust in the police. </w:t>
      </w:r>
      <w:r w:rsidRPr="00D41B3A">
        <w:rPr>
          <w:rFonts w:ascii="Open Sans" w:hAnsi="Open Sans" w:cs="Open Sans"/>
          <w:i/>
          <w:iCs/>
          <w:sz w:val="20"/>
          <w:szCs w:val="20"/>
          <w:shd w:val="clear" w:color="auto" w:fill="FFFFFF"/>
        </w:rPr>
        <w:t>Journal of Crime and Justice</w:t>
      </w:r>
      <w:r w:rsidRPr="00D41B3A">
        <w:rPr>
          <w:rFonts w:ascii="Open Sans" w:hAnsi="Open Sans" w:cs="Open Sans"/>
          <w:sz w:val="20"/>
          <w:szCs w:val="20"/>
          <w:shd w:val="clear" w:color="auto" w:fill="FFFFFF"/>
        </w:rPr>
        <w:t xml:space="preserve">. [E-journal] 43:2, p. 148, Available </w:t>
      </w:r>
      <w:proofErr w:type="gramStart"/>
      <w:r w:rsidRPr="00D41B3A">
        <w:rPr>
          <w:rFonts w:ascii="Open Sans" w:hAnsi="Open Sans" w:cs="Open Sans"/>
          <w:sz w:val="20"/>
          <w:szCs w:val="20"/>
          <w:shd w:val="clear" w:color="auto" w:fill="FFFFFF"/>
        </w:rPr>
        <w:t>at :</w:t>
      </w:r>
      <w:proofErr w:type="gramEnd"/>
      <w:r w:rsidRPr="00D41B3A">
        <w:rPr>
          <w:rFonts w:ascii="Open Sans" w:hAnsi="Open Sans" w:cs="Open Sans"/>
          <w:sz w:val="20"/>
          <w:szCs w:val="20"/>
          <w:shd w:val="clear" w:color="auto" w:fill="FFFFFF"/>
        </w:rPr>
        <w:t xml:space="preserve"> DOI: </w:t>
      </w:r>
      <w:hyperlink r:id="rId69" w:history="1">
        <w:r w:rsidRPr="00D41B3A">
          <w:rPr>
            <w:rFonts w:ascii="Open Sans" w:hAnsi="Open Sans" w:cs="Open Sans"/>
            <w:sz w:val="20"/>
            <w:szCs w:val="20"/>
            <w:u w:val="single"/>
            <w:shd w:val="clear" w:color="auto" w:fill="FFFFFF"/>
          </w:rPr>
          <w:t>10.1080/0735648X.2019.1650798</w:t>
        </w:r>
      </w:hyperlink>
      <w:r w:rsidRPr="00D41B3A">
        <w:rPr>
          <w:rFonts w:ascii="Open Sans" w:hAnsi="Open Sans" w:cs="Open Sans"/>
          <w:sz w:val="20"/>
          <w:szCs w:val="20"/>
          <w:shd w:val="clear" w:color="auto" w:fill="FFFFFF"/>
        </w:rPr>
        <w:t xml:space="preserve"> </w:t>
      </w:r>
    </w:p>
    <w:p w14:paraId="30C04966" w14:textId="77777777" w:rsidR="00D41B3A" w:rsidRPr="00D41B3A" w:rsidRDefault="00D41B3A" w:rsidP="00D41B3A">
      <w:pPr>
        <w:rPr>
          <w:rFonts w:ascii="Open Sans" w:hAnsi="Open Sans" w:cs="Open Sans"/>
          <w:sz w:val="20"/>
          <w:szCs w:val="20"/>
        </w:rPr>
      </w:pPr>
      <w:proofErr w:type="spellStart"/>
      <w:r w:rsidRPr="00D41B3A">
        <w:rPr>
          <w:rFonts w:ascii="Open Sans" w:hAnsi="Open Sans" w:cs="Open Sans"/>
          <w:sz w:val="20"/>
          <w:szCs w:val="20"/>
          <w:shd w:val="clear" w:color="auto" w:fill="FFFFFF"/>
        </w:rPr>
        <w:t>Alijayyoussi</w:t>
      </w:r>
      <w:proofErr w:type="spellEnd"/>
      <w:r w:rsidRPr="00D41B3A">
        <w:rPr>
          <w:rFonts w:ascii="Open Sans" w:hAnsi="Open Sans" w:cs="Open Sans"/>
          <w:sz w:val="20"/>
          <w:szCs w:val="20"/>
          <w:shd w:val="clear" w:color="auto" w:fill="FFFFFF"/>
        </w:rPr>
        <w:t xml:space="preserve">, G. (2020) The harms of police frisking in times of pandemic. </w:t>
      </w:r>
      <w:r w:rsidRPr="00D41B3A">
        <w:rPr>
          <w:rFonts w:ascii="Open Sans" w:hAnsi="Open Sans" w:cs="Open Sans"/>
          <w:i/>
          <w:iCs/>
          <w:sz w:val="20"/>
          <w:szCs w:val="20"/>
          <w:shd w:val="clear" w:color="auto" w:fill="FFFFFF"/>
        </w:rPr>
        <w:t>The Lancet</w:t>
      </w:r>
      <w:r w:rsidRPr="00D41B3A">
        <w:rPr>
          <w:rFonts w:ascii="Open Sans" w:hAnsi="Open Sans" w:cs="Open Sans"/>
          <w:sz w:val="20"/>
          <w:szCs w:val="20"/>
          <w:shd w:val="clear" w:color="auto" w:fill="FFFFFF"/>
        </w:rPr>
        <w:t xml:space="preserve">. [E-journal] 396(10244). p. 91. Available </w:t>
      </w:r>
      <w:proofErr w:type="gramStart"/>
      <w:r w:rsidRPr="00D41B3A">
        <w:rPr>
          <w:rFonts w:ascii="Open Sans" w:hAnsi="Open Sans" w:cs="Open Sans"/>
          <w:sz w:val="20"/>
          <w:szCs w:val="20"/>
          <w:shd w:val="clear" w:color="auto" w:fill="FFFFFF"/>
        </w:rPr>
        <w:t>at :</w:t>
      </w:r>
      <w:proofErr w:type="gramEnd"/>
      <w:r w:rsidRPr="00D41B3A">
        <w:rPr>
          <w:rFonts w:ascii="Open Sans" w:hAnsi="Open Sans" w:cs="Open Sans"/>
          <w:sz w:val="20"/>
          <w:szCs w:val="20"/>
          <w:shd w:val="clear" w:color="auto" w:fill="FFFFFF"/>
        </w:rPr>
        <w:t xml:space="preserve"> DOI</w:t>
      </w:r>
      <w:r w:rsidRPr="00D41B3A">
        <w:rPr>
          <w:rFonts w:ascii="Open Sans" w:hAnsi="Open Sans" w:cs="Open Sans"/>
          <w:sz w:val="20"/>
          <w:szCs w:val="20"/>
          <w:u w:val="single"/>
          <w:shd w:val="clear" w:color="auto" w:fill="FFFFFF"/>
        </w:rPr>
        <w:t>: htttps://doi.org//10.1016/S0140-6736(20)31453-7</w:t>
      </w:r>
      <w:r w:rsidRPr="00D41B3A">
        <w:rPr>
          <w:rFonts w:ascii="Open Sans" w:hAnsi="Open Sans" w:cs="Open Sans"/>
          <w:sz w:val="20"/>
          <w:szCs w:val="20"/>
          <w:shd w:val="clear" w:color="auto" w:fill="FFFFFF"/>
        </w:rPr>
        <w:t xml:space="preserve"> </w:t>
      </w:r>
    </w:p>
    <w:p w14:paraId="5BCC8D85"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shd w:val="clear" w:color="auto" w:fill="FFFFFF"/>
        </w:rPr>
        <w:t xml:space="preserve">BBC (2016) ‘Police use of force needs recording better, IPCC says’. 8 March 2016. Available </w:t>
      </w:r>
      <w:proofErr w:type="gramStart"/>
      <w:r w:rsidRPr="00D41B3A">
        <w:rPr>
          <w:rFonts w:ascii="Open Sans" w:hAnsi="Open Sans" w:cs="Open Sans"/>
          <w:sz w:val="20"/>
          <w:szCs w:val="20"/>
          <w:shd w:val="clear" w:color="auto" w:fill="FFFFFF"/>
        </w:rPr>
        <w:t>at :</w:t>
      </w:r>
      <w:proofErr w:type="gramEnd"/>
      <w:r w:rsidRPr="00D41B3A">
        <w:rPr>
          <w:rFonts w:ascii="Open Sans" w:hAnsi="Open Sans" w:cs="Open Sans"/>
          <w:sz w:val="20"/>
          <w:szCs w:val="20"/>
          <w:shd w:val="clear" w:color="auto" w:fill="FFFFFF"/>
        </w:rPr>
        <w:t xml:space="preserve"> </w:t>
      </w:r>
      <w:hyperlink r:id="rId70" w:history="1">
        <w:r w:rsidRPr="00D41B3A">
          <w:rPr>
            <w:rStyle w:val="Hyperlink"/>
            <w:rFonts w:ascii="Open Sans" w:hAnsi="Open Sans" w:cs="Open Sans"/>
            <w:color w:val="auto"/>
            <w:sz w:val="20"/>
            <w:szCs w:val="20"/>
            <w:shd w:val="clear" w:color="auto" w:fill="FFFFFF"/>
          </w:rPr>
          <w:t>https://www.bbc.co.uk/news/uk-35749903</w:t>
        </w:r>
      </w:hyperlink>
      <w:r w:rsidRPr="00D41B3A">
        <w:rPr>
          <w:rFonts w:ascii="Open Sans" w:hAnsi="Open Sans" w:cs="Open Sans"/>
          <w:sz w:val="20"/>
          <w:szCs w:val="20"/>
          <w:shd w:val="clear" w:color="auto" w:fill="FFFFFF"/>
        </w:rPr>
        <w:t xml:space="preserve"> (Accessed: 21 April 2022) </w:t>
      </w:r>
    </w:p>
    <w:p w14:paraId="515DFB63"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shd w:val="clear" w:color="auto" w:fill="FFFFFF"/>
        </w:rPr>
        <w:t>BBC (2020) ‘Matiu Ratana death: Met Police Sergeant ‘died from gunshot to chest’. 1</w:t>
      </w:r>
      <w:r w:rsidRPr="00D41B3A">
        <w:rPr>
          <w:rFonts w:ascii="Open Sans" w:hAnsi="Open Sans" w:cs="Open Sans"/>
          <w:sz w:val="20"/>
          <w:szCs w:val="20"/>
          <w:shd w:val="clear" w:color="auto" w:fill="FFFFFF"/>
          <w:vertAlign w:val="superscript"/>
        </w:rPr>
        <w:t>st</w:t>
      </w:r>
      <w:r w:rsidRPr="00D41B3A">
        <w:rPr>
          <w:rFonts w:ascii="Open Sans" w:hAnsi="Open Sans" w:cs="Open Sans"/>
          <w:sz w:val="20"/>
          <w:szCs w:val="20"/>
          <w:shd w:val="clear" w:color="auto" w:fill="FFFFFF"/>
        </w:rPr>
        <w:t xml:space="preserve"> October 2020. Available </w:t>
      </w:r>
      <w:proofErr w:type="gramStart"/>
      <w:r w:rsidRPr="00D41B3A">
        <w:rPr>
          <w:rFonts w:ascii="Open Sans" w:hAnsi="Open Sans" w:cs="Open Sans"/>
          <w:sz w:val="20"/>
          <w:szCs w:val="20"/>
          <w:shd w:val="clear" w:color="auto" w:fill="FFFFFF"/>
        </w:rPr>
        <w:t>at :</w:t>
      </w:r>
      <w:proofErr w:type="gramEnd"/>
      <w:r w:rsidRPr="00D41B3A">
        <w:rPr>
          <w:rFonts w:ascii="Open Sans" w:hAnsi="Open Sans" w:cs="Open Sans"/>
          <w:sz w:val="20"/>
          <w:szCs w:val="20"/>
          <w:shd w:val="clear" w:color="auto" w:fill="FFFFFF"/>
        </w:rPr>
        <w:t xml:space="preserve"> https://</w:t>
      </w:r>
      <w:hyperlink r:id="rId71" w:history="1">
        <w:r w:rsidRPr="00D41B3A">
          <w:rPr>
            <w:rStyle w:val="Hyperlink"/>
            <w:rFonts w:ascii="Open Sans" w:hAnsi="Open Sans" w:cs="Open Sans"/>
            <w:color w:val="auto"/>
            <w:sz w:val="20"/>
            <w:szCs w:val="20"/>
            <w:shd w:val="clear" w:color="auto" w:fill="FFFFFF"/>
          </w:rPr>
          <w:t>www.bbc.co.uk/news/uk-england-london-54360535</w:t>
        </w:r>
      </w:hyperlink>
      <w:r w:rsidRPr="00D41B3A">
        <w:rPr>
          <w:rFonts w:ascii="Open Sans" w:hAnsi="Open Sans" w:cs="Open Sans"/>
          <w:sz w:val="20"/>
          <w:szCs w:val="20"/>
          <w:shd w:val="clear" w:color="auto" w:fill="FFFFFF"/>
        </w:rPr>
        <w:t xml:space="preserve"> (Accessed: 20 April 2022)</w:t>
      </w:r>
    </w:p>
    <w:p w14:paraId="1D81D72A"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Bull, R. (2014). Investigative interviewing. Springer Science &amp; business media. pp. 103-111.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w:t>
      </w:r>
      <w:r w:rsidRPr="00D41B3A">
        <w:rPr>
          <w:rFonts w:ascii="Open Sans" w:hAnsi="Open Sans" w:cs="Open Sans"/>
          <w:sz w:val="20"/>
          <w:szCs w:val="20"/>
          <w:u w:val="single"/>
        </w:rPr>
        <w:t>https://books.google.co.uk/books?hl=en&amp;lr=&amp;id=0oQpBAAAQBAJ&amp;oi=fnd&amp;pg=PR5&amp;dq=prof+ray+bull+investigative+interviewing+2014&amp;ots=0IS2fKY6d2&amp;sig=AMMCnA3SjuRhUbw5VYyo0X0-2No#v=onepage&amp;q=prof%20ray%20bull%20investigative%20interviewing%202014&amp;f=false</w:t>
      </w:r>
      <w:r w:rsidRPr="00D41B3A">
        <w:rPr>
          <w:rFonts w:ascii="Open Sans" w:hAnsi="Open Sans" w:cs="Open Sans"/>
          <w:sz w:val="20"/>
          <w:szCs w:val="20"/>
        </w:rPr>
        <w:t xml:space="preserve"> </w:t>
      </w:r>
    </w:p>
    <w:p w14:paraId="192823B4" w14:textId="77777777" w:rsidR="00D41B3A" w:rsidRPr="00D41B3A" w:rsidRDefault="00D41B3A" w:rsidP="00D41B3A">
      <w:pPr>
        <w:rPr>
          <w:rFonts w:ascii="Open Sans" w:hAnsi="Open Sans" w:cs="Open Sans"/>
          <w:sz w:val="20"/>
          <w:szCs w:val="20"/>
        </w:rPr>
      </w:pPr>
      <w:proofErr w:type="spellStart"/>
      <w:r w:rsidRPr="00D41B3A">
        <w:rPr>
          <w:rFonts w:ascii="Open Sans" w:hAnsi="Open Sans" w:cs="Open Sans"/>
          <w:sz w:val="20"/>
          <w:szCs w:val="20"/>
          <w:shd w:val="clear" w:color="auto" w:fill="FFFFFF"/>
        </w:rPr>
        <w:t>Chevremont</w:t>
      </w:r>
      <w:proofErr w:type="spellEnd"/>
      <w:r w:rsidRPr="00D41B3A">
        <w:rPr>
          <w:rFonts w:ascii="Open Sans" w:hAnsi="Open Sans" w:cs="Open Sans"/>
          <w:sz w:val="20"/>
          <w:szCs w:val="20"/>
          <w:shd w:val="clear" w:color="auto" w:fill="FFFFFF"/>
        </w:rPr>
        <w:t xml:space="preserve">, M.J. (2019). </w:t>
      </w:r>
      <w:r w:rsidRPr="00D41B3A">
        <w:rPr>
          <w:rFonts w:ascii="Open Sans" w:hAnsi="Open Sans" w:cs="Open Sans"/>
          <w:i/>
          <w:iCs/>
          <w:sz w:val="20"/>
          <w:szCs w:val="20"/>
          <w:shd w:val="clear" w:color="auto" w:fill="FFFFFF"/>
        </w:rPr>
        <w:t xml:space="preserve">Millennials in policing: Recommendations for reshaping the workplace to recruit and retain millennials in law </w:t>
      </w:r>
      <w:proofErr w:type="gramStart"/>
      <w:r w:rsidRPr="00D41B3A">
        <w:rPr>
          <w:rFonts w:ascii="Open Sans" w:hAnsi="Open Sans" w:cs="Open Sans"/>
          <w:i/>
          <w:iCs/>
          <w:sz w:val="20"/>
          <w:szCs w:val="20"/>
          <w:shd w:val="clear" w:color="auto" w:fill="FFFFFF"/>
        </w:rPr>
        <w:t>enforcement</w:t>
      </w:r>
      <w:r w:rsidRPr="00D41B3A">
        <w:rPr>
          <w:rFonts w:ascii="Open Sans" w:hAnsi="Open Sans" w:cs="Open Sans"/>
          <w:sz w:val="20"/>
          <w:szCs w:val="20"/>
          <w:shd w:val="clear" w:color="auto" w:fill="FFFFFF"/>
        </w:rPr>
        <w:t>..</w:t>
      </w:r>
      <w:proofErr w:type="gramEnd"/>
      <w:r w:rsidRPr="00D41B3A">
        <w:rPr>
          <w:rFonts w:ascii="Open Sans" w:hAnsi="Open Sans" w:cs="Open Sans"/>
          <w:sz w:val="20"/>
          <w:szCs w:val="20"/>
          <w:shd w:val="clear" w:color="auto" w:fill="FFFFFF"/>
        </w:rPr>
        <w:t xml:space="preserve"> University of </w:t>
      </w:r>
      <w:proofErr w:type="spellStart"/>
      <w:r w:rsidRPr="00D41B3A">
        <w:rPr>
          <w:rFonts w:ascii="Open Sans" w:hAnsi="Open Sans" w:cs="Open Sans"/>
          <w:sz w:val="20"/>
          <w:szCs w:val="20"/>
          <w:shd w:val="clear" w:color="auto" w:fill="FFFFFF"/>
        </w:rPr>
        <w:t>Winsconsin</w:t>
      </w:r>
      <w:proofErr w:type="spellEnd"/>
      <w:r w:rsidRPr="00D41B3A">
        <w:rPr>
          <w:rFonts w:ascii="Open Sans" w:hAnsi="Open Sans" w:cs="Open Sans"/>
          <w:sz w:val="20"/>
          <w:szCs w:val="20"/>
          <w:shd w:val="clear" w:color="auto" w:fill="FFFFFF"/>
        </w:rPr>
        <w:t xml:space="preserve">-Platteville, Dept of Criminal Justice. [pdf] Available </w:t>
      </w:r>
      <w:proofErr w:type="gramStart"/>
      <w:r w:rsidRPr="00D41B3A">
        <w:rPr>
          <w:rFonts w:ascii="Open Sans" w:hAnsi="Open Sans" w:cs="Open Sans"/>
          <w:sz w:val="20"/>
          <w:szCs w:val="20"/>
          <w:shd w:val="clear" w:color="auto" w:fill="FFFFFF"/>
        </w:rPr>
        <w:t>at :</w:t>
      </w:r>
      <w:proofErr w:type="gramEnd"/>
      <w:r w:rsidRPr="00D41B3A">
        <w:rPr>
          <w:rFonts w:ascii="Open Sans" w:hAnsi="Open Sans" w:cs="Open Sans"/>
          <w:sz w:val="20"/>
          <w:szCs w:val="20"/>
          <w:shd w:val="clear" w:color="auto" w:fill="FFFFFF"/>
        </w:rPr>
        <w:t xml:space="preserve"> </w:t>
      </w:r>
      <w:r w:rsidRPr="00D41B3A">
        <w:rPr>
          <w:rFonts w:ascii="Open Sans" w:hAnsi="Open Sans" w:cs="Open Sans"/>
          <w:sz w:val="20"/>
          <w:szCs w:val="20"/>
          <w:u w:val="single"/>
          <w:shd w:val="clear" w:color="auto" w:fill="FFFFFF"/>
        </w:rPr>
        <w:t>https://</w:t>
      </w:r>
      <w:r w:rsidRPr="00D41B3A">
        <w:rPr>
          <w:rFonts w:ascii="Open Sans" w:hAnsi="Open Sans" w:cs="Open Sans"/>
          <w:sz w:val="20"/>
          <w:szCs w:val="20"/>
          <w:u w:val="single"/>
        </w:rPr>
        <w:t xml:space="preserve"> </w:t>
      </w:r>
      <w:r w:rsidRPr="00D41B3A">
        <w:rPr>
          <w:rFonts w:ascii="Open Sans" w:hAnsi="Open Sans" w:cs="Open Sans"/>
          <w:sz w:val="20"/>
          <w:szCs w:val="20"/>
          <w:u w:val="single"/>
          <w:shd w:val="clear" w:color="auto" w:fill="FFFFFF"/>
        </w:rPr>
        <w:t>minds.wisconsin.edu/bitstream/handle/1793/78871/Chevremont,%20Michael.pdf?sequence=1</w:t>
      </w:r>
      <w:r w:rsidRPr="00D41B3A">
        <w:rPr>
          <w:rFonts w:ascii="Open Sans" w:hAnsi="Open Sans" w:cs="Open Sans"/>
          <w:sz w:val="20"/>
          <w:szCs w:val="20"/>
          <w:shd w:val="clear" w:color="auto" w:fill="FFFFFF"/>
        </w:rPr>
        <w:t xml:space="preserve"> (Accessed 21 April 2022)</w:t>
      </w:r>
    </w:p>
    <w:p w14:paraId="33EE61C5" w14:textId="73EB1A40" w:rsidR="00D41B3A" w:rsidRPr="00D41B3A" w:rsidRDefault="00D41B3A" w:rsidP="00D41B3A">
      <w:pPr>
        <w:rPr>
          <w:rFonts w:ascii="Open Sans" w:hAnsi="Open Sans" w:cs="Open Sans"/>
          <w:sz w:val="20"/>
          <w:szCs w:val="20"/>
        </w:rPr>
      </w:pPr>
      <w:r w:rsidRPr="004C6C7B">
        <w:rPr>
          <w:rFonts w:ascii="Open Sans" w:hAnsi="Open Sans" w:cs="Open Sans"/>
          <w:i/>
          <w:iCs/>
          <w:sz w:val="20"/>
          <w:szCs w:val="20"/>
        </w:rPr>
        <w:t>Children Ac</w:t>
      </w:r>
      <w:r w:rsidR="0002340C">
        <w:rPr>
          <w:rFonts w:ascii="Open Sans" w:hAnsi="Open Sans" w:cs="Open Sans"/>
          <w:i/>
          <w:iCs/>
          <w:sz w:val="20"/>
          <w:szCs w:val="20"/>
        </w:rPr>
        <w:t xml:space="preserve">t </w:t>
      </w:r>
      <w:r w:rsidRPr="00D41B3A">
        <w:rPr>
          <w:rFonts w:ascii="Open Sans" w:hAnsi="Open Sans" w:cs="Open Sans"/>
          <w:sz w:val="20"/>
          <w:szCs w:val="20"/>
        </w:rPr>
        <w:t xml:space="preserve">1989, s.17, c41, part III. Available at https:// </w:t>
      </w:r>
      <w:hyperlink r:id="rId72" w:history="1">
        <w:r w:rsidRPr="00D41B3A">
          <w:rPr>
            <w:rStyle w:val="Hyperlink"/>
            <w:rFonts w:ascii="Open Sans" w:hAnsi="Open Sans" w:cs="Open Sans"/>
            <w:color w:val="auto"/>
            <w:sz w:val="20"/>
            <w:szCs w:val="20"/>
          </w:rPr>
          <w:t>www.legislation.gov.uk/ukpga/1989/41/section/17</w:t>
        </w:r>
      </w:hyperlink>
      <w:r w:rsidRPr="00D41B3A">
        <w:rPr>
          <w:rFonts w:ascii="Open Sans" w:hAnsi="Open Sans" w:cs="Open Sans"/>
          <w:sz w:val="20"/>
          <w:szCs w:val="20"/>
        </w:rPr>
        <w:t xml:space="preserve"> (Accessed: 19 April 2022) </w:t>
      </w:r>
    </w:p>
    <w:p w14:paraId="5B2990F1"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shd w:val="clear" w:color="auto" w:fill="FFFFFF"/>
        </w:rPr>
        <w:t>Clare, J., Henstock, D., McComb, C., et al. Police, Public, and Arrestee Perceptions of Body-Worn Video: A Single Jurisdictional Multiple-Perspective Analysis. </w:t>
      </w:r>
      <w:r w:rsidRPr="00D41B3A">
        <w:rPr>
          <w:rFonts w:ascii="Open Sans" w:hAnsi="Open Sans" w:cs="Open Sans"/>
          <w:i/>
          <w:iCs/>
          <w:sz w:val="20"/>
          <w:szCs w:val="20"/>
          <w:shd w:val="clear" w:color="auto" w:fill="FFFFFF"/>
        </w:rPr>
        <w:t>Criminal Justice Review</w:t>
      </w:r>
      <w:r w:rsidRPr="00D41B3A">
        <w:rPr>
          <w:rFonts w:ascii="Open Sans" w:hAnsi="Open Sans" w:cs="Open Sans"/>
          <w:sz w:val="20"/>
          <w:szCs w:val="20"/>
          <w:shd w:val="clear" w:color="auto" w:fill="FFFFFF"/>
        </w:rPr>
        <w:t xml:space="preserve">. 2019;44(3):304-321. Available </w:t>
      </w:r>
      <w:proofErr w:type="gramStart"/>
      <w:r w:rsidRPr="00D41B3A">
        <w:rPr>
          <w:rFonts w:ascii="Open Sans" w:hAnsi="Open Sans" w:cs="Open Sans"/>
          <w:sz w:val="20"/>
          <w:szCs w:val="20"/>
          <w:shd w:val="clear" w:color="auto" w:fill="FFFFFF"/>
        </w:rPr>
        <w:t>at :</w:t>
      </w:r>
      <w:proofErr w:type="gramEnd"/>
      <w:r w:rsidRPr="00D41B3A">
        <w:rPr>
          <w:rFonts w:ascii="Open Sans" w:hAnsi="Open Sans" w:cs="Open Sans"/>
          <w:sz w:val="20"/>
          <w:szCs w:val="20"/>
          <w:shd w:val="clear" w:color="auto" w:fill="FFFFFF"/>
        </w:rPr>
        <w:t xml:space="preserve"> doi:</w:t>
      </w:r>
      <w:hyperlink r:id="rId73" w:history="1">
        <w:r w:rsidRPr="00D41B3A">
          <w:rPr>
            <w:rFonts w:ascii="Open Sans" w:hAnsi="Open Sans" w:cs="Open Sans"/>
            <w:sz w:val="20"/>
            <w:szCs w:val="20"/>
            <w:u w:val="single"/>
            <w:shd w:val="clear" w:color="auto" w:fill="FFFFFF"/>
          </w:rPr>
          <w:t>10.1177/0734016819846236</w:t>
        </w:r>
      </w:hyperlink>
    </w:p>
    <w:p w14:paraId="64AA473D" w14:textId="77777777" w:rsidR="00D41B3A" w:rsidRPr="00D41B3A" w:rsidRDefault="00D41B3A" w:rsidP="00D41B3A">
      <w:pPr>
        <w:pStyle w:val="dx-doi"/>
        <w:spacing w:before="0" w:after="0"/>
        <w:rPr>
          <w:rFonts w:ascii="Open Sans" w:hAnsi="Open Sans" w:cs="Open Sans"/>
          <w:sz w:val="20"/>
          <w:szCs w:val="20"/>
        </w:rPr>
      </w:pPr>
      <w:r w:rsidRPr="00D41B3A">
        <w:rPr>
          <w:rFonts w:ascii="Open Sans" w:hAnsi="Open Sans" w:cs="Open Sans"/>
          <w:sz w:val="20"/>
          <w:szCs w:val="20"/>
          <w:shd w:val="clear" w:color="auto" w:fill="FFFFFF"/>
        </w:rPr>
        <w:t xml:space="preserve">Cohen, G. (2021) In Pursuit of Police Ethics: An analysis of </w:t>
      </w:r>
      <w:proofErr w:type="gramStart"/>
      <w:r w:rsidRPr="00D41B3A">
        <w:rPr>
          <w:rFonts w:ascii="Open Sans" w:hAnsi="Open Sans" w:cs="Open Sans"/>
          <w:sz w:val="20"/>
          <w:szCs w:val="20"/>
          <w:shd w:val="clear" w:color="auto" w:fill="FFFFFF"/>
        </w:rPr>
        <w:t>Ethics</w:t>
      </w:r>
      <w:proofErr w:type="gramEnd"/>
      <w:r w:rsidRPr="00D41B3A">
        <w:rPr>
          <w:rFonts w:ascii="Open Sans" w:hAnsi="Open Sans" w:cs="Open Sans"/>
          <w:sz w:val="20"/>
          <w:szCs w:val="20"/>
          <w:shd w:val="clear" w:color="auto" w:fill="FFFFFF"/>
        </w:rPr>
        <w:t xml:space="preserve"> content in state-mandated basic Police training Curricula. </w:t>
      </w:r>
      <w:r w:rsidRPr="00D41B3A">
        <w:rPr>
          <w:rFonts w:ascii="Open Sans" w:hAnsi="Open Sans" w:cs="Open Sans"/>
          <w:i/>
          <w:iCs/>
          <w:sz w:val="20"/>
          <w:szCs w:val="20"/>
          <w:shd w:val="clear" w:color="auto" w:fill="FFFFFF"/>
        </w:rPr>
        <w:t>Public Integrity</w:t>
      </w:r>
      <w:r w:rsidRPr="00D41B3A">
        <w:rPr>
          <w:rFonts w:ascii="Open Sans" w:hAnsi="Open Sans" w:cs="Open Sans"/>
          <w:sz w:val="20"/>
          <w:szCs w:val="20"/>
          <w:shd w:val="clear" w:color="auto" w:fill="FFFFFF"/>
        </w:rPr>
        <w:t xml:space="preserve">. [E-journal] Available </w:t>
      </w:r>
      <w:proofErr w:type="gramStart"/>
      <w:r w:rsidRPr="00D41B3A">
        <w:rPr>
          <w:rFonts w:ascii="Open Sans" w:hAnsi="Open Sans" w:cs="Open Sans"/>
          <w:sz w:val="20"/>
          <w:szCs w:val="20"/>
          <w:shd w:val="clear" w:color="auto" w:fill="FFFFFF"/>
        </w:rPr>
        <w:t>at :</w:t>
      </w:r>
      <w:proofErr w:type="gramEnd"/>
      <w:r w:rsidRPr="00D41B3A">
        <w:rPr>
          <w:rFonts w:ascii="Open Sans" w:hAnsi="Open Sans" w:cs="Open Sans"/>
          <w:sz w:val="20"/>
          <w:szCs w:val="20"/>
          <w:shd w:val="clear" w:color="auto" w:fill="FFFFFF"/>
        </w:rPr>
        <w:t xml:space="preserve"> </w:t>
      </w:r>
      <w:hyperlink r:id="rId74" w:history="1">
        <w:r w:rsidRPr="00D41B3A">
          <w:rPr>
            <w:rFonts w:ascii="Open Sans" w:hAnsi="Open Sans" w:cs="Open Sans"/>
            <w:sz w:val="20"/>
            <w:szCs w:val="20"/>
            <w:u w:val="single"/>
          </w:rPr>
          <w:t>DOI: 10.1080/10999922.2021.1933340</w:t>
        </w:r>
      </w:hyperlink>
    </w:p>
    <w:p w14:paraId="737BD941"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College of Policing (2021) </w:t>
      </w:r>
      <w:r w:rsidRPr="00D41B3A">
        <w:rPr>
          <w:rFonts w:ascii="Open Sans" w:hAnsi="Open Sans" w:cs="Open Sans"/>
          <w:i/>
          <w:iCs/>
          <w:sz w:val="20"/>
          <w:szCs w:val="20"/>
        </w:rPr>
        <w:t>Quick reference guide: legal application-search options</w:t>
      </w:r>
      <w:r w:rsidRPr="00D41B3A">
        <w:rPr>
          <w:rFonts w:ascii="Open Sans" w:hAnsi="Open Sans" w:cs="Open Sans"/>
          <w:sz w:val="20"/>
          <w:szCs w:val="20"/>
        </w:rPr>
        <w:t xml:space="preserve">.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https:// </w:t>
      </w:r>
      <w:hyperlink r:id="rId75" w:history="1">
        <w:r w:rsidRPr="00D41B3A">
          <w:rPr>
            <w:rStyle w:val="Hyperlink"/>
            <w:rFonts w:ascii="Open Sans" w:hAnsi="Open Sans" w:cs="Open Sans"/>
            <w:color w:val="auto"/>
            <w:sz w:val="20"/>
            <w:szCs w:val="20"/>
          </w:rPr>
          <w:t>www.app.college.police.uk/app-content/stop-and-search/quick-access-tools/qrg-legal/qrg-legal-application-search-options/</w:t>
        </w:r>
      </w:hyperlink>
      <w:r w:rsidRPr="00D41B3A">
        <w:rPr>
          <w:rFonts w:ascii="Open Sans" w:hAnsi="Open Sans" w:cs="Open Sans"/>
          <w:sz w:val="20"/>
          <w:szCs w:val="20"/>
        </w:rPr>
        <w:t xml:space="preserve"> (Accessed: 19 April 2022)</w:t>
      </w:r>
    </w:p>
    <w:p w14:paraId="714A9A9B"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College of Policing (2022) </w:t>
      </w:r>
      <w:r w:rsidRPr="00D41B3A">
        <w:rPr>
          <w:rFonts w:ascii="Open Sans" w:hAnsi="Open Sans" w:cs="Open Sans"/>
          <w:i/>
          <w:iCs/>
          <w:sz w:val="20"/>
          <w:szCs w:val="20"/>
        </w:rPr>
        <w:t>Managing Investigations</w:t>
      </w:r>
      <w:r w:rsidRPr="00D41B3A">
        <w:rPr>
          <w:rFonts w:ascii="Open Sans" w:hAnsi="Open Sans" w:cs="Open Sans"/>
          <w:sz w:val="20"/>
          <w:szCs w:val="20"/>
        </w:rPr>
        <w:t xml:space="preserve">. Available at https:// </w:t>
      </w:r>
      <w:hyperlink r:id="rId76" w:history="1">
        <w:r w:rsidRPr="00D41B3A">
          <w:rPr>
            <w:rStyle w:val="Hyperlink"/>
            <w:rFonts w:ascii="Open Sans" w:hAnsi="Open Sans" w:cs="Open Sans"/>
            <w:color w:val="auto"/>
            <w:sz w:val="20"/>
            <w:szCs w:val="20"/>
          </w:rPr>
          <w:t>www.app.college.police.uk/app-content/investigations/managing-investigations/</w:t>
        </w:r>
      </w:hyperlink>
      <w:r w:rsidRPr="00D41B3A">
        <w:rPr>
          <w:rFonts w:ascii="Open Sans" w:hAnsi="Open Sans" w:cs="Open Sans"/>
          <w:sz w:val="20"/>
          <w:szCs w:val="20"/>
        </w:rPr>
        <w:t xml:space="preserve"> (Accessed: 19 April 2022)</w:t>
      </w:r>
    </w:p>
    <w:p w14:paraId="561A2039"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College of Policing (</w:t>
      </w:r>
      <w:proofErr w:type="spellStart"/>
      <w:r w:rsidRPr="00D41B3A">
        <w:rPr>
          <w:rFonts w:ascii="Open Sans" w:hAnsi="Open Sans" w:cs="Open Sans"/>
          <w:sz w:val="20"/>
          <w:szCs w:val="20"/>
        </w:rPr>
        <w:t>n.d</w:t>
      </w:r>
      <w:proofErr w:type="spellEnd"/>
      <w:r w:rsidRPr="00D41B3A">
        <w:rPr>
          <w:rFonts w:ascii="Open Sans" w:hAnsi="Open Sans" w:cs="Open Sans"/>
          <w:sz w:val="20"/>
          <w:szCs w:val="20"/>
        </w:rPr>
        <w:t xml:space="preserve">). </w:t>
      </w:r>
      <w:r w:rsidRPr="00D41B3A">
        <w:rPr>
          <w:rFonts w:ascii="Open Sans" w:hAnsi="Open Sans" w:cs="Open Sans"/>
          <w:i/>
          <w:iCs/>
          <w:sz w:val="20"/>
          <w:szCs w:val="20"/>
        </w:rPr>
        <w:t>Investigator PIP2</w:t>
      </w:r>
      <w:r w:rsidRPr="00D41B3A">
        <w:rPr>
          <w:rFonts w:ascii="Open Sans" w:hAnsi="Open Sans" w:cs="Open Sans"/>
          <w:sz w:val="20"/>
          <w:szCs w:val="20"/>
        </w:rPr>
        <w:t xml:space="preserve">.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w:t>
      </w:r>
      <w:r w:rsidRPr="00D41B3A">
        <w:rPr>
          <w:rFonts w:ascii="Open Sans" w:hAnsi="Open Sans" w:cs="Open Sans"/>
          <w:sz w:val="20"/>
          <w:szCs w:val="20"/>
          <w:u w:val="single"/>
        </w:rPr>
        <w:t>https://profdev.college.police.uk/professional-profile/investigator-pip2/</w:t>
      </w:r>
      <w:r w:rsidRPr="00D41B3A">
        <w:rPr>
          <w:rFonts w:ascii="Open Sans" w:hAnsi="Open Sans" w:cs="Open Sans"/>
          <w:sz w:val="20"/>
          <w:szCs w:val="20"/>
        </w:rPr>
        <w:t xml:space="preserve"> (Accessed: 8 April 2022)</w:t>
      </w:r>
    </w:p>
    <w:p w14:paraId="4353048C"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College of Policing (</w:t>
      </w:r>
      <w:proofErr w:type="spellStart"/>
      <w:r w:rsidRPr="00D41B3A">
        <w:rPr>
          <w:rFonts w:ascii="Open Sans" w:hAnsi="Open Sans" w:cs="Open Sans"/>
          <w:sz w:val="20"/>
          <w:szCs w:val="20"/>
        </w:rPr>
        <w:t>n.d</w:t>
      </w:r>
      <w:proofErr w:type="spellEnd"/>
      <w:r w:rsidRPr="00D41B3A">
        <w:rPr>
          <w:rFonts w:ascii="Open Sans" w:hAnsi="Open Sans" w:cs="Open Sans"/>
          <w:sz w:val="20"/>
          <w:szCs w:val="20"/>
        </w:rPr>
        <w:t xml:space="preserve">). </w:t>
      </w:r>
      <w:r w:rsidRPr="00D41B3A">
        <w:rPr>
          <w:rFonts w:ascii="Open Sans" w:hAnsi="Open Sans" w:cs="Open Sans"/>
          <w:i/>
          <w:iCs/>
          <w:sz w:val="20"/>
          <w:szCs w:val="20"/>
        </w:rPr>
        <w:t>Specialist Interviewer Victims and Witnesses</w:t>
      </w:r>
      <w:r w:rsidRPr="00D41B3A">
        <w:rPr>
          <w:rFonts w:ascii="Open Sans" w:hAnsi="Open Sans" w:cs="Open Sans"/>
          <w:sz w:val="20"/>
          <w:szCs w:val="20"/>
        </w:rPr>
        <w:t xml:space="preserve">.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w:t>
      </w:r>
      <w:r w:rsidRPr="00D41B3A">
        <w:rPr>
          <w:rFonts w:ascii="Open Sans" w:hAnsi="Open Sans" w:cs="Open Sans"/>
          <w:sz w:val="20"/>
          <w:szCs w:val="20"/>
          <w:u w:val="single"/>
        </w:rPr>
        <w:t>https:// profdev.college.police.uk/professional-profile/specialist-interviewer-victims-and-witnesses/</w:t>
      </w:r>
      <w:r w:rsidRPr="00D41B3A">
        <w:rPr>
          <w:rFonts w:ascii="Open Sans" w:hAnsi="Open Sans" w:cs="Open Sans"/>
          <w:sz w:val="20"/>
          <w:szCs w:val="20"/>
        </w:rPr>
        <w:t xml:space="preserve"> (Accessed: 8 April 2022) </w:t>
      </w:r>
    </w:p>
    <w:p w14:paraId="62E24088"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College of Policing n.d. Code of Ethics.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https://</w:t>
      </w:r>
      <w:hyperlink r:id="rId77" w:history="1">
        <w:r w:rsidRPr="00D41B3A">
          <w:rPr>
            <w:rStyle w:val="Hyperlink"/>
            <w:rFonts w:ascii="Open Sans" w:hAnsi="Open Sans" w:cs="Open Sans"/>
            <w:color w:val="auto"/>
            <w:sz w:val="20"/>
            <w:szCs w:val="20"/>
          </w:rPr>
          <w:t>www.college.police.uk/ethics/code-of-ethics</w:t>
        </w:r>
      </w:hyperlink>
      <w:r w:rsidRPr="00D41B3A">
        <w:rPr>
          <w:rFonts w:ascii="Open Sans" w:hAnsi="Open Sans" w:cs="Open Sans"/>
          <w:sz w:val="20"/>
          <w:szCs w:val="20"/>
        </w:rPr>
        <w:t xml:space="preserve"> (Accessed: 21 April 2022) </w:t>
      </w:r>
    </w:p>
    <w:p w14:paraId="1CD27ACC"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College of Policing, 2020. Personal Protective equipment (PPE) operational guidance, 2020. College of Policing website.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w:t>
      </w:r>
      <w:hyperlink r:id="rId78" w:history="1">
        <w:r w:rsidRPr="00D41B3A">
          <w:rPr>
            <w:rStyle w:val="Hyperlink"/>
            <w:rFonts w:ascii="Open Sans" w:hAnsi="Open Sans" w:cs="Open Sans"/>
            <w:color w:val="auto"/>
            <w:sz w:val="20"/>
            <w:szCs w:val="20"/>
            <w:shd w:val="clear" w:color="auto" w:fill="FFFFFF"/>
          </w:rPr>
          <w:t>https://www.college.police.uk/What-we-do/COVID-19/Documents/Personal-Protective-Equipment-Operational-Guidance-1. [pdf</w:t>
        </w:r>
      </w:hyperlink>
      <w:r w:rsidRPr="00D41B3A">
        <w:rPr>
          <w:rFonts w:ascii="Open Sans" w:hAnsi="Open Sans" w:cs="Open Sans"/>
          <w:sz w:val="20"/>
          <w:szCs w:val="20"/>
          <w:shd w:val="clear" w:color="auto" w:fill="FFFFFF"/>
        </w:rPr>
        <w:t xml:space="preserve">] (Accessed 20 April 2022) </w:t>
      </w:r>
    </w:p>
    <w:p w14:paraId="51BDB255"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College of Policing. (2022) </w:t>
      </w:r>
      <w:r w:rsidRPr="00D41B3A">
        <w:rPr>
          <w:rFonts w:ascii="Open Sans" w:hAnsi="Open Sans" w:cs="Open Sans"/>
          <w:i/>
          <w:iCs/>
          <w:sz w:val="20"/>
          <w:szCs w:val="20"/>
        </w:rPr>
        <w:t>Control, restraint and searches</w:t>
      </w:r>
      <w:r w:rsidRPr="00D41B3A">
        <w:rPr>
          <w:rFonts w:ascii="Open Sans" w:hAnsi="Open Sans" w:cs="Open Sans"/>
          <w:sz w:val="20"/>
          <w:szCs w:val="20"/>
        </w:rPr>
        <w:t xml:space="preserve">. Available at https:// </w:t>
      </w:r>
      <w:hyperlink r:id="rId79" w:history="1">
        <w:r w:rsidRPr="00D41B3A">
          <w:rPr>
            <w:rStyle w:val="Hyperlink"/>
            <w:rFonts w:ascii="Open Sans" w:hAnsi="Open Sans" w:cs="Open Sans"/>
            <w:color w:val="auto"/>
            <w:sz w:val="20"/>
            <w:szCs w:val="20"/>
          </w:rPr>
          <w:t>www.app.college.police.uk/app-content/detention-and-custody-2/control-restraint-and-searches/</w:t>
        </w:r>
      </w:hyperlink>
      <w:r w:rsidRPr="00D41B3A">
        <w:rPr>
          <w:rFonts w:ascii="Open Sans" w:hAnsi="Open Sans" w:cs="Open Sans"/>
          <w:sz w:val="20"/>
          <w:szCs w:val="20"/>
        </w:rPr>
        <w:t xml:space="preserve"> (Accessed: 20 April 2022) </w:t>
      </w:r>
    </w:p>
    <w:p w14:paraId="756F58FE" w14:textId="77777777" w:rsidR="00D41B3A" w:rsidRPr="00D41B3A" w:rsidRDefault="00D41B3A" w:rsidP="00D41B3A">
      <w:pPr>
        <w:rPr>
          <w:rFonts w:ascii="Open Sans" w:hAnsi="Open Sans" w:cs="Open Sans"/>
          <w:sz w:val="20"/>
          <w:szCs w:val="20"/>
        </w:rPr>
      </w:pPr>
      <w:proofErr w:type="spellStart"/>
      <w:r w:rsidRPr="00D41B3A">
        <w:rPr>
          <w:rFonts w:ascii="Open Sans" w:hAnsi="Open Sans" w:cs="Open Sans"/>
          <w:sz w:val="20"/>
          <w:szCs w:val="20"/>
          <w:shd w:val="clear" w:color="auto" w:fill="FFFFFF"/>
        </w:rPr>
        <w:t>Dumbravă</w:t>
      </w:r>
      <w:proofErr w:type="spellEnd"/>
      <w:r w:rsidRPr="00D41B3A">
        <w:rPr>
          <w:rFonts w:ascii="Open Sans" w:hAnsi="Open Sans" w:cs="Open Sans"/>
          <w:sz w:val="20"/>
          <w:szCs w:val="20"/>
          <w:shd w:val="clear" w:color="auto" w:fill="FFFFFF"/>
        </w:rPr>
        <w:t xml:space="preserve">, G. (2011) ‘Workplace relations and emotional intelligence’. Annals of the University of </w:t>
      </w:r>
      <w:proofErr w:type="spellStart"/>
      <w:r w:rsidRPr="00D41B3A">
        <w:rPr>
          <w:rFonts w:ascii="Open Sans" w:hAnsi="Open Sans" w:cs="Open Sans"/>
          <w:sz w:val="20"/>
          <w:szCs w:val="20"/>
          <w:shd w:val="clear" w:color="auto" w:fill="FFFFFF"/>
        </w:rPr>
        <w:t>Petroşani</w:t>
      </w:r>
      <w:proofErr w:type="spellEnd"/>
      <w:r w:rsidRPr="00D41B3A">
        <w:rPr>
          <w:rFonts w:ascii="Open Sans" w:hAnsi="Open Sans" w:cs="Open Sans"/>
          <w:sz w:val="20"/>
          <w:szCs w:val="20"/>
          <w:shd w:val="clear" w:color="auto" w:fill="FFFFFF"/>
        </w:rPr>
        <w:t>. Economics, 11, pp.89-91. Available at https://</w:t>
      </w:r>
      <w:r w:rsidRPr="00D41B3A">
        <w:rPr>
          <w:rFonts w:ascii="Open Sans" w:hAnsi="Open Sans" w:cs="Open Sans"/>
          <w:sz w:val="20"/>
          <w:szCs w:val="20"/>
        </w:rPr>
        <w:t xml:space="preserve"> </w:t>
      </w:r>
      <w:hyperlink r:id="rId80" w:anchor="page=85" w:history="1">
        <w:r w:rsidRPr="00D41B3A">
          <w:rPr>
            <w:rStyle w:val="Hyperlink"/>
            <w:rFonts w:ascii="Open Sans" w:hAnsi="Open Sans" w:cs="Open Sans"/>
            <w:color w:val="auto"/>
            <w:sz w:val="20"/>
            <w:szCs w:val="20"/>
            <w:shd w:val="clear" w:color="auto" w:fill="FFFFFF"/>
          </w:rPr>
          <w:t>www.upet.ro/annals/economics/pdf/annals-2011-part3.pdf#page=85</w:t>
        </w:r>
      </w:hyperlink>
      <w:r w:rsidRPr="00D41B3A">
        <w:rPr>
          <w:rFonts w:ascii="Open Sans" w:hAnsi="Open Sans" w:cs="Open Sans"/>
          <w:sz w:val="20"/>
          <w:szCs w:val="20"/>
          <w:shd w:val="clear" w:color="auto" w:fill="FFFFFF"/>
        </w:rPr>
        <w:t xml:space="preserve"> (Accessed: 18 April 2022)</w:t>
      </w:r>
    </w:p>
    <w:p w14:paraId="4BB5FA9D"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Eastwood, J., Snook, B. &amp; Luther, K. (2018) Establishing the most effective way to deliver the sketch procedure to enhance interviewee free recall. </w:t>
      </w:r>
      <w:r w:rsidRPr="00D41B3A">
        <w:rPr>
          <w:rFonts w:ascii="Open Sans" w:hAnsi="Open Sans" w:cs="Open Sans"/>
          <w:i/>
          <w:iCs/>
          <w:sz w:val="20"/>
          <w:szCs w:val="20"/>
        </w:rPr>
        <w:t>Psychology, Crime &amp; Law</w:t>
      </w:r>
      <w:r w:rsidRPr="00D41B3A">
        <w:rPr>
          <w:rFonts w:ascii="Open Sans" w:hAnsi="Open Sans" w:cs="Open Sans"/>
          <w:sz w:val="20"/>
          <w:szCs w:val="20"/>
        </w:rPr>
        <w:t xml:space="preserve">. [E-journal]. Vol 25, 2019, Issue 5, pp. 482-493. Available at: DOI: </w:t>
      </w:r>
      <w:r w:rsidRPr="00D41B3A">
        <w:rPr>
          <w:rFonts w:ascii="Open Sans" w:hAnsi="Open Sans" w:cs="Open Sans"/>
          <w:sz w:val="20"/>
          <w:szCs w:val="20"/>
          <w:u w:val="single"/>
        </w:rPr>
        <w:t>10.1080/1068316X.2018.1538416.</w:t>
      </w:r>
    </w:p>
    <w:p w14:paraId="1F5C3A12"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shd w:val="clear" w:color="auto" w:fill="FFFFFF"/>
        </w:rPr>
        <w:t>Eck, JE, </w:t>
      </w:r>
      <w:proofErr w:type="spellStart"/>
      <w:r w:rsidRPr="00D41B3A">
        <w:rPr>
          <w:rFonts w:ascii="Open Sans" w:hAnsi="Open Sans" w:cs="Open Sans"/>
          <w:sz w:val="20"/>
          <w:szCs w:val="20"/>
          <w:shd w:val="clear" w:color="auto" w:fill="FFFFFF"/>
        </w:rPr>
        <w:t>Rossmo</w:t>
      </w:r>
      <w:proofErr w:type="spellEnd"/>
      <w:r w:rsidRPr="00D41B3A">
        <w:rPr>
          <w:rFonts w:ascii="Open Sans" w:hAnsi="Open Sans" w:cs="Open Sans"/>
          <w:sz w:val="20"/>
          <w:szCs w:val="20"/>
          <w:shd w:val="clear" w:color="auto" w:fill="FFFFFF"/>
        </w:rPr>
        <w:t>, DK. (2019) The new detective: Rethinking criminal investigations. </w:t>
      </w:r>
      <w:r w:rsidRPr="00D41B3A">
        <w:rPr>
          <w:rFonts w:ascii="Open Sans" w:hAnsi="Open Sans" w:cs="Open Sans"/>
          <w:i/>
          <w:iCs/>
          <w:sz w:val="20"/>
          <w:szCs w:val="20"/>
          <w:shd w:val="clear" w:color="auto" w:fill="FFFFFF"/>
        </w:rPr>
        <w:t>Criminal Public Policy</w:t>
      </w:r>
      <w:r w:rsidRPr="00D41B3A">
        <w:rPr>
          <w:rFonts w:ascii="Open Sans" w:hAnsi="Open Sans" w:cs="Open Sans"/>
          <w:sz w:val="20"/>
          <w:szCs w:val="20"/>
          <w:shd w:val="clear" w:color="auto" w:fill="FFFFFF"/>
        </w:rPr>
        <w:t xml:space="preserve">. [E-journal] Wiley Online Library. Vol 18, Issue 3. pp. 601– 622.  Available </w:t>
      </w:r>
      <w:proofErr w:type="gramStart"/>
      <w:r w:rsidRPr="00D41B3A">
        <w:rPr>
          <w:rFonts w:ascii="Open Sans" w:hAnsi="Open Sans" w:cs="Open Sans"/>
          <w:sz w:val="20"/>
          <w:szCs w:val="20"/>
          <w:shd w:val="clear" w:color="auto" w:fill="FFFFFF"/>
        </w:rPr>
        <w:t>at :</w:t>
      </w:r>
      <w:proofErr w:type="gramEnd"/>
      <w:r w:rsidRPr="00D41B3A">
        <w:rPr>
          <w:rFonts w:ascii="Open Sans" w:hAnsi="Open Sans" w:cs="Open Sans"/>
          <w:sz w:val="20"/>
          <w:szCs w:val="20"/>
          <w:shd w:val="clear" w:color="auto" w:fill="FFFFFF"/>
        </w:rPr>
        <w:t xml:space="preserve"> </w:t>
      </w:r>
      <w:hyperlink r:id="rId81" w:history="1">
        <w:r w:rsidRPr="00D41B3A">
          <w:rPr>
            <w:rStyle w:val="Hyperlink"/>
            <w:rFonts w:ascii="Open Sans" w:hAnsi="Open Sans" w:cs="Open Sans"/>
            <w:color w:val="auto"/>
            <w:sz w:val="20"/>
            <w:szCs w:val="20"/>
            <w:shd w:val="clear" w:color="auto" w:fill="FFFFFF"/>
          </w:rPr>
          <w:t>https://doi.org/10.1111/1745-9133.12450</w:t>
        </w:r>
      </w:hyperlink>
    </w:p>
    <w:p w14:paraId="302C80A2"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Eisen, M., Quas, J., Goodman, G. (2002) </w:t>
      </w:r>
      <w:r w:rsidRPr="00D41B3A">
        <w:rPr>
          <w:rFonts w:ascii="Open Sans" w:hAnsi="Open Sans" w:cs="Open Sans"/>
          <w:i/>
          <w:iCs/>
          <w:sz w:val="20"/>
          <w:szCs w:val="20"/>
        </w:rPr>
        <w:t>Memory and suggestibility in the forensic interview</w:t>
      </w:r>
      <w:r w:rsidRPr="00D41B3A">
        <w:rPr>
          <w:rFonts w:ascii="Open Sans" w:hAnsi="Open Sans" w:cs="Open Sans"/>
          <w:sz w:val="20"/>
          <w:szCs w:val="20"/>
        </w:rPr>
        <w:t xml:space="preserve">. Lawrence Erlbaum Associates, New Jersey, London. E-Book published by Taylor and Francis, 2008. pp. 411, 415. Available at : </w:t>
      </w:r>
      <w:r w:rsidRPr="00D41B3A">
        <w:rPr>
          <w:rFonts w:ascii="Open Sans" w:hAnsi="Open Sans" w:cs="Open Sans"/>
          <w:i/>
          <w:iCs/>
          <w:sz w:val="20"/>
          <w:szCs w:val="20"/>
        </w:rPr>
        <w:t xml:space="preserve"> </w:t>
      </w:r>
      <w:hyperlink r:id="rId82" w:anchor="v=onepage&amp;q=risk%20of%20free%20recall%20in%20investigative%20interviewing&amp;f=false" w:history="1">
        <w:r w:rsidRPr="00D41B3A">
          <w:rPr>
            <w:rStyle w:val="Hyperlink"/>
            <w:rFonts w:ascii="Open Sans" w:hAnsi="Open Sans" w:cs="Open Sans"/>
            <w:color w:val="auto"/>
            <w:sz w:val="20"/>
            <w:szCs w:val="20"/>
          </w:rPr>
          <w:t>https://books.google.co.uk/books?hl=en&amp;lr=&amp;id=CCKQAgAAQBAJ&amp;oi=fnd&amp;pg=PA409&amp;dq=risk+of+free+recall+in+investigative+interviewing&amp;ots=BesMi54d-_&amp;sig=RH7TAdfJxYZU7E_flEmSpjUdUHk#v=onepage&amp;q=risk%20of%20free%20recall%20in%20investigative%20interviewing&amp;f=false</w:t>
        </w:r>
      </w:hyperlink>
    </w:p>
    <w:p w14:paraId="364F9441" w14:textId="484CFB79" w:rsidR="00D41B3A" w:rsidRPr="00D41B3A" w:rsidRDefault="00D41B3A" w:rsidP="00D41B3A">
      <w:pPr>
        <w:rPr>
          <w:rFonts w:ascii="Open Sans" w:hAnsi="Open Sans" w:cs="Open Sans"/>
          <w:sz w:val="20"/>
          <w:szCs w:val="20"/>
        </w:rPr>
      </w:pPr>
      <w:r w:rsidRPr="004C6C7B">
        <w:rPr>
          <w:rFonts w:ascii="Open Sans" w:hAnsi="Open Sans" w:cs="Open Sans"/>
          <w:i/>
          <w:iCs/>
          <w:sz w:val="20"/>
          <w:szCs w:val="20"/>
        </w:rPr>
        <w:t>Equality Act</w:t>
      </w:r>
      <w:r w:rsidRPr="00D41B3A">
        <w:rPr>
          <w:rFonts w:ascii="Open Sans" w:hAnsi="Open Sans" w:cs="Open Sans"/>
          <w:sz w:val="20"/>
          <w:szCs w:val="20"/>
        </w:rPr>
        <w:t xml:space="preserve"> 2010, c. 15.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https://</w:t>
      </w:r>
      <w:hyperlink r:id="rId83" w:history="1">
        <w:r w:rsidRPr="00D41B3A">
          <w:rPr>
            <w:rStyle w:val="Hyperlink"/>
            <w:rFonts w:ascii="Open Sans" w:hAnsi="Open Sans" w:cs="Open Sans"/>
            <w:color w:val="auto"/>
            <w:sz w:val="20"/>
            <w:szCs w:val="20"/>
          </w:rPr>
          <w:t>www.legislation.gov.uk/ukpga/2010/15/contents</w:t>
        </w:r>
      </w:hyperlink>
      <w:r w:rsidRPr="00D41B3A">
        <w:rPr>
          <w:rFonts w:ascii="Open Sans" w:hAnsi="Open Sans" w:cs="Open Sans"/>
          <w:sz w:val="20"/>
          <w:szCs w:val="20"/>
        </w:rPr>
        <w:t xml:space="preserve"> (Accessed : 19 April 2022) </w:t>
      </w:r>
    </w:p>
    <w:p w14:paraId="25F74D71"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Faulkner, P., Simpson, T. (2017) </w:t>
      </w:r>
      <w:r w:rsidRPr="00D41B3A">
        <w:rPr>
          <w:rFonts w:ascii="Open Sans" w:hAnsi="Open Sans" w:cs="Open Sans"/>
          <w:i/>
          <w:iCs/>
          <w:sz w:val="20"/>
          <w:szCs w:val="20"/>
        </w:rPr>
        <w:t>The Philosophy of Trust</w:t>
      </w:r>
      <w:r w:rsidRPr="00D41B3A">
        <w:rPr>
          <w:rFonts w:ascii="Open Sans" w:hAnsi="Open Sans" w:cs="Open Sans"/>
          <w:sz w:val="20"/>
          <w:szCs w:val="20"/>
        </w:rPr>
        <w:t>. Oxford University Press, Oxford. p. 36.</w:t>
      </w:r>
    </w:p>
    <w:p w14:paraId="1B62BB00" w14:textId="558C4F70"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Gibbs, G. Reflective Cycle of learning </w:t>
      </w:r>
      <w:r w:rsidR="0002340C">
        <w:rPr>
          <w:rFonts w:ascii="Open Sans" w:hAnsi="Open Sans" w:cs="Open Sans"/>
          <w:sz w:val="20"/>
          <w:szCs w:val="20"/>
        </w:rPr>
        <w:t xml:space="preserve">(1988). </w:t>
      </w:r>
      <w:r w:rsidRPr="00D41B3A">
        <w:rPr>
          <w:rFonts w:ascii="Open Sans" w:hAnsi="Open Sans" w:cs="Open Sans"/>
          <w:sz w:val="20"/>
          <w:szCs w:val="20"/>
        </w:rPr>
        <w:t xml:space="preserve">Available at : </w:t>
      </w:r>
      <w:hyperlink r:id="rId84" w:history="1">
        <w:r w:rsidRPr="00D41B3A">
          <w:rPr>
            <w:rStyle w:val="Hyperlink"/>
            <w:rFonts w:ascii="Open Sans" w:hAnsi="Open Sans" w:cs="Open Sans"/>
            <w:color w:val="auto"/>
            <w:sz w:val="20"/>
            <w:szCs w:val="20"/>
          </w:rPr>
          <w:t>https://www.bing.com/images/search?view=detailV2&amp;ccid=p1OCgieX&amp;id=2C378BB80C0C91EF2627C555AE2C193669FDD2DB&amp;thid=OIP.p1OCgieXanRYqw8z08mPvQHaG9&amp;mediaurl=https%3a%2f%2fth.bing.com%2fth%2fid%2fR.a753828227976a7458ab0f33d3c98fbd%3frik%3d29L9aTYZLK5VxQ%26riu%3dhttp%253a%252f%252f3.bp.blogspot.com%252f-9q84OIYpZ60%252fVhQnYDqvAbI%252fAAAAAAAAGXM%252f3lvQbefdaEQ%252fs1600%252fgibbs-reflective-cycle.jpg%26ehk%3dYskIt6O%252bY1Xcy4VkcyM%252fJ1xAWIOhtI%252bvE9QPkOMZaWk%253d%26risl%3d%26pid%3dImgRaw%26r%3d0&amp;exph=602&amp;expw=640&amp;q=Gibbs+Cycle+of+Reflection&amp;simid=607986723087718610&amp;FORM=IRPRST&amp;ck=4C0BC0D5D4409AEE83FCD9D3AB635AFE&amp;selectedIndex=2&amp;ajaxhist=0&amp;ajaxserp=0</w:t>
        </w:r>
      </w:hyperlink>
      <w:r w:rsidRPr="00D41B3A">
        <w:rPr>
          <w:rFonts w:ascii="Open Sans" w:hAnsi="Open Sans" w:cs="Open Sans"/>
          <w:sz w:val="20"/>
          <w:szCs w:val="20"/>
        </w:rPr>
        <w:t xml:space="preserve"> (Accessed: 19 April 2022)</w:t>
      </w:r>
    </w:p>
    <w:p w14:paraId="35ACA566" w14:textId="77777777" w:rsidR="00D41B3A" w:rsidRPr="00D41B3A" w:rsidRDefault="00D41B3A" w:rsidP="00D41B3A">
      <w:pPr>
        <w:rPr>
          <w:rFonts w:ascii="Open Sans" w:hAnsi="Open Sans" w:cs="Open Sans"/>
          <w:sz w:val="20"/>
          <w:szCs w:val="20"/>
        </w:rPr>
      </w:pPr>
      <w:proofErr w:type="spellStart"/>
      <w:r w:rsidRPr="00D41B3A">
        <w:rPr>
          <w:rFonts w:ascii="Open Sans" w:hAnsi="Open Sans" w:cs="Open Sans"/>
          <w:sz w:val="20"/>
          <w:szCs w:val="20"/>
        </w:rPr>
        <w:t>Hamourtziadou</w:t>
      </w:r>
      <w:proofErr w:type="spellEnd"/>
      <w:r w:rsidRPr="00D41B3A">
        <w:rPr>
          <w:rFonts w:ascii="Open Sans" w:hAnsi="Open Sans" w:cs="Open Sans"/>
          <w:sz w:val="20"/>
          <w:szCs w:val="20"/>
        </w:rPr>
        <w:t xml:space="preserve">, L., </w:t>
      </w:r>
      <w:proofErr w:type="spellStart"/>
      <w:r w:rsidRPr="00D41B3A">
        <w:rPr>
          <w:rFonts w:ascii="Open Sans" w:hAnsi="Open Sans" w:cs="Open Sans"/>
          <w:sz w:val="20"/>
          <w:szCs w:val="20"/>
        </w:rPr>
        <w:t>Headech</w:t>
      </w:r>
      <w:proofErr w:type="spellEnd"/>
      <w:r w:rsidRPr="00D41B3A">
        <w:rPr>
          <w:rFonts w:ascii="Open Sans" w:hAnsi="Open Sans" w:cs="Open Sans"/>
          <w:sz w:val="20"/>
          <w:szCs w:val="20"/>
        </w:rPr>
        <w:t xml:space="preserve">, S., Jackson, J. (2021) On the use of force. </w:t>
      </w:r>
      <w:r w:rsidRPr="00D41B3A">
        <w:rPr>
          <w:rFonts w:ascii="Open Sans" w:hAnsi="Open Sans" w:cs="Open Sans"/>
          <w:i/>
          <w:iCs/>
          <w:sz w:val="20"/>
          <w:szCs w:val="20"/>
        </w:rPr>
        <w:t xml:space="preserve">Journal of Global </w:t>
      </w:r>
      <w:proofErr w:type="spellStart"/>
      <w:r w:rsidRPr="00D41B3A">
        <w:rPr>
          <w:rFonts w:ascii="Open Sans" w:hAnsi="Open Sans" w:cs="Open Sans"/>
          <w:i/>
          <w:iCs/>
          <w:sz w:val="20"/>
          <w:szCs w:val="20"/>
        </w:rPr>
        <w:t>Faultlines</w:t>
      </w:r>
      <w:proofErr w:type="spellEnd"/>
      <w:r w:rsidRPr="00D41B3A">
        <w:rPr>
          <w:rFonts w:ascii="Open Sans" w:hAnsi="Open Sans" w:cs="Open Sans"/>
          <w:i/>
          <w:iCs/>
          <w:sz w:val="20"/>
          <w:szCs w:val="20"/>
        </w:rPr>
        <w:t xml:space="preserve">. </w:t>
      </w:r>
      <w:r w:rsidRPr="00D41B3A">
        <w:rPr>
          <w:rFonts w:ascii="Open Sans" w:hAnsi="Open Sans" w:cs="Open Sans"/>
          <w:sz w:val="20"/>
          <w:szCs w:val="20"/>
        </w:rPr>
        <w:t xml:space="preserve">[E-journal] Vol. 8(1) pp. 10-11.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w:t>
      </w:r>
      <w:r w:rsidRPr="00D41B3A">
        <w:rPr>
          <w:rFonts w:ascii="Open Sans" w:hAnsi="Open Sans" w:cs="Open Sans"/>
          <w:sz w:val="20"/>
          <w:szCs w:val="20"/>
          <w:u w:val="single"/>
        </w:rPr>
        <w:t>DOI: 10.13169/jglobfaul.8.1.0009</w:t>
      </w:r>
    </w:p>
    <w:p w14:paraId="3B520EF3"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Her Majesty’s Inspectorate of Constabularies, Fire and Rescue Services (HMICRFS). (2021) Expectations for police custody: </w:t>
      </w:r>
      <w:r w:rsidRPr="00D41B3A">
        <w:rPr>
          <w:rFonts w:ascii="Open Sans" w:hAnsi="Open Sans" w:cs="Open Sans"/>
          <w:i/>
          <w:iCs/>
          <w:sz w:val="20"/>
          <w:szCs w:val="20"/>
        </w:rPr>
        <w:t>Criteria for assessing the treatment of and conditions for detainees in police custody</w:t>
      </w:r>
      <w:r w:rsidRPr="00D41B3A">
        <w:rPr>
          <w:rFonts w:ascii="Open Sans" w:hAnsi="Open Sans" w:cs="Open Sans"/>
          <w:sz w:val="20"/>
          <w:szCs w:val="20"/>
        </w:rPr>
        <w:t xml:space="preserve">.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https://</w:t>
      </w:r>
      <w:hyperlink r:id="rId85" w:history="1">
        <w:r w:rsidRPr="00D41B3A">
          <w:rPr>
            <w:rStyle w:val="Hyperlink"/>
            <w:rFonts w:ascii="Open Sans" w:hAnsi="Open Sans" w:cs="Open Sans"/>
            <w:color w:val="auto"/>
            <w:sz w:val="20"/>
            <w:szCs w:val="20"/>
          </w:rPr>
          <w:t>www.justiceinspectorates.gov.uk/hmicfrs/publication-html/expectations-police-custody-criteria/</w:t>
        </w:r>
      </w:hyperlink>
      <w:r w:rsidRPr="00D41B3A">
        <w:rPr>
          <w:rFonts w:ascii="Open Sans" w:hAnsi="Open Sans" w:cs="Open Sans"/>
          <w:sz w:val="20"/>
          <w:szCs w:val="20"/>
        </w:rPr>
        <w:t xml:space="preserve"> (Accessed: 19 April 2022) </w:t>
      </w:r>
    </w:p>
    <w:p w14:paraId="56145266"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Heslop, R. 2019. </w:t>
      </w:r>
      <w:r w:rsidRPr="00D41B3A">
        <w:rPr>
          <w:rFonts w:ascii="Open Sans" w:hAnsi="Open Sans" w:cs="Open Sans"/>
          <w:i/>
          <w:iCs/>
          <w:sz w:val="20"/>
          <w:szCs w:val="20"/>
        </w:rPr>
        <w:t>Are UK Universities more ethical than Police organisations?</w:t>
      </w:r>
      <w:r w:rsidRPr="00D41B3A">
        <w:rPr>
          <w:rFonts w:ascii="Open Sans" w:hAnsi="Open Sans" w:cs="Open Sans"/>
          <w:sz w:val="20"/>
          <w:szCs w:val="20"/>
        </w:rPr>
        <w:t xml:space="preserve"> Bournemouth University website.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w:t>
      </w:r>
      <w:hyperlink r:id="rId86" w:history="1">
        <w:r w:rsidRPr="00D41B3A">
          <w:rPr>
            <w:rStyle w:val="Hyperlink"/>
            <w:rFonts w:ascii="Open Sans" w:hAnsi="Open Sans" w:cs="Open Sans"/>
            <w:color w:val="auto"/>
            <w:sz w:val="20"/>
            <w:szCs w:val="20"/>
          </w:rPr>
          <w:t>https://www.canterbury.ac.uk/social-and-applied-sciences/events/ccpr-annual-conference.aspx</w:t>
        </w:r>
      </w:hyperlink>
      <w:r w:rsidRPr="00D41B3A">
        <w:rPr>
          <w:rFonts w:ascii="Open Sans" w:hAnsi="Open Sans" w:cs="Open Sans"/>
          <w:sz w:val="20"/>
          <w:szCs w:val="20"/>
        </w:rPr>
        <w:t xml:space="preserve"> [pdf] (Accessed: 21 April 2022)</w:t>
      </w:r>
    </w:p>
    <w:p w14:paraId="64A9EFE4" w14:textId="77777777" w:rsidR="00D41B3A" w:rsidRPr="00D41B3A" w:rsidRDefault="00D41B3A" w:rsidP="00D41B3A">
      <w:pPr>
        <w:rPr>
          <w:rFonts w:ascii="Open Sans" w:hAnsi="Open Sans" w:cs="Open Sans"/>
          <w:sz w:val="20"/>
          <w:szCs w:val="20"/>
        </w:rPr>
      </w:pPr>
      <w:proofErr w:type="spellStart"/>
      <w:r w:rsidRPr="00D41B3A">
        <w:rPr>
          <w:rFonts w:ascii="Open Sans" w:hAnsi="Open Sans" w:cs="Open Sans"/>
          <w:sz w:val="20"/>
          <w:szCs w:val="20"/>
        </w:rPr>
        <w:t>Hoggett</w:t>
      </w:r>
      <w:proofErr w:type="spellEnd"/>
      <w:r w:rsidRPr="00D41B3A">
        <w:rPr>
          <w:rFonts w:ascii="Open Sans" w:hAnsi="Open Sans" w:cs="Open Sans"/>
          <w:sz w:val="20"/>
          <w:szCs w:val="20"/>
        </w:rPr>
        <w:t xml:space="preserve">, J., McCartan, K. and O’Sullivan, J. (2020) Risk, discretion, accountability and control: Police perceptions of sex offender risk management policy in England and Wales, </w:t>
      </w:r>
      <w:r w:rsidRPr="00D41B3A">
        <w:rPr>
          <w:rFonts w:ascii="Open Sans" w:hAnsi="Open Sans" w:cs="Open Sans"/>
          <w:i/>
          <w:iCs/>
          <w:sz w:val="20"/>
          <w:szCs w:val="20"/>
        </w:rPr>
        <w:t>Criminology &amp; Criminal Justice</w:t>
      </w:r>
      <w:r w:rsidRPr="00D41B3A">
        <w:rPr>
          <w:rFonts w:ascii="Open Sans" w:hAnsi="Open Sans" w:cs="Open Sans"/>
          <w:sz w:val="20"/>
          <w:szCs w:val="20"/>
        </w:rPr>
        <w:t xml:space="preserve">, [E-journal] 20(4), pp. 436-437.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w:t>
      </w:r>
      <w:proofErr w:type="spellStart"/>
      <w:r w:rsidRPr="00D41B3A">
        <w:rPr>
          <w:rFonts w:ascii="Open Sans" w:hAnsi="Open Sans" w:cs="Open Sans"/>
          <w:sz w:val="20"/>
          <w:szCs w:val="20"/>
        </w:rPr>
        <w:t>doi</w:t>
      </w:r>
      <w:proofErr w:type="spellEnd"/>
      <w:r w:rsidRPr="00D41B3A">
        <w:rPr>
          <w:rFonts w:ascii="Open Sans" w:hAnsi="Open Sans" w:cs="Open Sans"/>
          <w:sz w:val="20"/>
          <w:szCs w:val="20"/>
        </w:rPr>
        <w:t>:</w:t>
      </w:r>
      <w:r w:rsidRPr="00D41B3A">
        <w:rPr>
          <w:rFonts w:ascii="Open Sans" w:hAnsi="Open Sans" w:cs="Open Sans"/>
          <w:sz w:val="20"/>
          <w:szCs w:val="20"/>
          <w:u w:val="single"/>
        </w:rPr>
        <w:t xml:space="preserve"> 10.1177/1748895819839747</w:t>
      </w:r>
    </w:p>
    <w:p w14:paraId="6664D9B0"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Horsman, G., Sunde, N. (2022) Unboxing the digital forensic investigation process. </w:t>
      </w:r>
      <w:r w:rsidRPr="00D41B3A">
        <w:rPr>
          <w:rFonts w:ascii="Open Sans" w:hAnsi="Open Sans" w:cs="Open Sans"/>
          <w:i/>
          <w:iCs/>
          <w:sz w:val="20"/>
          <w:szCs w:val="20"/>
        </w:rPr>
        <w:t>Science &amp; Justice</w:t>
      </w:r>
      <w:r w:rsidRPr="00D41B3A">
        <w:rPr>
          <w:rFonts w:ascii="Open Sans" w:hAnsi="Open Sans" w:cs="Open Sans"/>
          <w:sz w:val="20"/>
          <w:szCs w:val="20"/>
        </w:rPr>
        <w:t xml:space="preserve">. [E-journal] 62(2). p. 175.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w:t>
      </w:r>
      <w:hyperlink r:id="rId87" w:tooltip="Persistent link using digital object identifier" w:history="1">
        <w:r w:rsidRPr="00D41B3A">
          <w:rPr>
            <w:rFonts w:ascii="Open Sans" w:hAnsi="Open Sans" w:cs="Open Sans"/>
            <w:sz w:val="20"/>
            <w:szCs w:val="20"/>
          </w:rPr>
          <w:t>doi.</w:t>
        </w:r>
        <w:r w:rsidRPr="00D41B3A">
          <w:rPr>
            <w:rFonts w:ascii="Open Sans" w:hAnsi="Open Sans" w:cs="Open Sans"/>
            <w:sz w:val="20"/>
            <w:szCs w:val="20"/>
            <w:u w:val="single"/>
          </w:rPr>
          <w:t>org/10.1016/j.scijus.2022.01.002</w:t>
        </w:r>
      </w:hyperlink>
    </w:p>
    <w:p w14:paraId="4600294D" w14:textId="6F4330B3" w:rsidR="00D41B3A" w:rsidRPr="00D41B3A" w:rsidRDefault="00D41B3A" w:rsidP="00D41B3A">
      <w:pPr>
        <w:rPr>
          <w:rFonts w:ascii="Open Sans" w:hAnsi="Open Sans" w:cs="Open Sans"/>
          <w:sz w:val="20"/>
          <w:szCs w:val="20"/>
        </w:rPr>
      </w:pPr>
      <w:r w:rsidRPr="004C6C7B">
        <w:rPr>
          <w:rFonts w:ascii="Open Sans" w:hAnsi="Open Sans" w:cs="Open Sans"/>
          <w:i/>
          <w:iCs/>
          <w:sz w:val="20"/>
          <w:szCs w:val="20"/>
        </w:rPr>
        <w:t>Human Rights Act</w:t>
      </w:r>
      <w:r w:rsidRPr="00D41B3A">
        <w:rPr>
          <w:rFonts w:ascii="Open Sans" w:hAnsi="Open Sans" w:cs="Open Sans"/>
          <w:sz w:val="20"/>
          <w:szCs w:val="20"/>
        </w:rPr>
        <w:t xml:space="preserve"> 1998, c. 42, s. 1, article 5 Right to Liberty and Security. </w:t>
      </w:r>
      <w:r w:rsidR="004C6C7B">
        <w:rPr>
          <w:rFonts w:ascii="Open Sans" w:hAnsi="Open Sans" w:cs="Open Sans"/>
          <w:sz w:val="20"/>
          <w:szCs w:val="20"/>
        </w:rPr>
        <w:t xml:space="preserve">European Court of Human Rights. </w:t>
      </w:r>
      <w:r w:rsidRPr="00D41B3A">
        <w:rPr>
          <w:rFonts w:ascii="Open Sans" w:hAnsi="Open Sans" w:cs="Open Sans"/>
          <w:sz w:val="20"/>
          <w:szCs w:val="20"/>
        </w:rPr>
        <w:t xml:space="preserve">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w:t>
      </w:r>
      <w:hyperlink r:id="rId88" w:history="1">
        <w:r w:rsidRPr="00D41B3A">
          <w:rPr>
            <w:rStyle w:val="Hyperlink"/>
            <w:rFonts w:ascii="Open Sans" w:hAnsi="Open Sans" w:cs="Open Sans"/>
            <w:color w:val="auto"/>
            <w:sz w:val="20"/>
            <w:szCs w:val="20"/>
          </w:rPr>
          <w:t>www.legislation.gov.uk/ukpga/1998/42/schedule/1</w:t>
        </w:r>
      </w:hyperlink>
      <w:r w:rsidRPr="00D41B3A">
        <w:rPr>
          <w:rFonts w:ascii="Open Sans" w:hAnsi="Open Sans" w:cs="Open Sans"/>
          <w:sz w:val="20"/>
          <w:szCs w:val="20"/>
        </w:rPr>
        <w:t xml:space="preserve"> (Accessed: 21 April 2022) </w:t>
      </w:r>
    </w:p>
    <w:p w14:paraId="0F3D4C30"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Independent Office for Police Conduct, 2020. Deaths during or following police contact. Statistics for England and Wales 2019/2020. IOPC website. p. 4.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https:// </w:t>
      </w:r>
      <w:r w:rsidRPr="00D41B3A">
        <w:rPr>
          <w:rFonts w:ascii="Open Sans" w:hAnsi="Open Sans" w:cs="Open Sans"/>
          <w:sz w:val="20"/>
          <w:szCs w:val="20"/>
          <w:u w:val="single"/>
        </w:rPr>
        <w:t>policeconduct.gov.uk/sites/default/files/Documents/statistics/deaths_during_following_police_contact_201920</w:t>
      </w:r>
      <w:r w:rsidRPr="00D41B3A">
        <w:rPr>
          <w:rFonts w:ascii="Open Sans" w:hAnsi="Open Sans" w:cs="Open Sans"/>
          <w:sz w:val="20"/>
          <w:szCs w:val="20"/>
        </w:rPr>
        <w:t xml:space="preserve"> [pdf] (Accessed : 20 April 2022) </w:t>
      </w:r>
    </w:p>
    <w:p w14:paraId="3DA07F6A"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Independent Office for Police Conduct, 2021. Deaths during or following police contact. Statistics for England and Wales 2020/2021. IOPC website. p. 4.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https:// </w:t>
      </w:r>
      <w:r w:rsidRPr="00D41B3A">
        <w:rPr>
          <w:rFonts w:ascii="Open Sans" w:hAnsi="Open Sans" w:cs="Open Sans"/>
          <w:sz w:val="20"/>
          <w:szCs w:val="20"/>
          <w:u w:val="single"/>
        </w:rPr>
        <w:t>policeconduct.gov.uk/sites/default/files/Documents/statistics/deaths_during_following_police_contact_202021</w:t>
      </w:r>
      <w:r w:rsidRPr="00D41B3A">
        <w:rPr>
          <w:rFonts w:ascii="Open Sans" w:hAnsi="Open Sans" w:cs="Open Sans"/>
          <w:sz w:val="20"/>
          <w:szCs w:val="20"/>
        </w:rPr>
        <w:t xml:space="preserve"> [pdf] (Accessed: 20 April 2022) </w:t>
      </w:r>
    </w:p>
    <w:p w14:paraId="5144E544"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Lamb, M.E., Hershkowitz, I., Orbach, Y &amp; Esplin, P.W. (2011) </w:t>
      </w:r>
      <w:r w:rsidRPr="00D41B3A">
        <w:rPr>
          <w:rFonts w:ascii="Open Sans" w:hAnsi="Open Sans" w:cs="Open Sans"/>
          <w:i/>
          <w:iCs/>
          <w:sz w:val="20"/>
          <w:szCs w:val="20"/>
          <w:shd w:val="clear" w:color="auto" w:fill="FFFFFF"/>
        </w:rPr>
        <w:t>Tell me what happened: Structured investigative interviews of child victims and witnesses</w:t>
      </w:r>
      <w:r w:rsidRPr="00D41B3A">
        <w:rPr>
          <w:rFonts w:ascii="Open Sans" w:hAnsi="Open Sans" w:cs="Open Sans"/>
          <w:sz w:val="20"/>
          <w:szCs w:val="20"/>
          <w:shd w:val="clear" w:color="auto" w:fill="FFFFFF"/>
        </w:rPr>
        <w:t> (Vol. 56). John Wiley &amp; Sons. Chichester, England.</w:t>
      </w:r>
    </w:p>
    <w:p w14:paraId="5B1C40C9"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Lamb, M.E., Hershkowitz, I., Orbach, Y &amp; Esplin, P.W., Horowitz, D. (2007) A structured forensic interview protocol improves the quality and informativeness of investigative interviews with children: A review of research using the NICHD Investigative Interview Protocol. [E-journal]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w:t>
      </w:r>
      <w:hyperlink r:id="rId89" w:tooltip="Persistent link using digital object identifier" w:history="1">
        <w:r w:rsidRPr="00D41B3A">
          <w:rPr>
            <w:rFonts w:ascii="Open Sans" w:hAnsi="Open Sans" w:cs="Open Sans"/>
            <w:sz w:val="20"/>
            <w:szCs w:val="20"/>
            <w:u w:val="single"/>
          </w:rPr>
          <w:t>doi.org/10.1016/j.chiabu.2007.03.021</w:t>
        </w:r>
      </w:hyperlink>
      <w:r w:rsidRPr="00D41B3A">
        <w:rPr>
          <w:rFonts w:ascii="Open Sans" w:hAnsi="Open Sans" w:cs="Open Sans"/>
          <w:sz w:val="20"/>
          <w:szCs w:val="20"/>
        </w:rPr>
        <w:t xml:space="preserve"> </w:t>
      </w:r>
    </w:p>
    <w:p w14:paraId="65EE4C1D"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Leadership &amp; Learning with Kevin Eikenberry. (2022).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w:t>
      </w:r>
      <w:r w:rsidRPr="00D41B3A">
        <w:rPr>
          <w:rFonts w:ascii="Open Sans" w:hAnsi="Open Sans" w:cs="Open Sans"/>
          <w:sz w:val="20"/>
          <w:szCs w:val="20"/>
          <w:u w:val="single"/>
        </w:rPr>
        <w:t>https:// blog.kevineikenberry.com/leadership-supervisory-skills/accountability-important</w:t>
      </w:r>
      <w:r w:rsidRPr="00D41B3A">
        <w:rPr>
          <w:rFonts w:ascii="Open Sans" w:hAnsi="Open Sans" w:cs="Open Sans"/>
          <w:sz w:val="20"/>
          <w:szCs w:val="20"/>
        </w:rPr>
        <w:t xml:space="preserve">/ (Accessed: 18 April 2022). </w:t>
      </w:r>
    </w:p>
    <w:p w14:paraId="01EAE05C"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Leigh, A., Johnson, G., Ingram, A., 1989. </w:t>
      </w:r>
      <w:r w:rsidRPr="00D41B3A">
        <w:rPr>
          <w:rFonts w:ascii="Open Sans" w:hAnsi="Open Sans" w:cs="Open Sans"/>
          <w:i/>
          <w:iCs/>
          <w:sz w:val="20"/>
          <w:szCs w:val="20"/>
        </w:rPr>
        <w:t>Deaths in Police Custody: Learning the lessons</w:t>
      </w:r>
      <w:r w:rsidRPr="00D41B3A">
        <w:rPr>
          <w:rFonts w:ascii="Open Sans" w:hAnsi="Open Sans" w:cs="Open Sans"/>
          <w:sz w:val="20"/>
          <w:szCs w:val="20"/>
        </w:rPr>
        <w:t xml:space="preserve">. Police Research Series Paper 26. Pp. ix, 30.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w:t>
      </w:r>
      <w:hyperlink r:id="rId90" w:history="1">
        <w:r w:rsidRPr="00D41B3A">
          <w:rPr>
            <w:rStyle w:val="Hyperlink"/>
            <w:rFonts w:ascii="Open Sans" w:hAnsi="Open Sans" w:cs="Open Sans"/>
            <w:color w:val="auto"/>
            <w:sz w:val="20"/>
            <w:szCs w:val="20"/>
          </w:rPr>
          <w:t>www.dynamis.training/wp-content/uploads/Police-Research-Group-26.pdf</w:t>
        </w:r>
      </w:hyperlink>
      <w:r w:rsidRPr="00D41B3A">
        <w:rPr>
          <w:rFonts w:ascii="Open Sans" w:hAnsi="Open Sans" w:cs="Open Sans"/>
          <w:sz w:val="20"/>
          <w:szCs w:val="20"/>
        </w:rPr>
        <w:t xml:space="preserve"> (Accessed 20 April 2022) </w:t>
      </w:r>
    </w:p>
    <w:p w14:paraId="2AADEB83"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Leslie, C (2020) ‘Police racism inquiries in the UK: Do they change how things work? The BBC. 10 August 2020.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w:t>
      </w:r>
      <w:hyperlink r:id="rId91" w:history="1">
        <w:r w:rsidRPr="00D41B3A">
          <w:rPr>
            <w:rStyle w:val="Hyperlink"/>
            <w:rFonts w:ascii="Open Sans" w:hAnsi="Open Sans" w:cs="Open Sans"/>
            <w:color w:val="auto"/>
            <w:sz w:val="20"/>
            <w:szCs w:val="20"/>
          </w:rPr>
          <w:t>www.bbc.co.uk/news/newsbeat-53365011</w:t>
        </w:r>
      </w:hyperlink>
      <w:r w:rsidRPr="00D41B3A">
        <w:rPr>
          <w:rFonts w:ascii="Open Sans" w:hAnsi="Open Sans" w:cs="Open Sans"/>
          <w:sz w:val="20"/>
          <w:szCs w:val="20"/>
        </w:rPr>
        <w:t xml:space="preserve"> (Accessed 21 April 2022)</w:t>
      </w:r>
    </w:p>
    <w:p w14:paraId="6D30BC02"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rPr>
        <w:t xml:space="preserve">Milne, B., Powell, M. (2010) Investigative interviewing, </w:t>
      </w:r>
      <w:r w:rsidRPr="00D41B3A">
        <w:rPr>
          <w:rFonts w:ascii="Open Sans" w:hAnsi="Open Sans" w:cs="Open Sans"/>
          <w:i/>
          <w:iCs/>
          <w:sz w:val="20"/>
          <w:szCs w:val="20"/>
        </w:rPr>
        <w:t xml:space="preserve">Cambridge handbook of forensic psychology, </w:t>
      </w:r>
      <w:r w:rsidRPr="00D41B3A">
        <w:rPr>
          <w:rFonts w:ascii="Open Sans" w:hAnsi="Open Sans" w:cs="Open Sans"/>
          <w:sz w:val="20"/>
          <w:szCs w:val="20"/>
        </w:rPr>
        <w:t xml:space="preserve">Brown, J.M, Campbell, E.A., New York, Cambridge </w:t>
      </w:r>
      <w:r w:rsidRPr="00D41B3A">
        <w:rPr>
          <w:rFonts w:ascii="Open Sans" w:hAnsi="Open Sans" w:cs="Open Sans"/>
          <w:sz w:val="20"/>
          <w:szCs w:val="20"/>
        </w:rPr>
        <w:br/>
        <w:t xml:space="preserve">University press. p. 209. Available </w:t>
      </w:r>
      <w:proofErr w:type="gramStart"/>
      <w:r w:rsidRPr="00D41B3A">
        <w:rPr>
          <w:rFonts w:ascii="Open Sans" w:hAnsi="Open Sans" w:cs="Open Sans"/>
          <w:sz w:val="20"/>
          <w:szCs w:val="20"/>
        </w:rPr>
        <w:t>at :</w:t>
      </w:r>
      <w:proofErr w:type="gramEnd"/>
      <w:r w:rsidRPr="00D41B3A">
        <w:rPr>
          <w:rFonts w:ascii="Open Sans" w:hAnsi="Open Sans" w:cs="Open Sans"/>
          <w:sz w:val="20"/>
          <w:szCs w:val="20"/>
        </w:rPr>
        <w:t xml:space="preserve"> </w:t>
      </w:r>
      <w:hyperlink r:id="rId92" w:history="1">
        <w:r w:rsidRPr="00D41B3A">
          <w:rPr>
            <w:rStyle w:val="Hyperlink"/>
            <w:rFonts w:ascii="Open Sans" w:hAnsi="Open Sans" w:cs="Open Sans"/>
            <w:color w:val="auto"/>
            <w:sz w:val="20"/>
            <w:szCs w:val="20"/>
            <w:shd w:val="clear" w:color="auto" w:fill="FFFFFF"/>
          </w:rPr>
          <w:t>http://hdl.handle.net/10536/DRO/DU:30032028</w:t>
        </w:r>
      </w:hyperlink>
      <w:r w:rsidRPr="00D41B3A">
        <w:rPr>
          <w:rFonts w:ascii="Open Sans" w:hAnsi="Open Sans" w:cs="Open Sans"/>
          <w:sz w:val="20"/>
          <w:szCs w:val="20"/>
          <w:shd w:val="clear" w:color="auto" w:fill="FFFFFF"/>
        </w:rPr>
        <w:t xml:space="preserve"> </w:t>
      </w:r>
    </w:p>
    <w:p w14:paraId="01A98B25"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shd w:val="clear" w:color="auto" w:fill="FFFFFF"/>
        </w:rPr>
        <w:t xml:space="preserve">Ministry of Justice. (2022) </w:t>
      </w:r>
      <w:r w:rsidRPr="00D41B3A">
        <w:rPr>
          <w:rFonts w:ascii="Open Sans" w:hAnsi="Open Sans" w:cs="Open Sans"/>
          <w:i/>
          <w:iCs/>
          <w:sz w:val="20"/>
          <w:szCs w:val="20"/>
          <w:shd w:val="clear" w:color="auto" w:fill="FFFFFF"/>
        </w:rPr>
        <w:t>Achieving best evidence in criminal proceedings</w:t>
      </w:r>
      <w:r w:rsidRPr="00D41B3A">
        <w:rPr>
          <w:rFonts w:ascii="Open Sans" w:hAnsi="Open Sans" w:cs="Open Sans"/>
          <w:sz w:val="20"/>
          <w:szCs w:val="20"/>
          <w:shd w:val="clear" w:color="auto" w:fill="FFFFFF"/>
        </w:rPr>
        <w:t xml:space="preserve">. Available at </w:t>
      </w:r>
      <w:hyperlink r:id="rId93" w:history="1">
        <w:r w:rsidRPr="00D41B3A">
          <w:rPr>
            <w:rStyle w:val="Hyperlink"/>
            <w:rFonts w:ascii="Open Sans" w:hAnsi="Open Sans" w:cs="Open Sans"/>
            <w:color w:val="auto"/>
            <w:sz w:val="20"/>
            <w:szCs w:val="20"/>
            <w:shd w:val="clear" w:color="auto" w:fill="FFFFFF"/>
          </w:rPr>
          <w:t>https://www.gov.uk/government/publications/achieving-best-evidence-in-criminal-proceedings</w:t>
        </w:r>
      </w:hyperlink>
    </w:p>
    <w:p w14:paraId="604BCC01"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shd w:val="clear" w:color="auto" w:fill="FFFFFF"/>
        </w:rPr>
        <w:t xml:space="preserve">Oluwagbenga, M.A. (2020) Citizens’ accounts of police use of force and it’s implication for trust in police. </w:t>
      </w:r>
      <w:r w:rsidRPr="00D41B3A">
        <w:rPr>
          <w:rFonts w:ascii="Open Sans" w:hAnsi="Open Sans" w:cs="Open Sans"/>
          <w:i/>
          <w:iCs/>
          <w:sz w:val="20"/>
          <w:szCs w:val="20"/>
          <w:shd w:val="clear" w:color="auto" w:fill="FFFFFF"/>
        </w:rPr>
        <w:t>Journal of crime and justice</w:t>
      </w:r>
      <w:r w:rsidRPr="00D41B3A">
        <w:rPr>
          <w:rFonts w:ascii="Open Sans" w:hAnsi="Open Sans" w:cs="Open Sans"/>
          <w:sz w:val="20"/>
          <w:szCs w:val="20"/>
          <w:shd w:val="clear" w:color="auto" w:fill="FFFFFF"/>
        </w:rPr>
        <w:t>. [E-journal] 43(2) p. 145. Available at doi.</w:t>
      </w:r>
      <w:r w:rsidRPr="00D41B3A">
        <w:rPr>
          <w:rFonts w:ascii="Open Sans" w:hAnsi="Open Sans" w:cs="Open Sans"/>
          <w:sz w:val="20"/>
          <w:szCs w:val="20"/>
          <w:u w:val="single"/>
          <w:shd w:val="clear" w:color="auto" w:fill="FFFFFF"/>
        </w:rPr>
        <w:t>org/10.1080/0735648X.2019.1650798</w:t>
      </w:r>
      <w:r w:rsidRPr="00D41B3A">
        <w:rPr>
          <w:rFonts w:ascii="Open Sans" w:hAnsi="Open Sans" w:cs="Open Sans"/>
          <w:sz w:val="20"/>
          <w:szCs w:val="20"/>
          <w:shd w:val="clear" w:color="auto" w:fill="FFFFFF"/>
        </w:rPr>
        <w:t xml:space="preserve"> </w:t>
      </w:r>
    </w:p>
    <w:p w14:paraId="56DE19BB" w14:textId="251082A3" w:rsidR="00D41B3A" w:rsidRPr="00D41B3A" w:rsidRDefault="00D41B3A" w:rsidP="00D41B3A">
      <w:pPr>
        <w:rPr>
          <w:rFonts w:ascii="Open Sans" w:hAnsi="Open Sans" w:cs="Open Sans"/>
          <w:sz w:val="20"/>
          <w:szCs w:val="20"/>
        </w:rPr>
      </w:pPr>
      <w:r w:rsidRPr="004C6C7B">
        <w:rPr>
          <w:rStyle w:val="Hyperlink"/>
          <w:rFonts w:ascii="Open Sans" w:hAnsi="Open Sans" w:cs="Open Sans"/>
          <w:i/>
          <w:iCs/>
          <w:color w:val="auto"/>
          <w:sz w:val="20"/>
          <w:szCs w:val="20"/>
          <w:u w:val="none"/>
          <w:shd w:val="clear" w:color="auto" w:fill="FFFFFF"/>
        </w:rPr>
        <w:t>Police and Criminal Evidence Act 1984</w:t>
      </w:r>
      <w:r w:rsidRPr="00D41B3A">
        <w:rPr>
          <w:rStyle w:val="Hyperlink"/>
          <w:rFonts w:ascii="Open Sans" w:hAnsi="Open Sans" w:cs="Open Sans"/>
          <w:color w:val="auto"/>
          <w:sz w:val="20"/>
          <w:szCs w:val="20"/>
          <w:u w:val="none"/>
          <w:shd w:val="clear" w:color="auto" w:fill="FFFFFF"/>
        </w:rPr>
        <w:t>, c. 60, Part II, sect 19, power to seize evidence believing to be relevant to an offence. Available at https://</w:t>
      </w:r>
      <w:r w:rsidRPr="00D41B3A">
        <w:rPr>
          <w:rFonts w:ascii="Open Sans" w:hAnsi="Open Sans" w:cs="Open Sans"/>
          <w:sz w:val="20"/>
          <w:szCs w:val="20"/>
        </w:rPr>
        <w:t xml:space="preserve"> </w:t>
      </w:r>
      <w:hyperlink r:id="rId94" w:history="1">
        <w:r w:rsidRPr="00D41B3A">
          <w:rPr>
            <w:rStyle w:val="Hyperlink"/>
            <w:rFonts w:ascii="Open Sans" w:hAnsi="Open Sans" w:cs="Open Sans"/>
            <w:color w:val="auto"/>
            <w:sz w:val="20"/>
            <w:szCs w:val="20"/>
            <w:shd w:val="clear" w:color="auto" w:fill="FFFFFF"/>
          </w:rPr>
          <w:t>www.legislation.gov.uk/ukpga/1984/60/section/19</w:t>
        </w:r>
      </w:hyperlink>
      <w:r w:rsidRPr="00D41B3A">
        <w:rPr>
          <w:rStyle w:val="Hyperlink"/>
          <w:rFonts w:ascii="Open Sans" w:hAnsi="Open Sans" w:cs="Open Sans"/>
          <w:color w:val="auto"/>
          <w:sz w:val="20"/>
          <w:szCs w:val="20"/>
          <w:shd w:val="clear" w:color="auto" w:fill="FFFFFF"/>
        </w:rPr>
        <w:t xml:space="preserve"> (Accessed: 19 April 2022)</w:t>
      </w:r>
    </w:p>
    <w:p w14:paraId="218DF84C" w14:textId="4630DD7C" w:rsidR="00D41B3A" w:rsidRPr="00D41B3A" w:rsidRDefault="00D41B3A" w:rsidP="00D41B3A">
      <w:pPr>
        <w:rPr>
          <w:rFonts w:ascii="Open Sans" w:hAnsi="Open Sans" w:cs="Open Sans"/>
          <w:sz w:val="20"/>
          <w:szCs w:val="20"/>
        </w:rPr>
      </w:pPr>
      <w:r w:rsidRPr="004C6C7B">
        <w:rPr>
          <w:rStyle w:val="Hyperlink"/>
          <w:rFonts w:ascii="Open Sans" w:hAnsi="Open Sans" w:cs="Open Sans"/>
          <w:i/>
          <w:iCs/>
          <w:color w:val="auto"/>
          <w:sz w:val="20"/>
          <w:szCs w:val="20"/>
          <w:u w:val="none"/>
          <w:shd w:val="clear" w:color="auto" w:fill="FFFFFF"/>
        </w:rPr>
        <w:t>Police and Criminal Evidence Act 1984</w:t>
      </w:r>
      <w:r w:rsidRPr="00D41B3A">
        <w:rPr>
          <w:rStyle w:val="Hyperlink"/>
          <w:rFonts w:ascii="Open Sans" w:hAnsi="Open Sans" w:cs="Open Sans"/>
          <w:color w:val="auto"/>
          <w:sz w:val="20"/>
          <w:szCs w:val="20"/>
          <w:u w:val="none"/>
          <w:shd w:val="clear" w:color="auto" w:fill="FFFFFF"/>
        </w:rPr>
        <w:t xml:space="preserve">, c. 60, Part III, sect 32, search powers following arrest. Available at </w:t>
      </w:r>
      <w:hyperlink r:id="rId95" w:history="1">
        <w:r w:rsidRPr="00D41B3A">
          <w:rPr>
            <w:rStyle w:val="Hyperlink"/>
            <w:rFonts w:ascii="Open Sans" w:hAnsi="Open Sans" w:cs="Open Sans"/>
            <w:color w:val="auto"/>
            <w:sz w:val="20"/>
            <w:szCs w:val="20"/>
            <w:u w:val="none"/>
            <w:shd w:val="clear" w:color="auto" w:fill="FFFFFF"/>
          </w:rPr>
          <w:t>https://www.legislation.gov.uk/ukpga/1984/60/section/32</w:t>
        </w:r>
      </w:hyperlink>
      <w:r w:rsidRPr="00D41B3A">
        <w:rPr>
          <w:rStyle w:val="Hyperlink"/>
          <w:rFonts w:ascii="Open Sans" w:hAnsi="Open Sans" w:cs="Open Sans"/>
          <w:color w:val="auto"/>
          <w:sz w:val="20"/>
          <w:szCs w:val="20"/>
          <w:shd w:val="clear" w:color="auto" w:fill="FFFFFF"/>
        </w:rPr>
        <w:t xml:space="preserve"> (</w:t>
      </w:r>
      <w:proofErr w:type="gramStart"/>
      <w:r w:rsidRPr="00D41B3A">
        <w:rPr>
          <w:rStyle w:val="Hyperlink"/>
          <w:rFonts w:ascii="Open Sans" w:hAnsi="Open Sans" w:cs="Open Sans"/>
          <w:color w:val="auto"/>
          <w:sz w:val="20"/>
          <w:szCs w:val="20"/>
          <w:shd w:val="clear" w:color="auto" w:fill="FFFFFF"/>
        </w:rPr>
        <w:t>Accessed :</w:t>
      </w:r>
      <w:proofErr w:type="gramEnd"/>
      <w:r w:rsidRPr="00D41B3A">
        <w:rPr>
          <w:rStyle w:val="Hyperlink"/>
          <w:rFonts w:ascii="Open Sans" w:hAnsi="Open Sans" w:cs="Open Sans"/>
          <w:color w:val="auto"/>
          <w:sz w:val="20"/>
          <w:szCs w:val="20"/>
          <w:shd w:val="clear" w:color="auto" w:fill="FFFFFF"/>
        </w:rPr>
        <w:t xml:space="preserve"> 19 April 2022)</w:t>
      </w:r>
    </w:p>
    <w:p w14:paraId="5E7B3B86" w14:textId="47B1CEAF" w:rsidR="00D41B3A" w:rsidRPr="00D41B3A" w:rsidRDefault="00D41B3A" w:rsidP="00D41B3A">
      <w:pPr>
        <w:rPr>
          <w:rFonts w:ascii="Open Sans" w:hAnsi="Open Sans" w:cs="Open Sans"/>
          <w:sz w:val="20"/>
          <w:szCs w:val="20"/>
        </w:rPr>
      </w:pPr>
      <w:r w:rsidRPr="004C6C7B">
        <w:rPr>
          <w:rFonts w:ascii="Open Sans" w:hAnsi="Open Sans" w:cs="Open Sans"/>
          <w:i/>
          <w:iCs/>
          <w:sz w:val="20"/>
          <w:szCs w:val="20"/>
          <w:shd w:val="clear" w:color="auto" w:fill="FFFFFF"/>
        </w:rPr>
        <w:t>Police and Criminal Evidence Act 1984</w:t>
      </w:r>
      <w:r w:rsidR="0002340C">
        <w:rPr>
          <w:rFonts w:ascii="Open Sans" w:hAnsi="Open Sans" w:cs="Open Sans"/>
          <w:i/>
          <w:iCs/>
          <w:sz w:val="20"/>
          <w:szCs w:val="20"/>
          <w:shd w:val="clear" w:color="auto" w:fill="FFFFFF"/>
        </w:rPr>
        <w:t>,</w:t>
      </w:r>
      <w:r w:rsidRPr="00D41B3A">
        <w:rPr>
          <w:rFonts w:ascii="Open Sans" w:hAnsi="Open Sans" w:cs="Open Sans"/>
          <w:sz w:val="20"/>
          <w:szCs w:val="20"/>
          <w:shd w:val="clear" w:color="auto" w:fill="FFFFFF"/>
        </w:rPr>
        <w:t xml:space="preserve"> c. 60. Available </w:t>
      </w:r>
      <w:proofErr w:type="gramStart"/>
      <w:r w:rsidRPr="00D41B3A">
        <w:rPr>
          <w:rFonts w:ascii="Open Sans" w:hAnsi="Open Sans" w:cs="Open Sans"/>
          <w:sz w:val="20"/>
          <w:szCs w:val="20"/>
          <w:shd w:val="clear" w:color="auto" w:fill="FFFFFF"/>
        </w:rPr>
        <w:t>at :</w:t>
      </w:r>
      <w:proofErr w:type="gramEnd"/>
      <w:r w:rsidRPr="00D41B3A">
        <w:rPr>
          <w:rFonts w:ascii="Open Sans" w:hAnsi="Open Sans" w:cs="Open Sans"/>
          <w:sz w:val="20"/>
          <w:szCs w:val="20"/>
          <w:shd w:val="clear" w:color="auto" w:fill="FFFFFF"/>
        </w:rPr>
        <w:t xml:space="preserve"> </w:t>
      </w:r>
      <w:hyperlink r:id="rId96" w:history="1">
        <w:r w:rsidRPr="00D41B3A">
          <w:rPr>
            <w:rStyle w:val="Hyperlink"/>
            <w:rFonts w:ascii="Open Sans" w:hAnsi="Open Sans" w:cs="Open Sans"/>
            <w:color w:val="auto"/>
            <w:sz w:val="20"/>
            <w:szCs w:val="20"/>
            <w:shd w:val="clear" w:color="auto" w:fill="FFFFFF"/>
          </w:rPr>
          <w:t>www.legislation.gov.uk/ukpga/1984/60/contents</w:t>
        </w:r>
      </w:hyperlink>
      <w:r w:rsidRPr="00D41B3A">
        <w:rPr>
          <w:rFonts w:ascii="Open Sans" w:hAnsi="Open Sans" w:cs="Open Sans"/>
          <w:sz w:val="20"/>
          <w:szCs w:val="20"/>
          <w:shd w:val="clear" w:color="auto" w:fill="FFFFFF"/>
        </w:rPr>
        <w:t xml:space="preserve"> (Accessed: 18 April 2022)</w:t>
      </w:r>
    </w:p>
    <w:p w14:paraId="38A75B32" w14:textId="06BA5A38" w:rsidR="00D41B3A" w:rsidRPr="00D41B3A" w:rsidRDefault="00D41B3A" w:rsidP="00D41B3A">
      <w:pPr>
        <w:rPr>
          <w:rFonts w:ascii="Open Sans" w:hAnsi="Open Sans" w:cs="Open Sans"/>
          <w:sz w:val="20"/>
          <w:szCs w:val="20"/>
        </w:rPr>
      </w:pPr>
      <w:r w:rsidRPr="004C6C7B">
        <w:rPr>
          <w:rStyle w:val="Hyperlink"/>
          <w:rFonts w:ascii="Open Sans" w:hAnsi="Open Sans" w:cs="Open Sans"/>
          <w:i/>
          <w:iCs/>
          <w:color w:val="auto"/>
          <w:sz w:val="20"/>
          <w:szCs w:val="20"/>
          <w:u w:val="none"/>
          <w:shd w:val="clear" w:color="auto" w:fill="FFFFFF"/>
        </w:rPr>
        <w:t>Police and Criminal Evidence Act 1984</w:t>
      </w:r>
      <w:r w:rsidRPr="00D41B3A">
        <w:rPr>
          <w:rStyle w:val="Hyperlink"/>
          <w:rFonts w:ascii="Open Sans" w:hAnsi="Open Sans" w:cs="Open Sans"/>
          <w:color w:val="auto"/>
          <w:sz w:val="20"/>
          <w:szCs w:val="20"/>
          <w:u w:val="none"/>
          <w:shd w:val="clear" w:color="auto" w:fill="FFFFFF"/>
        </w:rPr>
        <w:t xml:space="preserve">, c.60, Part V, Sect 54. Searches of Detained Persons. Available </w:t>
      </w:r>
      <w:proofErr w:type="gramStart"/>
      <w:r w:rsidRPr="00D41B3A">
        <w:rPr>
          <w:rStyle w:val="Hyperlink"/>
          <w:rFonts w:ascii="Open Sans" w:hAnsi="Open Sans" w:cs="Open Sans"/>
          <w:color w:val="auto"/>
          <w:sz w:val="20"/>
          <w:szCs w:val="20"/>
          <w:u w:val="none"/>
          <w:shd w:val="clear" w:color="auto" w:fill="FFFFFF"/>
        </w:rPr>
        <w:t>at :</w:t>
      </w:r>
      <w:proofErr w:type="gramEnd"/>
      <w:r w:rsidRPr="00D41B3A">
        <w:rPr>
          <w:rStyle w:val="Hyperlink"/>
          <w:rFonts w:ascii="Open Sans" w:hAnsi="Open Sans" w:cs="Open Sans"/>
          <w:color w:val="auto"/>
          <w:sz w:val="20"/>
          <w:szCs w:val="20"/>
          <w:u w:val="none"/>
          <w:shd w:val="clear" w:color="auto" w:fill="FFFFFF"/>
        </w:rPr>
        <w:t xml:space="preserve"> https://</w:t>
      </w:r>
      <w:r w:rsidRPr="00D41B3A">
        <w:rPr>
          <w:rFonts w:ascii="Open Sans" w:hAnsi="Open Sans" w:cs="Open Sans"/>
          <w:sz w:val="20"/>
          <w:szCs w:val="20"/>
        </w:rPr>
        <w:t xml:space="preserve"> </w:t>
      </w:r>
      <w:hyperlink r:id="rId97" w:history="1">
        <w:r w:rsidRPr="00D41B3A">
          <w:rPr>
            <w:rStyle w:val="Hyperlink"/>
            <w:rFonts w:ascii="Open Sans" w:hAnsi="Open Sans" w:cs="Open Sans"/>
            <w:color w:val="auto"/>
            <w:sz w:val="20"/>
            <w:szCs w:val="20"/>
            <w:shd w:val="clear" w:color="auto" w:fill="FFFFFF"/>
          </w:rPr>
          <w:t>www.legislation.gov.uk/ukpga/1984/60/section/54</w:t>
        </w:r>
      </w:hyperlink>
      <w:r w:rsidRPr="00D41B3A">
        <w:rPr>
          <w:rStyle w:val="Hyperlink"/>
          <w:rFonts w:ascii="Open Sans" w:hAnsi="Open Sans" w:cs="Open Sans"/>
          <w:color w:val="auto"/>
          <w:sz w:val="20"/>
          <w:szCs w:val="20"/>
          <w:shd w:val="clear" w:color="auto" w:fill="FFFFFF"/>
        </w:rPr>
        <w:t xml:space="preserve"> (Accessed: 19 April 2022) </w:t>
      </w:r>
    </w:p>
    <w:p w14:paraId="65FC58B0" w14:textId="1522190D" w:rsidR="00D41B3A" w:rsidRPr="00D41B3A" w:rsidRDefault="00D41B3A" w:rsidP="00D41B3A">
      <w:pPr>
        <w:rPr>
          <w:rFonts w:ascii="Open Sans" w:hAnsi="Open Sans" w:cs="Open Sans"/>
          <w:sz w:val="20"/>
          <w:szCs w:val="20"/>
        </w:rPr>
      </w:pPr>
      <w:r w:rsidRPr="004C6C7B">
        <w:rPr>
          <w:rStyle w:val="Hyperlink"/>
          <w:rFonts w:ascii="Open Sans" w:hAnsi="Open Sans" w:cs="Open Sans"/>
          <w:i/>
          <w:iCs/>
          <w:color w:val="auto"/>
          <w:sz w:val="20"/>
          <w:szCs w:val="20"/>
          <w:u w:val="none"/>
          <w:shd w:val="clear" w:color="auto" w:fill="FFFFFF"/>
        </w:rPr>
        <w:t>Regulation of Investigatory Powers Act 2016</w:t>
      </w:r>
      <w:r w:rsidRPr="004C6C7B">
        <w:rPr>
          <w:rStyle w:val="Hyperlink"/>
          <w:rFonts w:ascii="Open Sans" w:hAnsi="Open Sans" w:cs="Open Sans"/>
          <w:color w:val="auto"/>
          <w:sz w:val="20"/>
          <w:szCs w:val="20"/>
          <w:u w:val="none"/>
          <w:shd w:val="clear" w:color="auto" w:fill="FFFFFF"/>
        </w:rPr>
        <w:t xml:space="preserve">, Sect 49, Part III, Power to require disclosure. Available </w:t>
      </w:r>
      <w:proofErr w:type="gramStart"/>
      <w:r w:rsidRPr="004C6C7B">
        <w:rPr>
          <w:rStyle w:val="Hyperlink"/>
          <w:rFonts w:ascii="Open Sans" w:hAnsi="Open Sans" w:cs="Open Sans"/>
          <w:color w:val="auto"/>
          <w:sz w:val="20"/>
          <w:szCs w:val="20"/>
          <w:u w:val="none"/>
          <w:shd w:val="clear" w:color="auto" w:fill="FFFFFF"/>
        </w:rPr>
        <w:t>at :</w:t>
      </w:r>
      <w:proofErr w:type="gramEnd"/>
      <w:r w:rsidRPr="004C6C7B">
        <w:rPr>
          <w:rStyle w:val="Hyperlink"/>
          <w:rFonts w:ascii="Open Sans" w:hAnsi="Open Sans" w:cs="Open Sans"/>
          <w:color w:val="auto"/>
          <w:sz w:val="20"/>
          <w:szCs w:val="20"/>
          <w:u w:val="none"/>
          <w:shd w:val="clear" w:color="auto" w:fill="FFFFFF"/>
        </w:rPr>
        <w:t xml:space="preserve"> https://</w:t>
      </w:r>
      <w:hyperlink r:id="rId98" w:history="1">
        <w:r w:rsidRPr="00D41B3A">
          <w:rPr>
            <w:rStyle w:val="Hyperlink"/>
            <w:rFonts w:ascii="Open Sans" w:hAnsi="Open Sans" w:cs="Open Sans"/>
            <w:color w:val="auto"/>
            <w:sz w:val="20"/>
            <w:szCs w:val="20"/>
            <w:shd w:val="clear" w:color="auto" w:fill="FFFFFF"/>
          </w:rPr>
          <w:t>www.legislation.gov.uk/ukpga/2000/23/part/III</w:t>
        </w:r>
      </w:hyperlink>
      <w:r w:rsidRPr="00D41B3A">
        <w:rPr>
          <w:rStyle w:val="Hyperlink"/>
          <w:rFonts w:ascii="Open Sans" w:hAnsi="Open Sans" w:cs="Open Sans"/>
          <w:color w:val="auto"/>
          <w:sz w:val="20"/>
          <w:szCs w:val="20"/>
          <w:shd w:val="clear" w:color="auto" w:fill="FFFFFF"/>
        </w:rPr>
        <w:t xml:space="preserve"> (Accessed 19 April 2022)</w:t>
      </w:r>
    </w:p>
    <w:p w14:paraId="1CE340EA" w14:textId="77777777" w:rsidR="00D41B3A" w:rsidRPr="00D41B3A" w:rsidRDefault="00D41B3A" w:rsidP="00D41B3A">
      <w:pPr>
        <w:rPr>
          <w:rFonts w:ascii="Open Sans" w:hAnsi="Open Sans" w:cs="Open Sans"/>
          <w:sz w:val="20"/>
          <w:szCs w:val="20"/>
        </w:rPr>
      </w:pPr>
      <w:r w:rsidRPr="004C6C7B">
        <w:rPr>
          <w:rStyle w:val="Hyperlink"/>
          <w:rFonts w:ascii="Open Sans" w:hAnsi="Open Sans" w:cs="Open Sans"/>
          <w:color w:val="auto"/>
          <w:sz w:val="20"/>
          <w:szCs w:val="20"/>
          <w:u w:val="none"/>
          <w:shd w:val="clear" w:color="auto" w:fill="FFFFFF"/>
        </w:rPr>
        <w:t>Savage, M. (2021) ‘Assaults on police in England and Wales rise above 100 a day during pandemic’. The Guardian, 31</w:t>
      </w:r>
      <w:r w:rsidRPr="004C6C7B">
        <w:rPr>
          <w:rStyle w:val="Hyperlink"/>
          <w:rFonts w:ascii="Open Sans" w:hAnsi="Open Sans" w:cs="Open Sans"/>
          <w:color w:val="auto"/>
          <w:sz w:val="20"/>
          <w:szCs w:val="20"/>
          <w:u w:val="none"/>
          <w:shd w:val="clear" w:color="auto" w:fill="FFFFFF"/>
          <w:vertAlign w:val="superscript"/>
        </w:rPr>
        <w:t>st</w:t>
      </w:r>
      <w:r w:rsidRPr="004C6C7B">
        <w:rPr>
          <w:rStyle w:val="Hyperlink"/>
          <w:rFonts w:ascii="Open Sans" w:hAnsi="Open Sans" w:cs="Open Sans"/>
          <w:color w:val="auto"/>
          <w:sz w:val="20"/>
          <w:szCs w:val="20"/>
          <w:u w:val="none"/>
          <w:shd w:val="clear" w:color="auto" w:fill="FFFFFF"/>
        </w:rPr>
        <w:t xml:space="preserve"> July 2021. Available </w:t>
      </w:r>
      <w:proofErr w:type="gramStart"/>
      <w:r w:rsidRPr="004C6C7B">
        <w:rPr>
          <w:rStyle w:val="Hyperlink"/>
          <w:rFonts w:ascii="Open Sans" w:hAnsi="Open Sans" w:cs="Open Sans"/>
          <w:color w:val="auto"/>
          <w:sz w:val="20"/>
          <w:szCs w:val="20"/>
          <w:u w:val="none"/>
          <w:shd w:val="clear" w:color="auto" w:fill="FFFFFF"/>
        </w:rPr>
        <w:t>at :</w:t>
      </w:r>
      <w:proofErr w:type="gramEnd"/>
      <w:r w:rsidRPr="004C6C7B">
        <w:rPr>
          <w:rStyle w:val="Hyperlink"/>
          <w:rFonts w:ascii="Open Sans" w:hAnsi="Open Sans" w:cs="Open Sans"/>
          <w:color w:val="auto"/>
          <w:sz w:val="20"/>
          <w:szCs w:val="20"/>
          <w:u w:val="none"/>
          <w:shd w:val="clear" w:color="auto" w:fill="FFFFFF"/>
        </w:rPr>
        <w:t xml:space="preserve"> https://</w:t>
      </w:r>
      <w:hyperlink r:id="rId99" w:history="1">
        <w:r w:rsidRPr="00D41B3A">
          <w:rPr>
            <w:rStyle w:val="Hyperlink"/>
            <w:rFonts w:ascii="Open Sans" w:hAnsi="Open Sans" w:cs="Open Sans"/>
            <w:color w:val="auto"/>
            <w:sz w:val="20"/>
            <w:szCs w:val="20"/>
            <w:shd w:val="clear" w:color="auto" w:fill="FFFFFF"/>
          </w:rPr>
          <w:t>www.theguardian.com/uk-news/2021/jul/31/assaults-on-police-in-england-and-wales-rise-above-100-a-day-during-pandemic</w:t>
        </w:r>
      </w:hyperlink>
      <w:r w:rsidRPr="00D41B3A">
        <w:rPr>
          <w:rStyle w:val="Hyperlink"/>
          <w:rFonts w:ascii="Open Sans" w:hAnsi="Open Sans" w:cs="Open Sans"/>
          <w:color w:val="auto"/>
          <w:sz w:val="20"/>
          <w:szCs w:val="20"/>
          <w:shd w:val="clear" w:color="auto" w:fill="FFFFFF"/>
        </w:rPr>
        <w:t xml:space="preserve"> (Accessed: 20 April 2022) </w:t>
      </w:r>
    </w:p>
    <w:p w14:paraId="553E16D7" w14:textId="77777777" w:rsidR="00D41B3A" w:rsidRPr="00D41B3A" w:rsidRDefault="00D41B3A" w:rsidP="00D41B3A">
      <w:pPr>
        <w:rPr>
          <w:rFonts w:ascii="Open Sans" w:hAnsi="Open Sans" w:cs="Open Sans"/>
          <w:sz w:val="20"/>
          <w:szCs w:val="20"/>
        </w:rPr>
      </w:pPr>
      <w:r w:rsidRPr="004C6C7B">
        <w:rPr>
          <w:rStyle w:val="Hyperlink"/>
          <w:rFonts w:ascii="Open Sans" w:hAnsi="Open Sans" w:cs="Open Sans"/>
          <w:color w:val="auto"/>
          <w:sz w:val="20"/>
          <w:szCs w:val="20"/>
          <w:u w:val="none"/>
          <w:shd w:val="clear" w:color="auto" w:fill="FFFFFF"/>
        </w:rPr>
        <w:t>Stevenson, G.D. (2020) The Blended Detective Training Program. Educating the Digital Age Detective: Developing High Performance Police Detectives through enhanced self-efficacy. Thesis submitted to University of Queensland School of Social Sciences. pp. 176-177. Available at : https://</w:t>
      </w:r>
      <w:r w:rsidRPr="004C6C7B">
        <w:rPr>
          <w:rFonts w:ascii="Open Sans" w:hAnsi="Open Sans" w:cs="Open Sans"/>
          <w:sz w:val="20"/>
          <w:szCs w:val="20"/>
        </w:rPr>
        <w:t xml:space="preserve"> </w:t>
      </w:r>
      <w:r w:rsidRPr="00D41B3A">
        <w:rPr>
          <w:rStyle w:val="Hyperlink"/>
          <w:rFonts w:ascii="Open Sans" w:hAnsi="Open Sans" w:cs="Open Sans"/>
          <w:color w:val="auto"/>
          <w:sz w:val="20"/>
          <w:szCs w:val="20"/>
          <w:shd w:val="clear" w:color="auto" w:fill="FFFFFF"/>
        </w:rPr>
        <w:t>espace.library.uq.edu.au/data/UQ_d7581de/s4463712_final_thesis.pdf?dsi_version=888d793495a02f7fc0d74083a42014ab&amp;Expires=1650299713&amp;Key-Pair-Id=APKAJKNBJ4MJBJNC6NLQ&amp;Signature=WTeQTivNctUrbInPHEzGjsSVcEatbtLfO-YyVibahGUuRKdK~HZ6BSIxPkTA5HDoZR1xhce8ETHvbaqtWt8fhAJ-7Eeg51OJrp2qdRcn7OCX81YvXB561cCr6sWycRPXCqcknqiYcdbvz4oPp67JGYiPXoyTLWGPGjW2FxZV4NGeLEeAzaUHHBQSbwhPLFH4KGqT8IXpc15JV~OAPEFqVudpIib5K4hpVwGUZiDLK6opO2CUPQ7llIcC89xhaLPK2yeJhZ6VPSdCIJuTEKBJPXPOOmpFBxCc027HyCLly9LeIWRYJQ4JWHhauqrCUZo1CsRrq~TqeXslQkOs4Le3cQ__</w:t>
      </w:r>
    </w:p>
    <w:p w14:paraId="49FF1B09" w14:textId="77777777" w:rsidR="00D41B3A" w:rsidRPr="00D41B3A" w:rsidRDefault="00D41B3A" w:rsidP="00D41B3A">
      <w:pPr>
        <w:rPr>
          <w:rFonts w:ascii="Open Sans" w:hAnsi="Open Sans" w:cs="Open Sans"/>
          <w:sz w:val="20"/>
          <w:szCs w:val="20"/>
        </w:rPr>
      </w:pPr>
      <w:r w:rsidRPr="004C6C7B">
        <w:rPr>
          <w:rStyle w:val="Hyperlink"/>
          <w:rFonts w:ascii="Open Sans" w:hAnsi="Open Sans" w:cs="Open Sans"/>
          <w:color w:val="auto"/>
          <w:sz w:val="20"/>
          <w:szCs w:val="20"/>
          <w:u w:val="none"/>
          <w:shd w:val="clear" w:color="auto" w:fill="FFFFFF"/>
        </w:rPr>
        <w:t xml:space="preserve">Tamma, R., </w:t>
      </w:r>
      <w:proofErr w:type="spellStart"/>
      <w:r w:rsidRPr="004C6C7B">
        <w:rPr>
          <w:rStyle w:val="Hyperlink"/>
          <w:rFonts w:ascii="Open Sans" w:hAnsi="Open Sans" w:cs="Open Sans"/>
          <w:color w:val="auto"/>
          <w:sz w:val="20"/>
          <w:szCs w:val="20"/>
          <w:u w:val="none"/>
          <w:shd w:val="clear" w:color="auto" w:fill="FFFFFF"/>
        </w:rPr>
        <w:t>Skulkin</w:t>
      </w:r>
      <w:proofErr w:type="spellEnd"/>
      <w:r w:rsidRPr="004C6C7B">
        <w:rPr>
          <w:rStyle w:val="Hyperlink"/>
          <w:rFonts w:ascii="Open Sans" w:hAnsi="Open Sans" w:cs="Open Sans"/>
          <w:color w:val="auto"/>
          <w:sz w:val="20"/>
          <w:szCs w:val="20"/>
          <w:u w:val="none"/>
          <w:shd w:val="clear" w:color="auto" w:fill="FFFFFF"/>
        </w:rPr>
        <w:t xml:space="preserve">, O., Mahalik, H &amp; </w:t>
      </w:r>
      <w:proofErr w:type="spellStart"/>
      <w:r w:rsidRPr="004C6C7B">
        <w:rPr>
          <w:rStyle w:val="Hyperlink"/>
          <w:rFonts w:ascii="Open Sans" w:hAnsi="Open Sans" w:cs="Open Sans"/>
          <w:color w:val="auto"/>
          <w:sz w:val="20"/>
          <w:szCs w:val="20"/>
          <w:u w:val="none"/>
          <w:shd w:val="clear" w:color="auto" w:fill="FFFFFF"/>
        </w:rPr>
        <w:t>Bommisetty</w:t>
      </w:r>
      <w:proofErr w:type="spellEnd"/>
      <w:r w:rsidRPr="004C6C7B">
        <w:rPr>
          <w:rStyle w:val="Hyperlink"/>
          <w:rFonts w:ascii="Open Sans" w:hAnsi="Open Sans" w:cs="Open Sans"/>
          <w:color w:val="auto"/>
          <w:sz w:val="20"/>
          <w:szCs w:val="20"/>
          <w:u w:val="none"/>
          <w:shd w:val="clear" w:color="auto" w:fill="FFFFFF"/>
        </w:rPr>
        <w:t xml:space="preserve">, S. (2020). </w:t>
      </w:r>
      <w:r w:rsidRPr="004C6C7B">
        <w:rPr>
          <w:rStyle w:val="Hyperlink"/>
          <w:rFonts w:ascii="Open Sans" w:hAnsi="Open Sans" w:cs="Open Sans"/>
          <w:i/>
          <w:iCs/>
          <w:color w:val="auto"/>
          <w:sz w:val="20"/>
          <w:szCs w:val="20"/>
          <w:u w:val="none"/>
          <w:shd w:val="clear" w:color="auto" w:fill="FFFFFF"/>
        </w:rPr>
        <w:t>Practical Mobile Forensics</w:t>
      </w:r>
      <w:r w:rsidRPr="004C6C7B">
        <w:rPr>
          <w:rStyle w:val="Hyperlink"/>
          <w:rFonts w:ascii="Open Sans" w:hAnsi="Open Sans" w:cs="Open Sans"/>
          <w:color w:val="auto"/>
          <w:sz w:val="20"/>
          <w:szCs w:val="20"/>
          <w:u w:val="none"/>
          <w:shd w:val="clear" w:color="auto" w:fill="FFFFFF"/>
        </w:rPr>
        <w:t>. 4</w:t>
      </w:r>
      <w:r w:rsidRPr="004C6C7B">
        <w:rPr>
          <w:rStyle w:val="Hyperlink"/>
          <w:rFonts w:ascii="Open Sans" w:hAnsi="Open Sans" w:cs="Open Sans"/>
          <w:color w:val="auto"/>
          <w:sz w:val="20"/>
          <w:szCs w:val="20"/>
          <w:u w:val="none"/>
          <w:shd w:val="clear" w:color="auto" w:fill="FFFFFF"/>
          <w:vertAlign w:val="superscript"/>
        </w:rPr>
        <w:t>th</w:t>
      </w:r>
      <w:r w:rsidRPr="004C6C7B">
        <w:rPr>
          <w:rStyle w:val="Hyperlink"/>
          <w:rFonts w:ascii="Open Sans" w:hAnsi="Open Sans" w:cs="Open Sans"/>
          <w:color w:val="auto"/>
          <w:sz w:val="20"/>
          <w:szCs w:val="20"/>
          <w:u w:val="none"/>
          <w:shd w:val="clear" w:color="auto" w:fill="FFFFFF"/>
        </w:rPr>
        <w:t xml:space="preserve"> </w:t>
      </w:r>
      <w:proofErr w:type="spellStart"/>
      <w:r w:rsidRPr="004C6C7B">
        <w:rPr>
          <w:rStyle w:val="Hyperlink"/>
          <w:rFonts w:ascii="Open Sans" w:hAnsi="Open Sans" w:cs="Open Sans"/>
          <w:color w:val="auto"/>
          <w:sz w:val="20"/>
          <w:szCs w:val="20"/>
          <w:u w:val="none"/>
          <w:shd w:val="clear" w:color="auto" w:fill="FFFFFF"/>
        </w:rPr>
        <w:t>edn</w:t>
      </w:r>
      <w:proofErr w:type="spellEnd"/>
      <w:r w:rsidRPr="004C6C7B">
        <w:rPr>
          <w:rStyle w:val="Hyperlink"/>
          <w:rFonts w:ascii="Open Sans" w:hAnsi="Open Sans" w:cs="Open Sans"/>
          <w:color w:val="auto"/>
          <w:sz w:val="20"/>
          <w:szCs w:val="20"/>
          <w:u w:val="none"/>
          <w:shd w:val="clear" w:color="auto" w:fill="FFFFFF"/>
        </w:rPr>
        <w:t xml:space="preserve">. </w:t>
      </w:r>
      <w:proofErr w:type="spellStart"/>
      <w:r w:rsidRPr="004C6C7B">
        <w:rPr>
          <w:rStyle w:val="Hyperlink"/>
          <w:rFonts w:ascii="Open Sans" w:hAnsi="Open Sans" w:cs="Open Sans"/>
          <w:color w:val="auto"/>
          <w:sz w:val="20"/>
          <w:szCs w:val="20"/>
          <w:u w:val="none"/>
          <w:shd w:val="clear" w:color="auto" w:fill="FFFFFF"/>
        </w:rPr>
        <w:t>Packt</w:t>
      </w:r>
      <w:proofErr w:type="spellEnd"/>
      <w:r w:rsidRPr="004C6C7B">
        <w:rPr>
          <w:rStyle w:val="Hyperlink"/>
          <w:rFonts w:ascii="Open Sans" w:hAnsi="Open Sans" w:cs="Open Sans"/>
          <w:color w:val="auto"/>
          <w:sz w:val="20"/>
          <w:szCs w:val="20"/>
          <w:u w:val="none"/>
          <w:shd w:val="clear" w:color="auto" w:fill="FFFFFF"/>
        </w:rPr>
        <w:t xml:space="preserve"> Publishing. Mumbai. p. 12. Available </w:t>
      </w:r>
      <w:proofErr w:type="gramStart"/>
      <w:r w:rsidRPr="004C6C7B">
        <w:rPr>
          <w:rStyle w:val="Hyperlink"/>
          <w:rFonts w:ascii="Open Sans" w:hAnsi="Open Sans" w:cs="Open Sans"/>
          <w:color w:val="auto"/>
          <w:sz w:val="20"/>
          <w:szCs w:val="20"/>
          <w:u w:val="none"/>
          <w:shd w:val="clear" w:color="auto" w:fill="FFFFFF"/>
        </w:rPr>
        <w:t>at :</w:t>
      </w:r>
      <w:proofErr w:type="gramEnd"/>
      <w:r w:rsidRPr="004C6C7B">
        <w:rPr>
          <w:rStyle w:val="Hyperlink"/>
          <w:rFonts w:ascii="Open Sans" w:hAnsi="Open Sans" w:cs="Open Sans"/>
          <w:color w:val="auto"/>
          <w:sz w:val="20"/>
          <w:szCs w:val="20"/>
          <w:u w:val="none"/>
          <w:shd w:val="clear" w:color="auto" w:fill="FFFFFF"/>
        </w:rPr>
        <w:t xml:space="preserve"> https://</w:t>
      </w:r>
      <w:r w:rsidRPr="00D41B3A">
        <w:rPr>
          <w:rFonts w:ascii="Open Sans" w:hAnsi="Open Sans" w:cs="Open Sans"/>
          <w:sz w:val="20"/>
          <w:szCs w:val="20"/>
        </w:rPr>
        <w:t xml:space="preserve"> </w:t>
      </w:r>
      <w:r w:rsidRPr="00D41B3A">
        <w:rPr>
          <w:rStyle w:val="Hyperlink"/>
          <w:rFonts w:ascii="Open Sans" w:hAnsi="Open Sans" w:cs="Open Sans"/>
          <w:color w:val="auto"/>
          <w:sz w:val="20"/>
          <w:szCs w:val="20"/>
          <w:shd w:val="clear" w:color="auto" w:fill="FFFFFF"/>
        </w:rPr>
        <w:t>books.google.co.uk/books?hl=en&amp;lr=&amp;id=TU_cDwAAQBAJ&amp;oi=fnd&amp;pg=PP1&amp;dq=preservation+of+digital+devices+for+examination+maintain+power+flight+mode&amp;ots=VASk0Kv1_i&amp;sig=4-18drUFEHe849Kc0Fmmw6Oi0tk#v=onepage&amp;q&amp;f=false</w:t>
      </w:r>
    </w:p>
    <w:p w14:paraId="5ABCF572" w14:textId="535E4DED" w:rsidR="00D41B3A" w:rsidRDefault="00D41B3A" w:rsidP="00D41B3A">
      <w:pPr>
        <w:rPr>
          <w:rFonts w:ascii="Open Sans" w:hAnsi="Open Sans" w:cs="Open Sans"/>
          <w:sz w:val="20"/>
          <w:szCs w:val="20"/>
          <w:shd w:val="clear" w:color="auto" w:fill="FFFFFF"/>
        </w:rPr>
      </w:pPr>
      <w:proofErr w:type="spellStart"/>
      <w:r w:rsidRPr="00D41B3A">
        <w:rPr>
          <w:rFonts w:ascii="Open Sans" w:hAnsi="Open Sans" w:cs="Open Sans"/>
          <w:sz w:val="20"/>
          <w:szCs w:val="20"/>
          <w:shd w:val="clear" w:color="auto" w:fill="FFFFFF"/>
        </w:rPr>
        <w:t>Tinkner</w:t>
      </w:r>
      <w:proofErr w:type="spellEnd"/>
      <w:r w:rsidRPr="00D41B3A">
        <w:rPr>
          <w:rFonts w:ascii="Open Sans" w:hAnsi="Open Sans" w:cs="Open Sans"/>
          <w:sz w:val="20"/>
          <w:szCs w:val="20"/>
          <w:shd w:val="clear" w:color="auto" w:fill="FFFFFF"/>
        </w:rPr>
        <w:t>, R., Kerrison, E. M., Goff, P. A. (2019). The force of fear: Police stereotype threat, self-legitimacy, and support for excessive force. </w:t>
      </w:r>
      <w:r w:rsidRPr="00D41B3A">
        <w:rPr>
          <w:rStyle w:val="Emphasis"/>
          <w:rFonts w:ascii="Open Sans" w:hAnsi="Open Sans" w:cs="Open Sans"/>
          <w:sz w:val="20"/>
          <w:szCs w:val="20"/>
          <w:shd w:val="clear" w:color="auto" w:fill="FFFFFF"/>
        </w:rPr>
        <w:t xml:space="preserve">Law and Human </w:t>
      </w:r>
      <w:proofErr w:type="spellStart"/>
      <w:r w:rsidRPr="00D41B3A">
        <w:rPr>
          <w:rStyle w:val="Emphasis"/>
          <w:rFonts w:ascii="Open Sans" w:hAnsi="Open Sans" w:cs="Open Sans"/>
          <w:sz w:val="20"/>
          <w:szCs w:val="20"/>
          <w:shd w:val="clear" w:color="auto" w:fill="FFFFFF"/>
        </w:rPr>
        <w:t>Behavior</w:t>
      </w:r>
      <w:proofErr w:type="spellEnd"/>
      <w:r w:rsidRPr="00D41B3A">
        <w:rPr>
          <w:rStyle w:val="Emphasis"/>
          <w:rFonts w:ascii="Open Sans" w:hAnsi="Open Sans" w:cs="Open Sans"/>
          <w:sz w:val="20"/>
          <w:szCs w:val="20"/>
          <w:shd w:val="clear" w:color="auto" w:fill="FFFFFF"/>
        </w:rPr>
        <w:t>, 43</w:t>
      </w:r>
      <w:r w:rsidRPr="00D41B3A">
        <w:rPr>
          <w:rFonts w:ascii="Open Sans" w:hAnsi="Open Sans" w:cs="Open Sans"/>
          <w:sz w:val="20"/>
          <w:szCs w:val="20"/>
          <w:shd w:val="clear" w:color="auto" w:fill="FFFFFF"/>
        </w:rPr>
        <w:t xml:space="preserve">(5), pp. 421-435. Available </w:t>
      </w:r>
      <w:proofErr w:type="gramStart"/>
      <w:r w:rsidRPr="00D41B3A">
        <w:rPr>
          <w:rFonts w:ascii="Open Sans" w:hAnsi="Open Sans" w:cs="Open Sans"/>
          <w:sz w:val="20"/>
          <w:szCs w:val="20"/>
          <w:shd w:val="clear" w:color="auto" w:fill="FFFFFF"/>
        </w:rPr>
        <w:t>at :</w:t>
      </w:r>
      <w:proofErr w:type="gramEnd"/>
      <w:r w:rsidRPr="00D41B3A">
        <w:rPr>
          <w:rFonts w:ascii="Open Sans" w:hAnsi="Open Sans" w:cs="Open Sans"/>
          <w:sz w:val="20"/>
          <w:szCs w:val="20"/>
          <w:shd w:val="clear" w:color="auto" w:fill="FFFFFF"/>
        </w:rPr>
        <w:t xml:space="preserve"> DOI : </w:t>
      </w:r>
      <w:r w:rsidRPr="00D41B3A">
        <w:rPr>
          <w:rFonts w:ascii="Open Sans" w:hAnsi="Open Sans" w:cs="Open Sans"/>
          <w:sz w:val="20"/>
          <w:szCs w:val="20"/>
          <w:u w:val="single"/>
          <w:shd w:val="clear" w:color="auto" w:fill="FFFFFF"/>
        </w:rPr>
        <w:t>10.1037/lhb0000339</w:t>
      </w:r>
      <w:r w:rsidRPr="00D41B3A">
        <w:rPr>
          <w:rFonts w:ascii="Open Sans" w:hAnsi="Open Sans" w:cs="Open Sans"/>
          <w:sz w:val="20"/>
          <w:szCs w:val="20"/>
          <w:shd w:val="clear" w:color="auto" w:fill="FFFFFF"/>
        </w:rPr>
        <w:t xml:space="preserve"> (Accessed: 21 April 2022)</w:t>
      </w:r>
    </w:p>
    <w:p w14:paraId="63E05F40" w14:textId="2B241B62" w:rsidR="007A27C9" w:rsidRPr="00D41B3A" w:rsidRDefault="007A27C9" w:rsidP="00D41B3A">
      <w:pPr>
        <w:rPr>
          <w:rFonts w:ascii="Open Sans" w:hAnsi="Open Sans" w:cs="Open Sans"/>
          <w:sz w:val="20"/>
          <w:szCs w:val="20"/>
        </w:rPr>
      </w:pPr>
      <w:r>
        <w:rPr>
          <w:rFonts w:ascii="Open Sans" w:hAnsi="Open Sans" w:cs="Open Sans"/>
          <w:sz w:val="20"/>
          <w:szCs w:val="20"/>
          <w:shd w:val="clear" w:color="auto" w:fill="FFFFFF"/>
        </w:rPr>
        <w:t xml:space="preserve">UK Government (2022). Achieving Best Evidence in Criminal Proceedings. Guidance on interviewing victims and witnesses, and guidance on using special measures. </w:t>
      </w:r>
      <w:proofErr w:type="gramStart"/>
      <w:r>
        <w:rPr>
          <w:rFonts w:ascii="Open Sans" w:hAnsi="Open Sans" w:cs="Open Sans"/>
          <w:sz w:val="20"/>
          <w:szCs w:val="20"/>
          <w:shd w:val="clear" w:color="auto" w:fill="FFFFFF"/>
        </w:rPr>
        <w:t>Available :</w:t>
      </w:r>
      <w:proofErr w:type="gramEnd"/>
      <w:r>
        <w:rPr>
          <w:rFonts w:ascii="Open Sans" w:hAnsi="Open Sans" w:cs="Open Sans"/>
          <w:sz w:val="20"/>
          <w:szCs w:val="20"/>
          <w:shd w:val="clear" w:color="auto" w:fill="FFFFFF"/>
        </w:rPr>
        <w:t xml:space="preserve"> at https://</w:t>
      </w:r>
      <w:hyperlink r:id="rId100" w:history="1">
        <w:r w:rsidRPr="007A27C9">
          <w:rPr>
            <w:rStyle w:val="Hyperlink"/>
            <w:rFonts w:ascii="Open Sans" w:hAnsi="Open Sans" w:cs="Open Sans"/>
            <w:color w:val="auto"/>
            <w:sz w:val="20"/>
            <w:szCs w:val="20"/>
            <w:shd w:val="clear" w:color="auto" w:fill="FFFFFF"/>
          </w:rPr>
          <w:t>www.gov.uk/government/publications/achieving-best-evidence-in-criminal-proceedings?msclkid=46b5c5f5cee511ec82f335ca61849b6d</w:t>
        </w:r>
      </w:hyperlink>
      <w:r>
        <w:rPr>
          <w:rFonts w:ascii="Open Sans" w:hAnsi="Open Sans" w:cs="Open Sans"/>
          <w:sz w:val="20"/>
          <w:szCs w:val="20"/>
          <w:shd w:val="clear" w:color="auto" w:fill="FFFFFF"/>
        </w:rPr>
        <w:t xml:space="preserve"> (Accessed: 8 May 2022)</w:t>
      </w:r>
    </w:p>
    <w:p w14:paraId="1E20F3B4" w14:textId="77777777" w:rsidR="00D41B3A" w:rsidRPr="00D41B3A" w:rsidRDefault="00D41B3A" w:rsidP="00D41B3A">
      <w:pPr>
        <w:rPr>
          <w:rFonts w:ascii="Open Sans" w:hAnsi="Open Sans" w:cs="Open Sans"/>
          <w:sz w:val="20"/>
          <w:szCs w:val="20"/>
        </w:rPr>
      </w:pPr>
      <w:r w:rsidRPr="00D41B3A">
        <w:rPr>
          <w:rFonts w:ascii="Open Sans" w:eastAsia="Arial" w:hAnsi="Open Sans" w:cs="Open Sans"/>
          <w:sz w:val="20"/>
          <w:szCs w:val="20"/>
        </w:rPr>
        <w:t xml:space="preserve">UK Government (2012). </w:t>
      </w:r>
      <w:r w:rsidRPr="00D41B3A">
        <w:rPr>
          <w:rFonts w:ascii="Open Sans" w:eastAsia="Arial" w:hAnsi="Open Sans" w:cs="Open Sans"/>
          <w:i/>
          <w:iCs/>
          <w:sz w:val="20"/>
          <w:szCs w:val="20"/>
        </w:rPr>
        <w:t>Definition of policing by consent</w:t>
      </w:r>
      <w:r w:rsidRPr="00D41B3A">
        <w:rPr>
          <w:rFonts w:ascii="Open Sans" w:eastAsia="Arial" w:hAnsi="Open Sans" w:cs="Open Sans"/>
          <w:sz w:val="20"/>
          <w:szCs w:val="20"/>
        </w:rPr>
        <w:t xml:space="preserve">. Available </w:t>
      </w:r>
      <w:proofErr w:type="gramStart"/>
      <w:r w:rsidRPr="00D41B3A">
        <w:rPr>
          <w:rFonts w:ascii="Open Sans" w:eastAsia="Arial" w:hAnsi="Open Sans" w:cs="Open Sans"/>
          <w:sz w:val="20"/>
          <w:szCs w:val="20"/>
        </w:rPr>
        <w:t>at :</w:t>
      </w:r>
      <w:proofErr w:type="gramEnd"/>
      <w:r w:rsidRPr="00D41B3A">
        <w:rPr>
          <w:rFonts w:ascii="Open Sans" w:eastAsia="Arial" w:hAnsi="Open Sans" w:cs="Open Sans"/>
          <w:sz w:val="20"/>
          <w:szCs w:val="20"/>
        </w:rPr>
        <w:t xml:space="preserve"> https://</w:t>
      </w:r>
      <w:r w:rsidRPr="00D41B3A">
        <w:rPr>
          <w:rFonts w:ascii="Open Sans" w:hAnsi="Open Sans" w:cs="Open Sans"/>
          <w:sz w:val="20"/>
          <w:szCs w:val="20"/>
        </w:rPr>
        <w:t xml:space="preserve"> </w:t>
      </w:r>
      <w:hyperlink r:id="rId101" w:history="1">
        <w:r w:rsidRPr="00D41B3A">
          <w:rPr>
            <w:rStyle w:val="Hyperlink"/>
            <w:rFonts w:ascii="Open Sans" w:eastAsia="Arial" w:hAnsi="Open Sans" w:cs="Open Sans"/>
            <w:color w:val="auto"/>
            <w:sz w:val="20"/>
            <w:szCs w:val="20"/>
          </w:rPr>
          <w:t>www.gov.uk/government/publications/policing-by-consent/definition-of-policing-by-consent</w:t>
        </w:r>
      </w:hyperlink>
      <w:r w:rsidRPr="00D41B3A">
        <w:rPr>
          <w:rFonts w:ascii="Open Sans" w:eastAsia="Arial" w:hAnsi="Open Sans" w:cs="Open Sans"/>
          <w:sz w:val="20"/>
          <w:szCs w:val="20"/>
        </w:rPr>
        <w:t xml:space="preserve"> (Accessed 20 April 2022) </w:t>
      </w:r>
    </w:p>
    <w:p w14:paraId="7131F955" w14:textId="77777777" w:rsidR="00D41B3A" w:rsidRPr="00D41B3A" w:rsidRDefault="00D41B3A" w:rsidP="00D41B3A">
      <w:pPr>
        <w:rPr>
          <w:rFonts w:ascii="Open Sans" w:hAnsi="Open Sans" w:cs="Open Sans"/>
          <w:sz w:val="20"/>
          <w:szCs w:val="20"/>
        </w:rPr>
      </w:pPr>
      <w:r w:rsidRPr="00D41B3A">
        <w:rPr>
          <w:rFonts w:ascii="Open Sans" w:eastAsia="Arial" w:hAnsi="Open Sans" w:cs="Open Sans"/>
          <w:sz w:val="20"/>
          <w:szCs w:val="20"/>
        </w:rPr>
        <w:t xml:space="preserve">UK Government (2021) </w:t>
      </w:r>
      <w:r w:rsidRPr="00D41B3A">
        <w:rPr>
          <w:rFonts w:ascii="Open Sans" w:eastAsia="Arial" w:hAnsi="Open Sans" w:cs="Open Sans"/>
          <w:i/>
          <w:iCs/>
          <w:sz w:val="20"/>
          <w:szCs w:val="20"/>
        </w:rPr>
        <w:t>Deaths in police custody: progress update 2021</w:t>
      </w:r>
      <w:r w:rsidRPr="00D41B3A">
        <w:rPr>
          <w:rFonts w:ascii="Open Sans" w:eastAsia="Arial" w:hAnsi="Open Sans" w:cs="Open Sans"/>
          <w:sz w:val="20"/>
          <w:szCs w:val="20"/>
        </w:rPr>
        <w:t xml:space="preserve">. Policy paper. Updated 20 July 2021. Available </w:t>
      </w:r>
      <w:proofErr w:type="gramStart"/>
      <w:r w:rsidRPr="00D41B3A">
        <w:rPr>
          <w:rFonts w:ascii="Open Sans" w:eastAsia="Arial" w:hAnsi="Open Sans" w:cs="Open Sans"/>
          <w:sz w:val="20"/>
          <w:szCs w:val="20"/>
        </w:rPr>
        <w:t>at :</w:t>
      </w:r>
      <w:proofErr w:type="gramEnd"/>
      <w:r w:rsidRPr="00D41B3A">
        <w:rPr>
          <w:rFonts w:ascii="Open Sans" w:eastAsia="Arial" w:hAnsi="Open Sans" w:cs="Open Sans"/>
          <w:sz w:val="20"/>
          <w:szCs w:val="20"/>
        </w:rPr>
        <w:t xml:space="preserve"> </w:t>
      </w:r>
      <w:hyperlink r:id="rId102" w:history="1">
        <w:r w:rsidRPr="00D41B3A">
          <w:rPr>
            <w:rStyle w:val="Hyperlink"/>
            <w:rFonts w:ascii="Open Sans" w:eastAsia="Arial" w:hAnsi="Open Sans" w:cs="Open Sans"/>
            <w:color w:val="auto"/>
            <w:sz w:val="20"/>
            <w:szCs w:val="20"/>
          </w:rPr>
          <w:t>www.gov.uk/government/publications/deaths-in-police-custody-progress-update/deaths-in-police-custody-progress-update-2021-accessible</w:t>
        </w:r>
      </w:hyperlink>
      <w:r w:rsidRPr="00D41B3A">
        <w:rPr>
          <w:rFonts w:ascii="Open Sans" w:eastAsia="Arial" w:hAnsi="Open Sans" w:cs="Open Sans"/>
          <w:sz w:val="20"/>
          <w:szCs w:val="20"/>
        </w:rPr>
        <w:t xml:space="preserve"> (Accessed: 21 April 2022) </w:t>
      </w:r>
    </w:p>
    <w:p w14:paraId="253733E2" w14:textId="77777777" w:rsidR="00D41B3A" w:rsidRPr="00D41B3A" w:rsidRDefault="00D41B3A" w:rsidP="00D41B3A">
      <w:pPr>
        <w:rPr>
          <w:rFonts w:ascii="Open Sans" w:hAnsi="Open Sans" w:cs="Open Sans"/>
          <w:sz w:val="20"/>
          <w:szCs w:val="20"/>
        </w:rPr>
      </w:pPr>
      <w:r w:rsidRPr="00D41B3A">
        <w:rPr>
          <w:rFonts w:ascii="Open Sans" w:eastAsia="Arial" w:hAnsi="Open Sans" w:cs="Open Sans"/>
          <w:sz w:val="20"/>
          <w:szCs w:val="20"/>
        </w:rPr>
        <w:t xml:space="preserve">UK Government (2021). </w:t>
      </w:r>
      <w:r w:rsidRPr="00D41B3A">
        <w:rPr>
          <w:rFonts w:ascii="Open Sans" w:eastAsia="Arial" w:hAnsi="Open Sans" w:cs="Open Sans"/>
          <w:i/>
          <w:iCs/>
          <w:sz w:val="20"/>
          <w:szCs w:val="20"/>
        </w:rPr>
        <w:t>Confidence in the local police</w:t>
      </w:r>
      <w:r w:rsidRPr="00D41B3A">
        <w:rPr>
          <w:rFonts w:ascii="Open Sans" w:eastAsia="Arial" w:hAnsi="Open Sans" w:cs="Open Sans"/>
          <w:sz w:val="20"/>
          <w:szCs w:val="20"/>
        </w:rPr>
        <w:t xml:space="preserve">. Available at: </w:t>
      </w:r>
      <w:hyperlink r:id="rId103" w:history="1">
        <w:r w:rsidRPr="00D41B3A">
          <w:rPr>
            <w:rStyle w:val="Hyperlink"/>
            <w:rFonts w:ascii="Open Sans" w:eastAsia="Arial" w:hAnsi="Open Sans" w:cs="Open Sans"/>
            <w:color w:val="auto"/>
            <w:sz w:val="20"/>
            <w:szCs w:val="20"/>
          </w:rPr>
          <w:t>www.ethnicity-facts-figures.service.gov.uk/crime-justice-and-the-law/policing/confidence-in-the-local-police/latest</w:t>
        </w:r>
      </w:hyperlink>
      <w:r w:rsidRPr="00D41B3A">
        <w:rPr>
          <w:rFonts w:ascii="Open Sans" w:eastAsia="Arial" w:hAnsi="Open Sans" w:cs="Open Sans"/>
          <w:sz w:val="20"/>
          <w:szCs w:val="20"/>
        </w:rPr>
        <w:t xml:space="preserve"> (Accessed: 21 April 2022) </w:t>
      </w:r>
    </w:p>
    <w:p w14:paraId="51CE1E45" w14:textId="77777777" w:rsidR="00D41B3A" w:rsidRPr="00D41B3A" w:rsidRDefault="00D41B3A" w:rsidP="00D41B3A">
      <w:pPr>
        <w:rPr>
          <w:rFonts w:ascii="Open Sans" w:hAnsi="Open Sans" w:cs="Open Sans"/>
          <w:sz w:val="20"/>
          <w:szCs w:val="20"/>
        </w:rPr>
      </w:pPr>
      <w:r w:rsidRPr="004C6C7B">
        <w:rPr>
          <w:rStyle w:val="Hyperlink"/>
          <w:rFonts w:ascii="Open Sans" w:hAnsi="Open Sans" w:cs="Open Sans"/>
          <w:color w:val="auto"/>
          <w:sz w:val="20"/>
          <w:szCs w:val="20"/>
          <w:u w:val="none"/>
          <w:shd w:val="clear" w:color="auto" w:fill="FFFFFF"/>
        </w:rPr>
        <w:t xml:space="preserve">UK Government (2021). </w:t>
      </w:r>
      <w:r w:rsidRPr="004C6C7B">
        <w:rPr>
          <w:rStyle w:val="Hyperlink"/>
          <w:rFonts w:ascii="Open Sans" w:hAnsi="Open Sans" w:cs="Open Sans"/>
          <w:i/>
          <w:iCs/>
          <w:color w:val="auto"/>
          <w:sz w:val="20"/>
          <w:szCs w:val="20"/>
          <w:u w:val="none"/>
          <w:shd w:val="clear" w:color="auto" w:fill="FFFFFF"/>
        </w:rPr>
        <w:t>Deaths in police custody: progress update 2021. Policy paper.</w:t>
      </w:r>
      <w:r w:rsidRPr="004C6C7B">
        <w:rPr>
          <w:rStyle w:val="Hyperlink"/>
          <w:rFonts w:ascii="Open Sans" w:hAnsi="Open Sans" w:cs="Open Sans"/>
          <w:color w:val="auto"/>
          <w:sz w:val="20"/>
          <w:szCs w:val="20"/>
          <w:u w:val="none"/>
          <w:shd w:val="clear" w:color="auto" w:fill="FFFFFF"/>
        </w:rPr>
        <w:t xml:space="preserve"> 20 July 2021. Available </w:t>
      </w:r>
      <w:proofErr w:type="gramStart"/>
      <w:r w:rsidRPr="004C6C7B">
        <w:rPr>
          <w:rStyle w:val="Hyperlink"/>
          <w:rFonts w:ascii="Open Sans" w:hAnsi="Open Sans" w:cs="Open Sans"/>
          <w:color w:val="auto"/>
          <w:sz w:val="20"/>
          <w:szCs w:val="20"/>
          <w:u w:val="none"/>
          <w:shd w:val="clear" w:color="auto" w:fill="FFFFFF"/>
        </w:rPr>
        <w:t>at :</w:t>
      </w:r>
      <w:proofErr w:type="gramEnd"/>
      <w:r w:rsidRPr="004C6C7B">
        <w:rPr>
          <w:rStyle w:val="Hyperlink"/>
          <w:rFonts w:ascii="Open Sans" w:hAnsi="Open Sans" w:cs="Open Sans"/>
          <w:color w:val="auto"/>
          <w:sz w:val="20"/>
          <w:szCs w:val="20"/>
          <w:u w:val="none"/>
          <w:shd w:val="clear" w:color="auto" w:fill="FFFFFF"/>
        </w:rPr>
        <w:t xml:space="preserve"> https://</w:t>
      </w:r>
      <w:hyperlink r:id="rId104" w:history="1">
        <w:r w:rsidRPr="00D41B3A">
          <w:rPr>
            <w:rStyle w:val="Hyperlink"/>
            <w:rFonts w:ascii="Open Sans" w:eastAsia="Arial" w:hAnsi="Open Sans" w:cs="Open Sans"/>
            <w:color w:val="auto"/>
            <w:sz w:val="20"/>
            <w:szCs w:val="20"/>
          </w:rPr>
          <w:t>www.gov.uk/government/publications/deaths-in-police-custody-progress-update/deaths-in-police-custody-progress-update-2021-accessible</w:t>
        </w:r>
      </w:hyperlink>
      <w:r w:rsidRPr="00D41B3A">
        <w:rPr>
          <w:rFonts w:ascii="Open Sans" w:eastAsia="Arial" w:hAnsi="Open Sans" w:cs="Open Sans"/>
          <w:sz w:val="20"/>
          <w:szCs w:val="20"/>
        </w:rPr>
        <w:t xml:space="preserve"> (Accessed : 19 April 2022) </w:t>
      </w:r>
    </w:p>
    <w:p w14:paraId="6B6C2D9B" w14:textId="77777777" w:rsidR="00D41B3A" w:rsidRPr="00D41B3A" w:rsidRDefault="00D41B3A" w:rsidP="00D41B3A">
      <w:pPr>
        <w:rPr>
          <w:rFonts w:ascii="Open Sans" w:hAnsi="Open Sans" w:cs="Open Sans"/>
          <w:sz w:val="20"/>
          <w:szCs w:val="20"/>
        </w:rPr>
      </w:pPr>
      <w:proofErr w:type="spellStart"/>
      <w:r w:rsidRPr="00D41B3A">
        <w:rPr>
          <w:rFonts w:ascii="Open Sans" w:hAnsi="Open Sans" w:cs="Open Sans"/>
          <w:sz w:val="20"/>
          <w:szCs w:val="20"/>
        </w:rPr>
        <w:t>Westmarland</w:t>
      </w:r>
      <w:proofErr w:type="spellEnd"/>
      <w:r w:rsidRPr="00D41B3A">
        <w:rPr>
          <w:rFonts w:ascii="Open Sans" w:hAnsi="Open Sans" w:cs="Open Sans"/>
          <w:sz w:val="20"/>
          <w:szCs w:val="20"/>
        </w:rPr>
        <w:t xml:space="preserve">, L., Rowe M (2018) Police ethics and integrity: can a new code overturn the blue </w:t>
      </w:r>
      <w:proofErr w:type="gramStart"/>
      <w:r w:rsidRPr="00D41B3A">
        <w:rPr>
          <w:rFonts w:ascii="Open Sans" w:hAnsi="Open Sans" w:cs="Open Sans"/>
          <w:sz w:val="20"/>
          <w:szCs w:val="20"/>
        </w:rPr>
        <w:t>code?,</w:t>
      </w:r>
      <w:proofErr w:type="gramEnd"/>
      <w:r w:rsidRPr="00D41B3A">
        <w:rPr>
          <w:rFonts w:ascii="Open Sans" w:hAnsi="Open Sans" w:cs="Open Sans"/>
          <w:sz w:val="20"/>
          <w:szCs w:val="20"/>
        </w:rPr>
        <w:t xml:space="preserve"> </w:t>
      </w:r>
      <w:r w:rsidRPr="00D41B3A">
        <w:rPr>
          <w:rFonts w:ascii="Open Sans" w:hAnsi="Open Sans" w:cs="Open Sans"/>
          <w:i/>
          <w:iCs/>
          <w:sz w:val="20"/>
          <w:szCs w:val="20"/>
        </w:rPr>
        <w:t>Policing and Society</w:t>
      </w:r>
      <w:r w:rsidRPr="00D41B3A">
        <w:rPr>
          <w:rFonts w:ascii="Open Sans" w:hAnsi="Open Sans" w:cs="Open Sans"/>
          <w:sz w:val="20"/>
          <w:szCs w:val="20"/>
        </w:rPr>
        <w:t xml:space="preserve">. [E-journal] 28:7, pp. 854-870, Available at: DOI: </w:t>
      </w:r>
      <w:r w:rsidRPr="00D41B3A">
        <w:rPr>
          <w:rFonts w:ascii="Open Sans" w:hAnsi="Open Sans" w:cs="Open Sans"/>
          <w:sz w:val="20"/>
          <w:szCs w:val="20"/>
          <w:u w:val="single"/>
        </w:rPr>
        <w:t>10.1080/10439463.2016.1262365</w:t>
      </w:r>
    </w:p>
    <w:p w14:paraId="301E8CC5"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shd w:val="clear" w:color="auto" w:fill="FFFFFF"/>
        </w:rPr>
        <w:t xml:space="preserve">Williamson, T. (2013) </w:t>
      </w:r>
      <w:r w:rsidRPr="00D41B3A">
        <w:rPr>
          <w:rFonts w:ascii="Open Sans" w:hAnsi="Open Sans" w:cs="Open Sans"/>
          <w:i/>
          <w:iCs/>
          <w:sz w:val="20"/>
          <w:szCs w:val="20"/>
          <w:shd w:val="clear" w:color="auto" w:fill="FFFFFF"/>
        </w:rPr>
        <w:t>Investigative Interviewing. Rights, research, regulation</w:t>
      </w:r>
      <w:r w:rsidRPr="00D41B3A">
        <w:rPr>
          <w:rFonts w:ascii="Open Sans" w:hAnsi="Open Sans" w:cs="Open Sans"/>
          <w:sz w:val="20"/>
          <w:szCs w:val="20"/>
          <w:shd w:val="clear" w:color="auto" w:fill="FFFFFF"/>
        </w:rPr>
        <w:t xml:space="preserve">. London &amp; New York Routledge. pp. 182-187. </w:t>
      </w:r>
    </w:p>
    <w:p w14:paraId="1F0B25FA" w14:textId="77777777" w:rsidR="00D41B3A" w:rsidRPr="00D41B3A" w:rsidRDefault="00D41B3A" w:rsidP="00D41B3A">
      <w:pPr>
        <w:rPr>
          <w:rFonts w:ascii="Open Sans" w:hAnsi="Open Sans" w:cs="Open Sans"/>
          <w:sz w:val="20"/>
          <w:szCs w:val="20"/>
        </w:rPr>
      </w:pPr>
      <w:r w:rsidRPr="00D41B3A">
        <w:rPr>
          <w:rFonts w:ascii="Open Sans" w:hAnsi="Open Sans" w:cs="Open Sans"/>
          <w:sz w:val="20"/>
          <w:szCs w:val="20"/>
          <w:shd w:val="clear" w:color="auto" w:fill="FFFFFF"/>
        </w:rPr>
        <w:t>Wooden, K., Nixon, J. (2014). The incorporation of obedience to authority into New South Wales police force recruit training. Salus Journal, 2(1), pp. 43-62. Available at https://</w:t>
      </w:r>
      <w:r w:rsidRPr="00D41B3A">
        <w:rPr>
          <w:rFonts w:ascii="Open Sans" w:hAnsi="Open Sans" w:cs="Open Sans"/>
          <w:sz w:val="20"/>
          <w:szCs w:val="20"/>
        </w:rPr>
        <w:t xml:space="preserve"> </w:t>
      </w:r>
      <w:r w:rsidRPr="00D41B3A">
        <w:rPr>
          <w:rFonts w:ascii="Open Sans" w:hAnsi="Open Sans" w:cs="Open Sans"/>
          <w:sz w:val="20"/>
          <w:szCs w:val="20"/>
          <w:u w:val="single"/>
          <w:shd w:val="clear" w:color="auto" w:fill="FFFFFF"/>
        </w:rPr>
        <w:t>search.informit.org/</w:t>
      </w:r>
      <w:proofErr w:type="spellStart"/>
      <w:r w:rsidRPr="00D41B3A">
        <w:rPr>
          <w:rFonts w:ascii="Open Sans" w:hAnsi="Open Sans" w:cs="Open Sans"/>
          <w:sz w:val="20"/>
          <w:szCs w:val="20"/>
          <w:u w:val="single"/>
          <w:shd w:val="clear" w:color="auto" w:fill="FFFFFF"/>
        </w:rPr>
        <w:t>doi</w:t>
      </w:r>
      <w:proofErr w:type="spellEnd"/>
      <w:r w:rsidRPr="00D41B3A">
        <w:rPr>
          <w:rFonts w:ascii="Open Sans" w:hAnsi="Open Sans" w:cs="Open Sans"/>
          <w:sz w:val="20"/>
          <w:szCs w:val="20"/>
          <w:u w:val="single"/>
          <w:shd w:val="clear" w:color="auto" w:fill="FFFFFF"/>
        </w:rPr>
        <w:t>/abs/10.3316/informit.748235409984483</w:t>
      </w:r>
      <w:r w:rsidRPr="00D41B3A">
        <w:rPr>
          <w:rFonts w:ascii="Open Sans" w:hAnsi="Open Sans" w:cs="Open Sans"/>
          <w:sz w:val="20"/>
          <w:szCs w:val="20"/>
          <w:shd w:val="clear" w:color="auto" w:fill="FFFFFF"/>
        </w:rPr>
        <w:t xml:space="preserve"> (Accessed 21 April 2022) </w:t>
      </w:r>
    </w:p>
    <w:p w14:paraId="6A5390A9" w14:textId="0961CCE4" w:rsidR="004C6C7B" w:rsidRPr="004C6C7B" w:rsidRDefault="004C6C7B" w:rsidP="004C6C7B">
      <w:pPr>
        <w:rPr>
          <w:rFonts w:ascii="Open Sans" w:hAnsi="Open Sans" w:cs="Open Sans"/>
          <w:color w:val="000000"/>
          <w:shd w:val="clear" w:color="auto" w:fill="FFFFFF"/>
        </w:rPr>
      </w:pPr>
      <w:r w:rsidRPr="004C6C7B">
        <w:rPr>
          <w:rFonts w:ascii="Open Sans" w:hAnsi="Open Sans" w:cs="Open Sans"/>
          <w:i/>
          <w:iCs/>
          <w:color w:val="000000"/>
          <w:shd w:val="clear" w:color="auto" w:fill="FFFFFF"/>
        </w:rPr>
        <w:t>Youth Justice &amp; Criminal Evidence Act</w:t>
      </w:r>
      <w:r w:rsidRPr="004C6C7B">
        <w:rPr>
          <w:rFonts w:ascii="Open Sans" w:hAnsi="Open Sans" w:cs="Open Sans"/>
          <w:color w:val="000000"/>
          <w:shd w:val="clear" w:color="auto" w:fill="FFFFFF"/>
        </w:rPr>
        <w:t xml:space="preserve"> 1999. c. 23, Part II, Ch. 1. Sect 16. Available at https://</w:t>
      </w:r>
      <w:r w:rsidRPr="004C6C7B">
        <w:rPr>
          <w:rFonts w:ascii="Open Sans" w:hAnsi="Open Sans" w:cs="Open Sans"/>
        </w:rPr>
        <w:t xml:space="preserve"> </w:t>
      </w:r>
      <w:hyperlink r:id="rId105" w:history="1">
        <w:r w:rsidRPr="004C6C7B">
          <w:rPr>
            <w:rStyle w:val="Hyperlink"/>
            <w:rFonts w:ascii="Open Sans" w:hAnsi="Open Sans" w:cs="Open Sans"/>
            <w:color w:val="auto"/>
            <w:shd w:val="clear" w:color="auto" w:fill="FFFFFF"/>
          </w:rPr>
          <w:t>www.legislation.gov.uk/ukpga/1999/23/section/16</w:t>
        </w:r>
      </w:hyperlink>
      <w:r w:rsidRPr="004C6C7B">
        <w:rPr>
          <w:rFonts w:ascii="Open Sans" w:hAnsi="Open Sans" w:cs="Open Sans"/>
          <w:color w:val="000000"/>
          <w:shd w:val="clear" w:color="auto" w:fill="FFFFFF"/>
        </w:rPr>
        <w:t xml:space="preserve"> (Accessed: 7 May 2022) </w:t>
      </w:r>
    </w:p>
    <w:p w14:paraId="7907658D" w14:textId="0260D9A2" w:rsidR="004C6C7B" w:rsidRPr="004C6C7B" w:rsidRDefault="004C6C7B" w:rsidP="004C6C7B">
      <w:pPr>
        <w:rPr>
          <w:rFonts w:ascii="Open Sans" w:hAnsi="Open Sans" w:cs="Open Sans"/>
          <w:color w:val="000000"/>
          <w:shd w:val="clear" w:color="auto" w:fill="FFFFFF"/>
        </w:rPr>
      </w:pPr>
      <w:r w:rsidRPr="001F49D2">
        <w:rPr>
          <w:rFonts w:ascii="Open Sans" w:hAnsi="Open Sans" w:cs="Open Sans"/>
          <w:i/>
          <w:iCs/>
          <w:color w:val="000000"/>
          <w:shd w:val="clear" w:color="auto" w:fill="FFFFFF"/>
        </w:rPr>
        <w:t>Youth Justic &amp; Criminal Evidence Ac</w:t>
      </w:r>
      <w:r w:rsidR="0002340C" w:rsidRPr="001F49D2">
        <w:rPr>
          <w:rFonts w:ascii="Open Sans" w:hAnsi="Open Sans" w:cs="Open Sans"/>
          <w:i/>
          <w:iCs/>
          <w:color w:val="000000"/>
          <w:shd w:val="clear" w:color="auto" w:fill="FFFFFF"/>
        </w:rPr>
        <w:t>t</w:t>
      </w:r>
      <w:r w:rsidRPr="004C6C7B">
        <w:rPr>
          <w:rFonts w:ascii="Open Sans" w:hAnsi="Open Sans" w:cs="Open Sans"/>
          <w:color w:val="000000"/>
          <w:shd w:val="clear" w:color="auto" w:fill="FFFFFF"/>
        </w:rPr>
        <w:t xml:space="preserve"> 1999. c. 23, Part II, Ch. 1, Sect 17. Available at https://</w:t>
      </w:r>
      <w:r w:rsidRPr="004C6C7B">
        <w:rPr>
          <w:rFonts w:ascii="Open Sans" w:hAnsi="Open Sans" w:cs="Open Sans"/>
        </w:rPr>
        <w:t xml:space="preserve"> </w:t>
      </w:r>
      <w:hyperlink r:id="rId106" w:history="1">
        <w:r w:rsidRPr="004C6C7B">
          <w:rPr>
            <w:rStyle w:val="Hyperlink"/>
            <w:rFonts w:ascii="Open Sans" w:hAnsi="Open Sans" w:cs="Open Sans"/>
            <w:color w:val="auto"/>
            <w:shd w:val="clear" w:color="auto" w:fill="FFFFFF"/>
          </w:rPr>
          <w:t>www.legislation.gov.uk/ukpga/1999/23/section/17</w:t>
        </w:r>
      </w:hyperlink>
      <w:r w:rsidRPr="004C6C7B">
        <w:rPr>
          <w:rFonts w:ascii="Open Sans" w:hAnsi="Open Sans" w:cs="Open Sans"/>
          <w:shd w:val="clear" w:color="auto" w:fill="FFFFFF"/>
        </w:rPr>
        <w:t xml:space="preserve"> </w:t>
      </w:r>
      <w:r w:rsidRPr="004C6C7B">
        <w:rPr>
          <w:rFonts w:ascii="Open Sans" w:hAnsi="Open Sans" w:cs="Open Sans"/>
          <w:color w:val="000000"/>
          <w:shd w:val="clear" w:color="auto" w:fill="FFFFFF"/>
        </w:rPr>
        <w:t xml:space="preserve">(Accessed: 7 May 2022) </w:t>
      </w:r>
    </w:p>
    <w:p w14:paraId="78D4F133" w14:textId="3FFEFA61" w:rsidR="727E3A7D" w:rsidRDefault="727E3A7D" w:rsidP="727E3A7D">
      <w:pPr>
        <w:ind w:right="107"/>
        <w:jc w:val="both"/>
        <w:rPr>
          <w:rFonts w:ascii="Arial" w:eastAsia="Arial" w:hAnsi="Arial" w:cs="Arial"/>
          <w:b/>
          <w:bCs/>
          <w:color w:val="000000" w:themeColor="text1"/>
          <w:sz w:val="24"/>
          <w:szCs w:val="24"/>
        </w:rPr>
      </w:pPr>
    </w:p>
    <w:p w14:paraId="0CB23671" w14:textId="30FF27DB" w:rsidR="727E3A7D" w:rsidRDefault="727E3A7D" w:rsidP="727E3A7D">
      <w:pPr>
        <w:ind w:right="107"/>
        <w:jc w:val="both"/>
        <w:rPr>
          <w:rFonts w:ascii="Arial" w:eastAsia="Arial" w:hAnsi="Arial" w:cs="Arial"/>
          <w:b/>
          <w:bCs/>
          <w:color w:val="000000" w:themeColor="text1"/>
          <w:sz w:val="24"/>
          <w:szCs w:val="24"/>
        </w:rPr>
      </w:pPr>
    </w:p>
    <w:p w14:paraId="47A8D799" w14:textId="3363D6A9" w:rsidR="003870E7" w:rsidRDefault="003870E7" w:rsidP="727E3A7D">
      <w:pPr>
        <w:ind w:right="107"/>
        <w:jc w:val="both"/>
        <w:rPr>
          <w:rFonts w:ascii="Arial" w:eastAsia="Arial" w:hAnsi="Arial" w:cs="Arial"/>
          <w:b/>
          <w:bCs/>
          <w:color w:val="000000" w:themeColor="text1"/>
          <w:sz w:val="24"/>
          <w:szCs w:val="24"/>
        </w:rPr>
      </w:pPr>
    </w:p>
    <w:p w14:paraId="182ECF37" w14:textId="56D01ED6" w:rsidR="003870E7" w:rsidRDefault="003870E7" w:rsidP="727E3A7D">
      <w:pPr>
        <w:ind w:right="107"/>
        <w:jc w:val="both"/>
        <w:rPr>
          <w:rFonts w:ascii="Arial" w:eastAsia="Arial" w:hAnsi="Arial" w:cs="Arial"/>
          <w:b/>
          <w:bCs/>
          <w:color w:val="000000" w:themeColor="text1"/>
          <w:sz w:val="24"/>
          <w:szCs w:val="24"/>
        </w:rPr>
      </w:pPr>
    </w:p>
    <w:p w14:paraId="093BD7E1" w14:textId="57D587F0" w:rsidR="003870E7" w:rsidRDefault="003870E7" w:rsidP="727E3A7D">
      <w:pPr>
        <w:ind w:right="107"/>
        <w:jc w:val="both"/>
        <w:rPr>
          <w:rFonts w:ascii="Arial" w:eastAsia="Arial" w:hAnsi="Arial" w:cs="Arial"/>
          <w:b/>
          <w:bCs/>
          <w:color w:val="000000" w:themeColor="text1"/>
          <w:sz w:val="24"/>
          <w:szCs w:val="24"/>
        </w:rPr>
      </w:pPr>
    </w:p>
    <w:p w14:paraId="35CCDAAE" w14:textId="0EEE0C8C" w:rsidR="003870E7" w:rsidRDefault="003870E7" w:rsidP="727E3A7D">
      <w:pPr>
        <w:ind w:right="107"/>
        <w:jc w:val="both"/>
        <w:rPr>
          <w:rFonts w:ascii="Arial" w:eastAsia="Arial" w:hAnsi="Arial" w:cs="Arial"/>
          <w:b/>
          <w:bCs/>
          <w:color w:val="000000" w:themeColor="text1"/>
          <w:sz w:val="24"/>
          <w:szCs w:val="24"/>
        </w:rPr>
      </w:pPr>
    </w:p>
    <w:p w14:paraId="5D640756" w14:textId="617A5C16" w:rsidR="003870E7" w:rsidRDefault="003870E7" w:rsidP="727E3A7D">
      <w:pPr>
        <w:ind w:right="107"/>
        <w:jc w:val="both"/>
        <w:rPr>
          <w:rFonts w:ascii="Arial" w:eastAsia="Arial" w:hAnsi="Arial" w:cs="Arial"/>
          <w:b/>
          <w:bCs/>
          <w:color w:val="000000" w:themeColor="text1"/>
          <w:sz w:val="24"/>
          <w:szCs w:val="24"/>
        </w:rPr>
      </w:pPr>
    </w:p>
    <w:p w14:paraId="2E2B9CC6" w14:textId="5A2A172B" w:rsidR="003870E7" w:rsidRDefault="003870E7" w:rsidP="727E3A7D">
      <w:pPr>
        <w:ind w:right="107"/>
        <w:jc w:val="both"/>
        <w:rPr>
          <w:rFonts w:ascii="Arial" w:eastAsia="Arial" w:hAnsi="Arial" w:cs="Arial"/>
          <w:b/>
          <w:bCs/>
          <w:color w:val="000000" w:themeColor="text1"/>
          <w:sz w:val="24"/>
          <w:szCs w:val="24"/>
        </w:rPr>
      </w:pPr>
    </w:p>
    <w:p w14:paraId="1BC7B227" w14:textId="570A3A5D" w:rsidR="003870E7" w:rsidRDefault="003870E7" w:rsidP="727E3A7D">
      <w:pPr>
        <w:ind w:right="107"/>
        <w:jc w:val="both"/>
        <w:rPr>
          <w:rFonts w:ascii="Arial" w:eastAsia="Arial" w:hAnsi="Arial" w:cs="Arial"/>
          <w:b/>
          <w:bCs/>
          <w:color w:val="000000" w:themeColor="text1"/>
          <w:sz w:val="24"/>
          <w:szCs w:val="24"/>
        </w:rPr>
      </w:pPr>
    </w:p>
    <w:p w14:paraId="3E6DE477" w14:textId="18E28B8A" w:rsidR="003870E7" w:rsidRDefault="003870E7" w:rsidP="727E3A7D">
      <w:pPr>
        <w:ind w:right="107"/>
        <w:jc w:val="both"/>
        <w:rPr>
          <w:rFonts w:ascii="Arial" w:eastAsia="Arial" w:hAnsi="Arial" w:cs="Arial"/>
          <w:b/>
          <w:bCs/>
          <w:color w:val="000000" w:themeColor="text1"/>
          <w:sz w:val="24"/>
          <w:szCs w:val="24"/>
        </w:rPr>
      </w:pPr>
    </w:p>
    <w:p w14:paraId="460FEC99" w14:textId="6BF47DA6" w:rsidR="003870E7" w:rsidRDefault="003870E7" w:rsidP="727E3A7D">
      <w:pPr>
        <w:ind w:right="107"/>
        <w:jc w:val="both"/>
        <w:rPr>
          <w:rFonts w:ascii="Arial" w:eastAsia="Arial" w:hAnsi="Arial" w:cs="Arial"/>
          <w:b/>
          <w:bCs/>
          <w:color w:val="000000" w:themeColor="text1"/>
          <w:sz w:val="24"/>
          <w:szCs w:val="24"/>
        </w:rPr>
      </w:pPr>
    </w:p>
    <w:p w14:paraId="1D8541DE" w14:textId="1C3C9F2B" w:rsidR="003870E7" w:rsidRDefault="003870E7" w:rsidP="727E3A7D">
      <w:pPr>
        <w:ind w:right="107"/>
        <w:jc w:val="both"/>
        <w:rPr>
          <w:rFonts w:ascii="Arial" w:eastAsia="Arial" w:hAnsi="Arial" w:cs="Arial"/>
          <w:b/>
          <w:bCs/>
          <w:color w:val="000000" w:themeColor="text1"/>
          <w:sz w:val="24"/>
          <w:szCs w:val="24"/>
        </w:rPr>
      </w:pPr>
    </w:p>
    <w:p w14:paraId="5CB2ECF7" w14:textId="5739B059" w:rsidR="003870E7" w:rsidRDefault="003870E7" w:rsidP="727E3A7D">
      <w:pPr>
        <w:ind w:right="107"/>
        <w:jc w:val="both"/>
        <w:rPr>
          <w:rFonts w:ascii="Arial" w:eastAsia="Arial" w:hAnsi="Arial" w:cs="Arial"/>
          <w:b/>
          <w:bCs/>
          <w:color w:val="000000" w:themeColor="text1"/>
          <w:sz w:val="24"/>
          <w:szCs w:val="24"/>
        </w:rPr>
      </w:pPr>
    </w:p>
    <w:p w14:paraId="5B2F2065" w14:textId="39FAA945" w:rsidR="003870E7" w:rsidRDefault="003870E7" w:rsidP="727E3A7D">
      <w:pPr>
        <w:ind w:right="107"/>
        <w:jc w:val="both"/>
        <w:rPr>
          <w:rFonts w:ascii="Arial" w:eastAsia="Arial" w:hAnsi="Arial" w:cs="Arial"/>
          <w:b/>
          <w:bCs/>
          <w:color w:val="000000" w:themeColor="text1"/>
          <w:sz w:val="24"/>
          <w:szCs w:val="24"/>
        </w:rPr>
      </w:pPr>
    </w:p>
    <w:p w14:paraId="603C8917" w14:textId="0D642D12" w:rsidR="003870E7" w:rsidRDefault="003870E7" w:rsidP="727E3A7D">
      <w:pPr>
        <w:ind w:right="107"/>
        <w:jc w:val="both"/>
        <w:rPr>
          <w:rFonts w:ascii="Arial" w:eastAsia="Arial" w:hAnsi="Arial" w:cs="Arial"/>
          <w:b/>
          <w:bCs/>
          <w:color w:val="000000" w:themeColor="text1"/>
          <w:sz w:val="24"/>
          <w:szCs w:val="24"/>
        </w:rPr>
      </w:pPr>
    </w:p>
    <w:p w14:paraId="5721CCBA" w14:textId="46B7D675" w:rsidR="003870E7" w:rsidRDefault="003870E7" w:rsidP="727E3A7D">
      <w:pPr>
        <w:ind w:right="107"/>
        <w:jc w:val="both"/>
        <w:rPr>
          <w:rFonts w:ascii="Arial" w:eastAsia="Arial" w:hAnsi="Arial" w:cs="Arial"/>
          <w:b/>
          <w:bCs/>
          <w:color w:val="000000" w:themeColor="text1"/>
          <w:sz w:val="24"/>
          <w:szCs w:val="24"/>
        </w:rPr>
      </w:pPr>
    </w:p>
    <w:p w14:paraId="15AB2D02" w14:textId="62EA6BC8" w:rsidR="003870E7" w:rsidRDefault="003870E7" w:rsidP="727E3A7D">
      <w:pPr>
        <w:ind w:right="107"/>
        <w:jc w:val="both"/>
        <w:rPr>
          <w:rFonts w:ascii="Arial" w:eastAsia="Arial" w:hAnsi="Arial" w:cs="Arial"/>
          <w:b/>
          <w:bCs/>
          <w:color w:val="000000" w:themeColor="text1"/>
          <w:sz w:val="24"/>
          <w:szCs w:val="24"/>
        </w:rPr>
      </w:pPr>
    </w:p>
    <w:p w14:paraId="5635D17D" w14:textId="77777777" w:rsidR="003870E7" w:rsidRDefault="003870E7" w:rsidP="727E3A7D">
      <w:pPr>
        <w:ind w:right="107"/>
        <w:jc w:val="both"/>
        <w:rPr>
          <w:rFonts w:ascii="Arial" w:eastAsia="Arial" w:hAnsi="Arial" w:cs="Arial"/>
          <w:b/>
          <w:bCs/>
          <w:color w:val="000000" w:themeColor="text1"/>
          <w:sz w:val="24"/>
          <w:szCs w:val="24"/>
        </w:rPr>
      </w:pPr>
    </w:p>
    <w:p w14:paraId="5300F6D1" w14:textId="2AA2EB69" w:rsidR="727E3A7D" w:rsidRDefault="727E3A7D" w:rsidP="727E3A7D">
      <w:pPr>
        <w:ind w:right="107"/>
        <w:jc w:val="both"/>
        <w:rPr>
          <w:rFonts w:ascii="Arial" w:eastAsia="Arial" w:hAnsi="Arial" w:cs="Arial"/>
          <w:b/>
          <w:bCs/>
          <w:color w:val="000000" w:themeColor="text1"/>
          <w:sz w:val="24"/>
          <w:szCs w:val="24"/>
        </w:rPr>
      </w:pPr>
    </w:p>
    <w:p w14:paraId="18C26921" w14:textId="4FBFB8D6" w:rsidR="727E3A7D" w:rsidRDefault="727E3A7D" w:rsidP="727E3A7D">
      <w:pPr>
        <w:ind w:right="107"/>
        <w:jc w:val="both"/>
        <w:rPr>
          <w:rFonts w:ascii="Arial" w:eastAsia="Arial" w:hAnsi="Arial" w:cs="Arial"/>
          <w:b/>
          <w:bCs/>
          <w:color w:val="000000" w:themeColor="text1"/>
          <w:sz w:val="24"/>
          <w:szCs w:val="24"/>
        </w:rPr>
      </w:pPr>
    </w:p>
    <w:p w14:paraId="1BEEE53C" w14:textId="07F6CCCE" w:rsidR="727E3A7D" w:rsidRDefault="727E3A7D" w:rsidP="727E3A7D">
      <w:pPr>
        <w:ind w:right="107"/>
        <w:jc w:val="both"/>
        <w:rPr>
          <w:rFonts w:ascii="Arial" w:eastAsia="Arial" w:hAnsi="Arial" w:cs="Arial"/>
          <w:b/>
          <w:bCs/>
          <w:color w:val="000000" w:themeColor="text1"/>
          <w:sz w:val="24"/>
          <w:szCs w:val="24"/>
        </w:rPr>
      </w:pPr>
    </w:p>
    <w:p w14:paraId="798286C5" w14:textId="3D0C44BD" w:rsidR="2C28128D" w:rsidRDefault="2C28128D" w:rsidP="727E3A7D">
      <w:pPr>
        <w:ind w:right="107"/>
        <w:jc w:val="both"/>
        <w:rPr>
          <w:rFonts w:ascii="Arial" w:eastAsia="Arial" w:hAnsi="Arial" w:cs="Arial"/>
          <w:b/>
          <w:bCs/>
          <w:color w:val="000000" w:themeColor="text1"/>
          <w:sz w:val="24"/>
          <w:szCs w:val="24"/>
        </w:rPr>
      </w:pPr>
      <w:r w:rsidRPr="515A1CF8">
        <w:rPr>
          <w:rFonts w:ascii="Arial" w:eastAsia="Arial" w:hAnsi="Arial" w:cs="Arial"/>
          <w:b/>
          <w:bCs/>
          <w:color w:val="000000" w:themeColor="text1"/>
          <w:sz w:val="24"/>
          <w:szCs w:val="24"/>
        </w:rPr>
        <w:t xml:space="preserve">Task 4: </w:t>
      </w:r>
    </w:p>
    <w:p w14:paraId="670AD109" w14:textId="0C58D35D" w:rsidR="727E3A7D" w:rsidRDefault="62F55F56" w:rsidP="79283025">
      <w:pPr>
        <w:rPr>
          <w:rFonts w:ascii="Arial" w:eastAsia="Arial" w:hAnsi="Arial" w:cs="Arial"/>
          <w:color w:val="000000" w:themeColor="text1"/>
          <w:sz w:val="24"/>
          <w:szCs w:val="24"/>
        </w:rPr>
      </w:pPr>
      <w:r w:rsidRPr="79283025">
        <w:rPr>
          <w:rFonts w:ascii="Arial" w:eastAsia="Arial" w:hAnsi="Arial" w:cs="Arial"/>
          <w:b/>
          <w:bCs/>
          <w:color w:val="000000" w:themeColor="text1"/>
          <w:sz w:val="24"/>
          <w:szCs w:val="24"/>
        </w:rPr>
        <w:t xml:space="preserve">You must choose an investigation in which you played a significant role and reflect upon how you completed </w:t>
      </w:r>
      <w:r w:rsidR="1BCE5E2F" w:rsidRPr="79283025">
        <w:rPr>
          <w:rFonts w:ascii="Arial" w:eastAsia="Arial" w:hAnsi="Arial" w:cs="Arial"/>
          <w:b/>
          <w:bCs/>
          <w:color w:val="000000" w:themeColor="text1"/>
          <w:sz w:val="24"/>
          <w:szCs w:val="24"/>
        </w:rPr>
        <w:t xml:space="preserve">relevant documentation in relation to the investigation. </w:t>
      </w:r>
      <w:r w:rsidRPr="79283025">
        <w:rPr>
          <w:rFonts w:ascii="Arial" w:eastAsia="Arial" w:hAnsi="Arial" w:cs="Arial"/>
          <w:b/>
          <w:bCs/>
          <w:color w:val="000000" w:themeColor="text1"/>
          <w:sz w:val="24"/>
          <w:szCs w:val="24"/>
        </w:rPr>
        <w:t xml:space="preserve"> </w:t>
      </w:r>
    </w:p>
    <w:p w14:paraId="043F77C6" w14:textId="31460884" w:rsidR="727E3A7D" w:rsidRDefault="727E3A7D" w:rsidP="515A1CF8">
      <w:pPr>
        <w:ind w:right="107"/>
        <w:jc w:val="both"/>
        <w:rPr>
          <w:rFonts w:ascii="Arial" w:eastAsia="Arial" w:hAnsi="Arial" w:cs="Arial"/>
          <w:b/>
          <w:bCs/>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7336895D" w14:paraId="2EA4F0B4" w14:textId="77777777" w:rsidTr="79283025">
        <w:tc>
          <w:tcPr>
            <w:tcW w:w="9015" w:type="dxa"/>
          </w:tcPr>
          <w:p w14:paraId="7A93F489" w14:textId="7BC461DC" w:rsidR="7336895D" w:rsidRDefault="7336895D" w:rsidP="7336895D">
            <w:pPr>
              <w:rPr>
                <w:rFonts w:ascii="Arial" w:eastAsia="Arial" w:hAnsi="Arial" w:cs="Arial"/>
                <w:b/>
                <w:bCs/>
                <w:color w:val="000000" w:themeColor="text1"/>
                <w:sz w:val="24"/>
                <w:szCs w:val="24"/>
              </w:rPr>
            </w:pPr>
          </w:p>
          <w:p w14:paraId="1C3A3649" w14:textId="760D530E" w:rsidR="7336895D" w:rsidRDefault="71E6567F" w:rsidP="515A1CF8">
            <w:pPr>
              <w:rPr>
                <w:rFonts w:ascii="Arial" w:eastAsia="Arial" w:hAnsi="Arial" w:cs="Arial"/>
                <w:sz w:val="24"/>
                <w:szCs w:val="24"/>
              </w:rPr>
            </w:pPr>
            <w:r w:rsidRPr="515A1CF8">
              <w:rPr>
                <w:rFonts w:ascii="Arial" w:eastAsia="Arial" w:hAnsi="Arial" w:cs="Arial"/>
                <w:b/>
                <w:bCs/>
                <w:color w:val="000000" w:themeColor="text1"/>
                <w:sz w:val="24"/>
                <w:szCs w:val="24"/>
              </w:rPr>
              <w:t>Give a brief description</w:t>
            </w:r>
            <w:r w:rsidRPr="515A1CF8">
              <w:rPr>
                <w:rFonts w:ascii="Arial" w:eastAsia="Arial" w:hAnsi="Arial" w:cs="Arial"/>
                <w:color w:val="000000" w:themeColor="text1"/>
                <w:sz w:val="24"/>
                <w:szCs w:val="24"/>
              </w:rPr>
              <w:t xml:space="preserve"> of the investigation including social and legislative contexts and any relevant cultural, ethnicity and language issues</w:t>
            </w:r>
          </w:p>
          <w:p w14:paraId="5F57507B" w14:textId="0E8132B1" w:rsidR="7336895D" w:rsidRDefault="7336895D" w:rsidP="515A1CF8">
            <w:pPr>
              <w:rPr>
                <w:rFonts w:ascii="Arial" w:eastAsia="Arial" w:hAnsi="Arial" w:cs="Arial"/>
                <w:b/>
                <w:bCs/>
                <w:color w:val="000000" w:themeColor="text1"/>
                <w:sz w:val="24"/>
                <w:szCs w:val="24"/>
              </w:rPr>
            </w:pPr>
          </w:p>
          <w:p w14:paraId="6B21309E" w14:textId="4874545E" w:rsidR="7336895D" w:rsidRDefault="71E6567F" w:rsidP="515A1CF8">
            <w:pPr>
              <w:rPr>
                <w:rFonts w:ascii="Arial" w:eastAsia="Arial" w:hAnsi="Arial" w:cs="Arial"/>
                <w:color w:val="000000" w:themeColor="text1"/>
                <w:sz w:val="24"/>
                <w:szCs w:val="24"/>
              </w:rPr>
            </w:pPr>
            <w:r w:rsidRPr="515A1CF8">
              <w:rPr>
                <w:rFonts w:ascii="Arial" w:eastAsia="Arial" w:hAnsi="Arial" w:cs="Arial"/>
                <w:b/>
                <w:bCs/>
                <w:color w:val="000000" w:themeColor="text1"/>
                <w:sz w:val="24"/>
                <w:szCs w:val="24"/>
              </w:rPr>
              <w:t>Consider and reflect</w:t>
            </w:r>
            <w:r w:rsidRPr="515A1CF8">
              <w:rPr>
                <w:rFonts w:ascii="Arial" w:eastAsia="Arial" w:hAnsi="Arial" w:cs="Arial"/>
                <w:color w:val="000000" w:themeColor="text1"/>
                <w:sz w:val="24"/>
                <w:szCs w:val="24"/>
              </w:rPr>
              <w:t xml:space="preserve"> upon how you analysed, assessed and eva</w:t>
            </w:r>
            <w:r w:rsidR="47AD346D" w:rsidRPr="515A1CF8">
              <w:rPr>
                <w:rFonts w:ascii="Arial" w:eastAsia="Arial" w:hAnsi="Arial" w:cs="Arial"/>
                <w:color w:val="000000" w:themeColor="text1"/>
                <w:sz w:val="24"/>
                <w:szCs w:val="24"/>
              </w:rPr>
              <w:t>luated</w:t>
            </w:r>
            <w:r w:rsidRPr="515A1CF8">
              <w:rPr>
                <w:rFonts w:ascii="Arial" w:eastAsia="Arial" w:hAnsi="Arial" w:cs="Arial"/>
                <w:color w:val="000000" w:themeColor="text1"/>
                <w:sz w:val="24"/>
                <w:szCs w:val="24"/>
              </w:rPr>
              <w:t xml:space="preserve"> material generated by the investigation to identify offenders. </w:t>
            </w:r>
          </w:p>
          <w:p w14:paraId="1AD5BD42" w14:textId="6FB07CD9" w:rsidR="7336895D" w:rsidRDefault="7336895D" w:rsidP="515A1CF8">
            <w:pPr>
              <w:rPr>
                <w:rFonts w:ascii="Arial" w:eastAsia="Arial" w:hAnsi="Arial" w:cs="Arial"/>
                <w:b/>
                <w:bCs/>
                <w:color w:val="000000" w:themeColor="text1"/>
                <w:sz w:val="24"/>
                <w:szCs w:val="24"/>
              </w:rPr>
            </w:pPr>
          </w:p>
          <w:p w14:paraId="0C5A1992" w14:textId="41443326" w:rsidR="7336895D" w:rsidRDefault="47C3B256" w:rsidP="79283025">
            <w:pPr>
              <w:rPr>
                <w:rFonts w:ascii="Arial" w:eastAsia="Arial" w:hAnsi="Arial" w:cs="Arial"/>
                <w:color w:val="000000" w:themeColor="text1"/>
                <w:sz w:val="24"/>
                <w:szCs w:val="24"/>
              </w:rPr>
            </w:pPr>
            <w:r w:rsidRPr="79283025">
              <w:rPr>
                <w:rFonts w:ascii="Arial" w:eastAsia="Arial" w:hAnsi="Arial" w:cs="Arial"/>
                <w:b/>
                <w:bCs/>
                <w:color w:val="000000" w:themeColor="text1"/>
                <w:sz w:val="24"/>
                <w:szCs w:val="24"/>
              </w:rPr>
              <w:t>Illustrate</w:t>
            </w:r>
            <w:r w:rsidR="07F1D9CE" w:rsidRPr="79283025">
              <w:rPr>
                <w:rFonts w:ascii="Arial" w:eastAsia="Arial" w:hAnsi="Arial" w:cs="Arial"/>
                <w:b/>
                <w:bCs/>
                <w:i/>
                <w:iCs/>
                <w:color w:val="000000" w:themeColor="text1"/>
                <w:sz w:val="24"/>
                <w:szCs w:val="24"/>
              </w:rPr>
              <w:t xml:space="preserve"> </w:t>
            </w:r>
            <w:r w:rsidR="07F1D9CE" w:rsidRPr="79283025">
              <w:rPr>
                <w:rFonts w:ascii="Arial" w:eastAsia="Arial" w:hAnsi="Arial" w:cs="Arial"/>
                <w:color w:val="000000" w:themeColor="text1"/>
                <w:sz w:val="24"/>
                <w:szCs w:val="24"/>
              </w:rPr>
              <w:t xml:space="preserve">how you have </w:t>
            </w:r>
            <w:r w:rsidR="0E8B2F99" w:rsidRPr="79283025">
              <w:rPr>
                <w:rFonts w:ascii="Arial" w:eastAsia="Arial" w:hAnsi="Arial" w:cs="Arial"/>
                <w:color w:val="000000" w:themeColor="text1"/>
                <w:sz w:val="24"/>
                <w:szCs w:val="24"/>
              </w:rPr>
              <w:t>ensured</w:t>
            </w:r>
            <w:r w:rsidR="07F1D9CE" w:rsidRPr="79283025">
              <w:rPr>
                <w:rFonts w:ascii="Arial" w:eastAsia="Arial" w:hAnsi="Arial" w:cs="Arial"/>
                <w:color w:val="000000" w:themeColor="text1"/>
                <w:sz w:val="24"/>
                <w:szCs w:val="24"/>
              </w:rPr>
              <w:t xml:space="preserve"> all material, including exhibits generated were seized, examined and retained in </w:t>
            </w:r>
            <w:r w:rsidR="4EB5FE6F" w:rsidRPr="79283025">
              <w:rPr>
                <w:rFonts w:ascii="Arial" w:eastAsia="Arial" w:hAnsi="Arial" w:cs="Arial"/>
                <w:color w:val="000000" w:themeColor="text1"/>
                <w:sz w:val="24"/>
                <w:szCs w:val="24"/>
              </w:rPr>
              <w:t>accordance</w:t>
            </w:r>
            <w:r w:rsidR="07F1D9CE" w:rsidRPr="79283025">
              <w:rPr>
                <w:rFonts w:ascii="Arial" w:eastAsia="Arial" w:hAnsi="Arial" w:cs="Arial"/>
                <w:color w:val="000000" w:themeColor="text1"/>
                <w:sz w:val="24"/>
                <w:szCs w:val="24"/>
              </w:rPr>
              <w:t xml:space="preserve"> with </w:t>
            </w:r>
            <w:r w:rsidR="1B0A8F4D" w:rsidRPr="79283025">
              <w:rPr>
                <w:rFonts w:ascii="Arial" w:eastAsia="Arial" w:hAnsi="Arial" w:cs="Arial"/>
                <w:color w:val="000000" w:themeColor="text1"/>
                <w:sz w:val="24"/>
                <w:szCs w:val="24"/>
              </w:rPr>
              <w:t>legalisation</w:t>
            </w:r>
            <w:r w:rsidR="07F1D9CE" w:rsidRPr="79283025">
              <w:rPr>
                <w:rFonts w:ascii="Arial" w:eastAsia="Arial" w:hAnsi="Arial" w:cs="Arial"/>
                <w:color w:val="000000" w:themeColor="text1"/>
                <w:sz w:val="24"/>
                <w:szCs w:val="24"/>
              </w:rPr>
              <w:t xml:space="preserve"> and policy where neces</w:t>
            </w:r>
            <w:r w:rsidR="7C0879D3" w:rsidRPr="79283025">
              <w:rPr>
                <w:rFonts w:ascii="Arial" w:eastAsia="Arial" w:hAnsi="Arial" w:cs="Arial"/>
                <w:color w:val="000000" w:themeColor="text1"/>
                <w:sz w:val="24"/>
                <w:szCs w:val="24"/>
              </w:rPr>
              <w:t>sary</w:t>
            </w:r>
            <w:r w:rsidR="5B2B94AB" w:rsidRPr="79283025">
              <w:rPr>
                <w:rFonts w:ascii="Arial" w:eastAsia="Arial" w:hAnsi="Arial" w:cs="Arial"/>
                <w:color w:val="000000" w:themeColor="text1"/>
                <w:sz w:val="24"/>
                <w:szCs w:val="24"/>
              </w:rPr>
              <w:t xml:space="preserve"> (e.g., compliance with CPIA, PACE). </w:t>
            </w:r>
          </w:p>
          <w:p w14:paraId="0CE4EFFF" w14:textId="01396730" w:rsidR="7336895D" w:rsidRDefault="7336895D" w:rsidP="515A1CF8">
            <w:pPr>
              <w:rPr>
                <w:rFonts w:ascii="Arial" w:eastAsia="Arial" w:hAnsi="Arial" w:cs="Arial"/>
                <w:color w:val="000000" w:themeColor="text1"/>
                <w:sz w:val="24"/>
                <w:szCs w:val="24"/>
              </w:rPr>
            </w:pPr>
          </w:p>
          <w:p w14:paraId="11E2E085" w14:textId="26AC1966" w:rsidR="7336895D" w:rsidRDefault="2D7CBB53" w:rsidP="79283025">
            <w:pPr>
              <w:rPr>
                <w:rFonts w:ascii="Arial" w:eastAsia="Arial" w:hAnsi="Arial" w:cs="Arial"/>
                <w:color w:val="000000" w:themeColor="text1"/>
                <w:sz w:val="24"/>
                <w:szCs w:val="24"/>
              </w:rPr>
            </w:pPr>
            <w:r w:rsidRPr="79283025">
              <w:rPr>
                <w:rFonts w:ascii="Arial" w:eastAsia="Arial" w:hAnsi="Arial" w:cs="Arial"/>
                <w:b/>
                <w:bCs/>
                <w:color w:val="000000" w:themeColor="text1"/>
                <w:sz w:val="24"/>
                <w:szCs w:val="24"/>
              </w:rPr>
              <w:t>Evaluate</w:t>
            </w:r>
            <w:r w:rsidR="757097C1" w:rsidRPr="79283025">
              <w:rPr>
                <w:rFonts w:ascii="Arial" w:eastAsia="Arial" w:hAnsi="Arial" w:cs="Arial"/>
                <w:color w:val="000000" w:themeColor="text1"/>
                <w:sz w:val="24"/>
                <w:szCs w:val="24"/>
              </w:rPr>
              <w:t xml:space="preserve"> </w:t>
            </w:r>
            <w:r w:rsidR="11059299" w:rsidRPr="79283025">
              <w:rPr>
                <w:rFonts w:ascii="Arial" w:eastAsia="Arial" w:hAnsi="Arial" w:cs="Arial"/>
                <w:color w:val="000000" w:themeColor="text1"/>
                <w:sz w:val="24"/>
                <w:szCs w:val="24"/>
              </w:rPr>
              <w:t>how you</w:t>
            </w:r>
            <w:r w:rsidR="757097C1" w:rsidRPr="79283025">
              <w:rPr>
                <w:rFonts w:ascii="Arial" w:eastAsia="Arial" w:hAnsi="Arial" w:cs="Arial"/>
                <w:color w:val="000000" w:themeColor="text1"/>
                <w:sz w:val="24"/>
                <w:szCs w:val="24"/>
              </w:rPr>
              <w:t xml:space="preserve"> </w:t>
            </w:r>
            <w:r w:rsidR="6C21A084" w:rsidRPr="79283025">
              <w:rPr>
                <w:rFonts w:ascii="Arial" w:eastAsia="Arial" w:hAnsi="Arial" w:cs="Arial"/>
                <w:color w:val="000000" w:themeColor="text1"/>
                <w:sz w:val="24"/>
                <w:szCs w:val="24"/>
              </w:rPr>
              <w:t>preprepared</w:t>
            </w:r>
            <w:r w:rsidR="200B16CF" w:rsidRPr="79283025">
              <w:rPr>
                <w:rFonts w:ascii="Arial" w:eastAsia="Arial" w:hAnsi="Arial" w:cs="Arial"/>
                <w:color w:val="000000" w:themeColor="text1"/>
                <w:sz w:val="24"/>
                <w:szCs w:val="24"/>
              </w:rPr>
              <w:t xml:space="preserve"> report</w:t>
            </w:r>
            <w:r w:rsidR="7A7659B0" w:rsidRPr="79283025">
              <w:rPr>
                <w:rFonts w:ascii="Arial" w:eastAsia="Arial" w:hAnsi="Arial" w:cs="Arial"/>
                <w:color w:val="000000" w:themeColor="text1"/>
                <w:sz w:val="24"/>
                <w:szCs w:val="24"/>
              </w:rPr>
              <w:t>s</w:t>
            </w:r>
            <w:r w:rsidR="200B16CF" w:rsidRPr="79283025">
              <w:rPr>
                <w:rFonts w:ascii="Arial" w:eastAsia="Arial" w:hAnsi="Arial" w:cs="Arial"/>
                <w:color w:val="000000" w:themeColor="text1"/>
                <w:sz w:val="24"/>
                <w:szCs w:val="24"/>
              </w:rPr>
              <w:t xml:space="preserve"> </w:t>
            </w:r>
            <w:r w:rsidR="48A186CC" w:rsidRPr="79283025">
              <w:rPr>
                <w:rFonts w:ascii="Arial" w:eastAsia="Arial" w:hAnsi="Arial" w:cs="Arial"/>
                <w:color w:val="000000" w:themeColor="text1"/>
                <w:sz w:val="24"/>
                <w:szCs w:val="24"/>
              </w:rPr>
              <w:t>detailing</w:t>
            </w:r>
            <w:r w:rsidR="757097C1" w:rsidRPr="79283025">
              <w:rPr>
                <w:rFonts w:ascii="Arial" w:eastAsia="Arial" w:hAnsi="Arial" w:cs="Arial"/>
                <w:color w:val="000000" w:themeColor="text1"/>
                <w:sz w:val="24"/>
                <w:szCs w:val="24"/>
              </w:rPr>
              <w:t xml:space="preserve"> the </w:t>
            </w:r>
            <w:r w:rsidR="2AFF0D61" w:rsidRPr="79283025">
              <w:rPr>
                <w:rFonts w:ascii="Arial" w:eastAsia="Arial" w:hAnsi="Arial" w:cs="Arial"/>
                <w:color w:val="000000" w:themeColor="text1"/>
                <w:sz w:val="24"/>
                <w:szCs w:val="24"/>
              </w:rPr>
              <w:t>investigation</w:t>
            </w:r>
            <w:r w:rsidR="757097C1" w:rsidRPr="79283025">
              <w:rPr>
                <w:rFonts w:ascii="Arial" w:eastAsia="Arial" w:hAnsi="Arial" w:cs="Arial"/>
                <w:color w:val="000000" w:themeColor="text1"/>
                <w:sz w:val="24"/>
                <w:szCs w:val="24"/>
              </w:rPr>
              <w:t xml:space="preserve"> and</w:t>
            </w:r>
            <w:r w:rsidR="7E4CFF6C" w:rsidRPr="79283025">
              <w:rPr>
                <w:rFonts w:ascii="Arial" w:eastAsia="Arial" w:hAnsi="Arial" w:cs="Arial"/>
                <w:color w:val="000000" w:themeColor="text1"/>
                <w:sz w:val="24"/>
                <w:szCs w:val="24"/>
              </w:rPr>
              <w:t xml:space="preserve"> the management of</w:t>
            </w:r>
            <w:r w:rsidR="757097C1" w:rsidRPr="79283025">
              <w:rPr>
                <w:rFonts w:ascii="Arial" w:eastAsia="Arial" w:hAnsi="Arial" w:cs="Arial"/>
                <w:color w:val="000000" w:themeColor="text1"/>
                <w:sz w:val="24"/>
                <w:szCs w:val="24"/>
              </w:rPr>
              <w:t xml:space="preserve"> case files. Examine how you have conducted disclosure with best</w:t>
            </w:r>
            <w:r w:rsidR="3801623A" w:rsidRPr="79283025">
              <w:rPr>
                <w:rFonts w:ascii="Arial" w:eastAsia="Arial" w:hAnsi="Arial" w:cs="Arial"/>
                <w:color w:val="000000" w:themeColor="text1"/>
                <w:sz w:val="24"/>
                <w:szCs w:val="24"/>
              </w:rPr>
              <w:t xml:space="preserve"> practice procedures</w:t>
            </w:r>
            <w:r w:rsidR="757097C1" w:rsidRPr="79283025">
              <w:rPr>
                <w:rFonts w:ascii="Arial" w:eastAsia="Arial" w:hAnsi="Arial" w:cs="Arial"/>
                <w:color w:val="000000" w:themeColor="text1"/>
                <w:sz w:val="24"/>
                <w:szCs w:val="24"/>
              </w:rPr>
              <w:t xml:space="preserve"> </w:t>
            </w:r>
            <w:r w:rsidR="2FAF6BDD" w:rsidRPr="79283025">
              <w:rPr>
                <w:rFonts w:ascii="Arial" w:eastAsia="Arial" w:hAnsi="Arial" w:cs="Arial"/>
                <w:color w:val="000000" w:themeColor="text1"/>
                <w:sz w:val="24"/>
                <w:szCs w:val="24"/>
              </w:rPr>
              <w:t xml:space="preserve">while creating an accurate audit trail. </w:t>
            </w:r>
          </w:p>
          <w:p w14:paraId="67BF1FCF" w14:textId="6D84F58A" w:rsidR="7336895D" w:rsidRDefault="7336895D" w:rsidP="515A1CF8">
            <w:pPr>
              <w:rPr>
                <w:rFonts w:ascii="Arial" w:eastAsia="Arial" w:hAnsi="Arial" w:cs="Arial"/>
                <w:color w:val="000000" w:themeColor="text1"/>
                <w:sz w:val="24"/>
                <w:szCs w:val="24"/>
              </w:rPr>
            </w:pPr>
          </w:p>
          <w:p w14:paraId="7CB0C751" w14:textId="19B391A0" w:rsidR="7336895D" w:rsidRDefault="7336895D" w:rsidP="515A1CF8">
            <w:pPr>
              <w:rPr>
                <w:rFonts w:ascii="Arial" w:eastAsia="Arial" w:hAnsi="Arial" w:cs="Arial"/>
                <w:color w:val="000000" w:themeColor="text1"/>
                <w:sz w:val="24"/>
                <w:szCs w:val="24"/>
              </w:rPr>
            </w:pPr>
          </w:p>
          <w:p w14:paraId="216B3065" w14:textId="259E893E" w:rsidR="7336895D" w:rsidRDefault="7F89359F" w:rsidP="515A1CF8">
            <w:pPr>
              <w:rPr>
                <w:rFonts w:ascii="Arial" w:eastAsia="Arial" w:hAnsi="Arial" w:cs="Arial"/>
                <w:sz w:val="24"/>
                <w:szCs w:val="24"/>
              </w:rPr>
            </w:pPr>
            <w:r w:rsidRPr="515A1CF8">
              <w:rPr>
                <w:rFonts w:ascii="Arial" w:eastAsia="Arial" w:hAnsi="Arial" w:cs="Arial"/>
                <w:color w:val="000000" w:themeColor="text1"/>
                <w:sz w:val="24"/>
                <w:szCs w:val="24"/>
              </w:rPr>
              <w:t xml:space="preserve">2000 words </w:t>
            </w:r>
            <w:r w:rsidRPr="515A1CF8">
              <w:rPr>
                <w:rFonts w:ascii="Arial" w:eastAsia="Arial" w:hAnsi="Arial" w:cs="Arial"/>
                <w:i/>
                <w:iCs/>
                <w:color w:val="000000" w:themeColor="text1"/>
                <w:sz w:val="24"/>
                <w:szCs w:val="24"/>
              </w:rPr>
              <w:t>(+/- 10%: include your actual word count at the end of each section)</w:t>
            </w:r>
          </w:p>
          <w:p w14:paraId="38ED2511" w14:textId="56BB44F2" w:rsidR="7336895D" w:rsidRDefault="7336895D" w:rsidP="727E3A7D">
            <w:pPr>
              <w:rPr>
                <w:rFonts w:ascii="Arial" w:eastAsia="Arial" w:hAnsi="Arial" w:cs="Arial"/>
                <w:b/>
                <w:bCs/>
                <w:color w:val="000000" w:themeColor="text1"/>
                <w:sz w:val="24"/>
                <w:szCs w:val="24"/>
              </w:rPr>
            </w:pPr>
          </w:p>
          <w:p w14:paraId="3D7DFF00" w14:textId="1E121A87" w:rsidR="7336895D" w:rsidRDefault="7336895D" w:rsidP="7336895D">
            <w:pPr>
              <w:rPr>
                <w:rFonts w:ascii="Arial" w:eastAsia="Arial" w:hAnsi="Arial" w:cs="Arial"/>
                <w:b/>
                <w:bCs/>
                <w:color w:val="000000" w:themeColor="text1"/>
                <w:sz w:val="24"/>
                <w:szCs w:val="24"/>
              </w:rPr>
            </w:pPr>
          </w:p>
        </w:tc>
      </w:tr>
    </w:tbl>
    <w:p w14:paraId="3654981D" w14:textId="160C180F" w:rsidR="7336895D" w:rsidRDefault="7336895D" w:rsidP="7336895D">
      <w:pPr>
        <w:ind w:left="3600" w:right="107" w:firstLine="720"/>
        <w:jc w:val="both"/>
        <w:rPr>
          <w:rFonts w:ascii="Arial" w:eastAsia="Arial" w:hAnsi="Arial" w:cs="Arial"/>
          <w:b/>
          <w:bCs/>
          <w:color w:val="000000" w:themeColor="text1"/>
          <w:sz w:val="24"/>
          <w:szCs w:val="24"/>
        </w:rPr>
      </w:pPr>
    </w:p>
    <w:p w14:paraId="5D869687" w14:textId="60FB5D3B" w:rsidR="7336895D" w:rsidRDefault="7336895D" w:rsidP="727E3A7D">
      <w:pPr>
        <w:ind w:right="237"/>
        <w:jc w:val="both"/>
        <w:rPr>
          <w:rFonts w:ascii="Arial" w:eastAsia="Arial" w:hAnsi="Arial" w:cs="Arial"/>
          <w:color w:val="000000" w:themeColor="text1"/>
          <w:sz w:val="24"/>
          <w:szCs w:val="24"/>
        </w:rPr>
      </w:pPr>
    </w:p>
    <w:p w14:paraId="6E55FE88" w14:textId="1C090336" w:rsidR="7336895D" w:rsidRDefault="1EC85EE7" w:rsidP="727E3A7D">
      <w:pPr>
        <w:ind w:right="237"/>
        <w:jc w:val="both"/>
        <w:rPr>
          <w:rFonts w:ascii="Arial" w:eastAsia="Arial" w:hAnsi="Arial" w:cs="Arial"/>
          <w:color w:val="000000" w:themeColor="text1"/>
          <w:sz w:val="24"/>
          <w:szCs w:val="24"/>
        </w:rPr>
      </w:pPr>
      <w:r w:rsidRPr="727E3A7D">
        <w:rPr>
          <w:rFonts w:ascii="Arial" w:eastAsia="Arial" w:hAnsi="Arial" w:cs="Arial"/>
          <w:b/>
          <w:bCs/>
          <w:color w:val="000000" w:themeColor="text1"/>
          <w:sz w:val="24"/>
          <w:szCs w:val="24"/>
        </w:rPr>
        <w:t>ANSWER:</w:t>
      </w:r>
    </w:p>
    <w:p w14:paraId="7B51F55E" w14:textId="77777777" w:rsidR="003870E7" w:rsidRPr="003870E7" w:rsidRDefault="003870E7" w:rsidP="003870E7">
      <w:pPr>
        <w:spacing w:after="0" w:line="240" w:lineRule="auto"/>
        <w:rPr>
          <w:b/>
          <w:bCs/>
          <w:i/>
          <w:iCs/>
        </w:rPr>
      </w:pPr>
      <w:r w:rsidRPr="003870E7">
        <w:rPr>
          <w:rFonts w:ascii="Arial" w:eastAsia="Arial" w:hAnsi="Arial" w:cs="Arial"/>
          <w:b/>
          <w:bCs/>
          <w:i/>
          <w:iCs/>
          <w:color w:val="000000"/>
        </w:rPr>
        <w:t>Give a brief description of the investigation including social and legislative contexts and any relevant cultural, ethnicity and language issues</w:t>
      </w:r>
    </w:p>
    <w:p w14:paraId="19D8E9D4" w14:textId="2678FE8D" w:rsidR="7336895D" w:rsidRDefault="7336895D" w:rsidP="727E3A7D">
      <w:pPr>
        <w:ind w:right="237"/>
        <w:jc w:val="both"/>
        <w:rPr>
          <w:rFonts w:ascii="Arial" w:eastAsia="Arial" w:hAnsi="Arial" w:cs="Arial"/>
          <w:color w:val="000000" w:themeColor="text1"/>
          <w:sz w:val="24"/>
          <w:szCs w:val="24"/>
        </w:rPr>
      </w:pPr>
    </w:p>
    <w:p w14:paraId="483F66C8" w14:textId="77777777" w:rsidR="00107504" w:rsidRDefault="00107504" w:rsidP="00107504">
      <w:pPr>
        <w:rPr>
          <w:rFonts w:ascii="Arial" w:hAnsi="Arial" w:cs="Arial"/>
        </w:rPr>
      </w:pPr>
      <w:r>
        <w:rPr>
          <w:rFonts w:ascii="Arial" w:hAnsi="Arial" w:cs="Arial"/>
        </w:rPr>
        <w:t xml:space="preserve">The investigation refers to a report of a young adult female as a missing person. Her sister had received a concerning message from her prior to her out of character disappearance from social media and failure to make any further contact with associates. The investigation identified that her recently estranged partner had brutally murdered her. </w:t>
      </w:r>
    </w:p>
    <w:p w14:paraId="4356F2B4" w14:textId="77777777" w:rsidR="00107504" w:rsidRDefault="00107504" w:rsidP="00107504">
      <w:pPr>
        <w:rPr>
          <w:rFonts w:ascii="Arial" w:hAnsi="Arial" w:cs="Arial"/>
        </w:rPr>
      </w:pPr>
      <w:r>
        <w:rPr>
          <w:rFonts w:ascii="Arial" w:hAnsi="Arial" w:cs="Arial"/>
        </w:rPr>
        <w:t xml:space="preserve">There were no ethnicity or language issues however, the family were from a rural community and were socio-economically deprived. </w:t>
      </w:r>
    </w:p>
    <w:p w14:paraId="79A9BA61" w14:textId="77777777" w:rsidR="00107504" w:rsidRDefault="00107504" w:rsidP="00107504">
      <w:pPr>
        <w:rPr>
          <w:rFonts w:ascii="Arial" w:hAnsi="Arial" w:cs="Arial"/>
        </w:rPr>
      </w:pPr>
      <w:r>
        <w:rPr>
          <w:rFonts w:ascii="Arial" w:hAnsi="Arial" w:cs="Arial"/>
        </w:rPr>
        <w:t xml:space="preserve">I assisted with the initial report enquiries and assessment, actions within the major incident room, and was exhibits/disclosure officer. </w:t>
      </w:r>
    </w:p>
    <w:p w14:paraId="0BD060E0" w14:textId="30DEAC8D" w:rsidR="7336895D" w:rsidRDefault="00107504" w:rsidP="006A0FCA">
      <w:pPr>
        <w:jc w:val="right"/>
        <w:rPr>
          <w:rFonts w:ascii="Arial" w:eastAsia="Arial" w:hAnsi="Arial" w:cs="Arial"/>
          <w:b/>
          <w:bCs/>
          <w:color w:val="000000" w:themeColor="text1"/>
          <w:sz w:val="24"/>
          <w:szCs w:val="24"/>
        </w:rPr>
      </w:pPr>
      <w:r>
        <w:rPr>
          <w:color w:val="FF0000"/>
        </w:rPr>
        <w:t>9</w:t>
      </w:r>
      <w:r w:rsidR="00712EFF">
        <w:rPr>
          <w:color w:val="FF0000"/>
        </w:rPr>
        <w:t>3</w:t>
      </w:r>
      <w:r>
        <w:rPr>
          <w:color w:val="FF0000"/>
        </w:rPr>
        <w:t xml:space="preserve"> </w:t>
      </w:r>
    </w:p>
    <w:p w14:paraId="3BE38F4A" w14:textId="25844B72" w:rsidR="7336895D" w:rsidRDefault="7336895D" w:rsidP="7336895D">
      <w:pPr>
        <w:ind w:left="3600" w:right="107" w:firstLine="720"/>
        <w:jc w:val="both"/>
        <w:rPr>
          <w:rFonts w:ascii="Arial" w:eastAsia="Arial" w:hAnsi="Arial" w:cs="Arial"/>
          <w:b/>
          <w:bCs/>
          <w:color w:val="000000" w:themeColor="text1"/>
          <w:sz w:val="24"/>
          <w:szCs w:val="24"/>
        </w:rPr>
      </w:pPr>
    </w:p>
    <w:p w14:paraId="307A09A7" w14:textId="764C7C0F" w:rsidR="7336895D" w:rsidRDefault="7336895D" w:rsidP="7336895D">
      <w:pPr>
        <w:ind w:left="3600" w:right="107" w:firstLine="720"/>
        <w:jc w:val="both"/>
        <w:rPr>
          <w:rFonts w:ascii="Arial" w:eastAsia="Arial" w:hAnsi="Arial" w:cs="Arial"/>
          <w:b/>
          <w:bCs/>
          <w:color w:val="000000" w:themeColor="text1"/>
          <w:sz w:val="24"/>
          <w:szCs w:val="24"/>
        </w:rPr>
      </w:pPr>
    </w:p>
    <w:p w14:paraId="46419A22" w14:textId="77777777" w:rsidR="009A663D" w:rsidRPr="009A663D" w:rsidRDefault="009A663D" w:rsidP="009A663D">
      <w:pPr>
        <w:rPr>
          <w:b/>
          <w:bCs/>
          <w:i/>
          <w:iCs/>
        </w:rPr>
      </w:pPr>
      <w:r w:rsidRPr="009A663D">
        <w:rPr>
          <w:rFonts w:ascii="Arial" w:eastAsia="Arial" w:hAnsi="Arial" w:cs="Arial"/>
          <w:b/>
          <w:bCs/>
          <w:i/>
          <w:iCs/>
          <w:color w:val="000000"/>
        </w:rPr>
        <w:t>Consider and reflect upon how you analysed, assessed and evaluated material generated by the investigation to identify offenders.</w:t>
      </w:r>
    </w:p>
    <w:p w14:paraId="5DC2F19A" w14:textId="77777777" w:rsidR="009A663D" w:rsidRDefault="009A663D" w:rsidP="009A663D">
      <w:pPr>
        <w:rPr>
          <w:rFonts w:ascii="Arial" w:eastAsia="Arial" w:hAnsi="Arial" w:cs="Arial"/>
          <w:color w:val="000000"/>
        </w:rPr>
      </w:pPr>
    </w:p>
    <w:p w14:paraId="1ABB8653" w14:textId="77777777" w:rsidR="009A663D" w:rsidRDefault="009A663D" w:rsidP="009A663D">
      <w:pPr>
        <w:rPr>
          <w:rFonts w:ascii="Arial" w:eastAsia="Arial" w:hAnsi="Arial" w:cs="Arial"/>
          <w:color w:val="000000"/>
        </w:rPr>
      </w:pPr>
      <w:r>
        <w:rPr>
          <w:rFonts w:ascii="Arial" w:eastAsia="Arial" w:hAnsi="Arial" w:cs="Arial"/>
          <w:color w:val="000000"/>
        </w:rPr>
        <w:t>Applying Rolf et al.’s (2010) reflective model.</w:t>
      </w:r>
    </w:p>
    <w:p w14:paraId="271CEEC7" w14:textId="77777777" w:rsidR="009A663D" w:rsidRDefault="009A663D" w:rsidP="009A663D">
      <w:pPr>
        <w:rPr>
          <w:rFonts w:ascii="Arial" w:eastAsia="Arial" w:hAnsi="Arial" w:cs="Arial"/>
          <w:color w:val="000000"/>
          <w:u w:val="single"/>
        </w:rPr>
      </w:pPr>
    </w:p>
    <w:p w14:paraId="1C010CDB" w14:textId="77777777" w:rsidR="009A663D" w:rsidRDefault="009A663D" w:rsidP="009A663D">
      <w:pPr>
        <w:rPr>
          <w:rFonts w:ascii="Arial" w:eastAsia="Arial" w:hAnsi="Arial" w:cs="Arial"/>
          <w:color w:val="000000"/>
          <w:u w:val="single"/>
        </w:rPr>
      </w:pPr>
      <w:r>
        <w:rPr>
          <w:rFonts w:ascii="Arial" w:eastAsia="Arial" w:hAnsi="Arial" w:cs="Arial"/>
          <w:color w:val="000000"/>
          <w:u w:val="single"/>
        </w:rPr>
        <w:t>What?</w:t>
      </w:r>
    </w:p>
    <w:p w14:paraId="6F56E8C0" w14:textId="35AF863C" w:rsidR="009A663D" w:rsidRDefault="009A663D" w:rsidP="009A663D">
      <w:pPr>
        <w:rPr>
          <w:rFonts w:ascii="Arial" w:eastAsia="Arial" w:hAnsi="Arial" w:cs="Arial"/>
          <w:color w:val="000000"/>
        </w:rPr>
      </w:pPr>
      <w:r>
        <w:rPr>
          <w:rFonts w:ascii="Arial" w:eastAsia="Arial" w:hAnsi="Arial" w:cs="Arial"/>
          <w:color w:val="000000"/>
        </w:rPr>
        <w:t>Having taken a detailed witness statement from the estranged partner who was a person of interest (POI</w:t>
      </w:r>
      <w:r w:rsidR="00CE5D60">
        <w:rPr>
          <w:rFonts w:ascii="Arial" w:eastAsia="Arial" w:hAnsi="Arial" w:cs="Arial"/>
          <w:color w:val="000000"/>
        </w:rPr>
        <w:t>)</w:t>
      </w:r>
      <w:r>
        <w:rPr>
          <w:rFonts w:ascii="Arial" w:eastAsia="Arial" w:hAnsi="Arial" w:cs="Arial"/>
          <w:color w:val="000000"/>
        </w:rPr>
        <w:t xml:space="preserve"> </w:t>
      </w:r>
      <w:r w:rsidR="00CE5D60">
        <w:rPr>
          <w:rFonts w:ascii="Arial" w:eastAsia="Arial" w:hAnsi="Arial" w:cs="Arial"/>
          <w:color w:val="000000"/>
        </w:rPr>
        <w:t>(</w:t>
      </w:r>
      <w:r>
        <w:rPr>
          <w:rFonts w:ascii="Arial" w:eastAsia="Arial" w:hAnsi="Arial" w:cs="Arial"/>
          <w:color w:val="000000"/>
        </w:rPr>
        <w:t xml:space="preserve">Bobby Dale Barina, 2019), this was later scrutinised to identify discrepancies for the purpose of developing him into a suspect. </w:t>
      </w:r>
    </w:p>
    <w:p w14:paraId="742BFA9E" w14:textId="77777777" w:rsidR="009A663D" w:rsidRDefault="009A663D" w:rsidP="009A663D">
      <w:pPr>
        <w:rPr>
          <w:rFonts w:ascii="Arial" w:eastAsia="Arial" w:hAnsi="Arial" w:cs="Arial"/>
          <w:color w:val="000000"/>
        </w:rPr>
      </w:pPr>
      <w:r>
        <w:rPr>
          <w:rFonts w:ascii="Arial" w:eastAsia="Arial" w:hAnsi="Arial" w:cs="Arial"/>
          <w:color w:val="000000"/>
        </w:rPr>
        <w:t xml:space="preserve">I was then tasked with taking a statement from a witness of significance who had sighted him disposing of her belongings, contrary to his account. The investigation relied entirely upon the outcome of this action to arrest. </w:t>
      </w:r>
    </w:p>
    <w:p w14:paraId="563A7CC1" w14:textId="77777777" w:rsidR="009A663D" w:rsidRDefault="009A663D" w:rsidP="009A663D">
      <w:pPr>
        <w:rPr>
          <w:rFonts w:ascii="Arial" w:eastAsia="Arial" w:hAnsi="Arial" w:cs="Arial"/>
          <w:color w:val="000000"/>
        </w:rPr>
      </w:pPr>
      <w:r>
        <w:rPr>
          <w:rFonts w:ascii="Arial" w:eastAsia="Arial" w:hAnsi="Arial" w:cs="Arial"/>
          <w:color w:val="000000"/>
        </w:rPr>
        <w:t xml:space="preserve">I was pleased that I’d been trusted with such a significant task but under pressure that didn’t want to fail. I felt confident and competent in performing this task. I considered the challenges which may be lack of focus under pressure and failure to obtain sufficient detailed and reliable evidence from the witness. </w:t>
      </w:r>
    </w:p>
    <w:p w14:paraId="1CD0CD9C" w14:textId="77777777" w:rsidR="009A663D" w:rsidRDefault="009A663D" w:rsidP="009A663D">
      <w:pPr>
        <w:rPr>
          <w:rFonts w:ascii="Arial" w:eastAsia="Arial" w:hAnsi="Arial" w:cs="Arial"/>
          <w:color w:val="000000"/>
        </w:rPr>
      </w:pPr>
      <w:r>
        <w:rPr>
          <w:rFonts w:ascii="Arial" w:eastAsia="Arial" w:hAnsi="Arial" w:cs="Arial"/>
          <w:color w:val="000000"/>
        </w:rPr>
        <w:t xml:space="preserve">There was critical time pressure associated to this task, in order to be thorough and prevent the need to-revisit, I planned out what I needed to do. </w:t>
      </w:r>
    </w:p>
    <w:p w14:paraId="116C96D1" w14:textId="615395E0" w:rsidR="009A663D" w:rsidRDefault="009A663D" w:rsidP="009A663D">
      <w:r>
        <w:rPr>
          <w:rFonts w:ascii="Arial" w:eastAsia="Arial" w:hAnsi="Arial" w:cs="Arial"/>
          <w:color w:val="000000"/>
        </w:rPr>
        <w:t>Prior to taking the witness statement, I conducted a scene visit to create a mental picture to improve clarity and detail. Having taken the POI’s statement myself, I had good knowledge of the significant topics to cover in the next witness statement which were being challenged. I implied strategies to ensure thoroughness and reliability of identification evidence by using the ADVOKATE model (Bromby &amp; Hall, 2002) (‘</w:t>
      </w:r>
      <w:r>
        <w:rPr>
          <w:rFonts w:ascii="Arial" w:eastAsia="Arial" w:hAnsi="Arial" w:cs="Arial"/>
          <w:i/>
          <w:iCs/>
        </w:rPr>
        <w:t>R v Turnbull (Raymond)</w:t>
      </w:r>
      <w:r w:rsidR="00CE5D60">
        <w:rPr>
          <w:rFonts w:ascii="Arial" w:eastAsia="Arial" w:hAnsi="Arial" w:cs="Arial"/>
          <w:i/>
          <w:iCs/>
        </w:rPr>
        <w:t>’</w:t>
      </w:r>
      <w:r>
        <w:rPr>
          <w:rFonts w:ascii="Arial" w:eastAsia="Arial" w:hAnsi="Arial" w:cs="Arial"/>
        </w:rPr>
        <w:t>, 1976</w:t>
      </w:r>
      <w:r>
        <w:rPr>
          <w:rFonts w:ascii="Arial" w:eastAsia="Arial" w:hAnsi="Arial" w:cs="Arial"/>
          <w:color w:val="000000"/>
        </w:rPr>
        <w:t>), and context reinstatement techniques. To maintain integrity, I was conscious not to suggestively lead the witness with information I already knew which may lead to her providing inaccurate account information (Vrij, Hope, Fisher, 2014) (</w:t>
      </w:r>
      <w:proofErr w:type="spellStart"/>
      <w:r>
        <w:rPr>
          <w:rFonts w:ascii="Arial" w:eastAsia="Arial" w:hAnsi="Arial" w:cs="Arial"/>
          <w:color w:val="000000"/>
        </w:rPr>
        <w:t>Schollum</w:t>
      </w:r>
      <w:proofErr w:type="spellEnd"/>
      <w:r>
        <w:rPr>
          <w:rFonts w:ascii="Arial" w:eastAsia="Arial" w:hAnsi="Arial" w:cs="Arial"/>
          <w:color w:val="000000"/>
        </w:rPr>
        <w:t>, 2005, p.35). If felt that the process went smoothly. The outcome of the task was completely positive which brought me relief and satisfaction. I immediately phoned in the result to the Major Incident Room (MIR</w:t>
      </w:r>
      <w:r w:rsidR="00CE5D60">
        <w:rPr>
          <w:rFonts w:ascii="Arial" w:eastAsia="Arial" w:hAnsi="Arial" w:cs="Arial"/>
          <w:color w:val="000000"/>
        </w:rPr>
        <w:t>)</w:t>
      </w:r>
      <w:r>
        <w:rPr>
          <w:rFonts w:ascii="Arial" w:eastAsia="Arial" w:hAnsi="Arial" w:cs="Arial"/>
          <w:color w:val="000000"/>
        </w:rPr>
        <w:t xml:space="preserve"> </w:t>
      </w:r>
      <w:r w:rsidR="00CE5D60">
        <w:rPr>
          <w:rFonts w:ascii="Arial" w:eastAsia="Arial" w:hAnsi="Arial" w:cs="Arial"/>
          <w:color w:val="000000"/>
        </w:rPr>
        <w:t>(</w:t>
      </w:r>
      <w:r>
        <w:rPr>
          <w:rFonts w:ascii="Arial" w:eastAsia="Arial" w:hAnsi="Arial" w:cs="Arial"/>
          <w:color w:val="000000"/>
        </w:rPr>
        <w:t xml:space="preserve">College of Policing 2021), and heard the joyful reaction of the team in the background.  </w:t>
      </w:r>
    </w:p>
    <w:p w14:paraId="0DE28BCC" w14:textId="77777777" w:rsidR="009A663D" w:rsidRDefault="009A663D" w:rsidP="009A663D">
      <w:pPr>
        <w:rPr>
          <w:rFonts w:ascii="Arial" w:eastAsia="Arial" w:hAnsi="Arial" w:cs="Arial"/>
          <w:color w:val="000000"/>
          <w:u w:val="single"/>
        </w:rPr>
      </w:pPr>
    </w:p>
    <w:p w14:paraId="4719C99B" w14:textId="77777777" w:rsidR="009A663D" w:rsidRDefault="009A663D" w:rsidP="009A663D">
      <w:pPr>
        <w:rPr>
          <w:rFonts w:ascii="Arial" w:eastAsia="Arial" w:hAnsi="Arial" w:cs="Arial"/>
          <w:color w:val="000000"/>
          <w:u w:val="single"/>
        </w:rPr>
      </w:pPr>
      <w:r>
        <w:rPr>
          <w:rFonts w:ascii="Arial" w:eastAsia="Arial" w:hAnsi="Arial" w:cs="Arial"/>
          <w:color w:val="000000"/>
          <w:u w:val="single"/>
        </w:rPr>
        <w:t>So what?</w:t>
      </w:r>
    </w:p>
    <w:p w14:paraId="43581780" w14:textId="77777777" w:rsidR="009A663D" w:rsidRDefault="009A663D" w:rsidP="009A663D">
      <w:r>
        <w:rPr>
          <w:rFonts w:ascii="Arial" w:hAnsi="Arial" w:cs="Arial"/>
        </w:rPr>
        <w:t>Having reflected upon this experience, I have considered what went well. The evidence had been secured perfectly</w:t>
      </w:r>
      <w:r>
        <w:rPr>
          <w:rFonts w:ascii="Arial" w:eastAsia="Arial" w:hAnsi="Arial" w:cs="Arial"/>
          <w:color w:val="000000"/>
        </w:rPr>
        <w:t xml:space="preserve">. It was a little stressful however, no issues arose. There is nothing I would do differently. </w:t>
      </w:r>
    </w:p>
    <w:p w14:paraId="258A5B53" w14:textId="77777777" w:rsidR="009A663D" w:rsidRDefault="009A663D" w:rsidP="009A663D">
      <w:pPr>
        <w:rPr>
          <w:rFonts w:ascii="Arial" w:eastAsia="Arial" w:hAnsi="Arial" w:cs="Arial"/>
          <w:color w:val="000000"/>
        </w:rPr>
      </w:pPr>
      <w:r>
        <w:rPr>
          <w:rFonts w:ascii="Arial" w:eastAsia="Arial" w:hAnsi="Arial" w:cs="Arial"/>
          <w:color w:val="000000"/>
        </w:rPr>
        <w:t xml:space="preserve">I learnt the benefits of having time and training in effective planning and preparation to overcoming challenges. </w:t>
      </w:r>
    </w:p>
    <w:p w14:paraId="47DE401D" w14:textId="77777777" w:rsidR="009A663D" w:rsidRDefault="009A663D" w:rsidP="009A663D">
      <w:pPr>
        <w:rPr>
          <w:rFonts w:ascii="Arial" w:eastAsia="Arial" w:hAnsi="Arial" w:cs="Arial"/>
          <w:color w:val="000000"/>
        </w:rPr>
      </w:pPr>
      <w:r>
        <w:rPr>
          <w:rFonts w:ascii="Arial" w:eastAsia="Arial" w:hAnsi="Arial" w:cs="Arial"/>
          <w:color w:val="000000"/>
        </w:rPr>
        <w:t xml:space="preserve">I believe it went well because I knew the aim and objective of the task and was committed and driven to do well having been trusted with such a significant task. Locke (1996), supports how enhanced performance and commitment is achieved when given a specific, challenging but achievable task. Locke (1996) adds that motivation is improved when the task is critical. Locke (2016, cites Locke and associates, 1991) and </w:t>
      </w:r>
      <w:proofErr w:type="spellStart"/>
      <w:r>
        <w:rPr>
          <w:rFonts w:ascii="Arial" w:eastAsia="Arial" w:hAnsi="Arial" w:cs="Arial"/>
          <w:color w:val="000000"/>
        </w:rPr>
        <w:t>Paglis</w:t>
      </w:r>
      <w:proofErr w:type="spellEnd"/>
      <w:r>
        <w:rPr>
          <w:rFonts w:ascii="Arial" w:eastAsia="Arial" w:hAnsi="Arial" w:cs="Arial"/>
          <w:color w:val="000000"/>
        </w:rPr>
        <w:t xml:space="preserve"> &amp; Green (2002), state how leadership confidence in their employee’s ability improves commitment and motivation to a given task by validation of their self-belief and increasing their self-esteem. </w:t>
      </w:r>
    </w:p>
    <w:p w14:paraId="344E84E2" w14:textId="77777777" w:rsidR="009A663D" w:rsidRDefault="009A663D" w:rsidP="009A663D">
      <w:pPr>
        <w:rPr>
          <w:rFonts w:ascii="Arial" w:eastAsia="Arial" w:hAnsi="Arial" w:cs="Arial"/>
          <w:color w:val="000000"/>
        </w:rPr>
      </w:pPr>
      <w:r>
        <w:rPr>
          <w:rFonts w:ascii="Arial" w:eastAsia="Arial" w:hAnsi="Arial" w:cs="Arial"/>
          <w:color w:val="000000"/>
        </w:rPr>
        <w:t xml:space="preserve">Advanced PIP2 training and experience had provided me with the skills to evaluate the initial witness statement, analyse, and identify the information to be secured in the subsequent while implementing strategies to mitigate risk of integrity. </w:t>
      </w:r>
    </w:p>
    <w:p w14:paraId="434C9E9A" w14:textId="77777777" w:rsidR="009A663D" w:rsidRDefault="009A663D" w:rsidP="009A663D">
      <w:pPr>
        <w:rPr>
          <w:rFonts w:ascii="Arial" w:eastAsia="Arial" w:hAnsi="Arial" w:cs="Arial"/>
          <w:color w:val="000000"/>
        </w:rPr>
      </w:pPr>
      <w:r>
        <w:rPr>
          <w:rFonts w:ascii="Arial" w:eastAsia="Arial" w:hAnsi="Arial" w:cs="Arial"/>
          <w:color w:val="000000"/>
        </w:rPr>
        <w:t xml:space="preserve">I analysed the information and considered what I need to do to meet the objective. Fergusson, et al., (2019, cites </w:t>
      </w:r>
      <w:proofErr w:type="spellStart"/>
      <w:r>
        <w:rPr>
          <w:rFonts w:ascii="Arial" w:eastAsia="Arial" w:hAnsi="Arial" w:cs="Arial"/>
          <w:color w:val="000000"/>
        </w:rPr>
        <w:t>Fahsing</w:t>
      </w:r>
      <w:proofErr w:type="spellEnd"/>
      <w:r>
        <w:rPr>
          <w:rFonts w:ascii="Arial" w:eastAsia="Arial" w:hAnsi="Arial" w:cs="Arial"/>
          <w:color w:val="000000"/>
        </w:rPr>
        <w:t xml:space="preserve"> &amp; Ask, 2016), state that once a line of enquiry has been identified, an investigator will apply an objective required to answer the question of what and how. They add that evidence must also be able to withstand scrutiny and challenge at a criminal trial by a lawyer in his convincing of beyond reasonable doubt through corroboration. Using skills to complete the first statement eliciting sufficient information to challenge the credibility of the witness. (</w:t>
      </w:r>
      <w:proofErr w:type="spellStart"/>
      <w:r>
        <w:rPr>
          <w:rFonts w:ascii="Arial" w:eastAsia="Arial" w:hAnsi="Arial" w:cs="Arial"/>
          <w:color w:val="000000"/>
        </w:rPr>
        <w:t>Schollum</w:t>
      </w:r>
      <w:proofErr w:type="spellEnd"/>
      <w:r>
        <w:rPr>
          <w:rFonts w:ascii="Arial" w:eastAsia="Arial" w:hAnsi="Arial" w:cs="Arial"/>
          <w:color w:val="000000"/>
        </w:rPr>
        <w:t>, 2005, p. 73, cites Walters, 2002). In this case, the seizure of the property.</w:t>
      </w:r>
    </w:p>
    <w:p w14:paraId="6D6D653D" w14:textId="77777777" w:rsidR="009A663D" w:rsidRDefault="009A663D" w:rsidP="009A663D">
      <w:pPr>
        <w:rPr>
          <w:rFonts w:ascii="Arial" w:eastAsia="Arial" w:hAnsi="Arial" w:cs="Arial"/>
          <w:color w:val="000000"/>
        </w:rPr>
      </w:pPr>
      <w:r>
        <w:rPr>
          <w:rFonts w:ascii="Arial" w:eastAsia="Arial" w:hAnsi="Arial" w:cs="Arial"/>
          <w:color w:val="000000"/>
        </w:rPr>
        <w:t xml:space="preserve">Griffiths and Milne (2006), refer to the advantages advanced interviewer training has in the planning and preparation phase providing enhanced skills in establishing interview objectives. Powell, et al., (2005) state that it is the responsibility of the interviewer to use their investigative interviewing skills, memory enhancing techniques and strategies to elicit as much reliable information as available. </w:t>
      </w:r>
    </w:p>
    <w:p w14:paraId="18D1D990" w14:textId="77777777" w:rsidR="009A663D" w:rsidRDefault="009A663D" w:rsidP="009A663D">
      <w:pPr>
        <w:rPr>
          <w:rFonts w:ascii="Arial" w:eastAsia="Arial" w:hAnsi="Arial" w:cs="Arial"/>
          <w:color w:val="000000"/>
        </w:rPr>
      </w:pPr>
      <w:r>
        <w:rPr>
          <w:rFonts w:ascii="Arial" w:eastAsia="Arial" w:hAnsi="Arial" w:cs="Arial"/>
          <w:color w:val="000000"/>
        </w:rPr>
        <w:t xml:space="preserve">Time to effectively plan and prepare gave me confidence in what I was doing and how I was going to do it. </w:t>
      </w:r>
      <w:proofErr w:type="spellStart"/>
      <w:r>
        <w:rPr>
          <w:rFonts w:ascii="Arial" w:eastAsia="Arial" w:hAnsi="Arial" w:cs="Arial"/>
          <w:color w:val="000000"/>
        </w:rPr>
        <w:t>Schollum</w:t>
      </w:r>
      <w:proofErr w:type="spellEnd"/>
      <w:r>
        <w:rPr>
          <w:rFonts w:ascii="Arial" w:eastAsia="Arial" w:hAnsi="Arial" w:cs="Arial"/>
          <w:color w:val="000000"/>
        </w:rPr>
        <w:t xml:space="preserve"> (2005, p. 44, cites Ord et al, 2004, p. 57) confirms my opinion in quoting:  </w:t>
      </w:r>
    </w:p>
    <w:p w14:paraId="45941B4A" w14:textId="77777777" w:rsidR="009A663D" w:rsidRDefault="009A663D" w:rsidP="009A663D">
      <w:r>
        <w:rPr>
          <w:rFonts w:ascii="Arial" w:eastAsia="Arial" w:hAnsi="Arial" w:cs="Arial"/>
          <w:i/>
          <w:iCs/>
          <w:color w:val="000000"/>
        </w:rPr>
        <w:t>“</w:t>
      </w:r>
      <w:r>
        <w:rPr>
          <w:rFonts w:ascii="Arial" w:hAnsi="Arial" w:cs="Arial"/>
          <w:i/>
          <w:iCs/>
        </w:rPr>
        <w:t>The time available may vary, but the time that is invested in preparation and planning will vastly improve both the confidence and ability of the interviewer, and in the long term, save time.”</w:t>
      </w:r>
    </w:p>
    <w:p w14:paraId="5DE7C5A4" w14:textId="77777777" w:rsidR="009A663D" w:rsidRDefault="009A663D" w:rsidP="009A663D">
      <w:r>
        <w:rPr>
          <w:rFonts w:ascii="Arial" w:eastAsia="Arial" w:hAnsi="Arial" w:cs="Arial"/>
          <w:color w:val="000000"/>
        </w:rPr>
        <w:t>I believe that remaining calm and focussed under pressure assisted with my performance. Magnano et al., (2016), state that there is a direct correlation between resilience and motivation towards personal or group success.</w:t>
      </w:r>
      <w:r>
        <w:rPr>
          <w:rFonts w:ascii="Arial" w:eastAsia="Arial" w:hAnsi="Arial" w:cs="Arial"/>
          <w:color w:val="000000"/>
          <w:sz w:val="24"/>
          <w:szCs w:val="24"/>
        </w:rPr>
        <w:t xml:space="preserve"> </w:t>
      </w:r>
    </w:p>
    <w:p w14:paraId="1F9603AA" w14:textId="77777777" w:rsidR="009A663D" w:rsidRDefault="009A663D" w:rsidP="009A663D">
      <w:pPr>
        <w:rPr>
          <w:rFonts w:ascii="Arial" w:eastAsia="Arial" w:hAnsi="Arial" w:cs="Arial"/>
          <w:color w:val="000000"/>
          <w:sz w:val="24"/>
          <w:szCs w:val="24"/>
        </w:rPr>
      </w:pPr>
    </w:p>
    <w:p w14:paraId="5917577D" w14:textId="77777777" w:rsidR="009A663D" w:rsidRDefault="009A663D" w:rsidP="009A663D">
      <w:pPr>
        <w:rPr>
          <w:rFonts w:ascii="Arial" w:eastAsia="Arial" w:hAnsi="Arial" w:cs="Arial"/>
          <w:u w:val="single"/>
        </w:rPr>
      </w:pPr>
      <w:r>
        <w:rPr>
          <w:rFonts w:ascii="Arial" w:eastAsia="Arial" w:hAnsi="Arial" w:cs="Arial"/>
          <w:u w:val="single"/>
        </w:rPr>
        <w:t>Now What?</w:t>
      </w:r>
    </w:p>
    <w:p w14:paraId="6F84423B" w14:textId="77777777" w:rsidR="009A663D" w:rsidRDefault="009A663D" w:rsidP="009A663D">
      <w:pPr>
        <w:rPr>
          <w:rFonts w:ascii="Arial" w:eastAsia="Arial" w:hAnsi="Arial" w:cs="Arial"/>
          <w:color w:val="000000"/>
        </w:rPr>
      </w:pPr>
      <w:r>
        <w:rPr>
          <w:rFonts w:ascii="Arial" w:eastAsia="Arial" w:hAnsi="Arial" w:cs="Arial"/>
          <w:color w:val="000000"/>
        </w:rPr>
        <w:t xml:space="preserve">Having had experience of how busy and demanding an MIR can be, I have considered what I could have done without the privilege of time and prior detailed knowledge to effectively plan and prepare, which may have not provided the desired outcome. </w:t>
      </w:r>
    </w:p>
    <w:p w14:paraId="3FEDB9E2" w14:textId="77777777" w:rsidR="009A663D" w:rsidRDefault="009A663D" w:rsidP="009A663D">
      <w:pPr>
        <w:rPr>
          <w:rFonts w:ascii="Arial" w:eastAsia="Arial" w:hAnsi="Arial" w:cs="Arial"/>
          <w:color w:val="000000"/>
        </w:rPr>
      </w:pPr>
      <w:r>
        <w:rPr>
          <w:rFonts w:ascii="Arial" w:eastAsia="Arial" w:hAnsi="Arial" w:cs="Arial"/>
          <w:color w:val="000000"/>
        </w:rPr>
        <w:t xml:space="preserve">I have identified that I could ask the action allocator to clarify the key points to cover or to review and evaluated the initial statement to do so myself. If a scene visit is not possible to improve clarity between the interviewer and witness, a Google Earth map could be viewed or a sketch-plan could be completed. Should any issues arise, I could phone the MIR for advice. </w:t>
      </w:r>
    </w:p>
    <w:p w14:paraId="1E00F509" w14:textId="77777777" w:rsidR="009A663D" w:rsidRDefault="009A663D" w:rsidP="009A663D">
      <w:pPr>
        <w:rPr>
          <w:rFonts w:ascii="Arial" w:eastAsia="Arial" w:hAnsi="Arial" w:cs="Arial"/>
          <w:color w:val="000000"/>
          <w:sz w:val="24"/>
          <w:szCs w:val="24"/>
        </w:rPr>
      </w:pPr>
    </w:p>
    <w:p w14:paraId="25C51D42" w14:textId="0C5334BC" w:rsidR="009A663D" w:rsidRDefault="009A663D" w:rsidP="009A663D">
      <w:pPr>
        <w:jc w:val="right"/>
        <w:rPr>
          <w:rFonts w:ascii="Arial" w:eastAsia="Arial" w:hAnsi="Arial" w:cs="Arial"/>
          <w:color w:val="FF0000"/>
          <w:sz w:val="24"/>
          <w:szCs w:val="24"/>
        </w:rPr>
      </w:pPr>
      <w:r>
        <w:rPr>
          <w:rFonts w:ascii="Arial" w:eastAsia="Arial" w:hAnsi="Arial" w:cs="Arial"/>
          <w:color w:val="FF0000"/>
          <w:sz w:val="24"/>
          <w:szCs w:val="24"/>
        </w:rPr>
        <w:t>8</w:t>
      </w:r>
      <w:r w:rsidR="00CE5D60">
        <w:rPr>
          <w:rFonts w:ascii="Arial" w:eastAsia="Arial" w:hAnsi="Arial" w:cs="Arial"/>
          <w:color w:val="FF0000"/>
          <w:sz w:val="24"/>
          <w:szCs w:val="24"/>
        </w:rPr>
        <w:t>40</w:t>
      </w:r>
    </w:p>
    <w:p w14:paraId="56132F03" w14:textId="4E7690A8" w:rsidR="7336895D" w:rsidRDefault="7336895D" w:rsidP="7336895D">
      <w:pPr>
        <w:ind w:left="3600" w:right="107" w:firstLine="720"/>
        <w:jc w:val="both"/>
        <w:rPr>
          <w:rFonts w:ascii="Arial" w:eastAsia="Arial" w:hAnsi="Arial" w:cs="Arial"/>
          <w:b/>
          <w:bCs/>
          <w:color w:val="000000" w:themeColor="text1"/>
          <w:sz w:val="24"/>
          <w:szCs w:val="24"/>
        </w:rPr>
      </w:pPr>
    </w:p>
    <w:p w14:paraId="023D35E4" w14:textId="536CE2FE" w:rsidR="7336895D" w:rsidRDefault="7336895D" w:rsidP="7336895D">
      <w:pPr>
        <w:ind w:left="3600" w:right="107" w:firstLine="720"/>
        <w:jc w:val="both"/>
        <w:rPr>
          <w:rFonts w:ascii="Arial" w:eastAsia="Arial" w:hAnsi="Arial" w:cs="Arial"/>
          <w:b/>
          <w:bCs/>
          <w:color w:val="000000" w:themeColor="text1"/>
          <w:sz w:val="24"/>
          <w:szCs w:val="24"/>
        </w:rPr>
      </w:pPr>
    </w:p>
    <w:p w14:paraId="330BBFFB" w14:textId="77777777" w:rsidR="009A663D" w:rsidRPr="009A663D" w:rsidRDefault="009A663D" w:rsidP="009A663D">
      <w:pPr>
        <w:rPr>
          <w:b/>
          <w:bCs/>
          <w:i/>
          <w:iCs/>
        </w:rPr>
      </w:pPr>
      <w:r w:rsidRPr="009A663D">
        <w:rPr>
          <w:rFonts w:ascii="Arial" w:eastAsia="Arial" w:hAnsi="Arial" w:cs="Arial"/>
          <w:b/>
          <w:bCs/>
          <w:i/>
          <w:iCs/>
          <w:color w:val="000000"/>
        </w:rPr>
        <w:t xml:space="preserve">Illustrate how you have ensured all material, including exhibits generated were seized, examined and retained in accordance with legalisation and policy where </w:t>
      </w:r>
      <w:r w:rsidRPr="009A663D">
        <w:rPr>
          <w:rFonts w:ascii="Arial" w:eastAsia="Arial" w:hAnsi="Arial" w:cs="Arial"/>
          <w:b/>
          <w:bCs/>
          <w:i/>
          <w:iCs/>
        </w:rPr>
        <w:t xml:space="preserve">necessary (e.g., compliance with CPIA, PACE). </w:t>
      </w:r>
    </w:p>
    <w:p w14:paraId="64D0DD64" w14:textId="77777777" w:rsidR="009A663D" w:rsidRDefault="009A663D" w:rsidP="009A663D">
      <w:pPr>
        <w:rPr>
          <w:rFonts w:ascii="Arial" w:hAnsi="Arial" w:cs="Arial"/>
        </w:rPr>
      </w:pPr>
    </w:p>
    <w:p w14:paraId="3BCA4408" w14:textId="313E16B4" w:rsidR="009A663D" w:rsidRDefault="009A663D" w:rsidP="009A663D">
      <w:pPr>
        <w:rPr>
          <w:rFonts w:ascii="Arial" w:hAnsi="Arial" w:cs="Arial"/>
        </w:rPr>
      </w:pPr>
      <w:r>
        <w:rPr>
          <w:rFonts w:ascii="Arial" w:hAnsi="Arial" w:cs="Arial"/>
        </w:rPr>
        <w:t xml:space="preserve">Upon the completion of the initial phase of the investigation to the point of charge, I was allocated as the exhibits officer thereafter, applying policy by using </w:t>
      </w:r>
      <w:r w:rsidR="00CE5D60">
        <w:rPr>
          <w:rFonts w:ascii="Arial" w:hAnsi="Arial" w:cs="Arial"/>
        </w:rPr>
        <w:t>HOLMES</w:t>
      </w:r>
      <w:r>
        <w:rPr>
          <w:rFonts w:ascii="Arial" w:hAnsi="Arial" w:cs="Arial"/>
        </w:rPr>
        <w:t xml:space="preserve"> (College of Policing, 2021). Consequences of failure to comply with applicable legislation (</w:t>
      </w:r>
      <w:r w:rsidRPr="00CE5D60">
        <w:rPr>
          <w:rFonts w:ascii="Arial" w:hAnsi="Arial" w:cs="Arial"/>
          <w:i/>
          <w:iCs/>
        </w:rPr>
        <w:t>PACE</w:t>
      </w:r>
      <w:r>
        <w:rPr>
          <w:rFonts w:ascii="Arial" w:hAnsi="Arial" w:cs="Arial"/>
        </w:rPr>
        <w:t xml:space="preserve"> 1984, Code B &amp; </w:t>
      </w:r>
      <w:r w:rsidRPr="00CE3B0A">
        <w:rPr>
          <w:rFonts w:ascii="Arial" w:hAnsi="Arial" w:cs="Arial"/>
          <w:i/>
          <w:iCs/>
        </w:rPr>
        <w:t>CPIA</w:t>
      </w:r>
      <w:r>
        <w:rPr>
          <w:rFonts w:ascii="Arial" w:hAnsi="Arial" w:cs="Arial"/>
        </w:rPr>
        <w:t>, 1996) are loss or destruction of evidence, or loss of integrity resulting in inadmissible evidence (</w:t>
      </w:r>
      <w:r w:rsidRPr="00CE3B0A">
        <w:rPr>
          <w:rFonts w:ascii="Arial" w:hAnsi="Arial" w:cs="Arial"/>
          <w:i/>
          <w:iCs/>
        </w:rPr>
        <w:t>PACE</w:t>
      </w:r>
      <w:r>
        <w:rPr>
          <w:rFonts w:ascii="Arial" w:hAnsi="Arial" w:cs="Arial"/>
        </w:rPr>
        <w:t xml:space="preserve"> 1984, Sect 78). Furthermore, this may sufficiently undermine the investigation resulting in cases being lost. (Jarvis, 2022, cites McCartney). In accordance with best practice (College of Policing, 2021), a designated exhibits officer is recommended for effective exhibit management. (Jackson, Jackson, 2008). </w:t>
      </w:r>
    </w:p>
    <w:p w14:paraId="59A0C6AA" w14:textId="77777777" w:rsidR="009A663D" w:rsidRDefault="009A663D" w:rsidP="009A663D">
      <w:r>
        <w:rPr>
          <w:rFonts w:ascii="Arial" w:hAnsi="Arial" w:cs="Arial"/>
        </w:rPr>
        <w:t>HOLMES is a simple and effective method of recording and handling vast amounts of information generated in an investigation (Mason, 2020). It was introduced following errors in data mis-management during the Yorkshire Ripper murder investigation. (Byford, 1981), (‘</w:t>
      </w:r>
      <w:bookmarkStart w:id="9" w:name="_Hlk102578673"/>
      <w:r>
        <w:rPr>
          <w:rFonts w:ascii="Arial" w:hAnsi="Arial" w:cs="Arial"/>
          <w:i/>
          <w:iCs/>
        </w:rPr>
        <w:t>R v. Sutcliffe (Peter</w:t>
      </w:r>
      <w:r>
        <w:rPr>
          <w:rFonts w:ascii="Arial" w:hAnsi="Arial" w:cs="Arial"/>
        </w:rPr>
        <w:t>)’ 1981</w:t>
      </w:r>
      <w:bookmarkEnd w:id="9"/>
      <w:r>
        <w:rPr>
          <w:rFonts w:ascii="Arial" w:hAnsi="Arial" w:cs="Arial"/>
        </w:rPr>
        <w:t>), (Kelly, 2010).</w:t>
      </w:r>
    </w:p>
    <w:p w14:paraId="07F246D8" w14:textId="77777777" w:rsidR="009A663D" w:rsidRDefault="009A663D" w:rsidP="009A663D">
      <w:pPr>
        <w:rPr>
          <w:rFonts w:ascii="Arial" w:hAnsi="Arial" w:cs="Arial"/>
          <w:u w:val="single"/>
        </w:rPr>
      </w:pPr>
    </w:p>
    <w:p w14:paraId="74949333" w14:textId="77777777" w:rsidR="009A663D" w:rsidRDefault="009A663D" w:rsidP="009A663D">
      <w:pPr>
        <w:rPr>
          <w:rFonts w:ascii="Arial" w:hAnsi="Arial" w:cs="Arial"/>
          <w:u w:val="single"/>
        </w:rPr>
      </w:pPr>
      <w:r>
        <w:rPr>
          <w:rFonts w:ascii="Arial" w:hAnsi="Arial" w:cs="Arial"/>
          <w:u w:val="single"/>
        </w:rPr>
        <w:t>Seized</w:t>
      </w:r>
    </w:p>
    <w:p w14:paraId="02DFF75A" w14:textId="3FEC9170" w:rsidR="009A663D" w:rsidRDefault="009A663D" w:rsidP="009A663D">
      <w:pPr>
        <w:rPr>
          <w:rFonts w:ascii="Arial" w:hAnsi="Arial" w:cs="Arial"/>
        </w:rPr>
      </w:pPr>
      <w:r>
        <w:rPr>
          <w:rFonts w:ascii="Arial" w:hAnsi="Arial" w:cs="Arial"/>
        </w:rPr>
        <w:t xml:space="preserve">Upon receiving an exhibit, I scrutinised the exhibit label for accuracy and ensured packaging met approved methods (Butler, 2016. </w:t>
      </w:r>
      <w:r w:rsidR="00CE3B0A">
        <w:rPr>
          <w:rFonts w:ascii="Arial" w:hAnsi="Arial" w:cs="Arial"/>
        </w:rPr>
        <w:t>p</w:t>
      </w:r>
      <w:r>
        <w:rPr>
          <w:rFonts w:ascii="Arial" w:hAnsi="Arial" w:cs="Arial"/>
        </w:rPr>
        <w:t>.52). Sutton et al., (2017), stress the importance of appropriate packaging and labelling to prevent contamination and integrity, and maintain continuity. Lack of adequate care in the packaging and handling of forensic exhibits may compromise any forensic result. (</w:t>
      </w:r>
      <w:proofErr w:type="spellStart"/>
      <w:r>
        <w:rPr>
          <w:rFonts w:ascii="Arial" w:hAnsi="Arial" w:cs="Arial"/>
        </w:rPr>
        <w:t>Jobela</w:t>
      </w:r>
      <w:proofErr w:type="spellEnd"/>
      <w:r>
        <w:rPr>
          <w:rFonts w:ascii="Arial" w:hAnsi="Arial" w:cs="Arial"/>
        </w:rPr>
        <w:t xml:space="preserve">, 2019. </w:t>
      </w:r>
      <w:r w:rsidR="00CE3B0A">
        <w:rPr>
          <w:rFonts w:ascii="Arial" w:hAnsi="Arial" w:cs="Arial"/>
        </w:rPr>
        <w:t>p</w:t>
      </w:r>
      <w:r>
        <w:rPr>
          <w:rFonts w:ascii="Arial" w:hAnsi="Arial" w:cs="Arial"/>
        </w:rPr>
        <w:t xml:space="preserve">. 42). I ensured legislation relating to search and seizure had been complied with by requesting, recording and retaining an accompanying witness statement, search or visually record (photograph, body worn video) which I cross referred to corroborate integrity.  I recorded any potentially undermining issues in compliance with CPIA. </w:t>
      </w:r>
    </w:p>
    <w:p w14:paraId="6520F9DB" w14:textId="77777777" w:rsidR="009A663D" w:rsidRDefault="009A663D" w:rsidP="009A663D">
      <w:pPr>
        <w:rPr>
          <w:rFonts w:ascii="Arial" w:hAnsi="Arial" w:cs="Arial"/>
          <w:u w:val="single"/>
        </w:rPr>
      </w:pPr>
    </w:p>
    <w:p w14:paraId="3D1E2F50" w14:textId="77777777" w:rsidR="009A663D" w:rsidRDefault="009A663D" w:rsidP="009A663D">
      <w:pPr>
        <w:rPr>
          <w:rFonts w:ascii="Arial" w:hAnsi="Arial" w:cs="Arial"/>
          <w:u w:val="single"/>
        </w:rPr>
      </w:pPr>
      <w:r>
        <w:rPr>
          <w:rFonts w:ascii="Arial" w:hAnsi="Arial" w:cs="Arial"/>
          <w:u w:val="single"/>
        </w:rPr>
        <w:t>Examined</w:t>
      </w:r>
    </w:p>
    <w:p w14:paraId="4A09D7FE" w14:textId="77777777" w:rsidR="009A663D" w:rsidRDefault="009A663D" w:rsidP="009A663D">
      <w:pPr>
        <w:rPr>
          <w:rFonts w:ascii="Arial" w:hAnsi="Arial" w:cs="Arial"/>
        </w:rPr>
      </w:pPr>
      <w:r>
        <w:rPr>
          <w:rFonts w:ascii="Arial" w:hAnsi="Arial" w:cs="Arial"/>
        </w:rPr>
        <w:t xml:space="preserve">I produced exhibit spreadsheets for the SIO (Senior investigating officer)/Crime Scene Manager from HOLMES, for analysis to identify further lines of enquiry and consider forensic submission. Tilley &amp; Townsley (2009, p. 365), state that there are benefits from members of the investigative team working together to efficiently progress forensic evidence. When conducting forensic examination submissions, I documented continuity on the exhibit label and HOLMES, and complied with force policy in relation to approved forensic transport methods to the ISO accredited Scientific Support Unit. Such accredited practices provide further quality assurance and confidence in exhibit management. (Ross, </w:t>
      </w:r>
      <w:proofErr w:type="spellStart"/>
      <w:r>
        <w:rPr>
          <w:rFonts w:ascii="Arial" w:hAnsi="Arial" w:cs="Arial"/>
        </w:rPr>
        <w:t>Neuteboom</w:t>
      </w:r>
      <w:proofErr w:type="spellEnd"/>
      <w:r>
        <w:rPr>
          <w:rFonts w:ascii="Arial" w:hAnsi="Arial" w:cs="Arial"/>
        </w:rPr>
        <w:t>, 2022).</w:t>
      </w:r>
    </w:p>
    <w:p w14:paraId="76B0137F" w14:textId="77777777" w:rsidR="009A663D" w:rsidRDefault="009A663D" w:rsidP="009A663D">
      <w:pPr>
        <w:rPr>
          <w:rFonts w:ascii="Arial" w:hAnsi="Arial" w:cs="Arial"/>
        </w:rPr>
      </w:pPr>
    </w:p>
    <w:p w14:paraId="5BE8E260" w14:textId="77777777" w:rsidR="009A663D" w:rsidRDefault="009A663D" w:rsidP="009A663D">
      <w:pPr>
        <w:rPr>
          <w:rFonts w:ascii="Arial" w:hAnsi="Arial" w:cs="Arial"/>
          <w:u w:val="single"/>
        </w:rPr>
      </w:pPr>
      <w:r>
        <w:rPr>
          <w:rFonts w:ascii="Arial" w:hAnsi="Arial" w:cs="Arial"/>
          <w:u w:val="single"/>
        </w:rPr>
        <w:t>Retained</w:t>
      </w:r>
    </w:p>
    <w:p w14:paraId="104164CE" w14:textId="77777777" w:rsidR="009A663D" w:rsidRDefault="009A663D" w:rsidP="009A663D">
      <w:pPr>
        <w:rPr>
          <w:rFonts w:ascii="Arial" w:hAnsi="Arial" w:cs="Arial"/>
        </w:rPr>
      </w:pPr>
      <w:r>
        <w:rPr>
          <w:rFonts w:ascii="Arial" w:hAnsi="Arial" w:cs="Arial"/>
        </w:rPr>
        <w:t>I allocated and recorded a container reference, shelf number, fridge/freezer location within a secure store to which only I had access to ensure effective management. Confident that everything was stored securely to prevent degradation or contamination, the origins, movement and current location were recorded according to best practice to demonstrate integrity. This was also an efficient system for storage and retrieval since inspection may be requested by the defence in the event of appeal or exhibit production at trial. The minimum retention period relating to this serious crime was 30 years. Retention was necessary in this case in the event of review or appeal. “Without access to material there is no point in storing it.” (McCartney &amp; Shorter, 2019). Exhibits must also be preserved during this time for any further forensic analysis (McCartney &amp; Shorter, 2020).</w:t>
      </w:r>
    </w:p>
    <w:p w14:paraId="37C4E3D7" w14:textId="77777777" w:rsidR="009A663D" w:rsidRDefault="009A663D" w:rsidP="009A663D">
      <w:pPr>
        <w:rPr>
          <w:rFonts w:ascii="Arial" w:hAnsi="Arial" w:cs="Arial"/>
        </w:rPr>
      </w:pPr>
      <w:r>
        <w:rPr>
          <w:rFonts w:ascii="Arial" w:hAnsi="Arial" w:cs="Arial"/>
        </w:rPr>
        <w:t xml:space="preserve">The process relating to documents was that I would receive, scan and save to a central folder to allow the Major Crime Team to register and index. I then recorded the index number on the document and filed securely. </w:t>
      </w:r>
    </w:p>
    <w:p w14:paraId="17658101" w14:textId="64034576" w:rsidR="009A663D" w:rsidRDefault="009A663D" w:rsidP="009A663D">
      <w:pPr>
        <w:rPr>
          <w:rFonts w:ascii="Arial" w:hAnsi="Arial" w:cs="Arial"/>
        </w:rPr>
      </w:pPr>
      <w:r>
        <w:rPr>
          <w:rFonts w:ascii="Arial" w:hAnsi="Arial" w:cs="Arial"/>
        </w:rPr>
        <w:t xml:space="preserve">Contributing factors to this going well were that I was provided with appropriate facilities which were a dedicated storage facilities and received continued support from the Major Crime Team. I had however, conducted this role previously therefore had an established system and was restricted within the parameters of legislation and practice. There were no significant issues during the process or at Court. What didn’t go so well were hostility from Officers when I rejected inadequate exhibits. There was difficulty obtaining packaging materials for obscure shape/size exhibits. Perhaps, to address this in the future, I should order equipment early to prevent this. I had taken appropriate measures to reduce the risk of common mistakes in major crime which are administration and breaches of </w:t>
      </w:r>
      <w:r w:rsidRPr="00CE3B0A">
        <w:rPr>
          <w:rFonts w:ascii="Arial" w:hAnsi="Arial" w:cs="Arial"/>
          <w:i/>
          <w:iCs/>
        </w:rPr>
        <w:t>PACE</w:t>
      </w:r>
      <w:r>
        <w:rPr>
          <w:rFonts w:ascii="Arial" w:hAnsi="Arial" w:cs="Arial"/>
        </w:rPr>
        <w:t xml:space="preserve"> and continuity issues. (Nicol et al., 2003. </w:t>
      </w:r>
      <w:r w:rsidR="00CE3B0A">
        <w:rPr>
          <w:rFonts w:ascii="Arial" w:hAnsi="Arial" w:cs="Arial"/>
        </w:rPr>
        <w:t>p</w:t>
      </w:r>
      <w:r>
        <w:rPr>
          <w:rFonts w:ascii="Arial" w:hAnsi="Arial" w:cs="Arial"/>
        </w:rPr>
        <w:t xml:space="preserve">.15). Also, to secure admissible evidence, “(1) identify the evidence as that found at the crime scene; (2) describe precisely where it was found; (3) establish its custody from discovery to the present; and (4) voluntarily explain any shifts that have occurred in the evidence”. (Orthmann and Hess, 2013, cited by </w:t>
      </w:r>
      <w:proofErr w:type="spellStart"/>
      <w:r>
        <w:rPr>
          <w:rFonts w:ascii="Arial" w:hAnsi="Arial" w:cs="Arial"/>
        </w:rPr>
        <w:t>Jobela</w:t>
      </w:r>
      <w:proofErr w:type="spellEnd"/>
      <w:r>
        <w:rPr>
          <w:rFonts w:ascii="Arial" w:hAnsi="Arial" w:cs="Arial"/>
        </w:rPr>
        <w:t>, 2019. p. 28).</w:t>
      </w:r>
    </w:p>
    <w:p w14:paraId="2C12CB4C" w14:textId="77777777" w:rsidR="009A663D" w:rsidRDefault="009A663D" w:rsidP="009A663D">
      <w:pPr>
        <w:jc w:val="right"/>
        <w:rPr>
          <w:color w:val="FF0000"/>
        </w:rPr>
      </w:pPr>
    </w:p>
    <w:p w14:paraId="680DE478" w14:textId="2F361732" w:rsidR="009A663D" w:rsidRDefault="009A663D" w:rsidP="009A663D">
      <w:pPr>
        <w:jc w:val="right"/>
        <w:rPr>
          <w:color w:val="FF0000"/>
        </w:rPr>
      </w:pPr>
      <w:r>
        <w:rPr>
          <w:color w:val="FF0000"/>
        </w:rPr>
        <w:t>6</w:t>
      </w:r>
      <w:r w:rsidR="00CE3B0A">
        <w:rPr>
          <w:color w:val="FF0000"/>
        </w:rPr>
        <w:t>34</w:t>
      </w:r>
    </w:p>
    <w:p w14:paraId="1EC10BA0" w14:textId="77777777" w:rsidR="00BD3F76" w:rsidRDefault="00BD3F76" w:rsidP="009A663D">
      <w:pPr>
        <w:rPr>
          <w:rFonts w:ascii="Arial" w:eastAsia="Arial" w:hAnsi="Arial" w:cs="Arial"/>
          <w:b/>
          <w:bCs/>
          <w:i/>
          <w:iCs/>
          <w:color w:val="000000"/>
        </w:rPr>
      </w:pPr>
    </w:p>
    <w:p w14:paraId="72DA25E7" w14:textId="47FF0DCB" w:rsidR="009A663D" w:rsidRPr="009A663D" w:rsidRDefault="009A663D" w:rsidP="009A663D">
      <w:pPr>
        <w:rPr>
          <w:b/>
          <w:bCs/>
          <w:i/>
          <w:iCs/>
        </w:rPr>
      </w:pPr>
      <w:r w:rsidRPr="009A663D">
        <w:rPr>
          <w:rFonts w:ascii="Arial" w:eastAsia="Arial" w:hAnsi="Arial" w:cs="Arial"/>
          <w:b/>
          <w:bCs/>
          <w:i/>
          <w:iCs/>
          <w:color w:val="000000"/>
        </w:rPr>
        <w:t xml:space="preserve">Evaluate how you prepared reports detailing the investigation and the management of case files. </w:t>
      </w:r>
    </w:p>
    <w:p w14:paraId="35ECF559" w14:textId="77777777" w:rsidR="009A663D" w:rsidRPr="009A663D" w:rsidRDefault="009A663D" w:rsidP="009A663D">
      <w:pPr>
        <w:rPr>
          <w:b/>
          <w:bCs/>
          <w:i/>
          <w:iCs/>
        </w:rPr>
      </w:pPr>
      <w:r w:rsidRPr="009A663D">
        <w:rPr>
          <w:rFonts w:ascii="Arial" w:eastAsia="Arial" w:hAnsi="Arial" w:cs="Arial"/>
          <w:b/>
          <w:bCs/>
          <w:i/>
          <w:iCs/>
          <w:color w:val="000000"/>
        </w:rPr>
        <w:t xml:space="preserve">Examine how you have conducted disclosure with best practice procedures while creating an accurate audit trail. </w:t>
      </w:r>
    </w:p>
    <w:p w14:paraId="5E8D167F" w14:textId="77777777" w:rsidR="009A663D" w:rsidRDefault="009A663D" w:rsidP="009A663D"/>
    <w:p w14:paraId="65A4E4B2" w14:textId="77777777" w:rsidR="009A663D" w:rsidRDefault="009A663D" w:rsidP="009A663D">
      <w:pPr>
        <w:rPr>
          <w:rFonts w:ascii="Arial" w:hAnsi="Arial" w:cs="Arial"/>
        </w:rPr>
      </w:pPr>
      <w:r>
        <w:rPr>
          <w:rFonts w:ascii="Arial" w:hAnsi="Arial" w:cs="Arial"/>
        </w:rPr>
        <w:t xml:space="preserve">I was also the designated disclosure Officer for this investigation using the HOLMES system. </w:t>
      </w:r>
    </w:p>
    <w:p w14:paraId="01E66359" w14:textId="77777777" w:rsidR="009A663D" w:rsidRDefault="009A663D" w:rsidP="009A663D">
      <w:pPr>
        <w:rPr>
          <w:rFonts w:ascii="Arial" w:hAnsi="Arial" w:cs="Arial"/>
          <w:u w:val="single"/>
        </w:rPr>
      </w:pPr>
    </w:p>
    <w:p w14:paraId="7E7E0945" w14:textId="77777777" w:rsidR="009A663D" w:rsidRDefault="009A663D" w:rsidP="009A663D">
      <w:pPr>
        <w:rPr>
          <w:rFonts w:ascii="Arial" w:hAnsi="Arial" w:cs="Arial"/>
          <w:u w:val="single"/>
        </w:rPr>
      </w:pPr>
      <w:r>
        <w:rPr>
          <w:rFonts w:ascii="Arial" w:hAnsi="Arial" w:cs="Arial"/>
          <w:u w:val="single"/>
        </w:rPr>
        <w:t>Management of case files</w:t>
      </w:r>
    </w:p>
    <w:p w14:paraId="4436A842" w14:textId="77777777" w:rsidR="009A663D" w:rsidRDefault="009A663D" w:rsidP="009A663D">
      <w:pPr>
        <w:rPr>
          <w:rFonts w:ascii="Arial" w:hAnsi="Arial" w:cs="Arial"/>
        </w:rPr>
      </w:pPr>
      <w:r>
        <w:rPr>
          <w:rFonts w:ascii="Arial" w:hAnsi="Arial" w:cs="Arial"/>
        </w:rPr>
        <w:t xml:space="preserve">The case file management was slightly different to routine due to the volume of material and internal case preparation units were bypassed. (College of Policing, Major Crime Investigation Manual, (MCIM) 2021). A phased disclosure strategy was applied between myself and a designated CPS lawyer in accordance with best practice. I categorised relevant material as sensitive, non-sensitive unused material and listed evidential material per phase. I identified any material which may undermine the prosecution case or assist the defence to comply with </w:t>
      </w:r>
      <w:r w:rsidRPr="00CE3B0A">
        <w:rPr>
          <w:rFonts w:ascii="Arial" w:hAnsi="Arial" w:cs="Arial"/>
          <w:i/>
          <w:iCs/>
        </w:rPr>
        <w:t>CPIA</w:t>
      </w:r>
      <w:r>
        <w:rPr>
          <w:rFonts w:ascii="Arial" w:hAnsi="Arial" w:cs="Arial"/>
        </w:rPr>
        <w:t xml:space="preserve"> (1996), demonstrating a fair and transparent investigation. This made it manageable and efficient since material continued to be generated and inputted into the system as the investigation progressed for many months. </w:t>
      </w:r>
    </w:p>
    <w:p w14:paraId="7FE1D70C" w14:textId="77777777" w:rsidR="009A663D" w:rsidRDefault="009A663D" w:rsidP="009A663D">
      <w:pPr>
        <w:rPr>
          <w:rFonts w:ascii="Arial" w:hAnsi="Arial" w:cs="Arial"/>
        </w:rPr>
      </w:pPr>
      <w:r>
        <w:rPr>
          <w:rFonts w:ascii="Arial" w:hAnsi="Arial" w:cs="Arial"/>
        </w:rPr>
        <w:t>Barrington and Peace (1985), refers to how such computerised systems improve administration by incorporating direct word-processing, indexing and monitoring information i.e., auditing. Whilst there are many benefits to the computerised system, what didn’t go so well was a delay in documents being registered by the Major Crime Team which suggests that there is a resourcing requirement on inputting side, prior to material being available for me to process. Sufficient resource is a requirement identified in the MCIM.  I was keen to make progress but consequently, schedules were still being prepared right up until the trial. Not that this caused any detriment but, whilst late disclosure can be an issue, failure to disclose is a significantly greater issue. (Dennis, 2018. p. 3).</w:t>
      </w:r>
    </w:p>
    <w:p w14:paraId="1603D6DB" w14:textId="77777777" w:rsidR="009A663D" w:rsidRDefault="009A663D" w:rsidP="009A663D">
      <w:pPr>
        <w:rPr>
          <w:rFonts w:ascii="Arial" w:hAnsi="Arial" w:cs="Arial"/>
          <w:u w:val="single"/>
        </w:rPr>
      </w:pPr>
    </w:p>
    <w:p w14:paraId="2C564DD3" w14:textId="77777777" w:rsidR="009A663D" w:rsidRDefault="009A663D" w:rsidP="009A663D">
      <w:pPr>
        <w:rPr>
          <w:rFonts w:ascii="Arial" w:hAnsi="Arial" w:cs="Arial"/>
          <w:u w:val="single"/>
        </w:rPr>
      </w:pPr>
      <w:r>
        <w:rPr>
          <w:rFonts w:ascii="Arial" w:hAnsi="Arial" w:cs="Arial"/>
          <w:u w:val="single"/>
        </w:rPr>
        <w:t>Prepared reports</w:t>
      </w:r>
    </w:p>
    <w:p w14:paraId="05F46F53" w14:textId="6CCF8555" w:rsidR="009A663D" w:rsidRDefault="009A663D" w:rsidP="009A663D">
      <w:pPr>
        <w:rPr>
          <w:rFonts w:ascii="Arial" w:hAnsi="Arial" w:cs="Arial"/>
        </w:rPr>
      </w:pPr>
      <w:r>
        <w:rPr>
          <w:rFonts w:ascii="Arial" w:hAnsi="Arial" w:cs="Arial"/>
        </w:rPr>
        <w:t>Having categorised and identified potentially undermining material, a further benefit of HOLMES is that it generates the MG6C, D &amp; E disclosure schedules and exhibit lists per phase. A detailed description of each item must be listed on the schedules to provide the CPS lawyer (prosecutor), with sufficient information to assess for defence disclosure, in line with the National Disclosure Standards. (CPS, 2018). (MCIM, 2021. p. 51) (CPS disclosure manual, 2021). I also completed the Disclosure Management Document (DMD)</w:t>
      </w:r>
      <w:r w:rsidR="00310444">
        <w:rPr>
          <w:rFonts w:ascii="Arial" w:hAnsi="Arial" w:cs="Arial"/>
        </w:rPr>
        <w:t>,</w:t>
      </w:r>
      <w:r>
        <w:rPr>
          <w:rFonts w:ascii="Arial" w:hAnsi="Arial" w:cs="Arial"/>
        </w:rPr>
        <w:t xml:space="preserve"> to improve early disclosure engagement which had been recently introduced in a national plan. (Brader, 2020. p. 5). </w:t>
      </w:r>
    </w:p>
    <w:p w14:paraId="0D5F6433" w14:textId="77777777" w:rsidR="009A663D" w:rsidRDefault="009A663D" w:rsidP="009A663D">
      <w:pPr>
        <w:rPr>
          <w:rFonts w:ascii="Arial" w:hAnsi="Arial" w:cs="Arial"/>
        </w:rPr>
      </w:pPr>
      <w:r>
        <w:rPr>
          <w:rFonts w:ascii="Arial" w:hAnsi="Arial" w:cs="Arial"/>
        </w:rPr>
        <w:t>Negatively, it’s demanding producing the schedules to standard however, this is a limitation of legislation and agreed best practice therefore can’t be changed. Wright (</w:t>
      </w:r>
      <w:proofErr w:type="spellStart"/>
      <w:r>
        <w:rPr>
          <w:rFonts w:ascii="Arial" w:hAnsi="Arial" w:cs="Arial"/>
        </w:rPr>
        <w:t>n.d</w:t>
      </w:r>
      <w:proofErr w:type="spellEnd"/>
      <w:r>
        <w:rPr>
          <w:rFonts w:ascii="Arial" w:hAnsi="Arial" w:cs="Arial"/>
        </w:rPr>
        <w:t xml:space="preserve">). describes this obligation upon the Police and CPS as a burden alongside increasing workloads and decreasing budgets, whilst improving confidence in the investigation process through disclosure and encouraging guilty pleas. </w:t>
      </w:r>
    </w:p>
    <w:p w14:paraId="21D4ED31" w14:textId="77777777" w:rsidR="00310444" w:rsidRDefault="00310444" w:rsidP="009A663D">
      <w:pPr>
        <w:rPr>
          <w:rFonts w:ascii="Arial" w:hAnsi="Arial" w:cs="Arial"/>
          <w:u w:val="single"/>
        </w:rPr>
      </w:pPr>
    </w:p>
    <w:p w14:paraId="1F93AFFA" w14:textId="703AFBA5" w:rsidR="009A663D" w:rsidRDefault="009A663D" w:rsidP="009A663D">
      <w:pPr>
        <w:rPr>
          <w:rFonts w:ascii="Arial" w:hAnsi="Arial" w:cs="Arial"/>
          <w:u w:val="single"/>
        </w:rPr>
      </w:pPr>
      <w:r>
        <w:rPr>
          <w:rFonts w:ascii="Arial" w:hAnsi="Arial" w:cs="Arial"/>
          <w:u w:val="single"/>
        </w:rPr>
        <w:t>Conducted disclosure</w:t>
      </w:r>
    </w:p>
    <w:p w14:paraId="7FD2CD2D" w14:textId="77777777" w:rsidR="009A663D" w:rsidRDefault="009A663D" w:rsidP="009A663D">
      <w:pPr>
        <w:rPr>
          <w:rFonts w:ascii="Arial" w:hAnsi="Arial" w:cs="Arial"/>
        </w:rPr>
      </w:pPr>
    </w:p>
    <w:p w14:paraId="551642DD" w14:textId="77777777" w:rsidR="009A663D" w:rsidRDefault="009A663D" w:rsidP="009A663D">
      <w:pPr>
        <w:rPr>
          <w:rFonts w:ascii="Arial" w:hAnsi="Arial" w:cs="Arial"/>
        </w:rPr>
      </w:pPr>
      <w:r>
        <w:rPr>
          <w:rFonts w:ascii="Arial" w:hAnsi="Arial" w:cs="Arial"/>
        </w:rPr>
        <w:t xml:space="preserve">I prepared for and attended regular meetings with the lawyer, taking any photographs or video footage for viewing in person. Since then, software has been developed to transfer digital media rather than provide copy in hard storage format. Copies of any documents were provided by email. I recorded such disclosure HOLMES and retained the email trail for audit purposes. I urgently notified the lawyer of any material of particular relevance or potentially undermining to improve efficiency. </w:t>
      </w:r>
    </w:p>
    <w:p w14:paraId="520FFA84" w14:textId="59B01E01" w:rsidR="009A663D" w:rsidRDefault="009A663D" w:rsidP="009A663D">
      <w:pPr>
        <w:rPr>
          <w:rFonts w:ascii="Arial" w:hAnsi="Arial" w:cs="Arial"/>
        </w:rPr>
      </w:pPr>
      <w:r>
        <w:rPr>
          <w:rFonts w:ascii="Arial" w:hAnsi="Arial" w:cs="Arial"/>
        </w:rPr>
        <w:t>Wright (</w:t>
      </w:r>
      <w:proofErr w:type="spellStart"/>
      <w:r>
        <w:rPr>
          <w:rFonts w:ascii="Arial" w:hAnsi="Arial" w:cs="Arial"/>
        </w:rPr>
        <w:t>n.d</w:t>
      </w:r>
      <w:proofErr w:type="spellEnd"/>
      <w:r>
        <w:rPr>
          <w:rFonts w:ascii="Arial" w:hAnsi="Arial" w:cs="Arial"/>
        </w:rPr>
        <w:t>). states how performance and standards between Police and CPS should be monitored. Whilst best practice (College of Policing, MCIM, 2021, p. 51) suggests that the SIO approves the schedules</w:t>
      </w:r>
      <w:r w:rsidR="00D43E21">
        <w:rPr>
          <w:rFonts w:ascii="Arial" w:hAnsi="Arial" w:cs="Arial"/>
        </w:rPr>
        <w:t>.</w:t>
      </w:r>
      <w:r>
        <w:rPr>
          <w:rFonts w:ascii="Arial" w:hAnsi="Arial" w:cs="Arial"/>
        </w:rPr>
        <w:t xml:space="preserve"> </w:t>
      </w:r>
      <w:r w:rsidR="00D43E21">
        <w:rPr>
          <w:rFonts w:ascii="Arial" w:hAnsi="Arial" w:cs="Arial"/>
        </w:rPr>
        <w:t>S</w:t>
      </w:r>
      <w:r>
        <w:rPr>
          <w:rFonts w:ascii="Arial" w:hAnsi="Arial" w:cs="Arial"/>
        </w:rPr>
        <w:t xml:space="preserve">ince the lawyer was satisfied with the standard I presented at the first meeting, this was deemed not necessary thereafter. </w:t>
      </w:r>
    </w:p>
    <w:p w14:paraId="4A0A78D0" w14:textId="77777777" w:rsidR="009A663D" w:rsidRDefault="009A663D" w:rsidP="009A663D">
      <w:pPr>
        <w:rPr>
          <w:rFonts w:ascii="Arial" w:hAnsi="Arial" w:cs="Arial"/>
        </w:rPr>
      </w:pPr>
      <w:r>
        <w:rPr>
          <w:rFonts w:ascii="Arial" w:hAnsi="Arial" w:cs="Arial"/>
        </w:rPr>
        <w:t xml:space="preserve">It was a well organised system, considering the volume of material and length of time, no significant issues were identified. I developed a good rapport with the lawyer and the audit trail confirmed requests had been actioned. This then transferred responsibility to the lawyer and could not be contested. Whilst press headlines cite that Police are to blame for disclosure failures leading to case collapses, (Ungoed-Thomas, 2021), it is important to point out that failures also occur by CPS (Slingo, 2020). </w:t>
      </w:r>
    </w:p>
    <w:p w14:paraId="0EC99BC2" w14:textId="77777777" w:rsidR="009A663D" w:rsidRDefault="009A663D" w:rsidP="009A663D">
      <w:pPr>
        <w:rPr>
          <w:rFonts w:ascii="Arial" w:hAnsi="Arial" w:cs="Arial"/>
        </w:rPr>
      </w:pPr>
    </w:p>
    <w:p w14:paraId="67690CEF" w14:textId="787164EB" w:rsidR="009A663D" w:rsidRDefault="009A663D" w:rsidP="009A663D">
      <w:pPr>
        <w:rPr>
          <w:rFonts w:ascii="Arial" w:hAnsi="Arial" w:cs="Arial"/>
        </w:rPr>
      </w:pPr>
      <w:r>
        <w:rPr>
          <w:rFonts w:ascii="Arial" w:hAnsi="Arial" w:cs="Arial"/>
        </w:rPr>
        <w:t>Upon reflection, all appeared to go well. The Judge and defence Barrister praised the disclosure at first Court hearing which was pleasing, considering I had no previous experience of the role. With overwhelming evidence and strong integrity in the disclosure which could not be challenged, the defendant was forced to plead guilty at the beginning of the trial. (Johnston, 2020). This demonstrated my knowledge and thorough compliance with legislation.</w:t>
      </w:r>
    </w:p>
    <w:p w14:paraId="44221427" w14:textId="2E65CD7A" w:rsidR="009A663D" w:rsidRDefault="009A663D" w:rsidP="009A663D">
      <w:pPr>
        <w:rPr>
          <w:rFonts w:ascii="Arial" w:hAnsi="Arial" w:cs="Arial"/>
        </w:rPr>
      </w:pPr>
      <w:r>
        <w:rPr>
          <w:rFonts w:ascii="Arial" w:hAnsi="Arial" w:cs="Arial"/>
        </w:rPr>
        <w:t xml:space="preserve">In my opinion, HOLMES and the Major Crime practices work well </w:t>
      </w:r>
      <w:r w:rsidR="00F031E8">
        <w:rPr>
          <w:rFonts w:ascii="Arial" w:hAnsi="Arial" w:cs="Arial"/>
        </w:rPr>
        <w:t>by minimising</w:t>
      </w:r>
      <w:r>
        <w:rPr>
          <w:rFonts w:ascii="Arial" w:hAnsi="Arial" w:cs="Arial"/>
        </w:rPr>
        <w:t xml:space="preserve"> error and loss of information. It is an efficient method of managing vast amounts of material whilst recording an audit trail to ensure integrity. However, this is reliant upon accuracy of information inputted</w:t>
      </w:r>
      <w:r w:rsidR="00F031E8">
        <w:rPr>
          <w:rFonts w:ascii="Arial" w:hAnsi="Arial" w:cs="Arial"/>
        </w:rPr>
        <w:t>,</w:t>
      </w:r>
      <w:r>
        <w:rPr>
          <w:rFonts w:ascii="Arial" w:hAnsi="Arial" w:cs="Arial"/>
        </w:rPr>
        <w:t xml:space="preserve"> resourcing resilience and </w:t>
      </w:r>
      <w:r w:rsidR="00F031E8">
        <w:rPr>
          <w:rFonts w:ascii="Arial" w:hAnsi="Arial" w:cs="Arial"/>
        </w:rPr>
        <w:t>legislation application</w:t>
      </w:r>
      <w:r>
        <w:rPr>
          <w:rFonts w:ascii="Arial" w:hAnsi="Arial" w:cs="Arial"/>
        </w:rPr>
        <w:t xml:space="preserve">. </w:t>
      </w:r>
    </w:p>
    <w:p w14:paraId="6A6BE226" w14:textId="77777777" w:rsidR="009A663D" w:rsidRDefault="009A663D" w:rsidP="009A663D">
      <w:pPr>
        <w:rPr>
          <w:rFonts w:ascii="Arial" w:hAnsi="Arial" w:cs="Arial"/>
        </w:rPr>
      </w:pPr>
    </w:p>
    <w:p w14:paraId="47CFBEAB" w14:textId="04200105" w:rsidR="009A663D" w:rsidRDefault="009A663D" w:rsidP="009A663D">
      <w:pPr>
        <w:jc w:val="right"/>
        <w:rPr>
          <w:color w:val="FF0000"/>
        </w:rPr>
      </w:pPr>
      <w:r>
        <w:rPr>
          <w:color w:val="FF0000"/>
        </w:rPr>
        <w:t>Word count 6</w:t>
      </w:r>
      <w:r w:rsidR="00310444">
        <w:rPr>
          <w:color w:val="FF0000"/>
        </w:rPr>
        <w:t>8</w:t>
      </w:r>
      <w:r w:rsidR="00F031E8">
        <w:rPr>
          <w:color w:val="FF0000"/>
        </w:rPr>
        <w:t>3</w:t>
      </w:r>
    </w:p>
    <w:p w14:paraId="07D2916C" w14:textId="0B94374B" w:rsidR="009A663D" w:rsidRPr="00310444" w:rsidRDefault="009A663D" w:rsidP="009A663D">
      <w:pPr>
        <w:jc w:val="right"/>
        <w:rPr>
          <w:b/>
          <w:bCs/>
          <w:color w:val="FF0000"/>
        </w:rPr>
      </w:pPr>
      <w:r w:rsidRPr="00310444">
        <w:rPr>
          <w:b/>
          <w:bCs/>
          <w:color w:val="FF0000"/>
        </w:rPr>
        <w:t>Total word count 22</w:t>
      </w:r>
      <w:r w:rsidR="00310444">
        <w:rPr>
          <w:b/>
          <w:bCs/>
          <w:color w:val="FF0000"/>
        </w:rPr>
        <w:t>5</w:t>
      </w:r>
      <w:r w:rsidR="00F031E8">
        <w:rPr>
          <w:b/>
          <w:bCs/>
          <w:color w:val="FF0000"/>
        </w:rPr>
        <w:t>0</w:t>
      </w:r>
    </w:p>
    <w:p w14:paraId="2EFB96D7" w14:textId="4A3435C7" w:rsidR="7336895D" w:rsidRDefault="7336895D" w:rsidP="7336895D">
      <w:pPr>
        <w:ind w:right="107"/>
        <w:jc w:val="both"/>
        <w:rPr>
          <w:rFonts w:ascii="Arial" w:eastAsia="Arial" w:hAnsi="Arial" w:cs="Arial"/>
          <w:b/>
          <w:bCs/>
          <w:color w:val="000000" w:themeColor="text1"/>
          <w:sz w:val="24"/>
          <w:szCs w:val="24"/>
        </w:rPr>
      </w:pPr>
    </w:p>
    <w:p w14:paraId="4B17279F" w14:textId="77777777" w:rsidR="00BD3F76" w:rsidRDefault="00BD3F76" w:rsidP="009A663D">
      <w:pPr>
        <w:rPr>
          <w:rFonts w:ascii="Arial" w:hAnsi="Arial" w:cs="Arial"/>
          <w:b/>
          <w:bCs/>
          <w:u w:val="single"/>
        </w:rPr>
      </w:pPr>
    </w:p>
    <w:p w14:paraId="1167C33D" w14:textId="77777777" w:rsidR="00BD3F76" w:rsidRDefault="00BD3F76" w:rsidP="009A663D">
      <w:pPr>
        <w:rPr>
          <w:rFonts w:ascii="Arial" w:hAnsi="Arial" w:cs="Arial"/>
          <w:b/>
          <w:bCs/>
          <w:u w:val="single"/>
        </w:rPr>
      </w:pPr>
    </w:p>
    <w:p w14:paraId="72DAAFF8" w14:textId="77777777" w:rsidR="00BD3F76" w:rsidRDefault="00BD3F76" w:rsidP="009A663D">
      <w:pPr>
        <w:rPr>
          <w:rFonts w:ascii="Arial" w:hAnsi="Arial" w:cs="Arial"/>
          <w:b/>
          <w:bCs/>
          <w:u w:val="single"/>
        </w:rPr>
      </w:pPr>
    </w:p>
    <w:p w14:paraId="1FE9E491" w14:textId="77777777" w:rsidR="00BD3F76" w:rsidRDefault="00BD3F76" w:rsidP="009A663D">
      <w:pPr>
        <w:rPr>
          <w:rFonts w:ascii="Arial" w:hAnsi="Arial" w:cs="Arial"/>
          <w:b/>
          <w:bCs/>
          <w:u w:val="single"/>
        </w:rPr>
      </w:pPr>
    </w:p>
    <w:p w14:paraId="6CC0AE3D" w14:textId="77777777" w:rsidR="00BD3F76" w:rsidRDefault="00BD3F76" w:rsidP="009A663D">
      <w:pPr>
        <w:rPr>
          <w:rFonts w:ascii="Arial" w:hAnsi="Arial" w:cs="Arial"/>
          <w:b/>
          <w:bCs/>
          <w:u w:val="single"/>
        </w:rPr>
      </w:pPr>
    </w:p>
    <w:p w14:paraId="3187302C" w14:textId="77777777" w:rsidR="00BD3F76" w:rsidRDefault="00BD3F76" w:rsidP="009A663D">
      <w:pPr>
        <w:rPr>
          <w:rFonts w:ascii="Arial" w:hAnsi="Arial" w:cs="Arial"/>
          <w:b/>
          <w:bCs/>
          <w:u w:val="single"/>
        </w:rPr>
      </w:pPr>
    </w:p>
    <w:p w14:paraId="52023694" w14:textId="77777777" w:rsidR="00BD3F76" w:rsidRDefault="00BD3F76" w:rsidP="009A663D">
      <w:pPr>
        <w:rPr>
          <w:rFonts w:ascii="Arial" w:hAnsi="Arial" w:cs="Arial"/>
          <w:b/>
          <w:bCs/>
          <w:u w:val="single"/>
        </w:rPr>
      </w:pPr>
    </w:p>
    <w:p w14:paraId="7AFA8C09" w14:textId="77777777" w:rsidR="00BD3F76" w:rsidRDefault="00BD3F76" w:rsidP="009A663D">
      <w:pPr>
        <w:rPr>
          <w:rFonts w:ascii="Arial" w:hAnsi="Arial" w:cs="Arial"/>
          <w:b/>
          <w:bCs/>
          <w:u w:val="single"/>
        </w:rPr>
      </w:pPr>
    </w:p>
    <w:p w14:paraId="0C239A32" w14:textId="77777777" w:rsidR="00BD3F76" w:rsidRDefault="00BD3F76" w:rsidP="009A663D">
      <w:pPr>
        <w:rPr>
          <w:rFonts w:ascii="Arial" w:hAnsi="Arial" w:cs="Arial"/>
          <w:b/>
          <w:bCs/>
          <w:u w:val="single"/>
        </w:rPr>
      </w:pPr>
    </w:p>
    <w:p w14:paraId="2528361E" w14:textId="77777777" w:rsidR="00BD3F76" w:rsidRDefault="00BD3F76" w:rsidP="009A663D">
      <w:pPr>
        <w:rPr>
          <w:rFonts w:ascii="Arial" w:hAnsi="Arial" w:cs="Arial"/>
          <w:b/>
          <w:bCs/>
          <w:u w:val="single"/>
        </w:rPr>
      </w:pPr>
    </w:p>
    <w:p w14:paraId="26EE6540" w14:textId="77777777" w:rsidR="00BD3F76" w:rsidRDefault="00BD3F76" w:rsidP="009A663D">
      <w:pPr>
        <w:rPr>
          <w:rFonts w:ascii="Arial" w:hAnsi="Arial" w:cs="Arial"/>
          <w:b/>
          <w:bCs/>
          <w:u w:val="single"/>
        </w:rPr>
      </w:pPr>
    </w:p>
    <w:p w14:paraId="33B01E8C" w14:textId="77777777" w:rsidR="00BD3F76" w:rsidRDefault="00BD3F76" w:rsidP="009A663D">
      <w:pPr>
        <w:rPr>
          <w:rFonts w:ascii="Arial" w:hAnsi="Arial" w:cs="Arial"/>
          <w:b/>
          <w:bCs/>
          <w:u w:val="single"/>
        </w:rPr>
      </w:pPr>
    </w:p>
    <w:p w14:paraId="75FE9D3C" w14:textId="77777777" w:rsidR="00BD3F76" w:rsidRDefault="00BD3F76" w:rsidP="009A663D">
      <w:pPr>
        <w:rPr>
          <w:rFonts w:ascii="Arial" w:hAnsi="Arial" w:cs="Arial"/>
          <w:b/>
          <w:bCs/>
          <w:u w:val="single"/>
        </w:rPr>
      </w:pPr>
    </w:p>
    <w:p w14:paraId="77905CBE" w14:textId="77777777" w:rsidR="00BD3F76" w:rsidRDefault="00BD3F76" w:rsidP="009A663D">
      <w:pPr>
        <w:rPr>
          <w:rFonts w:ascii="Arial" w:hAnsi="Arial" w:cs="Arial"/>
          <w:b/>
          <w:bCs/>
          <w:u w:val="single"/>
        </w:rPr>
      </w:pPr>
    </w:p>
    <w:p w14:paraId="3A5AC8A4" w14:textId="77777777" w:rsidR="00BD3F76" w:rsidRDefault="00BD3F76" w:rsidP="009A663D">
      <w:pPr>
        <w:rPr>
          <w:rFonts w:ascii="Arial" w:hAnsi="Arial" w:cs="Arial"/>
          <w:b/>
          <w:bCs/>
          <w:u w:val="single"/>
        </w:rPr>
      </w:pPr>
    </w:p>
    <w:p w14:paraId="14DDFB07" w14:textId="77777777" w:rsidR="00BD3F76" w:rsidRDefault="00BD3F76" w:rsidP="009A663D">
      <w:pPr>
        <w:rPr>
          <w:rFonts w:ascii="Arial" w:hAnsi="Arial" w:cs="Arial"/>
          <w:b/>
          <w:bCs/>
          <w:u w:val="single"/>
        </w:rPr>
      </w:pPr>
    </w:p>
    <w:p w14:paraId="065B7F81" w14:textId="77777777" w:rsidR="00BD3F76" w:rsidRDefault="00BD3F76" w:rsidP="009A663D">
      <w:pPr>
        <w:rPr>
          <w:rFonts w:ascii="Arial" w:hAnsi="Arial" w:cs="Arial"/>
          <w:b/>
          <w:bCs/>
          <w:u w:val="single"/>
        </w:rPr>
      </w:pPr>
    </w:p>
    <w:p w14:paraId="040D68B1" w14:textId="77777777" w:rsidR="00BD3F76" w:rsidRDefault="00BD3F76" w:rsidP="009A663D">
      <w:pPr>
        <w:rPr>
          <w:rFonts w:ascii="Arial" w:hAnsi="Arial" w:cs="Arial"/>
          <w:b/>
          <w:bCs/>
          <w:u w:val="single"/>
        </w:rPr>
      </w:pPr>
    </w:p>
    <w:p w14:paraId="7962679D" w14:textId="77777777" w:rsidR="00BD3F76" w:rsidRDefault="00BD3F76" w:rsidP="009A663D">
      <w:pPr>
        <w:rPr>
          <w:rFonts w:ascii="Arial" w:hAnsi="Arial" w:cs="Arial"/>
          <w:b/>
          <w:bCs/>
          <w:u w:val="single"/>
        </w:rPr>
      </w:pPr>
    </w:p>
    <w:p w14:paraId="3051244E" w14:textId="77777777" w:rsidR="00BD3F76" w:rsidRDefault="00BD3F76" w:rsidP="009A663D">
      <w:pPr>
        <w:rPr>
          <w:rFonts w:ascii="Arial" w:hAnsi="Arial" w:cs="Arial"/>
          <w:b/>
          <w:bCs/>
          <w:u w:val="single"/>
        </w:rPr>
      </w:pPr>
    </w:p>
    <w:p w14:paraId="49BD61CA" w14:textId="77777777" w:rsidR="00BD3F76" w:rsidRDefault="00BD3F76" w:rsidP="009A663D">
      <w:pPr>
        <w:rPr>
          <w:rFonts w:ascii="Arial" w:hAnsi="Arial" w:cs="Arial"/>
          <w:b/>
          <w:bCs/>
          <w:u w:val="single"/>
        </w:rPr>
      </w:pPr>
    </w:p>
    <w:p w14:paraId="5D32C97F" w14:textId="77777777" w:rsidR="00310444" w:rsidRDefault="00310444" w:rsidP="009A663D">
      <w:pPr>
        <w:rPr>
          <w:rFonts w:ascii="Arial" w:hAnsi="Arial" w:cs="Arial"/>
          <w:b/>
          <w:bCs/>
          <w:u w:val="single"/>
        </w:rPr>
      </w:pPr>
    </w:p>
    <w:p w14:paraId="34C9B61C" w14:textId="09AA16A1" w:rsidR="009A663D" w:rsidRDefault="009A663D" w:rsidP="009A663D">
      <w:pPr>
        <w:rPr>
          <w:rFonts w:ascii="Arial" w:hAnsi="Arial" w:cs="Arial"/>
          <w:b/>
          <w:bCs/>
          <w:u w:val="single"/>
        </w:rPr>
      </w:pPr>
      <w:r>
        <w:rPr>
          <w:rFonts w:ascii="Arial" w:hAnsi="Arial" w:cs="Arial"/>
          <w:b/>
          <w:bCs/>
          <w:u w:val="single"/>
        </w:rPr>
        <w:t xml:space="preserve">Reference. </w:t>
      </w:r>
    </w:p>
    <w:p w14:paraId="395C3327" w14:textId="77777777" w:rsidR="009A663D" w:rsidRDefault="009A663D" w:rsidP="009A663D">
      <w:pPr>
        <w:rPr>
          <w:rFonts w:ascii="Arial" w:hAnsi="Arial" w:cs="Arial"/>
          <w:b/>
          <w:bCs/>
          <w:color w:val="000000"/>
          <w:u w:val="single"/>
          <w:shd w:val="clear" w:color="auto" w:fill="FFFFFF"/>
        </w:rPr>
      </w:pPr>
    </w:p>
    <w:p w14:paraId="212336FC"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Barrington, R. C., &amp; Peace, D. M. S. (1985). HOLMES (Home Office Large Major Enquiry System) - The Development of a Computerised Major Crime Investigation System. </w:t>
      </w:r>
      <w:r w:rsidRPr="009A663D">
        <w:rPr>
          <w:rFonts w:ascii="Open Sans" w:hAnsi="Open Sans" w:cs="Open Sans"/>
          <w:i/>
          <w:iCs/>
          <w:color w:val="000000"/>
          <w:sz w:val="20"/>
          <w:szCs w:val="20"/>
          <w:shd w:val="clear" w:color="auto" w:fill="FFFFFF"/>
        </w:rPr>
        <w:t>Police Journal. </w:t>
      </w:r>
      <w:r w:rsidRPr="009A663D">
        <w:rPr>
          <w:rFonts w:ascii="Open Sans" w:hAnsi="Open Sans" w:cs="Open Sans"/>
          <w:color w:val="000000"/>
          <w:sz w:val="20"/>
          <w:szCs w:val="20"/>
          <w:shd w:val="clear" w:color="auto" w:fill="FFFFFF"/>
        </w:rPr>
        <w:t xml:space="preserve">58, 207-223. Available at : </w:t>
      </w:r>
      <w:hyperlink r:id="rId107" w:anchor="borrow" w:history="1">
        <w:r w:rsidRPr="009A663D">
          <w:rPr>
            <w:rStyle w:val="Hyperlink"/>
            <w:rFonts w:ascii="Open Sans" w:hAnsi="Open Sans" w:cs="Open Sans"/>
            <w:color w:val="000000"/>
            <w:sz w:val="20"/>
            <w:szCs w:val="20"/>
            <w:shd w:val="clear" w:color="auto" w:fill="FFFFFF"/>
          </w:rPr>
          <w:t>www.worldcat.org/</w:t>
        </w:r>
        <w:bookmarkStart w:id="10" w:name="_Hlt102750209"/>
        <w:bookmarkStart w:id="11" w:name="_Hlt102750210"/>
        <w:r w:rsidRPr="009A663D">
          <w:rPr>
            <w:rStyle w:val="Hyperlink"/>
            <w:rFonts w:ascii="Open Sans" w:hAnsi="Open Sans" w:cs="Open Sans"/>
            <w:color w:val="000000"/>
            <w:sz w:val="20"/>
            <w:szCs w:val="20"/>
            <w:shd w:val="clear" w:color="auto" w:fill="FFFFFF"/>
          </w:rPr>
          <w:t>t</w:t>
        </w:r>
        <w:bookmarkEnd w:id="10"/>
        <w:bookmarkEnd w:id="11"/>
        <w:r w:rsidRPr="009A663D">
          <w:rPr>
            <w:rStyle w:val="Hyperlink"/>
            <w:rFonts w:ascii="Open Sans" w:hAnsi="Open Sans" w:cs="Open Sans"/>
            <w:color w:val="000000"/>
            <w:sz w:val="20"/>
            <w:szCs w:val="20"/>
            <w:shd w:val="clear" w:color="auto" w:fill="FFFFFF"/>
          </w:rPr>
          <w:t>itle/holmes-home-office-large-major-enquiry-system-the-development-of-a-computerised-major-crime-investigation-system/oclc/4769496635?referer=one_hit#borrow</w:t>
        </w:r>
      </w:hyperlink>
      <w:r w:rsidRPr="009A663D">
        <w:rPr>
          <w:rFonts w:ascii="Open Sans" w:hAnsi="Open Sans" w:cs="Open Sans"/>
          <w:color w:val="000000"/>
          <w:sz w:val="20"/>
          <w:szCs w:val="20"/>
          <w:shd w:val="clear" w:color="auto" w:fill="FFFFFF"/>
        </w:rPr>
        <w:t xml:space="preserve"> (Accessed: 5 May 2022)</w:t>
      </w:r>
    </w:p>
    <w:p w14:paraId="5F0136E3"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 xml:space="preserve">Bobby Dale Barina. (2019) </w:t>
      </w:r>
      <w:r w:rsidRPr="009A663D">
        <w:rPr>
          <w:rFonts w:ascii="Open Sans" w:hAnsi="Open Sans" w:cs="Open Sans"/>
          <w:i/>
          <w:iCs/>
          <w:color w:val="000000"/>
          <w:sz w:val="20"/>
          <w:szCs w:val="20"/>
          <w:shd w:val="clear" w:color="auto" w:fill="FFFFFF"/>
        </w:rPr>
        <w:t xml:space="preserve">Understanding the difference between a suspect, person of interest, target and subject. </w:t>
      </w:r>
      <w:r w:rsidRPr="009A663D">
        <w:rPr>
          <w:rFonts w:ascii="Open Sans" w:hAnsi="Open Sans" w:cs="Open Sans"/>
          <w:color w:val="000000"/>
          <w:sz w:val="20"/>
          <w:szCs w:val="20"/>
          <w:shd w:val="clear" w:color="auto" w:fill="FFFFFF"/>
        </w:rPr>
        <w:t xml:space="preserve">Available at </w:t>
      </w:r>
      <w:hyperlink r:id="rId108" w:history="1">
        <w:r w:rsidRPr="009A663D">
          <w:rPr>
            <w:rStyle w:val="Hyperlink"/>
            <w:rFonts w:ascii="Open Sans" w:hAnsi="Open Sans" w:cs="Open Sans"/>
            <w:color w:val="000000"/>
            <w:sz w:val="20"/>
            <w:szCs w:val="20"/>
            <w:shd w:val="clear" w:color="auto" w:fill="FFFFFF"/>
          </w:rPr>
          <w:t>www.bobbybarinalaw.com/blog/2019/december/understanding-the-difference-between-a-suspect-p/</w:t>
        </w:r>
      </w:hyperlink>
      <w:r w:rsidRPr="009A663D">
        <w:rPr>
          <w:rFonts w:ascii="Open Sans" w:hAnsi="Open Sans" w:cs="Open Sans"/>
          <w:color w:val="000000"/>
          <w:sz w:val="20"/>
          <w:szCs w:val="20"/>
          <w:shd w:val="clear" w:color="auto" w:fill="FFFFFF"/>
        </w:rPr>
        <w:t xml:space="preserve"> (Accessed: 1 May 2022) </w:t>
      </w:r>
    </w:p>
    <w:p w14:paraId="4CA39E65"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 xml:space="preserve">Brader, C. 2020. </w:t>
      </w:r>
      <w:r w:rsidRPr="009A663D">
        <w:rPr>
          <w:rFonts w:ascii="Open Sans" w:hAnsi="Open Sans" w:cs="Open Sans"/>
          <w:i/>
          <w:iCs/>
          <w:color w:val="000000"/>
          <w:sz w:val="20"/>
          <w:szCs w:val="20"/>
          <w:shd w:val="clear" w:color="auto" w:fill="FFFFFF"/>
        </w:rPr>
        <w:t>Disclosure Evidence in Criminal Proceedings</w:t>
      </w:r>
      <w:r w:rsidRPr="009A663D">
        <w:rPr>
          <w:rFonts w:ascii="Open Sans" w:hAnsi="Open Sans" w:cs="Open Sans"/>
          <w:color w:val="000000"/>
          <w:sz w:val="20"/>
          <w:szCs w:val="20"/>
          <w:shd w:val="clear" w:color="auto" w:fill="FFFFFF"/>
        </w:rPr>
        <w:t xml:space="preserve">. House of Lords Library Briefing paper. UK Parliament. p 5. Available </w:t>
      </w:r>
      <w:proofErr w:type="gramStart"/>
      <w:r w:rsidRPr="009A663D">
        <w:rPr>
          <w:rFonts w:ascii="Open Sans" w:hAnsi="Open Sans" w:cs="Open Sans"/>
          <w:color w:val="000000"/>
          <w:sz w:val="20"/>
          <w:szCs w:val="20"/>
          <w:shd w:val="clear" w:color="auto" w:fill="FFFFFF"/>
        </w:rPr>
        <w:t>at :</w:t>
      </w:r>
      <w:proofErr w:type="gramEnd"/>
      <w:r w:rsidRPr="009A663D">
        <w:rPr>
          <w:rFonts w:ascii="Open Sans" w:hAnsi="Open Sans" w:cs="Open Sans"/>
          <w:color w:val="000000"/>
          <w:sz w:val="20"/>
          <w:szCs w:val="20"/>
          <w:shd w:val="clear" w:color="auto" w:fill="FFFFFF"/>
        </w:rPr>
        <w:t xml:space="preserve"> </w:t>
      </w:r>
      <w:r w:rsidRPr="009A663D">
        <w:rPr>
          <w:rFonts w:ascii="Open Sans" w:hAnsi="Open Sans" w:cs="Open Sans"/>
          <w:color w:val="000000"/>
          <w:sz w:val="20"/>
          <w:szCs w:val="20"/>
          <w:u w:val="single"/>
          <w:shd w:val="clear" w:color="auto" w:fill="FFFFFF"/>
        </w:rPr>
        <w:t>www.researchbriefings.files.parliament.uk/documents/LLN-2020-0010/LLN-2020-0010.</w:t>
      </w:r>
      <w:r w:rsidRPr="009A663D">
        <w:rPr>
          <w:rFonts w:ascii="Open Sans" w:hAnsi="Open Sans" w:cs="Open Sans"/>
          <w:color w:val="000000"/>
          <w:sz w:val="20"/>
          <w:szCs w:val="20"/>
          <w:shd w:val="clear" w:color="auto" w:fill="FFFFFF"/>
        </w:rPr>
        <w:t xml:space="preserve"> [pdf] (Accessed: 6 May 2022) </w:t>
      </w:r>
    </w:p>
    <w:p w14:paraId="3C00732A"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 xml:space="preserve">Bromby, M.C., Hall, M. J., (2002) ‘The Development and Rapid Evolution of the Knowledge Model of ADVOKATE: An Advisory System to Assess the Credibility of Eyewitness Testimony’. Legal knowledge and information systems. Bench-Capon T.J.M., </w:t>
      </w:r>
      <w:proofErr w:type="spellStart"/>
      <w:r w:rsidRPr="009A663D">
        <w:rPr>
          <w:rFonts w:ascii="Open Sans" w:hAnsi="Open Sans" w:cs="Open Sans"/>
          <w:color w:val="000000"/>
          <w:sz w:val="20"/>
          <w:szCs w:val="20"/>
          <w:shd w:val="clear" w:color="auto" w:fill="FFFFFF"/>
        </w:rPr>
        <w:t>Daskalopulu</w:t>
      </w:r>
      <w:proofErr w:type="spellEnd"/>
      <w:r w:rsidRPr="009A663D">
        <w:rPr>
          <w:rFonts w:ascii="Open Sans" w:hAnsi="Open Sans" w:cs="Open Sans"/>
          <w:color w:val="000000"/>
          <w:sz w:val="20"/>
          <w:szCs w:val="20"/>
          <w:shd w:val="clear" w:color="auto" w:fill="FFFFFF"/>
        </w:rPr>
        <w:t xml:space="preserve">, A., Winkels, R.G.F., eds., pp. 143-152, The Fifteenth Annual Conference, Amsterdam: IOS Press, </w:t>
      </w:r>
      <w:proofErr w:type="spellStart"/>
      <w:r w:rsidRPr="009A663D">
        <w:rPr>
          <w:rFonts w:ascii="Open Sans" w:hAnsi="Open Sans" w:cs="Open Sans"/>
          <w:color w:val="000000"/>
          <w:sz w:val="20"/>
          <w:szCs w:val="20"/>
          <w:shd w:val="clear" w:color="auto" w:fill="FFFFFF"/>
        </w:rPr>
        <w:t>Jurix</w:t>
      </w:r>
      <w:proofErr w:type="spellEnd"/>
      <w:r w:rsidRPr="009A663D">
        <w:rPr>
          <w:rFonts w:ascii="Open Sans" w:hAnsi="Open Sans" w:cs="Open Sans"/>
          <w:color w:val="000000"/>
          <w:sz w:val="20"/>
          <w:szCs w:val="20"/>
          <w:shd w:val="clear" w:color="auto" w:fill="FFFFFF"/>
        </w:rPr>
        <w:t xml:space="preserve">. Available </w:t>
      </w:r>
      <w:proofErr w:type="gramStart"/>
      <w:r w:rsidRPr="009A663D">
        <w:rPr>
          <w:rFonts w:ascii="Open Sans" w:hAnsi="Open Sans" w:cs="Open Sans"/>
          <w:color w:val="000000"/>
          <w:sz w:val="20"/>
          <w:szCs w:val="20"/>
          <w:shd w:val="clear" w:color="auto" w:fill="FFFFFF"/>
        </w:rPr>
        <w:t>at :</w:t>
      </w:r>
      <w:proofErr w:type="gramEnd"/>
      <w:r w:rsidRPr="009A663D">
        <w:rPr>
          <w:rFonts w:ascii="Open Sans" w:hAnsi="Open Sans" w:cs="Open Sans"/>
          <w:color w:val="000000"/>
          <w:sz w:val="20"/>
          <w:szCs w:val="20"/>
          <w:shd w:val="clear" w:color="auto" w:fill="FFFFFF"/>
        </w:rPr>
        <w:t> </w:t>
      </w:r>
      <w:hyperlink r:id="rId109" w:history="1">
        <w:r w:rsidRPr="009A663D">
          <w:rPr>
            <w:rStyle w:val="Hyperlink"/>
            <w:rFonts w:ascii="Open Sans" w:hAnsi="Open Sans" w:cs="Open Sans"/>
            <w:color w:val="000000"/>
            <w:sz w:val="20"/>
            <w:szCs w:val="20"/>
            <w:shd w:val="clear" w:color="auto" w:fill="FFFFFF"/>
          </w:rPr>
          <w:t>https://ssrn.com/abstract=1561509</w:t>
        </w:r>
      </w:hyperlink>
      <w:r w:rsidRPr="009A663D">
        <w:rPr>
          <w:rFonts w:ascii="Open Sans" w:hAnsi="Open Sans" w:cs="Open Sans"/>
          <w:color w:val="000000"/>
          <w:sz w:val="20"/>
          <w:szCs w:val="20"/>
        </w:rPr>
        <w:t xml:space="preserve"> (Accessed 1 May 2022) </w:t>
      </w:r>
    </w:p>
    <w:p w14:paraId="784EF05D"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Butler, M. (2020). </w:t>
      </w:r>
      <w:r w:rsidRPr="009A663D">
        <w:rPr>
          <w:rFonts w:ascii="Open Sans" w:hAnsi="Open Sans" w:cs="Open Sans"/>
          <w:i/>
          <w:iCs/>
          <w:color w:val="000000"/>
          <w:sz w:val="20"/>
          <w:szCs w:val="20"/>
          <w:shd w:val="clear" w:color="auto" w:fill="FFFFFF"/>
        </w:rPr>
        <w:t>Crime Scene to Court: The Essentials of Forensic Science</w:t>
      </w:r>
      <w:r w:rsidRPr="009A663D">
        <w:rPr>
          <w:rFonts w:ascii="Open Sans" w:hAnsi="Open Sans" w:cs="Open Sans"/>
          <w:color w:val="000000"/>
          <w:sz w:val="20"/>
          <w:szCs w:val="20"/>
          <w:shd w:val="clear" w:color="auto" w:fill="FFFFFF"/>
        </w:rPr>
        <w:t>, 4</w:t>
      </w:r>
      <w:r w:rsidRPr="009A663D">
        <w:rPr>
          <w:rFonts w:ascii="Open Sans" w:hAnsi="Open Sans" w:cs="Open Sans"/>
          <w:color w:val="000000"/>
          <w:sz w:val="20"/>
          <w:szCs w:val="20"/>
          <w:shd w:val="clear" w:color="auto" w:fill="FFFFFF"/>
          <w:vertAlign w:val="superscript"/>
        </w:rPr>
        <w:t>th</w:t>
      </w:r>
      <w:r w:rsidRPr="009A663D">
        <w:rPr>
          <w:rFonts w:ascii="Open Sans" w:hAnsi="Open Sans" w:cs="Open Sans"/>
          <w:color w:val="000000"/>
          <w:sz w:val="20"/>
          <w:szCs w:val="20"/>
          <w:shd w:val="clear" w:color="auto" w:fill="FFFFFF"/>
        </w:rPr>
        <w:t xml:space="preserve"> </w:t>
      </w:r>
      <w:proofErr w:type="spellStart"/>
      <w:r w:rsidRPr="009A663D">
        <w:rPr>
          <w:rFonts w:ascii="Open Sans" w:hAnsi="Open Sans" w:cs="Open Sans"/>
          <w:color w:val="000000"/>
          <w:sz w:val="20"/>
          <w:szCs w:val="20"/>
          <w:shd w:val="clear" w:color="auto" w:fill="FFFFFF"/>
        </w:rPr>
        <w:t>edn</w:t>
      </w:r>
      <w:proofErr w:type="spellEnd"/>
      <w:r w:rsidRPr="009A663D">
        <w:rPr>
          <w:rFonts w:ascii="Open Sans" w:hAnsi="Open Sans" w:cs="Open Sans"/>
          <w:color w:val="000000"/>
          <w:sz w:val="20"/>
          <w:szCs w:val="20"/>
          <w:shd w:val="clear" w:color="auto" w:fill="FFFFFF"/>
        </w:rPr>
        <w:t>. p. 52. Cambridge: The Royal Society for Chemistry.</w:t>
      </w:r>
    </w:p>
    <w:p w14:paraId="07682563"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 xml:space="preserve">Byford, L. (1981). </w:t>
      </w:r>
      <w:r w:rsidRPr="009A663D">
        <w:rPr>
          <w:rFonts w:ascii="Open Sans" w:hAnsi="Open Sans" w:cs="Open Sans"/>
          <w:i/>
          <w:iCs/>
          <w:color w:val="000000"/>
          <w:sz w:val="20"/>
          <w:szCs w:val="20"/>
          <w:shd w:val="clear" w:color="auto" w:fill="FFFFFF"/>
        </w:rPr>
        <w:t>The Yorkshire Ripper Case</w:t>
      </w:r>
      <w:r w:rsidRPr="009A663D">
        <w:rPr>
          <w:rFonts w:ascii="Open Sans" w:hAnsi="Open Sans" w:cs="Open Sans"/>
          <w:color w:val="000000"/>
          <w:sz w:val="20"/>
          <w:szCs w:val="20"/>
          <w:shd w:val="clear" w:color="auto" w:fill="FFFFFF"/>
        </w:rPr>
        <w:t xml:space="preserve">. Her Majesty’s Inspector of Constabulary. Home Office report. December 1981. Available </w:t>
      </w:r>
      <w:proofErr w:type="gramStart"/>
      <w:r w:rsidRPr="009A663D">
        <w:rPr>
          <w:rFonts w:ascii="Open Sans" w:hAnsi="Open Sans" w:cs="Open Sans"/>
          <w:color w:val="000000"/>
          <w:sz w:val="20"/>
          <w:szCs w:val="20"/>
          <w:shd w:val="clear" w:color="auto" w:fill="FFFFFF"/>
        </w:rPr>
        <w:t>at :</w:t>
      </w:r>
      <w:proofErr w:type="gramEnd"/>
      <w:r w:rsidRPr="009A663D">
        <w:rPr>
          <w:rFonts w:ascii="Open Sans" w:hAnsi="Open Sans" w:cs="Open Sans"/>
          <w:color w:val="000000"/>
          <w:sz w:val="20"/>
          <w:szCs w:val="20"/>
          <w:shd w:val="clear" w:color="auto" w:fill="FFFFFF"/>
        </w:rPr>
        <w:t xml:space="preserve"> </w:t>
      </w:r>
      <w:r w:rsidRPr="009A663D">
        <w:rPr>
          <w:rFonts w:ascii="Open Sans" w:hAnsi="Open Sans" w:cs="Open Sans"/>
          <w:color w:val="000000"/>
          <w:sz w:val="20"/>
          <w:szCs w:val="20"/>
          <w:u w:val="single"/>
          <w:shd w:val="clear" w:color="auto" w:fill="FFFFFF"/>
        </w:rPr>
        <w:t xml:space="preserve">www.archive.org/details/1981-byford-report-yorkshire-ripper-case-pgs-in-pt-3-redacted </w:t>
      </w:r>
    </w:p>
    <w:p w14:paraId="416EF558"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rPr>
        <w:t xml:space="preserve">College of Policing (2021) </w:t>
      </w:r>
      <w:r w:rsidRPr="009A663D">
        <w:rPr>
          <w:rFonts w:ascii="Open Sans" w:hAnsi="Open Sans" w:cs="Open Sans"/>
          <w:i/>
          <w:iCs/>
          <w:color w:val="000000"/>
          <w:sz w:val="20"/>
          <w:szCs w:val="20"/>
        </w:rPr>
        <w:t>Major incident room standardised administrative procedures (MIRSAP</w:t>
      </w:r>
      <w:r w:rsidRPr="009A663D">
        <w:rPr>
          <w:rFonts w:ascii="Open Sans" w:hAnsi="Open Sans" w:cs="Open Sans"/>
          <w:color w:val="000000"/>
          <w:sz w:val="20"/>
          <w:szCs w:val="20"/>
        </w:rPr>
        <w:t xml:space="preserve">) Available at : </w:t>
      </w:r>
      <w:hyperlink r:id="rId110" w:history="1">
        <w:r w:rsidRPr="009A663D">
          <w:rPr>
            <w:rStyle w:val="Hyperlink"/>
            <w:rFonts w:ascii="Open Sans" w:hAnsi="Open Sans" w:cs="Open Sans"/>
            <w:color w:val="000000"/>
            <w:sz w:val="20"/>
            <w:szCs w:val="20"/>
          </w:rPr>
          <w:t>www.college.police.uk/app/major-investigation-and-public-protection/major-incident-room-standardised-administrative-procedures-mirsap?highlight=investigation%20app</w:t>
        </w:r>
      </w:hyperlink>
      <w:r w:rsidRPr="009A663D">
        <w:rPr>
          <w:rFonts w:ascii="Open Sans" w:hAnsi="Open Sans" w:cs="Open Sans"/>
          <w:color w:val="000000"/>
          <w:sz w:val="20"/>
          <w:szCs w:val="20"/>
        </w:rPr>
        <w:t xml:space="preserve">. (Accessed: 4 May 2022) </w:t>
      </w:r>
    </w:p>
    <w:p w14:paraId="58C71B84"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rPr>
        <w:t xml:space="preserve">College of Policing (2021) </w:t>
      </w:r>
      <w:r w:rsidRPr="009A663D">
        <w:rPr>
          <w:rFonts w:ascii="Open Sans" w:hAnsi="Open Sans" w:cs="Open Sans"/>
          <w:i/>
          <w:iCs/>
          <w:color w:val="000000"/>
          <w:sz w:val="20"/>
          <w:szCs w:val="20"/>
        </w:rPr>
        <w:t>Managing investigations</w:t>
      </w:r>
      <w:r w:rsidRPr="009A663D">
        <w:rPr>
          <w:rFonts w:ascii="Open Sans" w:hAnsi="Open Sans" w:cs="Open Sans"/>
          <w:color w:val="000000"/>
          <w:sz w:val="20"/>
          <w:szCs w:val="20"/>
        </w:rPr>
        <w:t xml:space="preserve">. </w:t>
      </w:r>
      <w:r w:rsidRPr="009A663D">
        <w:rPr>
          <w:rFonts w:ascii="Open Sans" w:hAnsi="Open Sans" w:cs="Open Sans"/>
          <w:i/>
          <w:iCs/>
          <w:color w:val="000000"/>
          <w:sz w:val="20"/>
          <w:szCs w:val="20"/>
        </w:rPr>
        <w:t>Exhibits Management</w:t>
      </w:r>
      <w:r w:rsidRPr="009A663D">
        <w:rPr>
          <w:rFonts w:ascii="Open Sans" w:hAnsi="Open Sans" w:cs="Open Sans"/>
          <w:color w:val="000000"/>
          <w:sz w:val="20"/>
          <w:szCs w:val="20"/>
        </w:rPr>
        <w:t xml:space="preserve">. Responsibility of the exhibits officer. Available </w:t>
      </w:r>
      <w:proofErr w:type="gramStart"/>
      <w:r w:rsidRPr="009A663D">
        <w:rPr>
          <w:rFonts w:ascii="Open Sans" w:hAnsi="Open Sans" w:cs="Open Sans"/>
          <w:color w:val="000000"/>
          <w:sz w:val="20"/>
          <w:szCs w:val="20"/>
        </w:rPr>
        <w:t>at :</w:t>
      </w:r>
      <w:proofErr w:type="gramEnd"/>
      <w:r w:rsidRPr="009A663D">
        <w:rPr>
          <w:rFonts w:ascii="Open Sans" w:hAnsi="Open Sans" w:cs="Open Sans"/>
          <w:color w:val="000000"/>
          <w:sz w:val="20"/>
          <w:szCs w:val="20"/>
        </w:rPr>
        <w:t xml:space="preserve"> </w:t>
      </w:r>
      <w:hyperlink r:id="rId111" w:history="1">
        <w:r w:rsidRPr="009A663D">
          <w:rPr>
            <w:rStyle w:val="Hyperlink"/>
            <w:rFonts w:ascii="Open Sans" w:hAnsi="Open Sans" w:cs="Open Sans"/>
            <w:color w:val="000000"/>
            <w:sz w:val="20"/>
            <w:szCs w:val="20"/>
          </w:rPr>
          <w:t>www.college.police.uk/app/investigation/managing-investigations</w:t>
        </w:r>
      </w:hyperlink>
      <w:r w:rsidRPr="009A663D">
        <w:rPr>
          <w:rFonts w:ascii="Open Sans" w:hAnsi="Open Sans" w:cs="Open Sans"/>
          <w:color w:val="000000"/>
          <w:sz w:val="20"/>
          <w:szCs w:val="20"/>
        </w:rPr>
        <w:t xml:space="preserve"> (Accessed: 4 May 2022)</w:t>
      </w:r>
    </w:p>
    <w:p w14:paraId="69777C07"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rPr>
        <w:t xml:space="preserve">College of Policing, 2021. Major Crime Investigation Manual. College of Policing website. p. 51. Available </w:t>
      </w:r>
      <w:proofErr w:type="gramStart"/>
      <w:r w:rsidRPr="009A663D">
        <w:rPr>
          <w:rFonts w:ascii="Open Sans" w:hAnsi="Open Sans" w:cs="Open Sans"/>
          <w:color w:val="000000"/>
          <w:sz w:val="20"/>
          <w:szCs w:val="20"/>
        </w:rPr>
        <w:t>at :</w:t>
      </w:r>
      <w:proofErr w:type="gramEnd"/>
      <w:r w:rsidRPr="009A663D">
        <w:rPr>
          <w:rFonts w:ascii="Open Sans" w:hAnsi="Open Sans" w:cs="Open Sans"/>
          <w:color w:val="000000"/>
          <w:sz w:val="20"/>
          <w:szCs w:val="20"/>
        </w:rPr>
        <w:t xml:space="preserve"> </w:t>
      </w:r>
      <w:hyperlink r:id="rId112" w:history="1">
        <w:r w:rsidRPr="009A663D">
          <w:rPr>
            <w:rStyle w:val="Hyperlink"/>
            <w:rFonts w:ascii="Open Sans" w:hAnsi="Open Sans" w:cs="Open Sans"/>
            <w:color w:val="000000"/>
            <w:sz w:val="20"/>
            <w:szCs w:val="20"/>
          </w:rPr>
          <w:t>www.library.college.police.uk/docs/NPCC/Major-Crime-Investigation-Manual-Nov-2021</w:t>
        </w:r>
      </w:hyperlink>
      <w:r w:rsidRPr="009A663D">
        <w:rPr>
          <w:rFonts w:ascii="Open Sans" w:hAnsi="Open Sans" w:cs="Open Sans"/>
          <w:color w:val="000000"/>
          <w:sz w:val="20"/>
          <w:szCs w:val="20"/>
        </w:rPr>
        <w:t>. [pdf] (Accessed: 6 May 2022)</w:t>
      </w:r>
    </w:p>
    <w:p w14:paraId="27DE1A05"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 xml:space="preserve">College of Policing. (2021) </w:t>
      </w:r>
      <w:r w:rsidRPr="009A663D">
        <w:rPr>
          <w:rFonts w:ascii="Open Sans" w:hAnsi="Open Sans" w:cs="Open Sans"/>
          <w:i/>
          <w:iCs/>
          <w:color w:val="000000"/>
          <w:sz w:val="20"/>
          <w:szCs w:val="20"/>
          <w:shd w:val="clear" w:color="auto" w:fill="FFFFFF"/>
        </w:rPr>
        <w:t>Major Incident Room standardisation and administration procedures (MIRSAP</w:t>
      </w:r>
      <w:r w:rsidRPr="009A663D">
        <w:rPr>
          <w:rFonts w:ascii="Open Sans" w:hAnsi="Open Sans" w:cs="Open Sans"/>
          <w:color w:val="000000"/>
          <w:sz w:val="20"/>
          <w:szCs w:val="20"/>
          <w:shd w:val="clear" w:color="auto" w:fill="FFFFFF"/>
        </w:rPr>
        <w:t xml:space="preserve">). Available at : </w:t>
      </w:r>
      <w:hyperlink r:id="rId113" w:history="1">
        <w:r w:rsidRPr="009A663D">
          <w:rPr>
            <w:rStyle w:val="Hyperlink"/>
            <w:rFonts w:ascii="Open Sans" w:hAnsi="Open Sans" w:cs="Open Sans"/>
            <w:color w:val="000000"/>
            <w:sz w:val="20"/>
            <w:szCs w:val="20"/>
            <w:shd w:val="clear" w:color="auto" w:fill="FFFFFF"/>
          </w:rPr>
          <w:t>www.college.police.uk/app/major-investigation-and-public-protection/major-incident-room-standardised-administrative-procedures-mirsap?highlight=investigation%20app</w:t>
        </w:r>
      </w:hyperlink>
      <w:r w:rsidRPr="009A663D">
        <w:rPr>
          <w:rFonts w:ascii="Open Sans" w:hAnsi="Open Sans" w:cs="Open Sans"/>
          <w:color w:val="000000"/>
          <w:sz w:val="20"/>
          <w:szCs w:val="20"/>
          <w:shd w:val="clear" w:color="auto" w:fill="FFFFFF"/>
        </w:rPr>
        <w:t xml:space="preserve"> (Accessed: 1 May 2022) </w:t>
      </w:r>
    </w:p>
    <w:p w14:paraId="0E9906DD" w14:textId="77777777" w:rsidR="009A663D" w:rsidRPr="009A663D" w:rsidRDefault="009A663D" w:rsidP="009A663D">
      <w:pPr>
        <w:rPr>
          <w:rFonts w:ascii="Open Sans" w:hAnsi="Open Sans" w:cs="Open Sans"/>
          <w:sz w:val="20"/>
          <w:szCs w:val="20"/>
        </w:rPr>
      </w:pPr>
      <w:r w:rsidRPr="009A663D">
        <w:rPr>
          <w:rFonts w:ascii="Open Sans" w:hAnsi="Open Sans" w:cs="Open Sans"/>
          <w:i/>
          <w:iCs/>
          <w:color w:val="000000"/>
          <w:sz w:val="20"/>
          <w:szCs w:val="20"/>
        </w:rPr>
        <w:t xml:space="preserve">Criminal Procedure and Investigations Act </w:t>
      </w:r>
      <w:r w:rsidRPr="009A663D">
        <w:rPr>
          <w:rFonts w:ascii="Open Sans" w:hAnsi="Open Sans" w:cs="Open Sans"/>
          <w:color w:val="000000"/>
          <w:sz w:val="20"/>
          <w:szCs w:val="20"/>
        </w:rPr>
        <w:t xml:space="preserve">1996 (section 23(1)) Code of Practice Revised in accordance with section 25(4) of the Criminal Procedure and Investigations Act 1996. London: Ministry of Justice, UK Government. Available </w:t>
      </w:r>
      <w:proofErr w:type="gramStart"/>
      <w:r w:rsidRPr="009A663D">
        <w:rPr>
          <w:rFonts w:ascii="Open Sans" w:hAnsi="Open Sans" w:cs="Open Sans"/>
          <w:color w:val="000000"/>
          <w:sz w:val="20"/>
          <w:szCs w:val="20"/>
        </w:rPr>
        <w:t>at :</w:t>
      </w:r>
      <w:proofErr w:type="gramEnd"/>
      <w:r w:rsidRPr="009A663D">
        <w:rPr>
          <w:rFonts w:ascii="Open Sans" w:hAnsi="Open Sans" w:cs="Open Sans"/>
          <w:color w:val="000000"/>
          <w:sz w:val="20"/>
          <w:szCs w:val="20"/>
        </w:rPr>
        <w:t xml:space="preserve"> </w:t>
      </w:r>
      <w:hyperlink r:id="rId114" w:history="1">
        <w:r w:rsidRPr="009A663D">
          <w:rPr>
            <w:rStyle w:val="Hyperlink"/>
            <w:rFonts w:ascii="Open Sans" w:hAnsi="Open Sans" w:cs="Open Sans"/>
            <w:color w:val="000000"/>
            <w:sz w:val="20"/>
            <w:szCs w:val="20"/>
          </w:rPr>
          <w:t>www.legislation.gov.uk/ukpga/1996/25/contents</w:t>
        </w:r>
      </w:hyperlink>
      <w:r w:rsidRPr="009A663D">
        <w:rPr>
          <w:rFonts w:ascii="Open Sans" w:hAnsi="Open Sans" w:cs="Open Sans"/>
          <w:color w:val="000000"/>
          <w:sz w:val="20"/>
          <w:szCs w:val="20"/>
        </w:rPr>
        <w:t xml:space="preserve"> (Accessed: 4 May 2022)</w:t>
      </w:r>
    </w:p>
    <w:p w14:paraId="1FA905FB"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rPr>
        <w:t xml:space="preserve">Crown Prosecution Service (2021). </w:t>
      </w:r>
      <w:r w:rsidRPr="009A663D">
        <w:rPr>
          <w:rFonts w:ascii="Open Sans" w:hAnsi="Open Sans" w:cs="Open Sans"/>
          <w:i/>
          <w:iCs/>
          <w:color w:val="000000"/>
          <w:sz w:val="20"/>
          <w:szCs w:val="20"/>
        </w:rPr>
        <w:t>Disclosure Manual</w:t>
      </w:r>
      <w:r w:rsidRPr="009A663D">
        <w:rPr>
          <w:rFonts w:ascii="Open Sans" w:hAnsi="Open Sans" w:cs="Open Sans"/>
          <w:color w:val="000000"/>
          <w:sz w:val="20"/>
          <w:szCs w:val="20"/>
        </w:rPr>
        <w:t xml:space="preserve">. CPS Website. Available </w:t>
      </w:r>
      <w:proofErr w:type="gramStart"/>
      <w:r w:rsidRPr="009A663D">
        <w:rPr>
          <w:rFonts w:ascii="Open Sans" w:hAnsi="Open Sans" w:cs="Open Sans"/>
          <w:color w:val="000000"/>
          <w:sz w:val="20"/>
          <w:szCs w:val="20"/>
        </w:rPr>
        <w:t>at :</w:t>
      </w:r>
      <w:proofErr w:type="gramEnd"/>
      <w:r w:rsidRPr="009A663D">
        <w:rPr>
          <w:rFonts w:ascii="Open Sans" w:hAnsi="Open Sans" w:cs="Open Sans"/>
          <w:color w:val="000000"/>
          <w:sz w:val="20"/>
          <w:szCs w:val="20"/>
        </w:rPr>
        <w:t xml:space="preserve"> </w:t>
      </w:r>
      <w:hyperlink r:id="rId115" w:history="1">
        <w:r w:rsidRPr="009A663D">
          <w:rPr>
            <w:rStyle w:val="Hyperlink"/>
            <w:rFonts w:ascii="Open Sans" w:hAnsi="Open Sans" w:cs="Open Sans"/>
            <w:color w:val="000000"/>
            <w:sz w:val="20"/>
            <w:szCs w:val="20"/>
          </w:rPr>
          <w:t>www.cps.gov.uk/legal-guidance/disclosure-manual</w:t>
        </w:r>
      </w:hyperlink>
      <w:r w:rsidRPr="009A663D">
        <w:rPr>
          <w:rFonts w:ascii="Open Sans" w:hAnsi="Open Sans" w:cs="Open Sans"/>
          <w:color w:val="000000"/>
          <w:sz w:val="20"/>
          <w:szCs w:val="20"/>
        </w:rPr>
        <w:t>. (Accessed: 6 May 2022)</w:t>
      </w:r>
    </w:p>
    <w:p w14:paraId="325742C7"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 xml:space="preserve">Dennis, I., 2018. </w:t>
      </w:r>
      <w:r w:rsidRPr="009A663D">
        <w:rPr>
          <w:rFonts w:ascii="Open Sans" w:hAnsi="Open Sans" w:cs="Open Sans"/>
          <w:i/>
          <w:iCs/>
          <w:color w:val="000000"/>
          <w:sz w:val="20"/>
          <w:szCs w:val="20"/>
          <w:shd w:val="clear" w:color="auto" w:fill="FFFFFF"/>
        </w:rPr>
        <w:t xml:space="preserve">Prosecution disclosure: Are the problems </w:t>
      </w:r>
      <w:proofErr w:type="gramStart"/>
      <w:r w:rsidRPr="009A663D">
        <w:rPr>
          <w:rFonts w:ascii="Open Sans" w:hAnsi="Open Sans" w:cs="Open Sans"/>
          <w:i/>
          <w:iCs/>
          <w:color w:val="000000"/>
          <w:sz w:val="20"/>
          <w:szCs w:val="20"/>
          <w:shd w:val="clear" w:color="auto" w:fill="FFFFFF"/>
        </w:rPr>
        <w:t>insoluble</w:t>
      </w:r>
      <w:r w:rsidRPr="009A663D">
        <w:rPr>
          <w:rFonts w:ascii="Open Sans" w:hAnsi="Open Sans" w:cs="Open Sans"/>
          <w:color w:val="000000"/>
          <w:sz w:val="20"/>
          <w:szCs w:val="20"/>
          <w:shd w:val="clear" w:color="auto" w:fill="FFFFFF"/>
        </w:rPr>
        <w:t>?.</w:t>
      </w:r>
      <w:proofErr w:type="gramEnd"/>
      <w:r w:rsidRPr="009A663D">
        <w:rPr>
          <w:rFonts w:ascii="Open Sans" w:hAnsi="Open Sans" w:cs="Open Sans"/>
          <w:color w:val="000000"/>
          <w:sz w:val="20"/>
          <w:szCs w:val="20"/>
          <w:shd w:val="clear" w:color="auto" w:fill="FFFFFF"/>
        </w:rPr>
        <w:t xml:space="preserve"> University College London. p.3. Available </w:t>
      </w:r>
      <w:proofErr w:type="gramStart"/>
      <w:r w:rsidRPr="009A663D">
        <w:rPr>
          <w:rFonts w:ascii="Open Sans" w:hAnsi="Open Sans" w:cs="Open Sans"/>
          <w:color w:val="000000"/>
          <w:sz w:val="20"/>
          <w:szCs w:val="20"/>
          <w:shd w:val="clear" w:color="auto" w:fill="FFFFFF"/>
        </w:rPr>
        <w:t>at :</w:t>
      </w:r>
      <w:proofErr w:type="gramEnd"/>
      <w:r w:rsidRPr="009A663D">
        <w:rPr>
          <w:rFonts w:ascii="Open Sans" w:hAnsi="Open Sans" w:cs="Open Sans"/>
          <w:color w:val="000000"/>
          <w:sz w:val="20"/>
          <w:szCs w:val="20"/>
          <w:shd w:val="clear" w:color="auto" w:fill="FFFFFF"/>
        </w:rPr>
        <w:t xml:space="preserve"> </w:t>
      </w:r>
      <w:hyperlink r:id="rId116" w:history="1">
        <w:r w:rsidRPr="009A663D">
          <w:rPr>
            <w:rStyle w:val="Hyperlink"/>
            <w:rFonts w:ascii="Open Sans" w:hAnsi="Open Sans" w:cs="Open Sans"/>
            <w:color w:val="000000"/>
            <w:sz w:val="20"/>
            <w:szCs w:val="20"/>
            <w:shd w:val="clear" w:color="auto" w:fill="FFFFFF"/>
          </w:rPr>
          <w:t>www.cccj.law.cam.ac.uk/sites/www.law.cam.ac.uk/files/images/www.cccj.law.cam.ac.uk/documents/prosecution_disclosure</w:t>
        </w:r>
      </w:hyperlink>
      <w:r w:rsidRPr="009A663D">
        <w:rPr>
          <w:rFonts w:ascii="Open Sans" w:hAnsi="Open Sans" w:cs="Open Sans"/>
          <w:color w:val="000000"/>
          <w:sz w:val="20"/>
          <w:szCs w:val="20"/>
          <w:shd w:val="clear" w:color="auto" w:fill="FFFFFF"/>
        </w:rPr>
        <w:t>. [pdf] (Accessed: 6 May 2022)</w:t>
      </w:r>
    </w:p>
    <w:p w14:paraId="58A9A8E7"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rPr>
        <w:t xml:space="preserve">Fergusson, L., Harmes, M., Hayes, F., &amp; </w:t>
      </w:r>
      <w:proofErr w:type="spellStart"/>
      <w:r w:rsidRPr="009A663D">
        <w:rPr>
          <w:rFonts w:ascii="Open Sans" w:hAnsi="Open Sans" w:cs="Open Sans"/>
          <w:color w:val="000000"/>
          <w:sz w:val="20"/>
          <w:szCs w:val="20"/>
        </w:rPr>
        <w:t>Rahmann</w:t>
      </w:r>
      <w:proofErr w:type="spellEnd"/>
      <w:r w:rsidRPr="009A663D">
        <w:rPr>
          <w:rFonts w:ascii="Open Sans" w:hAnsi="Open Sans" w:cs="Open Sans"/>
          <w:color w:val="000000"/>
          <w:sz w:val="20"/>
          <w:szCs w:val="20"/>
        </w:rPr>
        <w:t xml:space="preserve">, C. (2019). ‘Lines-of-inquiry and sources of evidence in work-based research’. Work-Based Learning e-Journal International, 8(2). Pp, 99, 101. Available </w:t>
      </w:r>
      <w:proofErr w:type="gramStart"/>
      <w:r w:rsidRPr="009A663D">
        <w:rPr>
          <w:rFonts w:ascii="Open Sans" w:hAnsi="Open Sans" w:cs="Open Sans"/>
          <w:color w:val="000000"/>
          <w:sz w:val="20"/>
          <w:szCs w:val="20"/>
        </w:rPr>
        <w:t>at :</w:t>
      </w:r>
      <w:proofErr w:type="gramEnd"/>
      <w:r w:rsidRPr="009A663D">
        <w:rPr>
          <w:rFonts w:ascii="Open Sans" w:hAnsi="Open Sans" w:cs="Open Sans"/>
          <w:color w:val="000000"/>
          <w:sz w:val="20"/>
          <w:szCs w:val="20"/>
        </w:rPr>
        <w:t xml:space="preserve"> </w:t>
      </w:r>
      <w:hyperlink r:id="rId117" w:history="1">
        <w:r w:rsidRPr="009A663D">
          <w:rPr>
            <w:rStyle w:val="Hyperlink"/>
            <w:rFonts w:ascii="Open Sans" w:hAnsi="Open Sans" w:cs="Open Sans"/>
            <w:color w:val="000000"/>
            <w:sz w:val="20"/>
            <w:szCs w:val="20"/>
          </w:rPr>
          <w:t>https://eprints.usq.edu.au/37497/</w:t>
        </w:r>
      </w:hyperlink>
      <w:r w:rsidRPr="009A663D">
        <w:rPr>
          <w:rFonts w:ascii="Open Sans" w:hAnsi="Open Sans" w:cs="Open Sans"/>
          <w:color w:val="000000"/>
          <w:sz w:val="20"/>
          <w:szCs w:val="20"/>
        </w:rPr>
        <w:t xml:space="preserve"> (Accessed: 30 April 2022) </w:t>
      </w:r>
    </w:p>
    <w:p w14:paraId="7FC1933C"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Griffiths, A. &amp; Milne, R. (2006). Will it all end in tiers? Police interviews with suspects in Britain. </w:t>
      </w:r>
      <w:r w:rsidRPr="009A663D">
        <w:rPr>
          <w:rFonts w:ascii="Open Sans" w:hAnsi="Open Sans" w:cs="Open Sans"/>
          <w:i/>
          <w:iCs/>
          <w:color w:val="000000"/>
          <w:sz w:val="20"/>
          <w:szCs w:val="20"/>
          <w:shd w:val="clear" w:color="auto" w:fill="FFFFFF"/>
        </w:rPr>
        <w:t>Investigative interviewing</w:t>
      </w:r>
      <w:r w:rsidRPr="009A663D">
        <w:rPr>
          <w:rFonts w:ascii="Open Sans" w:hAnsi="Open Sans" w:cs="Open Sans"/>
          <w:color w:val="000000"/>
          <w:sz w:val="20"/>
          <w:szCs w:val="20"/>
          <w:shd w:val="clear" w:color="auto" w:fill="FFFFFF"/>
        </w:rPr>
        <w:t xml:space="preserve">, p. 173 Available </w:t>
      </w:r>
      <w:proofErr w:type="gramStart"/>
      <w:r w:rsidRPr="009A663D">
        <w:rPr>
          <w:rFonts w:ascii="Open Sans" w:hAnsi="Open Sans" w:cs="Open Sans"/>
          <w:color w:val="000000"/>
          <w:sz w:val="20"/>
          <w:szCs w:val="20"/>
          <w:shd w:val="clear" w:color="auto" w:fill="FFFFFF"/>
        </w:rPr>
        <w:t>at :</w:t>
      </w:r>
      <w:proofErr w:type="gramEnd"/>
      <w:r w:rsidRPr="009A663D">
        <w:rPr>
          <w:rFonts w:ascii="Open Sans" w:hAnsi="Open Sans" w:cs="Open Sans"/>
          <w:color w:val="000000"/>
          <w:sz w:val="20"/>
          <w:szCs w:val="20"/>
          <w:shd w:val="clear" w:color="auto" w:fill="FFFFFF"/>
        </w:rPr>
        <w:t xml:space="preserve"> </w:t>
      </w:r>
      <w:r w:rsidRPr="009A663D">
        <w:rPr>
          <w:rFonts w:ascii="Open Sans" w:hAnsi="Open Sans" w:cs="Open Sans"/>
          <w:color w:val="000000"/>
          <w:sz w:val="20"/>
          <w:szCs w:val="20"/>
        </w:rPr>
        <w:t>https://books.google.co.uk/books?hl=en&amp;lr=&amp;id=HDXB5lxHnFMC&amp;oi=fnd&amp;pg=PA167&amp;dq=planning+and+analysis+in+police+witness+interviews&amp;ots=iox52A5vuU&amp;sig=9W2_U8HY99SYpukDEg_G3KFwTPg#v=onepage&amp;q&amp;f=false</w:t>
      </w:r>
    </w:p>
    <w:p w14:paraId="403A6586"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Jackson, A.R., Jackson, J.M. (2008) </w:t>
      </w:r>
      <w:r w:rsidRPr="009A663D">
        <w:rPr>
          <w:rFonts w:ascii="Open Sans" w:hAnsi="Open Sans" w:cs="Open Sans"/>
          <w:i/>
          <w:iCs/>
          <w:color w:val="000000"/>
          <w:sz w:val="20"/>
          <w:szCs w:val="20"/>
          <w:shd w:val="clear" w:color="auto" w:fill="FFFFFF"/>
        </w:rPr>
        <w:t>Forensic science</w:t>
      </w:r>
      <w:r w:rsidRPr="009A663D">
        <w:rPr>
          <w:rFonts w:ascii="Open Sans" w:hAnsi="Open Sans" w:cs="Open Sans"/>
          <w:color w:val="000000"/>
          <w:sz w:val="20"/>
          <w:szCs w:val="20"/>
          <w:shd w:val="clear" w:color="auto" w:fill="FFFFFF"/>
        </w:rPr>
        <w:t>. 2</w:t>
      </w:r>
      <w:r w:rsidRPr="009A663D">
        <w:rPr>
          <w:rFonts w:ascii="Open Sans" w:hAnsi="Open Sans" w:cs="Open Sans"/>
          <w:color w:val="000000"/>
          <w:sz w:val="20"/>
          <w:szCs w:val="20"/>
          <w:shd w:val="clear" w:color="auto" w:fill="FFFFFF"/>
          <w:vertAlign w:val="superscript"/>
        </w:rPr>
        <w:t>nd</w:t>
      </w:r>
      <w:r w:rsidRPr="009A663D">
        <w:rPr>
          <w:rFonts w:ascii="Open Sans" w:hAnsi="Open Sans" w:cs="Open Sans"/>
          <w:color w:val="000000"/>
          <w:sz w:val="20"/>
          <w:szCs w:val="20"/>
          <w:shd w:val="clear" w:color="auto" w:fill="FFFFFF"/>
        </w:rPr>
        <w:t xml:space="preserve"> </w:t>
      </w:r>
      <w:proofErr w:type="spellStart"/>
      <w:r w:rsidRPr="009A663D">
        <w:rPr>
          <w:rFonts w:ascii="Open Sans" w:hAnsi="Open Sans" w:cs="Open Sans"/>
          <w:color w:val="000000"/>
          <w:sz w:val="20"/>
          <w:szCs w:val="20"/>
          <w:shd w:val="clear" w:color="auto" w:fill="FFFFFF"/>
        </w:rPr>
        <w:t>edn</w:t>
      </w:r>
      <w:proofErr w:type="spellEnd"/>
      <w:r w:rsidRPr="009A663D">
        <w:rPr>
          <w:rFonts w:ascii="Open Sans" w:hAnsi="Open Sans" w:cs="Open Sans"/>
          <w:color w:val="000000"/>
          <w:sz w:val="20"/>
          <w:szCs w:val="20"/>
          <w:shd w:val="clear" w:color="auto" w:fill="FFFFFF"/>
        </w:rPr>
        <w:t xml:space="preserve">. p. 2. Harlow: Pearson Education. </w:t>
      </w:r>
    </w:p>
    <w:p w14:paraId="1B55A1EB"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Jarvis, D (2022) ‘</w:t>
      </w:r>
      <w:r w:rsidRPr="009A663D">
        <w:rPr>
          <w:rFonts w:ascii="Open Sans" w:hAnsi="Open Sans" w:cs="Open Sans"/>
          <w:i/>
          <w:iCs/>
          <w:color w:val="000000"/>
          <w:sz w:val="20"/>
          <w:szCs w:val="20"/>
          <w:shd w:val="clear" w:color="auto" w:fill="FFFFFF"/>
        </w:rPr>
        <w:t xml:space="preserve">Lost Evidence has collapsed 6,000 cases including alleged killers and </w:t>
      </w:r>
      <w:proofErr w:type="gramStart"/>
      <w:r w:rsidRPr="009A663D">
        <w:rPr>
          <w:rFonts w:ascii="Open Sans" w:hAnsi="Open Sans" w:cs="Open Sans"/>
          <w:i/>
          <w:iCs/>
          <w:color w:val="000000"/>
          <w:sz w:val="20"/>
          <w:szCs w:val="20"/>
          <w:shd w:val="clear" w:color="auto" w:fill="FFFFFF"/>
        </w:rPr>
        <w:t>rapists’</w:t>
      </w:r>
      <w:proofErr w:type="gramEnd"/>
      <w:r w:rsidRPr="009A663D">
        <w:rPr>
          <w:rFonts w:ascii="Open Sans" w:hAnsi="Open Sans" w:cs="Open Sans"/>
          <w:color w:val="000000"/>
          <w:sz w:val="20"/>
          <w:szCs w:val="20"/>
          <w:shd w:val="clear" w:color="auto" w:fill="FFFFFF"/>
        </w:rPr>
        <w:t>. The Mirror, 12</w:t>
      </w:r>
      <w:r w:rsidRPr="009A663D">
        <w:rPr>
          <w:rFonts w:ascii="Open Sans" w:hAnsi="Open Sans" w:cs="Open Sans"/>
          <w:color w:val="000000"/>
          <w:sz w:val="20"/>
          <w:szCs w:val="20"/>
          <w:shd w:val="clear" w:color="auto" w:fill="FFFFFF"/>
          <w:vertAlign w:val="superscript"/>
        </w:rPr>
        <w:t>th</w:t>
      </w:r>
      <w:r w:rsidRPr="009A663D">
        <w:rPr>
          <w:rFonts w:ascii="Open Sans" w:hAnsi="Open Sans" w:cs="Open Sans"/>
          <w:color w:val="000000"/>
          <w:sz w:val="20"/>
          <w:szCs w:val="20"/>
          <w:shd w:val="clear" w:color="auto" w:fill="FFFFFF"/>
        </w:rPr>
        <w:t xml:space="preserve"> February 2022. Available </w:t>
      </w:r>
      <w:proofErr w:type="gramStart"/>
      <w:r w:rsidRPr="009A663D">
        <w:rPr>
          <w:rFonts w:ascii="Open Sans" w:hAnsi="Open Sans" w:cs="Open Sans"/>
          <w:color w:val="000000"/>
          <w:sz w:val="20"/>
          <w:szCs w:val="20"/>
          <w:shd w:val="clear" w:color="auto" w:fill="FFFFFF"/>
        </w:rPr>
        <w:t>at :</w:t>
      </w:r>
      <w:proofErr w:type="gramEnd"/>
      <w:r w:rsidRPr="009A663D">
        <w:rPr>
          <w:rFonts w:ascii="Open Sans" w:hAnsi="Open Sans" w:cs="Open Sans"/>
          <w:color w:val="000000"/>
          <w:sz w:val="20"/>
          <w:szCs w:val="20"/>
          <w:shd w:val="clear" w:color="auto" w:fill="FFFFFF"/>
        </w:rPr>
        <w:t xml:space="preserve"> </w:t>
      </w:r>
      <w:hyperlink r:id="rId118" w:history="1">
        <w:r w:rsidRPr="009A663D">
          <w:rPr>
            <w:rStyle w:val="Hyperlink"/>
            <w:rFonts w:ascii="Open Sans" w:hAnsi="Open Sans" w:cs="Open Sans"/>
            <w:color w:val="000000"/>
            <w:sz w:val="20"/>
            <w:szCs w:val="20"/>
            <w:shd w:val="clear" w:color="auto" w:fill="FFFFFF"/>
          </w:rPr>
          <w:t>www.mirror.co.uk/news/uk-news/lost-evidence-collapsed-6000-cases-26214302</w:t>
        </w:r>
      </w:hyperlink>
      <w:r w:rsidRPr="009A663D">
        <w:rPr>
          <w:rFonts w:ascii="Open Sans" w:hAnsi="Open Sans" w:cs="Open Sans"/>
          <w:color w:val="000000"/>
          <w:sz w:val="20"/>
          <w:szCs w:val="20"/>
          <w:shd w:val="clear" w:color="auto" w:fill="FFFFFF"/>
        </w:rPr>
        <w:t xml:space="preserve"> (Accessed: 4 May 2022) </w:t>
      </w:r>
    </w:p>
    <w:p w14:paraId="3F317EDA" w14:textId="77777777" w:rsidR="009A663D" w:rsidRPr="009A663D" w:rsidRDefault="009A663D" w:rsidP="009A663D">
      <w:pPr>
        <w:rPr>
          <w:rFonts w:ascii="Open Sans" w:hAnsi="Open Sans" w:cs="Open Sans"/>
          <w:sz w:val="20"/>
          <w:szCs w:val="20"/>
        </w:rPr>
      </w:pPr>
      <w:proofErr w:type="spellStart"/>
      <w:r w:rsidRPr="009A663D">
        <w:rPr>
          <w:rFonts w:ascii="Open Sans" w:hAnsi="Open Sans" w:cs="Open Sans"/>
          <w:color w:val="000000"/>
          <w:sz w:val="20"/>
          <w:szCs w:val="20"/>
          <w:shd w:val="clear" w:color="auto" w:fill="FFFFFF"/>
        </w:rPr>
        <w:t>Jobela</w:t>
      </w:r>
      <w:proofErr w:type="spellEnd"/>
      <w:r w:rsidRPr="009A663D">
        <w:rPr>
          <w:rFonts w:ascii="Open Sans" w:hAnsi="Open Sans" w:cs="Open Sans"/>
          <w:color w:val="000000"/>
          <w:sz w:val="20"/>
          <w:szCs w:val="20"/>
          <w:shd w:val="clear" w:color="auto" w:fill="FFFFFF"/>
        </w:rPr>
        <w:t>, N.K., (2019). </w:t>
      </w:r>
      <w:r w:rsidRPr="009A663D">
        <w:rPr>
          <w:rFonts w:ascii="Open Sans" w:hAnsi="Open Sans" w:cs="Open Sans"/>
          <w:i/>
          <w:iCs/>
          <w:color w:val="000000"/>
          <w:sz w:val="20"/>
          <w:szCs w:val="20"/>
          <w:shd w:val="clear" w:color="auto" w:fill="FFFFFF"/>
        </w:rPr>
        <w:t>The significance of efficient murder crime scene processing</w:t>
      </w:r>
      <w:r w:rsidRPr="009A663D">
        <w:rPr>
          <w:rFonts w:ascii="Open Sans" w:hAnsi="Open Sans" w:cs="Open Sans"/>
          <w:color w:val="000000"/>
          <w:sz w:val="20"/>
          <w:szCs w:val="20"/>
          <w:shd w:val="clear" w:color="auto" w:fill="FFFFFF"/>
        </w:rPr>
        <w:t xml:space="preserve"> (Doctoral dissertation). p. 28, 42. Available </w:t>
      </w:r>
      <w:proofErr w:type="gramStart"/>
      <w:r w:rsidRPr="009A663D">
        <w:rPr>
          <w:rFonts w:ascii="Open Sans" w:hAnsi="Open Sans" w:cs="Open Sans"/>
          <w:color w:val="000000"/>
          <w:sz w:val="20"/>
          <w:szCs w:val="20"/>
          <w:shd w:val="clear" w:color="auto" w:fill="FFFFFF"/>
        </w:rPr>
        <w:t>at :</w:t>
      </w:r>
      <w:proofErr w:type="gramEnd"/>
      <w:r w:rsidRPr="009A663D">
        <w:rPr>
          <w:rFonts w:ascii="Open Sans" w:hAnsi="Open Sans" w:cs="Open Sans"/>
          <w:color w:val="000000"/>
          <w:sz w:val="20"/>
          <w:szCs w:val="20"/>
          <w:shd w:val="clear" w:color="auto" w:fill="FFFFFF"/>
        </w:rPr>
        <w:t xml:space="preserve"> </w:t>
      </w:r>
      <w:r w:rsidRPr="009A663D">
        <w:rPr>
          <w:rFonts w:ascii="Open Sans" w:hAnsi="Open Sans" w:cs="Open Sans"/>
          <w:color w:val="000000"/>
          <w:sz w:val="20"/>
          <w:szCs w:val="20"/>
          <w:u w:val="single"/>
          <w:shd w:val="clear" w:color="auto" w:fill="FFFFFF"/>
        </w:rPr>
        <w:t>https://</w:t>
      </w:r>
      <w:r w:rsidRPr="009A663D">
        <w:rPr>
          <w:rFonts w:ascii="Open Sans" w:hAnsi="Open Sans" w:cs="Open Sans"/>
          <w:color w:val="000000"/>
          <w:sz w:val="20"/>
          <w:szCs w:val="20"/>
          <w:u w:val="single"/>
        </w:rPr>
        <w:t xml:space="preserve"> </w:t>
      </w:r>
      <w:r w:rsidRPr="009A663D">
        <w:rPr>
          <w:rFonts w:ascii="Open Sans" w:hAnsi="Open Sans" w:cs="Open Sans"/>
          <w:color w:val="000000"/>
          <w:sz w:val="20"/>
          <w:szCs w:val="20"/>
          <w:u w:val="single"/>
          <w:shd w:val="clear" w:color="auto" w:fill="FFFFFF"/>
        </w:rPr>
        <w:t>uir.unisa.ac.za/handle/10500/25739</w:t>
      </w:r>
      <w:r w:rsidRPr="009A663D">
        <w:rPr>
          <w:rFonts w:ascii="Open Sans" w:hAnsi="Open Sans" w:cs="Open Sans"/>
          <w:color w:val="000000"/>
          <w:sz w:val="20"/>
          <w:szCs w:val="20"/>
          <w:shd w:val="clear" w:color="auto" w:fill="FFFFFF"/>
        </w:rPr>
        <w:t xml:space="preserve"> (Accessed: 4 May 2022)</w:t>
      </w:r>
    </w:p>
    <w:p w14:paraId="68DC39CC"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 xml:space="preserve">Johnston, E. (2020) ‘The adversarial defence lawyer: Myths, disclosure and efficiency – A contemporary analysis of the role in the era of the Criminal Procedure Rules’, </w:t>
      </w:r>
      <w:r w:rsidRPr="009A663D">
        <w:rPr>
          <w:rFonts w:ascii="Open Sans" w:hAnsi="Open Sans" w:cs="Open Sans"/>
          <w:i/>
          <w:iCs/>
          <w:color w:val="000000"/>
          <w:sz w:val="20"/>
          <w:szCs w:val="20"/>
          <w:shd w:val="clear" w:color="auto" w:fill="FFFFFF"/>
        </w:rPr>
        <w:t>The international journal of evidence &amp; proof</w:t>
      </w:r>
      <w:r w:rsidRPr="009A663D">
        <w:rPr>
          <w:rFonts w:ascii="Open Sans" w:hAnsi="Open Sans" w:cs="Open Sans"/>
          <w:color w:val="000000"/>
          <w:sz w:val="20"/>
          <w:szCs w:val="20"/>
          <w:shd w:val="clear" w:color="auto" w:fill="FFFFFF"/>
        </w:rPr>
        <w:t xml:space="preserve">. 24(1) pp. 45-47, 55. Available </w:t>
      </w:r>
      <w:proofErr w:type="gramStart"/>
      <w:r w:rsidRPr="009A663D">
        <w:rPr>
          <w:rFonts w:ascii="Open Sans" w:hAnsi="Open Sans" w:cs="Open Sans"/>
          <w:color w:val="000000"/>
          <w:sz w:val="20"/>
          <w:szCs w:val="20"/>
          <w:shd w:val="clear" w:color="auto" w:fill="FFFFFF"/>
        </w:rPr>
        <w:t>at :</w:t>
      </w:r>
      <w:proofErr w:type="gramEnd"/>
      <w:r w:rsidRPr="009A663D">
        <w:rPr>
          <w:rFonts w:ascii="Open Sans" w:hAnsi="Open Sans" w:cs="Open Sans"/>
          <w:color w:val="000000"/>
          <w:sz w:val="20"/>
          <w:szCs w:val="20"/>
          <w:shd w:val="clear" w:color="auto" w:fill="FFFFFF"/>
        </w:rPr>
        <w:t xml:space="preserve"> </w:t>
      </w:r>
      <w:hyperlink r:id="rId119" w:history="1">
        <w:r w:rsidRPr="009A663D">
          <w:rPr>
            <w:rFonts w:ascii="Open Sans" w:hAnsi="Open Sans" w:cs="Open Sans"/>
            <w:color w:val="000000"/>
            <w:sz w:val="20"/>
            <w:szCs w:val="20"/>
            <w:shd w:val="clear" w:color="auto" w:fill="FFFFFF"/>
          </w:rPr>
          <w:t>doi.</w:t>
        </w:r>
        <w:r w:rsidRPr="009A663D">
          <w:rPr>
            <w:rFonts w:ascii="Open Sans" w:hAnsi="Open Sans" w:cs="Open Sans"/>
            <w:color w:val="000000"/>
            <w:sz w:val="20"/>
            <w:szCs w:val="20"/>
            <w:u w:val="single"/>
            <w:shd w:val="clear" w:color="auto" w:fill="FFFFFF"/>
          </w:rPr>
          <w:t>org/10.1177/1365712719867972</w:t>
        </w:r>
      </w:hyperlink>
      <w:r w:rsidRPr="009A663D">
        <w:rPr>
          <w:rFonts w:ascii="Open Sans" w:hAnsi="Open Sans" w:cs="Open Sans"/>
          <w:color w:val="000000"/>
          <w:sz w:val="20"/>
          <w:szCs w:val="20"/>
        </w:rPr>
        <w:t xml:space="preserve">. </w:t>
      </w:r>
    </w:p>
    <w:p w14:paraId="63A247AF"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 xml:space="preserve">Kelly. J (2010) ‘Yorkshire Ripper Peter Sutcliffe’s deadly trial’. BBC news website. Available </w:t>
      </w:r>
      <w:proofErr w:type="gramStart"/>
      <w:r w:rsidRPr="009A663D">
        <w:rPr>
          <w:rFonts w:ascii="Open Sans" w:hAnsi="Open Sans" w:cs="Open Sans"/>
          <w:color w:val="000000"/>
          <w:sz w:val="20"/>
          <w:szCs w:val="20"/>
          <w:shd w:val="clear" w:color="auto" w:fill="FFFFFF"/>
        </w:rPr>
        <w:t>at :</w:t>
      </w:r>
      <w:proofErr w:type="gramEnd"/>
      <w:r w:rsidRPr="009A663D">
        <w:rPr>
          <w:rFonts w:ascii="Open Sans" w:hAnsi="Open Sans" w:cs="Open Sans"/>
          <w:color w:val="000000"/>
          <w:sz w:val="20"/>
          <w:szCs w:val="20"/>
          <w:shd w:val="clear" w:color="auto" w:fill="FFFFFF"/>
        </w:rPr>
        <w:t xml:space="preserve"> </w:t>
      </w:r>
      <w:hyperlink r:id="rId120" w:history="1">
        <w:r w:rsidRPr="009A663D">
          <w:rPr>
            <w:rStyle w:val="Hyperlink"/>
            <w:rFonts w:ascii="Open Sans" w:hAnsi="Open Sans" w:cs="Open Sans"/>
            <w:color w:val="000000"/>
            <w:sz w:val="20"/>
            <w:szCs w:val="20"/>
            <w:shd w:val="clear" w:color="auto" w:fill="FFFFFF"/>
          </w:rPr>
          <w:t>www.bbc.co.uk/news/av/uk-10659562</w:t>
        </w:r>
      </w:hyperlink>
      <w:r w:rsidRPr="009A663D">
        <w:rPr>
          <w:rFonts w:ascii="Open Sans" w:hAnsi="Open Sans" w:cs="Open Sans"/>
          <w:color w:val="000000"/>
          <w:sz w:val="20"/>
          <w:szCs w:val="20"/>
          <w:shd w:val="clear" w:color="auto" w:fill="FFFFFF"/>
        </w:rPr>
        <w:t xml:space="preserve"> (Accessed: 4 May 2022) </w:t>
      </w:r>
    </w:p>
    <w:p w14:paraId="63A4F916"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rPr>
        <w:t xml:space="preserve">Locke, E. (1996) Motivation through conscious goal setting. </w:t>
      </w:r>
      <w:r w:rsidRPr="009A663D">
        <w:rPr>
          <w:rFonts w:ascii="Open Sans" w:hAnsi="Open Sans" w:cs="Open Sans"/>
          <w:i/>
          <w:iCs/>
          <w:color w:val="000000"/>
          <w:sz w:val="20"/>
          <w:szCs w:val="20"/>
        </w:rPr>
        <w:t>Applied and Preventative Psychology</w:t>
      </w:r>
      <w:r w:rsidRPr="009A663D">
        <w:rPr>
          <w:rFonts w:ascii="Open Sans" w:hAnsi="Open Sans" w:cs="Open Sans"/>
          <w:color w:val="000000"/>
          <w:sz w:val="20"/>
          <w:szCs w:val="20"/>
        </w:rPr>
        <w:t xml:space="preserve">. [E-journal] 5(2) pp. 119-120. Available </w:t>
      </w:r>
      <w:proofErr w:type="gramStart"/>
      <w:r w:rsidRPr="009A663D">
        <w:rPr>
          <w:rFonts w:ascii="Open Sans" w:hAnsi="Open Sans" w:cs="Open Sans"/>
          <w:color w:val="000000"/>
          <w:sz w:val="20"/>
          <w:szCs w:val="20"/>
        </w:rPr>
        <w:t>at :</w:t>
      </w:r>
      <w:proofErr w:type="gramEnd"/>
      <w:r w:rsidRPr="009A663D">
        <w:rPr>
          <w:rFonts w:ascii="Open Sans" w:hAnsi="Open Sans" w:cs="Open Sans"/>
          <w:color w:val="000000"/>
          <w:sz w:val="20"/>
          <w:szCs w:val="20"/>
        </w:rPr>
        <w:t xml:space="preserve"> </w:t>
      </w:r>
      <w:hyperlink r:id="rId121" w:tooltip="Persistent link using digital object identifier" w:history="1">
        <w:r w:rsidRPr="009A663D">
          <w:rPr>
            <w:rStyle w:val="Hyperlink"/>
            <w:rFonts w:ascii="Open Sans" w:hAnsi="Open Sans" w:cs="Open Sans"/>
            <w:color w:val="000000"/>
            <w:sz w:val="20"/>
            <w:szCs w:val="20"/>
          </w:rPr>
          <w:t>doi.org/10.1016/S0962-1849(96)80005-9</w:t>
        </w:r>
      </w:hyperlink>
    </w:p>
    <w:p w14:paraId="4AF4AC24"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rPr>
        <w:t>Magnano, P., Craparo, G., &amp; Paolillo, A. (2016). Resilience and Emotional Intelligence: which role in achievement motivation. </w:t>
      </w:r>
      <w:r w:rsidRPr="009A663D">
        <w:rPr>
          <w:rFonts w:ascii="Open Sans" w:hAnsi="Open Sans" w:cs="Open Sans"/>
          <w:i/>
          <w:iCs/>
          <w:color w:val="000000"/>
          <w:sz w:val="20"/>
          <w:szCs w:val="20"/>
        </w:rPr>
        <w:t>International Journal of Psychological Research</w:t>
      </w:r>
      <w:r w:rsidRPr="009A663D">
        <w:rPr>
          <w:rFonts w:ascii="Open Sans" w:hAnsi="Open Sans" w:cs="Open Sans"/>
          <w:color w:val="000000"/>
          <w:sz w:val="20"/>
          <w:szCs w:val="20"/>
        </w:rPr>
        <w:t>, </w:t>
      </w:r>
      <w:r w:rsidRPr="009A663D">
        <w:rPr>
          <w:rFonts w:ascii="Open Sans" w:hAnsi="Open Sans" w:cs="Open Sans"/>
          <w:i/>
          <w:iCs/>
          <w:color w:val="000000"/>
          <w:sz w:val="20"/>
          <w:szCs w:val="20"/>
        </w:rPr>
        <w:t>9</w:t>
      </w:r>
      <w:r w:rsidRPr="009A663D">
        <w:rPr>
          <w:rFonts w:ascii="Open Sans" w:hAnsi="Open Sans" w:cs="Open Sans"/>
          <w:color w:val="000000"/>
          <w:sz w:val="20"/>
          <w:szCs w:val="20"/>
        </w:rPr>
        <w:t xml:space="preserve">(1), p. 10. Available </w:t>
      </w:r>
      <w:proofErr w:type="gramStart"/>
      <w:r w:rsidRPr="009A663D">
        <w:rPr>
          <w:rFonts w:ascii="Open Sans" w:hAnsi="Open Sans" w:cs="Open Sans"/>
          <w:color w:val="000000"/>
          <w:sz w:val="20"/>
          <w:szCs w:val="20"/>
        </w:rPr>
        <w:t>at :</w:t>
      </w:r>
      <w:proofErr w:type="gramEnd"/>
      <w:r w:rsidRPr="009A663D">
        <w:rPr>
          <w:rFonts w:ascii="Open Sans" w:hAnsi="Open Sans" w:cs="Open Sans"/>
          <w:color w:val="000000"/>
          <w:sz w:val="20"/>
          <w:szCs w:val="20"/>
        </w:rPr>
        <w:t xml:space="preserve">  </w:t>
      </w:r>
      <w:hyperlink r:id="rId122" w:history="1">
        <w:r w:rsidRPr="009A663D">
          <w:rPr>
            <w:rStyle w:val="Hyperlink"/>
            <w:rFonts w:ascii="Open Sans" w:hAnsi="Open Sans" w:cs="Open Sans"/>
            <w:color w:val="000000"/>
            <w:sz w:val="20"/>
            <w:szCs w:val="20"/>
          </w:rPr>
          <w:t>http://www.scielo.org.co/scielo.php?script=sci_arttext&amp;pid=S2011-20842016000100002&amp;lng=en&amp;tlng=en</w:t>
        </w:r>
      </w:hyperlink>
      <w:r w:rsidRPr="009A663D">
        <w:rPr>
          <w:rFonts w:ascii="Open Sans" w:hAnsi="Open Sans" w:cs="Open Sans"/>
          <w:color w:val="000000"/>
          <w:sz w:val="20"/>
          <w:szCs w:val="20"/>
          <w:u w:val="single"/>
        </w:rPr>
        <w:t xml:space="preserve">. </w:t>
      </w:r>
      <w:r w:rsidRPr="009A663D">
        <w:rPr>
          <w:rFonts w:ascii="Open Sans" w:hAnsi="Open Sans" w:cs="Open Sans"/>
          <w:color w:val="000000"/>
          <w:sz w:val="20"/>
          <w:szCs w:val="20"/>
        </w:rPr>
        <w:t>(Accessed: 1 May 2022)</w:t>
      </w:r>
      <w:r w:rsidRPr="009A663D">
        <w:rPr>
          <w:rFonts w:ascii="Open Sans" w:hAnsi="Open Sans" w:cs="Open Sans"/>
          <w:color w:val="000000"/>
          <w:sz w:val="20"/>
          <w:szCs w:val="20"/>
          <w:u w:val="single"/>
        </w:rPr>
        <w:t xml:space="preserve"> </w:t>
      </w:r>
    </w:p>
    <w:p w14:paraId="277CB12E"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Mason, G. ‘</w:t>
      </w:r>
      <w:r w:rsidRPr="009A663D">
        <w:rPr>
          <w:rFonts w:ascii="Open Sans" w:hAnsi="Open Sans" w:cs="Open Sans"/>
          <w:i/>
          <w:iCs/>
          <w:color w:val="000000"/>
          <w:sz w:val="20"/>
          <w:szCs w:val="20"/>
          <w:shd w:val="clear" w:color="auto" w:fill="FFFFFF"/>
        </w:rPr>
        <w:t>The Yorkshire Ripper: the case that led to the HOLMES system’</w:t>
      </w:r>
      <w:r w:rsidRPr="009A663D">
        <w:rPr>
          <w:rFonts w:ascii="Open Sans" w:hAnsi="Open Sans" w:cs="Open Sans"/>
          <w:color w:val="000000"/>
          <w:sz w:val="20"/>
          <w:szCs w:val="20"/>
          <w:shd w:val="clear" w:color="auto" w:fill="FFFFFF"/>
        </w:rPr>
        <w:t xml:space="preserve">. Police Oracle. Available at: www.policeoracle.com/news/investigation/2020/Nov/13/the-yorkshire-ripper--the-case-that-led-to-the-holmes-system-_106190.html (Accessed: 4 May 2022) </w:t>
      </w:r>
    </w:p>
    <w:p w14:paraId="75A5EBDA"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 xml:space="preserve">McCartney, C, &amp; Shorter, L., (2020) ‘Police retention and storage of evidence in England and Wales’, </w:t>
      </w:r>
      <w:r w:rsidRPr="009A663D">
        <w:rPr>
          <w:rFonts w:ascii="Open Sans" w:hAnsi="Open Sans" w:cs="Open Sans"/>
          <w:i/>
          <w:iCs/>
          <w:color w:val="000000"/>
          <w:sz w:val="20"/>
          <w:szCs w:val="20"/>
          <w:shd w:val="clear" w:color="auto" w:fill="FFFFFF"/>
        </w:rPr>
        <w:t>International Journal of Police Science &amp; Management</w:t>
      </w:r>
      <w:r w:rsidRPr="009A663D">
        <w:rPr>
          <w:rFonts w:ascii="Open Sans" w:hAnsi="Open Sans" w:cs="Open Sans"/>
          <w:color w:val="000000"/>
          <w:sz w:val="20"/>
          <w:szCs w:val="20"/>
          <w:shd w:val="clear" w:color="auto" w:fill="FFFFFF"/>
        </w:rPr>
        <w:t>. [E-journal] 22(2) pp. 5, 9. Available at: DOI:</w:t>
      </w:r>
      <w:r w:rsidRPr="009A663D">
        <w:rPr>
          <w:rFonts w:ascii="Open Sans" w:hAnsi="Open Sans" w:cs="Open Sans"/>
          <w:color w:val="000000"/>
          <w:sz w:val="20"/>
          <w:szCs w:val="20"/>
          <w:u w:val="single"/>
          <w:shd w:val="clear" w:color="auto" w:fill="FFFFFF"/>
        </w:rPr>
        <w:t>10.1177/1461355719891741</w:t>
      </w:r>
      <w:r w:rsidRPr="009A663D">
        <w:rPr>
          <w:rFonts w:ascii="Open Sans" w:hAnsi="Open Sans" w:cs="Open Sans"/>
          <w:color w:val="000000"/>
          <w:sz w:val="20"/>
          <w:szCs w:val="20"/>
          <w:shd w:val="clear" w:color="auto" w:fill="FFFFFF"/>
        </w:rPr>
        <w:t xml:space="preserve"> </w:t>
      </w:r>
    </w:p>
    <w:p w14:paraId="79560899"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 xml:space="preserve">McCartney, C. &amp; Shorter, L., (2019) ‘Exacerbating injustice: </w:t>
      </w:r>
      <w:proofErr w:type="gramStart"/>
      <w:r w:rsidRPr="009A663D">
        <w:rPr>
          <w:rFonts w:ascii="Open Sans" w:hAnsi="Open Sans" w:cs="Open Sans"/>
          <w:color w:val="000000"/>
          <w:sz w:val="20"/>
          <w:szCs w:val="20"/>
          <w:shd w:val="clear" w:color="auto" w:fill="FFFFFF"/>
        </w:rPr>
        <w:t>Post-conviction</w:t>
      </w:r>
      <w:proofErr w:type="gramEnd"/>
      <w:r w:rsidRPr="009A663D">
        <w:rPr>
          <w:rFonts w:ascii="Open Sans" w:hAnsi="Open Sans" w:cs="Open Sans"/>
          <w:color w:val="000000"/>
          <w:sz w:val="20"/>
          <w:szCs w:val="20"/>
          <w:shd w:val="clear" w:color="auto" w:fill="FFFFFF"/>
        </w:rPr>
        <w:t xml:space="preserve"> disclosure in England and Wales. International Journal of Law, Crime and Justice. [E-journal] 59. p.3. Available at: </w:t>
      </w:r>
      <w:hyperlink r:id="rId123" w:tooltip="Persistent link using digital object identifier" w:history="1">
        <w:proofErr w:type="spellStart"/>
        <w:proofErr w:type="gramStart"/>
        <w:r w:rsidRPr="009A663D">
          <w:rPr>
            <w:rFonts w:ascii="Open Sans" w:hAnsi="Open Sans" w:cs="Open Sans"/>
            <w:color w:val="000000"/>
            <w:sz w:val="20"/>
            <w:szCs w:val="20"/>
          </w:rPr>
          <w:t>DOI:</w:t>
        </w:r>
        <w:r w:rsidRPr="009A663D">
          <w:rPr>
            <w:rFonts w:ascii="Open Sans" w:hAnsi="Open Sans" w:cs="Open Sans"/>
            <w:color w:val="000000"/>
            <w:sz w:val="20"/>
            <w:szCs w:val="20"/>
            <w:u w:val="single"/>
          </w:rPr>
          <w:t>org</w:t>
        </w:r>
        <w:proofErr w:type="spellEnd"/>
        <w:r w:rsidRPr="009A663D">
          <w:rPr>
            <w:rFonts w:ascii="Open Sans" w:hAnsi="Open Sans" w:cs="Open Sans"/>
            <w:color w:val="000000"/>
            <w:sz w:val="20"/>
            <w:szCs w:val="20"/>
            <w:u w:val="single"/>
          </w:rPr>
          <w:t>/10.1016/j.ijlcj</w:t>
        </w:r>
        <w:proofErr w:type="gramEnd"/>
        <w:r w:rsidRPr="009A663D">
          <w:rPr>
            <w:rFonts w:ascii="Open Sans" w:hAnsi="Open Sans" w:cs="Open Sans"/>
            <w:color w:val="000000"/>
            <w:sz w:val="20"/>
            <w:szCs w:val="20"/>
            <w:u w:val="single"/>
          </w:rPr>
          <w:t>.2019.03.007</w:t>
        </w:r>
      </w:hyperlink>
      <w:r w:rsidRPr="009A663D">
        <w:rPr>
          <w:rFonts w:ascii="Open Sans" w:hAnsi="Open Sans" w:cs="Open Sans"/>
          <w:color w:val="000000"/>
          <w:sz w:val="20"/>
          <w:szCs w:val="20"/>
        </w:rPr>
        <w:t xml:space="preserve">. </w:t>
      </w:r>
    </w:p>
    <w:p w14:paraId="7494BFE7"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Mooney, J., 2010. HOLMES: From inception to modern day via lessons learned. </w:t>
      </w:r>
      <w:r w:rsidRPr="009A663D">
        <w:rPr>
          <w:rFonts w:ascii="Open Sans" w:hAnsi="Open Sans" w:cs="Open Sans"/>
          <w:i/>
          <w:iCs/>
          <w:color w:val="000000"/>
          <w:sz w:val="20"/>
          <w:szCs w:val="20"/>
          <w:shd w:val="clear" w:color="auto" w:fill="FFFFFF"/>
        </w:rPr>
        <w:t>The Journal of Homicide and Major Incident Investigation</w:t>
      </w:r>
      <w:r w:rsidRPr="009A663D">
        <w:rPr>
          <w:rFonts w:ascii="Open Sans" w:hAnsi="Open Sans" w:cs="Open Sans"/>
          <w:color w:val="000000"/>
          <w:sz w:val="20"/>
          <w:szCs w:val="20"/>
          <w:shd w:val="clear" w:color="auto" w:fill="FFFFFF"/>
        </w:rPr>
        <w:t>, </w:t>
      </w:r>
      <w:r w:rsidRPr="009A663D">
        <w:rPr>
          <w:rFonts w:ascii="Open Sans" w:hAnsi="Open Sans" w:cs="Open Sans"/>
          <w:i/>
          <w:iCs/>
          <w:color w:val="000000"/>
          <w:sz w:val="20"/>
          <w:szCs w:val="20"/>
          <w:shd w:val="clear" w:color="auto" w:fill="FFFFFF"/>
        </w:rPr>
        <w:t>6</w:t>
      </w:r>
      <w:r w:rsidRPr="009A663D">
        <w:rPr>
          <w:rFonts w:ascii="Open Sans" w:hAnsi="Open Sans" w:cs="Open Sans"/>
          <w:color w:val="000000"/>
          <w:sz w:val="20"/>
          <w:szCs w:val="20"/>
          <w:shd w:val="clear" w:color="auto" w:fill="FFFFFF"/>
        </w:rPr>
        <w:t xml:space="preserve">(1), pp.33-41. </w:t>
      </w:r>
    </w:p>
    <w:p w14:paraId="0992F788"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Nicol, C., Innes, M., Gee, D. and Feist, A., 2003. </w:t>
      </w:r>
      <w:r w:rsidRPr="009A663D">
        <w:rPr>
          <w:rFonts w:ascii="Open Sans" w:hAnsi="Open Sans" w:cs="Open Sans"/>
          <w:i/>
          <w:iCs/>
          <w:color w:val="000000"/>
          <w:sz w:val="20"/>
          <w:szCs w:val="20"/>
          <w:shd w:val="clear" w:color="auto" w:fill="FFFFFF"/>
        </w:rPr>
        <w:t>Reviewing murder investigations: an analysis of progress reviews from six police forces</w:t>
      </w:r>
      <w:r w:rsidRPr="009A663D">
        <w:rPr>
          <w:rFonts w:ascii="Open Sans" w:hAnsi="Open Sans" w:cs="Open Sans"/>
          <w:color w:val="000000"/>
          <w:sz w:val="20"/>
          <w:szCs w:val="20"/>
          <w:shd w:val="clear" w:color="auto" w:fill="FFFFFF"/>
        </w:rPr>
        <w:t xml:space="preserve">. Home Office. Research, Development and Statistics Directorate. p. 15. Available </w:t>
      </w:r>
      <w:proofErr w:type="gramStart"/>
      <w:r w:rsidRPr="009A663D">
        <w:rPr>
          <w:rFonts w:ascii="Open Sans" w:hAnsi="Open Sans" w:cs="Open Sans"/>
          <w:color w:val="000000"/>
          <w:sz w:val="20"/>
          <w:szCs w:val="20"/>
          <w:shd w:val="clear" w:color="auto" w:fill="FFFFFF"/>
        </w:rPr>
        <w:t>at :</w:t>
      </w:r>
      <w:proofErr w:type="gramEnd"/>
      <w:r w:rsidRPr="009A663D">
        <w:rPr>
          <w:rFonts w:ascii="Open Sans" w:hAnsi="Open Sans" w:cs="Open Sans"/>
          <w:color w:val="000000"/>
          <w:sz w:val="20"/>
          <w:szCs w:val="20"/>
          <w:shd w:val="clear" w:color="auto" w:fill="FFFFFF"/>
        </w:rPr>
        <w:t xml:space="preserve"> </w:t>
      </w:r>
      <w:hyperlink r:id="rId124" w:history="1">
        <w:r w:rsidRPr="009A663D">
          <w:rPr>
            <w:rStyle w:val="Hyperlink"/>
            <w:rFonts w:ascii="Open Sans" w:hAnsi="Open Sans" w:cs="Open Sans"/>
            <w:color w:val="000000"/>
            <w:sz w:val="20"/>
            <w:szCs w:val="20"/>
            <w:shd w:val="clear" w:color="auto" w:fill="FFFFFF"/>
          </w:rPr>
          <w:t>www.politieacademie.nl/kennisenonderzoek/kennis/mediatheek/PDF/4106</w:t>
        </w:r>
      </w:hyperlink>
      <w:r w:rsidRPr="009A663D">
        <w:rPr>
          <w:rFonts w:ascii="Open Sans" w:hAnsi="Open Sans" w:cs="Open Sans"/>
          <w:color w:val="000000"/>
          <w:sz w:val="20"/>
          <w:szCs w:val="20"/>
          <w:shd w:val="clear" w:color="auto" w:fill="FFFFFF"/>
        </w:rPr>
        <w:t xml:space="preserve">. [pdf] (Accessed: 4 May 2022) </w:t>
      </w:r>
    </w:p>
    <w:p w14:paraId="662EE48F"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rPr>
        <w:t xml:space="preserve">Orthmann, C.H., Hess, K.M. (2013) </w:t>
      </w:r>
      <w:r w:rsidRPr="009A663D">
        <w:rPr>
          <w:rFonts w:ascii="Open Sans" w:hAnsi="Open Sans" w:cs="Open Sans"/>
          <w:i/>
          <w:iCs/>
          <w:color w:val="000000"/>
          <w:sz w:val="20"/>
          <w:szCs w:val="20"/>
        </w:rPr>
        <w:t>Criminal investigation</w:t>
      </w:r>
      <w:r w:rsidRPr="009A663D">
        <w:rPr>
          <w:rFonts w:ascii="Open Sans" w:hAnsi="Open Sans" w:cs="Open Sans"/>
          <w:color w:val="000000"/>
          <w:sz w:val="20"/>
          <w:szCs w:val="20"/>
        </w:rPr>
        <w:t>. 10th edition. Clifton Park, New York: Delmar Cengage.</w:t>
      </w:r>
    </w:p>
    <w:p w14:paraId="30033F15" w14:textId="77777777" w:rsidR="009A663D" w:rsidRPr="009A663D" w:rsidRDefault="009A663D" w:rsidP="009A663D">
      <w:pPr>
        <w:rPr>
          <w:rFonts w:ascii="Open Sans" w:hAnsi="Open Sans" w:cs="Open Sans"/>
          <w:sz w:val="20"/>
          <w:szCs w:val="20"/>
        </w:rPr>
      </w:pPr>
      <w:proofErr w:type="spellStart"/>
      <w:r w:rsidRPr="009A663D">
        <w:rPr>
          <w:rFonts w:ascii="Open Sans" w:hAnsi="Open Sans" w:cs="Open Sans"/>
          <w:color w:val="000000"/>
          <w:sz w:val="20"/>
          <w:szCs w:val="20"/>
          <w:shd w:val="clear" w:color="auto" w:fill="FFFFFF"/>
        </w:rPr>
        <w:t>Paglis</w:t>
      </w:r>
      <w:proofErr w:type="spellEnd"/>
      <w:r w:rsidRPr="009A663D">
        <w:rPr>
          <w:rFonts w:ascii="Open Sans" w:hAnsi="Open Sans" w:cs="Open Sans"/>
          <w:color w:val="000000"/>
          <w:sz w:val="20"/>
          <w:szCs w:val="20"/>
          <w:shd w:val="clear" w:color="auto" w:fill="FFFFFF"/>
        </w:rPr>
        <w:t>, L.L. and Green, S.G., (2002). Leadership self-efficacy and managers' motivation for leading change. </w:t>
      </w:r>
      <w:r w:rsidRPr="009A663D">
        <w:rPr>
          <w:rFonts w:ascii="Open Sans" w:hAnsi="Open Sans" w:cs="Open Sans"/>
          <w:i/>
          <w:iCs/>
          <w:color w:val="000000"/>
          <w:sz w:val="20"/>
          <w:szCs w:val="20"/>
          <w:shd w:val="clear" w:color="auto" w:fill="FFFFFF"/>
        </w:rPr>
        <w:t xml:space="preserve">Journal of Organizational </w:t>
      </w:r>
      <w:proofErr w:type="spellStart"/>
      <w:r w:rsidRPr="009A663D">
        <w:rPr>
          <w:rFonts w:ascii="Open Sans" w:hAnsi="Open Sans" w:cs="Open Sans"/>
          <w:i/>
          <w:iCs/>
          <w:color w:val="000000"/>
          <w:sz w:val="20"/>
          <w:szCs w:val="20"/>
          <w:shd w:val="clear" w:color="auto" w:fill="FFFFFF"/>
        </w:rPr>
        <w:t>Behavior</w:t>
      </w:r>
      <w:proofErr w:type="spellEnd"/>
      <w:r w:rsidRPr="009A663D">
        <w:rPr>
          <w:rFonts w:ascii="Open Sans" w:hAnsi="Open Sans" w:cs="Open Sans"/>
          <w:i/>
          <w:iCs/>
          <w:color w:val="000000"/>
          <w:sz w:val="20"/>
          <w:szCs w:val="20"/>
          <w:shd w:val="clear" w:color="auto" w:fill="FFFFFF"/>
        </w:rPr>
        <w:t>, </w:t>
      </w:r>
      <w:r w:rsidRPr="009A663D">
        <w:rPr>
          <w:rFonts w:ascii="Open Sans" w:hAnsi="Open Sans" w:cs="Open Sans"/>
          <w:color w:val="000000"/>
          <w:sz w:val="20"/>
          <w:szCs w:val="20"/>
          <w:shd w:val="clear" w:color="auto" w:fill="FFFFFF"/>
        </w:rPr>
        <w:t xml:space="preserve">23(2), [E-journal] pp. 215-235. Available at DOI: </w:t>
      </w:r>
      <w:r w:rsidRPr="009A663D">
        <w:rPr>
          <w:rFonts w:ascii="Open Sans" w:hAnsi="Open Sans" w:cs="Open Sans"/>
          <w:color w:val="000000"/>
          <w:sz w:val="20"/>
          <w:szCs w:val="20"/>
          <w:u w:val="single"/>
          <w:shd w:val="clear" w:color="auto" w:fill="FFFFFF"/>
        </w:rPr>
        <w:t>10.1002/job.137</w:t>
      </w:r>
    </w:p>
    <w:p w14:paraId="0797C925" w14:textId="77777777" w:rsidR="009A663D" w:rsidRPr="009A663D" w:rsidRDefault="009A663D" w:rsidP="009A663D">
      <w:pPr>
        <w:rPr>
          <w:rFonts w:ascii="Open Sans" w:hAnsi="Open Sans" w:cs="Open Sans"/>
          <w:sz w:val="20"/>
          <w:szCs w:val="20"/>
        </w:rPr>
      </w:pPr>
      <w:r w:rsidRPr="009A663D">
        <w:rPr>
          <w:rFonts w:ascii="Open Sans" w:hAnsi="Open Sans" w:cs="Open Sans"/>
          <w:i/>
          <w:iCs/>
          <w:color w:val="000000"/>
          <w:sz w:val="20"/>
          <w:szCs w:val="20"/>
          <w:shd w:val="clear" w:color="auto" w:fill="FFFFFF"/>
        </w:rPr>
        <w:t xml:space="preserve">Police and Criminal Evidence Act </w:t>
      </w:r>
      <w:r w:rsidRPr="009A663D">
        <w:rPr>
          <w:rFonts w:ascii="Open Sans" w:hAnsi="Open Sans" w:cs="Open Sans"/>
          <w:color w:val="000000"/>
          <w:sz w:val="20"/>
          <w:szCs w:val="20"/>
          <w:shd w:val="clear" w:color="auto" w:fill="FFFFFF"/>
        </w:rPr>
        <w:t xml:space="preserve">1984, c.60, Part VIII, Section 78. Exclusion of unfair evidence. Available at: </w:t>
      </w:r>
      <w:hyperlink r:id="rId125" w:history="1">
        <w:r w:rsidRPr="009A663D">
          <w:rPr>
            <w:rStyle w:val="Hyperlink"/>
            <w:rFonts w:ascii="Open Sans" w:hAnsi="Open Sans" w:cs="Open Sans"/>
            <w:color w:val="000000"/>
            <w:sz w:val="20"/>
            <w:szCs w:val="20"/>
            <w:shd w:val="clear" w:color="auto" w:fill="FFFFFF"/>
          </w:rPr>
          <w:t>www.legislation.gov.uk/ukpga/1984/60/section/78</w:t>
        </w:r>
      </w:hyperlink>
      <w:r w:rsidRPr="009A663D">
        <w:rPr>
          <w:rFonts w:ascii="Open Sans" w:hAnsi="Open Sans" w:cs="Open Sans"/>
          <w:color w:val="000000"/>
          <w:sz w:val="20"/>
          <w:szCs w:val="20"/>
          <w:shd w:val="clear" w:color="auto" w:fill="FFFFFF"/>
        </w:rPr>
        <w:t xml:space="preserve"> (Accessed: 4 May 2022)</w:t>
      </w:r>
    </w:p>
    <w:p w14:paraId="650C52FA" w14:textId="77777777" w:rsidR="009A663D" w:rsidRPr="009A663D" w:rsidRDefault="009A663D" w:rsidP="009A663D">
      <w:pPr>
        <w:rPr>
          <w:rFonts w:ascii="Open Sans" w:hAnsi="Open Sans" w:cs="Open Sans"/>
          <w:sz w:val="20"/>
          <w:szCs w:val="20"/>
        </w:rPr>
      </w:pPr>
      <w:r w:rsidRPr="009A663D">
        <w:rPr>
          <w:rFonts w:ascii="Open Sans" w:hAnsi="Open Sans" w:cs="Open Sans"/>
          <w:i/>
          <w:iCs/>
          <w:color w:val="000000"/>
          <w:sz w:val="20"/>
          <w:szCs w:val="20"/>
          <w:shd w:val="clear" w:color="auto" w:fill="FFFFFF"/>
        </w:rPr>
        <w:t xml:space="preserve">Police and Criminal Evidence Act </w:t>
      </w:r>
      <w:r w:rsidRPr="009A663D">
        <w:rPr>
          <w:rFonts w:ascii="Open Sans" w:hAnsi="Open Sans" w:cs="Open Sans"/>
          <w:color w:val="000000"/>
          <w:sz w:val="20"/>
          <w:szCs w:val="20"/>
          <w:shd w:val="clear" w:color="auto" w:fill="FFFFFF"/>
        </w:rPr>
        <w:t>198</w:t>
      </w:r>
      <w:r w:rsidRPr="009A663D">
        <w:rPr>
          <w:rFonts w:ascii="Open Sans" w:hAnsi="Open Sans" w:cs="Open Sans"/>
          <w:i/>
          <w:iCs/>
          <w:color w:val="000000"/>
          <w:sz w:val="20"/>
          <w:szCs w:val="20"/>
          <w:shd w:val="clear" w:color="auto" w:fill="FFFFFF"/>
        </w:rPr>
        <w:t>4</w:t>
      </w:r>
      <w:r w:rsidRPr="009A663D">
        <w:rPr>
          <w:rFonts w:ascii="Open Sans" w:hAnsi="Open Sans" w:cs="Open Sans"/>
          <w:color w:val="000000"/>
          <w:sz w:val="20"/>
          <w:szCs w:val="20"/>
          <w:shd w:val="clear" w:color="auto" w:fill="FFFFFF"/>
        </w:rPr>
        <w:t xml:space="preserve">, Code B, c. 60, Part II. Powers of entry, search and seizure. Available </w:t>
      </w:r>
      <w:proofErr w:type="gramStart"/>
      <w:r w:rsidRPr="009A663D">
        <w:rPr>
          <w:rFonts w:ascii="Open Sans" w:hAnsi="Open Sans" w:cs="Open Sans"/>
          <w:color w:val="000000"/>
          <w:sz w:val="20"/>
          <w:szCs w:val="20"/>
          <w:shd w:val="clear" w:color="auto" w:fill="FFFFFF"/>
        </w:rPr>
        <w:t>at :</w:t>
      </w:r>
      <w:proofErr w:type="gramEnd"/>
      <w:r w:rsidRPr="009A663D">
        <w:rPr>
          <w:rFonts w:ascii="Open Sans" w:hAnsi="Open Sans" w:cs="Open Sans"/>
          <w:color w:val="000000"/>
          <w:sz w:val="20"/>
          <w:szCs w:val="20"/>
          <w:shd w:val="clear" w:color="auto" w:fill="FFFFFF"/>
        </w:rPr>
        <w:t xml:space="preserve"> </w:t>
      </w:r>
      <w:hyperlink r:id="rId126" w:history="1">
        <w:r w:rsidRPr="009A663D">
          <w:rPr>
            <w:rStyle w:val="Hyperlink"/>
            <w:rFonts w:ascii="Open Sans" w:hAnsi="Open Sans" w:cs="Open Sans"/>
            <w:color w:val="000000"/>
            <w:sz w:val="20"/>
            <w:szCs w:val="20"/>
            <w:shd w:val="clear" w:color="auto" w:fill="FFFFFF"/>
          </w:rPr>
          <w:t>www.legislation.gov.uk/ukpga/1984/60/contents</w:t>
        </w:r>
      </w:hyperlink>
      <w:r w:rsidRPr="009A663D">
        <w:rPr>
          <w:rFonts w:ascii="Open Sans" w:hAnsi="Open Sans" w:cs="Open Sans"/>
          <w:color w:val="000000"/>
          <w:sz w:val="20"/>
          <w:szCs w:val="20"/>
          <w:shd w:val="clear" w:color="auto" w:fill="FFFFFF"/>
        </w:rPr>
        <w:t xml:space="preserve"> (Accessed 4 May 2022) </w:t>
      </w:r>
    </w:p>
    <w:p w14:paraId="24D8260D"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Powell, M.B., Fisher, R.P. and Wright, R., (2005). Investigative interviewing. </w:t>
      </w:r>
      <w:r w:rsidRPr="009A663D">
        <w:rPr>
          <w:rFonts w:ascii="Open Sans" w:hAnsi="Open Sans" w:cs="Open Sans"/>
          <w:i/>
          <w:iCs/>
          <w:color w:val="000000"/>
          <w:sz w:val="20"/>
          <w:szCs w:val="20"/>
          <w:shd w:val="clear" w:color="auto" w:fill="FFFFFF"/>
        </w:rPr>
        <w:t>Psychology and law: An empirical perspective</w:t>
      </w:r>
      <w:r w:rsidRPr="009A663D">
        <w:rPr>
          <w:rFonts w:ascii="Open Sans" w:hAnsi="Open Sans" w:cs="Open Sans"/>
          <w:color w:val="000000"/>
          <w:sz w:val="20"/>
          <w:szCs w:val="20"/>
          <w:shd w:val="clear" w:color="auto" w:fill="FFFFFF"/>
        </w:rPr>
        <w:t xml:space="preserve">, p. 12. </w:t>
      </w:r>
    </w:p>
    <w:p w14:paraId="13388369" w14:textId="77777777" w:rsidR="009A663D" w:rsidRPr="009A663D" w:rsidRDefault="009A663D" w:rsidP="009A663D">
      <w:pPr>
        <w:rPr>
          <w:rFonts w:ascii="Open Sans" w:hAnsi="Open Sans" w:cs="Open Sans"/>
          <w:sz w:val="20"/>
          <w:szCs w:val="20"/>
        </w:rPr>
      </w:pPr>
      <w:r w:rsidRPr="009A663D">
        <w:rPr>
          <w:rFonts w:ascii="Open Sans" w:hAnsi="Open Sans" w:cs="Open Sans"/>
          <w:i/>
          <w:iCs/>
          <w:color w:val="000000"/>
          <w:sz w:val="20"/>
          <w:szCs w:val="20"/>
        </w:rPr>
        <w:t>‘Regina v. Sutcliffe (Peter</w:t>
      </w:r>
      <w:r w:rsidRPr="009A663D">
        <w:rPr>
          <w:rFonts w:ascii="Open Sans" w:hAnsi="Open Sans" w:cs="Open Sans"/>
          <w:color w:val="000000"/>
          <w:sz w:val="20"/>
          <w:szCs w:val="20"/>
        </w:rPr>
        <w:t xml:space="preserve">)’ (1981) Old Bailey, London. </w:t>
      </w:r>
    </w:p>
    <w:p w14:paraId="7A161FF1"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w:t>
      </w:r>
      <w:r w:rsidRPr="009A663D">
        <w:rPr>
          <w:rFonts w:ascii="Open Sans" w:hAnsi="Open Sans" w:cs="Open Sans"/>
          <w:i/>
          <w:iCs/>
          <w:color w:val="000000"/>
          <w:sz w:val="20"/>
          <w:szCs w:val="20"/>
          <w:shd w:val="clear" w:color="auto" w:fill="FFFFFF"/>
        </w:rPr>
        <w:t>Regina v Turnbull (Raymond</w:t>
      </w:r>
      <w:r w:rsidRPr="009A663D">
        <w:rPr>
          <w:rFonts w:ascii="Open Sans" w:hAnsi="Open Sans" w:cs="Open Sans"/>
          <w:color w:val="000000"/>
          <w:sz w:val="20"/>
          <w:szCs w:val="20"/>
          <w:shd w:val="clear" w:color="auto" w:fill="FFFFFF"/>
        </w:rPr>
        <w:t xml:space="preserve">)’ (1976) The Court of Appeal – Criminal Division, Royal Courts of Justice EWCA Crim J0709-3. </w:t>
      </w:r>
      <w:proofErr w:type="spellStart"/>
      <w:r w:rsidRPr="009A663D">
        <w:rPr>
          <w:rFonts w:ascii="Open Sans" w:hAnsi="Open Sans" w:cs="Open Sans"/>
          <w:color w:val="000000"/>
          <w:sz w:val="20"/>
          <w:szCs w:val="20"/>
          <w:shd w:val="clear" w:color="auto" w:fill="FFFFFF"/>
        </w:rPr>
        <w:t>VlexJustis</w:t>
      </w:r>
      <w:proofErr w:type="spellEnd"/>
      <w:r w:rsidRPr="009A663D">
        <w:rPr>
          <w:rFonts w:ascii="Open Sans" w:hAnsi="Open Sans" w:cs="Open Sans"/>
          <w:color w:val="000000"/>
          <w:sz w:val="20"/>
          <w:szCs w:val="20"/>
          <w:shd w:val="clear" w:color="auto" w:fill="FFFFFF"/>
        </w:rPr>
        <w:t xml:space="preserve"> website. Available </w:t>
      </w:r>
      <w:proofErr w:type="gramStart"/>
      <w:r w:rsidRPr="009A663D">
        <w:rPr>
          <w:rFonts w:ascii="Open Sans" w:hAnsi="Open Sans" w:cs="Open Sans"/>
          <w:color w:val="000000"/>
          <w:sz w:val="20"/>
          <w:szCs w:val="20"/>
          <w:shd w:val="clear" w:color="auto" w:fill="FFFFFF"/>
        </w:rPr>
        <w:t>at :</w:t>
      </w:r>
      <w:proofErr w:type="gramEnd"/>
      <w:r w:rsidRPr="009A663D">
        <w:rPr>
          <w:rFonts w:ascii="Open Sans" w:hAnsi="Open Sans" w:cs="Open Sans"/>
          <w:color w:val="000000"/>
          <w:sz w:val="20"/>
          <w:szCs w:val="20"/>
          <w:shd w:val="clear" w:color="auto" w:fill="FFFFFF"/>
        </w:rPr>
        <w:t xml:space="preserve"> https</w:t>
      </w:r>
      <w:r w:rsidRPr="009A663D">
        <w:rPr>
          <w:rFonts w:ascii="Open Sans" w:hAnsi="Open Sans" w:cs="Open Sans"/>
          <w:color w:val="000000"/>
          <w:sz w:val="20"/>
          <w:szCs w:val="20"/>
          <w:u w:val="single"/>
          <w:shd w:val="clear" w:color="auto" w:fill="FFFFFF"/>
        </w:rPr>
        <w:t>://</w:t>
      </w:r>
      <w:r w:rsidRPr="009A663D">
        <w:rPr>
          <w:rFonts w:ascii="Open Sans" w:hAnsi="Open Sans" w:cs="Open Sans"/>
          <w:color w:val="000000"/>
          <w:sz w:val="20"/>
          <w:szCs w:val="20"/>
          <w:u w:val="single"/>
        </w:rPr>
        <w:t xml:space="preserve"> </w:t>
      </w:r>
      <w:r w:rsidRPr="009A663D">
        <w:rPr>
          <w:rFonts w:ascii="Open Sans" w:hAnsi="Open Sans" w:cs="Open Sans"/>
          <w:color w:val="000000"/>
          <w:sz w:val="20"/>
          <w:szCs w:val="20"/>
          <w:u w:val="single"/>
          <w:shd w:val="clear" w:color="auto" w:fill="FFFFFF"/>
        </w:rPr>
        <w:t>vlex.co.uk/vid/r-v-turnbull-793434197</w:t>
      </w:r>
      <w:r w:rsidRPr="009A663D">
        <w:rPr>
          <w:rFonts w:ascii="Open Sans" w:hAnsi="Open Sans" w:cs="Open Sans"/>
          <w:color w:val="000000"/>
          <w:sz w:val="20"/>
          <w:szCs w:val="20"/>
          <w:shd w:val="clear" w:color="auto" w:fill="FFFFFF"/>
        </w:rPr>
        <w:t xml:space="preserve"> (Accessed: 5 May 2022) </w:t>
      </w:r>
    </w:p>
    <w:p w14:paraId="3DD467B9" w14:textId="77777777" w:rsidR="009A663D" w:rsidRPr="009A663D" w:rsidRDefault="009A663D" w:rsidP="009A663D">
      <w:pPr>
        <w:rPr>
          <w:rFonts w:ascii="Open Sans" w:hAnsi="Open Sans" w:cs="Open Sans"/>
          <w:color w:val="000000"/>
          <w:sz w:val="20"/>
          <w:szCs w:val="20"/>
          <w:shd w:val="clear" w:color="auto" w:fill="FFFFFF"/>
        </w:rPr>
      </w:pPr>
      <w:r w:rsidRPr="009A663D">
        <w:rPr>
          <w:rFonts w:ascii="Open Sans" w:hAnsi="Open Sans" w:cs="Open Sans"/>
          <w:color w:val="000000"/>
          <w:sz w:val="20"/>
          <w:szCs w:val="20"/>
          <w:shd w:val="clear" w:color="auto" w:fill="FFFFFF"/>
        </w:rPr>
        <w:t>Rolfe, G., Freshwater, D. and Jasper, M. (2010) Critical reflection in nursing and the helping professions: a user's guide, London, Palgrave Macmillan.</w:t>
      </w:r>
    </w:p>
    <w:p w14:paraId="189BF1C3" w14:textId="77777777" w:rsidR="009A663D" w:rsidRPr="009A663D" w:rsidRDefault="009A663D" w:rsidP="009A663D">
      <w:pPr>
        <w:pStyle w:val="dx-doi"/>
        <w:spacing w:before="0" w:after="0"/>
        <w:rPr>
          <w:rFonts w:ascii="Open Sans" w:hAnsi="Open Sans" w:cs="Open Sans"/>
          <w:sz w:val="20"/>
          <w:szCs w:val="20"/>
        </w:rPr>
      </w:pPr>
      <w:r w:rsidRPr="009A663D">
        <w:rPr>
          <w:rFonts w:ascii="Open Sans" w:hAnsi="Open Sans" w:cs="Open Sans"/>
          <w:color w:val="000000"/>
          <w:sz w:val="20"/>
          <w:szCs w:val="20"/>
          <w:shd w:val="clear" w:color="auto" w:fill="FFFFFF"/>
        </w:rPr>
        <w:t xml:space="preserve">Ross, A. and </w:t>
      </w:r>
      <w:proofErr w:type="spellStart"/>
      <w:r w:rsidRPr="009A663D">
        <w:rPr>
          <w:rFonts w:ascii="Open Sans" w:hAnsi="Open Sans" w:cs="Open Sans"/>
          <w:color w:val="000000"/>
          <w:sz w:val="20"/>
          <w:szCs w:val="20"/>
          <w:shd w:val="clear" w:color="auto" w:fill="FFFFFF"/>
        </w:rPr>
        <w:t>Neuteboom</w:t>
      </w:r>
      <w:proofErr w:type="spellEnd"/>
      <w:r w:rsidRPr="009A663D">
        <w:rPr>
          <w:rFonts w:ascii="Open Sans" w:hAnsi="Open Sans" w:cs="Open Sans"/>
          <w:color w:val="000000"/>
          <w:sz w:val="20"/>
          <w:szCs w:val="20"/>
          <w:shd w:val="clear" w:color="auto" w:fill="FFFFFF"/>
        </w:rPr>
        <w:t xml:space="preserve">, W., (2022). ISO-accreditation-is that all there is for forensic </w:t>
      </w:r>
      <w:proofErr w:type="gramStart"/>
      <w:r w:rsidRPr="009A663D">
        <w:rPr>
          <w:rFonts w:ascii="Open Sans" w:hAnsi="Open Sans" w:cs="Open Sans"/>
          <w:color w:val="000000"/>
          <w:sz w:val="20"/>
          <w:szCs w:val="20"/>
          <w:shd w:val="clear" w:color="auto" w:fill="FFFFFF"/>
        </w:rPr>
        <w:t>science?.</w:t>
      </w:r>
      <w:proofErr w:type="gramEnd"/>
      <w:r w:rsidRPr="009A663D">
        <w:rPr>
          <w:rFonts w:ascii="Open Sans" w:hAnsi="Open Sans" w:cs="Open Sans"/>
          <w:color w:val="000000"/>
          <w:sz w:val="20"/>
          <w:szCs w:val="20"/>
          <w:shd w:val="clear" w:color="auto" w:fill="FFFFFF"/>
        </w:rPr>
        <w:t> </w:t>
      </w:r>
      <w:r w:rsidRPr="009A663D">
        <w:rPr>
          <w:rFonts w:ascii="Open Sans" w:hAnsi="Open Sans" w:cs="Open Sans"/>
          <w:i/>
          <w:iCs/>
          <w:color w:val="000000"/>
          <w:sz w:val="20"/>
          <w:szCs w:val="20"/>
          <w:shd w:val="clear" w:color="auto" w:fill="FFFFFF"/>
        </w:rPr>
        <w:t>Australian Journal of Forensic Sciences</w:t>
      </w:r>
      <w:r w:rsidRPr="009A663D">
        <w:rPr>
          <w:rFonts w:ascii="Open Sans" w:hAnsi="Open Sans" w:cs="Open Sans"/>
          <w:color w:val="000000"/>
          <w:sz w:val="20"/>
          <w:szCs w:val="20"/>
          <w:shd w:val="clear" w:color="auto" w:fill="FFFFFF"/>
        </w:rPr>
        <w:t>, [E-journal] </w:t>
      </w:r>
      <w:r w:rsidRPr="009A663D">
        <w:rPr>
          <w:rFonts w:ascii="Open Sans" w:hAnsi="Open Sans" w:cs="Open Sans"/>
          <w:i/>
          <w:iCs/>
          <w:color w:val="000000"/>
          <w:sz w:val="20"/>
          <w:szCs w:val="20"/>
          <w:shd w:val="clear" w:color="auto" w:fill="FFFFFF"/>
        </w:rPr>
        <w:t>54</w:t>
      </w:r>
      <w:r w:rsidRPr="009A663D">
        <w:rPr>
          <w:rFonts w:ascii="Open Sans" w:hAnsi="Open Sans" w:cs="Open Sans"/>
          <w:color w:val="000000"/>
          <w:sz w:val="20"/>
          <w:szCs w:val="20"/>
          <w:shd w:val="clear" w:color="auto" w:fill="FFFFFF"/>
        </w:rPr>
        <w:t xml:space="preserve">(1), pp.2-14. Available </w:t>
      </w:r>
      <w:proofErr w:type="gramStart"/>
      <w:r w:rsidRPr="009A663D">
        <w:rPr>
          <w:rFonts w:ascii="Open Sans" w:hAnsi="Open Sans" w:cs="Open Sans"/>
          <w:color w:val="000000"/>
          <w:sz w:val="20"/>
          <w:szCs w:val="20"/>
          <w:shd w:val="clear" w:color="auto" w:fill="FFFFFF"/>
        </w:rPr>
        <w:t>at :</w:t>
      </w:r>
      <w:proofErr w:type="gramEnd"/>
      <w:r w:rsidRPr="009A663D">
        <w:rPr>
          <w:rFonts w:ascii="Open Sans" w:hAnsi="Open Sans" w:cs="Open Sans"/>
          <w:color w:val="000000"/>
          <w:sz w:val="20"/>
          <w:szCs w:val="20"/>
          <w:shd w:val="clear" w:color="auto" w:fill="FFFFFF"/>
        </w:rPr>
        <w:t xml:space="preserve"> </w:t>
      </w:r>
      <w:hyperlink r:id="rId127" w:history="1">
        <w:r w:rsidRPr="009A663D">
          <w:rPr>
            <w:rStyle w:val="Hyperlink"/>
            <w:rFonts w:ascii="Open Sans" w:hAnsi="Open Sans" w:cs="Open Sans"/>
            <w:color w:val="000000"/>
            <w:sz w:val="20"/>
            <w:szCs w:val="20"/>
          </w:rPr>
          <w:t>doi.org/10.1080/00450618.2020.1819414</w:t>
        </w:r>
      </w:hyperlink>
    </w:p>
    <w:p w14:paraId="3196793E" w14:textId="77777777" w:rsidR="009A663D" w:rsidRPr="009A663D" w:rsidRDefault="009A663D" w:rsidP="009A663D">
      <w:pPr>
        <w:rPr>
          <w:rFonts w:ascii="Open Sans" w:hAnsi="Open Sans" w:cs="Open Sans"/>
          <w:color w:val="000000"/>
          <w:sz w:val="20"/>
          <w:szCs w:val="20"/>
          <w:shd w:val="clear" w:color="auto" w:fill="FFFFFF"/>
        </w:rPr>
      </w:pPr>
    </w:p>
    <w:p w14:paraId="74B60A39" w14:textId="77777777" w:rsidR="009A663D" w:rsidRPr="009A663D" w:rsidRDefault="009A663D" w:rsidP="009A663D">
      <w:pPr>
        <w:rPr>
          <w:rFonts w:ascii="Open Sans" w:hAnsi="Open Sans" w:cs="Open Sans"/>
          <w:sz w:val="20"/>
          <w:szCs w:val="20"/>
        </w:rPr>
      </w:pPr>
      <w:proofErr w:type="spellStart"/>
      <w:r w:rsidRPr="009A663D">
        <w:rPr>
          <w:rFonts w:ascii="Open Sans" w:hAnsi="Open Sans" w:cs="Open Sans"/>
          <w:color w:val="000000"/>
          <w:sz w:val="20"/>
          <w:szCs w:val="20"/>
          <w:shd w:val="clear" w:color="auto" w:fill="FFFFFF"/>
        </w:rPr>
        <w:t>Schollum</w:t>
      </w:r>
      <w:proofErr w:type="spellEnd"/>
      <w:r w:rsidRPr="009A663D">
        <w:rPr>
          <w:rFonts w:ascii="Open Sans" w:hAnsi="Open Sans" w:cs="Open Sans"/>
          <w:color w:val="000000"/>
          <w:sz w:val="20"/>
          <w:szCs w:val="20"/>
          <w:shd w:val="clear" w:color="auto" w:fill="FFFFFF"/>
        </w:rPr>
        <w:t>, M., 2005 </w:t>
      </w:r>
      <w:r w:rsidRPr="009A663D">
        <w:rPr>
          <w:rFonts w:ascii="Open Sans" w:hAnsi="Open Sans" w:cs="Open Sans"/>
          <w:i/>
          <w:iCs/>
          <w:color w:val="000000"/>
          <w:sz w:val="20"/>
          <w:szCs w:val="20"/>
          <w:shd w:val="clear" w:color="auto" w:fill="FFFFFF"/>
        </w:rPr>
        <w:t>Investigative interviewing: The literature</w:t>
      </w:r>
      <w:r w:rsidRPr="009A663D">
        <w:rPr>
          <w:rFonts w:ascii="Open Sans" w:hAnsi="Open Sans" w:cs="Open Sans"/>
          <w:color w:val="000000"/>
          <w:sz w:val="20"/>
          <w:szCs w:val="20"/>
          <w:shd w:val="clear" w:color="auto" w:fill="FFFFFF"/>
        </w:rPr>
        <w:t>. [pdf] Wellington: Office of the Commissioner of Police. pp.35, 44, 73. Available at https://</w:t>
      </w:r>
      <w:hyperlink r:id="rId128" w:history="1">
        <w:r w:rsidRPr="009A663D">
          <w:rPr>
            <w:rStyle w:val="Hyperlink"/>
            <w:rFonts w:ascii="Open Sans" w:hAnsi="Open Sans" w:cs="Open Sans"/>
            <w:color w:val="000000"/>
            <w:sz w:val="20"/>
            <w:szCs w:val="20"/>
            <w:shd w:val="clear" w:color="auto" w:fill="FFFFFF"/>
          </w:rPr>
          <w:t>www.police.govt.nz/resources/2005/investigative-interviewing/investigative-interviewing</w:t>
        </w:r>
      </w:hyperlink>
      <w:r w:rsidRPr="009A663D">
        <w:rPr>
          <w:rFonts w:ascii="Open Sans" w:hAnsi="Open Sans" w:cs="Open Sans"/>
          <w:color w:val="000000"/>
          <w:sz w:val="20"/>
          <w:szCs w:val="20"/>
          <w:shd w:val="clear" w:color="auto" w:fill="FFFFFF"/>
        </w:rPr>
        <w:t xml:space="preserve">.[ pdf] (Accessed: 1 May 2022) </w:t>
      </w:r>
    </w:p>
    <w:p w14:paraId="06B33096"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 xml:space="preserve">Slingo, J. (2020) ‘CPS still plagued by disclosure failings, watchdog finds’, Law Gazette. Available </w:t>
      </w:r>
      <w:proofErr w:type="gramStart"/>
      <w:r w:rsidRPr="009A663D">
        <w:rPr>
          <w:rFonts w:ascii="Open Sans" w:hAnsi="Open Sans" w:cs="Open Sans"/>
          <w:color w:val="000000"/>
          <w:sz w:val="20"/>
          <w:szCs w:val="20"/>
          <w:shd w:val="clear" w:color="auto" w:fill="FFFFFF"/>
        </w:rPr>
        <w:t>at :</w:t>
      </w:r>
      <w:proofErr w:type="gramEnd"/>
      <w:r w:rsidRPr="009A663D">
        <w:rPr>
          <w:rFonts w:ascii="Open Sans" w:hAnsi="Open Sans" w:cs="Open Sans"/>
          <w:color w:val="000000"/>
          <w:sz w:val="20"/>
          <w:szCs w:val="20"/>
          <w:shd w:val="clear" w:color="auto" w:fill="FFFFFF"/>
        </w:rPr>
        <w:t xml:space="preserve"> https://</w:t>
      </w:r>
      <w:r w:rsidRPr="009A663D">
        <w:rPr>
          <w:rFonts w:ascii="Open Sans" w:hAnsi="Open Sans" w:cs="Open Sans"/>
          <w:color w:val="000000"/>
          <w:sz w:val="20"/>
          <w:szCs w:val="20"/>
        </w:rPr>
        <w:t xml:space="preserve"> </w:t>
      </w:r>
      <w:hyperlink r:id="rId129" w:history="1">
        <w:r w:rsidRPr="009A663D">
          <w:rPr>
            <w:rStyle w:val="Hyperlink"/>
            <w:rFonts w:ascii="Open Sans" w:hAnsi="Open Sans" w:cs="Open Sans"/>
            <w:color w:val="000000"/>
            <w:sz w:val="20"/>
            <w:szCs w:val="20"/>
            <w:shd w:val="clear" w:color="auto" w:fill="FFFFFF"/>
          </w:rPr>
          <w:t>www.lawgazette.co.uk/practice/cps-still-plagued-by-disclosure-failings-watchdog-finds/5102656.article</w:t>
        </w:r>
      </w:hyperlink>
      <w:r w:rsidRPr="009A663D">
        <w:rPr>
          <w:rFonts w:ascii="Open Sans" w:hAnsi="Open Sans" w:cs="Open Sans"/>
          <w:color w:val="000000"/>
          <w:sz w:val="20"/>
          <w:szCs w:val="20"/>
          <w:shd w:val="clear" w:color="auto" w:fill="FFFFFF"/>
        </w:rPr>
        <w:t xml:space="preserve"> (Accessed: 6 May 2022) </w:t>
      </w:r>
    </w:p>
    <w:p w14:paraId="235B91FB"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Sutton, R., Trueman, K. and Moran, C.  (2017). </w:t>
      </w:r>
      <w:r w:rsidRPr="009A663D">
        <w:rPr>
          <w:rFonts w:ascii="Open Sans" w:hAnsi="Open Sans" w:cs="Open Sans"/>
          <w:i/>
          <w:iCs/>
          <w:color w:val="000000"/>
          <w:sz w:val="20"/>
          <w:szCs w:val="20"/>
          <w:shd w:val="clear" w:color="auto" w:fill="FFFFFF"/>
        </w:rPr>
        <w:t>Crime scene management: Scene specific methods</w:t>
      </w:r>
      <w:r w:rsidRPr="009A663D">
        <w:rPr>
          <w:rFonts w:ascii="Open Sans" w:hAnsi="Open Sans" w:cs="Open Sans"/>
          <w:color w:val="000000"/>
          <w:sz w:val="20"/>
          <w:szCs w:val="20"/>
          <w:shd w:val="clear" w:color="auto" w:fill="FFFFFF"/>
        </w:rPr>
        <w:t>. 2</w:t>
      </w:r>
      <w:r w:rsidRPr="009A663D">
        <w:rPr>
          <w:rFonts w:ascii="Open Sans" w:hAnsi="Open Sans" w:cs="Open Sans"/>
          <w:color w:val="000000"/>
          <w:sz w:val="20"/>
          <w:szCs w:val="20"/>
          <w:shd w:val="clear" w:color="auto" w:fill="FFFFFF"/>
          <w:vertAlign w:val="superscript"/>
        </w:rPr>
        <w:t>nd</w:t>
      </w:r>
      <w:r w:rsidRPr="009A663D">
        <w:rPr>
          <w:rFonts w:ascii="Open Sans" w:hAnsi="Open Sans" w:cs="Open Sans"/>
          <w:color w:val="000000"/>
          <w:sz w:val="20"/>
          <w:szCs w:val="20"/>
          <w:shd w:val="clear" w:color="auto" w:fill="FFFFFF"/>
        </w:rPr>
        <w:t xml:space="preserve"> </w:t>
      </w:r>
      <w:proofErr w:type="spellStart"/>
      <w:r w:rsidRPr="009A663D">
        <w:rPr>
          <w:rFonts w:ascii="Open Sans" w:hAnsi="Open Sans" w:cs="Open Sans"/>
          <w:color w:val="000000"/>
          <w:sz w:val="20"/>
          <w:szCs w:val="20"/>
          <w:shd w:val="clear" w:color="auto" w:fill="FFFFFF"/>
        </w:rPr>
        <w:t>edn</w:t>
      </w:r>
      <w:proofErr w:type="spellEnd"/>
      <w:r w:rsidRPr="009A663D">
        <w:rPr>
          <w:rFonts w:ascii="Open Sans" w:hAnsi="Open Sans" w:cs="Open Sans"/>
          <w:color w:val="000000"/>
          <w:sz w:val="20"/>
          <w:szCs w:val="20"/>
          <w:shd w:val="clear" w:color="auto" w:fill="FFFFFF"/>
        </w:rPr>
        <w:t xml:space="preserve">. </w:t>
      </w:r>
      <w:r w:rsidRPr="009A663D">
        <w:rPr>
          <w:rFonts w:ascii="Open Sans" w:hAnsi="Open Sans" w:cs="Open Sans"/>
          <w:color w:val="000000"/>
          <w:sz w:val="20"/>
          <w:szCs w:val="20"/>
        </w:rPr>
        <w:t xml:space="preserve">pp. 17-19. Chichester: </w:t>
      </w:r>
      <w:r w:rsidRPr="009A663D">
        <w:rPr>
          <w:rFonts w:ascii="Open Sans" w:hAnsi="Open Sans" w:cs="Open Sans"/>
          <w:color w:val="000000"/>
          <w:sz w:val="20"/>
          <w:szCs w:val="20"/>
          <w:shd w:val="clear" w:color="auto" w:fill="FFFFFF"/>
        </w:rPr>
        <w:t>John Wiley &amp; Sons.</w:t>
      </w:r>
    </w:p>
    <w:p w14:paraId="0AFC1976"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 xml:space="preserve">Tilley, N., Townsley, M. (2009) </w:t>
      </w:r>
      <w:r w:rsidRPr="009A663D">
        <w:rPr>
          <w:rFonts w:ascii="Open Sans" w:hAnsi="Open Sans" w:cs="Open Sans"/>
          <w:i/>
          <w:iCs/>
          <w:color w:val="000000"/>
          <w:sz w:val="20"/>
          <w:szCs w:val="20"/>
          <w:shd w:val="clear" w:color="auto" w:fill="FFFFFF"/>
        </w:rPr>
        <w:t>Forensic science in UK policing: strategies, tactics and effectiveness.</w:t>
      </w:r>
      <w:r w:rsidRPr="009A663D">
        <w:rPr>
          <w:rFonts w:ascii="Open Sans" w:hAnsi="Open Sans" w:cs="Open Sans"/>
          <w:color w:val="000000"/>
          <w:sz w:val="20"/>
          <w:szCs w:val="20"/>
          <w:shd w:val="clear" w:color="auto" w:fill="FFFFFF"/>
        </w:rPr>
        <w:t> </w:t>
      </w:r>
      <w:r w:rsidRPr="009A663D">
        <w:rPr>
          <w:rFonts w:ascii="Open Sans" w:hAnsi="Open Sans" w:cs="Open Sans"/>
          <w:i/>
          <w:iCs/>
          <w:color w:val="000000"/>
          <w:sz w:val="20"/>
          <w:szCs w:val="20"/>
          <w:shd w:val="clear" w:color="auto" w:fill="FFFFFF"/>
        </w:rPr>
        <w:t>Handbook of forensic science</w:t>
      </w:r>
      <w:r w:rsidRPr="009A663D">
        <w:rPr>
          <w:rFonts w:ascii="Open Sans" w:hAnsi="Open Sans" w:cs="Open Sans"/>
          <w:color w:val="000000"/>
          <w:sz w:val="20"/>
          <w:szCs w:val="20"/>
          <w:shd w:val="clear" w:color="auto" w:fill="FFFFFF"/>
        </w:rPr>
        <w:t xml:space="preserve">, p. 365. </w:t>
      </w:r>
    </w:p>
    <w:p w14:paraId="04697E17"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 xml:space="preserve">Ungoed-Thomas, J. (2021) ‘Courts ‘are close to of Police disclosure failings’, The Guardian newspaper online, 31 Oct 2021. Available </w:t>
      </w:r>
      <w:proofErr w:type="gramStart"/>
      <w:r w:rsidRPr="009A663D">
        <w:rPr>
          <w:rFonts w:ascii="Open Sans" w:hAnsi="Open Sans" w:cs="Open Sans"/>
          <w:color w:val="000000"/>
          <w:sz w:val="20"/>
          <w:szCs w:val="20"/>
          <w:shd w:val="clear" w:color="auto" w:fill="FFFFFF"/>
        </w:rPr>
        <w:t>at :</w:t>
      </w:r>
      <w:proofErr w:type="gramEnd"/>
      <w:r w:rsidRPr="009A663D">
        <w:rPr>
          <w:rFonts w:ascii="Open Sans" w:hAnsi="Open Sans" w:cs="Open Sans"/>
          <w:color w:val="000000"/>
          <w:sz w:val="20"/>
          <w:szCs w:val="20"/>
          <w:shd w:val="clear" w:color="auto" w:fill="FFFFFF"/>
        </w:rPr>
        <w:t xml:space="preserve"> </w:t>
      </w:r>
      <w:hyperlink r:id="rId130" w:history="1">
        <w:r w:rsidRPr="009A663D">
          <w:rPr>
            <w:rStyle w:val="Hyperlink"/>
            <w:rFonts w:ascii="Open Sans" w:hAnsi="Open Sans" w:cs="Open Sans"/>
            <w:color w:val="000000"/>
            <w:sz w:val="20"/>
            <w:szCs w:val="20"/>
            <w:shd w:val="clear" w:color="auto" w:fill="FFFFFF"/>
          </w:rPr>
          <w:t>www.theguardian.com/law/2021/oct/31/courts-are-close-to-collapse-over-police-disclosure-failures</w:t>
        </w:r>
      </w:hyperlink>
      <w:r w:rsidRPr="009A663D">
        <w:rPr>
          <w:rFonts w:ascii="Open Sans" w:hAnsi="Open Sans" w:cs="Open Sans"/>
          <w:color w:val="000000"/>
          <w:sz w:val="20"/>
          <w:szCs w:val="20"/>
          <w:shd w:val="clear" w:color="auto" w:fill="FFFFFF"/>
        </w:rPr>
        <w:t xml:space="preserve"> (Accessed: 6 May 2022) </w:t>
      </w:r>
    </w:p>
    <w:p w14:paraId="5E16F100"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shd w:val="clear" w:color="auto" w:fill="FFFFFF"/>
        </w:rPr>
        <w:t xml:space="preserve">Vrij, A., Hope, L., Fisher, P., (2014) Eliciting reliable information in investigative interviews. Policy Insights from the </w:t>
      </w:r>
      <w:proofErr w:type="spellStart"/>
      <w:r w:rsidRPr="009A663D">
        <w:rPr>
          <w:rFonts w:ascii="Open Sans" w:hAnsi="Open Sans" w:cs="Open Sans"/>
          <w:color w:val="000000"/>
          <w:sz w:val="20"/>
          <w:szCs w:val="20"/>
          <w:shd w:val="clear" w:color="auto" w:fill="FFFFFF"/>
        </w:rPr>
        <w:t>Behavioral</w:t>
      </w:r>
      <w:proofErr w:type="spellEnd"/>
      <w:r w:rsidRPr="009A663D">
        <w:rPr>
          <w:rFonts w:ascii="Open Sans" w:hAnsi="Open Sans" w:cs="Open Sans"/>
          <w:color w:val="000000"/>
          <w:sz w:val="20"/>
          <w:szCs w:val="20"/>
          <w:shd w:val="clear" w:color="auto" w:fill="FFFFFF"/>
        </w:rPr>
        <w:t xml:space="preserve"> and Brain Sciences. 2014;1(1). p. 131. Available </w:t>
      </w:r>
      <w:proofErr w:type="gramStart"/>
      <w:r w:rsidRPr="009A663D">
        <w:rPr>
          <w:rFonts w:ascii="Open Sans" w:hAnsi="Open Sans" w:cs="Open Sans"/>
          <w:color w:val="000000"/>
          <w:sz w:val="20"/>
          <w:szCs w:val="20"/>
          <w:shd w:val="clear" w:color="auto" w:fill="FFFFFF"/>
        </w:rPr>
        <w:t>at :</w:t>
      </w:r>
      <w:proofErr w:type="gramEnd"/>
      <w:r w:rsidRPr="009A663D">
        <w:rPr>
          <w:rFonts w:ascii="Open Sans" w:hAnsi="Open Sans" w:cs="Open Sans"/>
          <w:color w:val="000000"/>
          <w:sz w:val="20"/>
          <w:szCs w:val="20"/>
          <w:shd w:val="clear" w:color="auto" w:fill="FFFFFF"/>
        </w:rPr>
        <w:t xml:space="preserve"> doi:</w:t>
      </w:r>
      <w:hyperlink r:id="rId131" w:history="1">
        <w:r w:rsidRPr="009A663D">
          <w:rPr>
            <w:rStyle w:val="Hyperlink"/>
            <w:rFonts w:ascii="Open Sans" w:hAnsi="Open Sans" w:cs="Open Sans"/>
            <w:color w:val="000000"/>
            <w:sz w:val="20"/>
            <w:szCs w:val="20"/>
            <w:shd w:val="clear" w:color="auto" w:fill="FFFFFF"/>
          </w:rPr>
          <w:t>10.1177/2372732214548592</w:t>
        </w:r>
      </w:hyperlink>
      <w:r w:rsidRPr="009A663D">
        <w:rPr>
          <w:rFonts w:ascii="Open Sans" w:hAnsi="Open Sans" w:cs="Open Sans"/>
          <w:color w:val="000000"/>
          <w:sz w:val="20"/>
          <w:szCs w:val="20"/>
        </w:rPr>
        <w:t xml:space="preserve"> (Accessed: 1 May 2022) </w:t>
      </w:r>
    </w:p>
    <w:p w14:paraId="31287321" w14:textId="77777777" w:rsidR="009A663D" w:rsidRPr="009A663D" w:rsidRDefault="009A663D" w:rsidP="009A663D">
      <w:pPr>
        <w:rPr>
          <w:rFonts w:ascii="Open Sans" w:hAnsi="Open Sans" w:cs="Open Sans"/>
          <w:sz w:val="20"/>
          <w:szCs w:val="20"/>
        </w:rPr>
      </w:pPr>
      <w:r w:rsidRPr="009A663D">
        <w:rPr>
          <w:rFonts w:ascii="Open Sans" w:hAnsi="Open Sans" w:cs="Open Sans"/>
          <w:color w:val="000000"/>
          <w:sz w:val="20"/>
          <w:szCs w:val="20"/>
        </w:rPr>
        <w:t>Wright, E. (</w:t>
      </w:r>
      <w:proofErr w:type="spellStart"/>
      <w:r w:rsidRPr="009A663D">
        <w:rPr>
          <w:rFonts w:ascii="Open Sans" w:hAnsi="Open Sans" w:cs="Open Sans"/>
          <w:color w:val="000000"/>
          <w:sz w:val="20"/>
          <w:szCs w:val="20"/>
        </w:rPr>
        <w:t>n.d</w:t>
      </w:r>
      <w:proofErr w:type="spellEnd"/>
      <w:r w:rsidRPr="009A663D">
        <w:rPr>
          <w:rFonts w:ascii="Open Sans" w:hAnsi="Open Sans" w:cs="Open Sans"/>
          <w:color w:val="000000"/>
          <w:sz w:val="20"/>
          <w:szCs w:val="20"/>
        </w:rPr>
        <w:t xml:space="preserve">). Disclosure Problems in Criminal Cases. Business Crime. Available </w:t>
      </w:r>
      <w:proofErr w:type="gramStart"/>
      <w:r w:rsidRPr="009A663D">
        <w:rPr>
          <w:rFonts w:ascii="Open Sans" w:hAnsi="Open Sans" w:cs="Open Sans"/>
          <w:color w:val="000000"/>
          <w:sz w:val="20"/>
          <w:szCs w:val="20"/>
        </w:rPr>
        <w:t>at :</w:t>
      </w:r>
      <w:proofErr w:type="gramEnd"/>
      <w:r w:rsidRPr="009A663D">
        <w:rPr>
          <w:rFonts w:ascii="Open Sans" w:hAnsi="Open Sans" w:cs="Open Sans"/>
          <w:color w:val="000000"/>
          <w:sz w:val="20"/>
          <w:szCs w:val="20"/>
        </w:rPr>
        <w:t xml:space="preserve"> https:// </w:t>
      </w:r>
      <w:hyperlink r:id="rId132" w:history="1">
        <w:r w:rsidRPr="009A663D">
          <w:rPr>
            <w:rStyle w:val="Hyperlink"/>
            <w:rFonts w:ascii="Open Sans" w:hAnsi="Open Sans" w:cs="Open Sans"/>
            <w:color w:val="000000"/>
            <w:sz w:val="20"/>
            <w:szCs w:val="20"/>
          </w:rPr>
          <w:t>www.jmw.co.uk/services-for-business/business-crime/articles/disclosure-problems-in-criminal-cases</w:t>
        </w:r>
      </w:hyperlink>
      <w:r w:rsidRPr="009A663D">
        <w:rPr>
          <w:rFonts w:ascii="Open Sans" w:hAnsi="Open Sans" w:cs="Open Sans"/>
          <w:color w:val="000000"/>
          <w:sz w:val="20"/>
          <w:szCs w:val="20"/>
        </w:rPr>
        <w:t xml:space="preserve"> (Accessed: 6 May 2022) </w:t>
      </w:r>
    </w:p>
    <w:p w14:paraId="4E53A5CE" w14:textId="115B4C70" w:rsidR="7336895D" w:rsidRDefault="7336895D" w:rsidP="7336895D">
      <w:pPr>
        <w:ind w:right="107"/>
        <w:jc w:val="both"/>
        <w:rPr>
          <w:rFonts w:ascii="Arial" w:eastAsia="Arial" w:hAnsi="Arial" w:cs="Arial"/>
          <w:b/>
          <w:bCs/>
          <w:color w:val="000000" w:themeColor="text1"/>
          <w:sz w:val="24"/>
          <w:szCs w:val="24"/>
        </w:rPr>
      </w:pPr>
    </w:p>
    <w:p w14:paraId="4820D468" w14:textId="01D5664B" w:rsidR="7336895D" w:rsidRDefault="7336895D" w:rsidP="7336895D">
      <w:pPr>
        <w:ind w:right="107"/>
        <w:jc w:val="both"/>
        <w:rPr>
          <w:rFonts w:ascii="Arial" w:eastAsia="Arial" w:hAnsi="Arial" w:cs="Arial"/>
          <w:b/>
          <w:bCs/>
          <w:color w:val="000000" w:themeColor="text1"/>
          <w:sz w:val="24"/>
          <w:szCs w:val="24"/>
        </w:rPr>
      </w:pPr>
    </w:p>
    <w:p w14:paraId="2C6FBE2D" w14:textId="0EF7202A" w:rsidR="727E3A7D" w:rsidRDefault="727E3A7D" w:rsidP="727E3A7D">
      <w:pPr>
        <w:ind w:right="107"/>
        <w:jc w:val="both"/>
        <w:rPr>
          <w:rFonts w:ascii="Arial" w:eastAsia="Arial" w:hAnsi="Arial" w:cs="Arial"/>
          <w:b/>
          <w:bCs/>
          <w:color w:val="000000" w:themeColor="text1"/>
          <w:sz w:val="24"/>
          <w:szCs w:val="24"/>
        </w:rPr>
      </w:pPr>
    </w:p>
    <w:p w14:paraId="3999A614" w14:textId="77777777" w:rsidR="00965385" w:rsidRDefault="00965385" w:rsidP="727E3A7D">
      <w:pPr>
        <w:ind w:right="107"/>
        <w:jc w:val="both"/>
        <w:rPr>
          <w:rFonts w:ascii="Arial" w:eastAsia="Arial" w:hAnsi="Arial" w:cs="Arial"/>
          <w:b/>
          <w:bCs/>
          <w:color w:val="000000" w:themeColor="text1"/>
          <w:sz w:val="24"/>
          <w:szCs w:val="24"/>
        </w:rPr>
      </w:pPr>
    </w:p>
    <w:p w14:paraId="6E8EF106" w14:textId="77777777" w:rsidR="009A663D" w:rsidRDefault="009A663D" w:rsidP="7336895D">
      <w:pPr>
        <w:ind w:right="107"/>
        <w:jc w:val="both"/>
        <w:rPr>
          <w:rFonts w:ascii="Arial" w:eastAsia="Arial" w:hAnsi="Arial" w:cs="Arial"/>
          <w:b/>
          <w:bCs/>
          <w:color w:val="000000" w:themeColor="text1"/>
          <w:sz w:val="24"/>
          <w:szCs w:val="24"/>
        </w:rPr>
      </w:pPr>
    </w:p>
    <w:p w14:paraId="238B89D4" w14:textId="77777777" w:rsidR="009A663D" w:rsidRDefault="009A663D" w:rsidP="7336895D">
      <w:pPr>
        <w:ind w:right="107"/>
        <w:jc w:val="both"/>
        <w:rPr>
          <w:rFonts w:ascii="Arial" w:eastAsia="Arial" w:hAnsi="Arial" w:cs="Arial"/>
          <w:b/>
          <w:bCs/>
          <w:color w:val="000000" w:themeColor="text1"/>
          <w:sz w:val="24"/>
          <w:szCs w:val="24"/>
        </w:rPr>
      </w:pPr>
    </w:p>
    <w:p w14:paraId="3B73F249" w14:textId="77777777" w:rsidR="009A663D" w:rsidRDefault="009A663D" w:rsidP="7336895D">
      <w:pPr>
        <w:ind w:right="107"/>
        <w:jc w:val="both"/>
        <w:rPr>
          <w:rFonts w:ascii="Arial" w:eastAsia="Arial" w:hAnsi="Arial" w:cs="Arial"/>
          <w:b/>
          <w:bCs/>
          <w:color w:val="000000" w:themeColor="text1"/>
          <w:sz w:val="24"/>
          <w:szCs w:val="24"/>
        </w:rPr>
      </w:pPr>
    </w:p>
    <w:p w14:paraId="5040012A" w14:textId="77777777" w:rsidR="009A663D" w:rsidRDefault="009A663D" w:rsidP="7336895D">
      <w:pPr>
        <w:ind w:right="107"/>
        <w:jc w:val="both"/>
        <w:rPr>
          <w:rFonts w:ascii="Arial" w:eastAsia="Arial" w:hAnsi="Arial" w:cs="Arial"/>
          <w:b/>
          <w:bCs/>
          <w:color w:val="000000" w:themeColor="text1"/>
          <w:sz w:val="24"/>
          <w:szCs w:val="24"/>
        </w:rPr>
      </w:pPr>
    </w:p>
    <w:p w14:paraId="48D19E27" w14:textId="77777777" w:rsidR="009A663D" w:rsidRDefault="009A663D" w:rsidP="7336895D">
      <w:pPr>
        <w:ind w:right="107"/>
        <w:jc w:val="both"/>
        <w:rPr>
          <w:rFonts w:ascii="Arial" w:eastAsia="Arial" w:hAnsi="Arial" w:cs="Arial"/>
          <w:b/>
          <w:bCs/>
          <w:color w:val="000000" w:themeColor="text1"/>
          <w:sz w:val="24"/>
          <w:szCs w:val="24"/>
        </w:rPr>
      </w:pPr>
    </w:p>
    <w:p w14:paraId="08144FAD" w14:textId="77777777" w:rsidR="009A663D" w:rsidRDefault="009A663D" w:rsidP="7336895D">
      <w:pPr>
        <w:ind w:right="107"/>
        <w:jc w:val="both"/>
        <w:rPr>
          <w:rFonts w:ascii="Arial" w:eastAsia="Arial" w:hAnsi="Arial" w:cs="Arial"/>
          <w:b/>
          <w:bCs/>
          <w:color w:val="000000" w:themeColor="text1"/>
          <w:sz w:val="24"/>
          <w:szCs w:val="24"/>
        </w:rPr>
      </w:pPr>
    </w:p>
    <w:p w14:paraId="7D768E2E" w14:textId="015D5329" w:rsidR="009A663D" w:rsidRDefault="009A663D" w:rsidP="7336895D">
      <w:pPr>
        <w:ind w:right="107"/>
        <w:jc w:val="both"/>
        <w:rPr>
          <w:rFonts w:ascii="Arial" w:eastAsia="Arial" w:hAnsi="Arial" w:cs="Arial"/>
          <w:b/>
          <w:bCs/>
          <w:color w:val="000000" w:themeColor="text1"/>
          <w:sz w:val="24"/>
          <w:szCs w:val="24"/>
        </w:rPr>
      </w:pPr>
    </w:p>
    <w:p w14:paraId="744BF806" w14:textId="2176FDDC" w:rsidR="00BD3F76" w:rsidRDefault="00BD3F76" w:rsidP="7336895D">
      <w:pPr>
        <w:ind w:right="107"/>
        <w:jc w:val="both"/>
        <w:rPr>
          <w:rFonts w:ascii="Arial" w:eastAsia="Arial" w:hAnsi="Arial" w:cs="Arial"/>
          <w:b/>
          <w:bCs/>
          <w:color w:val="000000" w:themeColor="text1"/>
          <w:sz w:val="24"/>
          <w:szCs w:val="24"/>
        </w:rPr>
      </w:pPr>
    </w:p>
    <w:p w14:paraId="6CF5B3B7" w14:textId="28FC68AC" w:rsidR="00BD3F76" w:rsidRDefault="00BD3F76" w:rsidP="7336895D">
      <w:pPr>
        <w:ind w:right="107"/>
        <w:jc w:val="both"/>
        <w:rPr>
          <w:rFonts w:ascii="Arial" w:eastAsia="Arial" w:hAnsi="Arial" w:cs="Arial"/>
          <w:b/>
          <w:bCs/>
          <w:color w:val="000000" w:themeColor="text1"/>
          <w:sz w:val="24"/>
          <w:szCs w:val="24"/>
        </w:rPr>
      </w:pPr>
    </w:p>
    <w:p w14:paraId="76484541" w14:textId="4D95C659" w:rsidR="00BD3F76" w:rsidRDefault="00BD3F76" w:rsidP="7336895D">
      <w:pPr>
        <w:ind w:right="107"/>
        <w:jc w:val="both"/>
        <w:rPr>
          <w:rFonts w:ascii="Arial" w:eastAsia="Arial" w:hAnsi="Arial" w:cs="Arial"/>
          <w:b/>
          <w:bCs/>
          <w:color w:val="000000" w:themeColor="text1"/>
          <w:sz w:val="24"/>
          <w:szCs w:val="24"/>
        </w:rPr>
      </w:pPr>
    </w:p>
    <w:p w14:paraId="05E7285D" w14:textId="10043E12" w:rsidR="00BD3F76" w:rsidRDefault="00BD3F76" w:rsidP="7336895D">
      <w:pPr>
        <w:ind w:right="107"/>
        <w:jc w:val="both"/>
        <w:rPr>
          <w:rFonts w:ascii="Arial" w:eastAsia="Arial" w:hAnsi="Arial" w:cs="Arial"/>
          <w:b/>
          <w:bCs/>
          <w:color w:val="000000" w:themeColor="text1"/>
          <w:sz w:val="24"/>
          <w:szCs w:val="24"/>
        </w:rPr>
      </w:pPr>
    </w:p>
    <w:p w14:paraId="0DCDFA8E" w14:textId="3211CE09" w:rsidR="00BD3F76" w:rsidRDefault="00BD3F76" w:rsidP="7336895D">
      <w:pPr>
        <w:ind w:right="107"/>
        <w:jc w:val="both"/>
        <w:rPr>
          <w:rFonts w:ascii="Arial" w:eastAsia="Arial" w:hAnsi="Arial" w:cs="Arial"/>
          <w:b/>
          <w:bCs/>
          <w:color w:val="000000" w:themeColor="text1"/>
          <w:sz w:val="24"/>
          <w:szCs w:val="24"/>
        </w:rPr>
      </w:pPr>
    </w:p>
    <w:p w14:paraId="701A0ECD" w14:textId="32B6BF04" w:rsidR="00BD3F76" w:rsidRDefault="00BD3F76" w:rsidP="7336895D">
      <w:pPr>
        <w:ind w:right="107"/>
        <w:jc w:val="both"/>
        <w:rPr>
          <w:rFonts w:ascii="Arial" w:eastAsia="Arial" w:hAnsi="Arial" w:cs="Arial"/>
          <w:b/>
          <w:bCs/>
          <w:color w:val="000000" w:themeColor="text1"/>
          <w:sz w:val="24"/>
          <w:szCs w:val="24"/>
        </w:rPr>
      </w:pPr>
    </w:p>
    <w:p w14:paraId="27CACFB3" w14:textId="2A8ED84D" w:rsidR="00BD3F76" w:rsidRDefault="00BD3F76" w:rsidP="7336895D">
      <w:pPr>
        <w:ind w:right="107"/>
        <w:jc w:val="both"/>
        <w:rPr>
          <w:rFonts w:ascii="Arial" w:eastAsia="Arial" w:hAnsi="Arial" w:cs="Arial"/>
          <w:b/>
          <w:bCs/>
          <w:color w:val="000000" w:themeColor="text1"/>
          <w:sz w:val="24"/>
          <w:szCs w:val="24"/>
        </w:rPr>
      </w:pPr>
    </w:p>
    <w:p w14:paraId="450CC662" w14:textId="16237139" w:rsidR="00BD3F76" w:rsidRDefault="00BD3F76" w:rsidP="7336895D">
      <w:pPr>
        <w:ind w:right="107"/>
        <w:jc w:val="both"/>
        <w:rPr>
          <w:rFonts w:ascii="Arial" w:eastAsia="Arial" w:hAnsi="Arial" w:cs="Arial"/>
          <w:b/>
          <w:bCs/>
          <w:color w:val="000000" w:themeColor="text1"/>
          <w:sz w:val="24"/>
          <w:szCs w:val="24"/>
        </w:rPr>
      </w:pPr>
    </w:p>
    <w:p w14:paraId="68BB6674" w14:textId="78566CAB" w:rsidR="00BD3F76" w:rsidRDefault="00BD3F76" w:rsidP="7336895D">
      <w:pPr>
        <w:ind w:right="107"/>
        <w:jc w:val="both"/>
        <w:rPr>
          <w:rFonts w:ascii="Arial" w:eastAsia="Arial" w:hAnsi="Arial" w:cs="Arial"/>
          <w:b/>
          <w:bCs/>
          <w:color w:val="000000" w:themeColor="text1"/>
          <w:sz w:val="24"/>
          <w:szCs w:val="24"/>
        </w:rPr>
      </w:pPr>
    </w:p>
    <w:p w14:paraId="2693D7FB" w14:textId="77777777" w:rsidR="00BD3F76" w:rsidRDefault="00BD3F76" w:rsidP="7336895D">
      <w:pPr>
        <w:ind w:right="107"/>
        <w:jc w:val="both"/>
        <w:rPr>
          <w:rFonts w:ascii="Arial" w:eastAsia="Arial" w:hAnsi="Arial" w:cs="Arial"/>
          <w:b/>
          <w:bCs/>
          <w:color w:val="000000" w:themeColor="text1"/>
          <w:sz w:val="24"/>
          <w:szCs w:val="24"/>
        </w:rPr>
      </w:pPr>
    </w:p>
    <w:p w14:paraId="5F5E3E11" w14:textId="77777777" w:rsidR="009A663D" w:rsidRDefault="009A663D" w:rsidP="7336895D">
      <w:pPr>
        <w:ind w:right="107"/>
        <w:jc w:val="both"/>
        <w:rPr>
          <w:rFonts w:ascii="Arial" w:eastAsia="Arial" w:hAnsi="Arial" w:cs="Arial"/>
          <w:b/>
          <w:bCs/>
          <w:color w:val="000000" w:themeColor="text1"/>
          <w:sz w:val="24"/>
          <w:szCs w:val="24"/>
        </w:rPr>
      </w:pPr>
    </w:p>
    <w:p w14:paraId="38680188" w14:textId="48397585" w:rsidR="3A5EB7B5" w:rsidRDefault="3A5EB7B5" w:rsidP="7336895D">
      <w:pPr>
        <w:ind w:right="107"/>
        <w:jc w:val="both"/>
        <w:rPr>
          <w:rFonts w:ascii="Arial" w:eastAsia="Arial" w:hAnsi="Arial" w:cs="Arial"/>
          <w:b/>
          <w:bCs/>
          <w:color w:val="000000" w:themeColor="text1"/>
          <w:sz w:val="24"/>
          <w:szCs w:val="24"/>
        </w:rPr>
      </w:pPr>
      <w:r w:rsidRPr="7336895D">
        <w:rPr>
          <w:rFonts w:ascii="Arial" w:eastAsia="Arial" w:hAnsi="Arial" w:cs="Arial"/>
          <w:b/>
          <w:bCs/>
          <w:color w:val="000000" w:themeColor="text1"/>
          <w:sz w:val="24"/>
          <w:szCs w:val="24"/>
        </w:rPr>
        <w:t>Task 5</w:t>
      </w:r>
      <w:r w:rsidR="4C6CB4DE" w:rsidRPr="7336895D">
        <w:rPr>
          <w:rFonts w:ascii="Arial" w:eastAsia="Arial" w:hAnsi="Arial" w:cs="Arial"/>
          <w:b/>
          <w:bCs/>
          <w:color w:val="000000" w:themeColor="text1"/>
          <w:sz w:val="24"/>
          <w:szCs w:val="24"/>
        </w:rPr>
        <w:t xml:space="preserve">: </w:t>
      </w:r>
    </w:p>
    <w:p w14:paraId="47BDC222" w14:textId="7519F6C3" w:rsidR="3A5EB7B5" w:rsidRDefault="3A5EB7B5" w:rsidP="7336895D">
      <w:pPr>
        <w:ind w:right="10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Personal Development Plan (PDP)</w:t>
      </w:r>
    </w:p>
    <w:p w14:paraId="0A253E2D" w14:textId="42BC9346" w:rsidR="7336895D" w:rsidRDefault="7336895D" w:rsidP="7336895D">
      <w:pPr>
        <w:ind w:right="107"/>
        <w:jc w:val="both"/>
        <w:rPr>
          <w:rFonts w:ascii="Arial" w:eastAsia="Arial" w:hAnsi="Arial" w:cs="Arial"/>
          <w:color w:val="000000" w:themeColor="text1"/>
          <w:sz w:val="24"/>
          <w:szCs w:val="24"/>
        </w:rPr>
      </w:pPr>
    </w:p>
    <w:p w14:paraId="037136EB" w14:textId="7C680935" w:rsidR="3A5EB7B5" w:rsidRDefault="3A5EB7B5" w:rsidP="7336895D">
      <w:pPr>
        <w:ind w:right="107"/>
        <w:jc w:val="both"/>
        <w:rPr>
          <w:rFonts w:ascii="Arial" w:eastAsia="Arial" w:hAnsi="Arial" w:cs="Arial"/>
          <w:color w:val="000000" w:themeColor="text1"/>
          <w:sz w:val="24"/>
          <w:szCs w:val="24"/>
        </w:rPr>
      </w:pPr>
      <w:r w:rsidRPr="69B3A30A">
        <w:rPr>
          <w:rFonts w:ascii="Arial" w:eastAsia="Arial" w:hAnsi="Arial" w:cs="Arial"/>
          <w:b/>
          <w:bCs/>
          <w:color w:val="000000" w:themeColor="text1"/>
          <w:sz w:val="24"/>
          <w:szCs w:val="24"/>
        </w:rPr>
        <w:t xml:space="preserve">As part of your reflective process, please use this table to aid you in identifying the next steps for development. </w:t>
      </w:r>
    </w:p>
    <w:p w14:paraId="24ED1ABE" w14:textId="63D8BDE0" w:rsidR="69B3A30A" w:rsidRDefault="69B3A30A" w:rsidP="69B3A30A">
      <w:pPr>
        <w:ind w:right="107"/>
        <w:jc w:val="both"/>
        <w:rPr>
          <w:rFonts w:ascii="Arial" w:eastAsia="Arial" w:hAnsi="Arial" w:cs="Arial"/>
          <w:color w:val="000000" w:themeColor="text1"/>
          <w:sz w:val="24"/>
          <w:szCs w:val="24"/>
        </w:rPr>
      </w:pPr>
    </w:p>
    <w:p w14:paraId="02ED8D49" w14:textId="6EF7E1B0" w:rsidR="3A5EB7B5" w:rsidRDefault="49E3DD73" w:rsidP="69B3A30A">
      <w:pPr>
        <w:ind w:right="107"/>
        <w:jc w:val="both"/>
        <w:rPr>
          <w:rFonts w:ascii="Arial" w:eastAsia="Arial" w:hAnsi="Arial" w:cs="Arial"/>
          <w:color w:val="000000" w:themeColor="text1"/>
          <w:sz w:val="24"/>
          <w:szCs w:val="24"/>
        </w:rPr>
      </w:pPr>
      <w:r w:rsidRPr="69B3A30A">
        <w:rPr>
          <w:rFonts w:ascii="Arial" w:eastAsia="Arial" w:hAnsi="Arial" w:cs="Arial"/>
          <w:color w:val="000000" w:themeColor="text1"/>
          <w:sz w:val="24"/>
          <w:szCs w:val="24"/>
        </w:rPr>
        <w:t>F</w:t>
      </w:r>
      <w:r w:rsidR="3C41B539" w:rsidRPr="69B3A30A">
        <w:rPr>
          <w:rFonts w:ascii="Arial" w:eastAsia="Arial" w:hAnsi="Arial" w:cs="Arial"/>
          <w:color w:val="000000" w:themeColor="text1"/>
          <w:sz w:val="24"/>
          <w:szCs w:val="24"/>
        </w:rPr>
        <w:t>ormulate and implement a personal study programme to further enhance the development of your professional police practice. A template has been added for an ‘Individual Learning Plan’ that you can use for this task.  </w:t>
      </w:r>
    </w:p>
    <w:p w14:paraId="233F7648" w14:textId="43E6AD71" w:rsidR="3A5EB7B5" w:rsidRDefault="3C41B539" w:rsidP="69B3A30A">
      <w:pPr>
        <w:ind w:right="225"/>
        <w:jc w:val="both"/>
        <w:rPr>
          <w:rFonts w:ascii="Arial" w:eastAsia="Arial" w:hAnsi="Arial" w:cs="Arial"/>
          <w:color w:val="000000" w:themeColor="text1"/>
          <w:sz w:val="24"/>
          <w:szCs w:val="24"/>
        </w:rPr>
      </w:pPr>
      <w:r w:rsidRPr="69B3A30A">
        <w:rPr>
          <w:rFonts w:ascii="Arial" w:eastAsia="Arial" w:hAnsi="Arial" w:cs="Arial"/>
          <w:color w:val="000000" w:themeColor="text1"/>
          <w:sz w:val="24"/>
          <w:szCs w:val="24"/>
        </w:rPr>
        <w:t> </w:t>
      </w:r>
    </w:p>
    <w:p w14:paraId="6D70D476" w14:textId="67BCDEF7" w:rsidR="3A5EB7B5" w:rsidRDefault="3C41B539" w:rsidP="69B3A30A">
      <w:pPr>
        <w:ind w:right="225"/>
        <w:jc w:val="both"/>
        <w:rPr>
          <w:rFonts w:ascii="Arial" w:eastAsia="Arial" w:hAnsi="Arial" w:cs="Arial"/>
          <w:color w:val="000000" w:themeColor="text1"/>
          <w:sz w:val="24"/>
          <w:szCs w:val="24"/>
        </w:rPr>
      </w:pPr>
      <w:r w:rsidRPr="69B3A30A">
        <w:rPr>
          <w:rFonts w:ascii="Arial" w:eastAsia="Arial" w:hAnsi="Arial" w:cs="Arial"/>
          <w:color w:val="000000" w:themeColor="text1"/>
          <w:sz w:val="24"/>
          <w:szCs w:val="24"/>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This should then be used to target future development need. </w:t>
      </w:r>
    </w:p>
    <w:p w14:paraId="60218603" w14:textId="7D1B3ACF" w:rsidR="7336895D" w:rsidRDefault="7336895D" w:rsidP="69B3A30A">
      <w:pPr>
        <w:ind w:right="107"/>
        <w:jc w:val="both"/>
        <w:rPr>
          <w:rFonts w:ascii="Arial" w:eastAsia="Arial" w:hAnsi="Arial" w:cs="Arial"/>
          <w:i/>
          <w:iCs/>
          <w:color w:val="000000" w:themeColor="text1"/>
          <w:sz w:val="24"/>
          <w:szCs w:val="24"/>
        </w:rPr>
      </w:pPr>
    </w:p>
    <w:p w14:paraId="5C5A7A7D" w14:textId="57CDDE86" w:rsidR="7336895D" w:rsidRDefault="7336895D" w:rsidP="69B3A30A">
      <w:pPr>
        <w:ind w:right="107"/>
        <w:jc w:val="both"/>
        <w:rPr>
          <w:rFonts w:ascii="Arial" w:eastAsia="Arial" w:hAnsi="Arial" w:cs="Arial"/>
          <w:i/>
          <w:iCs/>
          <w:color w:val="000000" w:themeColor="text1"/>
          <w:sz w:val="24"/>
          <w:szCs w:val="24"/>
        </w:rPr>
      </w:pPr>
    </w:p>
    <w:p w14:paraId="0FDE90ED" w14:textId="686A95A8" w:rsidR="00965385" w:rsidRDefault="00965385" w:rsidP="69B3A30A">
      <w:pPr>
        <w:ind w:right="107"/>
        <w:jc w:val="both"/>
        <w:rPr>
          <w:rFonts w:ascii="Arial" w:eastAsia="Arial" w:hAnsi="Arial" w:cs="Arial"/>
          <w:i/>
          <w:iCs/>
          <w:color w:val="000000" w:themeColor="text1"/>
          <w:sz w:val="24"/>
          <w:szCs w:val="24"/>
        </w:rPr>
      </w:pPr>
    </w:p>
    <w:p w14:paraId="5BFC4BC2" w14:textId="78F349BC" w:rsidR="00965385" w:rsidRDefault="00965385" w:rsidP="69B3A30A">
      <w:pPr>
        <w:ind w:right="107"/>
        <w:jc w:val="both"/>
        <w:rPr>
          <w:rFonts w:ascii="Arial" w:eastAsia="Arial" w:hAnsi="Arial" w:cs="Arial"/>
          <w:i/>
          <w:iCs/>
          <w:color w:val="000000" w:themeColor="text1"/>
          <w:sz w:val="24"/>
          <w:szCs w:val="24"/>
        </w:rPr>
      </w:pPr>
    </w:p>
    <w:p w14:paraId="28609F98" w14:textId="1DD74C15" w:rsidR="00965385" w:rsidRDefault="00965385" w:rsidP="69B3A30A">
      <w:pPr>
        <w:ind w:right="107"/>
        <w:jc w:val="both"/>
        <w:rPr>
          <w:rFonts w:ascii="Arial" w:eastAsia="Arial" w:hAnsi="Arial" w:cs="Arial"/>
          <w:i/>
          <w:iCs/>
          <w:color w:val="000000" w:themeColor="text1"/>
          <w:sz w:val="24"/>
          <w:szCs w:val="24"/>
        </w:rPr>
      </w:pPr>
    </w:p>
    <w:p w14:paraId="678E8E81" w14:textId="62FDD2A3" w:rsidR="00965385" w:rsidRDefault="00965385" w:rsidP="69B3A30A">
      <w:pPr>
        <w:ind w:right="107"/>
        <w:jc w:val="both"/>
        <w:rPr>
          <w:rFonts w:ascii="Arial" w:eastAsia="Arial" w:hAnsi="Arial" w:cs="Arial"/>
          <w:i/>
          <w:iCs/>
          <w:color w:val="000000" w:themeColor="text1"/>
          <w:sz w:val="24"/>
          <w:szCs w:val="24"/>
        </w:rPr>
      </w:pPr>
    </w:p>
    <w:p w14:paraId="3E86A702" w14:textId="4EC1D1DD" w:rsidR="00965385" w:rsidRDefault="00965385" w:rsidP="69B3A30A">
      <w:pPr>
        <w:ind w:right="107"/>
        <w:jc w:val="both"/>
        <w:rPr>
          <w:rFonts w:ascii="Arial" w:eastAsia="Arial" w:hAnsi="Arial" w:cs="Arial"/>
          <w:i/>
          <w:iCs/>
          <w:color w:val="000000" w:themeColor="text1"/>
          <w:sz w:val="24"/>
          <w:szCs w:val="24"/>
        </w:rPr>
      </w:pPr>
    </w:p>
    <w:p w14:paraId="7C9CF8D4" w14:textId="2D02CC49" w:rsidR="00965385" w:rsidRDefault="00965385" w:rsidP="69B3A30A">
      <w:pPr>
        <w:ind w:right="107"/>
        <w:jc w:val="both"/>
        <w:rPr>
          <w:rFonts w:ascii="Arial" w:eastAsia="Arial" w:hAnsi="Arial" w:cs="Arial"/>
          <w:i/>
          <w:iCs/>
          <w:color w:val="000000" w:themeColor="text1"/>
          <w:sz w:val="24"/>
          <w:szCs w:val="24"/>
        </w:rPr>
      </w:pPr>
    </w:p>
    <w:p w14:paraId="5F63DC51" w14:textId="1507FA6D" w:rsidR="00965385" w:rsidRDefault="00965385" w:rsidP="69B3A30A">
      <w:pPr>
        <w:ind w:right="107"/>
        <w:jc w:val="both"/>
        <w:rPr>
          <w:rFonts w:ascii="Arial" w:eastAsia="Arial" w:hAnsi="Arial" w:cs="Arial"/>
          <w:i/>
          <w:iCs/>
          <w:color w:val="000000" w:themeColor="text1"/>
          <w:sz w:val="24"/>
          <w:szCs w:val="24"/>
        </w:rPr>
      </w:pPr>
    </w:p>
    <w:p w14:paraId="6E1EE9C2" w14:textId="32FAA03A" w:rsidR="00965385" w:rsidRDefault="00965385" w:rsidP="69B3A30A">
      <w:pPr>
        <w:ind w:right="107"/>
        <w:jc w:val="both"/>
        <w:rPr>
          <w:rFonts w:ascii="Arial" w:eastAsia="Arial" w:hAnsi="Arial" w:cs="Arial"/>
          <w:i/>
          <w:iCs/>
          <w:color w:val="000000" w:themeColor="text1"/>
          <w:sz w:val="24"/>
          <w:szCs w:val="24"/>
        </w:rPr>
      </w:pPr>
    </w:p>
    <w:p w14:paraId="53E1A883" w14:textId="130A8275" w:rsidR="00965385" w:rsidRDefault="00965385" w:rsidP="69B3A30A">
      <w:pPr>
        <w:ind w:right="107"/>
        <w:jc w:val="both"/>
        <w:rPr>
          <w:rFonts w:ascii="Arial" w:eastAsia="Arial" w:hAnsi="Arial" w:cs="Arial"/>
          <w:i/>
          <w:iCs/>
          <w:color w:val="000000" w:themeColor="text1"/>
          <w:sz w:val="24"/>
          <w:szCs w:val="24"/>
        </w:rPr>
      </w:pPr>
    </w:p>
    <w:p w14:paraId="153B8651" w14:textId="279C93AA" w:rsidR="00965385" w:rsidRDefault="00965385" w:rsidP="69B3A30A">
      <w:pPr>
        <w:ind w:right="107"/>
        <w:jc w:val="both"/>
        <w:rPr>
          <w:rFonts w:ascii="Arial" w:eastAsia="Arial" w:hAnsi="Arial" w:cs="Arial"/>
          <w:i/>
          <w:iCs/>
          <w:color w:val="000000" w:themeColor="text1"/>
          <w:sz w:val="24"/>
          <w:szCs w:val="24"/>
        </w:rPr>
      </w:pPr>
    </w:p>
    <w:p w14:paraId="3CD9AA1D" w14:textId="055FEDB6" w:rsidR="00965385" w:rsidRDefault="00965385" w:rsidP="69B3A30A">
      <w:pPr>
        <w:ind w:right="107"/>
        <w:jc w:val="both"/>
        <w:rPr>
          <w:rFonts w:ascii="Arial" w:eastAsia="Arial" w:hAnsi="Arial" w:cs="Arial"/>
          <w:i/>
          <w:iCs/>
          <w:color w:val="000000" w:themeColor="text1"/>
          <w:sz w:val="24"/>
          <w:szCs w:val="24"/>
        </w:rPr>
      </w:pPr>
    </w:p>
    <w:p w14:paraId="4C2F040E" w14:textId="42BB7BFB" w:rsidR="00965385" w:rsidRDefault="00965385" w:rsidP="69B3A30A">
      <w:pPr>
        <w:ind w:right="107"/>
        <w:jc w:val="both"/>
        <w:rPr>
          <w:rFonts w:ascii="Arial" w:eastAsia="Arial" w:hAnsi="Arial" w:cs="Arial"/>
          <w:i/>
          <w:iCs/>
          <w:color w:val="000000" w:themeColor="text1"/>
          <w:sz w:val="24"/>
          <w:szCs w:val="24"/>
        </w:rPr>
      </w:pPr>
    </w:p>
    <w:p w14:paraId="2D901F6E" w14:textId="0D12913C" w:rsidR="00965385" w:rsidRDefault="00965385" w:rsidP="69B3A30A">
      <w:pPr>
        <w:ind w:right="107"/>
        <w:jc w:val="both"/>
        <w:rPr>
          <w:rFonts w:ascii="Arial" w:eastAsia="Arial" w:hAnsi="Arial" w:cs="Arial"/>
          <w:i/>
          <w:iCs/>
          <w:color w:val="000000" w:themeColor="text1"/>
          <w:sz w:val="24"/>
          <w:szCs w:val="24"/>
        </w:rPr>
      </w:pPr>
    </w:p>
    <w:p w14:paraId="1C5A6F35" w14:textId="77777777" w:rsidR="00965385" w:rsidRDefault="00965385" w:rsidP="69B3A30A">
      <w:pPr>
        <w:ind w:right="107"/>
        <w:jc w:val="both"/>
        <w:rPr>
          <w:rFonts w:ascii="Arial" w:eastAsia="Arial" w:hAnsi="Arial" w:cs="Arial"/>
          <w:i/>
          <w:iCs/>
          <w:color w:val="000000" w:themeColor="text1"/>
          <w:sz w:val="24"/>
          <w:szCs w:val="24"/>
        </w:rPr>
      </w:pPr>
    </w:p>
    <w:p w14:paraId="048CCAF0" w14:textId="77777777" w:rsidR="009A663D" w:rsidRDefault="009A663D" w:rsidP="69B3A30A">
      <w:pPr>
        <w:jc w:val="center"/>
        <w:rPr>
          <w:rFonts w:ascii="Arial" w:eastAsia="Arial" w:hAnsi="Arial" w:cs="Arial"/>
          <w:b/>
          <w:bCs/>
          <w:color w:val="000000" w:themeColor="text1"/>
        </w:rPr>
      </w:pPr>
    </w:p>
    <w:p w14:paraId="717A07DF" w14:textId="77777777" w:rsidR="009A663D" w:rsidRDefault="009A663D" w:rsidP="69B3A30A">
      <w:pPr>
        <w:jc w:val="center"/>
        <w:rPr>
          <w:rFonts w:ascii="Arial" w:eastAsia="Arial" w:hAnsi="Arial" w:cs="Arial"/>
          <w:b/>
          <w:bCs/>
          <w:color w:val="000000" w:themeColor="text1"/>
        </w:rPr>
      </w:pPr>
    </w:p>
    <w:p w14:paraId="3C8AF230" w14:textId="718CEDAB" w:rsidR="7336895D" w:rsidRDefault="4E6D1421" w:rsidP="69B3A30A">
      <w:pPr>
        <w:jc w:val="center"/>
        <w:rPr>
          <w:rFonts w:ascii="Arial" w:eastAsia="Arial" w:hAnsi="Arial" w:cs="Arial"/>
          <w:color w:val="000000" w:themeColor="text1"/>
        </w:rPr>
      </w:pPr>
      <w:r w:rsidRPr="69B3A30A">
        <w:rPr>
          <w:rFonts w:ascii="Arial" w:eastAsia="Arial" w:hAnsi="Arial" w:cs="Arial"/>
          <w:b/>
          <w:bCs/>
          <w:color w:val="000000" w:themeColor="text1"/>
        </w:rPr>
        <w:t>Knowledge, Skills and Experience Assessment</w:t>
      </w:r>
      <w:r w:rsidRPr="69B3A30A">
        <w:rPr>
          <w:rFonts w:ascii="Arial" w:eastAsia="Arial" w:hAnsi="Arial" w:cs="Arial"/>
          <w:color w:val="000000" w:themeColor="text1"/>
        </w:rPr>
        <w:t> </w:t>
      </w:r>
    </w:p>
    <w:p w14:paraId="6C83A7C2" w14:textId="77777777" w:rsidR="009A663D" w:rsidRDefault="009A663D" w:rsidP="009A663D">
      <w:pPr>
        <w:ind w:right="107"/>
        <w:jc w:val="both"/>
        <w:rPr>
          <w:rFonts w:ascii="Arial" w:eastAsia="Arial" w:hAnsi="Arial" w:cs="Arial"/>
          <w:color w:val="000000"/>
          <w:sz w:val="24"/>
          <w:szCs w:val="24"/>
        </w:rPr>
      </w:pPr>
    </w:p>
    <w:tbl>
      <w:tblPr>
        <w:tblW w:w="8880" w:type="dxa"/>
        <w:tblLayout w:type="fixed"/>
        <w:tblCellMar>
          <w:left w:w="10" w:type="dxa"/>
          <w:right w:w="10" w:type="dxa"/>
        </w:tblCellMar>
        <w:tblLook w:val="0000" w:firstRow="0" w:lastRow="0" w:firstColumn="0" w:lastColumn="0" w:noHBand="0" w:noVBand="0"/>
      </w:tblPr>
      <w:tblGrid>
        <w:gridCol w:w="2115"/>
        <w:gridCol w:w="705"/>
        <w:gridCol w:w="705"/>
        <w:gridCol w:w="705"/>
        <w:gridCol w:w="705"/>
        <w:gridCol w:w="705"/>
        <w:gridCol w:w="720"/>
        <w:gridCol w:w="2520"/>
      </w:tblGrid>
      <w:tr w:rsidR="009A663D" w14:paraId="5CF1B787" w14:textId="77777777" w:rsidTr="00147C09">
        <w:tc>
          <w:tcPr>
            <w:tcW w:w="2115" w:type="dxa"/>
            <w:tcBorders>
              <w:top w:val="single" w:sz="6" w:space="0" w:color="000000"/>
              <w:left w:val="single" w:sz="6" w:space="0" w:color="000000"/>
              <w:bottom w:val="single" w:sz="6" w:space="0" w:color="000000"/>
              <w:right w:val="single" w:sz="6" w:space="0" w:color="000000"/>
            </w:tcBorders>
            <w:shd w:val="clear" w:color="auto" w:fill="5B9BD5"/>
            <w:tcMar>
              <w:top w:w="0" w:type="dxa"/>
              <w:left w:w="108" w:type="dxa"/>
              <w:bottom w:w="0" w:type="dxa"/>
              <w:right w:w="108" w:type="dxa"/>
            </w:tcMar>
          </w:tcPr>
          <w:p w14:paraId="11C7B6B7" w14:textId="77777777" w:rsidR="009A663D" w:rsidRDefault="009A663D" w:rsidP="00147C09">
            <w:pPr>
              <w:rPr>
                <w:rFonts w:ascii="Arial" w:eastAsia="Arial" w:hAnsi="Arial" w:cs="Arial"/>
                <w:color w:val="000000"/>
              </w:rPr>
            </w:pPr>
            <w:r>
              <w:rPr>
                <w:rFonts w:ascii="Arial" w:eastAsia="Arial" w:hAnsi="Arial" w:cs="Arial"/>
                <w:color w:val="000000"/>
              </w:rPr>
              <w:t> </w:t>
            </w:r>
          </w:p>
        </w:tc>
        <w:tc>
          <w:tcPr>
            <w:tcW w:w="2115" w:type="dxa"/>
            <w:gridSpan w:val="3"/>
            <w:tcBorders>
              <w:top w:val="single" w:sz="6" w:space="0" w:color="000000"/>
              <w:left w:val="single" w:sz="6" w:space="0" w:color="000000"/>
              <w:bottom w:val="single" w:sz="6" w:space="0" w:color="000000"/>
              <w:right w:val="single" w:sz="6" w:space="0" w:color="000000"/>
            </w:tcBorders>
            <w:shd w:val="clear" w:color="auto" w:fill="5B9BD5"/>
            <w:tcMar>
              <w:top w:w="0" w:type="dxa"/>
              <w:left w:w="108" w:type="dxa"/>
              <w:bottom w:w="0" w:type="dxa"/>
              <w:right w:w="108" w:type="dxa"/>
            </w:tcMar>
          </w:tcPr>
          <w:p w14:paraId="35B93A10" w14:textId="77777777" w:rsidR="009A663D" w:rsidRDefault="009A663D" w:rsidP="00147C09">
            <w:r>
              <w:rPr>
                <w:rFonts w:ascii="Arial" w:eastAsia="Arial" w:hAnsi="Arial" w:cs="Arial"/>
                <w:b/>
                <w:bCs/>
                <w:color w:val="000000"/>
              </w:rPr>
              <w:t>Current</w:t>
            </w:r>
            <w:r>
              <w:rPr>
                <w:rFonts w:ascii="Arial" w:eastAsia="Arial" w:hAnsi="Arial" w:cs="Arial"/>
                <w:color w:val="000000"/>
              </w:rPr>
              <w:t> </w:t>
            </w:r>
          </w:p>
        </w:tc>
        <w:tc>
          <w:tcPr>
            <w:tcW w:w="2130" w:type="dxa"/>
            <w:gridSpan w:val="3"/>
            <w:tcBorders>
              <w:top w:val="single" w:sz="6" w:space="0" w:color="000000"/>
              <w:bottom w:val="single" w:sz="6" w:space="0" w:color="000000"/>
              <w:right w:val="single" w:sz="6" w:space="0" w:color="000000"/>
            </w:tcBorders>
            <w:shd w:val="clear" w:color="auto" w:fill="5B9BD5"/>
            <w:tcMar>
              <w:top w:w="0" w:type="dxa"/>
              <w:left w:w="108" w:type="dxa"/>
              <w:bottom w:w="0" w:type="dxa"/>
              <w:right w:w="108" w:type="dxa"/>
            </w:tcMar>
          </w:tcPr>
          <w:p w14:paraId="1DF53867" w14:textId="77777777" w:rsidR="009A663D" w:rsidRDefault="009A663D" w:rsidP="00147C09">
            <w:r>
              <w:rPr>
                <w:rFonts w:ascii="Arial" w:eastAsia="Arial" w:hAnsi="Arial" w:cs="Arial"/>
                <w:b/>
                <w:bCs/>
                <w:color w:val="000000"/>
              </w:rPr>
              <w:t>Future objective</w:t>
            </w:r>
            <w:r>
              <w:rPr>
                <w:rFonts w:ascii="Arial" w:eastAsia="Arial" w:hAnsi="Arial" w:cs="Arial"/>
                <w:color w:val="000000"/>
              </w:rPr>
              <w:t> </w:t>
            </w:r>
          </w:p>
        </w:tc>
        <w:tc>
          <w:tcPr>
            <w:tcW w:w="2520" w:type="dxa"/>
            <w:tcBorders>
              <w:top w:val="single" w:sz="6" w:space="0" w:color="000000"/>
              <w:bottom w:val="single" w:sz="6" w:space="0" w:color="000000"/>
              <w:right w:val="single" w:sz="6" w:space="0" w:color="000000"/>
            </w:tcBorders>
            <w:shd w:val="clear" w:color="auto" w:fill="5B9BD5"/>
            <w:tcMar>
              <w:top w:w="0" w:type="dxa"/>
              <w:left w:w="108" w:type="dxa"/>
              <w:bottom w:w="0" w:type="dxa"/>
              <w:right w:w="108" w:type="dxa"/>
            </w:tcMar>
          </w:tcPr>
          <w:p w14:paraId="638190EC" w14:textId="77777777" w:rsidR="009A663D" w:rsidRDefault="009A663D" w:rsidP="00147C09">
            <w:r>
              <w:rPr>
                <w:rFonts w:ascii="Arial" w:eastAsia="Arial" w:hAnsi="Arial" w:cs="Arial"/>
                <w:b/>
                <w:bCs/>
                <w:color w:val="000000"/>
              </w:rPr>
              <w:t>DEVELOPMENT NEED</w:t>
            </w:r>
            <w:r>
              <w:rPr>
                <w:rFonts w:ascii="Arial" w:eastAsia="Arial" w:hAnsi="Arial" w:cs="Arial"/>
                <w:color w:val="000000"/>
              </w:rPr>
              <w:t> </w:t>
            </w:r>
          </w:p>
          <w:p w14:paraId="7CA18ED7" w14:textId="77777777" w:rsidR="009A663D" w:rsidRDefault="009A663D" w:rsidP="00147C09">
            <w:pPr>
              <w:rPr>
                <w:rFonts w:ascii="Arial" w:eastAsia="Arial" w:hAnsi="Arial" w:cs="Arial"/>
                <w:color w:val="000000"/>
              </w:rPr>
            </w:pPr>
            <w:r>
              <w:rPr>
                <w:rFonts w:ascii="Arial" w:eastAsia="Arial" w:hAnsi="Arial" w:cs="Arial"/>
                <w:color w:val="000000"/>
              </w:rPr>
              <w:t> </w:t>
            </w:r>
          </w:p>
        </w:tc>
      </w:tr>
      <w:tr w:rsidR="009A663D" w14:paraId="12C7D880" w14:textId="77777777" w:rsidTr="00147C09">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01AA5C3" w14:textId="77777777" w:rsidR="009A663D" w:rsidRDefault="009A663D" w:rsidP="00147C09">
            <w:r>
              <w:rPr>
                <w:rFonts w:ascii="Arial" w:eastAsia="Arial" w:hAnsi="Arial" w:cs="Arial"/>
                <w:b/>
                <w:bCs/>
                <w:color w:val="000000"/>
              </w:rPr>
              <w:t>KNOWLEDGE</w:t>
            </w:r>
            <w:r>
              <w:rPr>
                <w:rFonts w:ascii="Arial" w:eastAsia="Arial" w:hAnsi="Arial" w:cs="Arial"/>
                <w:color w:val="000000"/>
              </w:rPr>
              <w:t> </w:t>
            </w:r>
          </w:p>
          <w:p w14:paraId="5955FD02" w14:textId="77777777" w:rsidR="009A663D" w:rsidRDefault="009A663D" w:rsidP="00147C09">
            <w:pPr>
              <w:rPr>
                <w:rFonts w:ascii="Arial" w:eastAsia="Arial" w:hAnsi="Arial" w:cs="Arial"/>
                <w:color w:val="000000"/>
              </w:rPr>
            </w:pPr>
            <w:r>
              <w:rPr>
                <w:rFonts w:ascii="Arial" w:eastAsia="Arial" w:hAnsi="Arial" w:cs="Arial"/>
                <w:color w:val="000000"/>
              </w:rPr>
              <w:t> </w:t>
            </w:r>
          </w:p>
          <w:p w14:paraId="52D82764" w14:textId="77777777" w:rsidR="009A663D" w:rsidRDefault="009A663D" w:rsidP="00147C09">
            <w:pPr>
              <w:rPr>
                <w:rFonts w:ascii="Arial" w:eastAsia="Arial" w:hAnsi="Arial" w:cs="Arial"/>
                <w:color w:val="000000"/>
              </w:rPr>
            </w:pPr>
            <w:r>
              <w:rPr>
                <w:rFonts w:ascii="Arial" w:eastAsia="Arial" w:hAnsi="Arial" w:cs="Arial"/>
                <w:color w:val="000000"/>
              </w:rPr>
              <w:t>Change in legislation</w:t>
            </w:r>
          </w:p>
          <w:p w14:paraId="496C1639" w14:textId="77777777" w:rsidR="009A663D" w:rsidRDefault="009A663D" w:rsidP="00147C09">
            <w:pPr>
              <w:rPr>
                <w:rFonts w:ascii="Arial" w:eastAsia="Arial" w:hAnsi="Arial" w:cs="Arial"/>
                <w:color w:val="000000"/>
              </w:rPr>
            </w:pPr>
            <w:r>
              <w:rPr>
                <w:rFonts w:ascii="Arial" w:eastAsia="Arial" w:hAnsi="Arial" w:cs="Arial"/>
                <w:color w:val="000000"/>
              </w:rPr>
              <w:t xml:space="preserve">Abolishment of defence of lawful chastisement in Assault in Wales </w:t>
            </w:r>
          </w:p>
          <w:p w14:paraId="529D5BF4" w14:textId="77777777" w:rsidR="009A663D" w:rsidRDefault="009A663D" w:rsidP="00147C09">
            <w:pPr>
              <w:rPr>
                <w:rFonts w:ascii="Arial" w:eastAsia="Arial" w:hAnsi="Arial" w:cs="Arial"/>
                <w:color w:val="000000"/>
              </w:rPr>
            </w:pPr>
            <w:r>
              <w:rPr>
                <w:rFonts w:ascii="Arial" w:eastAsia="Arial" w:hAnsi="Arial" w:cs="Arial"/>
                <w:color w:val="000000"/>
              </w:rPr>
              <w:t> </w:t>
            </w:r>
          </w:p>
          <w:p w14:paraId="79DD71E9" w14:textId="77777777" w:rsidR="009A663D" w:rsidRDefault="009A663D" w:rsidP="00147C09">
            <w:pPr>
              <w:rPr>
                <w:rFonts w:ascii="Arial" w:eastAsia="Arial" w:hAnsi="Arial" w:cs="Arial"/>
                <w:color w:val="000000"/>
              </w:rPr>
            </w:pPr>
            <w:r>
              <w:rPr>
                <w:rFonts w:ascii="Arial" w:eastAsia="Arial" w:hAnsi="Arial" w:cs="Arial"/>
                <w:color w:val="000000"/>
              </w:rPr>
              <w:t> </w:t>
            </w:r>
          </w:p>
          <w:p w14:paraId="3F67E26B" w14:textId="77777777" w:rsidR="009A663D" w:rsidRDefault="009A663D" w:rsidP="00147C09">
            <w:pPr>
              <w:rPr>
                <w:rFonts w:ascii="Arial" w:eastAsia="Arial" w:hAnsi="Arial" w:cs="Arial"/>
                <w:color w:val="000000"/>
              </w:rPr>
            </w:pPr>
          </w:p>
        </w:tc>
        <w:tc>
          <w:tcPr>
            <w:tcW w:w="705" w:type="dxa"/>
            <w:tcBorders>
              <w:top w:val="single" w:sz="6" w:space="0" w:color="000000"/>
              <w:left w:val="single" w:sz="6" w:space="0" w:color="000000"/>
              <w:bottom w:val="single" w:sz="6" w:space="0" w:color="000000"/>
              <w:right w:val="single" w:sz="6" w:space="0" w:color="000000"/>
            </w:tcBorders>
            <w:shd w:val="clear" w:color="auto" w:fill="D5DCE4"/>
            <w:tcMar>
              <w:top w:w="0" w:type="dxa"/>
              <w:left w:w="108" w:type="dxa"/>
              <w:bottom w:w="0" w:type="dxa"/>
              <w:right w:w="108" w:type="dxa"/>
            </w:tcMar>
          </w:tcPr>
          <w:p w14:paraId="0F65F692"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Low </w:t>
            </w:r>
          </w:p>
          <w:p w14:paraId="55B0EE65"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1-4 </w:t>
            </w:r>
          </w:p>
        </w:tc>
        <w:tc>
          <w:tcPr>
            <w:tcW w:w="705" w:type="dxa"/>
            <w:tcBorders>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FB66ABC"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Med </w:t>
            </w:r>
          </w:p>
          <w:p w14:paraId="1429AA88"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5-7 </w:t>
            </w:r>
          </w:p>
        </w:tc>
        <w:tc>
          <w:tcPr>
            <w:tcW w:w="705" w:type="dxa"/>
            <w:tcBorders>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D7FDD2E"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High </w:t>
            </w:r>
          </w:p>
          <w:p w14:paraId="4D54E2E9"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8-10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C91DD22"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Low </w:t>
            </w:r>
          </w:p>
          <w:p w14:paraId="12DD4F0D"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1-4 </w:t>
            </w:r>
          </w:p>
        </w:tc>
        <w:tc>
          <w:tcPr>
            <w:tcW w:w="705" w:type="dxa"/>
            <w:tcBorders>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F2E5633"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Med </w:t>
            </w:r>
          </w:p>
          <w:p w14:paraId="3FADD05F"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5-7 </w:t>
            </w:r>
          </w:p>
        </w:tc>
        <w:tc>
          <w:tcPr>
            <w:tcW w:w="720" w:type="dxa"/>
            <w:tcBorders>
              <w:left w:val="single" w:sz="6" w:space="0" w:color="000000"/>
              <w:bottom w:val="single" w:sz="6" w:space="0" w:color="000000"/>
              <w:right w:val="single" w:sz="6" w:space="0" w:color="000000"/>
            </w:tcBorders>
            <w:shd w:val="clear" w:color="auto" w:fill="D5DCE4"/>
            <w:tcMar>
              <w:top w:w="0" w:type="dxa"/>
              <w:left w:w="108" w:type="dxa"/>
              <w:bottom w:w="0" w:type="dxa"/>
              <w:right w:w="108" w:type="dxa"/>
            </w:tcMar>
          </w:tcPr>
          <w:p w14:paraId="0A1FB14B"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High </w:t>
            </w:r>
          </w:p>
          <w:p w14:paraId="7CE1497B"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8-10 </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9CCFF93" w14:textId="77777777" w:rsidR="009A663D" w:rsidRDefault="009A663D" w:rsidP="00147C09">
            <w:r>
              <w:rPr>
                <w:rFonts w:ascii="Arial" w:eastAsia="Arial" w:hAnsi="Arial" w:cs="Arial"/>
                <w:color w:val="000000"/>
              </w:rPr>
              <w:t>On the 21</w:t>
            </w:r>
            <w:r>
              <w:rPr>
                <w:rFonts w:ascii="Arial" w:eastAsia="Arial" w:hAnsi="Arial" w:cs="Arial"/>
                <w:color w:val="000000"/>
                <w:vertAlign w:val="superscript"/>
              </w:rPr>
              <w:t>st</w:t>
            </w:r>
            <w:r>
              <w:rPr>
                <w:rFonts w:ascii="Arial" w:eastAsia="Arial" w:hAnsi="Arial" w:cs="Arial"/>
                <w:color w:val="000000"/>
              </w:rPr>
              <w:t xml:space="preserve"> March 2022, the Welsh Government amended legislation to abolish the defence of lawful chastisement improving the rights of children. </w:t>
            </w:r>
          </w:p>
          <w:p w14:paraId="78758909" w14:textId="77777777" w:rsidR="009A663D" w:rsidRDefault="009A663D" w:rsidP="00147C09">
            <w:r>
              <w:rPr>
                <w:rFonts w:ascii="Arial" w:eastAsia="Arial" w:hAnsi="Arial" w:cs="Arial"/>
                <w:color w:val="000000"/>
                <w:u w:val="single"/>
              </w:rPr>
              <w:t>Specific</w:t>
            </w:r>
            <w:r>
              <w:rPr>
                <w:rFonts w:ascii="Arial" w:eastAsia="Arial" w:hAnsi="Arial" w:cs="Arial"/>
                <w:color w:val="000000"/>
              </w:rPr>
              <w:t xml:space="preserve"> </w:t>
            </w:r>
          </w:p>
          <w:p w14:paraId="501707EB" w14:textId="77777777" w:rsidR="009A663D" w:rsidRDefault="009A663D" w:rsidP="00147C09">
            <w:r>
              <w:rPr>
                <w:rFonts w:ascii="Arial" w:eastAsia="Arial" w:hAnsi="Arial" w:cs="Arial"/>
                <w:color w:val="000000"/>
              </w:rPr>
              <w:t>I have identified a gap in my knowledge and working practices in this area which should be filled. I have been provided with some training material but am yet to have the opportunity fully review. Nor have I been tasked any such investigations. I aim to improve my knowledge in this area with regards to the legislation and current procedures for investigators. I am aware that for a 1</w:t>
            </w:r>
            <w:r>
              <w:rPr>
                <w:rFonts w:ascii="Arial" w:eastAsia="Arial" w:hAnsi="Arial" w:cs="Arial"/>
                <w:color w:val="000000"/>
                <w:vertAlign w:val="superscript"/>
              </w:rPr>
              <w:t>st</w:t>
            </w:r>
            <w:r>
              <w:rPr>
                <w:rFonts w:ascii="Arial" w:eastAsia="Arial" w:hAnsi="Arial" w:cs="Arial"/>
                <w:color w:val="000000"/>
              </w:rPr>
              <w:t xml:space="preserve"> offence, the outcome is community resolution with referral to local authority education programme however, I am not yet aware of the associated processes in completion. </w:t>
            </w:r>
          </w:p>
          <w:p w14:paraId="1E97A0B5" w14:textId="77777777" w:rsidR="009A663D" w:rsidRDefault="009A663D" w:rsidP="00147C09">
            <w:pPr>
              <w:rPr>
                <w:rFonts w:ascii="Arial" w:eastAsia="Arial" w:hAnsi="Arial" w:cs="Arial"/>
                <w:color w:val="000000"/>
              </w:rPr>
            </w:pPr>
            <w:r>
              <w:rPr>
                <w:rFonts w:ascii="Arial" w:eastAsia="Arial" w:hAnsi="Arial" w:cs="Arial"/>
                <w:color w:val="000000"/>
              </w:rPr>
              <w:t>I aim to complete this in the next 2 months. This is because when I am tasked with such an investigation, I will be able to complete more efficiently since I will already have the requisite procedural knowledge.</w:t>
            </w:r>
          </w:p>
          <w:p w14:paraId="39FD0D88" w14:textId="77777777" w:rsidR="009A663D" w:rsidRDefault="009A663D" w:rsidP="00147C09">
            <w:pPr>
              <w:shd w:val="clear" w:color="auto" w:fill="FFFFFF"/>
              <w:spacing w:before="100" w:after="100" w:line="240" w:lineRule="auto"/>
              <w:outlineLvl w:val="2"/>
              <w:rPr>
                <w:rFonts w:ascii="Helvetica" w:eastAsia="Times New Roman" w:hAnsi="Helvetica"/>
                <w:color w:val="383838"/>
                <w:u w:val="single"/>
                <w:lang w:eastAsia="en-GB"/>
              </w:rPr>
            </w:pPr>
            <w:r>
              <w:rPr>
                <w:rFonts w:ascii="Helvetica" w:eastAsia="Times New Roman" w:hAnsi="Helvetica" w:cs="Times New Roman"/>
                <w:color w:val="383838"/>
                <w:u w:val="single"/>
                <w:lang w:eastAsia="en-GB"/>
              </w:rPr>
              <w:t>Measurable</w:t>
            </w:r>
          </w:p>
          <w:p w14:paraId="3BFCE2B6" w14:textId="77777777" w:rsidR="009A663D" w:rsidRDefault="009A663D" w:rsidP="00147C09">
            <w:pPr>
              <w:shd w:val="clear" w:color="auto" w:fill="FFFFFF"/>
              <w:spacing w:before="100" w:after="100" w:line="240" w:lineRule="auto"/>
              <w:rPr>
                <w:rFonts w:ascii="Helvetica" w:eastAsia="Times New Roman" w:hAnsi="Helvetica"/>
                <w:color w:val="383838"/>
                <w:lang w:eastAsia="en-GB"/>
              </w:rPr>
            </w:pPr>
            <w:r>
              <w:rPr>
                <w:rFonts w:ascii="Helvetica" w:eastAsia="Times New Roman" w:hAnsi="Helvetica" w:cs="Times New Roman"/>
                <w:color w:val="383838"/>
                <w:lang w:eastAsia="en-GB"/>
              </w:rPr>
              <w:t xml:space="preserve">Improving my knowledge will be measurable in that I feel confident to in my knowledge to implement the procedures in working practice without needing to refer to guidance. </w:t>
            </w:r>
          </w:p>
          <w:p w14:paraId="6F9244D1" w14:textId="77777777" w:rsidR="009A663D" w:rsidRDefault="009A663D" w:rsidP="00147C09">
            <w:pPr>
              <w:shd w:val="clear" w:color="auto" w:fill="FFFFFF"/>
              <w:spacing w:before="100" w:after="100" w:line="240" w:lineRule="auto"/>
              <w:outlineLvl w:val="2"/>
              <w:rPr>
                <w:rFonts w:ascii="Helvetica" w:eastAsia="Times New Roman" w:hAnsi="Helvetica"/>
                <w:color w:val="383838"/>
                <w:u w:val="single"/>
                <w:lang w:eastAsia="en-GB"/>
              </w:rPr>
            </w:pPr>
            <w:r>
              <w:rPr>
                <w:rFonts w:ascii="Helvetica" w:eastAsia="Times New Roman" w:hAnsi="Helvetica" w:cs="Times New Roman"/>
                <w:color w:val="383838"/>
                <w:u w:val="single"/>
                <w:lang w:eastAsia="en-GB"/>
              </w:rPr>
              <w:t>Achievable</w:t>
            </w:r>
          </w:p>
          <w:p w14:paraId="59670AEC" w14:textId="77777777" w:rsidR="009A663D" w:rsidRDefault="009A663D" w:rsidP="00147C09">
            <w:pPr>
              <w:shd w:val="clear" w:color="auto" w:fill="FFFFFF"/>
              <w:spacing w:before="100" w:after="100" w:line="240" w:lineRule="auto"/>
              <w:rPr>
                <w:rFonts w:ascii="Helvetica" w:eastAsia="Times New Roman" w:hAnsi="Helvetica"/>
                <w:color w:val="383838"/>
                <w:lang w:eastAsia="en-GB"/>
              </w:rPr>
            </w:pPr>
            <w:r>
              <w:rPr>
                <w:rFonts w:ascii="Helvetica" w:eastAsia="Times New Roman" w:hAnsi="Helvetica" w:cs="Times New Roman"/>
                <w:color w:val="383838"/>
                <w:lang w:eastAsia="en-GB"/>
              </w:rPr>
              <w:t xml:space="preserve">This is an easily achievable and feasible goal since the guidance material is limited and concise, the associated process is relatively straightforward. </w:t>
            </w:r>
            <w:proofErr w:type="gramStart"/>
            <w:r>
              <w:rPr>
                <w:rFonts w:ascii="Helvetica" w:eastAsia="Times New Roman" w:hAnsi="Helvetica" w:cs="Times New Roman"/>
                <w:color w:val="383838"/>
                <w:lang w:eastAsia="en-GB"/>
              </w:rPr>
              <w:t>The  case</w:t>
            </w:r>
            <w:proofErr w:type="gramEnd"/>
            <w:r>
              <w:rPr>
                <w:rFonts w:ascii="Helvetica" w:eastAsia="Times New Roman" w:hAnsi="Helvetica" w:cs="Times New Roman"/>
                <w:color w:val="383838"/>
                <w:lang w:eastAsia="en-GB"/>
              </w:rPr>
              <w:t xml:space="preserve"> file completed by another Officer which I will review for guidance is brief. I do not anticipate that the period of self- study will take longer than an hour or so. </w:t>
            </w:r>
          </w:p>
          <w:p w14:paraId="611AE975" w14:textId="77777777" w:rsidR="009A663D" w:rsidRDefault="009A663D" w:rsidP="00147C09">
            <w:pPr>
              <w:shd w:val="clear" w:color="auto" w:fill="FFFFFF"/>
              <w:spacing w:before="100" w:after="100" w:line="240" w:lineRule="auto"/>
              <w:outlineLvl w:val="2"/>
              <w:rPr>
                <w:rFonts w:ascii="Helvetica" w:eastAsia="Times New Roman" w:hAnsi="Helvetica"/>
                <w:color w:val="383838"/>
                <w:u w:val="single"/>
                <w:lang w:eastAsia="en-GB"/>
              </w:rPr>
            </w:pPr>
            <w:r>
              <w:rPr>
                <w:rFonts w:ascii="Helvetica" w:eastAsia="Times New Roman" w:hAnsi="Helvetica" w:cs="Times New Roman"/>
                <w:color w:val="383838"/>
                <w:u w:val="single"/>
                <w:lang w:eastAsia="en-GB"/>
              </w:rPr>
              <w:t>Relevant</w:t>
            </w:r>
          </w:p>
          <w:p w14:paraId="607B12A8" w14:textId="77777777" w:rsidR="009A663D" w:rsidRDefault="009A663D" w:rsidP="00147C09">
            <w:pPr>
              <w:shd w:val="clear" w:color="auto" w:fill="FFFFFF"/>
              <w:spacing w:before="100" w:after="100" w:line="240" w:lineRule="auto"/>
              <w:outlineLvl w:val="2"/>
              <w:rPr>
                <w:rFonts w:ascii="Arial" w:eastAsia="Arial" w:hAnsi="Arial" w:cs="Arial"/>
                <w:color w:val="000000"/>
              </w:rPr>
            </w:pPr>
            <w:r>
              <w:rPr>
                <w:rFonts w:ascii="Arial" w:eastAsia="Arial" w:hAnsi="Arial" w:cs="Arial"/>
                <w:color w:val="000000"/>
              </w:rPr>
              <w:t xml:space="preserve">Although the change in legislation has not resulted in as many such reports as anticipated, it is an integral part of my role as a specialist child protection investigator and is guaranteed that I will be tasked with investigating such an incident. </w:t>
            </w:r>
          </w:p>
          <w:p w14:paraId="6C87991C" w14:textId="77777777" w:rsidR="009A663D" w:rsidRDefault="009A663D" w:rsidP="00147C09">
            <w:pPr>
              <w:shd w:val="clear" w:color="auto" w:fill="FFFFFF"/>
              <w:spacing w:before="100" w:after="100" w:line="240" w:lineRule="auto"/>
              <w:outlineLvl w:val="2"/>
              <w:rPr>
                <w:rFonts w:ascii="Arial" w:eastAsia="Arial" w:hAnsi="Arial" w:cs="Arial"/>
                <w:color w:val="000000"/>
              </w:rPr>
            </w:pPr>
            <w:r>
              <w:rPr>
                <w:rFonts w:ascii="Arial" w:eastAsia="Arial" w:hAnsi="Arial" w:cs="Arial"/>
                <w:color w:val="000000"/>
              </w:rPr>
              <w:t>The benefits to the organisation are efficiency from prior knowledge. There is an expectation upon Officers to maintain competency in skills and for personal development. For myself are personal responsibility for my own learning and competency. Additionally, maintaining my PIP2 skills accreditation.</w:t>
            </w:r>
          </w:p>
          <w:p w14:paraId="2909BE76" w14:textId="77777777" w:rsidR="009A663D" w:rsidRDefault="009A663D" w:rsidP="00147C09">
            <w:pPr>
              <w:shd w:val="clear" w:color="auto" w:fill="FFFFFF"/>
              <w:spacing w:before="100" w:after="100" w:line="240" w:lineRule="auto"/>
              <w:outlineLvl w:val="2"/>
              <w:rPr>
                <w:rFonts w:ascii="Helvetica" w:eastAsia="Times New Roman" w:hAnsi="Helvetica"/>
                <w:color w:val="383838"/>
                <w:u w:val="single"/>
                <w:lang w:eastAsia="en-GB"/>
              </w:rPr>
            </w:pPr>
            <w:r>
              <w:rPr>
                <w:rFonts w:ascii="Helvetica" w:eastAsia="Times New Roman" w:hAnsi="Helvetica" w:cs="Times New Roman"/>
                <w:color w:val="383838"/>
                <w:u w:val="single"/>
                <w:lang w:eastAsia="en-GB"/>
              </w:rPr>
              <w:t>Time-bound</w:t>
            </w:r>
          </w:p>
          <w:p w14:paraId="75DC6EEF" w14:textId="77777777" w:rsidR="009A663D" w:rsidRDefault="009A663D" w:rsidP="00147C09">
            <w:pPr>
              <w:shd w:val="clear" w:color="auto" w:fill="FFFFFF"/>
              <w:spacing w:before="100" w:after="100" w:line="240" w:lineRule="auto"/>
              <w:rPr>
                <w:rFonts w:ascii="Helvetica" w:eastAsia="Times New Roman" w:hAnsi="Helvetica"/>
                <w:color w:val="383838"/>
                <w:lang w:eastAsia="en-GB"/>
              </w:rPr>
            </w:pPr>
            <w:r>
              <w:rPr>
                <w:rFonts w:ascii="Helvetica" w:eastAsia="Times New Roman" w:hAnsi="Helvetica" w:cs="Times New Roman"/>
                <w:color w:val="383838"/>
                <w:lang w:eastAsia="en-GB"/>
              </w:rPr>
              <w:t>Since I do not anticipate that the time to take to improve my knowledge in this area to take longer than an hour or so, I’m confident I can set aside this time to complete sometime in the next 2 months.</w:t>
            </w:r>
          </w:p>
          <w:p w14:paraId="2498BE43" w14:textId="77777777" w:rsidR="009A663D" w:rsidRDefault="009A663D" w:rsidP="00147C09">
            <w:pPr>
              <w:shd w:val="clear" w:color="auto" w:fill="FFFFFF"/>
              <w:spacing w:before="100" w:after="100" w:line="240" w:lineRule="auto"/>
              <w:rPr>
                <w:rFonts w:ascii="Arial" w:eastAsia="Arial" w:hAnsi="Arial" w:cs="Arial"/>
                <w:i/>
                <w:iCs/>
                <w:color w:val="000000"/>
              </w:rPr>
            </w:pPr>
          </w:p>
        </w:tc>
      </w:tr>
      <w:tr w:rsidR="009A663D" w14:paraId="247A0026" w14:textId="77777777" w:rsidTr="00147C09">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7C956E8" w14:textId="77777777" w:rsidR="009A663D" w:rsidRDefault="009A663D" w:rsidP="00147C09">
            <w:r>
              <w:rPr>
                <w:rFonts w:ascii="Arial" w:eastAsia="Arial" w:hAnsi="Arial" w:cs="Arial"/>
                <w:b/>
                <w:bCs/>
                <w:color w:val="000000"/>
              </w:rPr>
              <w:t>SKILLS </w:t>
            </w:r>
          </w:p>
          <w:p w14:paraId="2217C2CC" w14:textId="77777777" w:rsidR="009A663D" w:rsidRDefault="009A663D" w:rsidP="00147C09">
            <w:pPr>
              <w:rPr>
                <w:rFonts w:ascii="Arial" w:eastAsia="Arial" w:hAnsi="Arial" w:cs="Arial"/>
                <w:color w:val="000000"/>
              </w:rPr>
            </w:pPr>
            <w:r>
              <w:rPr>
                <w:rFonts w:ascii="Arial" w:eastAsia="Arial" w:hAnsi="Arial" w:cs="Arial"/>
                <w:color w:val="000000"/>
              </w:rPr>
              <w:t xml:space="preserve">Current skills as HOLMES exhibits/disclosure Officer are outdated due to system upgrade. </w:t>
            </w:r>
          </w:p>
          <w:p w14:paraId="0498CEA6" w14:textId="77777777" w:rsidR="009A663D" w:rsidRDefault="009A663D" w:rsidP="00147C09">
            <w:r>
              <w:rPr>
                <w:rFonts w:ascii="Arial" w:eastAsia="Arial" w:hAnsi="Arial" w:cs="Arial"/>
                <w:b/>
                <w:bCs/>
                <w:color w:val="000000"/>
              </w:rPr>
              <w:t> </w:t>
            </w:r>
          </w:p>
          <w:p w14:paraId="753C752B" w14:textId="77777777" w:rsidR="009A663D" w:rsidRDefault="009A663D" w:rsidP="00147C09">
            <w:pPr>
              <w:rPr>
                <w:rFonts w:ascii="Arial" w:eastAsia="Arial" w:hAnsi="Arial" w:cs="Arial"/>
                <w:b/>
                <w:bCs/>
                <w:color w:val="000000"/>
              </w:rPr>
            </w:pPr>
            <w:r>
              <w:rPr>
                <w:rFonts w:ascii="Arial" w:eastAsia="Arial" w:hAnsi="Arial" w:cs="Arial"/>
                <w:b/>
                <w:bCs/>
                <w:color w:val="000000"/>
              </w:rPr>
              <w:t> </w:t>
            </w:r>
          </w:p>
          <w:p w14:paraId="2B67DBAC" w14:textId="77777777" w:rsidR="009A663D" w:rsidRDefault="009A663D" w:rsidP="00147C09">
            <w:pPr>
              <w:rPr>
                <w:rFonts w:ascii="Arial" w:eastAsia="Arial" w:hAnsi="Arial" w:cs="Arial"/>
                <w:color w:val="000000"/>
              </w:rPr>
            </w:pPr>
          </w:p>
          <w:p w14:paraId="4A63226F" w14:textId="77777777" w:rsidR="009A663D" w:rsidRDefault="009A663D" w:rsidP="00147C09">
            <w:pPr>
              <w:rPr>
                <w:rFonts w:ascii="Arial" w:eastAsia="Arial" w:hAnsi="Arial" w:cs="Arial"/>
                <w:color w:val="000000"/>
              </w:rPr>
            </w:pPr>
          </w:p>
          <w:p w14:paraId="582CEB11" w14:textId="77777777" w:rsidR="009A663D" w:rsidRDefault="009A663D" w:rsidP="00147C09">
            <w:r>
              <w:rPr>
                <w:rFonts w:ascii="Arial" w:eastAsia="Arial" w:hAnsi="Arial" w:cs="Arial"/>
                <w:b/>
                <w:bCs/>
                <w:color w:val="000000"/>
              </w:rPr>
              <w:t> </w:t>
            </w:r>
          </w:p>
        </w:tc>
        <w:tc>
          <w:tcPr>
            <w:tcW w:w="705" w:type="dxa"/>
            <w:tcBorders>
              <w:top w:val="single" w:sz="6" w:space="0" w:color="000000"/>
              <w:left w:val="single" w:sz="6" w:space="0" w:color="000000"/>
              <w:bottom w:val="single" w:sz="6" w:space="0" w:color="000000"/>
              <w:right w:val="single" w:sz="6" w:space="0" w:color="000000"/>
            </w:tcBorders>
            <w:shd w:val="clear" w:color="auto" w:fill="D5DCE4"/>
            <w:tcMar>
              <w:top w:w="0" w:type="dxa"/>
              <w:left w:w="108" w:type="dxa"/>
              <w:bottom w:w="0" w:type="dxa"/>
              <w:right w:w="108" w:type="dxa"/>
            </w:tcMar>
          </w:tcPr>
          <w:p w14:paraId="4E42D6D9"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Low </w:t>
            </w:r>
          </w:p>
          <w:p w14:paraId="75391D58"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1-4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B27A2FE"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Med </w:t>
            </w:r>
          </w:p>
          <w:p w14:paraId="2AA4C503"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5-7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E26DCA9"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High </w:t>
            </w:r>
          </w:p>
          <w:p w14:paraId="03EBE756"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8-10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C167A9A"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Low </w:t>
            </w:r>
          </w:p>
          <w:p w14:paraId="556A2DCD"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1-4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56BF2BA"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Med </w:t>
            </w:r>
          </w:p>
          <w:p w14:paraId="794BC0EE"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5-7 </w:t>
            </w:r>
          </w:p>
        </w:tc>
        <w:tc>
          <w:tcPr>
            <w:tcW w:w="720" w:type="dxa"/>
            <w:tcBorders>
              <w:top w:val="single" w:sz="6" w:space="0" w:color="000000"/>
              <w:left w:val="single" w:sz="6" w:space="0" w:color="000000"/>
              <w:bottom w:val="single" w:sz="6" w:space="0" w:color="000000"/>
              <w:right w:val="single" w:sz="6" w:space="0" w:color="000000"/>
            </w:tcBorders>
            <w:shd w:val="clear" w:color="auto" w:fill="D5DCE4"/>
            <w:tcMar>
              <w:top w:w="0" w:type="dxa"/>
              <w:left w:w="108" w:type="dxa"/>
              <w:bottom w:w="0" w:type="dxa"/>
              <w:right w:w="108" w:type="dxa"/>
            </w:tcMar>
          </w:tcPr>
          <w:p w14:paraId="6A3551DC"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High </w:t>
            </w:r>
          </w:p>
          <w:p w14:paraId="1A92583D"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8-10 </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B4FE48A" w14:textId="77777777" w:rsidR="009A663D" w:rsidRDefault="009A663D" w:rsidP="00147C09">
            <w:pPr>
              <w:rPr>
                <w:rFonts w:ascii="Arial" w:eastAsia="Arial" w:hAnsi="Arial" w:cs="Arial"/>
                <w:color w:val="000000"/>
                <w:u w:val="single"/>
              </w:rPr>
            </w:pPr>
            <w:r>
              <w:rPr>
                <w:rFonts w:ascii="Arial" w:eastAsia="Arial" w:hAnsi="Arial" w:cs="Arial"/>
                <w:color w:val="000000"/>
                <w:u w:val="single"/>
              </w:rPr>
              <w:t>Specific</w:t>
            </w:r>
          </w:p>
          <w:p w14:paraId="42FF6DCE" w14:textId="77777777" w:rsidR="009A663D" w:rsidRDefault="009A663D" w:rsidP="00147C09">
            <w:pPr>
              <w:rPr>
                <w:rFonts w:ascii="Arial" w:eastAsia="Arial" w:hAnsi="Arial" w:cs="Arial"/>
                <w:color w:val="000000"/>
              </w:rPr>
            </w:pPr>
            <w:r>
              <w:rPr>
                <w:rFonts w:ascii="Arial" w:eastAsia="Arial" w:hAnsi="Arial" w:cs="Arial"/>
                <w:color w:val="000000"/>
              </w:rPr>
              <w:t xml:space="preserve">Despite being a trained Disclosure and Exhibits using the Home Office Large Major Enquiry System (HOLMES), my skills are not current due to a recent significant system update. I am therefore not as proficient as I should be. Whilst I could possibly refer to guidance material when next deployed in this role, it would be inefficient to be both conducting this role whilst refreshing my skills from a document, this would not be particularly appropriate due to the critical demand nature of major crime. Ideally, I would already be completely proficient for immediate deployment. I hope to attend a refresher course in the next year. </w:t>
            </w:r>
          </w:p>
          <w:p w14:paraId="5C24526C" w14:textId="77777777" w:rsidR="009A663D" w:rsidRDefault="009A663D" w:rsidP="00147C09">
            <w:pPr>
              <w:shd w:val="clear" w:color="auto" w:fill="FFFFFF"/>
              <w:spacing w:before="100" w:after="100" w:line="240" w:lineRule="auto"/>
              <w:outlineLvl w:val="2"/>
              <w:rPr>
                <w:rFonts w:ascii="Helvetica" w:eastAsia="Times New Roman" w:hAnsi="Helvetica"/>
                <w:color w:val="383838"/>
                <w:u w:val="single"/>
                <w:lang w:eastAsia="en-GB"/>
              </w:rPr>
            </w:pPr>
            <w:r>
              <w:rPr>
                <w:rFonts w:ascii="Helvetica" w:eastAsia="Times New Roman" w:hAnsi="Helvetica" w:cs="Times New Roman"/>
                <w:color w:val="383838"/>
                <w:u w:val="single"/>
                <w:lang w:eastAsia="en-GB"/>
              </w:rPr>
              <w:t>Measurable</w:t>
            </w:r>
          </w:p>
          <w:p w14:paraId="787AEA39" w14:textId="77777777" w:rsidR="009A663D" w:rsidRDefault="009A663D" w:rsidP="00147C09">
            <w:pPr>
              <w:shd w:val="clear" w:color="auto" w:fill="FFFFFF"/>
              <w:spacing w:before="100" w:after="100" w:line="240" w:lineRule="auto"/>
              <w:outlineLvl w:val="2"/>
              <w:rPr>
                <w:rFonts w:ascii="Helvetica" w:eastAsia="Times New Roman" w:hAnsi="Helvetica"/>
                <w:color w:val="383838"/>
                <w:lang w:eastAsia="en-GB"/>
              </w:rPr>
            </w:pPr>
            <w:r>
              <w:rPr>
                <w:rFonts w:ascii="Helvetica" w:eastAsia="Times New Roman" w:hAnsi="Helvetica" w:cs="Times New Roman"/>
                <w:color w:val="383838"/>
                <w:lang w:eastAsia="en-GB"/>
              </w:rPr>
              <w:t xml:space="preserve">I will be completely proficient with current skills at the end of the training course having been assessed for competency. </w:t>
            </w:r>
          </w:p>
          <w:p w14:paraId="1E78899D" w14:textId="77777777" w:rsidR="009A663D" w:rsidRDefault="009A663D" w:rsidP="00147C09">
            <w:pPr>
              <w:shd w:val="clear" w:color="auto" w:fill="FFFFFF"/>
              <w:spacing w:before="100" w:after="100" w:line="240" w:lineRule="auto"/>
              <w:outlineLvl w:val="2"/>
            </w:pPr>
            <w:r>
              <w:rPr>
                <w:rFonts w:ascii="Helvetica" w:eastAsia="Times New Roman" w:hAnsi="Helvetica" w:cs="Times New Roman"/>
                <w:color w:val="383838"/>
                <w:u w:val="single"/>
                <w:lang w:eastAsia="en-GB"/>
              </w:rPr>
              <w:t>Achievable</w:t>
            </w:r>
          </w:p>
          <w:p w14:paraId="11441E16" w14:textId="77777777" w:rsidR="009A663D" w:rsidRDefault="009A663D" w:rsidP="00147C09">
            <w:pPr>
              <w:shd w:val="clear" w:color="auto" w:fill="FFFFFF"/>
              <w:spacing w:before="100" w:after="100" w:line="240" w:lineRule="auto"/>
            </w:pPr>
            <w:r>
              <w:rPr>
                <w:rFonts w:ascii="Helvetica" w:eastAsia="Times New Roman" w:hAnsi="Helvetica" w:cs="Times New Roman"/>
                <w:color w:val="383838"/>
                <w:lang w:eastAsia="en-GB"/>
              </w:rPr>
              <w:t xml:space="preserve">My attendance on the course should be achievable and feasible </w:t>
            </w:r>
            <w:r>
              <w:rPr>
                <w:rFonts w:ascii="Arial" w:eastAsia="Arial" w:hAnsi="Arial" w:cs="Arial"/>
                <w:color w:val="000000"/>
              </w:rPr>
              <w:t xml:space="preserve">however, this will be dependent upon organisational availability of the course and capacity to release me from operational duties for its duration of the course. I believe this to be achievable as I already have existing skills in this area which I will be refreshing and updating. </w:t>
            </w:r>
            <w:r>
              <w:rPr>
                <w:rFonts w:ascii="Helvetica" w:eastAsia="Times New Roman" w:hAnsi="Helvetica" w:cs="Times New Roman"/>
                <w:color w:val="383838"/>
                <w:lang w:eastAsia="en-GB"/>
              </w:rPr>
              <w:t>I will identify this skills gap in the organisational personal development assessment programme and request supervisor support and referral for the next available training course</w:t>
            </w:r>
          </w:p>
          <w:p w14:paraId="7D42E17E" w14:textId="77777777" w:rsidR="009A663D" w:rsidRDefault="009A663D" w:rsidP="00147C09">
            <w:pPr>
              <w:shd w:val="clear" w:color="auto" w:fill="FFFFFF"/>
              <w:spacing w:before="100" w:after="100" w:line="240" w:lineRule="auto"/>
              <w:outlineLvl w:val="2"/>
            </w:pPr>
            <w:r>
              <w:rPr>
                <w:rFonts w:ascii="Helvetica" w:eastAsia="Times New Roman" w:hAnsi="Helvetica" w:cs="Times New Roman"/>
                <w:color w:val="383838"/>
                <w:u w:val="single"/>
                <w:lang w:eastAsia="en-GB"/>
              </w:rPr>
              <w:t>Relevant</w:t>
            </w:r>
          </w:p>
          <w:p w14:paraId="09D1A520" w14:textId="77777777" w:rsidR="009A663D" w:rsidRDefault="009A663D" w:rsidP="00147C09">
            <w:pPr>
              <w:shd w:val="clear" w:color="auto" w:fill="FFFFFF"/>
              <w:spacing w:before="100" w:after="100" w:line="240" w:lineRule="auto"/>
              <w:outlineLvl w:val="2"/>
              <w:rPr>
                <w:rFonts w:ascii="Arial" w:eastAsia="Arial" w:hAnsi="Arial" w:cs="Arial"/>
                <w:color w:val="000000"/>
              </w:rPr>
            </w:pPr>
            <w:r>
              <w:rPr>
                <w:rFonts w:ascii="Arial" w:eastAsia="Arial" w:hAnsi="Arial" w:cs="Arial"/>
                <w:color w:val="000000"/>
              </w:rPr>
              <w:t xml:space="preserve">Major crime is an integral part of my role as a PIP2 investigator in Serious and complex crime investigation. Dedicated HOLMES disclosure and exhibits Officers are an essential role in Major Crime, it is guaranteed that whilst I remain in my current role, I will be deployed at any time at short notice therefore being fully competent for immediate deployment is essential </w:t>
            </w:r>
          </w:p>
          <w:p w14:paraId="4AB863F6" w14:textId="77777777" w:rsidR="009A663D" w:rsidRDefault="009A663D" w:rsidP="00147C09">
            <w:pPr>
              <w:shd w:val="clear" w:color="auto" w:fill="FFFFFF"/>
              <w:spacing w:before="100" w:after="100" w:line="240" w:lineRule="auto"/>
              <w:outlineLvl w:val="2"/>
            </w:pPr>
            <w:r>
              <w:rPr>
                <w:rFonts w:ascii="Arial" w:eastAsia="Arial" w:hAnsi="Arial" w:cs="Arial"/>
                <w:color w:val="000000"/>
              </w:rPr>
              <w:t xml:space="preserve">The benefits to the organisation are efficiency from prior knowledge. The organisation has an expectation upon staff for personal development and role competency. For myself are personal responsibility for my own learning and competency, personal satisfaction with my enhanced skills. Additionally, maintaining my PIP2 skills accreditation. </w:t>
            </w:r>
          </w:p>
          <w:p w14:paraId="1EDFBC12" w14:textId="77777777" w:rsidR="009A663D" w:rsidRDefault="009A663D" w:rsidP="00147C09">
            <w:pPr>
              <w:shd w:val="clear" w:color="auto" w:fill="FFFFFF"/>
              <w:spacing w:before="100" w:after="100" w:line="240" w:lineRule="auto"/>
              <w:outlineLvl w:val="2"/>
              <w:rPr>
                <w:rFonts w:ascii="Helvetica" w:eastAsia="Times New Roman" w:hAnsi="Helvetica"/>
                <w:color w:val="383838"/>
                <w:u w:val="single"/>
                <w:lang w:eastAsia="en-GB"/>
              </w:rPr>
            </w:pPr>
            <w:r>
              <w:rPr>
                <w:rFonts w:ascii="Helvetica" w:eastAsia="Times New Roman" w:hAnsi="Helvetica" w:cs="Times New Roman"/>
                <w:color w:val="383838"/>
                <w:u w:val="single"/>
                <w:lang w:eastAsia="en-GB"/>
              </w:rPr>
              <w:t>Time-bound</w:t>
            </w:r>
          </w:p>
          <w:p w14:paraId="083EC101" w14:textId="77777777" w:rsidR="009A663D" w:rsidRDefault="009A663D" w:rsidP="00147C09">
            <w:pPr>
              <w:shd w:val="clear" w:color="auto" w:fill="FFFFFF"/>
              <w:spacing w:before="100" w:after="100" w:line="240" w:lineRule="auto"/>
              <w:rPr>
                <w:rFonts w:ascii="Helvetica" w:eastAsia="Times New Roman" w:hAnsi="Helvetica"/>
                <w:color w:val="383838"/>
                <w:lang w:eastAsia="en-GB"/>
              </w:rPr>
            </w:pPr>
            <w:r>
              <w:rPr>
                <w:rFonts w:ascii="Helvetica" w:eastAsia="Times New Roman" w:hAnsi="Helvetica" w:cs="Times New Roman"/>
                <w:color w:val="383838"/>
                <w:lang w:eastAsia="en-GB"/>
              </w:rPr>
              <w:t xml:space="preserve">In the next 12 months (May 2022 – April 2023). </w:t>
            </w:r>
          </w:p>
          <w:p w14:paraId="6A7EFB42" w14:textId="77777777" w:rsidR="009A663D" w:rsidRDefault="009A663D" w:rsidP="00147C09">
            <w:pPr>
              <w:rPr>
                <w:rFonts w:ascii="Arial" w:eastAsia="Arial" w:hAnsi="Arial" w:cs="Arial"/>
                <w:color w:val="000000"/>
              </w:rPr>
            </w:pPr>
          </w:p>
        </w:tc>
      </w:tr>
      <w:tr w:rsidR="009A663D" w14:paraId="74A02D7E" w14:textId="77777777" w:rsidTr="00147C09">
        <w:tc>
          <w:tcPr>
            <w:tcW w:w="211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7647E3A" w14:textId="77777777" w:rsidR="009A663D" w:rsidRDefault="009A663D" w:rsidP="00147C09">
            <w:r>
              <w:rPr>
                <w:rFonts w:ascii="Arial" w:eastAsia="Arial" w:hAnsi="Arial" w:cs="Arial"/>
                <w:b/>
                <w:bCs/>
                <w:color w:val="000000"/>
              </w:rPr>
              <w:t>EXPERIENCE </w:t>
            </w:r>
          </w:p>
          <w:p w14:paraId="654B81C3" w14:textId="77777777" w:rsidR="009A663D" w:rsidRDefault="009A663D" w:rsidP="00147C09">
            <w:pPr>
              <w:rPr>
                <w:rFonts w:ascii="Arial" w:eastAsia="Arial" w:hAnsi="Arial" w:cs="Arial"/>
                <w:color w:val="000000"/>
              </w:rPr>
            </w:pPr>
            <w:r>
              <w:rPr>
                <w:rFonts w:ascii="Arial" w:eastAsia="Arial" w:hAnsi="Arial" w:cs="Arial"/>
                <w:color w:val="000000"/>
              </w:rPr>
              <w:t>Deficit in experience in the PRUDIC process</w:t>
            </w:r>
          </w:p>
          <w:p w14:paraId="1CBDF813" w14:textId="77777777" w:rsidR="009A663D" w:rsidRDefault="009A663D" w:rsidP="00147C09">
            <w:r>
              <w:rPr>
                <w:rFonts w:ascii="Arial" w:eastAsia="Arial" w:hAnsi="Arial" w:cs="Arial"/>
                <w:b/>
                <w:bCs/>
                <w:color w:val="000000"/>
              </w:rPr>
              <w:t> </w:t>
            </w:r>
          </w:p>
          <w:p w14:paraId="3EE2A966" w14:textId="77777777" w:rsidR="009A663D" w:rsidRDefault="009A663D" w:rsidP="00147C09">
            <w:r>
              <w:rPr>
                <w:rFonts w:ascii="Arial" w:eastAsia="Arial" w:hAnsi="Arial" w:cs="Arial"/>
                <w:b/>
                <w:bCs/>
                <w:color w:val="000000"/>
              </w:rPr>
              <w:t> </w:t>
            </w:r>
          </w:p>
          <w:p w14:paraId="1889863F" w14:textId="77777777" w:rsidR="009A663D" w:rsidRDefault="009A663D" w:rsidP="00147C09">
            <w:r>
              <w:rPr>
                <w:rFonts w:ascii="Arial" w:eastAsia="Arial" w:hAnsi="Arial" w:cs="Arial"/>
                <w:b/>
                <w:bCs/>
                <w:color w:val="000000"/>
              </w:rPr>
              <w:t> </w:t>
            </w:r>
          </w:p>
          <w:p w14:paraId="6EEFF0B5" w14:textId="77777777" w:rsidR="009A663D" w:rsidRDefault="009A663D" w:rsidP="00147C09">
            <w:r>
              <w:rPr>
                <w:rFonts w:ascii="Arial" w:eastAsia="Arial" w:hAnsi="Arial" w:cs="Arial"/>
                <w:b/>
                <w:bCs/>
                <w:color w:val="000000"/>
              </w:rPr>
              <w:t> </w:t>
            </w:r>
          </w:p>
          <w:p w14:paraId="05F23715" w14:textId="77777777" w:rsidR="009A663D" w:rsidRDefault="009A663D" w:rsidP="00147C09">
            <w:pPr>
              <w:rPr>
                <w:rFonts w:ascii="Arial" w:eastAsia="Arial" w:hAnsi="Arial" w:cs="Arial"/>
                <w:color w:val="000000"/>
              </w:rPr>
            </w:pP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837E6B0"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Low </w:t>
            </w:r>
          </w:p>
          <w:p w14:paraId="5399C168"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1-4 </w:t>
            </w:r>
          </w:p>
        </w:tc>
        <w:tc>
          <w:tcPr>
            <w:tcW w:w="705" w:type="dxa"/>
            <w:tcBorders>
              <w:top w:val="single" w:sz="6" w:space="0" w:color="000000"/>
              <w:left w:val="single" w:sz="6" w:space="0" w:color="000000"/>
              <w:bottom w:val="single" w:sz="6" w:space="0" w:color="000000"/>
              <w:right w:val="single" w:sz="6" w:space="0" w:color="000000"/>
            </w:tcBorders>
            <w:shd w:val="clear" w:color="auto" w:fill="D5DCE4"/>
            <w:tcMar>
              <w:top w:w="0" w:type="dxa"/>
              <w:left w:w="108" w:type="dxa"/>
              <w:bottom w:w="0" w:type="dxa"/>
              <w:right w:w="108" w:type="dxa"/>
            </w:tcMar>
          </w:tcPr>
          <w:p w14:paraId="4C9D99F5"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Med </w:t>
            </w:r>
          </w:p>
          <w:p w14:paraId="55282A6A"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5-7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0EFF942"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High </w:t>
            </w:r>
          </w:p>
          <w:p w14:paraId="1139F6CD"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8-10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7BDD530"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Low </w:t>
            </w:r>
          </w:p>
          <w:p w14:paraId="48A8790D"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1-4 </w:t>
            </w:r>
          </w:p>
        </w:tc>
        <w:tc>
          <w:tcPr>
            <w:tcW w:w="70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238CB75"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Med </w:t>
            </w:r>
          </w:p>
          <w:p w14:paraId="57E1F1EA"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5-7 </w:t>
            </w:r>
          </w:p>
        </w:tc>
        <w:tc>
          <w:tcPr>
            <w:tcW w:w="720" w:type="dxa"/>
            <w:tcBorders>
              <w:top w:val="single" w:sz="6" w:space="0" w:color="000000"/>
              <w:left w:val="single" w:sz="6" w:space="0" w:color="000000"/>
              <w:bottom w:val="single" w:sz="6" w:space="0" w:color="000000"/>
              <w:right w:val="single" w:sz="6" w:space="0" w:color="000000"/>
            </w:tcBorders>
            <w:shd w:val="clear" w:color="auto" w:fill="D5DCE4"/>
            <w:tcMar>
              <w:top w:w="0" w:type="dxa"/>
              <w:left w:w="108" w:type="dxa"/>
              <w:bottom w:w="0" w:type="dxa"/>
              <w:right w:w="108" w:type="dxa"/>
            </w:tcMar>
          </w:tcPr>
          <w:p w14:paraId="120A7082"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High </w:t>
            </w:r>
          </w:p>
          <w:p w14:paraId="358AF52F" w14:textId="77777777" w:rsidR="009A663D" w:rsidRDefault="009A663D" w:rsidP="00147C09">
            <w:pPr>
              <w:rPr>
                <w:rFonts w:ascii="Arial" w:eastAsia="Arial" w:hAnsi="Arial" w:cs="Arial"/>
                <w:color w:val="000000"/>
                <w:sz w:val="20"/>
                <w:szCs w:val="20"/>
              </w:rPr>
            </w:pPr>
            <w:r>
              <w:rPr>
                <w:rFonts w:ascii="Arial" w:eastAsia="Arial" w:hAnsi="Arial" w:cs="Arial"/>
                <w:color w:val="000000"/>
                <w:sz w:val="20"/>
                <w:szCs w:val="20"/>
              </w:rPr>
              <w:t>8-10 </w:t>
            </w:r>
          </w:p>
        </w:tc>
        <w:tc>
          <w:tcPr>
            <w:tcW w:w="2520"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EECCA44" w14:textId="77777777" w:rsidR="009A663D" w:rsidRDefault="009A663D" w:rsidP="00147C09">
            <w:pPr>
              <w:rPr>
                <w:rFonts w:ascii="Arial" w:eastAsia="Arial" w:hAnsi="Arial" w:cs="Arial"/>
                <w:color w:val="000000"/>
                <w:u w:val="single"/>
              </w:rPr>
            </w:pPr>
            <w:r>
              <w:rPr>
                <w:rFonts w:ascii="Arial" w:eastAsia="Arial" w:hAnsi="Arial" w:cs="Arial"/>
                <w:color w:val="000000"/>
                <w:u w:val="single"/>
              </w:rPr>
              <w:t>Specific</w:t>
            </w:r>
          </w:p>
          <w:p w14:paraId="4D186367" w14:textId="77777777" w:rsidR="009A663D" w:rsidRDefault="009A663D" w:rsidP="00147C09">
            <w:r>
              <w:rPr>
                <w:rFonts w:ascii="Helvetica" w:hAnsi="Helvetica"/>
                <w:color w:val="383838"/>
                <w:shd w:val="clear" w:color="auto" w:fill="FFFFFF"/>
              </w:rPr>
              <w:t xml:space="preserve">Having dealt with a recent series of sudden deaths of children, my involvement in the subsequent investigation has identified a deficit in my experience of the </w:t>
            </w:r>
            <w:hyperlink r:id="rId133" w:history="1">
              <w:r w:rsidRPr="00BD3F76">
                <w:rPr>
                  <w:rStyle w:val="Hyperlink"/>
                  <w:rFonts w:ascii="Arial" w:hAnsi="Arial" w:cs="Arial"/>
                  <w:color w:val="auto"/>
                  <w:u w:val="none"/>
                  <w:shd w:val="clear" w:color="auto" w:fill="FFFFFF"/>
                </w:rPr>
                <w:t xml:space="preserve">Procedural Response to Unexpected Deaths in Childhood </w:t>
              </w:r>
            </w:hyperlink>
            <w:r>
              <w:rPr>
                <w:rFonts w:ascii="Arial" w:hAnsi="Arial" w:cs="Arial"/>
              </w:rPr>
              <w:t>(</w:t>
            </w:r>
            <w:r>
              <w:rPr>
                <w:rFonts w:ascii="Helvetica" w:hAnsi="Helvetica"/>
                <w:color w:val="383838"/>
                <w:shd w:val="clear" w:color="auto" w:fill="FFFFFF"/>
              </w:rPr>
              <w:t xml:space="preserve">PRUDIC) process. </w:t>
            </w:r>
          </w:p>
          <w:p w14:paraId="3BAA31F2" w14:textId="77777777" w:rsidR="009A663D" w:rsidRDefault="009A663D" w:rsidP="00147C09">
            <w:pPr>
              <w:rPr>
                <w:rFonts w:ascii="Helvetica" w:hAnsi="Helvetica"/>
                <w:color w:val="383838"/>
                <w:shd w:val="clear" w:color="auto" w:fill="FFFFFF"/>
              </w:rPr>
            </w:pPr>
            <w:r>
              <w:rPr>
                <w:rFonts w:ascii="Helvetica" w:hAnsi="Helvetica"/>
                <w:color w:val="383838"/>
                <w:shd w:val="clear" w:color="auto" w:fill="FFFFFF"/>
              </w:rPr>
              <w:t xml:space="preserve">Routinely, my involvement in confined to the Police investigation and coronial process, the PRUDIC process is conducted by Supervisors. I do however have contact with families and need to explain to them this process. I have had some training during Specialist Child Abuse Investigator Programme however, I feel that I would benefit from observation of multi- agency PRUDIC conferences to gain better knowledge to confidently be able to explain to families during a traumatic time. I believe that families in such situation seek reliable and accurate information to assist them in their grieving process therefore, improving their satisfaction in the service. </w:t>
            </w:r>
          </w:p>
          <w:p w14:paraId="0B4AEE5A" w14:textId="77777777" w:rsidR="009A663D" w:rsidRDefault="009A663D" w:rsidP="00147C09">
            <w:pPr>
              <w:rPr>
                <w:rFonts w:ascii="Helvetica" w:hAnsi="Helvetica"/>
                <w:color w:val="383838"/>
                <w:shd w:val="clear" w:color="auto" w:fill="FFFFFF"/>
              </w:rPr>
            </w:pPr>
            <w:r>
              <w:rPr>
                <w:rFonts w:ascii="Helvetica" w:hAnsi="Helvetica"/>
                <w:color w:val="383838"/>
                <w:shd w:val="clear" w:color="auto" w:fill="FFFFFF"/>
              </w:rPr>
              <w:t>I plan to conduct this observation when operationally achievable in the next year when such an incident occurs.</w:t>
            </w:r>
          </w:p>
          <w:p w14:paraId="54A6B994" w14:textId="77777777" w:rsidR="009A663D" w:rsidRDefault="009A663D" w:rsidP="00147C09">
            <w:pPr>
              <w:shd w:val="clear" w:color="auto" w:fill="FFFFFF"/>
              <w:spacing w:before="100" w:after="100" w:line="240" w:lineRule="auto"/>
              <w:outlineLvl w:val="2"/>
            </w:pPr>
            <w:r>
              <w:rPr>
                <w:rFonts w:ascii="Helvetica" w:eastAsia="Times New Roman" w:hAnsi="Helvetica" w:cs="Times New Roman"/>
                <w:color w:val="383838"/>
                <w:u w:val="single"/>
                <w:lang w:eastAsia="en-GB"/>
              </w:rPr>
              <w:t>Measurable</w:t>
            </w:r>
          </w:p>
          <w:p w14:paraId="1B2A362A" w14:textId="77777777" w:rsidR="009A663D" w:rsidRDefault="009A663D" w:rsidP="00147C09">
            <w:pPr>
              <w:shd w:val="clear" w:color="auto" w:fill="FFFFFF"/>
              <w:spacing w:before="100" w:after="100" w:line="240" w:lineRule="auto"/>
              <w:rPr>
                <w:rFonts w:ascii="Helvetica" w:eastAsia="Times New Roman" w:hAnsi="Helvetica"/>
                <w:color w:val="383838"/>
                <w:lang w:eastAsia="en-GB"/>
              </w:rPr>
            </w:pPr>
            <w:r>
              <w:rPr>
                <w:rFonts w:ascii="Helvetica" w:eastAsia="Times New Roman" w:hAnsi="Helvetica" w:cs="Times New Roman"/>
                <w:color w:val="383838"/>
                <w:lang w:eastAsia="en-GB"/>
              </w:rPr>
              <w:t xml:space="preserve">This is measurable since I will most certainly be more knowledgeable having been exposed to the process during the observation time. I will therefore know this myself in confidence when communicating this information to families and any feedback. </w:t>
            </w:r>
          </w:p>
          <w:p w14:paraId="3D6CA31A" w14:textId="77777777" w:rsidR="009A663D" w:rsidRDefault="009A663D" w:rsidP="00147C09">
            <w:pPr>
              <w:shd w:val="clear" w:color="auto" w:fill="FFFFFF"/>
              <w:spacing w:before="100" w:after="100" w:line="240" w:lineRule="auto"/>
              <w:outlineLvl w:val="2"/>
            </w:pPr>
            <w:r>
              <w:rPr>
                <w:rFonts w:ascii="Helvetica" w:eastAsia="Times New Roman" w:hAnsi="Helvetica" w:cs="Times New Roman"/>
                <w:color w:val="383838"/>
                <w:u w:val="single"/>
                <w:lang w:eastAsia="en-GB"/>
              </w:rPr>
              <w:t>Achievable</w:t>
            </w:r>
          </w:p>
          <w:p w14:paraId="0BB9FEFB" w14:textId="77777777" w:rsidR="009A663D" w:rsidRDefault="009A663D" w:rsidP="00147C09">
            <w:pPr>
              <w:shd w:val="clear" w:color="auto" w:fill="FFFFFF"/>
              <w:spacing w:before="100" w:after="100" w:line="240" w:lineRule="auto"/>
              <w:outlineLvl w:val="2"/>
              <w:rPr>
                <w:rFonts w:ascii="Helvetica" w:eastAsia="Times New Roman" w:hAnsi="Helvetica"/>
                <w:color w:val="383838"/>
                <w:lang w:eastAsia="en-GB"/>
              </w:rPr>
            </w:pPr>
            <w:r>
              <w:rPr>
                <w:rFonts w:ascii="Helvetica" w:eastAsia="Times New Roman" w:hAnsi="Helvetica" w:cs="Times New Roman"/>
                <w:color w:val="383838"/>
                <w:lang w:eastAsia="en-GB"/>
              </w:rPr>
              <w:t xml:space="preserve">The opportunity for observation is feasible but will be dependent upon such incident occurring instigating following process. It is anticipated that this will occur in the next 12 months. I will request that I am included on such conferences with some operational flexibility to facilitate this. </w:t>
            </w:r>
          </w:p>
          <w:p w14:paraId="79779130" w14:textId="77777777" w:rsidR="009A663D" w:rsidRDefault="009A663D" w:rsidP="00147C09">
            <w:pPr>
              <w:shd w:val="clear" w:color="auto" w:fill="FFFFFF"/>
              <w:spacing w:before="100" w:after="100" w:line="240" w:lineRule="auto"/>
              <w:outlineLvl w:val="2"/>
            </w:pPr>
            <w:r>
              <w:rPr>
                <w:rFonts w:ascii="Helvetica" w:eastAsia="Times New Roman" w:hAnsi="Helvetica" w:cs="Times New Roman"/>
                <w:color w:val="383838"/>
                <w:u w:val="single"/>
                <w:lang w:eastAsia="en-GB"/>
              </w:rPr>
              <w:t>Relevant</w:t>
            </w:r>
          </w:p>
          <w:p w14:paraId="7B09CC81" w14:textId="77777777" w:rsidR="009A663D" w:rsidRDefault="009A663D" w:rsidP="00147C09">
            <w:pPr>
              <w:shd w:val="clear" w:color="auto" w:fill="FFFFFF"/>
              <w:spacing w:before="100" w:after="100" w:line="240" w:lineRule="auto"/>
              <w:outlineLvl w:val="2"/>
              <w:rPr>
                <w:rFonts w:ascii="Helvetica" w:eastAsia="Times New Roman" w:hAnsi="Helvetica"/>
                <w:color w:val="383838"/>
                <w:lang w:eastAsia="en-GB"/>
              </w:rPr>
            </w:pPr>
            <w:r>
              <w:rPr>
                <w:rFonts w:ascii="Helvetica" w:eastAsia="Times New Roman" w:hAnsi="Helvetica" w:cs="Times New Roman"/>
                <w:color w:val="383838"/>
                <w:lang w:eastAsia="en-GB"/>
              </w:rPr>
              <w:t xml:space="preserve">This is most relevant to the organisation in improving public confidence in the service. It is also relevant to the organisations expectation for Officers to take responsibility for personal development. Personally, and organisationally, it is relevant to maintaining my PIP2 competency and accreditation in Serious and Complex Crime. </w:t>
            </w:r>
          </w:p>
          <w:p w14:paraId="41F76A9F" w14:textId="77777777" w:rsidR="009A663D" w:rsidRDefault="009A663D" w:rsidP="00147C09">
            <w:pPr>
              <w:shd w:val="clear" w:color="auto" w:fill="FFFFFF"/>
              <w:spacing w:before="100" w:after="100" w:line="240" w:lineRule="auto"/>
              <w:outlineLvl w:val="2"/>
              <w:rPr>
                <w:rFonts w:ascii="Helvetica" w:eastAsia="Times New Roman" w:hAnsi="Helvetica"/>
                <w:color w:val="383838"/>
                <w:u w:val="single"/>
                <w:lang w:eastAsia="en-GB"/>
              </w:rPr>
            </w:pPr>
            <w:r>
              <w:rPr>
                <w:rFonts w:ascii="Helvetica" w:eastAsia="Times New Roman" w:hAnsi="Helvetica" w:cs="Times New Roman"/>
                <w:color w:val="383838"/>
                <w:u w:val="single"/>
                <w:lang w:eastAsia="en-GB"/>
              </w:rPr>
              <w:t>Time-bound</w:t>
            </w:r>
          </w:p>
          <w:p w14:paraId="4BC2360B" w14:textId="77777777" w:rsidR="009A663D" w:rsidRDefault="009A663D" w:rsidP="00147C09">
            <w:pPr>
              <w:shd w:val="clear" w:color="auto" w:fill="FFFFFF"/>
              <w:spacing w:before="100" w:after="100" w:line="240" w:lineRule="auto"/>
              <w:rPr>
                <w:rFonts w:ascii="Arial" w:eastAsia="Arial" w:hAnsi="Arial" w:cs="Arial"/>
                <w:color w:val="000000"/>
              </w:rPr>
            </w:pPr>
            <w:r>
              <w:rPr>
                <w:rFonts w:ascii="Arial" w:eastAsia="Arial" w:hAnsi="Arial" w:cs="Arial"/>
                <w:color w:val="000000"/>
              </w:rPr>
              <w:t xml:space="preserve">Within the next year (May 2022 to April 2023) </w:t>
            </w:r>
            <w:proofErr w:type="spellStart"/>
            <w:r>
              <w:rPr>
                <w:rFonts w:ascii="Arial" w:eastAsia="Arial" w:hAnsi="Arial" w:cs="Arial"/>
                <w:color w:val="000000"/>
              </w:rPr>
              <w:t>dependant</w:t>
            </w:r>
            <w:proofErr w:type="spellEnd"/>
            <w:r>
              <w:rPr>
                <w:rFonts w:ascii="Arial" w:eastAsia="Arial" w:hAnsi="Arial" w:cs="Arial"/>
                <w:color w:val="000000"/>
              </w:rPr>
              <w:t xml:space="preserve"> upon when such an incident occurs to facilitate the observation period and the organisational demand being able to facilitate my availability. </w:t>
            </w:r>
          </w:p>
        </w:tc>
      </w:tr>
    </w:tbl>
    <w:p w14:paraId="3FFE3163" w14:textId="77777777" w:rsidR="009A663D" w:rsidRDefault="009A663D" w:rsidP="009A663D">
      <w:pPr>
        <w:rPr>
          <w:rFonts w:ascii="Arial" w:eastAsia="Arial" w:hAnsi="Arial" w:cs="Arial"/>
          <w:b/>
          <w:bCs/>
          <w:sz w:val="28"/>
          <w:szCs w:val="28"/>
        </w:rPr>
      </w:pPr>
    </w:p>
    <w:p w14:paraId="15B96B20" w14:textId="77777777" w:rsidR="009A663D" w:rsidRDefault="009A663D" w:rsidP="009A663D">
      <w:pPr>
        <w:rPr>
          <w:rFonts w:ascii="Arial" w:eastAsia="Arial" w:hAnsi="Arial" w:cs="Arial"/>
          <w:b/>
          <w:bCs/>
          <w:sz w:val="28"/>
          <w:szCs w:val="28"/>
        </w:rPr>
      </w:pPr>
    </w:p>
    <w:p w14:paraId="054F5B08" w14:textId="77777777" w:rsidR="009A663D" w:rsidRDefault="009A663D" w:rsidP="009A663D"/>
    <w:p w14:paraId="4686BC78" w14:textId="77777777" w:rsidR="009A663D" w:rsidRDefault="009A663D" w:rsidP="69B3A30A">
      <w:pPr>
        <w:jc w:val="center"/>
        <w:rPr>
          <w:rFonts w:ascii="Arial" w:eastAsia="Arial" w:hAnsi="Arial" w:cs="Arial"/>
          <w:sz w:val="24"/>
          <w:szCs w:val="24"/>
        </w:rPr>
      </w:pPr>
    </w:p>
    <w:p w14:paraId="71960A1E" w14:textId="3DCF88C8" w:rsidR="7336895D" w:rsidRDefault="7336895D" w:rsidP="69B3A30A">
      <w:pPr>
        <w:ind w:right="107"/>
        <w:jc w:val="both"/>
        <w:rPr>
          <w:rFonts w:ascii="Arial" w:eastAsia="Arial" w:hAnsi="Arial" w:cs="Arial"/>
          <w:color w:val="000000" w:themeColor="text1"/>
          <w:sz w:val="24"/>
          <w:szCs w:val="24"/>
        </w:rPr>
      </w:pPr>
    </w:p>
    <w:p w14:paraId="7528882F" w14:textId="46C78E98" w:rsidR="7336895D" w:rsidRDefault="7336895D" w:rsidP="7336895D">
      <w:pPr>
        <w:rPr>
          <w:rFonts w:ascii="Arial" w:eastAsia="Arial" w:hAnsi="Arial" w:cs="Arial"/>
          <w:b/>
          <w:bCs/>
          <w:sz w:val="28"/>
          <w:szCs w:val="28"/>
        </w:rPr>
      </w:pPr>
    </w:p>
    <w:p w14:paraId="16014C8D" w14:textId="5E8D40E4" w:rsidR="7336895D" w:rsidRDefault="7336895D" w:rsidP="7336895D">
      <w:pPr>
        <w:rPr>
          <w:rFonts w:ascii="Arial" w:eastAsia="Arial" w:hAnsi="Arial" w:cs="Arial"/>
          <w:b/>
          <w:bCs/>
          <w:sz w:val="28"/>
          <w:szCs w:val="28"/>
        </w:rPr>
      </w:pPr>
    </w:p>
    <w:p w14:paraId="14E5F5D8" w14:textId="33C45B11" w:rsidR="7336895D" w:rsidRDefault="7336895D" w:rsidP="7336895D">
      <w:pPr>
        <w:spacing w:before="240" w:after="60"/>
        <w:ind w:right="237"/>
        <w:jc w:val="both"/>
        <w:rPr>
          <w:rFonts w:ascii="Arial" w:eastAsia="Arial" w:hAnsi="Arial" w:cs="Arial"/>
          <w:color w:val="000000" w:themeColor="text1"/>
          <w:sz w:val="24"/>
          <w:szCs w:val="24"/>
        </w:rPr>
      </w:pPr>
    </w:p>
    <w:p w14:paraId="2060306B" w14:textId="1F473AAC" w:rsidR="79039CE6" w:rsidRDefault="003035D5" w:rsidP="7336895D">
      <w:pPr>
        <w:jc w:val="both"/>
        <w:rPr>
          <w:rFonts w:ascii="Arial" w:eastAsia="Arial" w:hAnsi="Arial" w:cs="Arial"/>
          <w:color w:val="000000" w:themeColor="text1"/>
          <w:sz w:val="24"/>
          <w:szCs w:val="24"/>
        </w:rPr>
      </w:pPr>
      <w:r>
        <w:rPr>
          <w:rFonts w:ascii="Arial" w:eastAsia="Arial" w:hAnsi="Arial" w:cs="Arial"/>
          <w:noProof/>
          <w:color w:val="000000" w:themeColor="text1"/>
          <w:sz w:val="24"/>
          <w:szCs w:val="24"/>
        </w:rPr>
        <mc:AlternateContent>
          <mc:Choice Requires="wpi">
            <w:drawing>
              <wp:anchor distT="0" distB="0" distL="114300" distR="114300" simplePos="0" relativeHeight="251665408" behindDoc="0" locked="0" layoutInCell="1" allowOverlap="1" wp14:anchorId="0AA28DE9" wp14:editId="6B6E6C20">
                <wp:simplePos x="0" y="0"/>
                <wp:positionH relativeFrom="column">
                  <wp:posOffset>1022605</wp:posOffset>
                </wp:positionH>
                <wp:positionV relativeFrom="paragraph">
                  <wp:posOffset>-54863</wp:posOffset>
                </wp:positionV>
                <wp:extent cx="876240" cy="291240"/>
                <wp:effectExtent l="38100" t="38100" r="635" b="52070"/>
                <wp:wrapNone/>
                <wp:docPr id="14" name="Ink 14"/>
                <wp:cNvGraphicFramePr/>
                <a:graphic xmlns:a="http://schemas.openxmlformats.org/drawingml/2006/main">
                  <a:graphicData uri="http://schemas.microsoft.com/office/word/2010/wordprocessingInk">
                    <w14:contentPart bwMode="auto" r:id="rId134">
                      <w14:nvContentPartPr>
                        <w14:cNvContentPartPr/>
                      </w14:nvContentPartPr>
                      <w14:xfrm>
                        <a:off x="0" y="0"/>
                        <a:ext cx="876240" cy="291240"/>
                      </w14:xfrm>
                    </w14:contentPart>
                  </a:graphicData>
                </a:graphic>
              </wp:anchor>
            </w:drawing>
          </mc:Choice>
          <mc:Fallback xmlns="">
            <w:pict>
              <v:shapetype w14:anchorId="237F696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79.8pt;margin-top:-5pt;width:70.45pt;height:24.3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">
                <v:imagedata r:id="rId138"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664384" behindDoc="0" locked="0" layoutInCell="1" allowOverlap="1" wp14:anchorId="1A28C04B" wp14:editId="216C4D8C">
                <wp:simplePos x="0" y="0"/>
                <wp:positionH relativeFrom="column">
                  <wp:posOffset>961405</wp:posOffset>
                </wp:positionH>
                <wp:positionV relativeFrom="paragraph">
                  <wp:posOffset>22177</wp:posOffset>
                </wp:positionV>
                <wp:extent cx="76680" cy="39240"/>
                <wp:effectExtent l="38100" t="19050" r="57150" b="56515"/>
                <wp:wrapNone/>
                <wp:docPr id="13" name="Ink 13"/>
                <wp:cNvGraphicFramePr/>
                <a:graphic xmlns:a="http://schemas.openxmlformats.org/drawingml/2006/main">
                  <a:graphicData uri="http://schemas.microsoft.com/office/word/2010/wordprocessingInk">
                    <w14:contentPart bwMode="auto" r:id="rId139">
                      <w14:nvContentPartPr>
                        <w14:cNvContentPartPr/>
                      </w14:nvContentPartPr>
                      <w14:xfrm>
                        <a:off x="0" y="0"/>
                        <a:ext cx="76680" cy="39240"/>
                      </w14:xfrm>
                    </w14:contentPart>
                  </a:graphicData>
                </a:graphic>
              </wp:anchor>
            </w:drawing>
          </mc:Choice>
          <mc:Fallback xmlns="">
            <w:pict>
              <v:shape w14:anchorId="5112B1F3" id="Ink 13" o:spid="_x0000_s1026" type="#_x0000_t75" style="position:absolute;margin-left:75pt;margin-top:1.05pt;width:7.5pt;height:4.5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">
                <v:imagedata r:id="rId140" o:title=""/>
              </v:shape>
            </w:pict>
          </mc:Fallback>
        </mc:AlternateContent>
      </w:r>
      <w:r>
        <w:rPr>
          <w:rFonts w:ascii="Arial" w:eastAsia="Arial" w:hAnsi="Arial" w:cs="Arial"/>
          <w:noProof/>
          <w:color w:val="000000" w:themeColor="text1"/>
          <w:sz w:val="24"/>
          <w:szCs w:val="24"/>
        </w:rPr>
        <mc:AlternateContent>
          <mc:Choice Requires="wpi">
            <w:drawing>
              <wp:anchor distT="0" distB="0" distL="114300" distR="114300" simplePos="0" relativeHeight="251663360" behindDoc="0" locked="0" layoutInCell="1" allowOverlap="1" wp14:anchorId="08A59C19" wp14:editId="0B4C1543">
                <wp:simplePos x="0" y="0"/>
                <wp:positionH relativeFrom="column">
                  <wp:posOffset>776005</wp:posOffset>
                </wp:positionH>
                <wp:positionV relativeFrom="paragraph">
                  <wp:posOffset>-102023</wp:posOffset>
                </wp:positionV>
                <wp:extent cx="372960" cy="315360"/>
                <wp:effectExtent l="0" t="38100" r="46355" b="46990"/>
                <wp:wrapNone/>
                <wp:docPr id="12" name="Ink 12"/>
                <wp:cNvGraphicFramePr/>
                <a:graphic xmlns:a="http://schemas.openxmlformats.org/drawingml/2006/main">
                  <a:graphicData uri="http://schemas.microsoft.com/office/word/2010/wordprocessingInk">
                    <w14:contentPart bwMode="auto" r:id="rId141">
                      <w14:nvContentPartPr>
                        <w14:cNvContentPartPr/>
                      </w14:nvContentPartPr>
                      <w14:xfrm>
                        <a:off x="0" y="0"/>
                        <a:ext cx="372960" cy="315360"/>
                      </w14:xfrm>
                    </w14:contentPart>
                  </a:graphicData>
                </a:graphic>
              </wp:anchor>
            </w:drawing>
          </mc:Choice>
          <mc:Fallback xmlns="">
            <w:pict>
              <v:shape w14:anchorId="39FD8112" id="Ink 12" o:spid="_x0000_s1026" type="#_x0000_t75" style="position:absolute;margin-left:60.4pt;margin-top:-8.75pt;width:30.75pt;height:26.2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">
                <v:imagedata r:id="rId142" o:title=""/>
              </v:shape>
            </w:pict>
          </mc:Fallback>
        </mc:AlternateContent>
      </w:r>
      <w:r w:rsidR="79039CE6" w:rsidRPr="7336895D">
        <w:rPr>
          <w:rFonts w:ascii="Arial" w:eastAsia="Arial" w:hAnsi="Arial" w:cs="Arial"/>
          <w:color w:val="000000" w:themeColor="text1"/>
          <w:sz w:val="24"/>
          <w:szCs w:val="24"/>
        </w:rPr>
        <w:t>Signed:  _ _ _ _ _ _ _ _ _ _ _ _ _ _ _ (Learner, Electronic signature or type name)</w:t>
      </w:r>
    </w:p>
    <w:p w14:paraId="322F025C" w14:textId="2696901F" w:rsidR="79039CE6" w:rsidRDefault="79039CE6"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 </w:t>
      </w:r>
    </w:p>
    <w:p w14:paraId="6A357483" w14:textId="33508470" w:rsidR="79039CE6" w:rsidRDefault="79039CE6" w:rsidP="7336895D">
      <w:pPr>
        <w:jc w:val="both"/>
        <w:rPr>
          <w:rFonts w:ascii="Arial" w:eastAsia="Arial" w:hAnsi="Arial" w:cs="Arial"/>
          <w:color w:val="000000" w:themeColor="text1"/>
          <w:sz w:val="24"/>
          <w:szCs w:val="24"/>
        </w:rPr>
      </w:pPr>
      <w:r w:rsidRPr="7336895D">
        <w:rPr>
          <w:rFonts w:ascii="Arial" w:eastAsia="Arial" w:hAnsi="Arial" w:cs="Arial"/>
          <w:color w:val="000000" w:themeColor="text1"/>
          <w:sz w:val="24"/>
          <w:szCs w:val="24"/>
        </w:rPr>
        <w:t xml:space="preserve">Date: </w:t>
      </w:r>
      <w:r w:rsidR="00BD3F76">
        <w:rPr>
          <w:rFonts w:ascii="Arial" w:eastAsia="Arial" w:hAnsi="Arial" w:cs="Arial"/>
          <w:color w:val="000000" w:themeColor="text1"/>
          <w:sz w:val="24"/>
          <w:szCs w:val="24"/>
        </w:rPr>
        <w:t xml:space="preserve"> </w:t>
      </w:r>
      <w:r w:rsidR="001F49D2">
        <w:rPr>
          <w:rFonts w:ascii="Arial" w:eastAsia="Arial" w:hAnsi="Arial" w:cs="Arial"/>
          <w:color w:val="000000" w:themeColor="text1"/>
          <w:sz w:val="24"/>
          <w:szCs w:val="24"/>
        </w:rPr>
        <w:t>8</w:t>
      </w:r>
      <w:r w:rsidR="00BD3F76" w:rsidRPr="00BD3F76">
        <w:rPr>
          <w:rFonts w:ascii="Arial" w:eastAsia="Arial" w:hAnsi="Arial" w:cs="Arial"/>
          <w:color w:val="000000" w:themeColor="text1"/>
          <w:sz w:val="24"/>
          <w:szCs w:val="24"/>
          <w:vertAlign w:val="superscript"/>
        </w:rPr>
        <w:t>th</w:t>
      </w:r>
      <w:r w:rsidR="00BD3F76">
        <w:rPr>
          <w:rFonts w:ascii="Arial" w:eastAsia="Arial" w:hAnsi="Arial" w:cs="Arial"/>
          <w:color w:val="000000" w:themeColor="text1"/>
          <w:sz w:val="24"/>
          <w:szCs w:val="24"/>
        </w:rPr>
        <w:t xml:space="preserve"> May 2022</w:t>
      </w:r>
    </w:p>
    <w:p w14:paraId="1CCC12FB" w14:textId="37BB132A" w:rsidR="7336895D" w:rsidRDefault="7336895D" w:rsidP="7336895D">
      <w:pPr>
        <w:rPr>
          <w:rFonts w:ascii="Arial" w:eastAsia="Arial" w:hAnsi="Arial" w:cs="Arial"/>
          <w:b/>
          <w:bCs/>
          <w:color w:val="000000" w:themeColor="text1"/>
          <w:sz w:val="24"/>
          <w:szCs w:val="24"/>
        </w:rPr>
      </w:pPr>
    </w:p>
    <w:p w14:paraId="5B128552" w14:textId="22D575AB" w:rsidR="7336895D" w:rsidRDefault="7336895D" w:rsidP="7336895D">
      <w:pPr>
        <w:spacing w:before="240" w:after="60"/>
        <w:ind w:right="237"/>
        <w:jc w:val="both"/>
        <w:rPr>
          <w:rFonts w:ascii="Arial" w:eastAsia="Arial" w:hAnsi="Arial" w:cs="Arial"/>
          <w:color w:val="000000" w:themeColor="text1"/>
          <w:sz w:val="24"/>
          <w:szCs w:val="24"/>
        </w:rPr>
      </w:pPr>
    </w:p>
    <w:p w14:paraId="61D357BB" w14:textId="2C0401C6" w:rsidR="7336895D" w:rsidRDefault="7336895D" w:rsidP="7336895D">
      <w:pPr>
        <w:rPr>
          <w:rFonts w:ascii="Arial" w:eastAsia="Arial" w:hAnsi="Arial" w:cs="Arial"/>
          <w:b/>
          <w:bCs/>
          <w:sz w:val="28"/>
          <w:szCs w:val="28"/>
        </w:rPr>
      </w:pPr>
    </w:p>
    <w:sectPr w:rsidR="7336895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 w:name="Helvetica">
    <w:panose1 w:val="020B0604020202020204"/>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54B40"/>
    <w:multiLevelType w:val="hybridMultilevel"/>
    <w:tmpl w:val="1E502670"/>
    <w:lvl w:ilvl="0" w:tplc="EC02ADA2">
      <w:start w:val="1"/>
      <w:numFmt w:val="bullet"/>
      <w:lvlText w:val=""/>
      <w:lvlJc w:val="left"/>
      <w:pPr>
        <w:ind w:left="720" w:hanging="360"/>
      </w:pPr>
      <w:rPr>
        <w:rFonts w:ascii="Symbol" w:hAnsi="Symbol" w:hint="default"/>
      </w:rPr>
    </w:lvl>
    <w:lvl w:ilvl="1" w:tplc="D5E6908E">
      <w:start w:val="1"/>
      <w:numFmt w:val="bullet"/>
      <w:lvlText w:val="o"/>
      <w:lvlJc w:val="left"/>
      <w:pPr>
        <w:ind w:left="1440" w:hanging="360"/>
      </w:pPr>
      <w:rPr>
        <w:rFonts w:ascii="Courier New" w:hAnsi="Courier New" w:hint="default"/>
      </w:rPr>
    </w:lvl>
    <w:lvl w:ilvl="2" w:tplc="32987B3A">
      <w:start w:val="1"/>
      <w:numFmt w:val="bullet"/>
      <w:lvlText w:val=""/>
      <w:lvlJc w:val="left"/>
      <w:pPr>
        <w:ind w:left="2160" w:hanging="360"/>
      </w:pPr>
      <w:rPr>
        <w:rFonts w:ascii="Wingdings" w:hAnsi="Wingdings" w:hint="default"/>
      </w:rPr>
    </w:lvl>
    <w:lvl w:ilvl="3" w:tplc="D1380B62">
      <w:start w:val="1"/>
      <w:numFmt w:val="bullet"/>
      <w:lvlText w:val=""/>
      <w:lvlJc w:val="left"/>
      <w:pPr>
        <w:ind w:left="2880" w:hanging="360"/>
      </w:pPr>
      <w:rPr>
        <w:rFonts w:ascii="Symbol" w:hAnsi="Symbol" w:hint="default"/>
      </w:rPr>
    </w:lvl>
    <w:lvl w:ilvl="4" w:tplc="FD6A8D76">
      <w:start w:val="1"/>
      <w:numFmt w:val="bullet"/>
      <w:lvlText w:val="o"/>
      <w:lvlJc w:val="left"/>
      <w:pPr>
        <w:ind w:left="3600" w:hanging="360"/>
      </w:pPr>
      <w:rPr>
        <w:rFonts w:ascii="Courier New" w:hAnsi="Courier New" w:hint="default"/>
      </w:rPr>
    </w:lvl>
    <w:lvl w:ilvl="5" w:tplc="4F5845FE">
      <w:start w:val="1"/>
      <w:numFmt w:val="bullet"/>
      <w:lvlText w:val=""/>
      <w:lvlJc w:val="left"/>
      <w:pPr>
        <w:ind w:left="4320" w:hanging="360"/>
      </w:pPr>
      <w:rPr>
        <w:rFonts w:ascii="Wingdings" w:hAnsi="Wingdings" w:hint="default"/>
      </w:rPr>
    </w:lvl>
    <w:lvl w:ilvl="6" w:tplc="6F4C4ACE">
      <w:start w:val="1"/>
      <w:numFmt w:val="bullet"/>
      <w:lvlText w:val=""/>
      <w:lvlJc w:val="left"/>
      <w:pPr>
        <w:ind w:left="5040" w:hanging="360"/>
      </w:pPr>
      <w:rPr>
        <w:rFonts w:ascii="Symbol" w:hAnsi="Symbol" w:hint="default"/>
      </w:rPr>
    </w:lvl>
    <w:lvl w:ilvl="7" w:tplc="56B602C6">
      <w:start w:val="1"/>
      <w:numFmt w:val="bullet"/>
      <w:lvlText w:val="o"/>
      <w:lvlJc w:val="left"/>
      <w:pPr>
        <w:ind w:left="5760" w:hanging="360"/>
      </w:pPr>
      <w:rPr>
        <w:rFonts w:ascii="Courier New" w:hAnsi="Courier New" w:hint="default"/>
      </w:rPr>
    </w:lvl>
    <w:lvl w:ilvl="8" w:tplc="C2B2D3A2">
      <w:start w:val="1"/>
      <w:numFmt w:val="bullet"/>
      <w:lvlText w:val=""/>
      <w:lvlJc w:val="left"/>
      <w:pPr>
        <w:ind w:left="6480" w:hanging="360"/>
      </w:pPr>
      <w:rPr>
        <w:rFonts w:ascii="Wingdings" w:hAnsi="Wingdings" w:hint="default"/>
      </w:rPr>
    </w:lvl>
  </w:abstractNum>
  <w:abstractNum w:abstractNumId="1" w15:restartNumberingAfterBreak="0">
    <w:nsid w:val="1CFC33CB"/>
    <w:multiLevelType w:val="hybridMultilevel"/>
    <w:tmpl w:val="5A68D282"/>
    <w:lvl w:ilvl="0" w:tplc="74AC65C6">
      <w:start w:val="1"/>
      <w:numFmt w:val="decimal"/>
      <w:lvlText w:val="%1."/>
      <w:lvlJc w:val="left"/>
      <w:pPr>
        <w:ind w:left="720" w:hanging="360"/>
      </w:pPr>
    </w:lvl>
    <w:lvl w:ilvl="1" w:tplc="BB16C16E">
      <w:start w:val="1"/>
      <w:numFmt w:val="lowerLetter"/>
      <w:lvlText w:val="%2."/>
      <w:lvlJc w:val="left"/>
      <w:pPr>
        <w:ind w:left="1440" w:hanging="360"/>
      </w:pPr>
    </w:lvl>
    <w:lvl w:ilvl="2" w:tplc="1BFAC68A">
      <w:start w:val="1"/>
      <w:numFmt w:val="lowerRoman"/>
      <w:lvlText w:val="%3."/>
      <w:lvlJc w:val="right"/>
      <w:pPr>
        <w:ind w:left="2160" w:hanging="180"/>
      </w:pPr>
    </w:lvl>
    <w:lvl w:ilvl="3" w:tplc="4FB09A50">
      <w:start w:val="1"/>
      <w:numFmt w:val="decimal"/>
      <w:lvlText w:val="%4."/>
      <w:lvlJc w:val="left"/>
      <w:pPr>
        <w:ind w:left="2880" w:hanging="360"/>
      </w:pPr>
    </w:lvl>
    <w:lvl w:ilvl="4" w:tplc="553EAE7E">
      <w:start w:val="1"/>
      <w:numFmt w:val="lowerLetter"/>
      <w:lvlText w:val="%5."/>
      <w:lvlJc w:val="left"/>
      <w:pPr>
        <w:ind w:left="3600" w:hanging="360"/>
      </w:pPr>
    </w:lvl>
    <w:lvl w:ilvl="5" w:tplc="86249820">
      <w:start w:val="1"/>
      <w:numFmt w:val="lowerRoman"/>
      <w:lvlText w:val="%6."/>
      <w:lvlJc w:val="right"/>
      <w:pPr>
        <w:ind w:left="4320" w:hanging="180"/>
      </w:pPr>
    </w:lvl>
    <w:lvl w:ilvl="6" w:tplc="B3FA0E74">
      <w:start w:val="1"/>
      <w:numFmt w:val="decimal"/>
      <w:lvlText w:val="%7."/>
      <w:lvlJc w:val="left"/>
      <w:pPr>
        <w:ind w:left="5040" w:hanging="360"/>
      </w:pPr>
    </w:lvl>
    <w:lvl w:ilvl="7" w:tplc="C74A086C">
      <w:start w:val="1"/>
      <w:numFmt w:val="lowerLetter"/>
      <w:lvlText w:val="%8."/>
      <w:lvlJc w:val="left"/>
      <w:pPr>
        <w:ind w:left="5760" w:hanging="360"/>
      </w:pPr>
    </w:lvl>
    <w:lvl w:ilvl="8" w:tplc="6D5C0176">
      <w:start w:val="1"/>
      <w:numFmt w:val="lowerRoman"/>
      <w:lvlText w:val="%9."/>
      <w:lvlJc w:val="right"/>
      <w:pPr>
        <w:ind w:left="6480" w:hanging="180"/>
      </w:pPr>
    </w:lvl>
  </w:abstractNum>
  <w:abstractNum w:abstractNumId="2" w15:restartNumberingAfterBreak="0">
    <w:nsid w:val="36701E6C"/>
    <w:multiLevelType w:val="hybridMultilevel"/>
    <w:tmpl w:val="BBBE0406"/>
    <w:lvl w:ilvl="0" w:tplc="A99C661C">
      <w:start w:val="1"/>
      <w:numFmt w:val="bullet"/>
      <w:lvlText w:val=""/>
      <w:lvlJc w:val="left"/>
      <w:pPr>
        <w:ind w:left="720" w:hanging="360"/>
      </w:pPr>
      <w:rPr>
        <w:rFonts w:ascii="Symbol" w:hAnsi="Symbol" w:hint="default"/>
      </w:rPr>
    </w:lvl>
    <w:lvl w:ilvl="1" w:tplc="A996777E">
      <w:start w:val="1"/>
      <w:numFmt w:val="bullet"/>
      <w:lvlText w:val="o"/>
      <w:lvlJc w:val="left"/>
      <w:pPr>
        <w:ind w:left="1440" w:hanging="360"/>
      </w:pPr>
      <w:rPr>
        <w:rFonts w:ascii="Courier New" w:hAnsi="Courier New" w:hint="default"/>
      </w:rPr>
    </w:lvl>
    <w:lvl w:ilvl="2" w:tplc="7EDA0B1E">
      <w:start w:val="1"/>
      <w:numFmt w:val="bullet"/>
      <w:lvlText w:val=""/>
      <w:lvlJc w:val="left"/>
      <w:pPr>
        <w:ind w:left="2160" w:hanging="360"/>
      </w:pPr>
      <w:rPr>
        <w:rFonts w:ascii="Wingdings" w:hAnsi="Wingdings" w:hint="default"/>
      </w:rPr>
    </w:lvl>
    <w:lvl w:ilvl="3" w:tplc="FFEA6F6E">
      <w:start w:val="1"/>
      <w:numFmt w:val="bullet"/>
      <w:lvlText w:val=""/>
      <w:lvlJc w:val="left"/>
      <w:pPr>
        <w:ind w:left="2880" w:hanging="360"/>
      </w:pPr>
      <w:rPr>
        <w:rFonts w:ascii="Symbol" w:hAnsi="Symbol" w:hint="default"/>
      </w:rPr>
    </w:lvl>
    <w:lvl w:ilvl="4" w:tplc="5AC4A364">
      <w:start w:val="1"/>
      <w:numFmt w:val="bullet"/>
      <w:lvlText w:val="o"/>
      <w:lvlJc w:val="left"/>
      <w:pPr>
        <w:ind w:left="3600" w:hanging="360"/>
      </w:pPr>
      <w:rPr>
        <w:rFonts w:ascii="Courier New" w:hAnsi="Courier New" w:hint="default"/>
      </w:rPr>
    </w:lvl>
    <w:lvl w:ilvl="5" w:tplc="AC605BF0">
      <w:start w:val="1"/>
      <w:numFmt w:val="bullet"/>
      <w:lvlText w:val=""/>
      <w:lvlJc w:val="left"/>
      <w:pPr>
        <w:ind w:left="4320" w:hanging="360"/>
      </w:pPr>
      <w:rPr>
        <w:rFonts w:ascii="Wingdings" w:hAnsi="Wingdings" w:hint="default"/>
      </w:rPr>
    </w:lvl>
    <w:lvl w:ilvl="6" w:tplc="995022AC">
      <w:start w:val="1"/>
      <w:numFmt w:val="bullet"/>
      <w:lvlText w:val=""/>
      <w:lvlJc w:val="left"/>
      <w:pPr>
        <w:ind w:left="5040" w:hanging="360"/>
      </w:pPr>
      <w:rPr>
        <w:rFonts w:ascii="Symbol" w:hAnsi="Symbol" w:hint="default"/>
      </w:rPr>
    </w:lvl>
    <w:lvl w:ilvl="7" w:tplc="62224DE4">
      <w:start w:val="1"/>
      <w:numFmt w:val="bullet"/>
      <w:lvlText w:val="o"/>
      <w:lvlJc w:val="left"/>
      <w:pPr>
        <w:ind w:left="5760" w:hanging="360"/>
      </w:pPr>
      <w:rPr>
        <w:rFonts w:ascii="Courier New" w:hAnsi="Courier New" w:hint="default"/>
      </w:rPr>
    </w:lvl>
    <w:lvl w:ilvl="8" w:tplc="AB3C9300">
      <w:start w:val="1"/>
      <w:numFmt w:val="bullet"/>
      <w:lvlText w:val=""/>
      <w:lvlJc w:val="left"/>
      <w:pPr>
        <w:ind w:left="6480" w:hanging="360"/>
      </w:pPr>
      <w:rPr>
        <w:rFonts w:ascii="Wingdings" w:hAnsi="Wingdings" w:hint="default"/>
      </w:rPr>
    </w:lvl>
  </w:abstractNum>
  <w:abstractNum w:abstractNumId="3" w15:restartNumberingAfterBreak="0">
    <w:nsid w:val="41761BC1"/>
    <w:multiLevelType w:val="hybridMultilevel"/>
    <w:tmpl w:val="F2426236"/>
    <w:lvl w:ilvl="0" w:tplc="20328062">
      <w:start w:val="1"/>
      <w:numFmt w:val="bullet"/>
      <w:lvlText w:val=""/>
      <w:lvlJc w:val="left"/>
      <w:pPr>
        <w:ind w:left="720" w:hanging="360"/>
      </w:pPr>
      <w:rPr>
        <w:rFonts w:ascii="Symbol" w:hAnsi="Symbol" w:hint="default"/>
      </w:rPr>
    </w:lvl>
    <w:lvl w:ilvl="1" w:tplc="9796BF00">
      <w:start w:val="1"/>
      <w:numFmt w:val="bullet"/>
      <w:lvlText w:val="o"/>
      <w:lvlJc w:val="left"/>
      <w:pPr>
        <w:ind w:left="1440" w:hanging="360"/>
      </w:pPr>
      <w:rPr>
        <w:rFonts w:ascii="Courier New" w:hAnsi="Courier New" w:hint="default"/>
      </w:rPr>
    </w:lvl>
    <w:lvl w:ilvl="2" w:tplc="E3FE30C0">
      <w:start w:val="1"/>
      <w:numFmt w:val="bullet"/>
      <w:lvlText w:val=""/>
      <w:lvlJc w:val="left"/>
      <w:pPr>
        <w:ind w:left="2160" w:hanging="360"/>
      </w:pPr>
      <w:rPr>
        <w:rFonts w:ascii="Wingdings" w:hAnsi="Wingdings" w:hint="default"/>
      </w:rPr>
    </w:lvl>
    <w:lvl w:ilvl="3" w:tplc="88B8715A">
      <w:start w:val="1"/>
      <w:numFmt w:val="bullet"/>
      <w:lvlText w:val=""/>
      <w:lvlJc w:val="left"/>
      <w:pPr>
        <w:ind w:left="2880" w:hanging="360"/>
      </w:pPr>
      <w:rPr>
        <w:rFonts w:ascii="Symbol" w:hAnsi="Symbol" w:hint="default"/>
      </w:rPr>
    </w:lvl>
    <w:lvl w:ilvl="4" w:tplc="150CDA48">
      <w:start w:val="1"/>
      <w:numFmt w:val="bullet"/>
      <w:lvlText w:val="o"/>
      <w:lvlJc w:val="left"/>
      <w:pPr>
        <w:ind w:left="3600" w:hanging="360"/>
      </w:pPr>
      <w:rPr>
        <w:rFonts w:ascii="Courier New" w:hAnsi="Courier New" w:hint="default"/>
      </w:rPr>
    </w:lvl>
    <w:lvl w:ilvl="5" w:tplc="AA983038">
      <w:start w:val="1"/>
      <w:numFmt w:val="bullet"/>
      <w:lvlText w:val=""/>
      <w:lvlJc w:val="left"/>
      <w:pPr>
        <w:ind w:left="4320" w:hanging="360"/>
      </w:pPr>
      <w:rPr>
        <w:rFonts w:ascii="Wingdings" w:hAnsi="Wingdings" w:hint="default"/>
      </w:rPr>
    </w:lvl>
    <w:lvl w:ilvl="6" w:tplc="35FC761A">
      <w:start w:val="1"/>
      <w:numFmt w:val="bullet"/>
      <w:lvlText w:val=""/>
      <w:lvlJc w:val="left"/>
      <w:pPr>
        <w:ind w:left="5040" w:hanging="360"/>
      </w:pPr>
      <w:rPr>
        <w:rFonts w:ascii="Symbol" w:hAnsi="Symbol" w:hint="default"/>
      </w:rPr>
    </w:lvl>
    <w:lvl w:ilvl="7" w:tplc="6722E56E">
      <w:start w:val="1"/>
      <w:numFmt w:val="bullet"/>
      <w:lvlText w:val="o"/>
      <w:lvlJc w:val="left"/>
      <w:pPr>
        <w:ind w:left="5760" w:hanging="360"/>
      </w:pPr>
      <w:rPr>
        <w:rFonts w:ascii="Courier New" w:hAnsi="Courier New" w:hint="default"/>
      </w:rPr>
    </w:lvl>
    <w:lvl w:ilvl="8" w:tplc="2CE2291A">
      <w:start w:val="1"/>
      <w:numFmt w:val="bullet"/>
      <w:lvlText w:val=""/>
      <w:lvlJc w:val="left"/>
      <w:pPr>
        <w:ind w:left="6480" w:hanging="360"/>
      </w:pPr>
      <w:rPr>
        <w:rFonts w:ascii="Wingdings" w:hAnsi="Wingdings" w:hint="default"/>
      </w:rPr>
    </w:lvl>
  </w:abstractNum>
  <w:abstractNum w:abstractNumId="4" w15:restartNumberingAfterBreak="0">
    <w:nsid w:val="4B1D4E0A"/>
    <w:multiLevelType w:val="hybridMultilevel"/>
    <w:tmpl w:val="51F812FC"/>
    <w:lvl w:ilvl="0" w:tplc="ABB84964">
      <w:start w:val="1"/>
      <w:numFmt w:val="bullet"/>
      <w:lvlText w:val=""/>
      <w:lvlJc w:val="left"/>
      <w:pPr>
        <w:ind w:left="720" w:hanging="360"/>
      </w:pPr>
      <w:rPr>
        <w:rFonts w:ascii="Symbol" w:hAnsi="Symbol" w:hint="default"/>
      </w:rPr>
    </w:lvl>
    <w:lvl w:ilvl="1" w:tplc="F4169BC0">
      <w:start w:val="1"/>
      <w:numFmt w:val="bullet"/>
      <w:lvlText w:val="o"/>
      <w:lvlJc w:val="left"/>
      <w:pPr>
        <w:ind w:left="1440" w:hanging="360"/>
      </w:pPr>
      <w:rPr>
        <w:rFonts w:ascii="Courier New" w:hAnsi="Courier New" w:hint="default"/>
      </w:rPr>
    </w:lvl>
    <w:lvl w:ilvl="2" w:tplc="9E5A485C">
      <w:start w:val="1"/>
      <w:numFmt w:val="bullet"/>
      <w:lvlText w:val=""/>
      <w:lvlJc w:val="left"/>
      <w:pPr>
        <w:ind w:left="2160" w:hanging="360"/>
      </w:pPr>
      <w:rPr>
        <w:rFonts w:ascii="Wingdings" w:hAnsi="Wingdings" w:hint="default"/>
      </w:rPr>
    </w:lvl>
    <w:lvl w:ilvl="3" w:tplc="55EE0194">
      <w:start w:val="1"/>
      <w:numFmt w:val="bullet"/>
      <w:lvlText w:val=""/>
      <w:lvlJc w:val="left"/>
      <w:pPr>
        <w:ind w:left="2880" w:hanging="360"/>
      </w:pPr>
      <w:rPr>
        <w:rFonts w:ascii="Symbol" w:hAnsi="Symbol" w:hint="default"/>
      </w:rPr>
    </w:lvl>
    <w:lvl w:ilvl="4" w:tplc="C1AC993E">
      <w:start w:val="1"/>
      <w:numFmt w:val="bullet"/>
      <w:lvlText w:val="o"/>
      <w:lvlJc w:val="left"/>
      <w:pPr>
        <w:ind w:left="3600" w:hanging="360"/>
      </w:pPr>
      <w:rPr>
        <w:rFonts w:ascii="Courier New" w:hAnsi="Courier New" w:hint="default"/>
      </w:rPr>
    </w:lvl>
    <w:lvl w:ilvl="5" w:tplc="5F8CF5A4">
      <w:start w:val="1"/>
      <w:numFmt w:val="bullet"/>
      <w:lvlText w:val=""/>
      <w:lvlJc w:val="left"/>
      <w:pPr>
        <w:ind w:left="4320" w:hanging="360"/>
      </w:pPr>
      <w:rPr>
        <w:rFonts w:ascii="Wingdings" w:hAnsi="Wingdings" w:hint="default"/>
      </w:rPr>
    </w:lvl>
    <w:lvl w:ilvl="6" w:tplc="358466B4">
      <w:start w:val="1"/>
      <w:numFmt w:val="bullet"/>
      <w:lvlText w:val=""/>
      <w:lvlJc w:val="left"/>
      <w:pPr>
        <w:ind w:left="5040" w:hanging="360"/>
      </w:pPr>
      <w:rPr>
        <w:rFonts w:ascii="Symbol" w:hAnsi="Symbol" w:hint="default"/>
      </w:rPr>
    </w:lvl>
    <w:lvl w:ilvl="7" w:tplc="92A40ED6">
      <w:start w:val="1"/>
      <w:numFmt w:val="bullet"/>
      <w:lvlText w:val="o"/>
      <w:lvlJc w:val="left"/>
      <w:pPr>
        <w:ind w:left="5760" w:hanging="360"/>
      </w:pPr>
      <w:rPr>
        <w:rFonts w:ascii="Courier New" w:hAnsi="Courier New" w:hint="default"/>
      </w:rPr>
    </w:lvl>
    <w:lvl w:ilvl="8" w:tplc="99FE3D0C">
      <w:start w:val="1"/>
      <w:numFmt w:val="bullet"/>
      <w:lvlText w:val=""/>
      <w:lvlJc w:val="left"/>
      <w:pPr>
        <w:ind w:left="6480" w:hanging="360"/>
      </w:pPr>
      <w:rPr>
        <w:rFonts w:ascii="Wingdings" w:hAnsi="Wingdings" w:hint="default"/>
      </w:rPr>
    </w:lvl>
  </w:abstractNum>
  <w:abstractNum w:abstractNumId="5" w15:restartNumberingAfterBreak="0">
    <w:nsid w:val="55293EAD"/>
    <w:multiLevelType w:val="hybridMultilevel"/>
    <w:tmpl w:val="7A7A218E"/>
    <w:lvl w:ilvl="0" w:tplc="B06C9410">
      <w:start w:val="1"/>
      <w:numFmt w:val="bullet"/>
      <w:lvlText w:val=""/>
      <w:lvlJc w:val="left"/>
      <w:pPr>
        <w:ind w:left="720" w:hanging="360"/>
      </w:pPr>
      <w:rPr>
        <w:rFonts w:ascii="Symbol" w:hAnsi="Symbol" w:hint="default"/>
      </w:rPr>
    </w:lvl>
    <w:lvl w:ilvl="1" w:tplc="9DBEF7D6">
      <w:start w:val="1"/>
      <w:numFmt w:val="bullet"/>
      <w:lvlText w:val="o"/>
      <w:lvlJc w:val="left"/>
      <w:pPr>
        <w:ind w:left="1440" w:hanging="360"/>
      </w:pPr>
      <w:rPr>
        <w:rFonts w:ascii="Courier New" w:hAnsi="Courier New" w:hint="default"/>
      </w:rPr>
    </w:lvl>
    <w:lvl w:ilvl="2" w:tplc="6E729404">
      <w:start w:val="1"/>
      <w:numFmt w:val="bullet"/>
      <w:lvlText w:val=""/>
      <w:lvlJc w:val="left"/>
      <w:pPr>
        <w:ind w:left="2160" w:hanging="360"/>
      </w:pPr>
      <w:rPr>
        <w:rFonts w:ascii="Wingdings" w:hAnsi="Wingdings" w:hint="default"/>
      </w:rPr>
    </w:lvl>
    <w:lvl w:ilvl="3" w:tplc="E9C246CE">
      <w:start w:val="1"/>
      <w:numFmt w:val="bullet"/>
      <w:lvlText w:val=""/>
      <w:lvlJc w:val="left"/>
      <w:pPr>
        <w:ind w:left="2880" w:hanging="360"/>
      </w:pPr>
      <w:rPr>
        <w:rFonts w:ascii="Symbol" w:hAnsi="Symbol" w:hint="default"/>
      </w:rPr>
    </w:lvl>
    <w:lvl w:ilvl="4" w:tplc="B0D67076">
      <w:start w:val="1"/>
      <w:numFmt w:val="bullet"/>
      <w:lvlText w:val="o"/>
      <w:lvlJc w:val="left"/>
      <w:pPr>
        <w:ind w:left="3600" w:hanging="360"/>
      </w:pPr>
      <w:rPr>
        <w:rFonts w:ascii="Courier New" w:hAnsi="Courier New" w:hint="default"/>
      </w:rPr>
    </w:lvl>
    <w:lvl w:ilvl="5" w:tplc="FDCE8B32">
      <w:start w:val="1"/>
      <w:numFmt w:val="bullet"/>
      <w:lvlText w:val=""/>
      <w:lvlJc w:val="left"/>
      <w:pPr>
        <w:ind w:left="4320" w:hanging="360"/>
      </w:pPr>
      <w:rPr>
        <w:rFonts w:ascii="Wingdings" w:hAnsi="Wingdings" w:hint="default"/>
      </w:rPr>
    </w:lvl>
    <w:lvl w:ilvl="6" w:tplc="974CD5E4">
      <w:start w:val="1"/>
      <w:numFmt w:val="bullet"/>
      <w:lvlText w:val=""/>
      <w:lvlJc w:val="left"/>
      <w:pPr>
        <w:ind w:left="5040" w:hanging="360"/>
      </w:pPr>
      <w:rPr>
        <w:rFonts w:ascii="Symbol" w:hAnsi="Symbol" w:hint="default"/>
      </w:rPr>
    </w:lvl>
    <w:lvl w:ilvl="7" w:tplc="24542340">
      <w:start w:val="1"/>
      <w:numFmt w:val="bullet"/>
      <w:lvlText w:val="o"/>
      <w:lvlJc w:val="left"/>
      <w:pPr>
        <w:ind w:left="5760" w:hanging="360"/>
      </w:pPr>
      <w:rPr>
        <w:rFonts w:ascii="Courier New" w:hAnsi="Courier New" w:hint="default"/>
      </w:rPr>
    </w:lvl>
    <w:lvl w:ilvl="8" w:tplc="A71C8B78">
      <w:start w:val="1"/>
      <w:numFmt w:val="bullet"/>
      <w:lvlText w:val=""/>
      <w:lvlJc w:val="left"/>
      <w:pPr>
        <w:ind w:left="6480" w:hanging="360"/>
      </w:pPr>
      <w:rPr>
        <w:rFonts w:ascii="Wingdings" w:hAnsi="Wingdings" w:hint="default"/>
      </w:rPr>
    </w:lvl>
  </w:abstractNum>
  <w:abstractNum w:abstractNumId="6" w15:restartNumberingAfterBreak="0">
    <w:nsid w:val="7E043FF5"/>
    <w:multiLevelType w:val="hybridMultilevel"/>
    <w:tmpl w:val="C3C8677C"/>
    <w:lvl w:ilvl="0" w:tplc="57EA2F0A">
      <w:start w:val="1"/>
      <w:numFmt w:val="bullet"/>
      <w:lvlText w:val="●"/>
      <w:lvlJc w:val="left"/>
      <w:pPr>
        <w:ind w:left="720" w:hanging="360"/>
      </w:pPr>
      <w:rPr>
        <w:rFonts w:ascii="Noto Sans Symbols" w:hAnsi="Noto Sans Symbols" w:hint="default"/>
      </w:rPr>
    </w:lvl>
    <w:lvl w:ilvl="1" w:tplc="0C4889B4">
      <w:start w:val="1"/>
      <w:numFmt w:val="bullet"/>
      <w:lvlText w:val="o"/>
      <w:lvlJc w:val="left"/>
      <w:pPr>
        <w:ind w:left="1440" w:hanging="360"/>
      </w:pPr>
      <w:rPr>
        <w:rFonts w:ascii="Courier New" w:hAnsi="Courier New" w:hint="default"/>
      </w:rPr>
    </w:lvl>
    <w:lvl w:ilvl="2" w:tplc="4B903C62">
      <w:start w:val="1"/>
      <w:numFmt w:val="bullet"/>
      <w:lvlText w:val=""/>
      <w:lvlJc w:val="left"/>
      <w:pPr>
        <w:ind w:left="2160" w:hanging="360"/>
      </w:pPr>
      <w:rPr>
        <w:rFonts w:ascii="Wingdings" w:hAnsi="Wingdings" w:hint="default"/>
      </w:rPr>
    </w:lvl>
    <w:lvl w:ilvl="3" w:tplc="D7F0A6F8">
      <w:start w:val="1"/>
      <w:numFmt w:val="bullet"/>
      <w:lvlText w:val=""/>
      <w:lvlJc w:val="left"/>
      <w:pPr>
        <w:ind w:left="2880" w:hanging="360"/>
      </w:pPr>
      <w:rPr>
        <w:rFonts w:ascii="Symbol" w:hAnsi="Symbol" w:hint="default"/>
      </w:rPr>
    </w:lvl>
    <w:lvl w:ilvl="4" w:tplc="1E586918">
      <w:start w:val="1"/>
      <w:numFmt w:val="bullet"/>
      <w:lvlText w:val="o"/>
      <w:lvlJc w:val="left"/>
      <w:pPr>
        <w:ind w:left="3600" w:hanging="360"/>
      </w:pPr>
      <w:rPr>
        <w:rFonts w:ascii="Courier New" w:hAnsi="Courier New" w:hint="default"/>
      </w:rPr>
    </w:lvl>
    <w:lvl w:ilvl="5" w:tplc="30FA3322">
      <w:start w:val="1"/>
      <w:numFmt w:val="bullet"/>
      <w:lvlText w:val=""/>
      <w:lvlJc w:val="left"/>
      <w:pPr>
        <w:ind w:left="4320" w:hanging="360"/>
      </w:pPr>
      <w:rPr>
        <w:rFonts w:ascii="Wingdings" w:hAnsi="Wingdings" w:hint="default"/>
      </w:rPr>
    </w:lvl>
    <w:lvl w:ilvl="6" w:tplc="EA4E363A">
      <w:start w:val="1"/>
      <w:numFmt w:val="bullet"/>
      <w:lvlText w:val=""/>
      <w:lvlJc w:val="left"/>
      <w:pPr>
        <w:ind w:left="5040" w:hanging="360"/>
      </w:pPr>
      <w:rPr>
        <w:rFonts w:ascii="Symbol" w:hAnsi="Symbol" w:hint="default"/>
      </w:rPr>
    </w:lvl>
    <w:lvl w:ilvl="7" w:tplc="DFCC3B8C">
      <w:start w:val="1"/>
      <w:numFmt w:val="bullet"/>
      <w:lvlText w:val="o"/>
      <w:lvlJc w:val="left"/>
      <w:pPr>
        <w:ind w:left="5760" w:hanging="360"/>
      </w:pPr>
      <w:rPr>
        <w:rFonts w:ascii="Courier New" w:hAnsi="Courier New" w:hint="default"/>
      </w:rPr>
    </w:lvl>
    <w:lvl w:ilvl="8" w:tplc="EFBE1096">
      <w:start w:val="1"/>
      <w:numFmt w:val="bullet"/>
      <w:lvlText w:val=""/>
      <w:lvlJc w:val="left"/>
      <w:pPr>
        <w:ind w:left="6480" w:hanging="360"/>
      </w:pPr>
      <w:rPr>
        <w:rFonts w:ascii="Wingdings" w:hAnsi="Wingdings" w:hint="default"/>
      </w:rPr>
    </w:lvl>
  </w:abstractNum>
  <w:num w:numId="1" w16cid:durableId="1770542884">
    <w:abstractNumId w:val="4"/>
  </w:num>
  <w:num w:numId="2" w16cid:durableId="1535458400">
    <w:abstractNumId w:val="2"/>
  </w:num>
  <w:num w:numId="3" w16cid:durableId="368922802">
    <w:abstractNumId w:val="6"/>
  </w:num>
  <w:num w:numId="4" w16cid:durableId="1236162881">
    <w:abstractNumId w:val="5"/>
  </w:num>
  <w:num w:numId="5" w16cid:durableId="1685940955">
    <w:abstractNumId w:val="0"/>
  </w:num>
  <w:num w:numId="6" w16cid:durableId="143553127">
    <w:abstractNumId w:val="3"/>
  </w:num>
  <w:num w:numId="7" w16cid:durableId="1785535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F08452"/>
    <w:rsid w:val="0002340C"/>
    <w:rsid w:val="000B44D2"/>
    <w:rsid w:val="00107504"/>
    <w:rsid w:val="00171771"/>
    <w:rsid w:val="00184204"/>
    <w:rsid w:val="001F49D2"/>
    <w:rsid w:val="001F6ED6"/>
    <w:rsid w:val="00200D60"/>
    <w:rsid w:val="00256380"/>
    <w:rsid w:val="00261BCB"/>
    <w:rsid w:val="00270079"/>
    <w:rsid w:val="002C0305"/>
    <w:rsid w:val="002C0B93"/>
    <w:rsid w:val="003035D5"/>
    <w:rsid w:val="00310444"/>
    <w:rsid w:val="0034347B"/>
    <w:rsid w:val="00343817"/>
    <w:rsid w:val="003734FF"/>
    <w:rsid w:val="003870E7"/>
    <w:rsid w:val="003E7506"/>
    <w:rsid w:val="00410BF5"/>
    <w:rsid w:val="00436DEE"/>
    <w:rsid w:val="004A47B1"/>
    <w:rsid w:val="004C6C7B"/>
    <w:rsid w:val="004E2825"/>
    <w:rsid w:val="00524823"/>
    <w:rsid w:val="005878DD"/>
    <w:rsid w:val="005A1D90"/>
    <w:rsid w:val="005B09CD"/>
    <w:rsid w:val="005D211B"/>
    <w:rsid w:val="006A0FCA"/>
    <w:rsid w:val="006E274B"/>
    <w:rsid w:val="006F06F1"/>
    <w:rsid w:val="00712EFF"/>
    <w:rsid w:val="0079656B"/>
    <w:rsid w:val="007A27C9"/>
    <w:rsid w:val="007F4437"/>
    <w:rsid w:val="007F5D32"/>
    <w:rsid w:val="00831A92"/>
    <w:rsid w:val="00876DD3"/>
    <w:rsid w:val="00880E83"/>
    <w:rsid w:val="00882E05"/>
    <w:rsid w:val="008942FD"/>
    <w:rsid w:val="008A504B"/>
    <w:rsid w:val="008E4E6B"/>
    <w:rsid w:val="0092592F"/>
    <w:rsid w:val="00926C60"/>
    <w:rsid w:val="009371C2"/>
    <w:rsid w:val="00965385"/>
    <w:rsid w:val="009A663D"/>
    <w:rsid w:val="009C0EBE"/>
    <w:rsid w:val="00A377B7"/>
    <w:rsid w:val="00A841DF"/>
    <w:rsid w:val="00AD7B5B"/>
    <w:rsid w:val="00AF7E4B"/>
    <w:rsid w:val="00B07509"/>
    <w:rsid w:val="00BA2A70"/>
    <w:rsid w:val="00BD3F76"/>
    <w:rsid w:val="00C615DC"/>
    <w:rsid w:val="00C63C79"/>
    <w:rsid w:val="00CE098D"/>
    <w:rsid w:val="00CE3B0A"/>
    <w:rsid w:val="00CE5D60"/>
    <w:rsid w:val="00D2646A"/>
    <w:rsid w:val="00D41B3A"/>
    <w:rsid w:val="00D43E21"/>
    <w:rsid w:val="00D8137B"/>
    <w:rsid w:val="00EC5F4F"/>
    <w:rsid w:val="00EE1FC7"/>
    <w:rsid w:val="00F031E8"/>
    <w:rsid w:val="00F03CF1"/>
    <w:rsid w:val="00F44597"/>
    <w:rsid w:val="00F67D9E"/>
    <w:rsid w:val="00FD2C5D"/>
    <w:rsid w:val="010A2EC9"/>
    <w:rsid w:val="0164F6A5"/>
    <w:rsid w:val="01B3FCC5"/>
    <w:rsid w:val="021C0392"/>
    <w:rsid w:val="0282740F"/>
    <w:rsid w:val="044F70D2"/>
    <w:rsid w:val="06BF2D3F"/>
    <w:rsid w:val="06D6C6C7"/>
    <w:rsid w:val="0720D680"/>
    <w:rsid w:val="07B8FE6B"/>
    <w:rsid w:val="07BFD4EB"/>
    <w:rsid w:val="07F1D9CE"/>
    <w:rsid w:val="09514B01"/>
    <w:rsid w:val="09D70C1D"/>
    <w:rsid w:val="0A027A66"/>
    <w:rsid w:val="0A04C9C0"/>
    <w:rsid w:val="0A18EE86"/>
    <w:rsid w:val="0A772BB1"/>
    <w:rsid w:val="0A7F7C2A"/>
    <w:rsid w:val="0ADE4D50"/>
    <w:rsid w:val="0C3EB9E8"/>
    <w:rsid w:val="0C8C6F8E"/>
    <w:rsid w:val="0CAA7532"/>
    <w:rsid w:val="0D2E6EC3"/>
    <w:rsid w:val="0E2F166F"/>
    <w:rsid w:val="0E8B2F99"/>
    <w:rsid w:val="0EC9CDDE"/>
    <w:rsid w:val="0ECA3F24"/>
    <w:rsid w:val="0F5177FA"/>
    <w:rsid w:val="0F88331D"/>
    <w:rsid w:val="10812014"/>
    <w:rsid w:val="109CCF78"/>
    <w:rsid w:val="11059299"/>
    <w:rsid w:val="1131B43F"/>
    <w:rsid w:val="11557C5A"/>
    <w:rsid w:val="1166B731"/>
    <w:rsid w:val="1307522D"/>
    <w:rsid w:val="131353C9"/>
    <w:rsid w:val="131953EB"/>
    <w:rsid w:val="141362C1"/>
    <w:rsid w:val="149FDD07"/>
    <w:rsid w:val="15C742EA"/>
    <w:rsid w:val="16052562"/>
    <w:rsid w:val="165D77C9"/>
    <w:rsid w:val="174F78FE"/>
    <w:rsid w:val="181D3C55"/>
    <w:rsid w:val="18332301"/>
    <w:rsid w:val="18AD1EC8"/>
    <w:rsid w:val="1A56100D"/>
    <w:rsid w:val="1A74271E"/>
    <w:rsid w:val="1B0A8F4D"/>
    <w:rsid w:val="1BAF70B6"/>
    <w:rsid w:val="1BCE5E2F"/>
    <w:rsid w:val="1BF96E37"/>
    <w:rsid w:val="1C8B2FA4"/>
    <w:rsid w:val="1E611AAB"/>
    <w:rsid w:val="1EBEE606"/>
    <w:rsid w:val="1EC85EE7"/>
    <w:rsid w:val="1EE71178"/>
    <w:rsid w:val="1F9D89F6"/>
    <w:rsid w:val="200B16CF"/>
    <w:rsid w:val="204F25C1"/>
    <w:rsid w:val="20571347"/>
    <w:rsid w:val="20A6415A"/>
    <w:rsid w:val="216BA024"/>
    <w:rsid w:val="2173DA8E"/>
    <w:rsid w:val="21E64008"/>
    <w:rsid w:val="2228C033"/>
    <w:rsid w:val="2258075B"/>
    <w:rsid w:val="23733B1E"/>
    <w:rsid w:val="23895639"/>
    <w:rsid w:val="23CC4803"/>
    <w:rsid w:val="2493FC28"/>
    <w:rsid w:val="26AADBE0"/>
    <w:rsid w:val="2723F8F5"/>
    <w:rsid w:val="2779F53D"/>
    <w:rsid w:val="27CB5295"/>
    <w:rsid w:val="27E11FF8"/>
    <w:rsid w:val="28AD8EB8"/>
    <w:rsid w:val="28C5F2AD"/>
    <w:rsid w:val="298DE12D"/>
    <w:rsid w:val="2A3F2DD6"/>
    <w:rsid w:val="2AFF0D61"/>
    <w:rsid w:val="2B494B0C"/>
    <w:rsid w:val="2C28128D"/>
    <w:rsid w:val="2C446312"/>
    <w:rsid w:val="2C4EA49A"/>
    <w:rsid w:val="2CC49DA2"/>
    <w:rsid w:val="2D77689E"/>
    <w:rsid w:val="2D7CBB53"/>
    <w:rsid w:val="2DDDA3BD"/>
    <w:rsid w:val="2E0DA12F"/>
    <w:rsid w:val="2F24BDC2"/>
    <w:rsid w:val="2F670A26"/>
    <w:rsid w:val="2FAF6BDD"/>
    <w:rsid w:val="304A670B"/>
    <w:rsid w:val="30540EB4"/>
    <w:rsid w:val="310F6DD3"/>
    <w:rsid w:val="318CC896"/>
    <w:rsid w:val="31EFDF15"/>
    <w:rsid w:val="320B9728"/>
    <w:rsid w:val="32433627"/>
    <w:rsid w:val="338C23AF"/>
    <w:rsid w:val="33DF0688"/>
    <w:rsid w:val="33F0415F"/>
    <w:rsid w:val="34D73CD2"/>
    <w:rsid w:val="3522A4A6"/>
    <w:rsid w:val="3539A481"/>
    <w:rsid w:val="360EEAD4"/>
    <w:rsid w:val="36799ADB"/>
    <w:rsid w:val="36A04A2A"/>
    <w:rsid w:val="36ED0FD5"/>
    <w:rsid w:val="3715F650"/>
    <w:rsid w:val="3801623A"/>
    <w:rsid w:val="387848F6"/>
    <w:rsid w:val="38B277AB"/>
    <w:rsid w:val="3A008DF2"/>
    <w:rsid w:val="3A5EB7B5"/>
    <w:rsid w:val="3BEA186D"/>
    <w:rsid w:val="3C0340CA"/>
    <w:rsid w:val="3C2C005B"/>
    <w:rsid w:val="3C41B539"/>
    <w:rsid w:val="3CC35C0F"/>
    <w:rsid w:val="3E2D6ABE"/>
    <w:rsid w:val="4064BF3B"/>
    <w:rsid w:val="40BD8990"/>
    <w:rsid w:val="41186E84"/>
    <w:rsid w:val="4186055D"/>
    <w:rsid w:val="420602DF"/>
    <w:rsid w:val="42895FE0"/>
    <w:rsid w:val="42A23346"/>
    <w:rsid w:val="43AD6644"/>
    <w:rsid w:val="43BA3C9D"/>
    <w:rsid w:val="43D73861"/>
    <w:rsid w:val="43DD8830"/>
    <w:rsid w:val="440D8E47"/>
    <w:rsid w:val="4529D914"/>
    <w:rsid w:val="45E69AE2"/>
    <w:rsid w:val="45F832B6"/>
    <w:rsid w:val="4633F64A"/>
    <w:rsid w:val="47AD346D"/>
    <w:rsid w:val="47C3B256"/>
    <w:rsid w:val="47D29FAA"/>
    <w:rsid w:val="48754463"/>
    <w:rsid w:val="487D31E9"/>
    <w:rsid w:val="48A186CC"/>
    <w:rsid w:val="48E74597"/>
    <w:rsid w:val="48EFF644"/>
    <w:rsid w:val="493C9ADF"/>
    <w:rsid w:val="49E3DD73"/>
    <w:rsid w:val="49E421DA"/>
    <w:rsid w:val="4AF6DABA"/>
    <w:rsid w:val="4C6CB4DE"/>
    <w:rsid w:val="4CA337CE"/>
    <w:rsid w:val="4CAD43B7"/>
    <w:rsid w:val="4D1E61E7"/>
    <w:rsid w:val="4D50A30C"/>
    <w:rsid w:val="4E28ED14"/>
    <w:rsid w:val="4E6D1421"/>
    <w:rsid w:val="4E703491"/>
    <w:rsid w:val="4E806944"/>
    <w:rsid w:val="4E99B54F"/>
    <w:rsid w:val="4EB5FE6F"/>
    <w:rsid w:val="503DF1C9"/>
    <w:rsid w:val="508843CE"/>
    <w:rsid w:val="515A1CF8"/>
    <w:rsid w:val="51A77BE0"/>
    <w:rsid w:val="51CBC66B"/>
    <w:rsid w:val="51D3E347"/>
    <w:rsid w:val="522A5F24"/>
    <w:rsid w:val="5267DC2E"/>
    <w:rsid w:val="52849861"/>
    <w:rsid w:val="52F08452"/>
    <w:rsid w:val="53548F4B"/>
    <w:rsid w:val="53CB7794"/>
    <w:rsid w:val="5432A24F"/>
    <w:rsid w:val="5439B245"/>
    <w:rsid w:val="54552390"/>
    <w:rsid w:val="55676C9F"/>
    <w:rsid w:val="55CF82B9"/>
    <w:rsid w:val="5680BDF0"/>
    <w:rsid w:val="57031856"/>
    <w:rsid w:val="571AFF25"/>
    <w:rsid w:val="57715307"/>
    <w:rsid w:val="57CA3262"/>
    <w:rsid w:val="582FDB51"/>
    <w:rsid w:val="585E7543"/>
    <w:rsid w:val="587461C1"/>
    <w:rsid w:val="58E32A6B"/>
    <w:rsid w:val="59B60E66"/>
    <w:rsid w:val="5A230DF6"/>
    <w:rsid w:val="5AD504FB"/>
    <w:rsid w:val="5B2B94AB"/>
    <w:rsid w:val="5D0A22F4"/>
    <w:rsid w:val="5E6D5126"/>
    <w:rsid w:val="5FC6C293"/>
    <w:rsid w:val="5FDD7E47"/>
    <w:rsid w:val="603AFBA3"/>
    <w:rsid w:val="60C9073A"/>
    <w:rsid w:val="62F55F56"/>
    <w:rsid w:val="63AFFE02"/>
    <w:rsid w:val="63BD137B"/>
    <w:rsid w:val="6400A7FC"/>
    <w:rsid w:val="6494EADD"/>
    <w:rsid w:val="64E031E7"/>
    <w:rsid w:val="6503FA02"/>
    <w:rsid w:val="6812DDAA"/>
    <w:rsid w:val="689A1BFD"/>
    <w:rsid w:val="68DC06A5"/>
    <w:rsid w:val="6907D537"/>
    <w:rsid w:val="69394861"/>
    <w:rsid w:val="69B3A30A"/>
    <w:rsid w:val="6A77D706"/>
    <w:rsid w:val="6B858D63"/>
    <w:rsid w:val="6C21A084"/>
    <w:rsid w:val="6D0F0BE7"/>
    <w:rsid w:val="6DA71254"/>
    <w:rsid w:val="6DDB465A"/>
    <w:rsid w:val="6E27A6BC"/>
    <w:rsid w:val="6E5A9DBE"/>
    <w:rsid w:val="7046ACA9"/>
    <w:rsid w:val="70CB6077"/>
    <w:rsid w:val="71E6567F"/>
    <w:rsid w:val="71F4CEE7"/>
    <w:rsid w:val="727E3A7D"/>
    <w:rsid w:val="72D45FEC"/>
    <w:rsid w:val="7336895D"/>
    <w:rsid w:val="73697B2C"/>
    <w:rsid w:val="74F38385"/>
    <w:rsid w:val="75054B8D"/>
    <w:rsid w:val="757097C1"/>
    <w:rsid w:val="75F08F63"/>
    <w:rsid w:val="7635A431"/>
    <w:rsid w:val="7692D3B5"/>
    <w:rsid w:val="76A11BEE"/>
    <w:rsid w:val="76EFEBAD"/>
    <w:rsid w:val="77690043"/>
    <w:rsid w:val="78354AC2"/>
    <w:rsid w:val="7851BE8E"/>
    <w:rsid w:val="78979F44"/>
    <w:rsid w:val="79039CE6"/>
    <w:rsid w:val="79283025"/>
    <w:rsid w:val="7964D7A3"/>
    <w:rsid w:val="7A04BE13"/>
    <w:rsid w:val="7A7659B0"/>
    <w:rsid w:val="7AA3C833"/>
    <w:rsid w:val="7B6605B0"/>
    <w:rsid w:val="7B6D84BB"/>
    <w:rsid w:val="7B895F50"/>
    <w:rsid w:val="7C0879D3"/>
    <w:rsid w:val="7C10A2D4"/>
    <w:rsid w:val="7C2C5AE7"/>
    <w:rsid w:val="7C3FC7FE"/>
    <w:rsid w:val="7CC9909C"/>
    <w:rsid w:val="7D3C5ED5"/>
    <w:rsid w:val="7D495CB6"/>
    <w:rsid w:val="7DB115CD"/>
    <w:rsid w:val="7E4CFF6C"/>
    <w:rsid w:val="7EAEC107"/>
    <w:rsid w:val="7F89359F"/>
    <w:rsid w:val="7FF28B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08452"/>
  <w15:chartTrackingRefBased/>
  <w15:docId w15:val="{0528287B-AF11-47BC-8BF3-8BF0B439B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basedOn w:val="Normal"/>
    <w:link w:val="bulletChar"/>
    <w:rsid w:val="7336895D"/>
    <w:pPr>
      <w:spacing w:before="120" w:after="0"/>
      <w:ind w:left="1004" w:hanging="284"/>
      <w:jc w:val="both"/>
    </w:pPr>
    <w:rPr>
      <w:rFonts w:ascii="Times New Roman" w:eastAsia="Times New Roman" w:hAnsi="Times New Roman" w:cs="Times New Roman"/>
      <w:sz w:val="24"/>
      <w:szCs w:val="24"/>
      <w:lang w:eastAsia="en-GB"/>
    </w:rPr>
  </w:style>
  <w:style w:type="character" w:customStyle="1" w:styleId="bulletChar">
    <w:name w:val="bullet Char"/>
    <w:basedOn w:val="DefaultParagraphFont"/>
    <w:link w:val="bullet"/>
    <w:rsid w:val="7336895D"/>
    <w:rPr>
      <w:rFonts w:ascii="Times New Roman" w:eastAsia="Times New Roman" w:hAnsi="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rsid w:val="00343817"/>
    <w:rPr>
      <w:sz w:val="16"/>
      <w:szCs w:val="16"/>
    </w:rPr>
  </w:style>
  <w:style w:type="paragraph" w:styleId="CommentText">
    <w:name w:val="annotation text"/>
    <w:basedOn w:val="Normal"/>
    <w:link w:val="CommentTextChar"/>
    <w:rsid w:val="00343817"/>
    <w:pPr>
      <w:suppressAutoHyphens/>
      <w:autoSpaceDN w:val="0"/>
      <w:spacing w:line="240" w:lineRule="auto"/>
      <w:textAlignment w:val="baseline"/>
    </w:pPr>
    <w:rPr>
      <w:rFonts w:ascii="Calibri" w:eastAsia="Calibri" w:hAnsi="Calibri" w:cs="Times New Roman"/>
      <w:sz w:val="20"/>
      <w:szCs w:val="20"/>
    </w:rPr>
  </w:style>
  <w:style w:type="character" w:customStyle="1" w:styleId="CommentTextChar">
    <w:name w:val="Comment Text Char"/>
    <w:basedOn w:val="DefaultParagraphFont"/>
    <w:link w:val="CommentText"/>
    <w:rsid w:val="00343817"/>
    <w:rPr>
      <w:rFonts w:ascii="Calibri" w:eastAsia="Calibri" w:hAnsi="Calibri" w:cs="Times New Roman"/>
      <w:sz w:val="20"/>
      <w:szCs w:val="20"/>
    </w:rPr>
  </w:style>
  <w:style w:type="character" w:styleId="Emphasis">
    <w:name w:val="Emphasis"/>
    <w:basedOn w:val="DefaultParagraphFont"/>
    <w:rsid w:val="00F03CF1"/>
    <w:rPr>
      <w:i/>
      <w:iCs/>
    </w:rPr>
  </w:style>
  <w:style w:type="character" w:customStyle="1" w:styleId="citetitle">
    <w:name w:val="cite_title"/>
    <w:basedOn w:val="DefaultParagraphFont"/>
    <w:rsid w:val="00F03CF1"/>
  </w:style>
  <w:style w:type="character" w:customStyle="1" w:styleId="commandpapernumber">
    <w:name w:val="command_paper_number"/>
    <w:basedOn w:val="DefaultParagraphFont"/>
    <w:rsid w:val="00F03CF1"/>
  </w:style>
  <w:style w:type="character" w:styleId="UnresolvedMention">
    <w:name w:val="Unresolved Mention"/>
    <w:basedOn w:val="DefaultParagraphFont"/>
    <w:uiPriority w:val="99"/>
    <w:semiHidden/>
    <w:unhideWhenUsed/>
    <w:rsid w:val="003E7506"/>
    <w:rPr>
      <w:color w:val="605E5C"/>
      <w:shd w:val="clear" w:color="auto" w:fill="E1DFDD"/>
    </w:rPr>
  </w:style>
  <w:style w:type="paragraph" w:customStyle="1" w:styleId="dx-doi">
    <w:name w:val="dx-doi"/>
    <w:basedOn w:val="Normal"/>
    <w:rsid w:val="00D41B3A"/>
    <w:pPr>
      <w:autoSpaceDN w:val="0"/>
      <w:spacing w:before="100" w:after="10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uk/government/publications/counting-rules-for-recorded-crime" TargetMode="External"/><Relationship Id="rId117" Type="http://schemas.openxmlformats.org/officeDocument/2006/relationships/hyperlink" Target="https://eprints.usq.edu.au/37497/" TargetMode="External"/><Relationship Id="rId21" Type="http://schemas.openxmlformats.org/officeDocument/2006/relationships/hyperlink" Target="https://apps.dtic.mil/sti/citations/ADA249805" TargetMode="External"/><Relationship Id="rId42" Type="http://schemas.openxmlformats.org/officeDocument/2006/relationships/hyperlink" Target="https://doi.org/10.1016/j.jflm.2012.06.005" TargetMode="External"/><Relationship Id="rId47" Type="http://schemas.openxmlformats.org/officeDocument/2006/relationships/hyperlink" Target="https://doi.org/10.1080/1068316X.2015.1077249" TargetMode="External"/><Relationship Id="rId63" Type="http://schemas.openxmlformats.org/officeDocument/2006/relationships/hyperlink" Target="https://www.emerald.com/insight/search?q=Dana%20Wilson-Kovacs" TargetMode="External"/><Relationship Id="rId68" Type="http://schemas.openxmlformats.org/officeDocument/2006/relationships/image" Target="media/image8.png"/><Relationship Id="rId84" Type="http://schemas.openxmlformats.org/officeDocument/2006/relationships/hyperlink" Target="https://www.bing.com/images/search?view=detailV2&amp;ccid=p1OCgieX&amp;id=2C378BB80C0C91EF2627C555AE2C193669FDD2DB&amp;thid=OIP.p1OCgieXanRYqw8z08mPvQHaG9&amp;mediaurl=https%3a%2f%2fth.bing.com%2fth%2fid%2fR.a753828227976a7458ab0f33d3c98fbd%3frik%3d29L9aTYZLK5VxQ%26riu%3dhttp%253a%252f%252f3.bp.blogspot.com%252f-9q84OIYpZ60%252fVhQnYDqvAbI%252fAAAAAAAAGXM%252f3lvQbefdaEQ%252fs1600%252fgibbs-reflective-cycle.jpg%26ehk%3dYskIt6O%252bY1Xcy4VkcyM%252fJ1xAWIOhtI%252bvE9QPkOMZaWk%253d%26risl%3d%26pid%3dImgRaw%26r%3d0&amp;exph=602&amp;expw=640&amp;q=Gibbs+Cycle+of+Reflection&amp;simid=607986723087718610&amp;FORM=IRPRST&amp;ck=4C0BC0D5D4409AEE83FCD9D3AB635AFE&amp;selectedIndex=2&amp;ajaxhist=0&amp;ajaxserp=0" TargetMode="External"/><Relationship Id="rId89" Type="http://schemas.openxmlformats.org/officeDocument/2006/relationships/hyperlink" Target="https://doi-org.ezproxy.uwtsd.ac.uk/10.1016/j.chiabu.2007.03.021" TargetMode="External"/><Relationship Id="rId112" Type="http://schemas.openxmlformats.org/officeDocument/2006/relationships/hyperlink" Target="http://www.library.college.police.uk/docs/NPCC/Major-Crime-Investigation-Manual-Nov-2021" TargetMode="External"/><Relationship Id="rId133" Type="http://schemas.openxmlformats.org/officeDocument/2006/relationships/hyperlink" Target="http://www.wales.nhs.uk/sitesplus/documents/863/Procedural%20Response%20to%20Unexpected%20Deaths%20in%20Children%20(PRUDiC).pdf" TargetMode="External"/><Relationship Id="rId138" Type="http://schemas.openxmlformats.org/officeDocument/2006/relationships/image" Target="media/image9.emf"/><Relationship Id="rId16" Type="http://schemas.openxmlformats.org/officeDocument/2006/relationships/hyperlink" Target="https://eprints.kingston.ac.uk/id/eprint/28868/1/Cooper_P-28868" TargetMode="External"/><Relationship Id="rId107" Type="http://schemas.openxmlformats.org/officeDocument/2006/relationships/hyperlink" Target="http://www.worldcat.org/title/holmes-home-office-large-major-enquiry-system-the-development-of-a-computerised-major-crime-investigation-system/oclc/4769496635?referer=one_hit" TargetMode="External"/><Relationship Id="rId11" Type="http://schemas.openxmlformats.org/officeDocument/2006/relationships/hyperlink" Target="https://psycnet.apa.org/doi/10.1037/a0032148" TargetMode="External"/><Relationship Id="rId32" Type="http://schemas.openxmlformats.org/officeDocument/2006/relationships/hyperlink" Target="https://doi.org/10.1177%2F0022018317746789" TargetMode="External"/><Relationship Id="rId37" Type="http://schemas.openxmlformats.org/officeDocument/2006/relationships/hyperlink" Target="http://www.legislation.gov.uk/ukpga/1999/23/section/17" TargetMode="External"/><Relationship Id="rId53" Type="http://schemas.openxmlformats.org/officeDocument/2006/relationships/hyperlink" Target="https://doi.org/10.1111/jcap.12363" TargetMode="External"/><Relationship Id="rId58" Type="http://schemas.openxmlformats.org/officeDocument/2006/relationships/hyperlink" Target="https://doi.org/10.1007/978-3-319-71776-0_3" TargetMode="External"/><Relationship Id="rId74" Type="http://schemas.openxmlformats.org/officeDocument/2006/relationships/hyperlink" Target="https://doi.org/10.1080/10999922.2021.1933340" TargetMode="External"/><Relationship Id="rId79" Type="http://schemas.openxmlformats.org/officeDocument/2006/relationships/hyperlink" Target="http://www.app.college.police.uk/app-content/detention-and-custody-2/control-restraint-and-searches/" TargetMode="External"/><Relationship Id="rId102" Type="http://schemas.openxmlformats.org/officeDocument/2006/relationships/hyperlink" Target="http://www.gov.uk/government/publications/deaths-in-police-custody-progress-update/deaths-in-police-custody-progress-update-2021-accessible" TargetMode="External"/><Relationship Id="rId123" Type="http://schemas.openxmlformats.org/officeDocument/2006/relationships/hyperlink" Target="https://doi.org/10.1016/j.ijlcj.2019.03.007" TargetMode="External"/><Relationship Id="rId128" Type="http://schemas.openxmlformats.org/officeDocument/2006/relationships/hyperlink" Target="http://www.police.govt.nz/resources/2005/investigative-interviewing/investigative-interviewing" TargetMode="External"/><Relationship Id="rId144"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www.dynamis.training/wp-content/uploads/Police-Research-Group-26.pdf" TargetMode="External"/><Relationship Id="rId95" Type="http://schemas.openxmlformats.org/officeDocument/2006/relationships/hyperlink" Target="https://www.legislation.gov.uk/ukpga/1984/60/section/32" TargetMode="External"/><Relationship Id="rId22" Type="http://schemas.openxmlformats.org/officeDocument/2006/relationships/hyperlink" Target="https://search-ebscohost-com.exproxy.uwtsd.ac.uk/login.aspx" TargetMode="External"/><Relationship Id="rId27" Type="http://schemas.openxmlformats.org/officeDocument/2006/relationships/hyperlink" Target="https://www.gov.uk/government/publications/attorney-generals-guidelines-on-disclosure-2020" TargetMode="External"/><Relationship Id="rId43" Type="http://schemas.openxmlformats.org/officeDocument/2006/relationships/hyperlink" Target="https://doi.org/10.1016/j.mpmed.2022.01.009" TargetMode="External"/><Relationship Id="rId48" Type="http://schemas.openxmlformats.org/officeDocument/2006/relationships/hyperlink" Target="https://www.youtube.com/watch?v=XsoYh5WF2Yc" TargetMode="External"/><Relationship Id="rId64" Type="http://schemas.openxmlformats.org/officeDocument/2006/relationships/hyperlink" Target="https://www.emerald.com/insight/publication/issn/1363-951X" TargetMode="External"/><Relationship Id="rId69" Type="http://schemas.openxmlformats.org/officeDocument/2006/relationships/hyperlink" Target="https://doi.org/10.1080/0735648X.2019.1650798" TargetMode="External"/><Relationship Id="rId113" Type="http://schemas.openxmlformats.org/officeDocument/2006/relationships/hyperlink" Target="http://www.college.police.uk/app/major-investigation-and-public-protection/major-incident-room-standardised-administrative-procedures-mirsap?highlight=investigation%20app" TargetMode="External"/><Relationship Id="rId118" Type="http://schemas.openxmlformats.org/officeDocument/2006/relationships/hyperlink" Target="http://www.mirror.co.uk/news/uk-news/lost-evidence-collapsed-6000-cases-26214302" TargetMode="External"/><Relationship Id="rId134" Type="http://schemas.openxmlformats.org/officeDocument/2006/relationships/customXml" Target="ink/ink1.xml"/><Relationship Id="rId139" Type="http://schemas.openxmlformats.org/officeDocument/2006/relationships/customXml" Target="ink/ink2.xml"/><Relationship Id="rId8" Type="http://schemas.openxmlformats.org/officeDocument/2006/relationships/image" Target="media/image3.png"/><Relationship Id="rId51" Type="http://schemas.openxmlformats.org/officeDocument/2006/relationships/hyperlink" Target="https://www.youtube.com/watch?v=EFUbXlhltyk" TargetMode="External"/><Relationship Id="rId72" Type="http://schemas.openxmlformats.org/officeDocument/2006/relationships/hyperlink" Target="http://www.legislation.gov.uk/ukpga/1989/41/section/17" TargetMode="External"/><Relationship Id="rId80" Type="http://schemas.openxmlformats.org/officeDocument/2006/relationships/hyperlink" Target="http://www.upet.ro/annals/economics/pdf/annals-2011-part3.pdf" TargetMode="External"/><Relationship Id="rId85" Type="http://schemas.openxmlformats.org/officeDocument/2006/relationships/hyperlink" Target="http://www.justiceinspectorates.gov.uk/hmicfrs/publication-html/expectations-police-custody-criteria/" TargetMode="External"/><Relationship Id="rId93" Type="http://schemas.openxmlformats.org/officeDocument/2006/relationships/hyperlink" Target="https://www.gov.uk/government/publications/achieving-best-evidence-in-criminal-proceedings" TargetMode="External"/><Relationship Id="rId98" Type="http://schemas.openxmlformats.org/officeDocument/2006/relationships/hyperlink" Target="http://www.legislation.gov.uk/ukpga/2000/23/part/III" TargetMode="External"/><Relationship Id="rId121" Type="http://schemas.openxmlformats.org/officeDocument/2006/relationships/hyperlink" Target="https://doi.org/10.1016/S0962-1849(96)80005-9" TargetMode="External"/><Relationship Id="rId142" Type="http://schemas.openxmlformats.org/officeDocument/2006/relationships/image" Target="media/image11.emf"/><Relationship Id="rId3" Type="http://schemas.openxmlformats.org/officeDocument/2006/relationships/styles" Target="styles.xml"/><Relationship Id="rId12" Type="http://schemas.openxmlformats.org/officeDocument/2006/relationships/hyperlink" Target="https://www.researchgate.net/profile/karl-Ask/publication/316241525_Investigators&#8217;decision_making/links/58f749150f7e9b67a34dd6ad/Investigators-decision-making.pdf" TargetMode="External"/><Relationship Id="rId17" Type="http://schemas.openxmlformats.org/officeDocument/2006/relationships/hyperlink" Target="https://www.gov.uk/government/publications/criminal-procedure-and-investigations-act-1996-section-231-code-of-practice" TargetMode="External"/><Relationship Id="rId25" Type="http://schemas.openxmlformats.org/officeDocument/2006/relationships/hyperlink" Target="https://assets.publishing.service.gov.uk/government/uploads/system/uploads/attachment_data/file/1051269/achieving-best-evidence-criminal-proceedings" TargetMode="External"/><Relationship Id="rId33" Type="http://schemas.openxmlformats.org/officeDocument/2006/relationships/hyperlink" Target="https://www.routledge.com/9781138352087" TargetMode="External"/><Relationship Id="rId38" Type="http://schemas.openxmlformats.org/officeDocument/2006/relationships/hyperlink" Target="http://citeseerx.ist.psu.edu/viewdoc/download?doi=10.1.1.365.7868&amp;rep=rep1&amp;type" TargetMode="External"/><Relationship Id="rId46" Type="http://schemas.openxmlformats.org/officeDocument/2006/relationships/hyperlink" Target="http://www.echr.coe.int/Documents/Guide_Art_9_ENG.pdf" TargetMode="External"/><Relationship Id="rId59" Type="http://schemas.openxmlformats.org/officeDocument/2006/relationships/hyperlink" Target="http://www.gov.uk/government/publications/pace-code-c-2019" TargetMode="External"/><Relationship Id="rId67" Type="http://schemas.openxmlformats.org/officeDocument/2006/relationships/image" Target="media/image7.png"/><Relationship Id="rId103" Type="http://schemas.openxmlformats.org/officeDocument/2006/relationships/hyperlink" Target="http://www.ethnicity-facts-figures.service.gov.uk/crime-justice-and-the-law/policing/confidence-in-the-local-police/latest" TargetMode="External"/><Relationship Id="rId108" Type="http://schemas.openxmlformats.org/officeDocument/2006/relationships/hyperlink" Target="http://www.bobbybarinalaw.com/blog/2019/december/understanding-the-difference-between-a-suspect-p/" TargetMode="External"/><Relationship Id="rId116" Type="http://schemas.openxmlformats.org/officeDocument/2006/relationships/hyperlink" Target="http://www.cccj.law.cam.ac.uk/sites/www.law.cam.ac.uk/files/images/www.cccj.law.cam.ac.uk/documents/prosecution_disclosure" TargetMode="External"/><Relationship Id="rId124" Type="http://schemas.openxmlformats.org/officeDocument/2006/relationships/hyperlink" Target="http://www.politieacademie.nl/kennisenonderzoek/kennis/mediatheek/PDF/4106" TargetMode="External"/><Relationship Id="rId129" Type="http://schemas.openxmlformats.org/officeDocument/2006/relationships/hyperlink" Target="http://www.lawgazette.co.uk/practice/cps-still-plagued-by-disclosure-failings-watchdog-finds/5102656.article" TargetMode="External"/><Relationship Id="rId20" Type="http://schemas.openxmlformats.org/officeDocument/2006/relationships/hyperlink" Target="https://lx.iriss.org.uk/sites/default/files/resources/040.%20Research%20Review%20of%20the%20Memorandum%20of%20Good%20Practice" TargetMode="External"/><Relationship Id="rId41" Type="http://schemas.openxmlformats.org/officeDocument/2006/relationships/hyperlink" Target="http://www.gov.uk/government/publications/criminal-procedure-and-investigations-act-1996-section-231-code-of-practice" TargetMode="External"/><Relationship Id="rId54" Type="http://schemas.openxmlformats.org/officeDocument/2006/relationships/hyperlink" Target="https://doi.org/10.1016/0145-2134(88)90030-0" TargetMode="External"/><Relationship Id="rId62" Type="http://schemas.openxmlformats.org/officeDocument/2006/relationships/hyperlink" Target="https://www.safeguarding/wales" TargetMode="External"/><Relationship Id="rId70" Type="http://schemas.openxmlformats.org/officeDocument/2006/relationships/hyperlink" Target="https://www.bbc.co.uk/news/uk-35749903" TargetMode="External"/><Relationship Id="rId75" Type="http://schemas.openxmlformats.org/officeDocument/2006/relationships/hyperlink" Target="http://www.app.college.police.uk/app-content/stop-and-search/quick-access-tools/qrg-legal/qrg-legal-application-search-options/" TargetMode="External"/><Relationship Id="rId83" Type="http://schemas.openxmlformats.org/officeDocument/2006/relationships/hyperlink" Target="http://www.legislation.gov.uk/ukpga/2010/15/contents" TargetMode="External"/><Relationship Id="rId88" Type="http://schemas.openxmlformats.org/officeDocument/2006/relationships/hyperlink" Target="http://www.legislation.gov.uk/ukpga/1998/42/schedule/1" TargetMode="External"/><Relationship Id="rId91" Type="http://schemas.openxmlformats.org/officeDocument/2006/relationships/hyperlink" Target="http://www.bbc.co.uk/news/newsbeat-53365011" TargetMode="External"/><Relationship Id="rId96" Type="http://schemas.openxmlformats.org/officeDocument/2006/relationships/hyperlink" Target="http://www.legislation.gov.uk/ukpga/1984/60/contents" TargetMode="External"/><Relationship Id="rId111" Type="http://schemas.openxmlformats.org/officeDocument/2006/relationships/hyperlink" Target="http://www.college.police.uk/app/investigation/managing-investigations" TargetMode="External"/><Relationship Id="rId132" Type="http://schemas.openxmlformats.org/officeDocument/2006/relationships/hyperlink" Target="http://www.jmw.co.uk/services-for-business/business-crime/articles/disclosure-problems-in-criminal-cases" TargetMode="External"/><Relationship Id="rId14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ww.app.college.police.uk/app-content/information-management/information-assurance/?highlight=holmes?s=holmes" TargetMode="External"/><Relationship Id="rId23" Type="http://schemas.openxmlformats.org/officeDocument/2006/relationships/hyperlink" Target="https://doi.org/10.1016/j.jflm.2014.07.001" TargetMode="External"/><Relationship Id="rId28" Type="http://schemas.openxmlformats.org/officeDocument/2006/relationships/hyperlink" Target="https://www.legislation.gov.uk/ukpga/1998/42/schedule/1/part/I/chapter/4" TargetMode="External"/><Relationship Id="rId36" Type="http://schemas.openxmlformats.org/officeDocument/2006/relationships/hyperlink" Target="http://www.legislation.gov.uk/ukpga/1999/23/section/16" TargetMode="External"/><Relationship Id="rId49" Type="http://schemas.openxmlformats.org/officeDocument/2006/relationships/hyperlink" Target="https://doi.org/10.1080/10538712.2010.512520" TargetMode="External"/><Relationship Id="rId57" Type="http://schemas.openxmlformats.org/officeDocument/2006/relationships/hyperlink" Target="https://doi.org/10.1093/bjsw/bcz088" TargetMode="External"/><Relationship Id="rId106" Type="http://schemas.openxmlformats.org/officeDocument/2006/relationships/hyperlink" Target="http://www.legislation.gov.uk/ukpga/1999/23/section/17" TargetMode="External"/><Relationship Id="rId114" Type="http://schemas.openxmlformats.org/officeDocument/2006/relationships/hyperlink" Target="http://www.legislation.gov.uk/ukpga/1996/25/contents" TargetMode="External"/><Relationship Id="rId119" Type="http://schemas.openxmlformats.org/officeDocument/2006/relationships/hyperlink" Target="https://doi.org/10.1177%2F1365712719867972" TargetMode="External"/><Relationship Id="rId127" Type="http://schemas.openxmlformats.org/officeDocument/2006/relationships/hyperlink" Target="https://doi.org/10.1080/00450618.2020.1819414" TargetMode="External"/><Relationship Id="rId10" Type="http://schemas.openxmlformats.org/officeDocument/2006/relationships/image" Target="media/image5.png"/><Relationship Id="rId31" Type="http://schemas.openxmlformats.org/officeDocument/2006/relationships/hyperlink" Target="https://doi.org/10.1057/978-1-349-95847-4_1" TargetMode="External"/><Relationship Id="rId44" Type="http://schemas.openxmlformats.org/officeDocument/2006/relationships/hyperlink" Target="http://www.echr.coe.int/documents/guide_art_6_criminal_eng" TargetMode="External"/><Relationship Id="rId52" Type="http://schemas.openxmlformats.org/officeDocument/2006/relationships/hyperlink" Target="https://doi.org/10.1177/0743558419864021" TargetMode="External"/><Relationship Id="rId60" Type="http://schemas.openxmlformats.org/officeDocument/2006/relationships/hyperlink" Target="http://www.safeguarding.wales" TargetMode="External"/><Relationship Id="rId65" Type="http://schemas.openxmlformats.org/officeDocument/2006/relationships/hyperlink" Target="https://doi.org/10.1108/PIJPSM-02-2021-0019" TargetMode="External"/><Relationship Id="rId73" Type="http://schemas.openxmlformats.org/officeDocument/2006/relationships/hyperlink" Target="https://doi.org/10.1177/0734016819846236" TargetMode="External"/><Relationship Id="rId78" Type="http://schemas.openxmlformats.org/officeDocument/2006/relationships/hyperlink" Target="https://www.college.police.uk/What-we-do/COVID-19/Documents/Personal-Protective-Equipment-Operational-Guidance-1.%20%5bpdf" TargetMode="External"/><Relationship Id="rId81" Type="http://schemas.openxmlformats.org/officeDocument/2006/relationships/hyperlink" Target="https://doi.org/10.1111/1745-9133.12450" TargetMode="External"/><Relationship Id="rId86" Type="http://schemas.openxmlformats.org/officeDocument/2006/relationships/hyperlink" Target="https://www.canterbury.ac.uk/social-and-applied-sciences/events/ccpr-annual-conference.aspx" TargetMode="External"/><Relationship Id="rId94" Type="http://schemas.openxmlformats.org/officeDocument/2006/relationships/hyperlink" Target="http://www.legislation.gov.uk/ukpga/1984/60/section/19" TargetMode="External"/><Relationship Id="rId99" Type="http://schemas.openxmlformats.org/officeDocument/2006/relationships/hyperlink" Target="http://www.theguardian.com/uk-news/2021/jul/31/assaults-on-police-in-england-and-wales-rise-above-100-a-day-during-pandemic" TargetMode="External"/><Relationship Id="rId101" Type="http://schemas.openxmlformats.org/officeDocument/2006/relationships/hyperlink" Target="http://www.gov.uk/government/publications/policing-by-consent/definition-of-policing-by-consent" TargetMode="External"/><Relationship Id="rId122" Type="http://schemas.openxmlformats.org/officeDocument/2006/relationships/hyperlink" Target="http://www.scielo.org.co/scielo.php?script=sci_arttext&amp;pid=S2011-20842016000100002&amp;lng=en&amp;tlng=en" TargetMode="External"/><Relationship Id="rId130" Type="http://schemas.openxmlformats.org/officeDocument/2006/relationships/hyperlink" Target="http://www.theguardian.com/law/2021/oct/31/courts-are-close-to-collapse-over-police-disclosure-failures" TargetMode="External"/><Relationship Id="rId14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hyperlink" Target="http://www.castleviewuk.com/files/holmes2.pdf" TargetMode="External"/><Relationship Id="rId18" Type="http://schemas.openxmlformats.org/officeDocument/2006/relationships/hyperlink" Target="https://www.cps.gov.uk/legal-guidance/disclosure-manual-chapter-31-cases-using-holmes" TargetMode="External"/><Relationship Id="rId39" Type="http://schemas.openxmlformats.org/officeDocument/2006/relationships/hyperlink" Target="http://www.legislation.gov.uk/ukpga/1989/41/section/47" TargetMode="External"/><Relationship Id="rId109" Type="http://schemas.openxmlformats.org/officeDocument/2006/relationships/hyperlink" Target="https://ssrn.com/abstract=1561509" TargetMode="External"/><Relationship Id="rId34" Type="http://schemas.openxmlformats.org/officeDocument/2006/relationships/hyperlink" Target="https://www.gov.uk/government/publications/attorney-generals-guidelines-on-disclosure-2020" TargetMode="External"/><Relationship Id="rId50" Type="http://schemas.openxmlformats.org/officeDocument/2006/relationships/hyperlink" Target="https://doi.org/10.1177/1748895808099180" TargetMode="External"/><Relationship Id="rId55" Type="http://schemas.openxmlformats.org/officeDocument/2006/relationships/hyperlink" Target="http://www.gov.uk/government/publications/the-code-of-practice-for-victims-of-crime/code-of-practice-for-victims-of-crime-in-england-and-wales-victims-code" TargetMode="External"/><Relationship Id="rId76" Type="http://schemas.openxmlformats.org/officeDocument/2006/relationships/hyperlink" Target="http://www.app.college.police.uk/app-content/investigations/managing-investigations/" TargetMode="External"/><Relationship Id="rId97" Type="http://schemas.openxmlformats.org/officeDocument/2006/relationships/hyperlink" Target="http://www.legislation.gov.uk/ukpga/1984/60/section/54" TargetMode="External"/><Relationship Id="rId104" Type="http://schemas.openxmlformats.org/officeDocument/2006/relationships/hyperlink" Target="http://www.gov.uk/government/publications/deaths-in-police-custody-progress-update/deaths-in-police-custody-progress-update-2021-accessible" TargetMode="External"/><Relationship Id="rId120" Type="http://schemas.openxmlformats.org/officeDocument/2006/relationships/hyperlink" Target="http://www.bbc.co.uk/news/av/uk-10659562" TargetMode="External"/><Relationship Id="rId125" Type="http://schemas.openxmlformats.org/officeDocument/2006/relationships/hyperlink" Target="http://www.legislation.gov.uk/ukpga/1984/60/section/78" TargetMode="External"/><Relationship Id="rId141" Type="http://schemas.openxmlformats.org/officeDocument/2006/relationships/customXml" Target="ink/ink3.xml"/><Relationship Id="rId7" Type="http://schemas.openxmlformats.org/officeDocument/2006/relationships/image" Target="media/image2.png"/><Relationship Id="rId71" Type="http://schemas.openxmlformats.org/officeDocument/2006/relationships/hyperlink" Target="http://www.bbc.co.uk/news/uk-england-london-54360535" TargetMode="External"/><Relationship Id="rId92" Type="http://schemas.openxmlformats.org/officeDocument/2006/relationships/hyperlink" Target="http://hdl.handle.net/10536/DRO/DU:30032028" TargetMode="External"/><Relationship Id="rId2" Type="http://schemas.openxmlformats.org/officeDocument/2006/relationships/numbering" Target="numbering.xml"/><Relationship Id="rId29" Type="http://schemas.openxmlformats.org/officeDocument/2006/relationships/hyperlink" Target="https://www.researchgate.net/profile/Neha-Guleria-2/publication/353659460_The_Impact_of_Pandemic_COVID_-19_in_Workplace/links/6109085c1ca20f6f86f718be/The-Impact-of-Pandemic-COVID-19-in-Workplace" TargetMode="External"/><Relationship Id="rId24" Type="http://schemas.openxmlformats.org/officeDocument/2006/relationships/hyperlink" Target="https://doi.org/10.1016/j.leaqua.2016.05.003" TargetMode="External"/><Relationship Id="rId40" Type="http://schemas.openxmlformats.org/officeDocument/2006/relationships/hyperlink" Target="http://www.college.police.uk/guidance/obtaining-initial-accounts/rapport-building" TargetMode="External"/><Relationship Id="rId45" Type="http://schemas.openxmlformats.org/officeDocument/2006/relationships/hyperlink" Target="http://www.echr.coe.int/documents/guide_art_8_eng.pdf" TargetMode="External"/><Relationship Id="rId66" Type="http://schemas.openxmlformats.org/officeDocument/2006/relationships/image" Target="media/image6.png"/><Relationship Id="rId87" Type="http://schemas.openxmlformats.org/officeDocument/2006/relationships/hyperlink" Target="https://doi.org/10.1016/j.scijus.2022.01.002" TargetMode="External"/><Relationship Id="rId110" Type="http://schemas.openxmlformats.org/officeDocument/2006/relationships/hyperlink" Target="http://www.college.police.uk/app/major-investigation-and-public-protection/major-incident-room-standardised-administrative-procedures-mirsap?highlight=investigation%20app" TargetMode="External"/><Relationship Id="rId115" Type="http://schemas.openxmlformats.org/officeDocument/2006/relationships/hyperlink" Target="http://www.cps.gov.uk/legal-guidance/disclosure-manual" TargetMode="External"/><Relationship Id="rId131" Type="http://schemas.openxmlformats.org/officeDocument/2006/relationships/hyperlink" Target="https://doi.org/10.1177/2372732214548592" TargetMode="External"/><Relationship Id="rId61" Type="http://schemas.openxmlformats.org/officeDocument/2006/relationships/hyperlink" Target="http://www.lucyfaithfull.org.uk" TargetMode="External"/><Relationship Id="rId82" Type="http://schemas.openxmlformats.org/officeDocument/2006/relationships/hyperlink" Target="https://books.google.co.uk/books?hl=en&amp;lr=&amp;id=CCKQAgAAQBAJ&amp;oi=fnd&amp;pg=PA409&amp;dq=risk+of+free+recall+in+investigative+interviewing&amp;ots=BesMi54d-_&amp;sig=RH7TAdfJxYZU7E_flEmSpjUdUHk" TargetMode="External"/><Relationship Id="rId19" Type="http://schemas.openxmlformats.org/officeDocument/2006/relationships/hyperlink" Target="https://www.legislation.gov.uk/ukpga/1998/29/section/29/enacted" TargetMode="External"/><Relationship Id="rId14" Type="http://schemas.openxmlformats.org/officeDocument/2006/relationships/hyperlink" Target="https://www.app.college.police.uk/app-content/investigations/managing-investigations/" TargetMode="External"/><Relationship Id="rId30" Type="http://schemas.openxmlformats.org/officeDocument/2006/relationships/hyperlink" Target="https://www.researchgate.net/profile/Richard-Woolfson/publication/344208077_'A_fair_balance'_Evaluation_of_the_operation_of_disclosure_law/links/5f5bae4d299bf1d43cfab811/A-fair-balance-Evaluation-of-the-operation-of-disclosure-law" TargetMode="External"/><Relationship Id="rId35" Type="http://schemas.openxmlformats.org/officeDocument/2006/relationships/hyperlink" Target="http://www.waspi.org/documentation" TargetMode="External"/><Relationship Id="rId56" Type="http://schemas.openxmlformats.org/officeDocument/2006/relationships/hyperlink" Target="https://doi.org/10.1023/A:1012936031764" TargetMode="External"/><Relationship Id="rId77" Type="http://schemas.openxmlformats.org/officeDocument/2006/relationships/hyperlink" Target="http://www.college.police.uk/ethics/code-of-ethics" TargetMode="External"/><Relationship Id="rId100" Type="http://schemas.openxmlformats.org/officeDocument/2006/relationships/hyperlink" Target="http://www.gov.uk/government/publications/achieving-best-evidence-in-criminal-proceedings?msclkid=46b5c5f5cee511ec82f335ca61849b6d" TargetMode="External"/><Relationship Id="rId105" Type="http://schemas.openxmlformats.org/officeDocument/2006/relationships/hyperlink" Target="http://www.legislation.gov.uk/ukpga/1999/23/section/16" TargetMode="External"/><Relationship Id="rId126" Type="http://schemas.openxmlformats.org/officeDocument/2006/relationships/hyperlink" Target="http://www.legislation.gov.uk/ukpga/1984/60/contents" TargetMode="External"/></Relationships>
</file>

<file path=word/ink/ink1.xml><?xml version="1.0" encoding="utf-8"?>
<inkml:ink xmlns:inkml="http://www.w3.org/2003/InkML">
  <inkml:definitions>
    <inkml:context xml:id="ctx0">
      <inkml:inkSource xml:id="inkSrc0">
        <inkml:traceFormat>
          <inkml:channel name="X" type="integer" max="30937" units="cm"/>
          <inkml:channel name="Y" type="integer" max="17402" units="cm"/>
          <inkml:channel name="F" type="integer" max="4095" units="dev"/>
          <inkml:channel name="T" type="integer" max="2.14748E9" units="dev"/>
        </inkml:traceFormat>
        <inkml:channelProperties>
          <inkml:channelProperty channel="X" name="resolution" value="1000.22632" units="1/cm"/>
          <inkml:channelProperty channel="Y" name="resolution" value="1000.11493" units="1/cm"/>
          <inkml:channelProperty channel="F" name="resolution" value="0" units="1/dev"/>
          <inkml:channelProperty channel="T" name="resolution" value="1" units="1/dev"/>
        </inkml:channelProperties>
      </inkml:inkSource>
      <inkml:timestamp xml:id="ts0" timeString="2022-05-07T17:28:18.933"/>
    </inkml:context>
    <inkml:brush xml:id="br0">
      <inkml:brushProperty name="width" value="0.05" units="cm"/>
      <inkml:brushProperty name="height" value="0.05" units="cm"/>
      <inkml:brushProperty name="fitToCurve" value="1"/>
    </inkml:brush>
  </inkml:definitions>
  <inkml:trace contextRef="#ctx0" brushRef="#br0">649 51 919 0,'36'-18'369'16,"-1"1"-271"-16,-5 10-34 15,-7 0-25-15,-14 5-27 16,-6 7 0-16,-17 8-5 16,-8 6-1-16,-19 9 2 15,-8 5-4-15,-9 11 3 16,-9 6 2-16,-18 11 2 0,-3 1 3 16,-4 3 11-16,5-1 4 15,20-10 0-15,9-7 0 16,22-19-8-16,15-8-10 31,28-16-4-31,19-8-2 0,26-20-4 16,10-10 5-16,15-15-1 15,11-5 0-15,7-6-6 16,1-1 0-16,-4 9 6 16,-12 4 2-16,-12 17 17 15,-7 10 0-15,-22 16-14 16,-9 4-4-16,-23 15-11 15,-13 7 4-15,-25 10 4 16,-8 8 2-16,-11 2 3 16,1-2-2-16,12-6 4 15,7-6 0-15,13-8-2 16,2-5-1-16,5-6-7 16,2 0 1-16,4-7 1 15,1 0-2-15,11-8-2 16,9-8 0-16,17-8-1 15,11-2 3-15,13-2 3 0,3 0-1 16,-3 4 1-16,-5 4-2 16,-12 11-1-16,-8 4 0 15,-18 9 8-15,-6 7 1 16,-20 11 7-16,-9 10-2 0,-26 8-12 16,-11-2-2-16,-6-2 0 15,0-5-1-15,22-12 5 16,12-4-1-16,27-14-6 15,10-4 0-15,19-14 3 16,13-3-1-16,16-10 1 16,6-3 0-16,6-2 1 15,-1-1 1-15,-8 12 1 16,-5 2-3-16,-14 16 0 0,-7 5 2 16,-22 11-7-16,-8 8 3 15,-19 8 0-15,-9 4 2 16,1-2 9-16,4-6 0 15,20-8-9-15,16-10 0 16,30-11-2-16,11-10-2 16,17-11 9-16,4 2-4 0,-4-5 4 15,0 3 0-15,-9 8-3 16,-7 4 2-16,-19 11-6 16,-14 4-6-16,-25 14-7 15,-15 3-8-15,-16 11-1 16,-6 1 0-16,-5-4-2 15,5-1 2-15,3-5 0 16,5 0 7-16,8-2 21 16,4-4 12-16,11-1-3 15,3 0 1-15,4 1-5 16,3 1 3-16,3 0 16 16,1-1-4-16,5-1-5 15,4-5-6-15,12-6-13 16,6-2 3-16,8-12-9 15,6-2-2-15,-1-2 0 16,-4-1-3-16,-11 9 3 16,-12 4-6-16,-22 10 1 15,-13 6 1-15,-27 12-18 16,-6 4 7-16,-5 8 2 16,3-1 1-16,10-3 12 15,1-1-4-15,2-5-2 16,-1-2 0-16,4-8 9 15,-1-3 5-15,8-6 4 16,4-4 2-16,13-4 3 16,15-10 0-16,23-14 7 0,15-7 5 15,28-10 15-15,17-1 7 16,23-1 20-16,4 4 4 16,11 9-7-16,-9 4-7 0,-13 12-32 15,-11 6-7-15,-29 10-18 16,-14 3-13-16,-18 1-48 15,-9-1-42-15,-13-2-101 16,-6-2 126-16</inkml:trace>
</inkml:ink>
</file>

<file path=word/ink/ink2.xml><?xml version="1.0" encoding="utf-8"?>
<inkml:ink xmlns:inkml="http://www.w3.org/2003/InkML">
  <inkml:definitions>
    <inkml:context xml:id="ctx0">
      <inkml:inkSource xml:id="inkSrc0">
        <inkml:traceFormat>
          <inkml:channel name="X" type="integer" max="30937" units="cm"/>
          <inkml:channel name="Y" type="integer" max="17402" units="cm"/>
          <inkml:channel name="F" type="integer" max="4095" units="dev"/>
          <inkml:channel name="T" type="integer" max="2.14748E9" units="dev"/>
        </inkml:traceFormat>
        <inkml:channelProperties>
          <inkml:channelProperty channel="X" name="resolution" value="1000.22632" units="1/cm"/>
          <inkml:channelProperty channel="Y" name="resolution" value="1000.11493" units="1/cm"/>
          <inkml:channelProperty channel="F" name="resolution" value="0" units="1/dev"/>
          <inkml:channelProperty channel="T" name="resolution" value="1" units="1/dev"/>
        </inkml:channelProperties>
      </inkml:inkSource>
      <inkml:timestamp xml:id="ts0" timeString="2022-05-07T17:28:17.658"/>
    </inkml:context>
    <inkml:brush xml:id="br0">
      <inkml:brushProperty name="width" value="0.05" units="cm"/>
      <inkml:brushProperty name="height" value="0.05" units="cm"/>
      <inkml:brushProperty name="fitToCurve" value="1"/>
    </inkml:brush>
  </inkml:definitions>
  <inkml:trace contextRef="#ctx0" brushRef="#br0">10 108 740 0,'-8'-25'312'16,"6"31"-170"-16,3-1-50 16,4-1-23-16,2-4-13 15,8-2-3-15,4-2-5 16,6-5-23-16,5-1-7 16,-7-1-27-16,0-1-16 0,-5 0-28 0,-3 1-26 15,-3-1-77-15,-5 1-131 16,5 7 185-16</inkml:trace>
</inkml:ink>
</file>

<file path=word/ink/ink3.xml><?xml version="1.0" encoding="utf-8"?>
<inkml:ink xmlns:inkml="http://www.w3.org/2003/InkML">
  <inkml:definitions>
    <inkml:context xml:id="ctx0">
      <inkml:inkSource xml:id="inkSrc0">
        <inkml:traceFormat>
          <inkml:channel name="X" type="integer" max="30937" units="cm"/>
          <inkml:channel name="Y" type="integer" max="17402" units="cm"/>
          <inkml:channel name="F" type="integer" max="4095" units="dev"/>
          <inkml:channel name="T" type="integer" max="2.14748E9" units="dev"/>
        </inkml:traceFormat>
        <inkml:channelProperties>
          <inkml:channelProperty channel="X" name="resolution" value="1000.22632" units="1/cm"/>
          <inkml:channelProperty channel="Y" name="resolution" value="1000.11493" units="1/cm"/>
          <inkml:channelProperty channel="F" name="resolution" value="0" units="1/dev"/>
          <inkml:channelProperty channel="T" name="resolution" value="1" units="1/dev"/>
        </inkml:channelProperties>
      </inkml:inkSource>
      <inkml:timestamp xml:id="ts0" timeString="2022-05-07T17:28:17.452"/>
    </inkml:context>
    <inkml:brush xml:id="br0">
      <inkml:brushProperty name="width" value="0.05" units="cm"/>
      <inkml:brushProperty name="height" value="0.05" units="cm"/>
      <inkml:brushProperty name="fitToCurve" value="1"/>
    </inkml:brush>
  </inkml:definitions>
  <inkml:trace contextRef="#ctx0" brushRef="#br0">126 303 381 0,'-35'53'154'16,"36"-53"-93"-1,0-1-24-15,1 2-31 0,-2-1 0 0,0 0 2 16,0 0 8-16,0-1 25 16,0 0 12-16,-1 0 14 15,0 0-2-15,0 0-10 16,0 0-5-16,0 0-8 16,0 0-2-16,1 0-6 15,0 0-4-15,0 0-2 16,0 0-5-16,0 0 14 15,0 0 6-15,25-9 14 16,53-19 6-16,-9 1-12 16,11-1-11-16,10-5-21 15,-1-1-8-15,3 1-8 16,-3 0 0-16,-10 4 3 16,-9 1 1-16,-17 9-4 15,-11 4 3-15,-10 9 1 0,-6 1 3 16,-11 5-1-16,-1 1-1 15,-11 3-6-15,-4 3-1 16,-12 9 1-16,-9 3 2 16,-16 14 0-16,-8 7-1 15,-17 5-2-15,-8 5 0 16,-12 3 5-16,-2 2 4 0,2 8 9 16,5-5 2-16,17-1-1 31,7-7-4-31,17-20 2 15,12-3-1-15,13-20-1 16,12 1-2-16,11-10-14 16,6-6-3-16,16-7 1 0,2-10-3 0,12-3 7 15,3-3 1-15,2 3 0 16,-1 5 4-16,-4 6-3 16,-4 7 0-16,-10 7 2 15,0 6 3-15,-10 9 2 31,-6-1-1-31,-5 8-2 16,-3 1-8-16,-4 2 3 16,-2 4 0-16,-1-5 2 0,-1-3 5 0,1-8-9 0,2-2 0 31,4-3-3-31,-4-1-4 0,-2 0 10 0,-1-3-2 31,-2 0 0-31,1 0 1 16,-1 0 0-16,0 0 3 15,0 0-9-15,-7 13 1 0,-23 35 1 0,18-30-3 0,2-3 11 16,-1 0-2-16,2-1-3 16,1-1 0-16,2 2 0 15,3-1 2-15,-5 0-2 16,0 3 5-16,-5 2-7 16,-6 3 0-16,0 1-4 31,-2-4-5-31,1-7-27 15,4-1-20-15,2-11-39 16,3-9-28-16,5-14-130 16,0-13 167-16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EC1982-6973-4FAE-9135-EC3480481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1404</TotalTime>
  <Pages>56</Pages>
  <Words>20742</Words>
  <Characters>118233</Characters>
  <Application>Microsoft Office Word</Application>
  <DocSecurity>0</DocSecurity>
  <Lines>985</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Andrews</dc:creator>
  <cp:keywords/>
  <dc:description/>
  <cp:lastModifiedBy>Liz Evans</cp:lastModifiedBy>
  <cp:revision>23</cp:revision>
  <cp:lastPrinted>2021-10-05T11:09:00Z</cp:lastPrinted>
  <dcterms:created xsi:type="dcterms:W3CDTF">2022-03-02T16:09:00Z</dcterms:created>
  <dcterms:modified xsi:type="dcterms:W3CDTF">2022-05-08T15:46:00Z</dcterms:modified>
</cp:coreProperties>
</file>