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BA2FE" w14:textId="77777777" w:rsidR="008255CA" w:rsidRDefault="008255CA" w:rsidP="00472CED">
      <w:pPr>
        <w:spacing w:line="360" w:lineRule="auto"/>
        <w:jc w:val="center"/>
        <w:rPr>
          <w:rFonts w:ascii="Times New Roman" w:eastAsia="Times New Roman" w:hAnsi="Times New Roman" w:cs="Times New Roman"/>
          <w:b/>
          <w:sz w:val="32"/>
          <w:szCs w:val="24"/>
          <w:lang w:val="en-GB"/>
        </w:rPr>
      </w:pPr>
    </w:p>
    <w:p w14:paraId="50AD31DD"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105E7E14" w14:textId="05A1E8B7" w:rsidR="00A437BF" w:rsidRDefault="00F72CB7" w:rsidP="00472CED">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bCs/>
          <w:noProof/>
          <w:sz w:val="32"/>
          <w:szCs w:val="32"/>
        </w:rPr>
        <w:drawing>
          <wp:inline distT="0" distB="0" distL="0" distR="0" wp14:anchorId="2F6957A0" wp14:editId="77534FDE">
            <wp:extent cx="3810000" cy="200977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2009775"/>
                    </a:xfrm>
                    <a:prstGeom prst="rect">
                      <a:avLst/>
                    </a:prstGeom>
                  </pic:spPr>
                </pic:pic>
              </a:graphicData>
            </a:graphic>
          </wp:inline>
        </w:drawing>
      </w:r>
    </w:p>
    <w:p w14:paraId="6409DC7C"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1BE0110C"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1612D06A"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1E15E30B"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39C3D06B"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5655E642" w14:textId="77777777" w:rsidR="00A437BF" w:rsidRDefault="00A437BF" w:rsidP="00472CED">
      <w:pPr>
        <w:spacing w:line="360" w:lineRule="auto"/>
        <w:jc w:val="center"/>
        <w:rPr>
          <w:rFonts w:ascii="Times New Roman" w:eastAsia="Times New Roman" w:hAnsi="Times New Roman" w:cs="Times New Roman"/>
          <w:b/>
          <w:sz w:val="32"/>
          <w:szCs w:val="24"/>
          <w:lang w:val="en-GB"/>
        </w:rPr>
      </w:pPr>
    </w:p>
    <w:p w14:paraId="49670407" w14:textId="77777777" w:rsidR="008255CA" w:rsidRDefault="008255CA" w:rsidP="00472CED">
      <w:pPr>
        <w:spacing w:line="360" w:lineRule="auto"/>
        <w:jc w:val="center"/>
        <w:rPr>
          <w:rFonts w:ascii="Times New Roman" w:eastAsia="Times New Roman" w:hAnsi="Times New Roman" w:cs="Times New Roman"/>
          <w:b/>
          <w:sz w:val="32"/>
          <w:szCs w:val="24"/>
          <w:lang w:val="en-GB"/>
        </w:rPr>
      </w:pPr>
    </w:p>
    <w:p w14:paraId="2A1C9F0B" w14:textId="77777777" w:rsidR="008255CA" w:rsidRDefault="008255CA" w:rsidP="00472CED">
      <w:pPr>
        <w:spacing w:line="360" w:lineRule="auto"/>
        <w:jc w:val="center"/>
        <w:rPr>
          <w:rFonts w:ascii="Times New Roman" w:eastAsia="Times New Roman" w:hAnsi="Times New Roman" w:cs="Times New Roman"/>
          <w:b/>
          <w:sz w:val="32"/>
          <w:szCs w:val="24"/>
          <w:lang w:val="en-GB"/>
        </w:rPr>
      </w:pPr>
    </w:p>
    <w:p w14:paraId="67CB0D0F" w14:textId="77777777" w:rsidR="008255CA" w:rsidRDefault="008255CA" w:rsidP="00472CED">
      <w:pPr>
        <w:spacing w:line="360" w:lineRule="auto"/>
        <w:jc w:val="center"/>
        <w:rPr>
          <w:rFonts w:ascii="Times New Roman" w:eastAsia="Times New Roman" w:hAnsi="Times New Roman" w:cs="Times New Roman"/>
          <w:b/>
          <w:sz w:val="32"/>
          <w:szCs w:val="24"/>
          <w:lang w:val="en-GB"/>
        </w:rPr>
      </w:pPr>
    </w:p>
    <w:p w14:paraId="73C0F820" w14:textId="682416FF" w:rsidR="008255CA" w:rsidRPr="00BB1CB6" w:rsidRDefault="008255CA" w:rsidP="008255CA">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Module name</w:t>
      </w:r>
      <w:r>
        <w:rPr>
          <w:rFonts w:eastAsia="Calibri" w:cs="Times New Roman"/>
          <w:szCs w:val="24"/>
        </w:rPr>
        <w:t xml:space="preserve">: </w:t>
      </w:r>
      <w:r>
        <w:rPr>
          <w:rFonts w:eastAsia="Calibri" w:cs="Times New Roman"/>
          <w:szCs w:val="24"/>
        </w:rPr>
        <w:t>International</w:t>
      </w:r>
      <w:r w:rsidR="00A437BF">
        <w:rPr>
          <w:rFonts w:eastAsia="Calibri" w:cs="Times New Roman"/>
          <w:szCs w:val="24"/>
        </w:rPr>
        <w:t xml:space="preserve"> Business Communications</w:t>
      </w:r>
    </w:p>
    <w:p w14:paraId="4CFBD13F" w14:textId="61229857" w:rsidR="008255CA" w:rsidRPr="00BB1CB6" w:rsidRDefault="008255CA" w:rsidP="008255CA">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Ass</w:t>
      </w:r>
      <w:r w:rsidR="00F75A6C">
        <w:rPr>
          <w:rFonts w:ascii="Times New Roman" w:eastAsia="Calibri" w:hAnsi="Times New Roman" w:cs="Times New Roman"/>
          <w:sz w:val="24"/>
          <w:szCs w:val="24"/>
        </w:rPr>
        <w:t>e</w:t>
      </w:r>
      <w:r w:rsidR="0001297B">
        <w:rPr>
          <w:rFonts w:ascii="Times New Roman" w:eastAsia="Calibri" w:hAnsi="Times New Roman" w:cs="Times New Roman"/>
          <w:sz w:val="24"/>
          <w:szCs w:val="24"/>
        </w:rPr>
        <w:t>s</w:t>
      </w:r>
      <w:r w:rsidR="00F75A6C">
        <w:rPr>
          <w:rFonts w:ascii="Times New Roman" w:eastAsia="Calibri" w:hAnsi="Times New Roman" w:cs="Times New Roman"/>
          <w:sz w:val="24"/>
          <w:szCs w:val="24"/>
        </w:rPr>
        <w:t>s</w:t>
      </w:r>
      <w:r w:rsidRPr="00BB1CB6">
        <w:rPr>
          <w:rFonts w:ascii="Times New Roman" w:eastAsia="Calibri" w:hAnsi="Times New Roman" w:cs="Times New Roman"/>
          <w:sz w:val="24"/>
          <w:szCs w:val="24"/>
        </w:rPr>
        <w:t xml:space="preserve">ment </w:t>
      </w:r>
      <w:proofErr w:type="gramStart"/>
      <w:r w:rsidR="00F75A6C">
        <w:rPr>
          <w:rFonts w:ascii="Times New Roman" w:eastAsia="Calibri" w:hAnsi="Times New Roman" w:cs="Times New Roman"/>
          <w:sz w:val="24"/>
          <w:szCs w:val="24"/>
        </w:rPr>
        <w:t>1</w:t>
      </w:r>
      <w:r>
        <w:rPr>
          <w:rFonts w:ascii="Times New Roman" w:eastAsia="Calibri" w:hAnsi="Times New Roman" w:cs="Times New Roman"/>
          <w:sz w:val="24"/>
          <w:szCs w:val="24"/>
        </w:rPr>
        <w:t xml:space="preserve"> </w:t>
      </w:r>
      <w:r w:rsidR="0052244B">
        <w:rPr>
          <w:rFonts w:ascii="Times New Roman" w:eastAsia="Calibri" w:hAnsi="Times New Roman" w:cs="Times New Roman"/>
          <w:sz w:val="24"/>
          <w:szCs w:val="24"/>
        </w:rPr>
        <w:t>:</w:t>
      </w:r>
      <w:proofErr w:type="gramEnd"/>
      <w:r w:rsidR="0001297B">
        <w:rPr>
          <w:rFonts w:ascii="Times New Roman" w:eastAsia="Calibri" w:hAnsi="Times New Roman" w:cs="Times New Roman"/>
          <w:sz w:val="24"/>
          <w:szCs w:val="24"/>
        </w:rPr>
        <w:t xml:space="preserve"> </w:t>
      </w:r>
      <w:r w:rsidR="0052244B">
        <w:rPr>
          <w:rFonts w:ascii="Times New Roman" w:eastAsia="Calibri" w:hAnsi="Times New Roman" w:cs="Times New Roman"/>
          <w:sz w:val="24"/>
          <w:szCs w:val="24"/>
        </w:rPr>
        <w:t>Essay</w:t>
      </w:r>
    </w:p>
    <w:p w14:paraId="73972DD5" w14:textId="77777777" w:rsidR="008255CA" w:rsidRPr="00BB1CB6" w:rsidRDefault="008255CA" w:rsidP="008255CA">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 xml:space="preserve">Word </w:t>
      </w:r>
      <w:proofErr w:type="gramStart"/>
      <w:r w:rsidRPr="00BB1CB6">
        <w:rPr>
          <w:rFonts w:ascii="Times New Roman" w:eastAsia="Calibri" w:hAnsi="Times New Roman" w:cs="Times New Roman"/>
          <w:sz w:val="24"/>
          <w:szCs w:val="24"/>
        </w:rPr>
        <w:t>count :</w:t>
      </w:r>
      <w:proofErr w:type="gramEnd"/>
      <w:r w:rsidRPr="00BB1CB6">
        <w:rPr>
          <w:rFonts w:ascii="Times New Roman" w:eastAsia="Calibri" w:hAnsi="Times New Roman" w:cs="Times New Roman"/>
          <w:sz w:val="24"/>
          <w:szCs w:val="24"/>
        </w:rPr>
        <w:t xml:space="preserve"> </w:t>
      </w:r>
      <w:r>
        <w:rPr>
          <w:rFonts w:ascii="Times New Roman" w:eastAsia="Calibri" w:hAnsi="Times New Roman" w:cs="Times New Roman"/>
          <w:sz w:val="24"/>
          <w:szCs w:val="24"/>
        </w:rPr>
        <w:t>2</w:t>
      </w:r>
      <w:r>
        <w:rPr>
          <w:rFonts w:eastAsia="Calibri"/>
        </w:rPr>
        <w:t>5</w:t>
      </w:r>
      <w:r>
        <w:rPr>
          <w:rFonts w:ascii="Times New Roman" w:eastAsia="Calibri" w:hAnsi="Times New Roman" w:cs="Times New Roman"/>
          <w:sz w:val="24"/>
          <w:szCs w:val="24"/>
        </w:rPr>
        <w:t>00 +/-</w:t>
      </w:r>
    </w:p>
    <w:p w14:paraId="09C63D51" w14:textId="249D8D80" w:rsidR="008255CA" w:rsidRPr="00BB1CB6" w:rsidRDefault="008255CA" w:rsidP="008255CA">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Module code: LCBB</w:t>
      </w:r>
      <w:r w:rsidR="00F75A6C">
        <w:rPr>
          <w:rFonts w:ascii="Times New Roman" w:eastAsia="Calibri" w:hAnsi="Times New Roman" w:cs="Times New Roman"/>
          <w:sz w:val="24"/>
          <w:szCs w:val="24"/>
        </w:rPr>
        <w:t>6001</w:t>
      </w:r>
    </w:p>
    <w:p w14:paraId="2EA50736" w14:textId="77777777" w:rsidR="008255CA" w:rsidRPr="00BB1CB6" w:rsidRDefault="008255CA" w:rsidP="008255CA">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rPr>
        <w:t>Student name: Mariana Mihaela Cicu</w:t>
      </w:r>
    </w:p>
    <w:p w14:paraId="0C126AA0" w14:textId="77777777" w:rsidR="008255CA" w:rsidRDefault="008255CA" w:rsidP="008255CA">
      <w:pPr>
        <w:spacing w:line="360" w:lineRule="auto"/>
        <w:rPr>
          <w:rFonts w:ascii="Times New Roman" w:hAnsi="Times New Roman" w:cs="Times New Roman"/>
          <w:b/>
          <w:sz w:val="32"/>
        </w:rPr>
      </w:pPr>
      <w:r w:rsidRPr="00BB1CB6">
        <w:rPr>
          <w:rFonts w:ascii="Times New Roman" w:eastAsia="Calibri" w:hAnsi="Times New Roman" w:cs="Times New Roman"/>
          <w:sz w:val="24"/>
          <w:szCs w:val="24"/>
        </w:rPr>
        <w:t xml:space="preserve">Student ID </w:t>
      </w:r>
      <w:proofErr w:type="gramStart"/>
      <w:r w:rsidRPr="00BB1CB6">
        <w:rPr>
          <w:rFonts w:ascii="Times New Roman" w:eastAsia="Calibri" w:hAnsi="Times New Roman" w:cs="Times New Roman"/>
          <w:sz w:val="24"/>
          <w:szCs w:val="24"/>
        </w:rPr>
        <w:t>number :</w:t>
      </w:r>
      <w:proofErr w:type="gramEnd"/>
      <w:r w:rsidRPr="00BB1CB6">
        <w:rPr>
          <w:rFonts w:ascii="Times New Roman" w:eastAsia="Calibri" w:hAnsi="Times New Roman" w:cs="Times New Roman"/>
          <w:sz w:val="24"/>
          <w:szCs w:val="24"/>
        </w:rPr>
        <w:t xml:space="preserve"> 2028271</w:t>
      </w:r>
    </w:p>
    <w:p w14:paraId="399144F5" w14:textId="77777777" w:rsidR="008255CA" w:rsidRDefault="008255CA" w:rsidP="008255CA">
      <w:pPr>
        <w:spacing w:line="360" w:lineRule="auto"/>
        <w:rPr>
          <w:rFonts w:ascii="Times New Roman" w:hAnsi="Times New Roman" w:cs="Times New Roman"/>
          <w:b/>
          <w:sz w:val="32"/>
        </w:rPr>
      </w:pPr>
    </w:p>
    <w:p w14:paraId="111CCB11" w14:textId="270E39C5" w:rsidR="00472CED" w:rsidRPr="00003BC0" w:rsidRDefault="00472CED" w:rsidP="00472CED">
      <w:pPr>
        <w:spacing w:line="360" w:lineRule="auto"/>
        <w:jc w:val="center"/>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br w:type="page"/>
      </w:r>
    </w:p>
    <w:p w14:paraId="18A70639" w14:textId="77777777" w:rsidR="00524730" w:rsidRPr="00003BC0" w:rsidRDefault="00472CED"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lastRenderedPageBreak/>
        <w:t>Executive Summary</w:t>
      </w:r>
    </w:p>
    <w:p w14:paraId="5AA67147"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Business communication is a style that mainly concentrates on verbal communication which helps in avoiding conflict during communication. Through maintaining a polite communication style business companies can give a positive environment in the workplace. The pharmaceutical company of the UK, AstraZeneca focuses on good verbal communication to maintain their workplace environment. In this assignment, the application of theories on international and intercultural communication processes was discussed. The critical evolution of acceptance of cultural sensitivity in UK business companies was discussed here in this assignment. Different kinds of communication barriers and how the diverse workforce companies of the UK have experienced them were discussed here. Providing appropriate communication strategies for the business company was discussed in this assignment.</w:t>
      </w:r>
    </w:p>
    <w:p w14:paraId="3E548FF4" w14:textId="77777777" w:rsidR="00472CED" w:rsidRPr="00003BC0" w:rsidRDefault="00472CED" w:rsidP="00472CED">
      <w:pPr>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116657736"/>
        <w:docPartObj>
          <w:docPartGallery w:val="Table of Contents"/>
          <w:docPartUnique/>
        </w:docPartObj>
      </w:sdtPr>
      <w:sdtContent>
        <w:p w14:paraId="4D235157" w14:textId="77777777" w:rsidR="00472CED" w:rsidRPr="00003BC0" w:rsidRDefault="00472CED" w:rsidP="00472CED">
          <w:pPr>
            <w:pStyle w:val="TOCHeading"/>
            <w:spacing w:line="360" w:lineRule="auto"/>
            <w:jc w:val="center"/>
            <w:rPr>
              <w:rFonts w:ascii="Times New Roman" w:hAnsi="Times New Roman" w:cs="Times New Roman"/>
              <w:color w:val="auto"/>
              <w:sz w:val="24"/>
              <w:szCs w:val="24"/>
              <w:lang w:val="en-GB"/>
            </w:rPr>
          </w:pPr>
          <w:r w:rsidRPr="00003BC0">
            <w:rPr>
              <w:rFonts w:ascii="Times New Roman" w:hAnsi="Times New Roman" w:cs="Times New Roman"/>
              <w:color w:val="auto"/>
              <w:sz w:val="24"/>
              <w:szCs w:val="24"/>
              <w:lang w:val="en-GB"/>
            </w:rPr>
            <w:t>Table of Contents</w:t>
          </w:r>
        </w:p>
        <w:p w14:paraId="5EF45E4E" w14:textId="77777777" w:rsidR="00472CED" w:rsidRPr="00003BC0" w:rsidRDefault="00BC2EC8" w:rsidP="00472CED">
          <w:pPr>
            <w:pStyle w:val="TOC1"/>
            <w:tabs>
              <w:tab w:val="right" w:leader="dot" w:pos="9019"/>
            </w:tabs>
            <w:spacing w:line="360" w:lineRule="auto"/>
            <w:jc w:val="both"/>
            <w:rPr>
              <w:rFonts w:ascii="Times New Roman" w:hAnsi="Times New Roman" w:cs="Times New Roman"/>
              <w:noProof/>
              <w:sz w:val="24"/>
              <w:szCs w:val="24"/>
              <w:lang w:val="en-GB"/>
            </w:rPr>
          </w:pPr>
          <w:r w:rsidRPr="00003BC0">
            <w:rPr>
              <w:rFonts w:ascii="Times New Roman" w:hAnsi="Times New Roman" w:cs="Times New Roman"/>
              <w:sz w:val="24"/>
              <w:szCs w:val="24"/>
              <w:lang w:val="en-GB"/>
            </w:rPr>
            <w:fldChar w:fldCharType="begin"/>
          </w:r>
          <w:r w:rsidR="00472CED" w:rsidRPr="00003BC0">
            <w:rPr>
              <w:rFonts w:ascii="Times New Roman" w:hAnsi="Times New Roman" w:cs="Times New Roman"/>
              <w:sz w:val="24"/>
              <w:szCs w:val="24"/>
              <w:lang w:val="en-GB"/>
            </w:rPr>
            <w:instrText xml:space="preserve"> TOC \o "1-3" \h \z \u </w:instrText>
          </w:r>
          <w:r w:rsidRPr="00003BC0">
            <w:rPr>
              <w:rFonts w:ascii="Times New Roman" w:hAnsi="Times New Roman" w:cs="Times New Roman"/>
              <w:sz w:val="24"/>
              <w:szCs w:val="24"/>
              <w:lang w:val="en-GB"/>
            </w:rPr>
            <w:fldChar w:fldCharType="separate"/>
          </w:r>
          <w:hyperlink w:anchor="_Toc140338211" w:history="1">
            <w:r w:rsidR="00472CED" w:rsidRPr="00003BC0">
              <w:rPr>
                <w:rStyle w:val="Hyperlink"/>
                <w:rFonts w:ascii="Times New Roman" w:hAnsi="Times New Roman" w:cs="Times New Roman"/>
                <w:noProof/>
                <w:color w:val="auto"/>
                <w:sz w:val="24"/>
                <w:szCs w:val="24"/>
                <w:lang w:val="en-GB"/>
              </w:rPr>
              <w:t>Introduction</w:t>
            </w:r>
            <w:r w:rsidR="00472CED" w:rsidRPr="00003BC0">
              <w:rPr>
                <w:rFonts w:ascii="Times New Roman" w:hAnsi="Times New Roman" w:cs="Times New Roman"/>
                <w:noProof/>
                <w:webHidden/>
                <w:sz w:val="24"/>
                <w:szCs w:val="24"/>
                <w:lang w:val="en-GB"/>
              </w:rPr>
              <w:tab/>
            </w:r>
            <w:r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_Toc140338211 \h </w:instrText>
            </w:r>
            <w:r w:rsidRPr="00003BC0">
              <w:rPr>
                <w:rFonts w:ascii="Times New Roman" w:hAnsi="Times New Roman" w:cs="Times New Roman"/>
                <w:noProof/>
                <w:webHidden/>
                <w:sz w:val="24"/>
                <w:szCs w:val="24"/>
                <w:lang w:val="en-GB"/>
              </w:rPr>
            </w:r>
            <w:r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4</w:t>
            </w:r>
            <w:r w:rsidRPr="00003BC0">
              <w:rPr>
                <w:rFonts w:ascii="Times New Roman" w:hAnsi="Times New Roman" w:cs="Times New Roman"/>
                <w:noProof/>
                <w:webHidden/>
                <w:sz w:val="24"/>
                <w:szCs w:val="24"/>
                <w:lang w:val="en-GB"/>
              </w:rPr>
              <w:fldChar w:fldCharType="end"/>
            </w:r>
          </w:hyperlink>
        </w:p>
        <w:p w14:paraId="5FD2BF29"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2" w:history="1">
            <w:r w:rsidR="00472CED" w:rsidRPr="00003BC0">
              <w:rPr>
                <w:rStyle w:val="Hyperlink"/>
                <w:rFonts w:ascii="Times New Roman" w:hAnsi="Times New Roman" w:cs="Times New Roman"/>
                <w:noProof/>
                <w:color w:val="auto"/>
                <w:sz w:val="24"/>
                <w:szCs w:val="24"/>
                <w:lang w:val="en-GB"/>
              </w:rPr>
              <w:t>About AstraZeneca</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_Toc140338212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4</w:t>
            </w:r>
            <w:r w:rsidR="00BC2EC8" w:rsidRPr="00003BC0">
              <w:rPr>
                <w:rFonts w:ascii="Times New Roman" w:hAnsi="Times New Roman" w:cs="Times New Roman"/>
                <w:noProof/>
                <w:webHidden/>
                <w:sz w:val="24"/>
                <w:szCs w:val="24"/>
                <w:lang w:val="en-GB"/>
              </w:rPr>
              <w:fldChar w:fldCharType="end"/>
            </w:r>
          </w:hyperlink>
        </w:p>
        <w:p w14:paraId="32FC6628"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3" w:history="1">
            <w:r w:rsidR="00472CED" w:rsidRPr="00003BC0">
              <w:rPr>
                <w:rStyle w:val="Hyperlink"/>
                <w:rFonts w:ascii="Times New Roman" w:hAnsi="Times New Roman" w:cs="Times New Roman"/>
                <w:noProof/>
                <w:color w:val="auto"/>
                <w:sz w:val="24"/>
                <w:szCs w:val="24"/>
                <w:lang w:val="en-GB"/>
              </w:rPr>
              <w:t>International and intercultural communication in organisation</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_Toc140338213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5</w:t>
            </w:r>
            <w:r w:rsidR="00BC2EC8" w:rsidRPr="00003BC0">
              <w:rPr>
                <w:rFonts w:ascii="Times New Roman" w:hAnsi="Times New Roman" w:cs="Times New Roman"/>
                <w:noProof/>
                <w:webHidden/>
                <w:sz w:val="24"/>
                <w:szCs w:val="24"/>
                <w:lang w:val="en-GB"/>
              </w:rPr>
              <w:fldChar w:fldCharType="end"/>
            </w:r>
          </w:hyperlink>
        </w:p>
        <w:p w14:paraId="17E7D357"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4" w:history="1">
            <w:r w:rsidR="00472CED" w:rsidRPr="00003BC0">
              <w:rPr>
                <w:rStyle w:val="Hyperlink"/>
                <w:rFonts w:ascii="Times New Roman" w:hAnsi="Times New Roman" w:cs="Times New Roman"/>
                <w:noProof/>
                <w:color w:val="auto"/>
                <w:sz w:val="24"/>
                <w:szCs w:val="24"/>
                <w:lang w:val="en-GB"/>
              </w:rPr>
              <w:t>Critical evaluation of cultural sensitivity</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_Toc140338214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7</w:t>
            </w:r>
            <w:r w:rsidR="00BC2EC8" w:rsidRPr="00003BC0">
              <w:rPr>
                <w:rFonts w:ascii="Times New Roman" w:hAnsi="Times New Roman" w:cs="Times New Roman"/>
                <w:noProof/>
                <w:webHidden/>
                <w:sz w:val="24"/>
                <w:szCs w:val="24"/>
                <w:lang w:val="en-GB"/>
              </w:rPr>
              <w:fldChar w:fldCharType="end"/>
            </w:r>
          </w:hyperlink>
        </w:p>
        <w:p w14:paraId="33A37D09"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5" w:history="1">
            <w:r w:rsidR="00472CED" w:rsidRPr="00003BC0">
              <w:rPr>
                <w:rStyle w:val="Hyperlink"/>
                <w:rFonts w:ascii="Times New Roman" w:hAnsi="Times New Roman" w:cs="Times New Roman"/>
                <w:noProof/>
                <w:color w:val="auto"/>
                <w:sz w:val="24"/>
                <w:szCs w:val="24"/>
                <w:lang w:val="en-GB"/>
              </w:rPr>
              <w:t>Different communication barriers experienced by a diverse workforce</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_Toc140338215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8</w:t>
            </w:r>
            <w:r w:rsidR="00BC2EC8" w:rsidRPr="00003BC0">
              <w:rPr>
                <w:rFonts w:ascii="Times New Roman" w:hAnsi="Times New Roman" w:cs="Times New Roman"/>
                <w:noProof/>
                <w:webHidden/>
                <w:sz w:val="24"/>
                <w:szCs w:val="24"/>
                <w:lang w:val="en-GB"/>
              </w:rPr>
              <w:fldChar w:fldCharType="end"/>
            </w:r>
          </w:hyperlink>
        </w:p>
        <w:p w14:paraId="2200803D"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6" w:history="1">
            <w:r w:rsidR="00472CED" w:rsidRPr="00003BC0">
              <w:rPr>
                <w:rStyle w:val="Hyperlink"/>
                <w:rFonts w:ascii="Times New Roman" w:hAnsi="Times New Roman" w:cs="Times New Roman"/>
                <w:noProof/>
                <w:color w:val="auto"/>
                <w:sz w:val="24"/>
                <w:szCs w:val="24"/>
                <w:lang w:val="en-GB"/>
              </w:rPr>
              <w:t>Recommendation</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_Toc140338216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10</w:t>
            </w:r>
            <w:r w:rsidR="00BC2EC8" w:rsidRPr="00003BC0">
              <w:rPr>
                <w:rFonts w:ascii="Times New Roman" w:hAnsi="Times New Roman" w:cs="Times New Roman"/>
                <w:noProof/>
                <w:webHidden/>
                <w:sz w:val="24"/>
                <w:szCs w:val="24"/>
                <w:lang w:val="en-GB"/>
              </w:rPr>
              <w:fldChar w:fldCharType="end"/>
            </w:r>
          </w:hyperlink>
        </w:p>
        <w:p w14:paraId="08445FF5"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7" w:history="1">
            <w:r w:rsidR="00472CED" w:rsidRPr="00003BC0">
              <w:rPr>
                <w:rStyle w:val="Hyperlink"/>
                <w:rFonts w:ascii="Times New Roman" w:hAnsi="Times New Roman" w:cs="Times New Roman"/>
                <w:noProof/>
                <w:color w:val="auto"/>
                <w:sz w:val="24"/>
                <w:szCs w:val="24"/>
                <w:lang w:val="en-GB"/>
              </w:rPr>
              <w:t>Conclusion</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_Toc140338217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11</w:t>
            </w:r>
            <w:r w:rsidR="00BC2EC8" w:rsidRPr="00003BC0">
              <w:rPr>
                <w:rFonts w:ascii="Times New Roman" w:hAnsi="Times New Roman" w:cs="Times New Roman"/>
                <w:noProof/>
                <w:webHidden/>
                <w:sz w:val="24"/>
                <w:szCs w:val="24"/>
                <w:lang w:val="en-GB"/>
              </w:rPr>
              <w:fldChar w:fldCharType="end"/>
            </w:r>
          </w:hyperlink>
        </w:p>
        <w:p w14:paraId="4221EB88" w14:textId="77777777" w:rsidR="00472CED" w:rsidRPr="00003BC0" w:rsidRDefault="00000000" w:rsidP="00472CED">
          <w:pPr>
            <w:pStyle w:val="TOC1"/>
            <w:tabs>
              <w:tab w:val="right" w:leader="dot" w:pos="9019"/>
            </w:tabs>
            <w:spacing w:line="360" w:lineRule="auto"/>
            <w:jc w:val="both"/>
            <w:rPr>
              <w:rFonts w:ascii="Times New Roman" w:hAnsi="Times New Roman" w:cs="Times New Roman"/>
              <w:noProof/>
              <w:sz w:val="24"/>
              <w:szCs w:val="24"/>
              <w:lang w:val="en-GB"/>
            </w:rPr>
          </w:pPr>
          <w:hyperlink w:anchor="_Toc140338218" w:history="1">
            <w:r w:rsidR="00472CED" w:rsidRPr="00003BC0">
              <w:rPr>
                <w:rStyle w:val="Hyperlink"/>
                <w:rFonts w:ascii="Times New Roman" w:hAnsi="Times New Roman" w:cs="Times New Roman"/>
                <w:noProof/>
                <w:color w:val="auto"/>
                <w:sz w:val="24"/>
                <w:szCs w:val="24"/>
                <w:lang w:val="en-GB"/>
              </w:rPr>
              <w:t>Reference List</w:t>
            </w:r>
            <w:r w:rsidR="00472CED" w:rsidRPr="00003BC0">
              <w:rPr>
                <w:rFonts w:ascii="Times New Roman" w:hAnsi="Times New Roman" w:cs="Times New Roman"/>
                <w:noProof/>
                <w:webHidden/>
                <w:sz w:val="24"/>
                <w:szCs w:val="24"/>
                <w:lang w:val="en-GB"/>
              </w:rPr>
              <w:tab/>
            </w:r>
            <w:r w:rsidR="00BC2EC8" w:rsidRPr="00003BC0">
              <w:rPr>
                <w:rFonts w:ascii="Times New Roman" w:hAnsi="Times New Roman" w:cs="Times New Roman"/>
                <w:noProof/>
                <w:webHidden/>
                <w:sz w:val="24"/>
                <w:szCs w:val="24"/>
                <w:lang w:val="en-GB"/>
              </w:rPr>
              <w:fldChar w:fldCharType="begin"/>
            </w:r>
            <w:r w:rsidR="00472CED" w:rsidRPr="00003BC0">
              <w:rPr>
                <w:rFonts w:ascii="Times New Roman" w:hAnsi="Times New Roman" w:cs="Times New Roman"/>
                <w:noProof/>
                <w:webHidden/>
                <w:sz w:val="24"/>
                <w:szCs w:val="24"/>
                <w:lang w:val="en-GB"/>
              </w:rPr>
              <w:instrText xml:space="preserve"> PAGEREF _Toc140338218 \h </w:instrText>
            </w:r>
            <w:r w:rsidR="00BC2EC8" w:rsidRPr="00003BC0">
              <w:rPr>
                <w:rFonts w:ascii="Times New Roman" w:hAnsi="Times New Roman" w:cs="Times New Roman"/>
                <w:noProof/>
                <w:webHidden/>
                <w:sz w:val="24"/>
                <w:szCs w:val="24"/>
                <w:lang w:val="en-GB"/>
              </w:rPr>
            </w:r>
            <w:r w:rsidR="00BC2EC8" w:rsidRPr="00003BC0">
              <w:rPr>
                <w:rFonts w:ascii="Times New Roman" w:hAnsi="Times New Roman" w:cs="Times New Roman"/>
                <w:noProof/>
                <w:webHidden/>
                <w:sz w:val="24"/>
                <w:szCs w:val="24"/>
                <w:lang w:val="en-GB"/>
              </w:rPr>
              <w:fldChar w:fldCharType="separate"/>
            </w:r>
            <w:r w:rsidR="00003BC0">
              <w:rPr>
                <w:rFonts w:ascii="Times New Roman" w:hAnsi="Times New Roman" w:cs="Times New Roman"/>
                <w:noProof/>
                <w:webHidden/>
                <w:sz w:val="24"/>
                <w:szCs w:val="24"/>
                <w:lang w:val="en-GB"/>
              </w:rPr>
              <w:t>12</w:t>
            </w:r>
            <w:r w:rsidR="00BC2EC8" w:rsidRPr="00003BC0">
              <w:rPr>
                <w:rFonts w:ascii="Times New Roman" w:hAnsi="Times New Roman" w:cs="Times New Roman"/>
                <w:noProof/>
                <w:webHidden/>
                <w:sz w:val="24"/>
                <w:szCs w:val="24"/>
                <w:lang w:val="en-GB"/>
              </w:rPr>
              <w:fldChar w:fldCharType="end"/>
            </w:r>
          </w:hyperlink>
        </w:p>
        <w:p w14:paraId="2A559CB8" w14:textId="77777777" w:rsidR="00472CED" w:rsidRPr="00003BC0" w:rsidRDefault="00BC2EC8" w:rsidP="00472CED">
          <w:pPr>
            <w:spacing w:line="360" w:lineRule="auto"/>
            <w:jc w:val="both"/>
            <w:rPr>
              <w:lang w:val="en-GB"/>
            </w:rPr>
          </w:pPr>
          <w:r w:rsidRPr="00003BC0">
            <w:rPr>
              <w:rFonts w:ascii="Times New Roman" w:hAnsi="Times New Roman" w:cs="Times New Roman"/>
              <w:sz w:val="24"/>
              <w:szCs w:val="24"/>
              <w:lang w:val="en-GB"/>
            </w:rPr>
            <w:fldChar w:fldCharType="end"/>
          </w:r>
        </w:p>
      </w:sdtContent>
    </w:sdt>
    <w:p w14:paraId="316A104B" w14:textId="77777777" w:rsidR="00472CED" w:rsidRPr="00003BC0" w:rsidRDefault="00472CED" w:rsidP="00472CED">
      <w:pPr>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br w:type="page"/>
      </w:r>
    </w:p>
    <w:p w14:paraId="4CFFD1BB" w14:textId="77777777" w:rsidR="00524730" w:rsidRPr="00003BC0" w:rsidRDefault="00472CED" w:rsidP="00472CED">
      <w:pPr>
        <w:pStyle w:val="Heading1"/>
        <w:rPr>
          <w:lang w:val="en-GB"/>
        </w:rPr>
      </w:pPr>
      <w:bookmarkStart w:id="0" w:name="_Toc140338211"/>
      <w:r w:rsidRPr="00003BC0">
        <w:rPr>
          <w:lang w:val="en-GB"/>
        </w:rPr>
        <w:lastRenderedPageBreak/>
        <w:t>Introduction</w:t>
      </w:r>
      <w:bookmarkEnd w:id="0"/>
      <w:r w:rsidRPr="00003BC0">
        <w:rPr>
          <w:lang w:val="en-GB"/>
        </w:rPr>
        <w:t xml:space="preserve"> </w:t>
      </w:r>
    </w:p>
    <w:p w14:paraId="0D1DCD86"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British business communication is a style of communication that is maintained by the British. It mainly reflects indirect verbal communication that helps to avoid conflict during communication. It also implements all the necessary measures that help to maintain politeness through the process of communication. It is most important to always communicate with others politely by avoiding any type of conflict which also enhances communication. In this assignment, it is based on the process of making a positive environment in the workplace of all those companies. Being a multinational company, AstraZeneca also gives more focus on their communication and engagement process which makes a positive environment for their diverse workforce. It discusses international and intercultural communication in the organisation </w:t>
      </w:r>
      <w:proofErr w:type="gramStart"/>
      <w:r w:rsidRPr="00003BC0">
        <w:rPr>
          <w:rFonts w:ascii="Times New Roman" w:eastAsia="Times New Roman" w:hAnsi="Times New Roman" w:cs="Times New Roman"/>
          <w:sz w:val="24"/>
          <w:szCs w:val="24"/>
          <w:lang w:val="en-GB"/>
        </w:rPr>
        <w:t>and also</w:t>
      </w:r>
      <w:proofErr w:type="gramEnd"/>
      <w:r w:rsidRPr="00003BC0">
        <w:rPr>
          <w:rFonts w:ascii="Times New Roman" w:eastAsia="Times New Roman" w:hAnsi="Times New Roman" w:cs="Times New Roman"/>
          <w:sz w:val="24"/>
          <w:szCs w:val="24"/>
          <w:lang w:val="en-GB"/>
        </w:rPr>
        <w:t xml:space="preserve"> explains cultural sensitivity that helps to maintain diversity. After that, it also explains different communication barriers and provides some recommendations for making a positive environment in the workplace.  </w:t>
      </w:r>
    </w:p>
    <w:p w14:paraId="4B62584F" w14:textId="77777777" w:rsidR="00524730" w:rsidRPr="00003BC0" w:rsidRDefault="00472CED" w:rsidP="00472CED">
      <w:pPr>
        <w:pStyle w:val="Heading1"/>
        <w:rPr>
          <w:lang w:val="en-GB"/>
        </w:rPr>
      </w:pPr>
      <w:bookmarkStart w:id="1" w:name="_Toc140338212"/>
      <w:r w:rsidRPr="00003BC0">
        <w:rPr>
          <w:lang w:val="en-GB"/>
        </w:rPr>
        <w:t>About AstraZeneca</w:t>
      </w:r>
      <w:bookmarkEnd w:id="1"/>
    </w:p>
    <w:p w14:paraId="16E2A53F"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AstraZeneca is a multinational biotechnology and pharmaceutical company that always tries to make more innovative developments in pharma with the help of science. This company serves its services globally and transforms the future of the healthcare sector in a new way that helps to make society, the planet, and people better than previously (AstraZeneca, 2023). This company always tries to make more developments in their services and give more innovative things with the help of science. It helps them to make more unique and different medicine that helps the people, patients, </w:t>
      </w:r>
      <w:proofErr w:type="gramStart"/>
      <w:r w:rsidRPr="00003BC0">
        <w:rPr>
          <w:rFonts w:ascii="Times New Roman" w:eastAsia="Times New Roman" w:hAnsi="Times New Roman" w:cs="Times New Roman"/>
          <w:sz w:val="24"/>
          <w:szCs w:val="24"/>
          <w:lang w:val="en-GB"/>
        </w:rPr>
        <w:t>and also</w:t>
      </w:r>
      <w:proofErr w:type="gramEnd"/>
      <w:r w:rsidRPr="00003BC0">
        <w:rPr>
          <w:rFonts w:ascii="Times New Roman" w:eastAsia="Times New Roman" w:hAnsi="Times New Roman" w:cs="Times New Roman"/>
          <w:sz w:val="24"/>
          <w:szCs w:val="24"/>
          <w:lang w:val="en-GB"/>
        </w:rPr>
        <w:t xml:space="preserve"> the healthcare sector by changing the basic concept. Being a multinational company, they also manage a diverse workforce in their organisation. While this company maintains its communication process and style more effectively to increase engagement among its diverse team. It helps them to easily enhance their collaboration which helps to discuss more innovative facts about science that make a revolution in the pharmaceutical industry (</w:t>
      </w:r>
      <w:r w:rsidRPr="00003BC0">
        <w:rPr>
          <w:rFonts w:ascii="Times New Roman" w:hAnsi="Times New Roman" w:cs="Times New Roman"/>
          <w:sz w:val="24"/>
          <w:szCs w:val="24"/>
          <w:highlight w:val="white"/>
          <w:lang w:val="en-GB"/>
        </w:rPr>
        <w:t>Moore et al., 2022</w:t>
      </w:r>
      <w:r w:rsidRPr="00003BC0">
        <w:rPr>
          <w:rFonts w:ascii="Times New Roman" w:eastAsia="Times New Roman" w:hAnsi="Times New Roman" w:cs="Times New Roman"/>
          <w:sz w:val="24"/>
          <w:szCs w:val="24"/>
          <w:lang w:val="en-GB"/>
        </w:rPr>
        <w:t xml:space="preserve">). This company AstraZeneca always tries to make an effective and positive environment in the workplace that also impacts all those employees positively. It helps to make a visionary perception that creates a positive change with developing outcomes. They also focus on increasing communication by avoiding cultural differences in the diverse workforce. </w:t>
      </w:r>
    </w:p>
    <w:p w14:paraId="0FEA0D80"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noProof/>
          <w:sz w:val="24"/>
          <w:szCs w:val="24"/>
          <w:lang w:val="en-GB"/>
        </w:rPr>
        <w:lastRenderedPageBreak/>
        <w:drawing>
          <wp:inline distT="0" distB="0" distL="0" distR="0" wp14:anchorId="2070B524" wp14:editId="1EE1E326">
            <wp:extent cx="5733415" cy="3038654"/>
            <wp:effectExtent l="1905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5733415" cy="3038654"/>
                    </a:xfrm>
                    <a:prstGeom prst="rect">
                      <a:avLst/>
                    </a:prstGeom>
                    <a:noFill/>
                    <a:ln w="9525">
                      <a:noFill/>
                      <a:miter lim="800000"/>
                      <a:headEnd/>
                      <a:tailEnd/>
                    </a:ln>
                  </pic:spPr>
                </pic:pic>
              </a:graphicData>
            </a:graphic>
          </wp:inline>
        </w:drawing>
      </w:r>
    </w:p>
    <w:p w14:paraId="2114900A"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Figure 1: AstraZeneca</w:t>
      </w:r>
    </w:p>
    <w:p w14:paraId="2CE68D60"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(Source: Self-created)</w:t>
      </w:r>
    </w:p>
    <w:p w14:paraId="23CA6921" w14:textId="77777777" w:rsidR="00524730" w:rsidRPr="00003BC0" w:rsidRDefault="009D28A9" w:rsidP="00472CED">
      <w:pPr>
        <w:pStyle w:val="Heading1"/>
        <w:rPr>
          <w:lang w:val="en-GB"/>
        </w:rPr>
      </w:pPr>
      <w:bookmarkStart w:id="2" w:name="_Toc140338213"/>
      <w:r w:rsidRPr="00003BC0">
        <w:rPr>
          <w:lang w:val="en-GB"/>
        </w:rPr>
        <w:t>International and intercultural</w:t>
      </w:r>
      <w:r w:rsidR="00472CED" w:rsidRPr="00003BC0">
        <w:rPr>
          <w:lang w:val="en-GB"/>
        </w:rPr>
        <w:t xml:space="preserve"> communication in organisation</w:t>
      </w:r>
      <w:bookmarkEnd w:id="2"/>
      <w:r w:rsidR="00472CED" w:rsidRPr="00003BC0">
        <w:rPr>
          <w:lang w:val="en-GB"/>
        </w:rPr>
        <w:t xml:space="preserve"> </w:t>
      </w:r>
    </w:p>
    <w:p w14:paraId="272FD4E2"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International communication in organisation</w:t>
      </w:r>
    </w:p>
    <w:p w14:paraId="710696EC" w14:textId="24D5329F"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AstraZeneca is a multinational company in the UK, which operates its business in the international field, so the company </w:t>
      </w:r>
      <w:proofErr w:type="gramStart"/>
      <w:r w:rsidRPr="00003BC0">
        <w:rPr>
          <w:rFonts w:ascii="Times New Roman" w:eastAsia="Times New Roman" w:hAnsi="Times New Roman" w:cs="Times New Roman"/>
          <w:sz w:val="24"/>
          <w:szCs w:val="24"/>
          <w:lang w:val="en-GB"/>
        </w:rPr>
        <w:t>has to</w:t>
      </w:r>
      <w:proofErr w:type="gramEnd"/>
      <w:r w:rsidRPr="00003BC0">
        <w:rPr>
          <w:rFonts w:ascii="Times New Roman" w:eastAsia="Times New Roman" w:hAnsi="Times New Roman" w:cs="Times New Roman"/>
          <w:sz w:val="24"/>
          <w:szCs w:val="24"/>
          <w:lang w:val="en-GB"/>
        </w:rPr>
        <w:t xml:space="preserve"> maintain some practices for communication with its international clients. According to the Samovar theory, communication is a way where two people interact with their thoughts and ideas and they share feelings. The </w:t>
      </w:r>
      <w:r w:rsidR="00003BC0" w:rsidRPr="00003BC0">
        <w:rPr>
          <w:rFonts w:ascii="Times New Roman" w:eastAsia="Times New Roman" w:hAnsi="Times New Roman" w:cs="Times New Roman"/>
          <w:sz w:val="24"/>
          <w:szCs w:val="24"/>
          <w:lang w:val="en-GB"/>
        </w:rPr>
        <w:t>AstraZeneca</w:t>
      </w:r>
      <w:r w:rsidRPr="00003BC0">
        <w:rPr>
          <w:rFonts w:ascii="Times New Roman" w:eastAsia="Times New Roman" w:hAnsi="Times New Roman" w:cs="Times New Roman"/>
          <w:sz w:val="24"/>
          <w:szCs w:val="24"/>
          <w:lang w:val="en-GB"/>
        </w:rPr>
        <w:t xml:space="preserve"> </w:t>
      </w:r>
      <w:r w:rsidR="00003BC0" w:rsidRPr="00003BC0">
        <w:rPr>
          <w:rFonts w:ascii="Times New Roman" w:eastAsia="Times New Roman" w:hAnsi="Times New Roman" w:cs="Times New Roman"/>
          <w:sz w:val="24"/>
          <w:szCs w:val="24"/>
          <w:lang w:val="en-GB"/>
        </w:rPr>
        <w:t>Company</w:t>
      </w:r>
      <w:r w:rsidRPr="00003BC0">
        <w:rPr>
          <w:rFonts w:ascii="Times New Roman" w:eastAsia="Times New Roman" w:hAnsi="Times New Roman" w:cs="Times New Roman"/>
          <w:sz w:val="24"/>
          <w:szCs w:val="24"/>
          <w:lang w:val="en-GB"/>
        </w:rPr>
        <w:t xml:space="preserve"> uses this theory in their operating business to run their business also in the international field. Through international communication in the organisation, AstraZeneca companies easily build up effective relationships with their clients and give them the best service as per customer needs </w:t>
      </w:r>
      <w:r w:rsidRPr="00003BC0">
        <w:rPr>
          <w:rFonts w:ascii="Times New Roman" w:hAnsi="Times New Roman" w:cs="Times New Roman"/>
          <w:sz w:val="24"/>
          <w:szCs w:val="24"/>
          <w:highlight w:val="white"/>
          <w:lang w:val="en-GB"/>
        </w:rPr>
        <w:t>(</w:t>
      </w:r>
      <w:proofErr w:type="spellStart"/>
      <w:r w:rsidRPr="00003BC0">
        <w:rPr>
          <w:rFonts w:ascii="Times New Roman" w:hAnsi="Times New Roman" w:cs="Times New Roman"/>
          <w:sz w:val="24"/>
          <w:szCs w:val="24"/>
          <w:highlight w:val="white"/>
          <w:lang w:val="en-GB"/>
        </w:rPr>
        <w:t>Gierusz</w:t>
      </w:r>
      <w:proofErr w:type="spellEnd"/>
      <w:r w:rsidRPr="00003BC0">
        <w:rPr>
          <w:rFonts w:ascii="Times New Roman" w:hAnsi="Times New Roman" w:cs="Times New Roman"/>
          <w:sz w:val="24"/>
          <w:szCs w:val="24"/>
          <w:highlight w:val="white"/>
          <w:lang w:val="en-GB"/>
        </w:rPr>
        <w:t xml:space="preserve"> et al., 2022)</w:t>
      </w:r>
      <w:r w:rsidRPr="00003BC0">
        <w:rPr>
          <w:rFonts w:ascii="Times New Roman" w:eastAsia="Times New Roman" w:hAnsi="Times New Roman" w:cs="Times New Roman"/>
          <w:sz w:val="24"/>
          <w:szCs w:val="24"/>
          <w:lang w:val="en-GB"/>
        </w:rPr>
        <w:t xml:space="preserve">. A well-built relationship always motivates the company to hold its sustainability in the international competitive market. In the company’s working environment, proper international communication decreases </w:t>
      </w:r>
      <w:proofErr w:type="gramStart"/>
      <w:r w:rsidRPr="00003BC0">
        <w:rPr>
          <w:rFonts w:ascii="Times New Roman" w:eastAsia="Times New Roman" w:hAnsi="Times New Roman" w:cs="Times New Roman"/>
          <w:sz w:val="24"/>
          <w:szCs w:val="24"/>
          <w:lang w:val="en-GB"/>
        </w:rPr>
        <w:t>mi</w:t>
      </w:r>
      <w:r w:rsidR="00532AF5">
        <w:rPr>
          <w:rFonts w:ascii="Times New Roman" w:eastAsia="Times New Roman" w:hAnsi="Times New Roman" w:cs="Times New Roman"/>
          <w:sz w:val="24"/>
          <w:szCs w:val="24"/>
          <w:lang w:val="en-GB"/>
        </w:rPr>
        <w:t>s</w:t>
      </w:r>
      <w:r w:rsidRPr="00003BC0">
        <w:rPr>
          <w:rFonts w:ascii="Times New Roman" w:eastAsia="Times New Roman" w:hAnsi="Times New Roman" w:cs="Times New Roman"/>
          <w:sz w:val="24"/>
          <w:szCs w:val="24"/>
          <w:lang w:val="en-GB"/>
        </w:rPr>
        <w:t>understanding</w:t>
      </w:r>
      <w:proofErr w:type="gramEnd"/>
      <w:r w:rsidRPr="00003BC0">
        <w:rPr>
          <w:rFonts w:ascii="Times New Roman" w:eastAsia="Times New Roman" w:hAnsi="Times New Roman" w:cs="Times New Roman"/>
          <w:sz w:val="24"/>
          <w:szCs w:val="24"/>
          <w:lang w:val="en-GB"/>
        </w:rPr>
        <w:t xml:space="preserve"> and the company can easily understand their potential customers' demands and try their best to </w:t>
      </w:r>
      <w:r w:rsidR="00003BC0" w:rsidRPr="00003BC0">
        <w:rPr>
          <w:rFonts w:ascii="Times New Roman" w:eastAsia="Times New Roman" w:hAnsi="Times New Roman" w:cs="Times New Roman"/>
          <w:sz w:val="24"/>
          <w:szCs w:val="24"/>
          <w:lang w:val="en-GB"/>
        </w:rPr>
        <w:t>fulfil</w:t>
      </w:r>
      <w:r w:rsidRPr="00003BC0">
        <w:rPr>
          <w:rFonts w:ascii="Times New Roman" w:eastAsia="Times New Roman" w:hAnsi="Times New Roman" w:cs="Times New Roman"/>
          <w:sz w:val="24"/>
          <w:szCs w:val="24"/>
          <w:lang w:val="en-GB"/>
        </w:rPr>
        <w:t xml:space="preserve"> that demand accordingly. </w:t>
      </w:r>
    </w:p>
    <w:p w14:paraId="24D8DE1D"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With the help of providing services, it also reduces chances to occur a conflict between potential customers and the company's employees. Sometimes conflicts happen when experienced employees easily handle these obstacles through their proper communication skills. This way helps customers' thinking process and clients demonstrate that their preferred </w:t>
      </w:r>
      <w:r w:rsidRPr="00003BC0">
        <w:rPr>
          <w:rFonts w:ascii="Times New Roman" w:eastAsia="Times New Roman" w:hAnsi="Times New Roman" w:cs="Times New Roman"/>
          <w:sz w:val="24"/>
          <w:szCs w:val="24"/>
          <w:lang w:val="en-GB"/>
        </w:rPr>
        <w:lastRenderedPageBreak/>
        <w:t xml:space="preserve">company can handle any obstacles in the business. In addition, AstraZeneca is also grateful to implement this theory in their business and get more benefits to run their business all over the world. Effective international communication also helps the organisation to easily collaborate with their potential customers and enhances their teamwork </w:t>
      </w:r>
      <w:r w:rsidRPr="00003BC0">
        <w:rPr>
          <w:rFonts w:ascii="Times New Roman" w:hAnsi="Times New Roman" w:cs="Times New Roman"/>
          <w:sz w:val="24"/>
          <w:szCs w:val="24"/>
          <w:highlight w:val="white"/>
          <w:lang w:val="en-GB"/>
        </w:rPr>
        <w:t>(</w:t>
      </w:r>
      <w:proofErr w:type="spellStart"/>
      <w:r w:rsidRPr="00003BC0">
        <w:rPr>
          <w:rFonts w:ascii="Times New Roman" w:hAnsi="Times New Roman" w:cs="Times New Roman"/>
          <w:sz w:val="24"/>
          <w:szCs w:val="24"/>
          <w:highlight w:val="white"/>
          <w:lang w:val="en-GB"/>
        </w:rPr>
        <w:t>R’boul</w:t>
      </w:r>
      <w:proofErr w:type="spellEnd"/>
      <w:r w:rsidRPr="00003BC0">
        <w:rPr>
          <w:rFonts w:ascii="Times New Roman" w:hAnsi="Times New Roman" w:cs="Times New Roman"/>
          <w:sz w:val="24"/>
          <w:szCs w:val="24"/>
          <w:highlight w:val="white"/>
          <w:lang w:val="en-GB"/>
        </w:rPr>
        <w:t>, 2022)</w:t>
      </w:r>
      <w:r w:rsidRPr="00003BC0">
        <w:rPr>
          <w:rFonts w:ascii="Times New Roman" w:eastAsia="Times New Roman" w:hAnsi="Times New Roman" w:cs="Times New Roman"/>
          <w:sz w:val="24"/>
          <w:szCs w:val="24"/>
          <w:lang w:val="en-GB"/>
        </w:rPr>
        <w:t xml:space="preserve">. This process indicates that it directly increased the company’s productivity level in the market. </w:t>
      </w:r>
      <w:proofErr w:type="gramStart"/>
      <w:r w:rsidRPr="00003BC0">
        <w:rPr>
          <w:rFonts w:ascii="Times New Roman" w:eastAsia="Times New Roman" w:hAnsi="Times New Roman" w:cs="Times New Roman"/>
          <w:sz w:val="24"/>
          <w:szCs w:val="24"/>
          <w:lang w:val="en-GB"/>
        </w:rPr>
        <w:t>As well as,</w:t>
      </w:r>
      <w:proofErr w:type="gramEnd"/>
      <w:r w:rsidRPr="00003BC0">
        <w:rPr>
          <w:rFonts w:ascii="Times New Roman" w:eastAsia="Times New Roman" w:hAnsi="Times New Roman" w:cs="Times New Roman"/>
          <w:sz w:val="24"/>
          <w:szCs w:val="24"/>
          <w:lang w:val="en-GB"/>
        </w:rPr>
        <w:t xml:space="preserve"> proper international communication easily presents a strong framework for the company in front of the world, which attracts more people to their potential customers.</w:t>
      </w:r>
    </w:p>
    <w:p w14:paraId="2ECDB41C"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Intercultural communication in organisation</w:t>
      </w:r>
    </w:p>
    <w:p w14:paraId="24836B24"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AstraZeneca is a popular leading company in the UK, which runs its successful business all over the world. The company hires various people in their business as employees, who belong to different cultures, so cultural diversity is a common thing in the company’s workplace. In the workplace cultivating diversity is the AstraZeneca </w:t>
      </w:r>
      <w:r w:rsidR="00472CED" w:rsidRPr="00003BC0">
        <w:rPr>
          <w:rFonts w:ascii="Times New Roman" w:eastAsia="Times New Roman" w:hAnsi="Times New Roman" w:cs="Times New Roman"/>
          <w:sz w:val="24"/>
          <w:szCs w:val="24"/>
          <w:lang w:val="en-GB"/>
        </w:rPr>
        <w:t>Company’s</w:t>
      </w:r>
      <w:r w:rsidRPr="00003BC0">
        <w:rPr>
          <w:rFonts w:ascii="Times New Roman" w:eastAsia="Times New Roman" w:hAnsi="Times New Roman" w:cs="Times New Roman"/>
          <w:sz w:val="24"/>
          <w:szCs w:val="24"/>
          <w:lang w:val="en-GB"/>
        </w:rPr>
        <w:t xml:space="preserve"> target because this makes the company </w:t>
      </w:r>
      <w:proofErr w:type="gramStart"/>
      <w:r w:rsidRPr="00003BC0">
        <w:rPr>
          <w:rFonts w:ascii="Times New Roman" w:eastAsia="Times New Roman" w:hAnsi="Times New Roman" w:cs="Times New Roman"/>
          <w:sz w:val="24"/>
          <w:szCs w:val="24"/>
          <w:lang w:val="en-GB"/>
        </w:rPr>
        <w:t>more strong</w:t>
      </w:r>
      <w:proofErr w:type="gramEnd"/>
      <w:r w:rsidRPr="00003BC0">
        <w:rPr>
          <w:rFonts w:ascii="Times New Roman" w:eastAsia="Times New Roman" w:hAnsi="Times New Roman" w:cs="Times New Roman"/>
          <w:sz w:val="24"/>
          <w:szCs w:val="24"/>
          <w:lang w:val="en-GB"/>
        </w:rPr>
        <w:t xml:space="preserve"> to combat with other companies (</w:t>
      </w:r>
      <w:proofErr w:type="spellStart"/>
      <w:r w:rsidRPr="00003BC0">
        <w:rPr>
          <w:rFonts w:ascii="Times New Roman" w:hAnsi="Times New Roman" w:cs="Times New Roman"/>
          <w:sz w:val="24"/>
          <w:szCs w:val="24"/>
          <w:highlight w:val="white"/>
          <w:lang w:val="en-GB"/>
        </w:rPr>
        <w:t>Temerak</w:t>
      </w:r>
      <w:proofErr w:type="spellEnd"/>
      <w:r w:rsidRPr="00003BC0">
        <w:rPr>
          <w:rFonts w:ascii="Times New Roman" w:hAnsi="Times New Roman" w:cs="Times New Roman"/>
          <w:sz w:val="24"/>
          <w:szCs w:val="24"/>
          <w:highlight w:val="white"/>
          <w:lang w:val="en-GB"/>
        </w:rPr>
        <w:t xml:space="preserve"> et al., 2023</w:t>
      </w:r>
      <w:r w:rsidRPr="00003BC0">
        <w:rPr>
          <w:rFonts w:ascii="Times New Roman" w:eastAsia="Times New Roman" w:hAnsi="Times New Roman" w:cs="Times New Roman"/>
          <w:sz w:val="24"/>
          <w:szCs w:val="24"/>
          <w:lang w:val="en-GB"/>
        </w:rPr>
        <w:t xml:space="preserve">). According to the Hofstede cultural dimension theory, being an international business, organisational cross-cultural communication is a common framework. Moreover, this theory also evaluates that in a group intercultural communication affects all the members of the group. AstraZeneca utilised Hofstede's cultural dimension theory in their business and adequately developed a peer relationship among their all employees. Through implementing the Hofstede theory in the </w:t>
      </w:r>
      <w:proofErr w:type="gramStart"/>
      <w:r w:rsidRPr="00003BC0">
        <w:rPr>
          <w:rFonts w:ascii="Times New Roman" w:eastAsia="Times New Roman" w:hAnsi="Times New Roman" w:cs="Times New Roman"/>
          <w:sz w:val="24"/>
          <w:szCs w:val="24"/>
          <w:lang w:val="en-GB"/>
        </w:rPr>
        <w:t>business</w:t>
      </w:r>
      <w:proofErr w:type="gramEnd"/>
      <w:r w:rsidRPr="00003BC0">
        <w:rPr>
          <w:rFonts w:ascii="Times New Roman" w:eastAsia="Times New Roman" w:hAnsi="Times New Roman" w:cs="Times New Roman"/>
          <w:sz w:val="24"/>
          <w:szCs w:val="24"/>
          <w:lang w:val="en-GB"/>
        </w:rPr>
        <w:t xml:space="preserve"> the company encourages all employees to adopt other cultures and behaviour, so employees can feel comfortable and flexible during the communication. </w:t>
      </w:r>
    </w:p>
    <w:p w14:paraId="60B21D2B"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Moreover, it also makes employees open-minded in the workplace, so they never hesitate to communicate with people from other cultures. This theory also helps employees as well as organisations to understand other culture's ethics, social norms, and many more. This way helps both people to easily cooperate through proper intercultural communication. In intercultural communication, open mind discussion also increases the value of communication power and employees give outstanding performances in the business practices (</w:t>
      </w:r>
      <w:r w:rsidRPr="00003BC0">
        <w:rPr>
          <w:rFonts w:ascii="Times New Roman" w:hAnsi="Times New Roman" w:cs="Times New Roman"/>
          <w:sz w:val="24"/>
          <w:szCs w:val="24"/>
          <w:highlight w:val="white"/>
          <w:lang w:val="en-GB"/>
        </w:rPr>
        <w:t>Lew et al., 2023</w:t>
      </w:r>
      <w:r w:rsidRPr="00003BC0">
        <w:rPr>
          <w:rFonts w:ascii="Times New Roman" w:eastAsia="Times New Roman" w:hAnsi="Times New Roman" w:cs="Times New Roman"/>
          <w:sz w:val="24"/>
          <w:szCs w:val="24"/>
          <w:lang w:val="en-GB"/>
        </w:rPr>
        <w:t>). Through this type of cultural communication maintained in the company, new employees also show their interest to join the company and give their best services in the business. It indicates that AstraZeneca’s productivity level is increasing randomly in the market and brings more advantages and success to the company. The company also easily achieves its aim with maintaining intercultural communication in the workplace.</w:t>
      </w:r>
    </w:p>
    <w:p w14:paraId="2C15D356" w14:textId="77777777" w:rsidR="00524730" w:rsidRPr="00003BC0" w:rsidRDefault="009D28A9" w:rsidP="00472CED">
      <w:pPr>
        <w:pStyle w:val="Heading1"/>
        <w:rPr>
          <w:lang w:val="en-GB"/>
        </w:rPr>
      </w:pPr>
      <w:bookmarkStart w:id="3" w:name="_Toc140338214"/>
      <w:r w:rsidRPr="00003BC0">
        <w:rPr>
          <w:lang w:val="en-GB"/>
        </w:rPr>
        <w:lastRenderedPageBreak/>
        <w:t>Critical evaluation</w:t>
      </w:r>
      <w:r w:rsidR="00472CED" w:rsidRPr="00003BC0">
        <w:rPr>
          <w:lang w:val="en-GB"/>
        </w:rPr>
        <w:t xml:space="preserve"> of cultural sensitivity</w:t>
      </w:r>
      <w:bookmarkEnd w:id="3"/>
      <w:r w:rsidR="00472CED" w:rsidRPr="00003BC0">
        <w:rPr>
          <w:lang w:val="en-GB"/>
        </w:rPr>
        <w:t xml:space="preserve"> </w:t>
      </w:r>
    </w:p>
    <w:p w14:paraId="5C59667A"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Strengthens the </w:t>
      </w:r>
      <w:proofErr w:type="gramStart"/>
      <w:r w:rsidRPr="00003BC0">
        <w:rPr>
          <w:rFonts w:ascii="Times New Roman" w:eastAsia="Times New Roman" w:hAnsi="Times New Roman" w:cs="Times New Roman"/>
          <w:b/>
          <w:sz w:val="24"/>
          <w:szCs w:val="24"/>
          <w:lang w:val="en-GB"/>
        </w:rPr>
        <w:t>employees</w:t>
      </w:r>
      <w:proofErr w:type="gramEnd"/>
      <w:r w:rsidRPr="00003BC0">
        <w:rPr>
          <w:rFonts w:ascii="Times New Roman" w:eastAsia="Times New Roman" w:hAnsi="Times New Roman" w:cs="Times New Roman"/>
          <w:b/>
          <w:sz w:val="24"/>
          <w:szCs w:val="24"/>
          <w:lang w:val="en-GB"/>
        </w:rPr>
        <w:t xml:space="preserve"> </w:t>
      </w:r>
    </w:p>
    <w:p w14:paraId="6CBD4729"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Cultural sensitivity is the acceptance of cultural diversity as it is. Global companies that credit cultural diversity and value them often invite culturally diversified manpower. Employees with vast backgrounds and individuality often seek employment in these companies for their acceptance of cultural diversity (</w:t>
      </w:r>
      <w:r w:rsidRPr="00003BC0">
        <w:rPr>
          <w:rFonts w:ascii="Times New Roman" w:hAnsi="Times New Roman" w:cs="Times New Roman"/>
          <w:sz w:val="24"/>
          <w:szCs w:val="24"/>
          <w:highlight w:val="white"/>
          <w:lang w:val="en-GB"/>
        </w:rPr>
        <w:t>Shapiro, 2022</w:t>
      </w:r>
      <w:r w:rsidRPr="00003BC0">
        <w:rPr>
          <w:rFonts w:ascii="Times New Roman" w:eastAsia="Times New Roman" w:hAnsi="Times New Roman" w:cs="Times New Roman"/>
          <w:sz w:val="24"/>
          <w:szCs w:val="24"/>
          <w:lang w:val="en-GB"/>
        </w:rPr>
        <w:t xml:space="preserve">). This employment of talented employees enriches the manpower of the company and strengthens the employee to work with their free mindset. On the other hand, if the company does not accept cultural </w:t>
      </w:r>
      <w:proofErr w:type="gramStart"/>
      <w:r w:rsidRPr="00003BC0">
        <w:rPr>
          <w:rFonts w:ascii="Times New Roman" w:eastAsia="Times New Roman" w:hAnsi="Times New Roman" w:cs="Times New Roman"/>
          <w:sz w:val="24"/>
          <w:szCs w:val="24"/>
          <w:lang w:val="en-GB"/>
        </w:rPr>
        <w:t>sensitivity</w:t>
      </w:r>
      <w:proofErr w:type="gramEnd"/>
      <w:r w:rsidRPr="00003BC0">
        <w:rPr>
          <w:rFonts w:ascii="Times New Roman" w:eastAsia="Times New Roman" w:hAnsi="Times New Roman" w:cs="Times New Roman"/>
          <w:sz w:val="24"/>
          <w:szCs w:val="24"/>
          <w:lang w:val="en-GB"/>
        </w:rPr>
        <w:t xml:space="preserve"> then they face difficulties managing cultural diversity in the workplace. Diversity gives uniqueness to a work culture that strengthens the productivity of a company. For example, AstraZeneca values cultural sensitivity in its company. This acceptance increases their employee's unique potential.</w:t>
      </w:r>
    </w:p>
    <w:p w14:paraId="345FDEDD"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Motivate innovation and </w:t>
      </w:r>
      <w:proofErr w:type="gramStart"/>
      <w:r w:rsidRPr="00003BC0">
        <w:rPr>
          <w:rFonts w:ascii="Times New Roman" w:eastAsia="Times New Roman" w:hAnsi="Times New Roman" w:cs="Times New Roman"/>
          <w:b/>
          <w:sz w:val="24"/>
          <w:szCs w:val="24"/>
          <w:lang w:val="en-GB"/>
        </w:rPr>
        <w:t>creativity</w:t>
      </w:r>
      <w:proofErr w:type="gramEnd"/>
    </w:p>
    <w:p w14:paraId="5CF59E93"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Cultural sensitivity enriches work culture by acceptance of diversified cultured employees in the company. Diverse cultures inside the company motivate innovation among employees and giving uniqueness to their creativity of them. Innovation and creativeness in it always keep a company ahead in this competitive market. Implementation of different ideas by employees of diverse backgrounds always gives the company innovativeness in their productivity. On the other hand, the company can lose individualism in their productivity if they do not welcome innovation and creativity in their company. The absence of innovativeness and creativity gives the employees a monotonous environment to work in. With Lack of innovation and creativity, companies </w:t>
      </w:r>
      <w:proofErr w:type="spellStart"/>
      <w:r w:rsidRPr="00003BC0">
        <w:rPr>
          <w:rFonts w:ascii="Times New Roman" w:eastAsia="Times New Roman" w:hAnsi="Times New Roman" w:cs="Times New Roman"/>
          <w:sz w:val="24"/>
          <w:szCs w:val="24"/>
          <w:lang w:val="en-GB"/>
        </w:rPr>
        <w:t>can not</w:t>
      </w:r>
      <w:proofErr w:type="spellEnd"/>
      <w:r w:rsidRPr="00003BC0">
        <w:rPr>
          <w:rFonts w:ascii="Times New Roman" w:eastAsia="Times New Roman" w:hAnsi="Times New Roman" w:cs="Times New Roman"/>
          <w:sz w:val="24"/>
          <w:szCs w:val="24"/>
          <w:lang w:val="en-GB"/>
        </w:rPr>
        <w:t xml:space="preserve"> increase their productivity. For Example, Vodafone Group welcomes cultural diversity in their company. The company has increased its service productivity by accepting diversity among employees which helps them to increase their innovativeness and creativity.</w:t>
      </w:r>
    </w:p>
    <w:p w14:paraId="55D14285"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noProof/>
          <w:sz w:val="24"/>
          <w:szCs w:val="24"/>
          <w:lang w:val="en-GB"/>
        </w:rPr>
        <w:drawing>
          <wp:inline distT="0" distB="0" distL="0" distR="0" wp14:anchorId="5AD3DDB4" wp14:editId="0CED2560">
            <wp:extent cx="5486400" cy="1876425"/>
            <wp:effectExtent l="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7F1CF57"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Figure 2: Cultural Sensitivity</w:t>
      </w:r>
    </w:p>
    <w:p w14:paraId="72AC3370"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(Source: Self-created)</w:t>
      </w:r>
    </w:p>
    <w:p w14:paraId="533E5309"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lastRenderedPageBreak/>
        <w:t xml:space="preserve">Improves </w:t>
      </w:r>
      <w:proofErr w:type="gramStart"/>
      <w:r w:rsidRPr="00003BC0">
        <w:rPr>
          <w:rFonts w:ascii="Times New Roman" w:eastAsia="Times New Roman" w:hAnsi="Times New Roman" w:cs="Times New Roman"/>
          <w:b/>
          <w:sz w:val="24"/>
          <w:szCs w:val="24"/>
          <w:lang w:val="en-GB"/>
        </w:rPr>
        <w:t>collaboration</w:t>
      </w:r>
      <w:proofErr w:type="gramEnd"/>
    </w:p>
    <w:p w14:paraId="19046A25"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Companies that give priority to cultural sensitivity and awareness are collaborative because cultural sensitivity improves collaboration among employees of diversified cultural backgrounds. Collaboration among employees helps to develop projects and various plans taken by companies to execute. Collaboration means a situation where employees of different skills and cultures work together to help a project be done (</w:t>
      </w:r>
      <w:r w:rsidRPr="00003BC0">
        <w:rPr>
          <w:rFonts w:ascii="Times New Roman" w:hAnsi="Times New Roman" w:cs="Times New Roman"/>
          <w:sz w:val="24"/>
          <w:szCs w:val="24"/>
          <w:highlight w:val="white"/>
          <w:lang w:val="en-GB"/>
        </w:rPr>
        <w:t>Porter et al., 2022</w:t>
      </w:r>
      <w:r w:rsidRPr="00003BC0">
        <w:rPr>
          <w:rFonts w:ascii="Times New Roman" w:eastAsia="Times New Roman" w:hAnsi="Times New Roman" w:cs="Times New Roman"/>
          <w:sz w:val="24"/>
          <w:szCs w:val="24"/>
          <w:lang w:val="en-GB"/>
        </w:rPr>
        <w:t xml:space="preserve">). This acceptance of diversity helps the employees to accept their colleagues' tasks with an open mind. On the other hand, dullness and uniform productivity can be present if there is a lack of </w:t>
      </w:r>
      <w:proofErr w:type="spellStart"/>
      <w:r w:rsidRPr="00003BC0">
        <w:rPr>
          <w:rFonts w:ascii="Times New Roman" w:eastAsia="Times New Roman" w:hAnsi="Times New Roman" w:cs="Times New Roman"/>
          <w:sz w:val="24"/>
          <w:szCs w:val="24"/>
          <w:lang w:val="en-GB"/>
        </w:rPr>
        <w:t>collaborativeness</w:t>
      </w:r>
      <w:proofErr w:type="spellEnd"/>
      <w:r w:rsidRPr="00003BC0">
        <w:rPr>
          <w:rFonts w:ascii="Times New Roman" w:eastAsia="Times New Roman" w:hAnsi="Times New Roman" w:cs="Times New Roman"/>
          <w:sz w:val="24"/>
          <w:szCs w:val="24"/>
          <w:lang w:val="en-GB"/>
        </w:rPr>
        <w:t xml:space="preserve"> inside a company. Lack of collaboration gives companies a kind of hindrance in decision-making that leads to a decrease in productivity. For example, the pharmaceutical company GSK accepts cultural sensitivity inside their company. The company has given </w:t>
      </w:r>
      <w:r w:rsidR="00472CED" w:rsidRPr="00003BC0">
        <w:rPr>
          <w:rFonts w:ascii="Times New Roman" w:eastAsia="Times New Roman" w:hAnsi="Times New Roman" w:cs="Times New Roman"/>
          <w:sz w:val="24"/>
          <w:szCs w:val="24"/>
          <w:lang w:val="en-GB"/>
        </w:rPr>
        <w:t>uniqueness</w:t>
      </w:r>
      <w:r w:rsidRPr="00003BC0">
        <w:rPr>
          <w:rFonts w:ascii="Times New Roman" w:eastAsia="Times New Roman" w:hAnsi="Times New Roman" w:cs="Times New Roman"/>
          <w:sz w:val="24"/>
          <w:szCs w:val="24"/>
          <w:lang w:val="en-GB"/>
        </w:rPr>
        <w:t xml:space="preserve"> in their products because of the </w:t>
      </w:r>
      <w:proofErr w:type="spellStart"/>
      <w:r w:rsidRPr="00003BC0">
        <w:rPr>
          <w:rFonts w:ascii="Times New Roman" w:eastAsia="Times New Roman" w:hAnsi="Times New Roman" w:cs="Times New Roman"/>
          <w:sz w:val="24"/>
          <w:szCs w:val="24"/>
          <w:lang w:val="en-GB"/>
        </w:rPr>
        <w:t>collaborativeness</w:t>
      </w:r>
      <w:proofErr w:type="spellEnd"/>
      <w:r w:rsidRPr="00003BC0">
        <w:rPr>
          <w:rFonts w:ascii="Times New Roman" w:eastAsia="Times New Roman" w:hAnsi="Times New Roman" w:cs="Times New Roman"/>
          <w:sz w:val="24"/>
          <w:szCs w:val="24"/>
          <w:lang w:val="en-GB"/>
        </w:rPr>
        <w:t xml:space="preserve"> of their employees.</w:t>
      </w:r>
    </w:p>
    <w:p w14:paraId="5968DA2B"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Creates a safe work </w:t>
      </w:r>
      <w:proofErr w:type="gramStart"/>
      <w:r w:rsidRPr="00003BC0">
        <w:rPr>
          <w:rFonts w:ascii="Times New Roman" w:eastAsia="Times New Roman" w:hAnsi="Times New Roman" w:cs="Times New Roman"/>
          <w:b/>
          <w:sz w:val="24"/>
          <w:szCs w:val="24"/>
          <w:lang w:val="en-GB"/>
        </w:rPr>
        <w:t>environment</w:t>
      </w:r>
      <w:proofErr w:type="gramEnd"/>
    </w:p>
    <w:p w14:paraId="26867D76"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A safe work environment is a kind of domain in which employees can be part of a work procedure freely with all their potential and creativity. Companies that accept cultural sensitivity always provide their employees with a safe and potential workplace to carry on their work. A safe work environment gives employees a proper workspace to produce their unique ideas and discuss them with their colleagues without any hesitation. Freedom in propagating ideas increases unique productivity in the company. On the other hand, companies can lose uniqueness in their productivity if they do not provide a safe work environment in their company (</w:t>
      </w:r>
      <w:proofErr w:type="spellStart"/>
      <w:r w:rsidRPr="00003BC0">
        <w:rPr>
          <w:rFonts w:ascii="Times New Roman" w:hAnsi="Times New Roman" w:cs="Times New Roman"/>
          <w:sz w:val="24"/>
          <w:szCs w:val="24"/>
          <w:highlight w:val="white"/>
          <w:lang w:val="en-GB"/>
        </w:rPr>
        <w:t>Woolrych</w:t>
      </w:r>
      <w:proofErr w:type="spellEnd"/>
      <w:r w:rsidRPr="00003BC0">
        <w:rPr>
          <w:rFonts w:ascii="Times New Roman" w:hAnsi="Times New Roman" w:cs="Times New Roman"/>
          <w:sz w:val="24"/>
          <w:szCs w:val="24"/>
          <w:highlight w:val="white"/>
          <w:lang w:val="en-GB"/>
        </w:rPr>
        <w:t xml:space="preserve"> et al., 2022</w:t>
      </w:r>
      <w:r w:rsidRPr="00003BC0">
        <w:rPr>
          <w:rFonts w:ascii="Times New Roman" w:eastAsia="Times New Roman" w:hAnsi="Times New Roman" w:cs="Times New Roman"/>
          <w:sz w:val="24"/>
          <w:szCs w:val="24"/>
          <w:lang w:val="en-GB"/>
        </w:rPr>
        <w:t xml:space="preserve">). The productivity of companies </w:t>
      </w:r>
      <w:proofErr w:type="spellStart"/>
      <w:r w:rsidRPr="00003BC0">
        <w:rPr>
          <w:rFonts w:ascii="Times New Roman" w:eastAsia="Times New Roman" w:hAnsi="Times New Roman" w:cs="Times New Roman"/>
          <w:sz w:val="24"/>
          <w:szCs w:val="24"/>
          <w:lang w:val="en-GB"/>
        </w:rPr>
        <w:t>can not</w:t>
      </w:r>
      <w:proofErr w:type="spellEnd"/>
      <w:r w:rsidRPr="00003BC0">
        <w:rPr>
          <w:rFonts w:ascii="Times New Roman" w:eastAsia="Times New Roman" w:hAnsi="Times New Roman" w:cs="Times New Roman"/>
          <w:sz w:val="24"/>
          <w:szCs w:val="24"/>
          <w:lang w:val="en-GB"/>
        </w:rPr>
        <w:t xml:space="preserve"> get an easy flow if various ideas are not included in the company through diversified employees. Employees </w:t>
      </w:r>
      <w:proofErr w:type="spellStart"/>
      <w:r w:rsidRPr="00003BC0">
        <w:rPr>
          <w:rFonts w:ascii="Times New Roman" w:eastAsia="Times New Roman" w:hAnsi="Times New Roman" w:cs="Times New Roman"/>
          <w:sz w:val="24"/>
          <w:szCs w:val="24"/>
          <w:lang w:val="en-GB"/>
        </w:rPr>
        <w:t>can not</w:t>
      </w:r>
      <w:proofErr w:type="spellEnd"/>
      <w:r w:rsidRPr="00003BC0">
        <w:rPr>
          <w:rFonts w:ascii="Times New Roman" w:eastAsia="Times New Roman" w:hAnsi="Times New Roman" w:cs="Times New Roman"/>
          <w:sz w:val="24"/>
          <w:szCs w:val="24"/>
          <w:lang w:val="en-GB"/>
        </w:rPr>
        <w:t xml:space="preserve"> give their feedback to the management about their problems related to work which can create dissatisfied employees in the company. For example, the Bae System accepts cultural sensitivity. The company increases creativity in the design of its productivity. The company easily stays ahead in this competitive market because they give a free work environment to their employees.</w:t>
      </w:r>
    </w:p>
    <w:p w14:paraId="1087E98B" w14:textId="77777777" w:rsidR="00524730" w:rsidRPr="00003BC0" w:rsidRDefault="00472CED" w:rsidP="00472CED">
      <w:pPr>
        <w:pStyle w:val="Heading1"/>
        <w:rPr>
          <w:lang w:val="en-GB"/>
        </w:rPr>
      </w:pPr>
      <w:bookmarkStart w:id="4" w:name="_Toc140338215"/>
      <w:r w:rsidRPr="00003BC0">
        <w:rPr>
          <w:lang w:val="en-GB"/>
        </w:rPr>
        <w:t>D</w:t>
      </w:r>
      <w:r w:rsidR="009D28A9" w:rsidRPr="00003BC0">
        <w:rPr>
          <w:lang w:val="en-GB"/>
        </w:rPr>
        <w:t>ifferent communication barriers expe</w:t>
      </w:r>
      <w:r w:rsidRPr="00003BC0">
        <w:rPr>
          <w:lang w:val="en-GB"/>
        </w:rPr>
        <w:t xml:space="preserve">rienced by a diverse </w:t>
      </w:r>
      <w:proofErr w:type="gramStart"/>
      <w:r w:rsidRPr="00003BC0">
        <w:rPr>
          <w:lang w:val="en-GB"/>
        </w:rPr>
        <w:t>workforce</w:t>
      </w:r>
      <w:bookmarkEnd w:id="4"/>
      <w:proofErr w:type="gramEnd"/>
      <w:r w:rsidRPr="00003BC0">
        <w:rPr>
          <w:lang w:val="en-GB"/>
        </w:rPr>
        <w:t xml:space="preserve"> </w:t>
      </w:r>
    </w:p>
    <w:p w14:paraId="49172C86"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Communication is the heart point of any business to manage a diverse workforce. The inclusion of diverse employees in a business or a workplace can create various barriers in the communication process that makes misunderstanding and inaccuracies in work. There are </w:t>
      </w:r>
      <w:r w:rsidRPr="00003BC0">
        <w:rPr>
          <w:rFonts w:ascii="Times New Roman" w:eastAsia="Times New Roman" w:hAnsi="Times New Roman" w:cs="Times New Roman"/>
          <w:sz w:val="24"/>
          <w:szCs w:val="24"/>
          <w:lang w:val="en-GB"/>
        </w:rPr>
        <w:lastRenderedPageBreak/>
        <w:t>different circumstances such as cultural differences, language barriers, and many more that affect the communication process of a workplace that consists of diverse employees.</w:t>
      </w:r>
    </w:p>
    <w:p w14:paraId="1913DEE8"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Cultural differences </w:t>
      </w:r>
    </w:p>
    <w:p w14:paraId="2A5B3609"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Cultural differences mean the system of maintaining individual cultures, values, norms, and beliefs among employees. Cultural differences appear among employees from different cultures who are trying to communicate as per their cultural style. Various prejudices among employees of a diverse cultured workforce often create problems in communication (</w:t>
      </w:r>
      <w:r w:rsidRPr="00003BC0">
        <w:rPr>
          <w:rFonts w:ascii="Times New Roman" w:hAnsi="Times New Roman" w:cs="Times New Roman"/>
          <w:sz w:val="24"/>
          <w:szCs w:val="24"/>
          <w:highlight w:val="white"/>
          <w:lang w:val="en-GB"/>
        </w:rPr>
        <w:t>Cheng et al., 2022</w:t>
      </w:r>
      <w:r w:rsidRPr="00003BC0">
        <w:rPr>
          <w:rFonts w:ascii="Times New Roman" w:eastAsia="Times New Roman" w:hAnsi="Times New Roman" w:cs="Times New Roman"/>
          <w:sz w:val="24"/>
          <w:szCs w:val="24"/>
          <w:lang w:val="en-GB"/>
        </w:rPr>
        <w:t>). As there comes problems related to understanding different cultures among colleagues, it leads to miscommunication. For example, the UK consumer goods company Unilever faces cultural differences as a barrier in their communication processes. The presence of multicultural employees inside the company creates barriers to communication.</w:t>
      </w:r>
    </w:p>
    <w:p w14:paraId="0834C340"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Physical barriers</w:t>
      </w:r>
    </w:p>
    <w:p w14:paraId="6B3328C4"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Physical barriers mean some factors such as background noises, the atmosphere of the office, the work environment, and many more that create problems in the work regarding the concentration of the employees. Physical barriers in workplaces are a problem because the work environment generates a huge role in the communication process in a workplace. Physical barriers such as Scattered sitting arrangements in an office often lead to dis-harmonised work among employees. Background noises if it becomes too loud in an office or the sitting arrangements of the employees are not proper create problems for employees to communicate. For example, the UK banking sector HSBC faces physical barriers in their communication process because of their disorientation in the sitting process in their office. </w:t>
      </w:r>
    </w:p>
    <w:p w14:paraId="24AFE216"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Language barriers</w:t>
      </w:r>
    </w:p>
    <w:p w14:paraId="0A813BA4"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Language barriers happen among employees who become unable to convey a common language. Language barriers can be seen when people talk to each other with their own strong and native accents or sometimes with their mother tongue among themselves. It is a problem because when colleagues do not understand each other's communication in a workplace that leads to delay of work procedures (</w:t>
      </w:r>
      <w:proofErr w:type="spellStart"/>
      <w:r w:rsidRPr="00003BC0">
        <w:rPr>
          <w:rFonts w:ascii="Times New Roman" w:hAnsi="Times New Roman" w:cs="Times New Roman"/>
          <w:sz w:val="24"/>
          <w:szCs w:val="24"/>
          <w:highlight w:val="white"/>
          <w:lang w:val="en-GB"/>
        </w:rPr>
        <w:t>Razavi</w:t>
      </w:r>
      <w:proofErr w:type="spellEnd"/>
      <w:r w:rsidRPr="00003BC0">
        <w:rPr>
          <w:rFonts w:ascii="Times New Roman" w:hAnsi="Times New Roman" w:cs="Times New Roman"/>
          <w:sz w:val="24"/>
          <w:szCs w:val="24"/>
          <w:highlight w:val="white"/>
          <w:lang w:val="en-GB"/>
        </w:rPr>
        <w:t xml:space="preserve"> </w:t>
      </w:r>
      <w:proofErr w:type="spellStart"/>
      <w:r w:rsidRPr="00003BC0">
        <w:rPr>
          <w:rFonts w:ascii="Times New Roman" w:hAnsi="Times New Roman" w:cs="Times New Roman"/>
          <w:sz w:val="24"/>
          <w:szCs w:val="24"/>
          <w:highlight w:val="white"/>
          <w:lang w:val="en-GB"/>
        </w:rPr>
        <w:t>Hajiagha</w:t>
      </w:r>
      <w:proofErr w:type="spellEnd"/>
      <w:r w:rsidRPr="00003BC0">
        <w:rPr>
          <w:rFonts w:ascii="Times New Roman" w:hAnsi="Times New Roman" w:cs="Times New Roman"/>
          <w:sz w:val="24"/>
          <w:szCs w:val="24"/>
          <w:highlight w:val="white"/>
          <w:lang w:val="en-GB"/>
        </w:rPr>
        <w:t xml:space="preserve"> et al., 2022</w:t>
      </w:r>
      <w:r w:rsidRPr="00003BC0">
        <w:rPr>
          <w:rFonts w:ascii="Times New Roman" w:eastAsia="Times New Roman" w:hAnsi="Times New Roman" w:cs="Times New Roman"/>
          <w:sz w:val="24"/>
          <w:szCs w:val="24"/>
          <w:lang w:val="en-GB"/>
        </w:rPr>
        <w:t xml:space="preserve">). Misunderstanding of each other's languages can lead to misinterpretation of work processes that causes many mistakes from the employees regarding their work. The process of </w:t>
      </w:r>
      <w:r w:rsidR="00003BC0" w:rsidRPr="00003BC0">
        <w:rPr>
          <w:rFonts w:ascii="Times New Roman" w:eastAsia="Times New Roman" w:hAnsi="Times New Roman" w:cs="Times New Roman"/>
          <w:sz w:val="24"/>
          <w:szCs w:val="24"/>
          <w:lang w:val="en-GB"/>
        </w:rPr>
        <w:t>using</w:t>
      </w:r>
      <w:r w:rsidRPr="00003BC0">
        <w:rPr>
          <w:rFonts w:ascii="Times New Roman" w:eastAsia="Times New Roman" w:hAnsi="Times New Roman" w:cs="Times New Roman"/>
          <w:sz w:val="24"/>
          <w:szCs w:val="24"/>
          <w:lang w:val="en-GB"/>
        </w:rPr>
        <w:t xml:space="preserve"> multi-languages among global employees creates misinterpretation in the communication process. For example, the UK multinational retail company Marks and </w:t>
      </w:r>
      <w:r w:rsidR="00003BC0" w:rsidRPr="00003BC0">
        <w:rPr>
          <w:rFonts w:ascii="Times New Roman" w:eastAsia="Times New Roman" w:hAnsi="Times New Roman" w:cs="Times New Roman"/>
          <w:sz w:val="24"/>
          <w:szCs w:val="24"/>
          <w:lang w:val="en-GB"/>
        </w:rPr>
        <w:t>Spencer’s</w:t>
      </w:r>
      <w:r w:rsidRPr="00003BC0">
        <w:rPr>
          <w:rFonts w:ascii="Times New Roman" w:eastAsia="Times New Roman" w:hAnsi="Times New Roman" w:cs="Times New Roman"/>
          <w:sz w:val="24"/>
          <w:szCs w:val="24"/>
          <w:lang w:val="en-GB"/>
        </w:rPr>
        <w:t xml:space="preserve"> face language barriers that make it difficult to build effective communication in their company. The inclusion of multilingual employees inside their company creates communication problems.</w:t>
      </w:r>
    </w:p>
    <w:p w14:paraId="1AD9A74C"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noProof/>
          <w:sz w:val="24"/>
          <w:szCs w:val="24"/>
          <w:lang w:val="en-GB"/>
        </w:rPr>
        <w:lastRenderedPageBreak/>
        <w:drawing>
          <wp:inline distT="0" distB="0" distL="0" distR="0" wp14:anchorId="00BF8555" wp14:editId="4E6ABCDC">
            <wp:extent cx="5486400" cy="18669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AF3C23D"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Figure 3: Communication barriers</w:t>
      </w:r>
    </w:p>
    <w:p w14:paraId="646F5767" w14:textId="77777777" w:rsidR="00472CED" w:rsidRPr="00003BC0" w:rsidRDefault="00472CED" w:rsidP="00472CED">
      <w:pPr>
        <w:pStyle w:val="Normal1"/>
        <w:spacing w:line="360" w:lineRule="auto"/>
        <w:jc w:val="center"/>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(Source: Self-created)</w:t>
      </w:r>
    </w:p>
    <w:p w14:paraId="1E7901EE"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Generational barriers</w:t>
      </w:r>
    </w:p>
    <w:p w14:paraId="234BD670"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Generational barriers mean when there is confusion between both older and younger generations of employees regarding the execution of an action. Often it is seen that older generation employees neglect the work and thought processes of other younger employees. For this reason, they </w:t>
      </w:r>
      <w:proofErr w:type="spellStart"/>
      <w:r w:rsidRPr="00003BC0">
        <w:rPr>
          <w:rFonts w:ascii="Times New Roman" w:eastAsia="Times New Roman" w:hAnsi="Times New Roman" w:cs="Times New Roman"/>
          <w:sz w:val="24"/>
          <w:szCs w:val="24"/>
          <w:lang w:val="en-GB"/>
        </w:rPr>
        <w:t>can not</w:t>
      </w:r>
      <w:proofErr w:type="spellEnd"/>
      <w:r w:rsidRPr="00003BC0">
        <w:rPr>
          <w:rFonts w:ascii="Times New Roman" w:eastAsia="Times New Roman" w:hAnsi="Times New Roman" w:cs="Times New Roman"/>
          <w:sz w:val="24"/>
          <w:szCs w:val="24"/>
          <w:lang w:val="en-GB"/>
        </w:rPr>
        <w:t xml:space="preserve"> make decisions to do their work (</w:t>
      </w:r>
      <w:r w:rsidRPr="00003BC0">
        <w:rPr>
          <w:rFonts w:ascii="Times New Roman" w:hAnsi="Times New Roman" w:cs="Times New Roman"/>
          <w:sz w:val="24"/>
          <w:szCs w:val="24"/>
          <w:highlight w:val="white"/>
          <w:lang w:val="en-GB"/>
        </w:rPr>
        <w:t xml:space="preserve">Godin and </w:t>
      </w:r>
      <w:proofErr w:type="spellStart"/>
      <w:r w:rsidRPr="00003BC0">
        <w:rPr>
          <w:rFonts w:ascii="Times New Roman" w:hAnsi="Times New Roman" w:cs="Times New Roman"/>
          <w:sz w:val="24"/>
          <w:szCs w:val="24"/>
          <w:highlight w:val="white"/>
          <w:lang w:val="en-GB"/>
        </w:rPr>
        <w:t>Sigona</w:t>
      </w:r>
      <w:proofErr w:type="spellEnd"/>
      <w:r w:rsidRPr="00003BC0">
        <w:rPr>
          <w:rFonts w:ascii="Times New Roman" w:hAnsi="Times New Roman" w:cs="Times New Roman"/>
          <w:sz w:val="24"/>
          <w:szCs w:val="24"/>
          <w:highlight w:val="white"/>
          <w:lang w:val="en-GB"/>
        </w:rPr>
        <w:t>, 2022</w:t>
      </w:r>
      <w:r w:rsidRPr="00003BC0">
        <w:rPr>
          <w:rFonts w:ascii="Times New Roman" w:eastAsia="Times New Roman" w:hAnsi="Times New Roman" w:cs="Times New Roman"/>
          <w:sz w:val="24"/>
          <w:szCs w:val="24"/>
          <w:lang w:val="en-GB"/>
        </w:rPr>
        <w:t>). While on the opposite section sometimes younger employees mark the older as incapable of doing proper work. That stigma leads to a deep barrier in the communication process inside a company. The UK insurance company Aviva faces generational barriers in the workplace as their communication problem.</w:t>
      </w:r>
    </w:p>
    <w:p w14:paraId="2F6E4B66" w14:textId="77777777" w:rsidR="00524730" w:rsidRPr="00003BC0" w:rsidRDefault="00472CED" w:rsidP="00472CED">
      <w:pPr>
        <w:pStyle w:val="Heading1"/>
        <w:rPr>
          <w:lang w:val="en-GB"/>
        </w:rPr>
      </w:pPr>
      <w:bookmarkStart w:id="5" w:name="_Toc140338216"/>
      <w:r w:rsidRPr="00003BC0">
        <w:rPr>
          <w:lang w:val="en-GB"/>
        </w:rPr>
        <w:t>Recommendation</w:t>
      </w:r>
      <w:bookmarkEnd w:id="5"/>
      <w:r w:rsidRPr="00003BC0">
        <w:rPr>
          <w:lang w:val="en-GB"/>
        </w:rPr>
        <w:t xml:space="preserve"> </w:t>
      </w:r>
    </w:p>
    <w:p w14:paraId="354F5130"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Various communication strategies help to make a positive environment in the workplace. It also helps to increase the connection among the team which helps them to easily achieve all their goals and make a successful future for this pharmaceutical company AstraZeneca.</w:t>
      </w:r>
    </w:p>
    <w:p w14:paraId="3EEA5CB4"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Different communication modes</w:t>
      </w:r>
    </w:p>
    <w:p w14:paraId="3FF33D0F"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It is recommended to this company AstraZeneca maintain various types of communication modes while communicating with their effective employees. It also helps to convey the message appropriately to the listeners </w:t>
      </w:r>
      <w:proofErr w:type="gramStart"/>
      <w:r w:rsidRPr="00003BC0">
        <w:rPr>
          <w:rFonts w:ascii="Times New Roman" w:eastAsia="Times New Roman" w:hAnsi="Times New Roman" w:cs="Times New Roman"/>
          <w:sz w:val="24"/>
          <w:szCs w:val="24"/>
          <w:lang w:val="en-GB"/>
        </w:rPr>
        <w:t>and also</w:t>
      </w:r>
      <w:proofErr w:type="gramEnd"/>
      <w:r w:rsidRPr="00003BC0">
        <w:rPr>
          <w:rFonts w:ascii="Times New Roman" w:eastAsia="Times New Roman" w:hAnsi="Times New Roman" w:cs="Times New Roman"/>
          <w:sz w:val="24"/>
          <w:szCs w:val="24"/>
          <w:lang w:val="en-GB"/>
        </w:rPr>
        <w:t xml:space="preserve"> clarify all the facts about the discussion. It also helps to easily set goals and discuss the ways properly to achieve all those that bring success. </w:t>
      </w:r>
    </w:p>
    <w:p w14:paraId="717A2FDA"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Focus on the communication </w:t>
      </w:r>
      <w:proofErr w:type="gramStart"/>
      <w:r w:rsidRPr="00003BC0">
        <w:rPr>
          <w:rFonts w:ascii="Times New Roman" w:eastAsia="Times New Roman" w:hAnsi="Times New Roman" w:cs="Times New Roman"/>
          <w:b/>
          <w:sz w:val="24"/>
          <w:szCs w:val="24"/>
          <w:lang w:val="en-GB"/>
        </w:rPr>
        <w:t>tone</w:t>
      </w:r>
      <w:proofErr w:type="gramEnd"/>
    </w:p>
    <w:p w14:paraId="778AC25E"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It is also another perspective that also enhances the connection among the diverse workforce effectively. It is recommended that when all those employees connect or communicate about their projects or various operations then it needs to manage the communication tone (</w:t>
      </w:r>
      <w:proofErr w:type="spellStart"/>
      <w:r w:rsidRPr="00003BC0">
        <w:rPr>
          <w:rFonts w:ascii="Times New Roman" w:hAnsi="Times New Roman" w:cs="Times New Roman"/>
          <w:sz w:val="24"/>
          <w:szCs w:val="24"/>
          <w:highlight w:val="white"/>
          <w:lang w:val="en-GB"/>
        </w:rPr>
        <w:t>Seebeck</w:t>
      </w:r>
      <w:proofErr w:type="spellEnd"/>
      <w:r w:rsidRPr="00003BC0">
        <w:rPr>
          <w:rFonts w:ascii="Times New Roman" w:hAnsi="Times New Roman" w:cs="Times New Roman"/>
          <w:sz w:val="24"/>
          <w:szCs w:val="24"/>
          <w:highlight w:val="white"/>
          <w:lang w:val="en-GB"/>
        </w:rPr>
        <w:t xml:space="preserve"> and Kaya, 2022</w:t>
      </w:r>
      <w:r w:rsidRPr="00003BC0">
        <w:rPr>
          <w:rFonts w:ascii="Times New Roman" w:eastAsia="Times New Roman" w:hAnsi="Times New Roman" w:cs="Times New Roman"/>
          <w:sz w:val="24"/>
          <w:szCs w:val="24"/>
          <w:lang w:val="en-GB"/>
        </w:rPr>
        <w:t xml:space="preserve">). It is very important to easily motivate others about it and inspire them to give </w:t>
      </w:r>
      <w:r w:rsidRPr="00003BC0">
        <w:rPr>
          <w:rFonts w:ascii="Times New Roman" w:eastAsia="Times New Roman" w:hAnsi="Times New Roman" w:cs="Times New Roman"/>
          <w:sz w:val="24"/>
          <w:szCs w:val="24"/>
          <w:lang w:val="en-GB"/>
        </w:rPr>
        <w:lastRenderedPageBreak/>
        <w:t xml:space="preserve">more focus on the operations. It easily increases the communication process that maintains positivity in the work environment. </w:t>
      </w:r>
    </w:p>
    <w:p w14:paraId="214F79E0"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Give value to </w:t>
      </w:r>
      <w:proofErr w:type="gramStart"/>
      <w:r w:rsidRPr="00003BC0">
        <w:rPr>
          <w:rFonts w:ascii="Times New Roman" w:eastAsia="Times New Roman" w:hAnsi="Times New Roman" w:cs="Times New Roman"/>
          <w:b/>
          <w:sz w:val="24"/>
          <w:szCs w:val="24"/>
          <w:lang w:val="en-GB"/>
        </w:rPr>
        <w:t>others</w:t>
      </w:r>
      <w:proofErr w:type="gramEnd"/>
    </w:p>
    <w:p w14:paraId="0103453E"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It is also recommended that this company give value to other employees. It also needs to make a scope for others to share their opinion and view about the topic </w:t>
      </w:r>
      <w:proofErr w:type="gramStart"/>
      <w:r w:rsidRPr="00003BC0">
        <w:rPr>
          <w:rFonts w:ascii="Times New Roman" w:eastAsia="Times New Roman" w:hAnsi="Times New Roman" w:cs="Times New Roman"/>
          <w:sz w:val="24"/>
          <w:szCs w:val="24"/>
          <w:lang w:val="en-GB"/>
        </w:rPr>
        <w:t>and also</w:t>
      </w:r>
      <w:proofErr w:type="gramEnd"/>
      <w:r w:rsidRPr="00003BC0">
        <w:rPr>
          <w:rFonts w:ascii="Times New Roman" w:eastAsia="Times New Roman" w:hAnsi="Times New Roman" w:cs="Times New Roman"/>
          <w:sz w:val="24"/>
          <w:szCs w:val="24"/>
          <w:lang w:val="en-GB"/>
        </w:rPr>
        <w:t xml:space="preserve"> increases the communication process among the team. Through the help of this, this company can easily connect to their employees more effectively which reflects a positive working environment. </w:t>
      </w:r>
    </w:p>
    <w:p w14:paraId="75841E35" w14:textId="77777777" w:rsidR="00524730" w:rsidRPr="00003BC0" w:rsidRDefault="009D28A9" w:rsidP="00472CED">
      <w:pPr>
        <w:pStyle w:val="Normal1"/>
        <w:spacing w:line="360" w:lineRule="auto"/>
        <w:jc w:val="both"/>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t xml:space="preserve">Clearly define </w:t>
      </w:r>
      <w:proofErr w:type="gramStart"/>
      <w:r w:rsidRPr="00003BC0">
        <w:rPr>
          <w:rFonts w:ascii="Times New Roman" w:eastAsia="Times New Roman" w:hAnsi="Times New Roman" w:cs="Times New Roman"/>
          <w:b/>
          <w:sz w:val="24"/>
          <w:szCs w:val="24"/>
          <w:lang w:val="en-GB"/>
        </w:rPr>
        <w:t>goals</w:t>
      </w:r>
      <w:proofErr w:type="gramEnd"/>
    </w:p>
    <w:p w14:paraId="6887CA6B"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It is recommended to this company AstraZeneca to clear all the goals and objectives to their team so that they feel more valuable. It also helps them to easily connect with their employees, enhance their productivity more effectively and build a strong connection among the team.</w:t>
      </w:r>
    </w:p>
    <w:p w14:paraId="3C6D574B" w14:textId="77777777" w:rsidR="00524730" w:rsidRPr="00003BC0" w:rsidRDefault="00472CED" w:rsidP="00472CED">
      <w:pPr>
        <w:pStyle w:val="Heading1"/>
        <w:rPr>
          <w:lang w:val="en-GB"/>
        </w:rPr>
      </w:pPr>
      <w:bookmarkStart w:id="6" w:name="_Toc140338217"/>
      <w:r w:rsidRPr="00003BC0">
        <w:rPr>
          <w:lang w:val="en-GB"/>
        </w:rPr>
        <w:t>Conclusion</w:t>
      </w:r>
      <w:bookmarkEnd w:id="6"/>
      <w:r w:rsidRPr="00003BC0">
        <w:rPr>
          <w:lang w:val="en-GB"/>
        </w:rPr>
        <w:t xml:space="preserve"> </w:t>
      </w:r>
    </w:p>
    <w:p w14:paraId="49BAABB7" w14:textId="77777777" w:rsidR="00524730" w:rsidRPr="00003BC0" w:rsidRDefault="009D28A9"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From the above assignment, it is concluded that communication is the most important thing to build a positive environment in the workplace. With the help of positive attitudes and styles of communication, it makes the process easy to develop a business in the UK market more effectively. It is also discussed the international and intercultural communication among the organisation that helps to increase the service efficiency to deliver a quality service. For developing a business in the UK market, it is most important to focus on the cultural sensitivity that enhances cultural diversity and makes a strong team. It also helps to increase team productivity by developing communication among the team. After that, make a discussion about different communication barriers that impact the diverse workforce. It is also explained as a proper recommendation to increase communication among the diverse team that helps to build a positive work environment.  </w:t>
      </w:r>
    </w:p>
    <w:p w14:paraId="195A72A9" w14:textId="77777777" w:rsidR="00524730" w:rsidRPr="00003BC0" w:rsidRDefault="00524730" w:rsidP="00472CED">
      <w:pPr>
        <w:pStyle w:val="Normal1"/>
        <w:spacing w:line="360" w:lineRule="auto"/>
        <w:jc w:val="both"/>
        <w:rPr>
          <w:rFonts w:ascii="Times New Roman" w:eastAsia="Times New Roman" w:hAnsi="Times New Roman" w:cs="Times New Roman"/>
          <w:b/>
          <w:sz w:val="24"/>
          <w:szCs w:val="24"/>
          <w:lang w:val="en-GB"/>
        </w:rPr>
      </w:pPr>
    </w:p>
    <w:p w14:paraId="3DED7571" w14:textId="77777777" w:rsidR="00472CED" w:rsidRPr="00003BC0" w:rsidRDefault="00472CED">
      <w:pPr>
        <w:rPr>
          <w:rFonts w:ascii="Times New Roman" w:eastAsia="Times New Roman" w:hAnsi="Times New Roman" w:cs="Times New Roman"/>
          <w:b/>
          <w:sz w:val="24"/>
          <w:szCs w:val="24"/>
          <w:lang w:val="en-GB"/>
        </w:rPr>
      </w:pPr>
      <w:r w:rsidRPr="00003BC0">
        <w:rPr>
          <w:rFonts w:ascii="Times New Roman" w:eastAsia="Times New Roman" w:hAnsi="Times New Roman" w:cs="Times New Roman"/>
          <w:b/>
          <w:sz w:val="24"/>
          <w:szCs w:val="24"/>
          <w:lang w:val="en-GB"/>
        </w:rPr>
        <w:br w:type="page"/>
      </w:r>
    </w:p>
    <w:p w14:paraId="59BF44CB" w14:textId="77777777" w:rsidR="00524730" w:rsidRPr="00003BC0" w:rsidRDefault="009D28A9" w:rsidP="00472CED">
      <w:pPr>
        <w:pStyle w:val="Heading1"/>
        <w:rPr>
          <w:lang w:val="en-GB"/>
        </w:rPr>
      </w:pPr>
      <w:bookmarkStart w:id="7" w:name="_Toc140338218"/>
      <w:r w:rsidRPr="00003BC0">
        <w:rPr>
          <w:lang w:val="en-GB"/>
        </w:rPr>
        <w:lastRenderedPageBreak/>
        <w:t>Reference List</w:t>
      </w:r>
      <w:bookmarkEnd w:id="7"/>
    </w:p>
    <w:p w14:paraId="19BF0A4C" w14:textId="77777777" w:rsidR="00472CED" w:rsidRPr="00003BC0" w:rsidRDefault="00472CED"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sz w:val="24"/>
          <w:szCs w:val="24"/>
          <w:lang w:val="en-GB"/>
        </w:rPr>
        <w:t xml:space="preserve">AstraZeneca, (2023). AstraZeneca. [online] Astrazeneca.com. Available at: </w:t>
      </w:r>
      <w:hyperlink r:id="rId20">
        <w:r w:rsidRPr="00003BC0">
          <w:rPr>
            <w:rFonts w:ascii="Times New Roman" w:eastAsia="Times New Roman" w:hAnsi="Times New Roman" w:cs="Times New Roman"/>
            <w:color w:val="1155CC"/>
            <w:sz w:val="24"/>
            <w:szCs w:val="24"/>
            <w:u w:val="single"/>
            <w:lang w:val="en-GB"/>
          </w:rPr>
          <w:t>https://www.astrazeneca.com/</w:t>
        </w:r>
      </w:hyperlink>
      <w:r w:rsidRPr="00003BC0">
        <w:rPr>
          <w:rFonts w:ascii="Times New Roman" w:eastAsia="Times New Roman" w:hAnsi="Times New Roman" w:cs="Times New Roman"/>
          <w:sz w:val="24"/>
          <w:szCs w:val="24"/>
          <w:lang w:val="en-GB"/>
        </w:rPr>
        <w:t xml:space="preserve">. </w:t>
      </w:r>
    </w:p>
    <w:p w14:paraId="50FAC453"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r w:rsidRPr="00003BC0">
        <w:rPr>
          <w:rFonts w:ascii="Times New Roman" w:eastAsia="Times New Roman" w:hAnsi="Times New Roman" w:cs="Times New Roman"/>
          <w:color w:val="222222"/>
          <w:sz w:val="24"/>
          <w:szCs w:val="24"/>
          <w:highlight w:val="white"/>
          <w:lang w:val="en-GB"/>
        </w:rPr>
        <w:t xml:space="preserve">Cheng, T., </w:t>
      </w:r>
      <w:proofErr w:type="spellStart"/>
      <w:r w:rsidRPr="00003BC0">
        <w:rPr>
          <w:rFonts w:ascii="Times New Roman" w:eastAsia="Times New Roman" w:hAnsi="Times New Roman" w:cs="Times New Roman"/>
          <w:color w:val="222222"/>
          <w:sz w:val="24"/>
          <w:szCs w:val="24"/>
          <w:highlight w:val="white"/>
          <w:lang w:val="en-GB"/>
        </w:rPr>
        <w:t>Brussoni</w:t>
      </w:r>
      <w:proofErr w:type="spellEnd"/>
      <w:r w:rsidRPr="00003BC0">
        <w:rPr>
          <w:rFonts w:ascii="Times New Roman" w:eastAsia="Times New Roman" w:hAnsi="Times New Roman" w:cs="Times New Roman"/>
          <w:color w:val="222222"/>
          <w:sz w:val="24"/>
          <w:szCs w:val="24"/>
          <w:highlight w:val="white"/>
          <w:lang w:val="en-GB"/>
        </w:rPr>
        <w:t xml:space="preserve">, M., Han, C., Munday, F. and </w:t>
      </w:r>
      <w:proofErr w:type="spellStart"/>
      <w:r w:rsidRPr="00003BC0">
        <w:rPr>
          <w:rFonts w:ascii="Times New Roman" w:eastAsia="Times New Roman" w:hAnsi="Times New Roman" w:cs="Times New Roman"/>
          <w:color w:val="222222"/>
          <w:sz w:val="24"/>
          <w:szCs w:val="24"/>
          <w:highlight w:val="white"/>
          <w:lang w:val="en-GB"/>
        </w:rPr>
        <w:t>Zeni</w:t>
      </w:r>
      <w:proofErr w:type="spellEnd"/>
      <w:r w:rsidRPr="00003BC0">
        <w:rPr>
          <w:rFonts w:ascii="Times New Roman" w:eastAsia="Times New Roman" w:hAnsi="Times New Roman" w:cs="Times New Roman"/>
          <w:color w:val="222222"/>
          <w:sz w:val="24"/>
          <w:szCs w:val="24"/>
          <w:highlight w:val="white"/>
          <w:lang w:val="en-GB"/>
        </w:rPr>
        <w:t xml:space="preserve">, M., (2022). Perceived challenges of early childhood educators in promoting unstructured outdoor play: an ecological systems perspective. </w:t>
      </w:r>
      <w:r w:rsidRPr="00003BC0">
        <w:rPr>
          <w:rFonts w:ascii="Times New Roman" w:eastAsia="Times New Roman" w:hAnsi="Times New Roman" w:cs="Times New Roman"/>
          <w:i/>
          <w:color w:val="222222"/>
          <w:sz w:val="24"/>
          <w:szCs w:val="24"/>
          <w:highlight w:val="white"/>
          <w:lang w:val="en-GB"/>
        </w:rPr>
        <w:t>Early Years</w:t>
      </w:r>
      <w:r w:rsidRPr="00003BC0">
        <w:rPr>
          <w:rFonts w:ascii="Times New Roman" w:eastAsia="Times New Roman" w:hAnsi="Times New Roman" w:cs="Times New Roman"/>
          <w:color w:val="222222"/>
          <w:sz w:val="24"/>
          <w:szCs w:val="24"/>
          <w:highlight w:val="white"/>
          <w:lang w:val="en-GB"/>
        </w:rPr>
        <w:t xml:space="preserve">, pp.1-17. Available at: </w:t>
      </w:r>
      <w:hyperlink r:id="rId21">
        <w:r w:rsidRPr="00003BC0">
          <w:rPr>
            <w:rFonts w:ascii="Times New Roman" w:eastAsia="Times New Roman" w:hAnsi="Times New Roman" w:cs="Times New Roman"/>
            <w:color w:val="1155CC"/>
            <w:sz w:val="24"/>
            <w:szCs w:val="24"/>
            <w:highlight w:val="white"/>
            <w:u w:val="single"/>
            <w:lang w:val="en-GB"/>
          </w:rPr>
          <w:t>https://www.tandfonline.com/doi/pdf/10.1080/09575146.2022.2034140</w:t>
        </w:r>
      </w:hyperlink>
      <w:r w:rsidRPr="00003BC0">
        <w:rPr>
          <w:rFonts w:ascii="Times New Roman" w:eastAsia="Times New Roman" w:hAnsi="Times New Roman" w:cs="Times New Roman"/>
          <w:color w:val="222222"/>
          <w:sz w:val="24"/>
          <w:szCs w:val="24"/>
          <w:highlight w:val="white"/>
          <w:lang w:val="en-GB"/>
        </w:rPr>
        <w:t xml:space="preserve"> </w:t>
      </w:r>
    </w:p>
    <w:p w14:paraId="3F4A7F44" w14:textId="77777777" w:rsidR="00472CED" w:rsidRPr="00003BC0" w:rsidRDefault="00472CED" w:rsidP="00472CED">
      <w:pPr>
        <w:pStyle w:val="Normal1"/>
        <w:spacing w:line="360" w:lineRule="auto"/>
        <w:jc w:val="both"/>
        <w:rPr>
          <w:rFonts w:ascii="Times New Roman" w:eastAsia="Times New Roman" w:hAnsi="Times New Roman" w:cs="Times New Roman"/>
          <w:sz w:val="24"/>
          <w:szCs w:val="24"/>
          <w:lang w:val="en-GB"/>
        </w:rPr>
      </w:pPr>
      <w:proofErr w:type="spellStart"/>
      <w:r w:rsidRPr="00003BC0">
        <w:rPr>
          <w:rFonts w:ascii="Times New Roman" w:eastAsia="Times New Roman" w:hAnsi="Times New Roman" w:cs="Times New Roman"/>
          <w:color w:val="222222"/>
          <w:sz w:val="24"/>
          <w:szCs w:val="24"/>
          <w:highlight w:val="white"/>
          <w:lang w:val="en-GB"/>
        </w:rPr>
        <w:t>Gierusz</w:t>
      </w:r>
      <w:proofErr w:type="spellEnd"/>
      <w:r w:rsidRPr="00003BC0">
        <w:rPr>
          <w:rFonts w:ascii="Times New Roman" w:eastAsia="Times New Roman" w:hAnsi="Times New Roman" w:cs="Times New Roman"/>
          <w:color w:val="222222"/>
          <w:sz w:val="24"/>
          <w:szCs w:val="24"/>
          <w:highlight w:val="white"/>
          <w:lang w:val="en-GB"/>
        </w:rPr>
        <w:t xml:space="preserve">, J., </w:t>
      </w:r>
      <w:proofErr w:type="spellStart"/>
      <w:r w:rsidRPr="00003BC0">
        <w:rPr>
          <w:rFonts w:ascii="Times New Roman" w:eastAsia="Times New Roman" w:hAnsi="Times New Roman" w:cs="Times New Roman"/>
          <w:color w:val="222222"/>
          <w:sz w:val="24"/>
          <w:szCs w:val="24"/>
          <w:highlight w:val="white"/>
          <w:lang w:val="en-GB"/>
        </w:rPr>
        <w:t>Kolesnik</w:t>
      </w:r>
      <w:proofErr w:type="spellEnd"/>
      <w:r w:rsidRPr="00003BC0">
        <w:rPr>
          <w:rFonts w:ascii="Times New Roman" w:eastAsia="Times New Roman" w:hAnsi="Times New Roman" w:cs="Times New Roman"/>
          <w:color w:val="222222"/>
          <w:sz w:val="24"/>
          <w:szCs w:val="24"/>
          <w:highlight w:val="white"/>
          <w:lang w:val="en-GB"/>
        </w:rPr>
        <w:t xml:space="preserve">, K., </w:t>
      </w:r>
      <w:proofErr w:type="spellStart"/>
      <w:r w:rsidRPr="00003BC0">
        <w:rPr>
          <w:rFonts w:ascii="Times New Roman" w:eastAsia="Times New Roman" w:hAnsi="Times New Roman" w:cs="Times New Roman"/>
          <w:color w:val="222222"/>
          <w:sz w:val="24"/>
          <w:szCs w:val="24"/>
          <w:highlight w:val="white"/>
          <w:lang w:val="en-GB"/>
        </w:rPr>
        <w:t>Silska-Gembka</w:t>
      </w:r>
      <w:proofErr w:type="spellEnd"/>
      <w:r w:rsidRPr="00003BC0">
        <w:rPr>
          <w:rFonts w:ascii="Times New Roman" w:eastAsia="Times New Roman" w:hAnsi="Times New Roman" w:cs="Times New Roman"/>
          <w:color w:val="222222"/>
          <w:sz w:val="24"/>
          <w:szCs w:val="24"/>
          <w:highlight w:val="white"/>
          <w:lang w:val="en-GB"/>
        </w:rPr>
        <w:t xml:space="preserve">, S. and </w:t>
      </w:r>
      <w:proofErr w:type="spellStart"/>
      <w:r w:rsidRPr="00003BC0">
        <w:rPr>
          <w:rFonts w:ascii="Times New Roman" w:eastAsia="Times New Roman" w:hAnsi="Times New Roman" w:cs="Times New Roman"/>
          <w:color w:val="222222"/>
          <w:sz w:val="24"/>
          <w:szCs w:val="24"/>
          <w:highlight w:val="white"/>
          <w:lang w:val="en-GB"/>
        </w:rPr>
        <w:t>Zamojska</w:t>
      </w:r>
      <w:proofErr w:type="spellEnd"/>
      <w:r w:rsidRPr="00003BC0">
        <w:rPr>
          <w:rFonts w:ascii="Times New Roman" w:eastAsia="Times New Roman" w:hAnsi="Times New Roman" w:cs="Times New Roman"/>
          <w:color w:val="222222"/>
          <w:sz w:val="24"/>
          <w:szCs w:val="24"/>
          <w:highlight w:val="white"/>
          <w:lang w:val="en-GB"/>
        </w:rPr>
        <w:t xml:space="preserve">, A., (2022). The influence of culture on accounting judgment–Evidence from Poland and the United Kingdom. </w:t>
      </w:r>
      <w:r w:rsidRPr="00003BC0">
        <w:rPr>
          <w:rFonts w:ascii="Times New Roman" w:eastAsia="Times New Roman" w:hAnsi="Times New Roman" w:cs="Times New Roman"/>
          <w:i/>
          <w:color w:val="222222"/>
          <w:sz w:val="24"/>
          <w:szCs w:val="24"/>
          <w:highlight w:val="white"/>
          <w:lang w:val="en-GB"/>
        </w:rPr>
        <w:t>Cogent Business &amp; Management</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9</w:t>
      </w:r>
      <w:r w:rsidRPr="00003BC0">
        <w:rPr>
          <w:rFonts w:ascii="Times New Roman" w:eastAsia="Times New Roman" w:hAnsi="Times New Roman" w:cs="Times New Roman"/>
          <w:color w:val="222222"/>
          <w:sz w:val="24"/>
          <w:szCs w:val="24"/>
          <w:highlight w:val="white"/>
          <w:lang w:val="en-GB"/>
        </w:rPr>
        <w:t xml:space="preserve">(1), p.1993556. </w:t>
      </w:r>
      <w:r w:rsidRPr="00003BC0">
        <w:rPr>
          <w:rFonts w:ascii="Times New Roman" w:eastAsia="Times New Roman" w:hAnsi="Times New Roman" w:cs="Times New Roman"/>
          <w:sz w:val="24"/>
          <w:szCs w:val="24"/>
          <w:lang w:val="en-GB"/>
        </w:rPr>
        <w:t xml:space="preserve">Available at: </w:t>
      </w:r>
      <w:hyperlink r:id="rId22">
        <w:r w:rsidRPr="00003BC0">
          <w:rPr>
            <w:rFonts w:ascii="Times New Roman" w:eastAsia="Times New Roman" w:hAnsi="Times New Roman" w:cs="Times New Roman"/>
            <w:color w:val="1155CC"/>
            <w:sz w:val="24"/>
            <w:szCs w:val="24"/>
            <w:u w:val="single"/>
            <w:lang w:val="en-GB"/>
          </w:rPr>
          <w:t>https://www.tandfonline.com/doi/pdf/10.1080/23311975.2021.1993556</w:t>
        </w:r>
      </w:hyperlink>
      <w:r w:rsidRPr="00003BC0">
        <w:rPr>
          <w:rFonts w:ascii="Times New Roman" w:eastAsia="Times New Roman" w:hAnsi="Times New Roman" w:cs="Times New Roman"/>
          <w:sz w:val="24"/>
          <w:szCs w:val="24"/>
          <w:lang w:val="en-GB"/>
        </w:rPr>
        <w:t xml:space="preserve"> </w:t>
      </w:r>
    </w:p>
    <w:p w14:paraId="280128C0"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r w:rsidRPr="00003BC0">
        <w:rPr>
          <w:rFonts w:ascii="Times New Roman" w:eastAsia="Times New Roman" w:hAnsi="Times New Roman" w:cs="Times New Roman"/>
          <w:color w:val="222222"/>
          <w:sz w:val="24"/>
          <w:szCs w:val="24"/>
          <w:highlight w:val="white"/>
          <w:lang w:val="en-GB"/>
        </w:rPr>
        <w:t xml:space="preserve">Godin, M. and </w:t>
      </w:r>
      <w:proofErr w:type="spellStart"/>
      <w:r w:rsidRPr="00003BC0">
        <w:rPr>
          <w:rFonts w:ascii="Times New Roman" w:eastAsia="Times New Roman" w:hAnsi="Times New Roman" w:cs="Times New Roman"/>
          <w:color w:val="222222"/>
          <w:sz w:val="24"/>
          <w:szCs w:val="24"/>
          <w:highlight w:val="white"/>
          <w:lang w:val="en-GB"/>
        </w:rPr>
        <w:t>Sigona</w:t>
      </w:r>
      <w:proofErr w:type="spellEnd"/>
      <w:r w:rsidRPr="00003BC0">
        <w:rPr>
          <w:rFonts w:ascii="Times New Roman" w:eastAsia="Times New Roman" w:hAnsi="Times New Roman" w:cs="Times New Roman"/>
          <w:color w:val="222222"/>
          <w:sz w:val="24"/>
          <w:szCs w:val="24"/>
          <w:highlight w:val="white"/>
          <w:lang w:val="en-GB"/>
        </w:rPr>
        <w:t xml:space="preserve">, N., (2022). Intergenerational narratives of citizenship among EU citizens in the UK after the Brexit referendum. </w:t>
      </w:r>
      <w:r w:rsidRPr="00003BC0">
        <w:rPr>
          <w:rFonts w:ascii="Times New Roman" w:eastAsia="Times New Roman" w:hAnsi="Times New Roman" w:cs="Times New Roman"/>
          <w:i/>
          <w:color w:val="222222"/>
          <w:sz w:val="24"/>
          <w:szCs w:val="24"/>
          <w:highlight w:val="white"/>
          <w:lang w:val="en-GB"/>
        </w:rPr>
        <w:t>Ethnic and Racial Studies</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45</w:t>
      </w:r>
      <w:r w:rsidRPr="00003BC0">
        <w:rPr>
          <w:rFonts w:ascii="Times New Roman" w:eastAsia="Times New Roman" w:hAnsi="Times New Roman" w:cs="Times New Roman"/>
          <w:color w:val="222222"/>
          <w:sz w:val="24"/>
          <w:szCs w:val="24"/>
          <w:highlight w:val="white"/>
          <w:lang w:val="en-GB"/>
        </w:rPr>
        <w:t xml:space="preserve">(6), pp.1135-1154. Available at: </w:t>
      </w:r>
      <w:hyperlink r:id="rId23">
        <w:r w:rsidRPr="00003BC0">
          <w:rPr>
            <w:rFonts w:ascii="Times New Roman" w:eastAsia="Times New Roman" w:hAnsi="Times New Roman" w:cs="Times New Roman"/>
            <w:color w:val="1155CC"/>
            <w:sz w:val="24"/>
            <w:szCs w:val="24"/>
            <w:highlight w:val="white"/>
            <w:u w:val="single"/>
            <w:lang w:val="en-GB"/>
          </w:rPr>
          <w:t>https://www.tandfonline.com/doi/pdf/10.1080/01419870.2021.1981964</w:t>
        </w:r>
      </w:hyperlink>
      <w:r w:rsidRPr="00003BC0">
        <w:rPr>
          <w:rFonts w:ascii="Times New Roman" w:eastAsia="Times New Roman" w:hAnsi="Times New Roman" w:cs="Times New Roman"/>
          <w:color w:val="222222"/>
          <w:sz w:val="24"/>
          <w:szCs w:val="24"/>
          <w:highlight w:val="white"/>
          <w:lang w:val="en-GB"/>
        </w:rPr>
        <w:t xml:space="preserve"> </w:t>
      </w:r>
    </w:p>
    <w:p w14:paraId="4F850772" w14:textId="77777777" w:rsidR="00472CED" w:rsidRPr="00003BC0" w:rsidRDefault="00472CED" w:rsidP="00472CED">
      <w:pPr>
        <w:pStyle w:val="Normal1"/>
        <w:spacing w:line="360" w:lineRule="auto"/>
        <w:jc w:val="both"/>
        <w:rPr>
          <w:rFonts w:ascii="Times New Roman" w:eastAsia="Times New Roman" w:hAnsi="Times New Roman" w:cs="Times New Roman"/>
          <w:sz w:val="24"/>
          <w:szCs w:val="24"/>
          <w:lang w:val="en-GB"/>
        </w:rPr>
      </w:pPr>
      <w:r w:rsidRPr="00003BC0">
        <w:rPr>
          <w:rFonts w:ascii="Times New Roman" w:eastAsia="Times New Roman" w:hAnsi="Times New Roman" w:cs="Times New Roman"/>
          <w:color w:val="222222"/>
          <w:sz w:val="24"/>
          <w:szCs w:val="24"/>
          <w:highlight w:val="white"/>
          <w:lang w:val="en-GB"/>
        </w:rPr>
        <w:t xml:space="preserve">Lew, Y.K., Zahoor, N., </w:t>
      </w:r>
      <w:proofErr w:type="spellStart"/>
      <w:r w:rsidRPr="00003BC0">
        <w:rPr>
          <w:rFonts w:ascii="Times New Roman" w:eastAsia="Times New Roman" w:hAnsi="Times New Roman" w:cs="Times New Roman"/>
          <w:color w:val="222222"/>
          <w:sz w:val="24"/>
          <w:szCs w:val="24"/>
          <w:highlight w:val="white"/>
          <w:lang w:val="en-GB"/>
        </w:rPr>
        <w:t>Donbesuur</w:t>
      </w:r>
      <w:proofErr w:type="spellEnd"/>
      <w:r w:rsidRPr="00003BC0">
        <w:rPr>
          <w:rFonts w:ascii="Times New Roman" w:eastAsia="Times New Roman" w:hAnsi="Times New Roman" w:cs="Times New Roman"/>
          <w:color w:val="222222"/>
          <w:sz w:val="24"/>
          <w:szCs w:val="24"/>
          <w:highlight w:val="white"/>
          <w:lang w:val="en-GB"/>
        </w:rPr>
        <w:t xml:space="preserve">, F. and Khan, H., (2023). Entrepreneurial alertness and business model innovation in dynamic markets: international performance implications for SMEs. </w:t>
      </w:r>
      <w:r w:rsidRPr="00003BC0">
        <w:rPr>
          <w:rFonts w:ascii="Times New Roman" w:eastAsia="Times New Roman" w:hAnsi="Times New Roman" w:cs="Times New Roman"/>
          <w:i/>
          <w:color w:val="222222"/>
          <w:sz w:val="24"/>
          <w:szCs w:val="24"/>
          <w:highlight w:val="white"/>
          <w:lang w:val="en-GB"/>
        </w:rPr>
        <w:t>R&amp;D Management</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53</w:t>
      </w:r>
      <w:r w:rsidRPr="00003BC0">
        <w:rPr>
          <w:rFonts w:ascii="Times New Roman" w:eastAsia="Times New Roman" w:hAnsi="Times New Roman" w:cs="Times New Roman"/>
          <w:color w:val="222222"/>
          <w:sz w:val="24"/>
          <w:szCs w:val="24"/>
          <w:highlight w:val="white"/>
          <w:lang w:val="en-GB"/>
        </w:rPr>
        <w:t xml:space="preserve">(2), pp.224-243. </w:t>
      </w:r>
      <w:r w:rsidRPr="00003BC0">
        <w:rPr>
          <w:rFonts w:ascii="Times New Roman" w:eastAsia="Times New Roman" w:hAnsi="Times New Roman" w:cs="Times New Roman"/>
          <w:sz w:val="24"/>
          <w:szCs w:val="24"/>
          <w:lang w:val="en-GB"/>
        </w:rPr>
        <w:t xml:space="preserve">Available at: </w:t>
      </w:r>
      <w:hyperlink r:id="rId24">
        <w:r w:rsidRPr="00003BC0">
          <w:rPr>
            <w:rFonts w:ascii="Times New Roman" w:eastAsia="Times New Roman" w:hAnsi="Times New Roman" w:cs="Times New Roman"/>
            <w:color w:val="1155CC"/>
            <w:sz w:val="24"/>
            <w:szCs w:val="24"/>
            <w:u w:val="single"/>
            <w:lang w:val="en-GB"/>
          </w:rPr>
          <w:t>https://onlinelibrary.wiley.com/doi/pdf/10.1111/radm.12558</w:t>
        </w:r>
      </w:hyperlink>
      <w:r w:rsidRPr="00003BC0">
        <w:rPr>
          <w:rFonts w:ascii="Times New Roman" w:eastAsia="Times New Roman" w:hAnsi="Times New Roman" w:cs="Times New Roman"/>
          <w:sz w:val="24"/>
          <w:szCs w:val="24"/>
          <w:lang w:val="en-GB"/>
        </w:rPr>
        <w:t xml:space="preserve"> </w:t>
      </w:r>
    </w:p>
    <w:p w14:paraId="3D7B7502"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r w:rsidRPr="00003BC0">
        <w:rPr>
          <w:rFonts w:ascii="Times New Roman" w:eastAsia="Times New Roman" w:hAnsi="Times New Roman" w:cs="Times New Roman"/>
          <w:color w:val="222222"/>
          <w:sz w:val="24"/>
          <w:szCs w:val="24"/>
          <w:highlight w:val="white"/>
          <w:lang w:val="en-GB"/>
        </w:rPr>
        <w:t xml:space="preserve">Moore, J.S., Robertson, L.J., Price, R., Curry, G., </w:t>
      </w:r>
      <w:proofErr w:type="spellStart"/>
      <w:r w:rsidRPr="00003BC0">
        <w:rPr>
          <w:rFonts w:ascii="Times New Roman" w:eastAsia="Times New Roman" w:hAnsi="Times New Roman" w:cs="Times New Roman"/>
          <w:color w:val="222222"/>
          <w:sz w:val="24"/>
          <w:szCs w:val="24"/>
          <w:highlight w:val="white"/>
          <w:lang w:val="en-GB"/>
        </w:rPr>
        <w:t>Farnan</w:t>
      </w:r>
      <w:proofErr w:type="spellEnd"/>
      <w:r w:rsidRPr="00003BC0">
        <w:rPr>
          <w:rFonts w:ascii="Times New Roman" w:eastAsia="Times New Roman" w:hAnsi="Times New Roman" w:cs="Times New Roman"/>
          <w:color w:val="222222"/>
          <w:sz w:val="24"/>
          <w:szCs w:val="24"/>
          <w:highlight w:val="white"/>
          <w:lang w:val="en-GB"/>
        </w:rPr>
        <w:t xml:space="preserve">, J., Black, A., Nesbit, M.A., McLaughlin, J.A. and Moore, T., (2022). Clinical Immunology Communications. </w:t>
      </w:r>
      <w:r w:rsidRPr="00003BC0">
        <w:rPr>
          <w:rFonts w:ascii="Times New Roman" w:eastAsia="Times New Roman" w:hAnsi="Times New Roman" w:cs="Times New Roman"/>
          <w:i/>
          <w:color w:val="222222"/>
          <w:sz w:val="24"/>
          <w:szCs w:val="24"/>
          <w:highlight w:val="white"/>
          <w:lang w:val="en-GB"/>
        </w:rPr>
        <w:t>Clinical Immunology</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2</w:t>
      </w:r>
      <w:r w:rsidRPr="00003BC0">
        <w:rPr>
          <w:rFonts w:ascii="Times New Roman" w:eastAsia="Times New Roman" w:hAnsi="Times New Roman" w:cs="Times New Roman"/>
          <w:color w:val="222222"/>
          <w:sz w:val="24"/>
          <w:szCs w:val="24"/>
          <w:highlight w:val="white"/>
          <w:lang w:val="en-GB"/>
        </w:rPr>
        <w:t xml:space="preserve">, pp.130-135. </w:t>
      </w:r>
      <w:r w:rsidRPr="00003BC0">
        <w:rPr>
          <w:rFonts w:ascii="Times New Roman" w:eastAsia="Times New Roman" w:hAnsi="Times New Roman" w:cs="Times New Roman"/>
          <w:sz w:val="24"/>
          <w:szCs w:val="24"/>
          <w:lang w:val="en-GB"/>
        </w:rPr>
        <w:t xml:space="preserve">Available at: </w:t>
      </w:r>
      <w:hyperlink r:id="rId25">
        <w:r w:rsidRPr="00003BC0">
          <w:rPr>
            <w:rFonts w:ascii="Times New Roman" w:eastAsia="Times New Roman" w:hAnsi="Times New Roman" w:cs="Times New Roman"/>
            <w:color w:val="1155CC"/>
            <w:sz w:val="24"/>
            <w:szCs w:val="24"/>
            <w:u w:val="single"/>
            <w:lang w:val="en-GB"/>
          </w:rPr>
          <w:t>https://pure.ulster.ac.uk/ws/files/105435314/1_s2.0_S277261342200021X_main.pdf</w:t>
        </w:r>
      </w:hyperlink>
      <w:r w:rsidRPr="00003BC0">
        <w:rPr>
          <w:rFonts w:ascii="Times New Roman" w:eastAsia="Times New Roman" w:hAnsi="Times New Roman" w:cs="Times New Roman"/>
          <w:sz w:val="24"/>
          <w:szCs w:val="24"/>
          <w:lang w:val="en-GB"/>
        </w:rPr>
        <w:t xml:space="preserve"> </w:t>
      </w:r>
    </w:p>
    <w:p w14:paraId="4444AA57"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r w:rsidRPr="00003BC0">
        <w:rPr>
          <w:rFonts w:ascii="Times New Roman" w:eastAsia="Times New Roman" w:hAnsi="Times New Roman" w:cs="Times New Roman"/>
          <w:color w:val="222222"/>
          <w:sz w:val="24"/>
          <w:szCs w:val="24"/>
          <w:highlight w:val="white"/>
          <w:lang w:val="en-GB"/>
        </w:rPr>
        <w:t xml:space="preserve">Porter, A., Graham, S., Myles, F. and Holmes, B., (2022). Creativity, challenge and culture in the </w:t>
      </w:r>
      <w:proofErr w:type="gramStart"/>
      <w:r w:rsidRPr="00003BC0">
        <w:rPr>
          <w:rFonts w:ascii="Times New Roman" w:eastAsia="Times New Roman" w:hAnsi="Times New Roman" w:cs="Times New Roman"/>
          <w:color w:val="222222"/>
          <w:sz w:val="24"/>
          <w:szCs w:val="24"/>
          <w:highlight w:val="white"/>
          <w:lang w:val="en-GB"/>
        </w:rPr>
        <w:t>languages</w:t>
      </w:r>
      <w:proofErr w:type="gramEnd"/>
      <w:r w:rsidRPr="00003BC0">
        <w:rPr>
          <w:rFonts w:ascii="Times New Roman" w:eastAsia="Times New Roman" w:hAnsi="Times New Roman" w:cs="Times New Roman"/>
          <w:color w:val="222222"/>
          <w:sz w:val="24"/>
          <w:szCs w:val="24"/>
          <w:highlight w:val="white"/>
          <w:lang w:val="en-GB"/>
        </w:rPr>
        <w:t xml:space="preserve"> classroom: a response to the Ofsted Curriculum Research Review. </w:t>
      </w:r>
      <w:r w:rsidRPr="00003BC0">
        <w:rPr>
          <w:rFonts w:ascii="Times New Roman" w:eastAsia="Times New Roman" w:hAnsi="Times New Roman" w:cs="Times New Roman"/>
          <w:i/>
          <w:color w:val="222222"/>
          <w:sz w:val="24"/>
          <w:szCs w:val="24"/>
          <w:highlight w:val="white"/>
          <w:lang w:val="en-GB"/>
        </w:rPr>
        <w:t>The Language Learning Journal</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50</w:t>
      </w:r>
      <w:r w:rsidRPr="00003BC0">
        <w:rPr>
          <w:rFonts w:ascii="Times New Roman" w:eastAsia="Times New Roman" w:hAnsi="Times New Roman" w:cs="Times New Roman"/>
          <w:color w:val="222222"/>
          <w:sz w:val="24"/>
          <w:szCs w:val="24"/>
          <w:highlight w:val="white"/>
          <w:lang w:val="en-GB"/>
        </w:rPr>
        <w:t xml:space="preserve">(2), pp.208-217. Available at: </w:t>
      </w:r>
      <w:hyperlink r:id="rId26">
        <w:r w:rsidRPr="00003BC0">
          <w:rPr>
            <w:rFonts w:ascii="Times New Roman" w:eastAsia="Times New Roman" w:hAnsi="Times New Roman" w:cs="Times New Roman"/>
            <w:color w:val="1155CC"/>
            <w:sz w:val="24"/>
            <w:szCs w:val="24"/>
            <w:highlight w:val="white"/>
            <w:u w:val="single"/>
            <w:lang w:val="en-GB"/>
          </w:rPr>
          <w:t>https://www.tandfonline.com/doi/pdf/10.1080/09571736.2022.2046358</w:t>
        </w:r>
      </w:hyperlink>
      <w:r w:rsidRPr="00003BC0">
        <w:rPr>
          <w:rFonts w:ascii="Times New Roman" w:eastAsia="Times New Roman" w:hAnsi="Times New Roman" w:cs="Times New Roman"/>
          <w:color w:val="222222"/>
          <w:sz w:val="24"/>
          <w:szCs w:val="24"/>
          <w:highlight w:val="white"/>
          <w:lang w:val="en-GB"/>
        </w:rPr>
        <w:t xml:space="preserve"> </w:t>
      </w:r>
    </w:p>
    <w:p w14:paraId="19479291" w14:textId="77777777" w:rsidR="00472CED" w:rsidRPr="00003BC0" w:rsidRDefault="00472CED" w:rsidP="00472CED">
      <w:pPr>
        <w:pStyle w:val="Normal1"/>
        <w:spacing w:line="360" w:lineRule="auto"/>
        <w:jc w:val="both"/>
        <w:rPr>
          <w:rFonts w:ascii="Times New Roman" w:eastAsia="Times New Roman" w:hAnsi="Times New Roman" w:cs="Times New Roman"/>
          <w:sz w:val="24"/>
          <w:szCs w:val="24"/>
          <w:lang w:val="en-GB"/>
        </w:rPr>
      </w:pPr>
      <w:proofErr w:type="spellStart"/>
      <w:r w:rsidRPr="00003BC0">
        <w:rPr>
          <w:rFonts w:ascii="Times New Roman" w:eastAsia="Times New Roman" w:hAnsi="Times New Roman" w:cs="Times New Roman"/>
          <w:color w:val="222222"/>
          <w:sz w:val="24"/>
          <w:szCs w:val="24"/>
          <w:highlight w:val="white"/>
          <w:lang w:val="en-GB"/>
        </w:rPr>
        <w:t>R’boul</w:t>
      </w:r>
      <w:proofErr w:type="spellEnd"/>
      <w:r w:rsidRPr="00003BC0">
        <w:rPr>
          <w:rFonts w:ascii="Times New Roman" w:eastAsia="Times New Roman" w:hAnsi="Times New Roman" w:cs="Times New Roman"/>
          <w:color w:val="222222"/>
          <w:sz w:val="24"/>
          <w:szCs w:val="24"/>
          <w:highlight w:val="white"/>
          <w:lang w:val="en-GB"/>
        </w:rPr>
        <w:t xml:space="preserve">, H., (2022). Epistemological plurality in intercultural communication knowledge. </w:t>
      </w:r>
      <w:r w:rsidRPr="00003BC0">
        <w:rPr>
          <w:rFonts w:ascii="Times New Roman" w:eastAsia="Times New Roman" w:hAnsi="Times New Roman" w:cs="Times New Roman"/>
          <w:i/>
          <w:color w:val="222222"/>
          <w:sz w:val="24"/>
          <w:szCs w:val="24"/>
          <w:highlight w:val="white"/>
          <w:lang w:val="en-GB"/>
        </w:rPr>
        <w:t>Journal of Multicultural Discourses</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17</w:t>
      </w:r>
      <w:r w:rsidRPr="00003BC0">
        <w:rPr>
          <w:rFonts w:ascii="Times New Roman" w:eastAsia="Times New Roman" w:hAnsi="Times New Roman" w:cs="Times New Roman"/>
          <w:color w:val="222222"/>
          <w:sz w:val="24"/>
          <w:szCs w:val="24"/>
          <w:highlight w:val="white"/>
          <w:lang w:val="en-GB"/>
        </w:rPr>
        <w:t xml:space="preserve">(2), pp.173-188. </w:t>
      </w:r>
      <w:r w:rsidRPr="00003BC0">
        <w:rPr>
          <w:rFonts w:ascii="Times New Roman" w:eastAsia="Times New Roman" w:hAnsi="Times New Roman" w:cs="Times New Roman"/>
          <w:sz w:val="24"/>
          <w:szCs w:val="24"/>
          <w:lang w:val="en-GB"/>
        </w:rPr>
        <w:t xml:space="preserve">Available at: </w:t>
      </w:r>
      <w:hyperlink r:id="rId27">
        <w:r w:rsidRPr="00003BC0">
          <w:rPr>
            <w:rFonts w:ascii="Times New Roman" w:eastAsia="Times New Roman" w:hAnsi="Times New Roman" w:cs="Times New Roman"/>
            <w:color w:val="1155CC"/>
            <w:sz w:val="24"/>
            <w:szCs w:val="24"/>
            <w:u w:val="single"/>
            <w:lang w:val="en-GB"/>
          </w:rPr>
          <w:t>https://www.tandfonline.com/doi/pdf/10.1080/17447143.2022.2069784</w:t>
        </w:r>
      </w:hyperlink>
      <w:r w:rsidRPr="00003BC0">
        <w:rPr>
          <w:rFonts w:ascii="Times New Roman" w:eastAsia="Times New Roman" w:hAnsi="Times New Roman" w:cs="Times New Roman"/>
          <w:sz w:val="24"/>
          <w:szCs w:val="24"/>
          <w:lang w:val="en-GB"/>
        </w:rPr>
        <w:t xml:space="preserve"> </w:t>
      </w:r>
    </w:p>
    <w:p w14:paraId="69CE78AC"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003BC0">
        <w:rPr>
          <w:rFonts w:ascii="Times New Roman" w:eastAsia="Times New Roman" w:hAnsi="Times New Roman" w:cs="Times New Roman"/>
          <w:color w:val="222222"/>
          <w:sz w:val="24"/>
          <w:szCs w:val="24"/>
          <w:highlight w:val="white"/>
          <w:lang w:val="en-GB"/>
        </w:rPr>
        <w:t>Razavi</w:t>
      </w:r>
      <w:proofErr w:type="spellEnd"/>
      <w:r w:rsidRPr="00003BC0">
        <w:rPr>
          <w:rFonts w:ascii="Times New Roman" w:eastAsia="Times New Roman" w:hAnsi="Times New Roman" w:cs="Times New Roman"/>
          <w:color w:val="222222"/>
          <w:sz w:val="24"/>
          <w:szCs w:val="24"/>
          <w:highlight w:val="white"/>
          <w:lang w:val="en-GB"/>
        </w:rPr>
        <w:t xml:space="preserve"> </w:t>
      </w:r>
      <w:proofErr w:type="spellStart"/>
      <w:r w:rsidRPr="00003BC0">
        <w:rPr>
          <w:rFonts w:ascii="Times New Roman" w:eastAsia="Times New Roman" w:hAnsi="Times New Roman" w:cs="Times New Roman"/>
          <w:color w:val="222222"/>
          <w:sz w:val="24"/>
          <w:szCs w:val="24"/>
          <w:highlight w:val="white"/>
          <w:lang w:val="en-GB"/>
        </w:rPr>
        <w:t>Hajiagha</w:t>
      </w:r>
      <w:proofErr w:type="spellEnd"/>
      <w:r w:rsidRPr="00003BC0">
        <w:rPr>
          <w:rFonts w:ascii="Times New Roman" w:eastAsia="Times New Roman" w:hAnsi="Times New Roman" w:cs="Times New Roman"/>
          <w:color w:val="222222"/>
          <w:sz w:val="24"/>
          <w:szCs w:val="24"/>
          <w:highlight w:val="white"/>
          <w:lang w:val="en-GB"/>
        </w:rPr>
        <w:t xml:space="preserve">, S.H., Alaei, S., </w:t>
      </w:r>
      <w:proofErr w:type="spellStart"/>
      <w:r w:rsidRPr="00003BC0">
        <w:rPr>
          <w:rFonts w:ascii="Times New Roman" w:eastAsia="Times New Roman" w:hAnsi="Times New Roman" w:cs="Times New Roman"/>
          <w:color w:val="222222"/>
          <w:sz w:val="24"/>
          <w:szCs w:val="24"/>
          <w:highlight w:val="white"/>
          <w:lang w:val="en-GB"/>
        </w:rPr>
        <w:t>Amoozad</w:t>
      </w:r>
      <w:proofErr w:type="spellEnd"/>
      <w:r w:rsidRPr="00003BC0">
        <w:rPr>
          <w:rFonts w:ascii="Times New Roman" w:eastAsia="Times New Roman" w:hAnsi="Times New Roman" w:cs="Times New Roman"/>
          <w:color w:val="222222"/>
          <w:sz w:val="24"/>
          <w:szCs w:val="24"/>
          <w:highlight w:val="white"/>
          <w:lang w:val="en-GB"/>
        </w:rPr>
        <w:t xml:space="preserve"> </w:t>
      </w:r>
      <w:proofErr w:type="spellStart"/>
      <w:r w:rsidRPr="00003BC0">
        <w:rPr>
          <w:rFonts w:ascii="Times New Roman" w:eastAsia="Times New Roman" w:hAnsi="Times New Roman" w:cs="Times New Roman"/>
          <w:color w:val="222222"/>
          <w:sz w:val="24"/>
          <w:szCs w:val="24"/>
          <w:highlight w:val="white"/>
          <w:lang w:val="en-GB"/>
        </w:rPr>
        <w:t>Mahdiraji</w:t>
      </w:r>
      <w:proofErr w:type="spellEnd"/>
      <w:r w:rsidRPr="00003BC0">
        <w:rPr>
          <w:rFonts w:ascii="Times New Roman" w:eastAsia="Times New Roman" w:hAnsi="Times New Roman" w:cs="Times New Roman"/>
          <w:color w:val="222222"/>
          <w:sz w:val="24"/>
          <w:szCs w:val="24"/>
          <w:highlight w:val="white"/>
          <w:lang w:val="en-GB"/>
        </w:rPr>
        <w:t xml:space="preserve">, H. and </w:t>
      </w:r>
      <w:proofErr w:type="spellStart"/>
      <w:r w:rsidRPr="00003BC0">
        <w:rPr>
          <w:rFonts w:ascii="Times New Roman" w:eastAsia="Times New Roman" w:hAnsi="Times New Roman" w:cs="Times New Roman"/>
          <w:color w:val="222222"/>
          <w:sz w:val="24"/>
          <w:szCs w:val="24"/>
          <w:highlight w:val="white"/>
          <w:lang w:val="en-GB"/>
        </w:rPr>
        <w:t>Yaftiyan</w:t>
      </w:r>
      <w:proofErr w:type="spellEnd"/>
      <w:r w:rsidRPr="00003BC0">
        <w:rPr>
          <w:rFonts w:ascii="Times New Roman" w:eastAsia="Times New Roman" w:hAnsi="Times New Roman" w:cs="Times New Roman"/>
          <w:color w:val="222222"/>
          <w:sz w:val="24"/>
          <w:szCs w:val="24"/>
          <w:highlight w:val="white"/>
          <w:lang w:val="en-GB"/>
        </w:rPr>
        <w:t xml:space="preserve">, F., (2022). International collaboration formation in entrepreneurial food industry: evidence of an emerging economy. </w:t>
      </w:r>
      <w:r w:rsidRPr="00003BC0">
        <w:rPr>
          <w:rFonts w:ascii="Times New Roman" w:eastAsia="Times New Roman" w:hAnsi="Times New Roman" w:cs="Times New Roman"/>
          <w:i/>
          <w:color w:val="222222"/>
          <w:sz w:val="24"/>
          <w:szCs w:val="24"/>
          <w:highlight w:val="white"/>
          <w:lang w:val="en-GB"/>
        </w:rPr>
        <w:t>British Food Journal</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124</w:t>
      </w:r>
      <w:r w:rsidRPr="00003BC0">
        <w:rPr>
          <w:rFonts w:ascii="Times New Roman" w:eastAsia="Times New Roman" w:hAnsi="Times New Roman" w:cs="Times New Roman"/>
          <w:color w:val="222222"/>
          <w:sz w:val="24"/>
          <w:szCs w:val="24"/>
          <w:highlight w:val="white"/>
          <w:lang w:val="en-GB"/>
        </w:rPr>
        <w:t xml:space="preserve">(7), pp.2012-2038. </w:t>
      </w:r>
      <w:r w:rsidRPr="00003BC0">
        <w:rPr>
          <w:rFonts w:ascii="Times New Roman" w:eastAsia="Times New Roman" w:hAnsi="Times New Roman" w:cs="Times New Roman"/>
          <w:sz w:val="24"/>
          <w:szCs w:val="24"/>
          <w:lang w:val="en-GB"/>
        </w:rPr>
        <w:t xml:space="preserve">Available at: </w:t>
      </w:r>
      <w:hyperlink r:id="rId28">
        <w:r w:rsidRPr="00003BC0">
          <w:rPr>
            <w:rFonts w:ascii="Times New Roman" w:eastAsia="Times New Roman" w:hAnsi="Times New Roman" w:cs="Times New Roman"/>
            <w:color w:val="1155CC"/>
            <w:sz w:val="24"/>
            <w:szCs w:val="24"/>
            <w:u w:val="single"/>
            <w:lang w:val="en-GB"/>
          </w:rPr>
          <w:t>https://dora.dmu.ac.uk/bitstream/handle/2086/21362/BFJ%20FDANP%2017.09.2021.pdf?sequence=1&amp;isAllowed=y</w:t>
        </w:r>
      </w:hyperlink>
      <w:r w:rsidRPr="00003BC0">
        <w:rPr>
          <w:rFonts w:ascii="Times New Roman" w:eastAsia="Times New Roman" w:hAnsi="Times New Roman" w:cs="Times New Roman"/>
          <w:sz w:val="24"/>
          <w:szCs w:val="24"/>
          <w:lang w:val="en-GB"/>
        </w:rPr>
        <w:t xml:space="preserve"> </w:t>
      </w:r>
    </w:p>
    <w:p w14:paraId="30F860F0"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003BC0">
        <w:rPr>
          <w:rFonts w:ascii="Times New Roman" w:eastAsia="Times New Roman" w:hAnsi="Times New Roman" w:cs="Times New Roman"/>
          <w:color w:val="222222"/>
          <w:sz w:val="24"/>
          <w:szCs w:val="24"/>
          <w:highlight w:val="white"/>
          <w:lang w:val="en-GB"/>
        </w:rPr>
        <w:t>Seebeck</w:t>
      </w:r>
      <w:proofErr w:type="spellEnd"/>
      <w:r w:rsidRPr="00003BC0">
        <w:rPr>
          <w:rFonts w:ascii="Times New Roman" w:eastAsia="Times New Roman" w:hAnsi="Times New Roman" w:cs="Times New Roman"/>
          <w:color w:val="222222"/>
          <w:sz w:val="24"/>
          <w:szCs w:val="24"/>
          <w:highlight w:val="white"/>
          <w:lang w:val="en-GB"/>
        </w:rPr>
        <w:t xml:space="preserve">, A. and Kaya, D., (2022). The power of words: an empirical analysis of the communicative value of extended auditor reports. </w:t>
      </w:r>
      <w:r w:rsidRPr="00003BC0">
        <w:rPr>
          <w:rFonts w:ascii="Times New Roman" w:eastAsia="Times New Roman" w:hAnsi="Times New Roman" w:cs="Times New Roman"/>
          <w:i/>
          <w:color w:val="222222"/>
          <w:sz w:val="24"/>
          <w:szCs w:val="24"/>
          <w:highlight w:val="white"/>
          <w:lang w:val="en-GB"/>
        </w:rPr>
        <w:t>European Accounting Review</w:t>
      </w:r>
      <w:r w:rsidRPr="00003BC0">
        <w:rPr>
          <w:rFonts w:ascii="Times New Roman" w:eastAsia="Times New Roman" w:hAnsi="Times New Roman" w:cs="Times New Roman"/>
          <w:color w:val="222222"/>
          <w:sz w:val="24"/>
          <w:szCs w:val="24"/>
          <w:highlight w:val="white"/>
          <w:lang w:val="en-GB"/>
        </w:rPr>
        <w:t xml:space="preserve">, pp.1-31. Available at: </w:t>
      </w:r>
      <w:hyperlink r:id="rId29">
        <w:r w:rsidRPr="00003BC0">
          <w:rPr>
            <w:rFonts w:ascii="Times New Roman" w:eastAsia="Times New Roman" w:hAnsi="Times New Roman" w:cs="Times New Roman"/>
            <w:color w:val="1155CC"/>
            <w:sz w:val="24"/>
            <w:szCs w:val="24"/>
            <w:highlight w:val="white"/>
            <w:u w:val="single"/>
            <w:lang w:val="en-GB"/>
          </w:rPr>
          <w:t>https://www.researchgate.net/profile/Devrimi-Kaya/publication/355043695_The_Power_of_Words_An_Empirical_Analysis_of_the_Communicative_Value_of_Extended_Auditor_Reports/links/615af8bc61a8f46670aeaf64/The-Power-of-Words-An-Empirical-Analysis-of-the-Communicative-Value-of-Extended-Auditor-Reports.pdf</w:t>
        </w:r>
      </w:hyperlink>
      <w:r w:rsidRPr="00003BC0">
        <w:rPr>
          <w:rFonts w:ascii="Times New Roman" w:eastAsia="Times New Roman" w:hAnsi="Times New Roman" w:cs="Times New Roman"/>
          <w:color w:val="222222"/>
          <w:sz w:val="24"/>
          <w:szCs w:val="24"/>
          <w:highlight w:val="white"/>
          <w:lang w:val="en-GB"/>
        </w:rPr>
        <w:t xml:space="preserve"> </w:t>
      </w:r>
    </w:p>
    <w:p w14:paraId="43AB93BB"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r w:rsidRPr="00003BC0">
        <w:rPr>
          <w:rFonts w:ascii="Times New Roman" w:eastAsia="Times New Roman" w:hAnsi="Times New Roman" w:cs="Times New Roman"/>
          <w:color w:val="222222"/>
          <w:sz w:val="24"/>
          <w:szCs w:val="24"/>
          <w:highlight w:val="white"/>
          <w:lang w:val="en-GB"/>
        </w:rPr>
        <w:t xml:space="preserve">Shapiro, S., (2022). </w:t>
      </w:r>
      <w:r w:rsidRPr="00003BC0">
        <w:rPr>
          <w:rFonts w:ascii="Times New Roman" w:eastAsia="Times New Roman" w:hAnsi="Times New Roman" w:cs="Times New Roman"/>
          <w:i/>
          <w:color w:val="222222"/>
          <w:sz w:val="24"/>
          <w:szCs w:val="24"/>
          <w:highlight w:val="white"/>
          <w:lang w:val="en-GB"/>
        </w:rPr>
        <w:t>Cultivating critical language awareness in the writing classroom</w:t>
      </w:r>
      <w:r w:rsidRPr="00003BC0">
        <w:rPr>
          <w:rFonts w:ascii="Times New Roman" w:eastAsia="Times New Roman" w:hAnsi="Times New Roman" w:cs="Times New Roman"/>
          <w:color w:val="222222"/>
          <w:sz w:val="24"/>
          <w:szCs w:val="24"/>
          <w:highlight w:val="white"/>
          <w:lang w:val="en-GB"/>
        </w:rPr>
        <w:t xml:space="preserve">. Routledge. Available at: </w:t>
      </w:r>
      <w:hyperlink r:id="rId30">
        <w:r w:rsidRPr="00003BC0">
          <w:rPr>
            <w:rFonts w:ascii="Times New Roman" w:eastAsia="Times New Roman" w:hAnsi="Times New Roman" w:cs="Times New Roman"/>
            <w:color w:val="1155CC"/>
            <w:sz w:val="24"/>
            <w:szCs w:val="24"/>
            <w:highlight w:val="white"/>
            <w:u w:val="single"/>
            <w:lang w:val="en-GB"/>
          </w:rPr>
          <w:t>https://www.researchgate.net/profile/Shawna-Shapiro/publication/357259434_Cultivating_Critical_Language_Awareness_in_the_Writing_Classroom/links/61d5e863b6b5667157ca1f39/Cultivating-Critical-Language-Awareness-in-the-Writing-Classroom.pdf</w:t>
        </w:r>
      </w:hyperlink>
      <w:r w:rsidRPr="00003BC0">
        <w:rPr>
          <w:rFonts w:ascii="Times New Roman" w:eastAsia="Times New Roman" w:hAnsi="Times New Roman" w:cs="Times New Roman"/>
          <w:color w:val="222222"/>
          <w:sz w:val="24"/>
          <w:szCs w:val="24"/>
          <w:highlight w:val="white"/>
          <w:lang w:val="en-GB"/>
        </w:rPr>
        <w:t xml:space="preserve"> </w:t>
      </w:r>
    </w:p>
    <w:p w14:paraId="284F3DC8" w14:textId="77777777" w:rsidR="00472CED" w:rsidRPr="00003BC0" w:rsidRDefault="00472CED" w:rsidP="00472CED">
      <w:pPr>
        <w:pStyle w:val="Normal1"/>
        <w:spacing w:line="360" w:lineRule="auto"/>
        <w:jc w:val="both"/>
        <w:rPr>
          <w:rFonts w:ascii="Times New Roman" w:eastAsia="Times New Roman" w:hAnsi="Times New Roman" w:cs="Times New Roman"/>
          <w:sz w:val="24"/>
          <w:szCs w:val="24"/>
          <w:lang w:val="en-GB"/>
        </w:rPr>
      </w:pPr>
      <w:proofErr w:type="spellStart"/>
      <w:r w:rsidRPr="00003BC0">
        <w:rPr>
          <w:rFonts w:ascii="Times New Roman" w:eastAsia="Times New Roman" w:hAnsi="Times New Roman" w:cs="Times New Roman"/>
          <w:color w:val="222222"/>
          <w:sz w:val="24"/>
          <w:szCs w:val="24"/>
          <w:highlight w:val="white"/>
          <w:lang w:val="en-GB"/>
        </w:rPr>
        <w:t>Temerak</w:t>
      </w:r>
      <w:proofErr w:type="spellEnd"/>
      <w:r w:rsidRPr="00003BC0">
        <w:rPr>
          <w:rFonts w:ascii="Times New Roman" w:eastAsia="Times New Roman" w:hAnsi="Times New Roman" w:cs="Times New Roman"/>
          <w:color w:val="222222"/>
          <w:sz w:val="24"/>
          <w:szCs w:val="24"/>
          <w:highlight w:val="white"/>
          <w:lang w:val="en-GB"/>
        </w:rPr>
        <w:t xml:space="preserve">, M.S., Zhang, R.W. and Lages, C.R., (2023). Observing customer stress and engagement: An intercultural perspective. </w:t>
      </w:r>
      <w:r w:rsidRPr="00003BC0">
        <w:rPr>
          <w:rFonts w:ascii="Times New Roman" w:eastAsia="Times New Roman" w:hAnsi="Times New Roman" w:cs="Times New Roman"/>
          <w:i/>
          <w:color w:val="222222"/>
          <w:sz w:val="24"/>
          <w:szCs w:val="24"/>
          <w:highlight w:val="white"/>
          <w:lang w:val="en-GB"/>
        </w:rPr>
        <w:t>Psychology &amp; Marketing</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40</w:t>
      </w:r>
      <w:r w:rsidRPr="00003BC0">
        <w:rPr>
          <w:rFonts w:ascii="Times New Roman" w:eastAsia="Times New Roman" w:hAnsi="Times New Roman" w:cs="Times New Roman"/>
          <w:color w:val="222222"/>
          <w:sz w:val="24"/>
          <w:szCs w:val="24"/>
          <w:highlight w:val="white"/>
          <w:lang w:val="en-GB"/>
        </w:rPr>
        <w:t xml:space="preserve">(5), pp.910-925. </w:t>
      </w:r>
      <w:r w:rsidRPr="00003BC0">
        <w:rPr>
          <w:rFonts w:ascii="Times New Roman" w:eastAsia="Times New Roman" w:hAnsi="Times New Roman" w:cs="Times New Roman"/>
          <w:sz w:val="24"/>
          <w:szCs w:val="24"/>
          <w:lang w:val="en-GB"/>
        </w:rPr>
        <w:t xml:space="preserve">Available at: </w:t>
      </w:r>
      <w:hyperlink r:id="rId31">
        <w:r w:rsidRPr="00003BC0">
          <w:rPr>
            <w:rFonts w:ascii="Times New Roman" w:eastAsia="Times New Roman" w:hAnsi="Times New Roman" w:cs="Times New Roman"/>
            <w:color w:val="1155CC"/>
            <w:sz w:val="24"/>
            <w:szCs w:val="24"/>
            <w:u w:val="single"/>
            <w:lang w:val="en-GB"/>
          </w:rPr>
          <w:t>https://onlinelibrary.wiley.com/doi/pdf/10.1002/mar.21791</w:t>
        </w:r>
      </w:hyperlink>
      <w:r w:rsidRPr="00003BC0">
        <w:rPr>
          <w:rFonts w:ascii="Times New Roman" w:eastAsia="Times New Roman" w:hAnsi="Times New Roman" w:cs="Times New Roman"/>
          <w:sz w:val="24"/>
          <w:szCs w:val="24"/>
          <w:lang w:val="en-GB"/>
        </w:rPr>
        <w:t xml:space="preserve"> </w:t>
      </w:r>
    </w:p>
    <w:p w14:paraId="0301FB20" w14:textId="77777777" w:rsidR="00472CED" w:rsidRPr="00003BC0" w:rsidRDefault="00472CED" w:rsidP="00472CED">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003BC0">
        <w:rPr>
          <w:rFonts w:ascii="Times New Roman" w:eastAsia="Times New Roman" w:hAnsi="Times New Roman" w:cs="Times New Roman"/>
          <w:color w:val="222222"/>
          <w:sz w:val="24"/>
          <w:szCs w:val="24"/>
          <w:highlight w:val="white"/>
          <w:lang w:val="en-GB"/>
        </w:rPr>
        <w:t>Woolrych</w:t>
      </w:r>
      <w:proofErr w:type="spellEnd"/>
      <w:r w:rsidRPr="00003BC0">
        <w:rPr>
          <w:rFonts w:ascii="Times New Roman" w:eastAsia="Times New Roman" w:hAnsi="Times New Roman" w:cs="Times New Roman"/>
          <w:color w:val="222222"/>
          <w:sz w:val="24"/>
          <w:szCs w:val="24"/>
          <w:highlight w:val="white"/>
          <w:lang w:val="en-GB"/>
        </w:rPr>
        <w:t xml:space="preserve">, R., Sixsmith, J., </w:t>
      </w:r>
      <w:proofErr w:type="spellStart"/>
      <w:r w:rsidRPr="00003BC0">
        <w:rPr>
          <w:rFonts w:ascii="Times New Roman" w:eastAsia="Times New Roman" w:hAnsi="Times New Roman" w:cs="Times New Roman"/>
          <w:color w:val="222222"/>
          <w:sz w:val="24"/>
          <w:szCs w:val="24"/>
          <w:highlight w:val="white"/>
          <w:lang w:val="en-GB"/>
        </w:rPr>
        <w:t>Duvvuru</w:t>
      </w:r>
      <w:proofErr w:type="spellEnd"/>
      <w:r w:rsidRPr="00003BC0">
        <w:rPr>
          <w:rFonts w:ascii="Times New Roman" w:eastAsia="Times New Roman" w:hAnsi="Times New Roman" w:cs="Times New Roman"/>
          <w:color w:val="222222"/>
          <w:sz w:val="24"/>
          <w:szCs w:val="24"/>
          <w:highlight w:val="white"/>
          <w:lang w:val="en-GB"/>
        </w:rPr>
        <w:t xml:space="preserve">, J., Portella, A., Fang, M.L., Menezes, D., Henderson, J., Fisher, J. and </w:t>
      </w:r>
      <w:proofErr w:type="spellStart"/>
      <w:r w:rsidRPr="00003BC0">
        <w:rPr>
          <w:rFonts w:ascii="Times New Roman" w:eastAsia="Times New Roman" w:hAnsi="Times New Roman" w:cs="Times New Roman"/>
          <w:color w:val="222222"/>
          <w:sz w:val="24"/>
          <w:szCs w:val="24"/>
          <w:highlight w:val="white"/>
          <w:lang w:val="en-GB"/>
        </w:rPr>
        <w:t>Lawthom</w:t>
      </w:r>
      <w:proofErr w:type="spellEnd"/>
      <w:r w:rsidRPr="00003BC0">
        <w:rPr>
          <w:rFonts w:ascii="Times New Roman" w:eastAsia="Times New Roman" w:hAnsi="Times New Roman" w:cs="Times New Roman"/>
          <w:color w:val="222222"/>
          <w:sz w:val="24"/>
          <w:szCs w:val="24"/>
          <w:highlight w:val="white"/>
          <w:lang w:val="en-GB"/>
        </w:rPr>
        <w:t xml:space="preserve">, R., (2022). Cross-national perspectives on aging and place: Implications for age-friendly cities and communities. </w:t>
      </w:r>
      <w:r w:rsidRPr="00003BC0">
        <w:rPr>
          <w:rFonts w:ascii="Times New Roman" w:eastAsia="Times New Roman" w:hAnsi="Times New Roman" w:cs="Times New Roman"/>
          <w:i/>
          <w:color w:val="222222"/>
          <w:sz w:val="24"/>
          <w:szCs w:val="24"/>
          <w:highlight w:val="white"/>
          <w:lang w:val="en-GB"/>
        </w:rPr>
        <w:t>The Gerontologist</w:t>
      </w:r>
      <w:r w:rsidRPr="00003BC0">
        <w:rPr>
          <w:rFonts w:ascii="Times New Roman" w:eastAsia="Times New Roman" w:hAnsi="Times New Roman" w:cs="Times New Roman"/>
          <w:color w:val="222222"/>
          <w:sz w:val="24"/>
          <w:szCs w:val="24"/>
          <w:highlight w:val="white"/>
          <w:lang w:val="en-GB"/>
        </w:rPr>
        <w:t xml:space="preserve">, </w:t>
      </w:r>
      <w:r w:rsidRPr="00003BC0">
        <w:rPr>
          <w:rFonts w:ascii="Times New Roman" w:eastAsia="Times New Roman" w:hAnsi="Times New Roman" w:cs="Times New Roman"/>
          <w:i/>
          <w:color w:val="222222"/>
          <w:sz w:val="24"/>
          <w:szCs w:val="24"/>
          <w:highlight w:val="white"/>
          <w:lang w:val="en-GB"/>
        </w:rPr>
        <w:t>62</w:t>
      </w:r>
      <w:r w:rsidRPr="00003BC0">
        <w:rPr>
          <w:rFonts w:ascii="Times New Roman" w:eastAsia="Times New Roman" w:hAnsi="Times New Roman" w:cs="Times New Roman"/>
          <w:color w:val="222222"/>
          <w:sz w:val="24"/>
          <w:szCs w:val="24"/>
          <w:highlight w:val="white"/>
          <w:lang w:val="en-GB"/>
        </w:rPr>
        <w:t xml:space="preserve">(1), pp.119-129. Available at: </w:t>
      </w:r>
      <w:hyperlink r:id="rId32">
        <w:r w:rsidRPr="00003BC0">
          <w:rPr>
            <w:rFonts w:ascii="Times New Roman" w:eastAsia="Times New Roman" w:hAnsi="Times New Roman" w:cs="Times New Roman"/>
            <w:color w:val="1155CC"/>
            <w:sz w:val="24"/>
            <w:szCs w:val="24"/>
            <w:highlight w:val="white"/>
            <w:u w:val="single"/>
            <w:lang w:val="en-GB"/>
          </w:rPr>
          <w:t>https://pure.hw.ac.uk/ws/portalfiles/portal/51590433/gnab170.pdf</w:t>
        </w:r>
      </w:hyperlink>
      <w:r w:rsidRPr="00003BC0">
        <w:rPr>
          <w:rFonts w:ascii="Times New Roman" w:eastAsia="Times New Roman" w:hAnsi="Times New Roman" w:cs="Times New Roman"/>
          <w:color w:val="222222"/>
          <w:sz w:val="24"/>
          <w:szCs w:val="24"/>
          <w:highlight w:val="white"/>
          <w:lang w:val="en-GB"/>
        </w:rPr>
        <w:t xml:space="preserve"> </w:t>
      </w:r>
    </w:p>
    <w:p w14:paraId="7E0BA974" w14:textId="77777777" w:rsidR="00524730" w:rsidRPr="00003BC0" w:rsidRDefault="00524730" w:rsidP="00472CED">
      <w:pPr>
        <w:pStyle w:val="Normal1"/>
        <w:spacing w:line="360" w:lineRule="auto"/>
        <w:jc w:val="both"/>
        <w:rPr>
          <w:rFonts w:ascii="Times New Roman" w:hAnsi="Times New Roman" w:cs="Times New Roman"/>
          <w:color w:val="222222"/>
          <w:sz w:val="24"/>
          <w:szCs w:val="24"/>
          <w:highlight w:val="white"/>
          <w:lang w:val="en-GB"/>
        </w:rPr>
      </w:pPr>
    </w:p>
    <w:sectPr w:rsidR="00524730" w:rsidRPr="00003BC0" w:rsidSect="00524730">
      <w:headerReference w:type="even" r:id="rId33"/>
      <w:headerReference w:type="default" r:id="rId34"/>
      <w:footerReference w:type="even" r:id="rId35"/>
      <w:footerReference w:type="default" r:id="rId36"/>
      <w:headerReference w:type="first" r:id="rId37"/>
      <w:footerReference w:type="first" r:id="rId3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BF803" w14:textId="77777777" w:rsidR="006D5220" w:rsidRDefault="006D5220" w:rsidP="00472CED">
      <w:pPr>
        <w:spacing w:line="240" w:lineRule="auto"/>
      </w:pPr>
      <w:r>
        <w:separator/>
      </w:r>
    </w:p>
  </w:endnote>
  <w:endnote w:type="continuationSeparator" w:id="0">
    <w:p w14:paraId="2E6619B4" w14:textId="77777777" w:rsidR="006D5220" w:rsidRDefault="006D5220" w:rsidP="00472C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70ECA" w14:textId="77777777" w:rsidR="00F531B0" w:rsidRDefault="00F531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57735"/>
      <w:docPartObj>
        <w:docPartGallery w:val="Page Numbers (Bottom of Page)"/>
        <w:docPartUnique/>
      </w:docPartObj>
    </w:sdtPr>
    <w:sdtContent>
      <w:sdt>
        <w:sdtPr>
          <w:id w:val="565050523"/>
          <w:docPartObj>
            <w:docPartGallery w:val="Page Numbers (Top of Page)"/>
            <w:docPartUnique/>
          </w:docPartObj>
        </w:sdtPr>
        <w:sdtContent>
          <w:p w14:paraId="791DB652" w14:textId="77777777" w:rsidR="00472CED" w:rsidRDefault="00472CED">
            <w:pPr>
              <w:pStyle w:val="Footer"/>
              <w:jc w:val="right"/>
            </w:pPr>
            <w:r>
              <w:t xml:space="preserve">Page </w:t>
            </w:r>
            <w:r w:rsidR="00BC2EC8">
              <w:rPr>
                <w:b/>
                <w:sz w:val="24"/>
                <w:szCs w:val="24"/>
              </w:rPr>
              <w:fldChar w:fldCharType="begin"/>
            </w:r>
            <w:r>
              <w:rPr>
                <w:b/>
              </w:rPr>
              <w:instrText xml:space="preserve"> PAGE </w:instrText>
            </w:r>
            <w:r w:rsidR="00BC2EC8">
              <w:rPr>
                <w:b/>
                <w:sz w:val="24"/>
                <w:szCs w:val="24"/>
              </w:rPr>
              <w:fldChar w:fldCharType="separate"/>
            </w:r>
            <w:r w:rsidR="00003BC0">
              <w:rPr>
                <w:b/>
                <w:noProof/>
              </w:rPr>
              <w:t>3</w:t>
            </w:r>
            <w:r w:rsidR="00BC2EC8">
              <w:rPr>
                <w:b/>
                <w:sz w:val="24"/>
                <w:szCs w:val="24"/>
              </w:rPr>
              <w:fldChar w:fldCharType="end"/>
            </w:r>
            <w:r>
              <w:t xml:space="preserve"> of </w:t>
            </w:r>
            <w:r w:rsidR="00BC2EC8">
              <w:rPr>
                <w:b/>
                <w:sz w:val="24"/>
                <w:szCs w:val="24"/>
              </w:rPr>
              <w:fldChar w:fldCharType="begin"/>
            </w:r>
            <w:r>
              <w:rPr>
                <w:b/>
              </w:rPr>
              <w:instrText xml:space="preserve"> NUMPAGES  </w:instrText>
            </w:r>
            <w:r w:rsidR="00BC2EC8">
              <w:rPr>
                <w:b/>
                <w:sz w:val="24"/>
                <w:szCs w:val="24"/>
              </w:rPr>
              <w:fldChar w:fldCharType="separate"/>
            </w:r>
            <w:r w:rsidR="00003BC0">
              <w:rPr>
                <w:b/>
                <w:noProof/>
              </w:rPr>
              <w:t>13</w:t>
            </w:r>
            <w:r w:rsidR="00BC2EC8">
              <w:rPr>
                <w:b/>
                <w:sz w:val="24"/>
                <w:szCs w:val="24"/>
              </w:rPr>
              <w:fldChar w:fldCharType="end"/>
            </w:r>
          </w:p>
        </w:sdtContent>
      </w:sdt>
    </w:sdtContent>
  </w:sdt>
  <w:p w14:paraId="03E8569D" w14:textId="77777777" w:rsidR="00472CED" w:rsidRDefault="00472C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1A0AA" w14:textId="77777777" w:rsidR="00F531B0" w:rsidRDefault="00F53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1F06A" w14:textId="77777777" w:rsidR="006D5220" w:rsidRDefault="006D5220" w:rsidP="00472CED">
      <w:pPr>
        <w:spacing w:line="240" w:lineRule="auto"/>
      </w:pPr>
      <w:r>
        <w:separator/>
      </w:r>
    </w:p>
  </w:footnote>
  <w:footnote w:type="continuationSeparator" w:id="0">
    <w:p w14:paraId="0D73A9F5" w14:textId="77777777" w:rsidR="006D5220" w:rsidRDefault="006D5220" w:rsidP="00472C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9B321" w14:textId="77777777" w:rsidR="00F531B0" w:rsidRDefault="00F531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EA7AC" w14:textId="77777777" w:rsidR="00F531B0" w:rsidRDefault="00F531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9A28B" w14:textId="77777777" w:rsidR="00F531B0" w:rsidRDefault="00F53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C4BFB"/>
    <w:multiLevelType w:val="hybridMultilevel"/>
    <w:tmpl w:val="38601C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2661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730"/>
    <w:rsid w:val="00003BC0"/>
    <w:rsid w:val="0001297B"/>
    <w:rsid w:val="00177A22"/>
    <w:rsid w:val="0046148A"/>
    <w:rsid w:val="00472CED"/>
    <w:rsid w:val="0052244B"/>
    <w:rsid w:val="00524730"/>
    <w:rsid w:val="00532AF5"/>
    <w:rsid w:val="006D5220"/>
    <w:rsid w:val="007247D9"/>
    <w:rsid w:val="008255CA"/>
    <w:rsid w:val="0092127E"/>
    <w:rsid w:val="009D28A9"/>
    <w:rsid w:val="009F716C"/>
    <w:rsid w:val="00A437BF"/>
    <w:rsid w:val="00A830F7"/>
    <w:rsid w:val="00BC2EC8"/>
    <w:rsid w:val="00C63AE8"/>
    <w:rsid w:val="00F531B0"/>
    <w:rsid w:val="00F72CB7"/>
    <w:rsid w:val="00F75A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AE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EC8"/>
  </w:style>
  <w:style w:type="paragraph" w:styleId="Heading1">
    <w:name w:val="heading 1"/>
    <w:basedOn w:val="Normal1"/>
    <w:next w:val="Normal1"/>
    <w:rsid w:val="00472CE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524730"/>
    <w:pPr>
      <w:keepNext/>
      <w:keepLines/>
      <w:spacing w:before="360" w:after="120"/>
      <w:outlineLvl w:val="1"/>
    </w:pPr>
    <w:rPr>
      <w:sz w:val="32"/>
      <w:szCs w:val="32"/>
    </w:rPr>
  </w:style>
  <w:style w:type="paragraph" w:styleId="Heading3">
    <w:name w:val="heading 3"/>
    <w:basedOn w:val="Normal1"/>
    <w:next w:val="Normal1"/>
    <w:rsid w:val="00524730"/>
    <w:pPr>
      <w:keepNext/>
      <w:keepLines/>
      <w:spacing w:before="320" w:after="80"/>
      <w:outlineLvl w:val="2"/>
    </w:pPr>
    <w:rPr>
      <w:color w:val="434343"/>
      <w:sz w:val="28"/>
      <w:szCs w:val="28"/>
    </w:rPr>
  </w:style>
  <w:style w:type="paragraph" w:styleId="Heading4">
    <w:name w:val="heading 4"/>
    <w:basedOn w:val="Normal1"/>
    <w:next w:val="Normal1"/>
    <w:rsid w:val="00524730"/>
    <w:pPr>
      <w:keepNext/>
      <w:keepLines/>
      <w:spacing w:before="280" w:after="80"/>
      <w:outlineLvl w:val="3"/>
    </w:pPr>
    <w:rPr>
      <w:color w:val="666666"/>
      <w:sz w:val="24"/>
      <w:szCs w:val="24"/>
    </w:rPr>
  </w:style>
  <w:style w:type="paragraph" w:styleId="Heading5">
    <w:name w:val="heading 5"/>
    <w:basedOn w:val="Normal1"/>
    <w:next w:val="Normal1"/>
    <w:rsid w:val="00524730"/>
    <w:pPr>
      <w:keepNext/>
      <w:keepLines/>
      <w:spacing w:before="240" w:after="80"/>
      <w:outlineLvl w:val="4"/>
    </w:pPr>
    <w:rPr>
      <w:color w:val="666666"/>
    </w:rPr>
  </w:style>
  <w:style w:type="paragraph" w:styleId="Heading6">
    <w:name w:val="heading 6"/>
    <w:basedOn w:val="Normal1"/>
    <w:next w:val="Normal1"/>
    <w:rsid w:val="0052473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4730"/>
  </w:style>
  <w:style w:type="paragraph" w:styleId="Title">
    <w:name w:val="Title"/>
    <w:basedOn w:val="Normal1"/>
    <w:next w:val="Normal1"/>
    <w:rsid w:val="00524730"/>
    <w:pPr>
      <w:keepNext/>
      <w:keepLines/>
      <w:spacing w:after="60"/>
    </w:pPr>
    <w:rPr>
      <w:sz w:val="52"/>
      <w:szCs w:val="52"/>
    </w:rPr>
  </w:style>
  <w:style w:type="paragraph" w:styleId="Subtitle">
    <w:name w:val="Subtitle"/>
    <w:basedOn w:val="Normal1"/>
    <w:next w:val="Normal1"/>
    <w:rsid w:val="0052473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72C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2CED"/>
    <w:rPr>
      <w:rFonts w:ascii="Tahoma" w:hAnsi="Tahoma" w:cs="Tahoma"/>
      <w:sz w:val="16"/>
      <w:szCs w:val="16"/>
    </w:rPr>
  </w:style>
  <w:style w:type="paragraph" w:styleId="Header">
    <w:name w:val="header"/>
    <w:basedOn w:val="Normal"/>
    <w:link w:val="HeaderChar"/>
    <w:uiPriority w:val="99"/>
    <w:semiHidden/>
    <w:unhideWhenUsed/>
    <w:rsid w:val="00472CE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72CED"/>
  </w:style>
  <w:style w:type="paragraph" w:styleId="Footer">
    <w:name w:val="footer"/>
    <w:basedOn w:val="Normal"/>
    <w:link w:val="FooterChar"/>
    <w:uiPriority w:val="99"/>
    <w:unhideWhenUsed/>
    <w:rsid w:val="00472CED"/>
    <w:pPr>
      <w:tabs>
        <w:tab w:val="center" w:pos="4680"/>
        <w:tab w:val="right" w:pos="9360"/>
      </w:tabs>
      <w:spacing w:line="240" w:lineRule="auto"/>
    </w:pPr>
  </w:style>
  <w:style w:type="character" w:customStyle="1" w:styleId="FooterChar">
    <w:name w:val="Footer Char"/>
    <w:basedOn w:val="DefaultParagraphFont"/>
    <w:link w:val="Footer"/>
    <w:uiPriority w:val="99"/>
    <w:rsid w:val="00472CED"/>
  </w:style>
  <w:style w:type="paragraph" w:styleId="TOCHeading">
    <w:name w:val="TOC Heading"/>
    <w:basedOn w:val="Heading1"/>
    <w:next w:val="Normal"/>
    <w:uiPriority w:val="39"/>
    <w:semiHidden/>
    <w:unhideWhenUsed/>
    <w:qFormat/>
    <w:rsid w:val="00472CE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72CED"/>
    <w:pPr>
      <w:spacing w:after="100"/>
    </w:pPr>
  </w:style>
  <w:style w:type="character" w:styleId="Hyperlink">
    <w:name w:val="Hyperlink"/>
    <w:basedOn w:val="DefaultParagraphFont"/>
    <w:uiPriority w:val="99"/>
    <w:unhideWhenUsed/>
    <w:rsid w:val="00472C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tandfonline.com/doi/pdf/10.1080/09571736.2022.2046358" TargetMode="External"/><Relationship Id="rId39" Type="http://schemas.openxmlformats.org/officeDocument/2006/relationships/fontTable" Target="fontTable.xml"/><Relationship Id="rId21" Type="http://schemas.openxmlformats.org/officeDocument/2006/relationships/hyperlink" Target="https://www.tandfonline.com/doi/pdf/10.1080/09575146.2022.2034140"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pure.ulster.ac.uk/ws/files/105435314/1_s2.0_S277261342200021X_main.pdf"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astrazeneca.com/" TargetMode="External"/><Relationship Id="rId29" Type="http://schemas.openxmlformats.org/officeDocument/2006/relationships/hyperlink" Target="https://www.researchgate.net/profile/Devrimi-Kaya/publication/355043695_The_Power_of_Words_An_Empirical_Analysis_of_the_Communicative_Value_of_Extended_Auditor_Reports/links/615af8bc61a8f46670aeaf64/The-Power-of-Words-An-Empirical-Analysis-of-the-Communicative-Value-of-Extended-Auditor-Report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onlinelibrary.wiley.com/doi/pdf/10.1111/radm.12558" TargetMode="External"/><Relationship Id="rId32" Type="http://schemas.openxmlformats.org/officeDocument/2006/relationships/hyperlink" Target="https://pure.hw.ac.uk/ws/portalfiles/portal/51590433/gnab170.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www.tandfonline.com/doi/pdf/10.1080/01419870.2021.1981964" TargetMode="External"/><Relationship Id="rId28" Type="http://schemas.openxmlformats.org/officeDocument/2006/relationships/hyperlink" Target="https://dora.dmu.ac.uk/bitstream/handle/2086/21362/BFJ%20FDANP%2017.09.2021.pdf?sequence=1&amp;isAllowed=y" TargetMode="External"/><Relationship Id="rId36" Type="http://schemas.openxmlformats.org/officeDocument/2006/relationships/footer" Target="footer2.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onlinelibrary.wiley.com/doi/pdf/10.1002/mar.21791"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tandfonline.com/doi/pdf/10.1080/23311975.2021.1993556" TargetMode="External"/><Relationship Id="rId27" Type="http://schemas.openxmlformats.org/officeDocument/2006/relationships/hyperlink" Target="https://www.tandfonline.com/doi/pdf/10.1080/17447143.2022.2069784" TargetMode="External"/><Relationship Id="rId30" Type="http://schemas.openxmlformats.org/officeDocument/2006/relationships/hyperlink" Target="https://www.researchgate.net/profile/Shawna-Shapiro/publication/357259434_Cultivating_Critical_Language_Awareness_in_the_Writing_Classroom/links/61d5e863b6b5667157ca1f39/Cultivating-Critical-Language-Awareness-in-the-Writing-Classroom.pdf"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930AEF-74E1-40BB-A1D6-ACFD4D8AA88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ADCB8421-7FEF-43E8-9041-B6289D929361}">
      <dgm:prSet phldrT="[Text]" custT="1"/>
      <dgm:spPr/>
      <dgm:t>
        <a:bodyPr/>
        <a:lstStyle/>
        <a:p>
          <a:r>
            <a:rPr lang="en-US" sz="1200" b="0">
              <a:latin typeface="Times New Roman" pitchFamily="18" charset="0"/>
              <a:cs typeface="Times New Roman" pitchFamily="18" charset="0"/>
            </a:rPr>
            <a:t>Cultural Sensitivity </a:t>
          </a:r>
        </a:p>
      </dgm:t>
    </dgm:pt>
    <dgm:pt modelId="{32A1B56E-3BC6-4C0A-8096-21BCB63544B4}" type="parTrans" cxnId="{67A3E81D-0F0E-481E-99D0-65633992914F}">
      <dgm:prSet/>
      <dgm:spPr/>
      <dgm:t>
        <a:bodyPr/>
        <a:lstStyle/>
        <a:p>
          <a:endParaRPr lang="en-US"/>
        </a:p>
      </dgm:t>
    </dgm:pt>
    <dgm:pt modelId="{E58DC6C4-82AE-44DE-B4F8-452C834AF6C0}" type="sibTrans" cxnId="{67A3E81D-0F0E-481E-99D0-65633992914F}">
      <dgm:prSet/>
      <dgm:spPr/>
      <dgm:t>
        <a:bodyPr/>
        <a:lstStyle/>
        <a:p>
          <a:endParaRPr lang="en-US"/>
        </a:p>
      </dgm:t>
    </dgm:pt>
    <dgm:pt modelId="{942E11E2-B53D-4C85-B5D5-BDF980F8DB70}">
      <dgm:prSet phldrT="[Text]" custT="1"/>
      <dgm:spPr/>
      <dgm:t>
        <a:bodyPr/>
        <a:lstStyle/>
        <a:p>
          <a:r>
            <a:rPr lang="en-US" sz="1200" b="0">
              <a:latin typeface="Times New Roman" pitchFamily="18" charset="0"/>
              <a:cs typeface="Times New Roman" pitchFamily="18" charset="0"/>
            </a:rPr>
            <a:t>Strengthens the employees</a:t>
          </a:r>
        </a:p>
      </dgm:t>
    </dgm:pt>
    <dgm:pt modelId="{F00DDB6C-C34C-4197-85D4-F20ECE5E05A8}" type="parTrans" cxnId="{201727CC-1FF6-4ED4-A963-0FCB995B67EB}">
      <dgm:prSet/>
      <dgm:spPr/>
      <dgm:t>
        <a:bodyPr/>
        <a:lstStyle/>
        <a:p>
          <a:endParaRPr lang="en-US" sz="1200" b="0">
            <a:latin typeface="Times New Roman" pitchFamily="18" charset="0"/>
            <a:cs typeface="Times New Roman" pitchFamily="18" charset="0"/>
          </a:endParaRPr>
        </a:p>
      </dgm:t>
    </dgm:pt>
    <dgm:pt modelId="{D3D073F4-07CE-42AE-B661-EDE348C786CE}" type="sibTrans" cxnId="{201727CC-1FF6-4ED4-A963-0FCB995B67EB}">
      <dgm:prSet/>
      <dgm:spPr/>
      <dgm:t>
        <a:bodyPr/>
        <a:lstStyle/>
        <a:p>
          <a:endParaRPr lang="en-US"/>
        </a:p>
      </dgm:t>
    </dgm:pt>
    <dgm:pt modelId="{DB721660-7819-4E84-9A45-FCCEABF257CF}">
      <dgm:prSet phldrT="[Text]" custT="1"/>
      <dgm:spPr/>
      <dgm:t>
        <a:bodyPr/>
        <a:lstStyle/>
        <a:p>
          <a:r>
            <a:rPr lang="en-US" sz="1200" b="0">
              <a:latin typeface="Times New Roman" pitchFamily="18" charset="0"/>
              <a:cs typeface="Times New Roman" pitchFamily="18" charset="0"/>
            </a:rPr>
            <a:t>Motivate innovation and creativity</a:t>
          </a:r>
        </a:p>
      </dgm:t>
    </dgm:pt>
    <dgm:pt modelId="{6B5B6A30-99DD-4191-B955-C5DA52B7BD94}" type="parTrans" cxnId="{C7BB7D72-AFBA-4E49-9EA3-44A9796ED53F}">
      <dgm:prSet/>
      <dgm:spPr/>
      <dgm:t>
        <a:bodyPr/>
        <a:lstStyle/>
        <a:p>
          <a:endParaRPr lang="en-US" sz="1200" b="0">
            <a:latin typeface="Times New Roman" pitchFamily="18" charset="0"/>
            <a:cs typeface="Times New Roman" pitchFamily="18" charset="0"/>
          </a:endParaRPr>
        </a:p>
      </dgm:t>
    </dgm:pt>
    <dgm:pt modelId="{5FD0CB3F-8BF7-4107-8EA4-E81C6319A0A0}" type="sibTrans" cxnId="{C7BB7D72-AFBA-4E49-9EA3-44A9796ED53F}">
      <dgm:prSet/>
      <dgm:spPr/>
      <dgm:t>
        <a:bodyPr/>
        <a:lstStyle/>
        <a:p>
          <a:endParaRPr lang="en-US"/>
        </a:p>
      </dgm:t>
    </dgm:pt>
    <dgm:pt modelId="{319676E1-4324-4840-B002-BFA0755C3941}">
      <dgm:prSet phldrT="[Text]" custT="1"/>
      <dgm:spPr/>
      <dgm:t>
        <a:bodyPr/>
        <a:lstStyle/>
        <a:p>
          <a:r>
            <a:rPr lang="en-US" sz="1200" b="0">
              <a:latin typeface="Times New Roman" pitchFamily="18" charset="0"/>
              <a:cs typeface="Times New Roman" pitchFamily="18" charset="0"/>
            </a:rPr>
            <a:t>Improves collaboration</a:t>
          </a:r>
        </a:p>
      </dgm:t>
    </dgm:pt>
    <dgm:pt modelId="{694B3EED-9F54-48F5-9CD6-7E83AA081E33}" type="parTrans" cxnId="{A217E4C7-F5D6-4693-9A44-CA83D9085F7D}">
      <dgm:prSet/>
      <dgm:spPr/>
      <dgm:t>
        <a:bodyPr/>
        <a:lstStyle/>
        <a:p>
          <a:endParaRPr lang="en-US" sz="1200" b="0">
            <a:latin typeface="Times New Roman" pitchFamily="18" charset="0"/>
            <a:cs typeface="Times New Roman" pitchFamily="18" charset="0"/>
          </a:endParaRPr>
        </a:p>
      </dgm:t>
    </dgm:pt>
    <dgm:pt modelId="{FB44A679-F44F-4EEF-AFA3-7FB5DC92AF4D}" type="sibTrans" cxnId="{A217E4C7-F5D6-4693-9A44-CA83D9085F7D}">
      <dgm:prSet/>
      <dgm:spPr/>
      <dgm:t>
        <a:bodyPr/>
        <a:lstStyle/>
        <a:p>
          <a:endParaRPr lang="en-US"/>
        </a:p>
      </dgm:t>
    </dgm:pt>
    <dgm:pt modelId="{A04FFCF9-9370-4C92-8B01-2B3421B153BF}">
      <dgm:prSet custT="1"/>
      <dgm:spPr/>
      <dgm:t>
        <a:bodyPr/>
        <a:lstStyle/>
        <a:p>
          <a:r>
            <a:rPr lang="en-US" sz="1200" b="0">
              <a:latin typeface="Times New Roman" pitchFamily="18" charset="0"/>
              <a:cs typeface="Times New Roman" pitchFamily="18" charset="0"/>
            </a:rPr>
            <a:t>Creates a safe work environment</a:t>
          </a:r>
        </a:p>
      </dgm:t>
    </dgm:pt>
    <dgm:pt modelId="{839A277C-8F6A-4AC8-8C5F-7C353D786C8D}" type="parTrans" cxnId="{FAED4218-90E9-495F-89F6-8552CFF93D62}">
      <dgm:prSet/>
      <dgm:spPr/>
      <dgm:t>
        <a:bodyPr/>
        <a:lstStyle/>
        <a:p>
          <a:endParaRPr lang="en-US" sz="1200" b="0">
            <a:latin typeface="Times New Roman" pitchFamily="18" charset="0"/>
            <a:cs typeface="Times New Roman" pitchFamily="18" charset="0"/>
          </a:endParaRPr>
        </a:p>
      </dgm:t>
    </dgm:pt>
    <dgm:pt modelId="{A03ECC40-33CC-4A7D-8514-332CFE078461}" type="sibTrans" cxnId="{FAED4218-90E9-495F-89F6-8552CFF93D62}">
      <dgm:prSet/>
      <dgm:spPr/>
      <dgm:t>
        <a:bodyPr/>
        <a:lstStyle/>
        <a:p>
          <a:endParaRPr lang="en-US"/>
        </a:p>
      </dgm:t>
    </dgm:pt>
    <dgm:pt modelId="{4ED42257-D6BE-4273-8EAE-34791961E599}" type="pres">
      <dgm:prSet presAssocID="{B2930AEF-74E1-40BB-A1D6-ACFD4D8AA889}" presName="hierChild1" presStyleCnt="0">
        <dgm:presLayoutVars>
          <dgm:orgChart val="1"/>
          <dgm:chPref val="1"/>
          <dgm:dir/>
          <dgm:animOne val="branch"/>
          <dgm:animLvl val="lvl"/>
          <dgm:resizeHandles/>
        </dgm:presLayoutVars>
      </dgm:prSet>
      <dgm:spPr/>
    </dgm:pt>
    <dgm:pt modelId="{48075675-BEF1-4875-A8E3-2E699945D0CD}" type="pres">
      <dgm:prSet presAssocID="{ADCB8421-7FEF-43E8-9041-B6289D929361}" presName="hierRoot1" presStyleCnt="0">
        <dgm:presLayoutVars>
          <dgm:hierBranch val="init"/>
        </dgm:presLayoutVars>
      </dgm:prSet>
      <dgm:spPr/>
    </dgm:pt>
    <dgm:pt modelId="{E1FCA120-D81E-471A-A298-B6994F9C5ADA}" type="pres">
      <dgm:prSet presAssocID="{ADCB8421-7FEF-43E8-9041-B6289D929361}" presName="rootComposite1" presStyleCnt="0"/>
      <dgm:spPr/>
    </dgm:pt>
    <dgm:pt modelId="{2CF1A682-B466-4B17-A0D1-93503490FF9C}" type="pres">
      <dgm:prSet presAssocID="{ADCB8421-7FEF-43E8-9041-B6289D929361}" presName="rootText1" presStyleLbl="node0" presStyleIdx="0" presStyleCnt="1">
        <dgm:presLayoutVars>
          <dgm:chPref val="3"/>
        </dgm:presLayoutVars>
      </dgm:prSet>
      <dgm:spPr/>
    </dgm:pt>
    <dgm:pt modelId="{2DFFC911-7164-475F-AFA9-8905186A1578}" type="pres">
      <dgm:prSet presAssocID="{ADCB8421-7FEF-43E8-9041-B6289D929361}" presName="rootConnector1" presStyleLbl="node1" presStyleIdx="0" presStyleCnt="0"/>
      <dgm:spPr/>
    </dgm:pt>
    <dgm:pt modelId="{5F43E488-07B6-4379-B5DB-EDD80CECA69C}" type="pres">
      <dgm:prSet presAssocID="{ADCB8421-7FEF-43E8-9041-B6289D929361}" presName="hierChild2" presStyleCnt="0"/>
      <dgm:spPr/>
    </dgm:pt>
    <dgm:pt modelId="{DCF54307-6389-4E0C-A1AD-1386076467BC}" type="pres">
      <dgm:prSet presAssocID="{F00DDB6C-C34C-4197-85D4-F20ECE5E05A8}" presName="Name37" presStyleLbl="parChTrans1D2" presStyleIdx="0" presStyleCnt="4"/>
      <dgm:spPr/>
    </dgm:pt>
    <dgm:pt modelId="{10F4F0DB-EEFB-4C36-A910-7F3D352C9532}" type="pres">
      <dgm:prSet presAssocID="{942E11E2-B53D-4C85-B5D5-BDF980F8DB70}" presName="hierRoot2" presStyleCnt="0">
        <dgm:presLayoutVars>
          <dgm:hierBranch val="init"/>
        </dgm:presLayoutVars>
      </dgm:prSet>
      <dgm:spPr/>
    </dgm:pt>
    <dgm:pt modelId="{333A0D02-44CC-455D-804F-2A6CDD662198}" type="pres">
      <dgm:prSet presAssocID="{942E11E2-B53D-4C85-B5D5-BDF980F8DB70}" presName="rootComposite" presStyleCnt="0"/>
      <dgm:spPr/>
    </dgm:pt>
    <dgm:pt modelId="{BF1D4B61-699F-4C4F-9E70-2250D1759416}" type="pres">
      <dgm:prSet presAssocID="{942E11E2-B53D-4C85-B5D5-BDF980F8DB70}" presName="rootText" presStyleLbl="node2" presStyleIdx="0" presStyleCnt="4">
        <dgm:presLayoutVars>
          <dgm:chPref val="3"/>
        </dgm:presLayoutVars>
      </dgm:prSet>
      <dgm:spPr/>
    </dgm:pt>
    <dgm:pt modelId="{06A50B83-093D-48FE-9900-8152E0FDB8FA}" type="pres">
      <dgm:prSet presAssocID="{942E11E2-B53D-4C85-B5D5-BDF980F8DB70}" presName="rootConnector" presStyleLbl="node2" presStyleIdx="0" presStyleCnt="4"/>
      <dgm:spPr/>
    </dgm:pt>
    <dgm:pt modelId="{EB5CC79B-94E8-42B5-93D8-40EE0E38F27B}" type="pres">
      <dgm:prSet presAssocID="{942E11E2-B53D-4C85-B5D5-BDF980F8DB70}" presName="hierChild4" presStyleCnt="0"/>
      <dgm:spPr/>
    </dgm:pt>
    <dgm:pt modelId="{BA3A12C0-D0F4-40A8-98B0-4B0BF92AAFC5}" type="pres">
      <dgm:prSet presAssocID="{942E11E2-B53D-4C85-B5D5-BDF980F8DB70}" presName="hierChild5" presStyleCnt="0"/>
      <dgm:spPr/>
    </dgm:pt>
    <dgm:pt modelId="{68BF3B4C-7575-469C-B637-490810718338}" type="pres">
      <dgm:prSet presAssocID="{6B5B6A30-99DD-4191-B955-C5DA52B7BD94}" presName="Name37" presStyleLbl="parChTrans1D2" presStyleIdx="1" presStyleCnt="4"/>
      <dgm:spPr/>
    </dgm:pt>
    <dgm:pt modelId="{58C66320-E700-481F-882F-F4B840C8376B}" type="pres">
      <dgm:prSet presAssocID="{DB721660-7819-4E84-9A45-FCCEABF257CF}" presName="hierRoot2" presStyleCnt="0">
        <dgm:presLayoutVars>
          <dgm:hierBranch val="init"/>
        </dgm:presLayoutVars>
      </dgm:prSet>
      <dgm:spPr/>
    </dgm:pt>
    <dgm:pt modelId="{AFEAFE4D-9EE6-4E8A-B677-71DFDDC194A9}" type="pres">
      <dgm:prSet presAssocID="{DB721660-7819-4E84-9A45-FCCEABF257CF}" presName="rootComposite" presStyleCnt="0"/>
      <dgm:spPr/>
    </dgm:pt>
    <dgm:pt modelId="{DEC6B61D-061F-4A9F-93AC-0F291BFA5B6C}" type="pres">
      <dgm:prSet presAssocID="{DB721660-7819-4E84-9A45-FCCEABF257CF}" presName="rootText" presStyleLbl="node2" presStyleIdx="1" presStyleCnt="4">
        <dgm:presLayoutVars>
          <dgm:chPref val="3"/>
        </dgm:presLayoutVars>
      </dgm:prSet>
      <dgm:spPr/>
    </dgm:pt>
    <dgm:pt modelId="{0626092E-D681-4BE7-BB4A-4675C01A2306}" type="pres">
      <dgm:prSet presAssocID="{DB721660-7819-4E84-9A45-FCCEABF257CF}" presName="rootConnector" presStyleLbl="node2" presStyleIdx="1" presStyleCnt="4"/>
      <dgm:spPr/>
    </dgm:pt>
    <dgm:pt modelId="{1AD2FC8D-86B5-4337-9E7A-B81BB1A27A76}" type="pres">
      <dgm:prSet presAssocID="{DB721660-7819-4E84-9A45-FCCEABF257CF}" presName="hierChild4" presStyleCnt="0"/>
      <dgm:spPr/>
    </dgm:pt>
    <dgm:pt modelId="{EC4F5993-8B88-4728-9139-09DC9FE4F86F}" type="pres">
      <dgm:prSet presAssocID="{DB721660-7819-4E84-9A45-FCCEABF257CF}" presName="hierChild5" presStyleCnt="0"/>
      <dgm:spPr/>
    </dgm:pt>
    <dgm:pt modelId="{DCA28D28-8333-41C9-9D19-475A704BB767}" type="pres">
      <dgm:prSet presAssocID="{694B3EED-9F54-48F5-9CD6-7E83AA081E33}" presName="Name37" presStyleLbl="parChTrans1D2" presStyleIdx="2" presStyleCnt="4"/>
      <dgm:spPr/>
    </dgm:pt>
    <dgm:pt modelId="{F3304A1B-9CDE-443B-9C80-91247CE0CAD7}" type="pres">
      <dgm:prSet presAssocID="{319676E1-4324-4840-B002-BFA0755C3941}" presName="hierRoot2" presStyleCnt="0">
        <dgm:presLayoutVars>
          <dgm:hierBranch val="init"/>
        </dgm:presLayoutVars>
      </dgm:prSet>
      <dgm:spPr/>
    </dgm:pt>
    <dgm:pt modelId="{6FF4773C-2620-49B0-A41B-E77591ABB5CE}" type="pres">
      <dgm:prSet presAssocID="{319676E1-4324-4840-B002-BFA0755C3941}" presName="rootComposite" presStyleCnt="0"/>
      <dgm:spPr/>
    </dgm:pt>
    <dgm:pt modelId="{B54744C3-1CA2-4C4E-8A18-7CB2FF010BA3}" type="pres">
      <dgm:prSet presAssocID="{319676E1-4324-4840-B002-BFA0755C3941}" presName="rootText" presStyleLbl="node2" presStyleIdx="2" presStyleCnt="4">
        <dgm:presLayoutVars>
          <dgm:chPref val="3"/>
        </dgm:presLayoutVars>
      </dgm:prSet>
      <dgm:spPr/>
    </dgm:pt>
    <dgm:pt modelId="{DE20559A-A34A-437A-B3DB-CFE0FCE5A5C1}" type="pres">
      <dgm:prSet presAssocID="{319676E1-4324-4840-B002-BFA0755C3941}" presName="rootConnector" presStyleLbl="node2" presStyleIdx="2" presStyleCnt="4"/>
      <dgm:spPr/>
    </dgm:pt>
    <dgm:pt modelId="{3B349B02-C4F7-4E58-B3BF-49ED30D6CF8B}" type="pres">
      <dgm:prSet presAssocID="{319676E1-4324-4840-B002-BFA0755C3941}" presName="hierChild4" presStyleCnt="0"/>
      <dgm:spPr/>
    </dgm:pt>
    <dgm:pt modelId="{034936F6-B077-4AAE-A54E-D532E2160F2E}" type="pres">
      <dgm:prSet presAssocID="{319676E1-4324-4840-B002-BFA0755C3941}" presName="hierChild5" presStyleCnt="0"/>
      <dgm:spPr/>
    </dgm:pt>
    <dgm:pt modelId="{2CA37E9E-0CC6-4302-A0D8-012694B301C4}" type="pres">
      <dgm:prSet presAssocID="{839A277C-8F6A-4AC8-8C5F-7C353D786C8D}" presName="Name37" presStyleLbl="parChTrans1D2" presStyleIdx="3" presStyleCnt="4"/>
      <dgm:spPr/>
    </dgm:pt>
    <dgm:pt modelId="{0CD56909-2A76-4845-8E49-D8A90C51BA7A}" type="pres">
      <dgm:prSet presAssocID="{A04FFCF9-9370-4C92-8B01-2B3421B153BF}" presName="hierRoot2" presStyleCnt="0">
        <dgm:presLayoutVars>
          <dgm:hierBranch val="init"/>
        </dgm:presLayoutVars>
      </dgm:prSet>
      <dgm:spPr/>
    </dgm:pt>
    <dgm:pt modelId="{53321EBC-B218-4C32-A93D-90CA7B877246}" type="pres">
      <dgm:prSet presAssocID="{A04FFCF9-9370-4C92-8B01-2B3421B153BF}" presName="rootComposite" presStyleCnt="0"/>
      <dgm:spPr/>
    </dgm:pt>
    <dgm:pt modelId="{924A31C2-BD7A-4ABD-8F05-46F3373C245D}" type="pres">
      <dgm:prSet presAssocID="{A04FFCF9-9370-4C92-8B01-2B3421B153BF}" presName="rootText" presStyleLbl="node2" presStyleIdx="3" presStyleCnt="4">
        <dgm:presLayoutVars>
          <dgm:chPref val="3"/>
        </dgm:presLayoutVars>
      </dgm:prSet>
      <dgm:spPr/>
    </dgm:pt>
    <dgm:pt modelId="{CB1E2958-B870-4152-8B4D-2D477D123E2D}" type="pres">
      <dgm:prSet presAssocID="{A04FFCF9-9370-4C92-8B01-2B3421B153BF}" presName="rootConnector" presStyleLbl="node2" presStyleIdx="3" presStyleCnt="4"/>
      <dgm:spPr/>
    </dgm:pt>
    <dgm:pt modelId="{399CE797-DB8B-4859-B40C-2437912B8262}" type="pres">
      <dgm:prSet presAssocID="{A04FFCF9-9370-4C92-8B01-2B3421B153BF}" presName="hierChild4" presStyleCnt="0"/>
      <dgm:spPr/>
    </dgm:pt>
    <dgm:pt modelId="{2EC13292-8C37-4578-A454-EC8683C74E54}" type="pres">
      <dgm:prSet presAssocID="{A04FFCF9-9370-4C92-8B01-2B3421B153BF}" presName="hierChild5" presStyleCnt="0"/>
      <dgm:spPr/>
    </dgm:pt>
    <dgm:pt modelId="{B2251E5B-76AD-4494-9195-0C439F145D34}" type="pres">
      <dgm:prSet presAssocID="{ADCB8421-7FEF-43E8-9041-B6289D929361}" presName="hierChild3" presStyleCnt="0"/>
      <dgm:spPr/>
    </dgm:pt>
  </dgm:ptLst>
  <dgm:cxnLst>
    <dgm:cxn modelId="{BF50610F-D899-4FA5-8DAE-2BD9AA6E164E}" type="presOf" srcId="{A04FFCF9-9370-4C92-8B01-2B3421B153BF}" destId="{CB1E2958-B870-4152-8B4D-2D477D123E2D}" srcOrd="1" destOrd="0" presId="urn:microsoft.com/office/officeart/2005/8/layout/orgChart1"/>
    <dgm:cxn modelId="{FAED4218-90E9-495F-89F6-8552CFF93D62}" srcId="{ADCB8421-7FEF-43E8-9041-B6289D929361}" destId="{A04FFCF9-9370-4C92-8B01-2B3421B153BF}" srcOrd="3" destOrd="0" parTransId="{839A277C-8F6A-4AC8-8C5F-7C353D786C8D}" sibTransId="{A03ECC40-33CC-4A7D-8514-332CFE078461}"/>
    <dgm:cxn modelId="{67A3E81D-0F0E-481E-99D0-65633992914F}" srcId="{B2930AEF-74E1-40BB-A1D6-ACFD4D8AA889}" destId="{ADCB8421-7FEF-43E8-9041-B6289D929361}" srcOrd="0" destOrd="0" parTransId="{32A1B56E-3BC6-4C0A-8096-21BCB63544B4}" sibTransId="{E58DC6C4-82AE-44DE-B4F8-452C834AF6C0}"/>
    <dgm:cxn modelId="{3C081522-41AF-406E-BD7D-1C36FAA28509}" type="presOf" srcId="{6B5B6A30-99DD-4191-B955-C5DA52B7BD94}" destId="{68BF3B4C-7575-469C-B637-490810718338}" srcOrd="0" destOrd="0" presId="urn:microsoft.com/office/officeart/2005/8/layout/orgChart1"/>
    <dgm:cxn modelId="{FBE5EA5D-F665-48B2-BAD1-51B172395EF4}" type="presOf" srcId="{319676E1-4324-4840-B002-BFA0755C3941}" destId="{DE20559A-A34A-437A-B3DB-CFE0FCE5A5C1}" srcOrd="1" destOrd="0" presId="urn:microsoft.com/office/officeart/2005/8/layout/orgChart1"/>
    <dgm:cxn modelId="{A7A84865-6F6C-46D0-85F1-3FBA41EF5633}" type="presOf" srcId="{942E11E2-B53D-4C85-B5D5-BDF980F8DB70}" destId="{06A50B83-093D-48FE-9900-8152E0FDB8FA}" srcOrd="1" destOrd="0" presId="urn:microsoft.com/office/officeart/2005/8/layout/orgChart1"/>
    <dgm:cxn modelId="{6E6EA769-7A37-48B7-934C-9E0692C4408E}" type="presOf" srcId="{ADCB8421-7FEF-43E8-9041-B6289D929361}" destId="{2CF1A682-B466-4B17-A0D1-93503490FF9C}" srcOrd="0" destOrd="0" presId="urn:microsoft.com/office/officeart/2005/8/layout/orgChart1"/>
    <dgm:cxn modelId="{C7BB7D72-AFBA-4E49-9EA3-44A9796ED53F}" srcId="{ADCB8421-7FEF-43E8-9041-B6289D929361}" destId="{DB721660-7819-4E84-9A45-FCCEABF257CF}" srcOrd="1" destOrd="0" parTransId="{6B5B6A30-99DD-4191-B955-C5DA52B7BD94}" sibTransId="{5FD0CB3F-8BF7-4107-8EA4-E81C6319A0A0}"/>
    <dgm:cxn modelId="{EA900F5A-91DE-4F08-8683-237E0C6735C0}" type="presOf" srcId="{DB721660-7819-4E84-9A45-FCCEABF257CF}" destId="{DEC6B61D-061F-4A9F-93AC-0F291BFA5B6C}" srcOrd="0" destOrd="0" presId="urn:microsoft.com/office/officeart/2005/8/layout/orgChart1"/>
    <dgm:cxn modelId="{742E8883-F931-4FB4-8152-5D5DB7844423}" type="presOf" srcId="{F00DDB6C-C34C-4197-85D4-F20ECE5E05A8}" destId="{DCF54307-6389-4E0C-A1AD-1386076467BC}" srcOrd="0" destOrd="0" presId="urn:microsoft.com/office/officeart/2005/8/layout/orgChart1"/>
    <dgm:cxn modelId="{07699C92-AB1A-4B2B-9635-7BE47B94799C}" type="presOf" srcId="{942E11E2-B53D-4C85-B5D5-BDF980F8DB70}" destId="{BF1D4B61-699F-4C4F-9E70-2250D1759416}" srcOrd="0" destOrd="0" presId="urn:microsoft.com/office/officeart/2005/8/layout/orgChart1"/>
    <dgm:cxn modelId="{7D802497-BFAD-4CAE-8538-F0FD98FA4F28}" type="presOf" srcId="{ADCB8421-7FEF-43E8-9041-B6289D929361}" destId="{2DFFC911-7164-475F-AFA9-8905186A1578}" srcOrd="1" destOrd="0" presId="urn:microsoft.com/office/officeart/2005/8/layout/orgChart1"/>
    <dgm:cxn modelId="{773CFC99-90DF-4AC7-ABA8-F60533B6428B}" type="presOf" srcId="{DB721660-7819-4E84-9A45-FCCEABF257CF}" destId="{0626092E-D681-4BE7-BB4A-4675C01A2306}" srcOrd="1" destOrd="0" presId="urn:microsoft.com/office/officeart/2005/8/layout/orgChart1"/>
    <dgm:cxn modelId="{42F7E7BF-51B3-4EAB-BA51-E27FA86F7710}" type="presOf" srcId="{839A277C-8F6A-4AC8-8C5F-7C353D786C8D}" destId="{2CA37E9E-0CC6-4302-A0D8-012694B301C4}" srcOrd="0" destOrd="0" presId="urn:microsoft.com/office/officeart/2005/8/layout/orgChart1"/>
    <dgm:cxn modelId="{A217E4C7-F5D6-4693-9A44-CA83D9085F7D}" srcId="{ADCB8421-7FEF-43E8-9041-B6289D929361}" destId="{319676E1-4324-4840-B002-BFA0755C3941}" srcOrd="2" destOrd="0" parTransId="{694B3EED-9F54-48F5-9CD6-7E83AA081E33}" sibTransId="{FB44A679-F44F-4EEF-AFA3-7FB5DC92AF4D}"/>
    <dgm:cxn modelId="{201727CC-1FF6-4ED4-A963-0FCB995B67EB}" srcId="{ADCB8421-7FEF-43E8-9041-B6289D929361}" destId="{942E11E2-B53D-4C85-B5D5-BDF980F8DB70}" srcOrd="0" destOrd="0" parTransId="{F00DDB6C-C34C-4197-85D4-F20ECE5E05A8}" sibTransId="{D3D073F4-07CE-42AE-B661-EDE348C786CE}"/>
    <dgm:cxn modelId="{8EF71DDA-699F-44EE-B870-983D03AB0711}" type="presOf" srcId="{694B3EED-9F54-48F5-9CD6-7E83AA081E33}" destId="{DCA28D28-8333-41C9-9D19-475A704BB767}" srcOrd="0" destOrd="0" presId="urn:microsoft.com/office/officeart/2005/8/layout/orgChart1"/>
    <dgm:cxn modelId="{76C860E5-B301-4B74-9106-2CD7D3DFFE7C}" type="presOf" srcId="{319676E1-4324-4840-B002-BFA0755C3941}" destId="{B54744C3-1CA2-4C4E-8A18-7CB2FF010BA3}" srcOrd="0" destOrd="0" presId="urn:microsoft.com/office/officeart/2005/8/layout/orgChart1"/>
    <dgm:cxn modelId="{FB2F5AF1-04B3-49C1-8146-58F3C340DDB9}" type="presOf" srcId="{A04FFCF9-9370-4C92-8B01-2B3421B153BF}" destId="{924A31C2-BD7A-4ABD-8F05-46F3373C245D}" srcOrd="0" destOrd="0" presId="urn:microsoft.com/office/officeart/2005/8/layout/orgChart1"/>
    <dgm:cxn modelId="{09AB0DFF-0C8A-4C58-8944-1B79A6BA8E80}" type="presOf" srcId="{B2930AEF-74E1-40BB-A1D6-ACFD4D8AA889}" destId="{4ED42257-D6BE-4273-8EAE-34791961E599}" srcOrd="0" destOrd="0" presId="urn:microsoft.com/office/officeart/2005/8/layout/orgChart1"/>
    <dgm:cxn modelId="{4A8D213E-CA56-49CC-8187-43A37C4F8DB0}" type="presParOf" srcId="{4ED42257-D6BE-4273-8EAE-34791961E599}" destId="{48075675-BEF1-4875-A8E3-2E699945D0CD}" srcOrd="0" destOrd="0" presId="urn:microsoft.com/office/officeart/2005/8/layout/orgChart1"/>
    <dgm:cxn modelId="{105B61FE-23FD-48B1-A16B-5CB8C4ED099D}" type="presParOf" srcId="{48075675-BEF1-4875-A8E3-2E699945D0CD}" destId="{E1FCA120-D81E-471A-A298-B6994F9C5ADA}" srcOrd="0" destOrd="0" presId="urn:microsoft.com/office/officeart/2005/8/layout/orgChart1"/>
    <dgm:cxn modelId="{C06697CA-C759-452D-94CB-1C2243A60AF9}" type="presParOf" srcId="{E1FCA120-D81E-471A-A298-B6994F9C5ADA}" destId="{2CF1A682-B466-4B17-A0D1-93503490FF9C}" srcOrd="0" destOrd="0" presId="urn:microsoft.com/office/officeart/2005/8/layout/orgChart1"/>
    <dgm:cxn modelId="{D967664C-AB79-4846-A975-610CA2BC3A57}" type="presParOf" srcId="{E1FCA120-D81E-471A-A298-B6994F9C5ADA}" destId="{2DFFC911-7164-475F-AFA9-8905186A1578}" srcOrd="1" destOrd="0" presId="urn:microsoft.com/office/officeart/2005/8/layout/orgChart1"/>
    <dgm:cxn modelId="{E08A04CD-EDB8-471F-9133-59639FAF53CA}" type="presParOf" srcId="{48075675-BEF1-4875-A8E3-2E699945D0CD}" destId="{5F43E488-07B6-4379-B5DB-EDD80CECA69C}" srcOrd="1" destOrd="0" presId="urn:microsoft.com/office/officeart/2005/8/layout/orgChart1"/>
    <dgm:cxn modelId="{D2FE7F76-1669-4B54-A6BC-8D04C6ADF34D}" type="presParOf" srcId="{5F43E488-07B6-4379-B5DB-EDD80CECA69C}" destId="{DCF54307-6389-4E0C-A1AD-1386076467BC}" srcOrd="0" destOrd="0" presId="urn:microsoft.com/office/officeart/2005/8/layout/orgChart1"/>
    <dgm:cxn modelId="{02D87054-7C2D-4572-AA70-DABC5DB0F068}" type="presParOf" srcId="{5F43E488-07B6-4379-B5DB-EDD80CECA69C}" destId="{10F4F0DB-EEFB-4C36-A910-7F3D352C9532}" srcOrd="1" destOrd="0" presId="urn:microsoft.com/office/officeart/2005/8/layout/orgChart1"/>
    <dgm:cxn modelId="{AD9D0EAA-B08E-48C9-A827-C5726441845E}" type="presParOf" srcId="{10F4F0DB-EEFB-4C36-A910-7F3D352C9532}" destId="{333A0D02-44CC-455D-804F-2A6CDD662198}" srcOrd="0" destOrd="0" presId="urn:microsoft.com/office/officeart/2005/8/layout/orgChart1"/>
    <dgm:cxn modelId="{EFF80020-819B-46B9-864F-01A1B0317775}" type="presParOf" srcId="{333A0D02-44CC-455D-804F-2A6CDD662198}" destId="{BF1D4B61-699F-4C4F-9E70-2250D1759416}" srcOrd="0" destOrd="0" presId="urn:microsoft.com/office/officeart/2005/8/layout/orgChart1"/>
    <dgm:cxn modelId="{2C161762-1ED5-4DD7-829D-99C8006B214F}" type="presParOf" srcId="{333A0D02-44CC-455D-804F-2A6CDD662198}" destId="{06A50B83-093D-48FE-9900-8152E0FDB8FA}" srcOrd="1" destOrd="0" presId="urn:microsoft.com/office/officeart/2005/8/layout/orgChart1"/>
    <dgm:cxn modelId="{736F31DA-3905-4C2D-86C1-BD4AB2A9C583}" type="presParOf" srcId="{10F4F0DB-EEFB-4C36-A910-7F3D352C9532}" destId="{EB5CC79B-94E8-42B5-93D8-40EE0E38F27B}" srcOrd="1" destOrd="0" presId="urn:microsoft.com/office/officeart/2005/8/layout/orgChart1"/>
    <dgm:cxn modelId="{D89B9457-48A9-45D1-8A9E-8EB886D12CFE}" type="presParOf" srcId="{10F4F0DB-EEFB-4C36-A910-7F3D352C9532}" destId="{BA3A12C0-D0F4-40A8-98B0-4B0BF92AAFC5}" srcOrd="2" destOrd="0" presId="urn:microsoft.com/office/officeart/2005/8/layout/orgChart1"/>
    <dgm:cxn modelId="{8EBD3091-F9D3-4615-92EA-E7BE8028084D}" type="presParOf" srcId="{5F43E488-07B6-4379-B5DB-EDD80CECA69C}" destId="{68BF3B4C-7575-469C-B637-490810718338}" srcOrd="2" destOrd="0" presId="urn:microsoft.com/office/officeart/2005/8/layout/orgChart1"/>
    <dgm:cxn modelId="{8E52C068-56F3-482F-B8C2-01474D636498}" type="presParOf" srcId="{5F43E488-07B6-4379-B5DB-EDD80CECA69C}" destId="{58C66320-E700-481F-882F-F4B840C8376B}" srcOrd="3" destOrd="0" presId="urn:microsoft.com/office/officeart/2005/8/layout/orgChart1"/>
    <dgm:cxn modelId="{E3C0615C-3CFF-4A94-85E2-ECBACC6F8CFA}" type="presParOf" srcId="{58C66320-E700-481F-882F-F4B840C8376B}" destId="{AFEAFE4D-9EE6-4E8A-B677-71DFDDC194A9}" srcOrd="0" destOrd="0" presId="urn:microsoft.com/office/officeart/2005/8/layout/orgChart1"/>
    <dgm:cxn modelId="{F71D17BE-42A7-4659-B932-F99BC1FA26B9}" type="presParOf" srcId="{AFEAFE4D-9EE6-4E8A-B677-71DFDDC194A9}" destId="{DEC6B61D-061F-4A9F-93AC-0F291BFA5B6C}" srcOrd="0" destOrd="0" presId="urn:microsoft.com/office/officeart/2005/8/layout/orgChart1"/>
    <dgm:cxn modelId="{D6F5B52B-3FC9-4583-B7E4-EF3321051B43}" type="presParOf" srcId="{AFEAFE4D-9EE6-4E8A-B677-71DFDDC194A9}" destId="{0626092E-D681-4BE7-BB4A-4675C01A2306}" srcOrd="1" destOrd="0" presId="urn:microsoft.com/office/officeart/2005/8/layout/orgChart1"/>
    <dgm:cxn modelId="{1A456E1E-CD70-4596-AD4D-10BA6B0DBEA8}" type="presParOf" srcId="{58C66320-E700-481F-882F-F4B840C8376B}" destId="{1AD2FC8D-86B5-4337-9E7A-B81BB1A27A76}" srcOrd="1" destOrd="0" presId="urn:microsoft.com/office/officeart/2005/8/layout/orgChart1"/>
    <dgm:cxn modelId="{0E7DFD98-5414-4D0C-B210-14C27B1B3993}" type="presParOf" srcId="{58C66320-E700-481F-882F-F4B840C8376B}" destId="{EC4F5993-8B88-4728-9139-09DC9FE4F86F}" srcOrd="2" destOrd="0" presId="urn:microsoft.com/office/officeart/2005/8/layout/orgChart1"/>
    <dgm:cxn modelId="{CEB33568-8FD8-414A-8DFD-0E82EC42D550}" type="presParOf" srcId="{5F43E488-07B6-4379-B5DB-EDD80CECA69C}" destId="{DCA28D28-8333-41C9-9D19-475A704BB767}" srcOrd="4" destOrd="0" presId="urn:microsoft.com/office/officeart/2005/8/layout/orgChart1"/>
    <dgm:cxn modelId="{F77A4787-C56E-451D-89A6-24326466FE08}" type="presParOf" srcId="{5F43E488-07B6-4379-B5DB-EDD80CECA69C}" destId="{F3304A1B-9CDE-443B-9C80-91247CE0CAD7}" srcOrd="5" destOrd="0" presId="urn:microsoft.com/office/officeart/2005/8/layout/orgChart1"/>
    <dgm:cxn modelId="{BFCE1993-7EAF-479B-B3C1-9CF3E62F45D0}" type="presParOf" srcId="{F3304A1B-9CDE-443B-9C80-91247CE0CAD7}" destId="{6FF4773C-2620-49B0-A41B-E77591ABB5CE}" srcOrd="0" destOrd="0" presId="urn:microsoft.com/office/officeart/2005/8/layout/orgChart1"/>
    <dgm:cxn modelId="{D70603DF-BAFF-4378-A70C-71F565868BCB}" type="presParOf" srcId="{6FF4773C-2620-49B0-A41B-E77591ABB5CE}" destId="{B54744C3-1CA2-4C4E-8A18-7CB2FF010BA3}" srcOrd="0" destOrd="0" presId="urn:microsoft.com/office/officeart/2005/8/layout/orgChart1"/>
    <dgm:cxn modelId="{988DFD44-E66E-4D2D-89D0-15B757864282}" type="presParOf" srcId="{6FF4773C-2620-49B0-A41B-E77591ABB5CE}" destId="{DE20559A-A34A-437A-B3DB-CFE0FCE5A5C1}" srcOrd="1" destOrd="0" presId="urn:microsoft.com/office/officeart/2005/8/layout/orgChart1"/>
    <dgm:cxn modelId="{86482B77-ACE7-49EB-945E-C0310E0A307D}" type="presParOf" srcId="{F3304A1B-9CDE-443B-9C80-91247CE0CAD7}" destId="{3B349B02-C4F7-4E58-B3BF-49ED30D6CF8B}" srcOrd="1" destOrd="0" presId="urn:microsoft.com/office/officeart/2005/8/layout/orgChart1"/>
    <dgm:cxn modelId="{CDEDC86D-ED27-4BB6-A0D1-8B99EC379D50}" type="presParOf" srcId="{F3304A1B-9CDE-443B-9C80-91247CE0CAD7}" destId="{034936F6-B077-4AAE-A54E-D532E2160F2E}" srcOrd="2" destOrd="0" presId="urn:microsoft.com/office/officeart/2005/8/layout/orgChart1"/>
    <dgm:cxn modelId="{778429CC-EF2F-434D-B380-B2B00DFD893B}" type="presParOf" srcId="{5F43E488-07B6-4379-B5DB-EDD80CECA69C}" destId="{2CA37E9E-0CC6-4302-A0D8-012694B301C4}" srcOrd="6" destOrd="0" presId="urn:microsoft.com/office/officeart/2005/8/layout/orgChart1"/>
    <dgm:cxn modelId="{1ABE25D0-63C3-4E4F-B7FD-E8450EE523F7}" type="presParOf" srcId="{5F43E488-07B6-4379-B5DB-EDD80CECA69C}" destId="{0CD56909-2A76-4845-8E49-D8A90C51BA7A}" srcOrd="7" destOrd="0" presId="urn:microsoft.com/office/officeart/2005/8/layout/orgChart1"/>
    <dgm:cxn modelId="{6ED47D35-0674-49AF-92B8-889B97BCAA28}" type="presParOf" srcId="{0CD56909-2A76-4845-8E49-D8A90C51BA7A}" destId="{53321EBC-B218-4C32-A93D-90CA7B877246}" srcOrd="0" destOrd="0" presId="urn:microsoft.com/office/officeart/2005/8/layout/orgChart1"/>
    <dgm:cxn modelId="{0E03B1B0-9C11-454C-83BB-FC35FE686729}" type="presParOf" srcId="{53321EBC-B218-4C32-A93D-90CA7B877246}" destId="{924A31C2-BD7A-4ABD-8F05-46F3373C245D}" srcOrd="0" destOrd="0" presId="urn:microsoft.com/office/officeart/2005/8/layout/orgChart1"/>
    <dgm:cxn modelId="{01C9BA48-65CA-4F60-947A-5B6A98E5CDE0}" type="presParOf" srcId="{53321EBC-B218-4C32-A93D-90CA7B877246}" destId="{CB1E2958-B870-4152-8B4D-2D477D123E2D}" srcOrd="1" destOrd="0" presId="urn:microsoft.com/office/officeart/2005/8/layout/orgChart1"/>
    <dgm:cxn modelId="{E80DDACA-5698-449C-B961-03A0A00F144F}" type="presParOf" srcId="{0CD56909-2A76-4845-8E49-D8A90C51BA7A}" destId="{399CE797-DB8B-4859-B40C-2437912B8262}" srcOrd="1" destOrd="0" presId="urn:microsoft.com/office/officeart/2005/8/layout/orgChart1"/>
    <dgm:cxn modelId="{3A99D1AD-25AA-4E7E-A049-91DCC76C35AA}" type="presParOf" srcId="{0CD56909-2A76-4845-8E49-D8A90C51BA7A}" destId="{2EC13292-8C37-4578-A454-EC8683C74E54}" srcOrd="2" destOrd="0" presId="urn:microsoft.com/office/officeart/2005/8/layout/orgChart1"/>
    <dgm:cxn modelId="{6FBA696E-A811-47DF-94C1-E2B9AC8B0E7B}" type="presParOf" srcId="{48075675-BEF1-4875-A8E3-2E699945D0CD}" destId="{B2251E5B-76AD-4494-9195-0C439F145D34}"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139326D-5D22-418F-B7F7-488003C42E3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F87E4E7C-E9C3-4277-A847-BA1E9F5701F9}">
      <dgm:prSet phldrT="[Text]" custT="1"/>
      <dgm:spPr/>
      <dgm:t>
        <a:bodyPr/>
        <a:lstStyle/>
        <a:p>
          <a:r>
            <a:rPr lang="en-US" sz="1200" b="0">
              <a:latin typeface="Times New Roman" pitchFamily="18" charset="0"/>
              <a:cs typeface="Times New Roman" pitchFamily="18" charset="0"/>
            </a:rPr>
            <a:t>Communication Barriers</a:t>
          </a:r>
        </a:p>
      </dgm:t>
    </dgm:pt>
    <dgm:pt modelId="{2247F834-52D5-4012-A0A8-463A5369630D}" type="parTrans" cxnId="{6D105273-4396-40EB-B05A-38B4A6DE8BF0}">
      <dgm:prSet/>
      <dgm:spPr/>
      <dgm:t>
        <a:bodyPr/>
        <a:lstStyle/>
        <a:p>
          <a:endParaRPr lang="en-US"/>
        </a:p>
      </dgm:t>
    </dgm:pt>
    <dgm:pt modelId="{5A9D8119-4E28-446C-834E-C946B22F5367}" type="sibTrans" cxnId="{6D105273-4396-40EB-B05A-38B4A6DE8BF0}">
      <dgm:prSet/>
      <dgm:spPr/>
      <dgm:t>
        <a:bodyPr/>
        <a:lstStyle/>
        <a:p>
          <a:endParaRPr lang="en-US"/>
        </a:p>
      </dgm:t>
    </dgm:pt>
    <dgm:pt modelId="{AE4BD198-D9AC-4A03-BF74-D86B5F741925}">
      <dgm:prSet phldrT="[Text]" custT="1"/>
      <dgm:spPr/>
      <dgm:t>
        <a:bodyPr/>
        <a:lstStyle/>
        <a:p>
          <a:r>
            <a:rPr lang="en-US" sz="1200" b="0">
              <a:latin typeface="Times New Roman" pitchFamily="18" charset="0"/>
              <a:cs typeface="Times New Roman" pitchFamily="18" charset="0"/>
            </a:rPr>
            <a:t>Cultural differences </a:t>
          </a:r>
        </a:p>
      </dgm:t>
    </dgm:pt>
    <dgm:pt modelId="{ACB57986-B5F6-4503-B8A9-91AEE576EE7B}" type="parTrans" cxnId="{8433B48D-395E-4C0F-8F9A-3FEA9A240079}">
      <dgm:prSet/>
      <dgm:spPr/>
      <dgm:t>
        <a:bodyPr/>
        <a:lstStyle/>
        <a:p>
          <a:endParaRPr lang="en-US" sz="1200" b="0">
            <a:latin typeface="Times New Roman" pitchFamily="18" charset="0"/>
            <a:cs typeface="Times New Roman" pitchFamily="18" charset="0"/>
          </a:endParaRPr>
        </a:p>
      </dgm:t>
    </dgm:pt>
    <dgm:pt modelId="{8CA46755-4C2F-4E48-A5DB-7768732734E2}" type="sibTrans" cxnId="{8433B48D-395E-4C0F-8F9A-3FEA9A240079}">
      <dgm:prSet/>
      <dgm:spPr/>
      <dgm:t>
        <a:bodyPr/>
        <a:lstStyle/>
        <a:p>
          <a:endParaRPr lang="en-US"/>
        </a:p>
      </dgm:t>
    </dgm:pt>
    <dgm:pt modelId="{810EB695-F1A5-418B-AF17-E4913FE3EFDD}">
      <dgm:prSet phldrT="[Text]" custT="1"/>
      <dgm:spPr/>
      <dgm:t>
        <a:bodyPr/>
        <a:lstStyle/>
        <a:p>
          <a:r>
            <a:rPr lang="en-US" sz="1200" b="0">
              <a:latin typeface="Times New Roman" pitchFamily="18" charset="0"/>
              <a:cs typeface="Times New Roman" pitchFamily="18" charset="0"/>
            </a:rPr>
            <a:t>Physical barriers</a:t>
          </a:r>
        </a:p>
      </dgm:t>
    </dgm:pt>
    <dgm:pt modelId="{47F99FF0-16E1-476B-B959-53F50A1A7C02}" type="parTrans" cxnId="{CCEDF2EF-12F1-4304-845A-2963B41CEAAA}">
      <dgm:prSet/>
      <dgm:spPr/>
      <dgm:t>
        <a:bodyPr/>
        <a:lstStyle/>
        <a:p>
          <a:endParaRPr lang="en-US" sz="1200" b="0">
            <a:latin typeface="Times New Roman" pitchFamily="18" charset="0"/>
            <a:cs typeface="Times New Roman" pitchFamily="18" charset="0"/>
          </a:endParaRPr>
        </a:p>
      </dgm:t>
    </dgm:pt>
    <dgm:pt modelId="{3C38902B-FDB1-46B4-A8B3-A1E5F58FE46B}" type="sibTrans" cxnId="{CCEDF2EF-12F1-4304-845A-2963B41CEAAA}">
      <dgm:prSet/>
      <dgm:spPr/>
      <dgm:t>
        <a:bodyPr/>
        <a:lstStyle/>
        <a:p>
          <a:endParaRPr lang="en-US"/>
        </a:p>
      </dgm:t>
    </dgm:pt>
    <dgm:pt modelId="{262399B2-FAA6-4609-B6DB-924CFD7D9FF2}">
      <dgm:prSet phldrT="[Text]" custT="1"/>
      <dgm:spPr/>
      <dgm:t>
        <a:bodyPr/>
        <a:lstStyle/>
        <a:p>
          <a:r>
            <a:rPr lang="en-US" sz="1200" b="0">
              <a:latin typeface="Times New Roman" pitchFamily="18" charset="0"/>
              <a:cs typeface="Times New Roman" pitchFamily="18" charset="0"/>
            </a:rPr>
            <a:t>Language barriers</a:t>
          </a:r>
        </a:p>
      </dgm:t>
    </dgm:pt>
    <dgm:pt modelId="{39FEFD8F-7917-4FA3-8CAD-531978176DBE}" type="parTrans" cxnId="{C92F0974-2CE5-42A5-AAD0-F0F3444ABC36}">
      <dgm:prSet/>
      <dgm:spPr/>
      <dgm:t>
        <a:bodyPr/>
        <a:lstStyle/>
        <a:p>
          <a:endParaRPr lang="en-US" sz="1200" b="0">
            <a:latin typeface="Times New Roman" pitchFamily="18" charset="0"/>
            <a:cs typeface="Times New Roman" pitchFamily="18" charset="0"/>
          </a:endParaRPr>
        </a:p>
      </dgm:t>
    </dgm:pt>
    <dgm:pt modelId="{C501697C-AF44-4CE1-857D-3E31E6A2414F}" type="sibTrans" cxnId="{C92F0974-2CE5-42A5-AAD0-F0F3444ABC36}">
      <dgm:prSet/>
      <dgm:spPr/>
      <dgm:t>
        <a:bodyPr/>
        <a:lstStyle/>
        <a:p>
          <a:endParaRPr lang="en-US"/>
        </a:p>
      </dgm:t>
    </dgm:pt>
    <dgm:pt modelId="{0831122D-C87F-498A-9064-2EA93AF9B241}">
      <dgm:prSet custT="1"/>
      <dgm:spPr/>
      <dgm:t>
        <a:bodyPr/>
        <a:lstStyle/>
        <a:p>
          <a:r>
            <a:rPr lang="en-US" sz="1200" b="0">
              <a:latin typeface="Times New Roman" pitchFamily="18" charset="0"/>
              <a:cs typeface="Times New Roman" pitchFamily="18" charset="0"/>
            </a:rPr>
            <a:t>Generational barriers</a:t>
          </a:r>
        </a:p>
      </dgm:t>
    </dgm:pt>
    <dgm:pt modelId="{1C48A52D-B3D4-4A6A-B46F-8BA9B386AFC3}" type="parTrans" cxnId="{83C18275-5289-42C8-B32C-4002AAE25A1E}">
      <dgm:prSet/>
      <dgm:spPr/>
      <dgm:t>
        <a:bodyPr/>
        <a:lstStyle/>
        <a:p>
          <a:endParaRPr lang="en-US" sz="1200" b="0">
            <a:latin typeface="Times New Roman" pitchFamily="18" charset="0"/>
            <a:cs typeface="Times New Roman" pitchFamily="18" charset="0"/>
          </a:endParaRPr>
        </a:p>
      </dgm:t>
    </dgm:pt>
    <dgm:pt modelId="{8CAC4DF1-B799-4843-801D-7A479F25D173}" type="sibTrans" cxnId="{83C18275-5289-42C8-B32C-4002AAE25A1E}">
      <dgm:prSet/>
      <dgm:spPr/>
      <dgm:t>
        <a:bodyPr/>
        <a:lstStyle/>
        <a:p>
          <a:endParaRPr lang="en-US"/>
        </a:p>
      </dgm:t>
    </dgm:pt>
    <dgm:pt modelId="{12EA9E7B-0130-466A-8A90-7A79629BAD41}" type="pres">
      <dgm:prSet presAssocID="{E139326D-5D22-418F-B7F7-488003C42E3A}" presName="hierChild1" presStyleCnt="0">
        <dgm:presLayoutVars>
          <dgm:orgChart val="1"/>
          <dgm:chPref val="1"/>
          <dgm:dir/>
          <dgm:animOne val="branch"/>
          <dgm:animLvl val="lvl"/>
          <dgm:resizeHandles/>
        </dgm:presLayoutVars>
      </dgm:prSet>
      <dgm:spPr/>
    </dgm:pt>
    <dgm:pt modelId="{1FF7A3E2-4EBD-465B-B3C4-98ED1CADCF70}" type="pres">
      <dgm:prSet presAssocID="{F87E4E7C-E9C3-4277-A847-BA1E9F5701F9}" presName="hierRoot1" presStyleCnt="0">
        <dgm:presLayoutVars>
          <dgm:hierBranch val="init"/>
        </dgm:presLayoutVars>
      </dgm:prSet>
      <dgm:spPr/>
    </dgm:pt>
    <dgm:pt modelId="{2AA44C42-D946-4B3E-989A-80A997106254}" type="pres">
      <dgm:prSet presAssocID="{F87E4E7C-E9C3-4277-A847-BA1E9F5701F9}" presName="rootComposite1" presStyleCnt="0"/>
      <dgm:spPr/>
    </dgm:pt>
    <dgm:pt modelId="{A2C84852-EC40-4C61-8FB1-BBF2861FE301}" type="pres">
      <dgm:prSet presAssocID="{F87E4E7C-E9C3-4277-A847-BA1E9F5701F9}" presName="rootText1" presStyleLbl="node0" presStyleIdx="0" presStyleCnt="1">
        <dgm:presLayoutVars>
          <dgm:chPref val="3"/>
        </dgm:presLayoutVars>
      </dgm:prSet>
      <dgm:spPr/>
    </dgm:pt>
    <dgm:pt modelId="{7EBDA0CF-19BB-43E3-8EC4-69BA16642F97}" type="pres">
      <dgm:prSet presAssocID="{F87E4E7C-E9C3-4277-A847-BA1E9F5701F9}" presName="rootConnector1" presStyleLbl="node1" presStyleIdx="0" presStyleCnt="0"/>
      <dgm:spPr/>
    </dgm:pt>
    <dgm:pt modelId="{46DA4C37-C786-41A8-9F57-34E68BA2CD42}" type="pres">
      <dgm:prSet presAssocID="{F87E4E7C-E9C3-4277-A847-BA1E9F5701F9}" presName="hierChild2" presStyleCnt="0"/>
      <dgm:spPr/>
    </dgm:pt>
    <dgm:pt modelId="{618A5324-05F0-49B5-B893-872DD8AE113D}" type="pres">
      <dgm:prSet presAssocID="{ACB57986-B5F6-4503-B8A9-91AEE576EE7B}" presName="Name37" presStyleLbl="parChTrans1D2" presStyleIdx="0" presStyleCnt="4"/>
      <dgm:spPr/>
    </dgm:pt>
    <dgm:pt modelId="{D7535C99-5307-45C3-8E91-EB0EBE721940}" type="pres">
      <dgm:prSet presAssocID="{AE4BD198-D9AC-4A03-BF74-D86B5F741925}" presName="hierRoot2" presStyleCnt="0">
        <dgm:presLayoutVars>
          <dgm:hierBranch val="init"/>
        </dgm:presLayoutVars>
      </dgm:prSet>
      <dgm:spPr/>
    </dgm:pt>
    <dgm:pt modelId="{C910FCF6-250F-4EB9-B133-67FA4E96D7BD}" type="pres">
      <dgm:prSet presAssocID="{AE4BD198-D9AC-4A03-BF74-D86B5F741925}" presName="rootComposite" presStyleCnt="0"/>
      <dgm:spPr/>
    </dgm:pt>
    <dgm:pt modelId="{6A4537FE-2D81-4945-B698-53425010F2E9}" type="pres">
      <dgm:prSet presAssocID="{AE4BD198-D9AC-4A03-BF74-D86B5F741925}" presName="rootText" presStyleLbl="node2" presStyleIdx="0" presStyleCnt="4">
        <dgm:presLayoutVars>
          <dgm:chPref val="3"/>
        </dgm:presLayoutVars>
      </dgm:prSet>
      <dgm:spPr/>
    </dgm:pt>
    <dgm:pt modelId="{985BA077-CF8B-4D03-9635-1335ACAD945C}" type="pres">
      <dgm:prSet presAssocID="{AE4BD198-D9AC-4A03-BF74-D86B5F741925}" presName="rootConnector" presStyleLbl="node2" presStyleIdx="0" presStyleCnt="4"/>
      <dgm:spPr/>
    </dgm:pt>
    <dgm:pt modelId="{90C63780-2AD6-42E2-B07C-CBF1877F1F29}" type="pres">
      <dgm:prSet presAssocID="{AE4BD198-D9AC-4A03-BF74-D86B5F741925}" presName="hierChild4" presStyleCnt="0"/>
      <dgm:spPr/>
    </dgm:pt>
    <dgm:pt modelId="{840A0D54-4E69-40C3-9A79-B05B933F5481}" type="pres">
      <dgm:prSet presAssocID="{AE4BD198-D9AC-4A03-BF74-D86B5F741925}" presName="hierChild5" presStyleCnt="0"/>
      <dgm:spPr/>
    </dgm:pt>
    <dgm:pt modelId="{7D523DCC-CD70-43B9-9234-BE74D6374607}" type="pres">
      <dgm:prSet presAssocID="{47F99FF0-16E1-476B-B959-53F50A1A7C02}" presName="Name37" presStyleLbl="parChTrans1D2" presStyleIdx="1" presStyleCnt="4"/>
      <dgm:spPr/>
    </dgm:pt>
    <dgm:pt modelId="{73E711D8-6FBF-4FB6-AE87-042EF547FE59}" type="pres">
      <dgm:prSet presAssocID="{810EB695-F1A5-418B-AF17-E4913FE3EFDD}" presName="hierRoot2" presStyleCnt="0">
        <dgm:presLayoutVars>
          <dgm:hierBranch val="init"/>
        </dgm:presLayoutVars>
      </dgm:prSet>
      <dgm:spPr/>
    </dgm:pt>
    <dgm:pt modelId="{1AF6ADE1-3AB6-4DF8-8B9F-5F7DF7AD2611}" type="pres">
      <dgm:prSet presAssocID="{810EB695-F1A5-418B-AF17-E4913FE3EFDD}" presName="rootComposite" presStyleCnt="0"/>
      <dgm:spPr/>
    </dgm:pt>
    <dgm:pt modelId="{F157C647-8BB4-40F1-A3CC-122C4E86D5A3}" type="pres">
      <dgm:prSet presAssocID="{810EB695-F1A5-418B-AF17-E4913FE3EFDD}" presName="rootText" presStyleLbl="node2" presStyleIdx="1" presStyleCnt="4">
        <dgm:presLayoutVars>
          <dgm:chPref val="3"/>
        </dgm:presLayoutVars>
      </dgm:prSet>
      <dgm:spPr/>
    </dgm:pt>
    <dgm:pt modelId="{DB7ADFD2-1F4E-406D-A871-351AC4CE1084}" type="pres">
      <dgm:prSet presAssocID="{810EB695-F1A5-418B-AF17-E4913FE3EFDD}" presName="rootConnector" presStyleLbl="node2" presStyleIdx="1" presStyleCnt="4"/>
      <dgm:spPr/>
    </dgm:pt>
    <dgm:pt modelId="{EBAB1575-ACEB-462B-AED7-D584F45AB2FD}" type="pres">
      <dgm:prSet presAssocID="{810EB695-F1A5-418B-AF17-E4913FE3EFDD}" presName="hierChild4" presStyleCnt="0"/>
      <dgm:spPr/>
    </dgm:pt>
    <dgm:pt modelId="{6DAF34BE-D182-4CDF-9A19-2B77C547942E}" type="pres">
      <dgm:prSet presAssocID="{810EB695-F1A5-418B-AF17-E4913FE3EFDD}" presName="hierChild5" presStyleCnt="0"/>
      <dgm:spPr/>
    </dgm:pt>
    <dgm:pt modelId="{2EED1EF4-F31D-412F-9223-C91876959FEC}" type="pres">
      <dgm:prSet presAssocID="{39FEFD8F-7917-4FA3-8CAD-531978176DBE}" presName="Name37" presStyleLbl="parChTrans1D2" presStyleIdx="2" presStyleCnt="4"/>
      <dgm:spPr/>
    </dgm:pt>
    <dgm:pt modelId="{696CAF2A-A523-4DA9-99C2-65969B18C018}" type="pres">
      <dgm:prSet presAssocID="{262399B2-FAA6-4609-B6DB-924CFD7D9FF2}" presName="hierRoot2" presStyleCnt="0">
        <dgm:presLayoutVars>
          <dgm:hierBranch val="init"/>
        </dgm:presLayoutVars>
      </dgm:prSet>
      <dgm:spPr/>
    </dgm:pt>
    <dgm:pt modelId="{613CFA0C-79CC-40ED-B2FD-8A53513F3E01}" type="pres">
      <dgm:prSet presAssocID="{262399B2-FAA6-4609-B6DB-924CFD7D9FF2}" presName="rootComposite" presStyleCnt="0"/>
      <dgm:spPr/>
    </dgm:pt>
    <dgm:pt modelId="{3636B882-874F-41F3-A16C-BE418C5E143D}" type="pres">
      <dgm:prSet presAssocID="{262399B2-FAA6-4609-B6DB-924CFD7D9FF2}" presName="rootText" presStyleLbl="node2" presStyleIdx="2" presStyleCnt="4">
        <dgm:presLayoutVars>
          <dgm:chPref val="3"/>
        </dgm:presLayoutVars>
      </dgm:prSet>
      <dgm:spPr/>
    </dgm:pt>
    <dgm:pt modelId="{B4575139-6F92-4652-947D-A00F842AAFE2}" type="pres">
      <dgm:prSet presAssocID="{262399B2-FAA6-4609-B6DB-924CFD7D9FF2}" presName="rootConnector" presStyleLbl="node2" presStyleIdx="2" presStyleCnt="4"/>
      <dgm:spPr/>
    </dgm:pt>
    <dgm:pt modelId="{81385B33-F1E0-4C9F-BFCA-DF3AF166D785}" type="pres">
      <dgm:prSet presAssocID="{262399B2-FAA6-4609-B6DB-924CFD7D9FF2}" presName="hierChild4" presStyleCnt="0"/>
      <dgm:spPr/>
    </dgm:pt>
    <dgm:pt modelId="{D570F816-D57A-4ABE-A362-2B120FC7A4B3}" type="pres">
      <dgm:prSet presAssocID="{262399B2-FAA6-4609-B6DB-924CFD7D9FF2}" presName="hierChild5" presStyleCnt="0"/>
      <dgm:spPr/>
    </dgm:pt>
    <dgm:pt modelId="{6E270FD2-60F2-48C4-9871-B703DB2FFF76}" type="pres">
      <dgm:prSet presAssocID="{1C48A52D-B3D4-4A6A-B46F-8BA9B386AFC3}" presName="Name37" presStyleLbl="parChTrans1D2" presStyleIdx="3" presStyleCnt="4"/>
      <dgm:spPr/>
    </dgm:pt>
    <dgm:pt modelId="{2235DBDF-C9C5-46F3-B247-586B65C772FD}" type="pres">
      <dgm:prSet presAssocID="{0831122D-C87F-498A-9064-2EA93AF9B241}" presName="hierRoot2" presStyleCnt="0">
        <dgm:presLayoutVars>
          <dgm:hierBranch val="init"/>
        </dgm:presLayoutVars>
      </dgm:prSet>
      <dgm:spPr/>
    </dgm:pt>
    <dgm:pt modelId="{7AA07B2D-3863-4C9A-A0A3-84EEBC6815FB}" type="pres">
      <dgm:prSet presAssocID="{0831122D-C87F-498A-9064-2EA93AF9B241}" presName="rootComposite" presStyleCnt="0"/>
      <dgm:spPr/>
    </dgm:pt>
    <dgm:pt modelId="{3E6063D7-D389-45FB-AFEC-3C1CF23204CC}" type="pres">
      <dgm:prSet presAssocID="{0831122D-C87F-498A-9064-2EA93AF9B241}" presName="rootText" presStyleLbl="node2" presStyleIdx="3" presStyleCnt="4">
        <dgm:presLayoutVars>
          <dgm:chPref val="3"/>
        </dgm:presLayoutVars>
      </dgm:prSet>
      <dgm:spPr/>
    </dgm:pt>
    <dgm:pt modelId="{93D98F69-204D-4795-8085-E46F39FEFFC2}" type="pres">
      <dgm:prSet presAssocID="{0831122D-C87F-498A-9064-2EA93AF9B241}" presName="rootConnector" presStyleLbl="node2" presStyleIdx="3" presStyleCnt="4"/>
      <dgm:spPr/>
    </dgm:pt>
    <dgm:pt modelId="{901280B4-9AA3-4F81-9EEB-1C52A96C4C7B}" type="pres">
      <dgm:prSet presAssocID="{0831122D-C87F-498A-9064-2EA93AF9B241}" presName="hierChild4" presStyleCnt="0"/>
      <dgm:spPr/>
    </dgm:pt>
    <dgm:pt modelId="{C8E24B5E-C35A-4C50-94F9-66908F94DF01}" type="pres">
      <dgm:prSet presAssocID="{0831122D-C87F-498A-9064-2EA93AF9B241}" presName="hierChild5" presStyleCnt="0"/>
      <dgm:spPr/>
    </dgm:pt>
    <dgm:pt modelId="{B7BE8C98-4E58-4C38-AC4D-5B1D9518790A}" type="pres">
      <dgm:prSet presAssocID="{F87E4E7C-E9C3-4277-A847-BA1E9F5701F9}" presName="hierChild3" presStyleCnt="0"/>
      <dgm:spPr/>
    </dgm:pt>
  </dgm:ptLst>
  <dgm:cxnLst>
    <dgm:cxn modelId="{4B33150A-AF01-4B85-B9DC-92CA1ED19D65}" type="presOf" srcId="{F87E4E7C-E9C3-4277-A847-BA1E9F5701F9}" destId="{7EBDA0CF-19BB-43E3-8EC4-69BA16642F97}" srcOrd="1" destOrd="0" presId="urn:microsoft.com/office/officeart/2005/8/layout/orgChart1"/>
    <dgm:cxn modelId="{C15AE21F-E35F-4F4C-9807-1B5005E56319}" type="presOf" srcId="{39FEFD8F-7917-4FA3-8CAD-531978176DBE}" destId="{2EED1EF4-F31D-412F-9223-C91876959FEC}" srcOrd="0" destOrd="0" presId="urn:microsoft.com/office/officeart/2005/8/layout/orgChart1"/>
    <dgm:cxn modelId="{4DC09C20-CA70-4F0F-976F-8DEAD69B702A}" type="presOf" srcId="{AE4BD198-D9AC-4A03-BF74-D86B5F741925}" destId="{6A4537FE-2D81-4945-B698-53425010F2E9}" srcOrd="0" destOrd="0" presId="urn:microsoft.com/office/officeart/2005/8/layout/orgChart1"/>
    <dgm:cxn modelId="{30985E36-9806-4A7F-AC9E-EB690ACC2AE4}" type="presOf" srcId="{0831122D-C87F-498A-9064-2EA93AF9B241}" destId="{3E6063D7-D389-45FB-AFEC-3C1CF23204CC}" srcOrd="0" destOrd="0" presId="urn:microsoft.com/office/officeart/2005/8/layout/orgChart1"/>
    <dgm:cxn modelId="{BC8F0C3A-0600-4C04-89F1-1D8866E41B1E}" type="presOf" srcId="{AE4BD198-D9AC-4A03-BF74-D86B5F741925}" destId="{985BA077-CF8B-4D03-9635-1335ACAD945C}" srcOrd="1" destOrd="0" presId="urn:microsoft.com/office/officeart/2005/8/layout/orgChart1"/>
    <dgm:cxn modelId="{7DCF0D5C-F09E-4CB5-B5B6-DCCA51911F28}" type="presOf" srcId="{262399B2-FAA6-4609-B6DB-924CFD7D9FF2}" destId="{B4575139-6F92-4652-947D-A00F842AAFE2}" srcOrd="1" destOrd="0" presId="urn:microsoft.com/office/officeart/2005/8/layout/orgChart1"/>
    <dgm:cxn modelId="{42976C68-8BC0-4589-BF28-BA1FEA814873}" type="presOf" srcId="{810EB695-F1A5-418B-AF17-E4913FE3EFDD}" destId="{DB7ADFD2-1F4E-406D-A871-351AC4CE1084}" srcOrd="1" destOrd="0" presId="urn:microsoft.com/office/officeart/2005/8/layout/orgChart1"/>
    <dgm:cxn modelId="{D5368251-254B-4141-B31D-381E86CE38C1}" type="presOf" srcId="{F87E4E7C-E9C3-4277-A847-BA1E9F5701F9}" destId="{A2C84852-EC40-4C61-8FB1-BBF2861FE301}" srcOrd="0" destOrd="0" presId="urn:microsoft.com/office/officeart/2005/8/layout/orgChart1"/>
    <dgm:cxn modelId="{6D105273-4396-40EB-B05A-38B4A6DE8BF0}" srcId="{E139326D-5D22-418F-B7F7-488003C42E3A}" destId="{F87E4E7C-E9C3-4277-A847-BA1E9F5701F9}" srcOrd="0" destOrd="0" parTransId="{2247F834-52D5-4012-A0A8-463A5369630D}" sibTransId="{5A9D8119-4E28-446C-834E-C946B22F5367}"/>
    <dgm:cxn modelId="{C92F0974-2CE5-42A5-AAD0-F0F3444ABC36}" srcId="{F87E4E7C-E9C3-4277-A847-BA1E9F5701F9}" destId="{262399B2-FAA6-4609-B6DB-924CFD7D9FF2}" srcOrd="2" destOrd="0" parTransId="{39FEFD8F-7917-4FA3-8CAD-531978176DBE}" sibTransId="{C501697C-AF44-4CE1-857D-3E31E6A2414F}"/>
    <dgm:cxn modelId="{83C18275-5289-42C8-B32C-4002AAE25A1E}" srcId="{F87E4E7C-E9C3-4277-A847-BA1E9F5701F9}" destId="{0831122D-C87F-498A-9064-2EA93AF9B241}" srcOrd="3" destOrd="0" parTransId="{1C48A52D-B3D4-4A6A-B46F-8BA9B386AFC3}" sibTransId="{8CAC4DF1-B799-4843-801D-7A479F25D173}"/>
    <dgm:cxn modelId="{6D0FD957-25AB-4477-A60F-F58A046F84F4}" type="presOf" srcId="{ACB57986-B5F6-4503-B8A9-91AEE576EE7B}" destId="{618A5324-05F0-49B5-B893-872DD8AE113D}" srcOrd="0" destOrd="0" presId="urn:microsoft.com/office/officeart/2005/8/layout/orgChart1"/>
    <dgm:cxn modelId="{8433B48D-395E-4C0F-8F9A-3FEA9A240079}" srcId="{F87E4E7C-E9C3-4277-A847-BA1E9F5701F9}" destId="{AE4BD198-D9AC-4A03-BF74-D86B5F741925}" srcOrd="0" destOrd="0" parTransId="{ACB57986-B5F6-4503-B8A9-91AEE576EE7B}" sibTransId="{8CA46755-4C2F-4E48-A5DB-7768732734E2}"/>
    <dgm:cxn modelId="{4436D79C-775A-4CF9-BA46-2F0690C74BA0}" type="presOf" srcId="{E139326D-5D22-418F-B7F7-488003C42E3A}" destId="{12EA9E7B-0130-466A-8A90-7A79629BAD41}" srcOrd="0" destOrd="0" presId="urn:microsoft.com/office/officeart/2005/8/layout/orgChart1"/>
    <dgm:cxn modelId="{87F443D1-0755-4993-B82D-AEC68589FFFD}" type="presOf" srcId="{262399B2-FAA6-4609-B6DB-924CFD7D9FF2}" destId="{3636B882-874F-41F3-A16C-BE418C5E143D}" srcOrd="0" destOrd="0" presId="urn:microsoft.com/office/officeart/2005/8/layout/orgChart1"/>
    <dgm:cxn modelId="{E2A443D7-1C7C-42C4-B517-606717762F1C}" type="presOf" srcId="{0831122D-C87F-498A-9064-2EA93AF9B241}" destId="{93D98F69-204D-4795-8085-E46F39FEFFC2}" srcOrd="1" destOrd="0" presId="urn:microsoft.com/office/officeart/2005/8/layout/orgChart1"/>
    <dgm:cxn modelId="{EBE86DEC-91D0-4A45-B62F-35FB26ECC1E9}" type="presOf" srcId="{810EB695-F1A5-418B-AF17-E4913FE3EFDD}" destId="{F157C647-8BB4-40F1-A3CC-122C4E86D5A3}" srcOrd="0" destOrd="0" presId="urn:microsoft.com/office/officeart/2005/8/layout/orgChart1"/>
    <dgm:cxn modelId="{CCEDF2EF-12F1-4304-845A-2963B41CEAAA}" srcId="{F87E4E7C-E9C3-4277-A847-BA1E9F5701F9}" destId="{810EB695-F1A5-418B-AF17-E4913FE3EFDD}" srcOrd="1" destOrd="0" parTransId="{47F99FF0-16E1-476B-B959-53F50A1A7C02}" sibTransId="{3C38902B-FDB1-46B4-A8B3-A1E5F58FE46B}"/>
    <dgm:cxn modelId="{F2F911F7-B45F-4D55-A24E-248E6A9B48D6}" type="presOf" srcId="{47F99FF0-16E1-476B-B959-53F50A1A7C02}" destId="{7D523DCC-CD70-43B9-9234-BE74D6374607}" srcOrd="0" destOrd="0" presId="urn:microsoft.com/office/officeart/2005/8/layout/orgChart1"/>
    <dgm:cxn modelId="{0BD659FE-D56E-4710-B7E3-DCEA7403EE71}" type="presOf" srcId="{1C48A52D-B3D4-4A6A-B46F-8BA9B386AFC3}" destId="{6E270FD2-60F2-48C4-9871-B703DB2FFF76}" srcOrd="0" destOrd="0" presId="urn:microsoft.com/office/officeart/2005/8/layout/orgChart1"/>
    <dgm:cxn modelId="{72CA552B-3C9B-4CF8-8132-EEFF5786AE95}" type="presParOf" srcId="{12EA9E7B-0130-466A-8A90-7A79629BAD41}" destId="{1FF7A3E2-4EBD-465B-B3C4-98ED1CADCF70}" srcOrd="0" destOrd="0" presId="urn:microsoft.com/office/officeart/2005/8/layout/orgChart1"/>
    <dgm:cxn modelId="{3E384A6D-EDD1-490E-B9A5-F4285E6DFA80}" type="presParOf" srcId="{1FF7A3E2-4EBD-465B-B3C4-98ED1CADCF70}" destId="{2AA44C42-D946-4B3E-989A-80A997106254}" srcOrd="0" destOrd="0" presId="urn:microsoft.com/office/officeart/2005/8/layout/orgChart1"/>
    <dgm:cxn modelId="{4C85687B-20F8-4E19-9AD4-BC8B8E4E36FE}" type="presParOf" srcId="{2AA44C42-D946-4B3E-989A-80A997106254}" destId="{A2C84852-EC40-4C61-8FB1-BBF2861FE301}" srcOrd="0" destOrd="0" presId="urn:microsoft.com/office/officeart/2005/8/layout/orgChart1"/>
    <dgm:cxn modelId="{687D6930-B9E3-41FA-9074-07306906261F}" type="presParOf" srcId="{2AA44C42-D946-4B3E-989A-80A997106254}" destId="{7EBDA0CF-19BB-43E3-8EC4-69BA16642F97}" srcOrd="1" destOrd="0" presId="urn:microsoft.com/office/officeart/2005/8/layout/orgChart1"/>
    <dgm:cxn modelId="{16B7F20A-5A9A-4552-A819-7D1A57D723AF}" type="presParOf" srcId="{1FF7A3E2-4EBD-465B-B3C4-98ED1CADCF70}" destId="{46DA4C37-C786-41A8-9F57-34E68BA2CD42}" srcOrd="1" destOrd="0" presId="urn:microsoft.com/office/officeart/2005/8/layout/orgChart1"/>
    <dgm:cxn modelId="{FBC3B4A9-3B40-4FC3-BCFE-7D47CFF25E15}" type="presParOf" srcId="{46DA4C37-C786-41A8-9F57-34E68BA2CD42}" destId="{618A5324-05F0-49B5-B893-872DD8AE113D}" srcOrd="0" destOrd="0" presId="urn:microsoft.com/office/officeart/2005/8/layout/orgChart1"/>
    <dgm:cxn modelId="{063B7DC7-7DE5-4B45-BCB9-721EB91A5A57}" type="presParOf" srcId="{46DA4C37-C786-41A8-9F57-34E68BA2CD42}" destId="{D7535C99-5307-45C3-8E91-EB0EBE721940}" srcOrd="1" destOrd="0" presId="urn:microsoft.com/office/officeart/2005/8/layout/orgChart1"/>
    <dgm:cxn modelId="{B9C45EC5-7567-444A-B03A-3015144E4562}" type="presParOf" srcId="{D7535C99-5307-45C3-8E91-EB0EBE721940}" destId="{C910FCF6-250F-4EB9-B133-67FA4E96D7BD}" srcOrd="0" destOrd="0" presId="urn:microsoft.com/office/officeart/2005/8/layout/orgChart1"/>
    <dgm:cxn modelId="{0C7BAE49-8C0E-4182-8A39-61562C499978}" type="presParOf" srcId="{C910FCF6-250F-4EB9-B133-67FA4E96D7BD}" destId="{6A4537FE-2D81-4945-B698-53425010F2E9}" srcOrd="0" destOrd="0" presId="urn:microsoft.com/office/officeart/2005/8/layout/orgChart1"/>
    <dgm:cxn modelId="{7895EC71-7870-4923-AF4C-52DCDC81F89A}" type="presParOf" srcId="{C910FCF6-250F-4EB9-B133-67FA4E96D7BD}" destId="{985BA077-CF8B-4D03-9635-1335ACAD945C}" srcOrd="1" destOrd="0" presId="urn:microsoft.com/office/officeart/2005/8/layout/orgChart1"/>
    <dgm:cxn modelId="{8C65ED3F-5B6D-465F-A1BD-9FCF10A7AB4C}" type="presParOf" srcId="{D7535C99-5307-45C3-8E91-EB0EBE721940}" destId="{90C63780-2AD6-42E2-B07C-CBF1877F1F29}" srcOrd="1" destOrd="0" presId="urn:microsoft.com/office/officeart/2005/8/layout/orgChart1"/>
    <dgm:cxn modelId="{5A5A96BF-325B-4139-A526-CAC5DAAD3119}" type="presParOf" srcId="{D7535C99-5307-45C3-8E91-EB0EBE721940}" destId="{840A0D54-4E69-40C3-9A79-B05B933F5481}" srcOrd="2" destOrd="0" presId="urn:microsoft.com/office/officeart/2005/8/layout/orgChart1"/>
    <dgm:cxn modelId="{4139064D-8414-4489-8D09-8CA266D81CAB}" type="presParOf" srcId="{46DA4C37-C786-41A8-9F57-34E68BA2CD42}" destId="{7D523DCC-CD70-43B9-9234-BE74D6374607}" srcOrd="2" destOrd="0" presId="urn:microsoft.com/office/officeart/2005/8/layout/orgChart1"/>
    <dgm:cxn modelId="{9E7D8634-4BCC-4CB0-9ACA-3F734687B9E9}" type="presParOf" srcId="{46DA4C37-C786-41A8-9F57-34E68BA2CD42}" destId="{73E711D8-6FBF-4FB6-AE87-042EF547FE59}" srcOrd="3" destOrd="0" presId="urn:microsoft.com/office/officeart/2005/8/layout/orgChart1"/>
    <dgm:cxn modelId="{F3AABC04-A9E6-4845-9F78-0FBAC01C79A6}" type="presParOf" srcId="{73E711D8-6FBF-4FB6-AE87-042EF547FE59}" destId="{1AF6ADE1-3AB6-4DF8-8B9F-5F7DF7AD2611}" srcOrd="0" destOrd="0" presId="urn:microsoft.com/office/officeart/2005/8/layout/orgChart1"/>
    <dgm:cxn modelId="{00BBFDE2-D29C-4F1E-B7D9-1270D9BD4912}" type="presParOf" srcId="{1AF6ADE1-3AB6-4DF8-8B9F-5F7DF7AD2611}" destId="{F157C647-8BB4-40F1-A3CC-122C4E86D5A3}" srcOrd="0" destOrd="0" presId="urn:microsoft.com/office/officeart/2005/8/layout/orgChart1"/>
    <dgm:cxn modelId="{845FFF80-04DF-4858-B399-CBC4E1A26E7D}" type="presParOf" srcId="{1AF6ADE1-3AB6-4DF8-8B9F-5F7DF7AD2611}" destId="{DB7ADFD2-1F4E-406D-A871-351AC4CE1084}" srcOrd="1" destOrd="0" presId="urn:microsoft.com/office/officeart/2005/8/layout/orgChart1"/>
    <dgm:cxn modelId="{29CD1988-E513-42DF-A847-2C1025058AAC}" type="presParOf" srcId="{73E711D8-6FBF-4FB6-AE87-042EF547FE59}" destId="{EBAB1575-ACEB-462B-AED7-D584F45AB2FD}" srcOrd="1" destOrd="0" presId="urn:microsoft.com/office/officeart/2005/8/layout/orgChart1"/>
    <dgm:cxn modelId="{0F601F50-EA76-43EB-9251-2F9BCC099DFE}" type="presParOf" srcId="{73E711D8-6FBF-4FB6-AE87-042EF547FE59}" destId="{6DAF34BE-D182-4CDF-9A19-2B77C547942E}" srcOrd="2" destOrd="0" presId="urn:microsoft.com/office/officeart/2005/8/layout/orgChart1"/>
    <dgm:cxn modelId="{7301B0A6-E5D0-4BF2-8660-25B7979E50EB}" type="presParOf" srcId="{46DA4C37-C786-41A8-9F57-34E68BA2CD42}" destId="{2EED1EF4-F31D-412F-9223-C91876959FEC}" srcOrd="4" destOrd="0" presId="urn:microsoft.com/office/officeart/2005/8/layout/orgChart1"/>
    <dgm:cxn modelId="{70A79C1B-5551-4EC7-A00B-0E2D9268C056}" type="presParOf" srcId="{46DA4C37-C786-41A8-9F57-34E68BA2CD42}" destId="{696CAF2A-A523-4DA9-99C2-65969B18C018}" srcOrd="5" destOrd="0" presId="urn:microsoft.com/office/officeart/2005/8/layout/orgChart1"/>
    <dgm:cxn modelId="{1691C667-F347-4EFC-BDF4-5F311939190A}" type="presParOf" srcId="{696CAF2A-A523-4DA9-99C2-65969B18C018}" destId="{613CFA0C-79CC-40ED-B2FD-8A53513F3E01}" srcOrd="0" destOrd="0" presId="urn:microsoft.com/office/officeart/2005/8/layout/orgChart1"/>
    <dgm:cxn modelId="{D37EECC3-F369-4135-8E6C-B22588626E42}" type="presParOf" srcId="{613CFA0C-79CC-40ED-B2FD-8A53513F3E01}" destId="{3636B882-874F-41F3-A16C-BE418C5E143D}" srcOrd="0" destOrd="0" presId="urn:microsoft.com/office/officeart/2005/8/layout/orgChart1"/>
    <dgm:cxn modelId="{41C4BF29-483E-4DC4-B6F8-44B1BB5B6B36}" type="presParOf" srcId="{613CFA0C-79CC-40ED-B2FD-8A53513F3E01}" destId="{B4575139-6F92-4652-947D-A00F842AAFE2}" srcOrd="1" destOrd="0" presId="urn:microsoft.com/office/officeart/2005/8/layout/orgChart1"/>
    <dgm:cxn modelId="{A18CA29A-E3DD-48EA-8BFC-8BFEADBF6CBD}" type="presParOf" srcId="{696CAF2A-A523-4DA9-99C2-65969B18C018}" destId="{81385B33-F1E0-4C9F-BFCA-DF3AF166D785}" srcOrd="1" destOrd="0" presId="urn:microsoft.com/office/officeart/2005/8/layout/orgChart1"/>
    <dgm:cxn modelId="{83AE37E1-BC34-486C-890A-8FD2CEE30C00}" type="presParOf" srcId="{696CAF2A-A523-4DA9-99C2-65969B18C018}" destId="{D570F816-D57A-4ABE-A362-2B120FC7A4B3}" srcOrd="2" destOrd="0" presId="urn:microsoft.com/office/officeart/2005/8/layout/orgChart1"/>
    <dgm:cxn modelId="{9E7EA4FD-0925-44A1-8724-B5C2EA988B03}" type="presParOf" srcId="{46DA4C37-C786-41A8-9F57-34E68BA2CD42}" destId="{6E270FD2-60F2-48C4-9871-B703DB2FFF76}" srcOrd="6" destOrd="0" presId="urn:microsoft.com/office/officeart/2005/8/layout/orgChart1"/>
    <dgm:cxn modelId="{E6C818F4-EEE8-4ADD-A812-805B5A6655F6}" type="presParOf" srcId="{46DA4C37-C786-41A8-9F57-34E68BA2CD42}" destId="{2235DBDF-C9C5-46F3-B247-586B65C772FD}" srcOrd="7" destOrd="0" presId="urn:microsoft.com/office/officeart/2005/8/layout/orgChart1"/>
    <dgm:cxn modelId="{5321A397-3CA6-4F9D-84C9-AE321DAEA234}" type="presParOf" srcId="{2235DBDF-C9C5-46F3-B247-586B65C772FD}" destId="{7AA07B2D-3863-4C9A-A0A3-84EEBC6815FB}" srcOrd="0" destOrd="0" presId="urn:microsoft.com/office/officeart/2005/8/layout/orgChart1"/>
    <dgm:cxn modelId="{3328D40B-17AA-4C5E-83FC-0A4719D65C28}" type="presParOf" srcId="{7AA07B2D-3863-4C9A-A0A3-84EEBC6815FB}" destId="{3E6063D7-D389-45FB-AFEC-3C1CF23204CC}" srcOrd="0" destOrd="0" presId="urn:microsoft.com/office/officeart/2005/8/layout/orgChart1"/>
    <dgm:cxn modelId="{2822BC98-663B-4380-97F3-229542DA2501}" type="presParOf" srcId="{7AA07B2D-3863-4C9A-A0A3-84EEBC6815FB}" destId="{93D98F69-204D-4795-8085-E46F39FEFFC2}" srcOrd="1" destOrd="0" presId="urn:microsoft.com/office/officeart/2005/8/layout/orgChart1"/>
    <dgm:cxn modelId="{BB7F87B0-A79C-41DA-8D63-2429BA30E566}" type="presParOf" srcId="{2235DBDF-C9C5-46F3-B247-586B65C772FD}" destId="{901280B4-9AA3-4F81-9EEB-1C52A96C4C7B}" srcOrd="1" destOrd="0" presId="urn:microsoft.com/office/officeart/2005/8/layout/orgChart1"/>
    <dgm:cxn modelId="{61DF9426-9A14-4809-A4AF-352AC9C35782}" type="presParOf" srcId="{2235DBDF-C9C5-46F3-B247-586B65C772FD}" destId="{C8E24B5E-C35A-4C50-94F9-66908F94DF01}" srcOrd="2" destOrd="0" presId="urn:microsoft.com/office/officeart/2005/8/layout/orgChart1"/>
    <dgm:cxn modelId="{D4952EA5-F12E-4588-A8BC-44703F031908}" type="presParOf" srcId="{1FF7A3E2-4EBD-465B-B3C4-98ED1CADCF70}" destId="{B7BE8C98-4E58-4C38-AC4D-5B1D9518790A}"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A37E9E-0CC6-4302-A0D8-012694B301C4}">
      <dsp:nvSpPr>
        <dsp:cNvPr id="0" name=""/>
        <dsp:cNvSpPr/>
      </dsp:nvSpPr>
      <dsp:spPr>
        <a:xfrm>
          <a:off x="2743200" y="813919"/>
          <a:ext cx="2148491" cy="248585"/>
        </a:xfrm>
        <a:custGeom>
          <a:avLst/>
          <a:gdLst/>
          <a:ahLst/>
          <a:cxnLst/>
          <a:rect l="0" t="0" r="0" b="0"/>
          <a:pathLst>
            <a:path>
              <a:moveTo>
                <a:pt x="0" y="0"/>
              </a:moveTo>
              <a:lnTo>
                <a:pt x="0" y="124292"/>
              </a:lnTo>
              <a:lnTo>
                <a:pt x="2148491" y="124292"/>
              </a:lnTo>
              <a:lnTo>
                <a:pt x="2148491"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A28D28-8333-41C9-9D19-475A704BB767}">
      <dsp:nvSpPr>
        <dsp:cNvPr id="0" name=""/>
        <dsp:cNvSpPr/>
      </dsp:nvSpPr>
      <dsp:spPr>
        <a:xfrm>
          <a:off x="2743200" y="813919"/>
          <a:ext cx="716163" cy="248585"/>
        </a:xfrm>
        <a:custGeom>
          <a:avLst/>
          <a:gdLst/>
          <a:ahLst/>
          <a:cxnLst/>
          <a:rect l="0" t="0" r="0" b="0"/>
          <a:pathLst>
            <a:path>
              <a:moveTo>
                <a:pt x="0" y="0"/>
              </a:moveTo>
              <a:lnTo>
                <a:pt x="0" y="124292"/>
              </a:lnTo>
              <a:lnTo>
                <a:pt x="716163" y="124292"/>
              </a:lnTo>
              <a:lnTo>
                <a:pt x="716163"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BF3B4C-7575-469C-B637-490810718338}">
      <dsp:nvSpPr>
        <dsp:cNvPr id="0" name=""/>
        <dsp:cNvSpPr/>
      </dsp:nvSpPr>
      <dsp:spPr>
        <a:xfrm>
          <a:off x="2027036" y="813919"/>
          <a:ext cx="716163" cy="248585"/>
        </a:xfrm>
        <a:custGeom>
          <a:avLst/>
          <a:gdLst/>
          <a:ahLst/>
          <a:cxnLst/>
          <a:rect l="0" t="0" r="0" b="0"/>
          <a:pathLst>
            <a:path>
              <a:moveTo>
                <a:pt x="716163" y="0"/>
              </a:moveTo>
              <a:lnTo>
                <a:pt x="716163" y="124292"/>
              </a:lnTo>
              <a:lnTo>
                <a:pt x="0" y="124292"/>
              </a:lnTo>
              <a:lnTo>
                <a:pt x="0"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F54307-6389-4E0C-A1AD-1386076467BC}">
      <dsp:nvSpPr>
        <dsp:cNvPr id="0" name=""/>
        <dsp:cNvSpPr/>
      </dsp:nvSpPr>
      <dsp:spPr>
        <a:xfrm>
          <a:off x="594708" y="813919"/>
          <a:ext cx="2148491" cy="248585"/>
        </a:xfrm>
        <a:custGeom>
          <a:avLst/>
          <a:gdLst/>
          <a:ahLst/>
          <a:cxnLst/>
          <a:rect l="0" t="0" r="0" b="0"/>
          <a:pathLst>
            <a:path>
              <a:moveTo>
                <a:pt x="2148491" y="0"/>
              </a:moveTo>
              <a:lnTo>
                <a:pt x="2148491" y="124292"/>
              </a:lnTo>
              <a:lnTo>
                <a:pt x="0" y="124292"/>
              </a:lnTo>
              <a:lnTo>
                <a:pt x="0"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F1A682-B466-4B17-A0D1-93503490FF9C}">
      <dsp:nvSpPr>
        <dsp:cNvPr id="0" name=""/>
        <dsp:cNvSpPr/>
      </dsp:nvSpPr>
      <dsp:spPr>
        <a:xfrm>
          <a:off x="2151329" y="222048"/>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Cultural Sensitivity </a:t>
          </a:r>
        </a:p>
      </dsp:txBody>
      <dsp:txXfrm>
        <a:off x="2151329" y="222048"/>
        <a:ext cx="1183741" cy="591870"/>
      </dsp:txXfrm>
    </dsp:sp>
    <dsp:sp modelId="{BF1D4B61-699F-4C4F-9E70-2250D1759416}">
      <dsp:nvSpPr>
        <dsp:cNvPr id="0" name=""/>
        <dsp:cNvSpPr/>
      </dsp:nvSpPr>
      <dsp:spPr>
        <a:xfrm>
          <a:off x="2837" y="1062505"/>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Strengthens the employees</a:t>
          </a:r>
        </a:p>
      </dsp:txBody>
      <dsp:txXfrm>
        <a:off x="2837" y="1062505"/>
        <a:ext cx="1183741" cy="591870"/>
      </dsp:txXfrm>
    </dsp:sp>
    <dsp:sp modelId="{DEC6B61D-061F-4A9F-93AC-0F291BFA5B6C}">
      <dsp:nvSpPr>
        <dsp:cNvPr id="0" name=""/>
        <dsp:cNvSpPr/>
      </dsp:nvSpPr>
      <dsp:spPr>
        <a:xfrm>
          <a:off x="1435165" y="1062505"/>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Motivate innovation and creativity</a:t>
          </a:r>
        </a:p>
      </dsp:txBody>
      <dsp:txXfrm>
        <a:off x="1435165" y="1062505"/>
        <a:ext cx="1183741" cy="591870"/>
      </dsp:txXfrm>
    </dsp:sp>
    <dsp:sp modelId="{B54744C3-1CA2-4C4E-8A18-7CB2FF010BA3}">
      <dsp:nvSpPr>
        <dsp:cNvPr id="0" name=""/>
        <dsp:cNvSpPr/>
      </dsp:nvSpPr>
      <dsp:spPr>
        <a:xfrm>
          <a:off x="2867492" y="1062505"/>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Improves collaboration</a:t>
          </a:r>
        </a:p>
      </dsp:txBody>
      <dsp:txXfrm>
        <a:off x="2867492" y="1062505"/>
        <a:ext cx="1183741" cy="591870"/>
      </dsp:txXfrm>
    </dsp:sp>
    <dsp:sp modelId="{924A31C2-BD7A-4ABD-8F05-46F3373C245D}">
      <dsp:nvSpPr>
        <dsp:cNvPr id="0" name=""/>
        <dsp:cNvSpPr/>
      </dsp:nvSpPr>
      <dsp:spPr>
        <a:xfrm>
          <a:off x="4299820" y="1062505"/>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Creates a safe work environment</a:t>
          </a:r>
        </a:p>
      </dsp:txBody>
      <dsp:txXfrm>
        <a:off x="4299820" y="1062505"/>
        <a:ext cx="1183741" cy="5918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270FD2-60F2-48C4-9871-B703DB2FFF76}">
      <dsp:nvSpPr>
        <dsp:cNvPr id="0" name=""/>
        <dsp:cNvSpPr/>
      </dsp:nvSpPr>
      <dsp:spPr>
        <a:xfrm>
          <a:off x="2743200" y="809157"/>
          <a:ext cx="2148491" cy="248585"/>
        </a:xfrm>
        <a:custGeom>
          <a:avLst/>
          <a:gdLst/>
          <a:ahLst/>
          <a:cxnLst/>
          <a:rect l="0" t="0" r="0" b="0"/>
          <a:pathLst>
            <a:path>
              <a:moveTo>
                <a:pt x="0" y="0"/>
              </a:moveTo>
              <a:lnTo>
                <a:pt x="0" y="124292"/>
              </a:lnTo>
              <a:lnTo>
                <a:pt x="2148491" y="124292"/>
              </a:lnTo>
              <a:lnTo>
                <a:pt x="2148491"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ED1EF4-F31D-412F-9223-C91876959FEC}">
      <dsp:nvSpPr>
        <dsp:cNvPr id="0" name=""/>
        <dsp:cNvSpPr/>
      </dsp:nvSpPr>
      <dsp:spPr>
        <a:xfrm>
          <a:off x="2743200" y="809157"/>
          <a:ext cx="716163" cy="248585"/>
        </a:xfrm>
        <a:custGeom>
          <a:avLst/>
          <a:gdLst/>
          <a:ahLst/>
          <a:cxnLst/>
          <a:rect l="0" t="0" r="0" b="0"/>
          <a:pathLst>
            <a:path>
              <a:moveTo>
                <a:pt x="0" y="0"/>
              </a:moveTo>
              <a:lnTo>
                <a:pt x="0" y="124292"/>
              </a:lnTo>
              <a:lnTo>
                <a:pt x="716163" y="124292"/>
              </a:lnTo>
              <a:lnTo>
                <a:pt x="716163"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523DCC-CD70-43B9-9234-BE74D6374607}">
      <dsp:nvSpPr>
        <dsp:cNvPr id="0" name=""/>
        <dsp:cNvSpPr/>
      </dsp:nvSpPr>
      <dsp:spPr>
        <a:xfrm>
          <a:off x="2027036" y="809157"/>
          <a:ext cx="716163" cy="248585"/>
        </a:xfrm>
        <a:custGeom>
          <a:avLst/>
          <a:gdLst/>
          <a:ahLst/>
          <a:cxnLst/>
          <a:rect l="0" t="0" r="0" b="0"/>
          <a:pathLst>
            <a:path>
              <a:moveTo>
                <a:pt x="716163" y="0"/>
              </a:moveTo>
              <a:lnTo>
                <a:pt x="716163" y="124292"/>
              </a:lnTo>
              <a:lnTo>
                <a:pt x="0" y="124292"/>
              </a:lnTo>
              <a:lnTo>
                <a:pt x="0"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18A5324-05F0-49B5-B893-872DD8AE113D}">
      <dsp:nvSpPr>
        <dsp:cNvPr id="0" name=""/>
        <dsp:cNvSpPr/>
      </dsp:nvSpPr>
      <dsp:spPr>
        <a:xfrm>
          <a:off x="594708" y="809157"/>
          <a:ext cx="2148491" cy="248585"/>
        </a:xfrm>
        <a:custGeom>
          <a:avLst/>
          <a:gdLst/>
          <a:ahLst/>
          <a:cxnLst/>
          <a:rect l="0" t="0" r="0" b="0"/>
          <a:pathLst>
            <a:path>
              <a:moveTo>
                <a:pt x="2148491" y="0"/>
              </a:moveTo>
              <a:lnTo>
                <a:pt x="2148491" y="124292"/>
              </a:lnTo>
              <a:lnTo>
                <a:pt x="0" y="124292"/>
              </a:lnTo>
              <a:lnTo>
                <a:pt x="0" y="24858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2C84852-EC40-4C61-8FB1-BBF2861FE301}">
      <dsp:nvSpPr>
        <dsp:cNvPr id="0" name=""/>
        <dsp:cNvSpPr/>
      </dsp:nvSpPr>
      <dsp:spPr>
        <a:xfrm>
          <a:off x="2151329" y="217286"/>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Communication Barriers</a:t>
          </a:r>
        </a:p>
      </dsp:txBody>
      <dsp:txXfrm>
        <a:off x="2151329" y="217286"/>
        <a:ext cx="1183741" cy="591870"/>
      </dsp:txXfrm>
    </dsp:sp>
    <dsp:sp modelId="{6A4537FE-2D81-4945-B698-53425010F2E9}">
      <dsp:nvSpPr>
        <dsp:cNvPr id="0" name=""/>
        <dsp:cNvSpPr/>
      </dsp:nvSpPr>
      <dsp:spPr>
        <a:xfrm>
          <a:off x="2837" y="1057742"/>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Cultural differences </a:t>
          </a:r>
        </a:p>
      </dsp:txBody>
      <dsp:txXfrm>
        <a:off x="2837" y="1057742"/>
        <a:ext cx="1183741" cy="591870"/>
      </dsp:txXfrm>
    </dsp:sp>
    <dsp:sp modelId="{F157C647-8BB4-40F1-A3CC-122C4E86D5A3}">
      <dsp:nvSpPr>
        <dsp:cNvPr id="0" name=""/>
        <dsp:cNvSpPr/>
      </dsp:nvSpPr>
      <dsp:spPr>
        <a:xfrm>
          <a:off x="1435165" y="1057742"/>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Physical barriers</a:t>
          </a:r>
        </a:p>
      </dsp:txBody>
      <dsp:txXfrm>
        <a:off x="1435165" y="1057742"/>
        <a:ext cx="1183741" cy="591870"/>
      </dsp:txXfrm>
    </dsp:sp>
    <dsp:sp modelId="{3636B882-874F-41F3-A16C-BE418C5E143D}">
      <dsp:nvSpPr>
        <dsp:cNvPr id="0" name=""/>
        <dsp:cNvSpPr/>
      </dsp:nvSpPr>
      <dsp:spPr>
        <a:xfrm>
          <a:off x="2867492" y="1057742"/>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Language barriers</a:t>
          </a:r>
        </a:p>
      </dsp:txBody>
      <dsp:txXfrm>
        <a:off x="2867492" y="1057742"/>
        <a:ext cx="1183741" cy="591870"/>
      </dsp:txXfrm>
    </dsp:sp>
    <dsp:sp modelId="{3E6063D7-D389-45FB-AFEC-3C1CF23204CC}">
      <dsp:nvSpPr>
        <dsp:cNvPr id="0" name=""/>
        <dsp:cNvSpPr/>
      </dsp:nvSpPr>
      <dsp:spPr>
        <a:xfrm>
          <a:off x="4299820" y="1057742"/>
          <a:ext cx="1183741" cy="59187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Generational barriers</a:t>
          </a:r>
        </a:p>
      </dsp:txBody>
      <dsp:txXfrm>
        <a:off x="4299820" y="1057742"/>
        <a:ext cx="1183741" cy="5918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C7748C-E84F-41E6-8557-74FD3E372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3711</Words>
  <Characters>21156</Characters>
  <Application>Microsoft Office Word</Application>
  <DocSecurity>0</DocSecurity>
  <Lines>176</Lines>
  <Paragraphs>49</Paragraphs>
  <ScaleCrop>false</ScaleCrop>
  <Company/>
  <LinksUpToDate>false</LinksUpToDate>
  <CharactersWithSpaces>24818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2023-07-17T14:06:00Z</dcterms:created>
  <dcterms:modified xsi:type="dcterms:W3CDTF">2023-07-25T15:14:00Z</dcterms:modified>
</cp:coreProperties>
</file>