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3D670" w14:textId="77777777" w:rsidR="0099626C" w:rsidRDefault="00000000" w:rsidP="00E66D43">
      <w:pPr>
        <w:pStyle w:val="NormalWeb"/>
        <w:spacing w:before="0" w:beforeAutospacing="0" w:after="200" w:afterAutospacing="0"/>
        <w:rPr>
          <w:rFonts w:ascii="Calibri" w:hAnsi="Calibri" w:cs="Calibri"/>
          <w:color w:val="000000"/>
          <w:sz w:val="22"/>
          <w:szCs w:val="22"/>
        </w:rPr>
      </w:pPr>
      <w:r>
        <w:rPr>
          <w:noProof/>
        </w:rPr>
        <w:drawing>
          <wp:inline distT="0" distB="0" distL="0" distR="0" wp14:anchorId="29CA43DC" wp14:editId="4F9A0EC3">
            <wp:extent cx="3476625" cy="1704975"/>
            <wp:effectExtent l="0" t="0" r="9525" b="9525"/>
            <wp:docPr id="1026" name="Picture 1" descr="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3476625" cy="1704975"/>
                    </a:xfrm>
                    <a:prstGeom prst="rect">
                      <a:avLst/>
                    </a:prstGeom>
                    <a:ln>
                      <a:noFill/>
                    </a:ln>
                  </pic:spPr>
                </pic:pic>
              </a:graphicData>
            </a:graphic>
          </wp:inline>
        </w:drawing>
      </w:r>
    </w:p>
    <w:p w14:paraId="71C63C69" w14:textId="77777777" w:rsidR="0099626C" w:rsidRDefault="00000000">
      <w:pPr>
        <w:jc w:val="center"/>
        <w:rPr>
          <w:rFonts w:ascii="Arial" w:hAnsi="Arial" w:cs="Arial"/>
          <w:b/>
          <w:bCs/>
        </w:rPr>
      </w:pPr>
      <w:r>
        <w:rPr>
          <w:rFonts w:ascii="Arial" w:hAnsi="Arial" w:cs="Arial"/>
          <w:b/>
          <w:bCs/>
        </w:rPr>
        <w:t>Name: Abdifatah Ahmed Ibrahim</w:t>
      </w:r>
    </w:p>
    <w:p w14:paraId="5D086B0C" w14:textId="77777777" w:rsidR="0099626C" w:rsidRDefault="00000000">
      <w:pPr>
        <w:jc w:val="center"/>
        <w:rPr>
          <w:rFonts w:ascii="Arial" w:hAnsi="Arial" w:cs="Arial"/>
          <w:b/>
          <w:bCs/>
        </w:rPr>
      </w:pPr>
      <w:r>
        <w:rPr>
          <w:rFonts w:ascii="Arial" w:hAnsi="Arial" w:cs="Arial"/>
          <w:b/>
          <w:bCs/>
        </w:rPr>
        <w:t>Student ID: 2336582</w:t>
      </w:r>
    </w:p>
    <w:p w14:paraId="26FFA292" w14:textId="77777777" w:rsidR="0099626C" w:rsidRDefault="00000000">
      <w:pPr>
        <w:jc w:val="center"/>
        <w:rPr>
          <w:rFonts w:ascii="Arial" w:hAnsi="Arial" w:cs="Arial"/>
          <w:b/>
          <w:bCs/>
        </w:rPr>
      </w:pPr>
      <w:r>
        <w:rPr>
          <w:rFonts w:ascii="Arial" w:hAnsi="Arial" w:cs="Arial"/>
          <w:b/>
          <w:bCs/>
        </w:rPr>
        <w:t xml:space="preserve">Module Code: </w:t>
      </w:r>
      <w:r>
        <w:t>LCHS4003</w:t>
      </w:r>
    </w:p>
    <w:p w14:paraId="380C9481" w14:textId="77777777" w:rsidR="0099626C" w:rsidRDefault="00000000">
      <w:pPr>
        <w:jc w:val="center"/>
        <w:rPr>
          <w:rFonts w:ascii="Arial" w:hAnsi="Arial" w:cs="Arial"/>
          <w:b/>
          <w:bCs/>
        </w:rPr>
      </w:pPr>
      <w:r>
        <w:rPr>
          <w:rFonts w:ascii="Arial" w:hAnsi="Arial" w:cs="Arial"/>
          <w:b/>
          <w:bCs/>
        </w:rPr>
        <w:t xml:space="preserve">Module: Introduction to </w:t>
      </w:r>
      <w:r>
        <w:t>Health and Social Care</w:t>
      </w:r>
    </w:p>
    <w:p w14:paraId="55A9EE0E" w14:textId="77777777" w:rsidR="0099626C" w:rsidRDefault="00000000">
      <w:pPr>
        <w:jc w:val="center"/>
      </w:pPr>
      <w:r>
        <w:rPr>
          <w:rFonts w:ascii="Arial" w:hAnsi="Arial" w:cs="Arial"/>
          <w:b/>
          <w:bCs/>
        </w:rPr>
        <w:t xml:space="preserve">Lecturer: </w:t>
      </w:r>
      <w:r>
        <w:t>Muhammad Aliyu</w:t>
      </w:r>
    </w:p>
    <w:p w14:paraId="731E7D14" w14:textId="77777777" w:rsidR="0099626C" w:rsidRDefault="0099626C">
      <w:pPr>
        <w:jc w:val="center"/>
      </w:pPr>
    </w:p>
    <w:p w14:paraId="73B15AFA" w14:textId="77777777" w:rsidR="0099626C" w:rsidRDefault="00000000">
      <w:pPr>
        <w:rPr>
          <w:rFonts w:ascii="Arial" w:hAnsi="Arial" w:cs="Arial"/>
          <w:b/>
          <w:bCs/>
        </w:rPr>
      </w:pPr>
      <w:r>
        <w:rPr>
          <w:rFonts w:ascii="Calibri" w:hAnsi="Calibri" w:cs="Calibri"/>
          <w:color w:val="000000"/>
        </w:rPr>
        <w:t xml:space="preserve">                                                             </w:t>
      </w:r>
      <w:r>
        <w:rPr>
          <w:noProof/>
        </w:rPr>
        <w:drawing>
          <wp:inline distT="0" distB="0" distL="0" distR="0" wp14:anchorId="64351F63" wp14:editId="6501FCEB">
            <wp:extent cx="2857500" cy="2295525"/>
            <wp:effectExtent l="0" t="0" r="0" b="9525"/>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srcRect/>
                    <a:stretch/>
                  </pic:blipFill>
                  <pic:spPr>
                    <a:xfrm>
                      <a:off x="0" y="0"/>
                      <a:ext cx="2857500" cy="2295525"/>
                    </a:xfrm>
                    <a:prstGeom prst="rect">
                      <a:avLst/>
                    </a:prstGeom>
                    <a:ln>
                      <a:noFill/>
                    </a:ln>
                  </pic:spPr>
                </pic:pic>
              </a:graphicData>
            </a:graphic>
          </wp:inline>
        </w:drawing>
      </w:r>
    </w:p>
    <w:p w14:paraId="75FC2C9E" w14:textId="3678F89D" w:rsidR="0099626C" w:rsidRDefault="00D61760">
      <w:hyperlink r:id="rId8" w:history="1">
        <w:r w:rsidRPr="005D785C">
          <w:rPr>
            <w:rStyle w:val="Hyperlink"/>
          </w:rPr>
          <w:t>https://www.gov.uk/government/news/increased-funding-for-care-homes-providing-nursing</w:t>
        </w:r>
      </w:hyperlink>
      <w:r>
        <w:rPr>
          <w:color w:val="EE0000"/>
        </w:rPr>
        <w:t xml:space="preserve"> </w:t>
      </w:r>
    </w:p>
    <w:p w14:paraId="664896B8" w14:textId="77777777" w:rsidR="0099626C" w:rsidRDefault="0099626C">
      <w:pPr>
        <w:pStyle w:val="NormalWeb"/>
        <w:spacing w:before="0" w:beforeAutospacing="0" w:after="200" w:afterAutospacing="0"/>
        <w:rPr>
          <w:rFonts w:ascii="Calibri" w:hAnsi="Calibri" w:cs="Calibri"/>
          <w:color w:val="000000"/>
          <w:sz w:val="22"/>
          <w:szCs w:val="22"/>
        </w:rPr>
      </w:pPr>
    </w:p>
    <w:p w14:paraId="09CAEB49" w14:textId="77777777" w:rsidR="0099626C" w:rsidRDefault="00000000">
      <w:pPr>
        <w:pStyle w:val="NormalWeb"/>
        <w:spacing w:before="0" w:beforeAutospacing="0" w:after="200" w:afterAutospacing="0"/>
        <w:rPr>
          <w:rFonts w:ascii="Calibri" w:hAnsi="Calibri" w:cs="Calibri"/>
          <w:color w:val="000000"/>
          <w:sz w:val="22"/>
          <w:szCs w:val="22"/>
        </w:rPr>
      </w:pPr>
      <w:r>
        <w:rPr>
          <w:rFonts w:ascii="Calibri" w:hAnsi="Calibri" w:cs="Calibri"/>
          <w:color w:val="000000"/>
          <w:sz w:val="22"/>
          <w:szCs w:val="22"/>
        </w:rPr>
        <w:t xml:space="preserve">                   </w:t>
      </w:r>
    </w:p>
    <w:p w14:paraId="24E32932" w14:textId="77777777" w:rsidR="00D61760" w:rsidRDefault="00D61760">
      <w:pPr>
        <w:pStyle w:val="NormalWeb"/>
        <w:spacing w:before="0" w:beforeAutospacing="0" w:after="200" w:afterAutospacing="0"/>
        <w:rPr>
          <w:rFonts w:hAnsi="Calibri" w:cs="Calibri"/>
          <w:color w:val="000000"/>
          <w:sz w:val="22"/>
          <w:szCs w:val="22"/>
          <w:lang w:val="en-US"/>
        </w:rPr>
      </w:pPr>
    </w:p>
    <w:p w14:paraId="36C29C53" w14:textId="77777777" w:rsidR="00D61760" w:rsidRDefault="00D61760">
      <w:pPr>
        <w:pStyle w:val="NormalWeb"/>
        <w:spacing w:before="0" w:beforeAutospacing="0" w:after="200" w:afterAutospacing="0"/>
        <w:rPr>
          <w:rFonts w:hAnsi="Calibri" w:cs="Calibri"/>
          <w:color w:val="000000"/>
          <w:sz w:val="22"/>
          <w:szCs w:val="22"/>
          <w:lang w:val="en-US"/>
        </w:rPr>
      </w:pPr>
    </w:p>
    <w:p w14:paraId="423419D6" w14:textId="77777777" w:rsidR="00D61760" w:rsidRDefault="00D61760">
      <w:pPr>
        <w:pStyle w:val="NormalWeb"/>
        <w:spacing w:before="0" w:beforeAutospacing="0" w:after="200" w:afterAutospacing="0"/>
        <w:rPr>
          <w:rFonts w:hAnsi="Calibri" w:cs="Calibri"/>
          <w:color w:val="000000"/>
          <w:sz w:val="22"/>
          <w:szCs w:val="22"/>
          <w:lang w:val="en-US"/>
        </w:rPr>
      </w:pPr>
    </w:p>
    <w:p w14:paraId="3DB605AC" w14:textId="77777777" w:rsidR="00D61760" w:rsidRDefault="00D61760">
      <w:pPr>
        <w:pStyle w:val="NormalWeb"/>
        <w:spacing w:before="0" w:beforeAutospacing="0" w:after="200" w:afterAutospacing="0"/>
        <w:rPr>
          <w:rFonts w:hAnsi="Calibri" w:cs="Calibri"/>
          <w:color w:val="000000"/>
          <w:sz w:val="22"/>
          <w:szCs w:val="22"/>
          <w:lang w:val="en-US"/>
        </w:rPr>
      </w:pPr>
    </w:p>
    <w:p w14:paraId="43CCF6B7" w14:textId="77777777" w:rsidR="00D61760" w:rsidRDefault="00D61760">
      <w:pPr>
        <w:pStyle w:val="NormalWeb"/>
        <w:spacing w:before="0" w:beforeAutospacing="0" w:after="200" w:afterAutospacing="0"/>
        <w:rPr>
          <w:rFonts w:hAnsi="Calibri" w:cs="Calibri"/>
          <w:color w:val="000000"/>
          <w:sz w:val="22"/>
          <w:szCs w:val="22"/>
          <w:lang w:val="en-US"/>
        </w:rPr>
      </w:pPr>
    </w:p>
    <w:p w14:paraId="08062DDB" w14:textId="77777777" w:rsidR="00D61760" w:rsidRDefault="00D61760">
      <w:pPr>
        <w:pStyle w:val="NormalWeb"/>
        <w:spacing w:before="0" w:beforeAutospacing="0" w:after="200" w:afterAutospacing="0"/>
        <w:rPr>
          <w:rFonts w:hAnsi="Calibri" w:cs="Calibri"/>
          <w:color w:val="000000"/>
          <w:sz w:val="22"/>
          <w:szCs w:val="22"/>
          <w:lang w:val="en-US"/>
        </w:rPr>
      </w:pPr>
    </w:p>
    <w:p w14:paraId="2CBDE18E" w14:textId="77777777" w:rsidR="00D61760" w:rsidRDefault="00D61760">
      <w:pPr>
        <w:pStyle w:val="NormalWeb"/>
        <w:spacing w:before="0" w:beforeAutospacing="0" w:after="200" w:afterAutospacing="0"/>
        <w:rPr>
          <w:rFonts w:hAnsi="Calibri" w:cs="Calibri"/>
          <w:color w:val="000000"/>
          <w:sz w:val="22"/>
          <w:szCs w:val="22"/>
          <w:lang w:val="en-US"/>
        </w:rPr>
      </w:pPr>
    </w:p>
    <w:sdt>
      <w:sdtPr>
        <w:id w:val="668131373"/>
        <w:docPartObj>
          <w:docPartGallery w:val="Table of Contents"/>
          <w:docPartUnique/>
        </w:docPartObj>
      </w:sdtPr>
      <w:sdtEndPr>
        <w:rPr>
          <w:rFonts w:ascii="Aptos" w:eastAsia="Aptos" w:hAnsi="Aptos" w:cs="SimSun"/>
          <w:b/>
          <w:bCs/>
          <w:color w:val="auto"/>
          <w:sz w:val="22"/>
          <w:szCs w:val="22"/>
          <w:lang w:eastAsia="en-US"/>
        </w:rPr>
      </w:sdtEndPr>
      <w:sdtContent>
        <w:p w14:paraId="395D9F05" w14:textId="716F5884" w:rsidR="007E5CC0" w:rsidRDefault="00064BE8">
          <w:pPr>
            <w:pStyle w:val="TOCHeading"/>
          </w:pPr>
          <w:r>
            <w:t xml:space="preserve">Table of </w:t>
          </w:r>
          <w:r w:rsidR="007E5CC0">
            <w:t>Contents</w:t>
          </w:r>
        </w:p>
        <w:p w14:paraId="07B62B60" w14:textId="7007142C" w:rsidR="00A81B6F" w:rsidRDefault="007E5C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8190305" w:history="1">
            <w:r w:rsidR="00A81B6F" w:rsidRPr="00167230">
              <w:rPr>
                <w:rStyle w:val="Hyperlink"/>
                <w:noProof/>
                <w:lang w:val="en-US"/>
              </w:rPr>
              <w:t>Introduction</w:t>
            </w:r>
            <w:r w:rsidR="00A81B6F">
              <w:rPr>
                <w:noProof/>
                <w:webHidden/>
              </w:rPr>
              <w:tab/>
            </w:r>
            <w:r w:rsidR="00A81B6F">
              <w:rPr>
                <w:noProof/>
                <w:webHidden/>
              </w:rPr>
              <w:fldChar w:fldCharType="begin"/>
            </w:r>
            <w:r w:rsidR="00A81B6F">
              <w:rPr>
                <w:noProof/>
                <w:webHidden/>
              </w:rPr>
              <w:instrText xml:space="preserve"> PAGEREF _Toc228190305 \h </w:instrText>
            </w:r>
            <w:r w:rsidR="00A81B6F">
              <w:rPr>
                <w:noProof/>
                <w:webHidden/>
              </w:rPr>
            </w:r>
            <w:r w:rsidR="00A81B6F">
              <w:rPr>
                <w:noProof/>
                <w:webHidden/>
              </w:rPr>
              <w:fldChar w:fldCharType="separate"/>
            </w:r>
            <w:r w:rsidR="00A81B6F">
              <w:rPr>
                <w:noProof/>
                <w:webHidden/>
              </w:rPr>
              <w:t>2</w:t>
            </w:r>
            <w:r w:rsidR="00A81B6F">
              <w:rPr>
                <w:noProof/>
                <w:webHidden/>
              </w:rPr>
              <w:fldChar w:fldCharType="end"/>
            </w:r>
          </w:hyperlink>
        </w:p>
        <w:p w14:paraId="72AAB3C7" w14:textId="70B3E19E" w:rsidR="00A81B6F" w:rsidRDefault="00A81B6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8190306" w:history="1">
            <w:r w:rsidRPr="00167230">
              <w:rPr>
                <w:rStyle w:val="Hyperlink"/>
                <w:noProof/>
              </w:rPr>
              <w:t>Analysis</w:t>
            </w:r>
            <w:r>
              <w:rPr>
                <w:noProof/>
                <w:webHidden/>
              </w:rPr>
              <w:tab/>
            </w:r>
            <w:r>
              <w:rPr>
                <w:noProof/>
                <w:webHidden/>
              </w:rPr>
              <w:fldChar w:fldCharType="begin"/>
            </w:r>
            <w:r>
              <w:rPr>
                <w:noProof/>
                <w:webHidden/>
              </w:rPr>
              <w:instrText xml:space="preserve"> PAGEREF _Toc228190306 \h </w:instrText>
            </w:r>
            <w:r>
              <w:rPr>
                <w:noProof/>
                <w:webHidden/>
              </w:rPr>
            </w:r>
            <w:r>
              <w:rPr>
                <w:noProof/>
                <w:webHidden/>
              </w:rPr>
              <w:fldChar w:fldCharType="separate"/>
            </w:r>
            <w:r>
              <w:rPr>
                <w:noProof/>
                <w:webHidden/>
              </w:rPr>
              <w:t>3</w:t>
            </w:r>
            <w:r>
              <w:rPr>
                <w:noProof/>
                <w:webHidden/>
              </w:rPr>
              <w:fldChar w:fldCharType="end"/>
            </w:r>
          </w:hyperlink>
        </w:p>
        <w:p w14:paraId="19BFC076" w14:textId="12DC435A" w:rsidR="00A81B6F" w:rsidRDefault="00A81B6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8190307" w:history="1">
            <w:r w:rsidRPr="00167230">
              <w:rPr>
                <w:rStyle w:val="Hyperlink"/>
                <w:noProof/>
              </w:rPr>
              <w:t>Action Plan</w:t>
            </w:r>
            <w:r>
              <w:rPr>
                <w:noProof/>
                <w:webHidden/>
              </w:rPr>
              <w:tab/>
            </w:r>
            <w:r>
              <w:rPr>
                <w:noProof/>
                <w:webHidden/>
              </w:rPr>
              <w:fldChar w:fldCharType="begin"/>
            </w:r>
            <w:r>
              <w:rPr>
                <w:noProof/>
                <w:webHidden/>
              </w:rPr>
              <w:instrText xml:space="preserve"> PAGEREF _Toc228190307 \h </w:instrText>
            </w:r>
            <w:r>
              <w:rPr>
                <w:noProof/>
                <w:webHidden/>
              </w:rPr>
            </w:r>
            <w:r>
              <w:rPr>
                <w:noProof/>
                <w:webHidden/>
              </w:rPr>
              <w:fldChar w:fldCharType="separate"/>
            </w:r>
            <w:r>
              <w:rPr>
                <w:noProof/>
                <w:webHidden/>
              </w:rPr>
              <w:t>3</w:t>
            </w:r>
            <w:r>
              <w:rPr>
                <w:noProof/>
                <w:webHidden/>
              </w:rPr>
              <w:fldChar w:fldCharType="end"/>
            </w:r>
          </w:hyperlink>
        </w:p>
        <w:p w14:paraId="6C473E10" w14:textId="42AAF74D" w:rsidR="00A81B6F" w:rsidRDefault="00A81B6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8190308" w:history="1">
            <w:r w:rsidRPr="00167230">
              <w:rPr>
                <w:rStyle w:val="Hyperlink"/>
                <w:noProof/>
              </w:rPr>
              <w:t>Strategies to Overcome Challenges in Multi-Agency Working</w:t>
            </w:r>
            <w:r>
              <w:rPr>
                <w:noProof/>
                <w:webHidden/>
              </w:rPr>
              <w:tab/>
            </w:r>
            <w:r>
              <w:rPr>
                <w:noProof/>
                <w:webHidden/>
              </w:rPr>
              <w:fldChar w:fldCharType="begin"/>
            </w:r>
            <w:r>
              <w:rPr>
                <w:noProof/>
                <w:webHidden/>
              </w:rPr>
              <w:instrText xml:space="preserve"> PAGEREF _Toc228190308 \h </w:instrText>
            </w:r>
            <w:r>
              <w:rPr>
                <w:noProof/>
                <w:webHidden/>
              </w:rPr>
            </w:r>
            <w:r>
              <w:rPr>
                <w:noProof/>
                <w:webHidden/>
              </w:rPr>
              <w:fldChar w:fldCharType="separate"/>
            </w:r>
            <w:r>
              <w:rPr>
                <w:noProof/>
                <w:webHidden/>
              </w:rPr>
              <w:t>5</w:t>
            </w:r>
            <w:r>
              <w:rPr>
                <w:noProof/>
                <w:webHidden/>
              </w:rPr>
              <w:fldChar w:fldCharType="end"/>
            </w:r>
          </w:hyperlink>
        </w:p>
        <w:p w14:paraId="0424EBCB" w14:textId="69095D7C" w:rsidR="00A81B6F" w:rsidRDefault="00A81B6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8190309" w:history="1">
            <w:r w:rsidRPr="00167230">
              <w:rPr>
                <w:rStyle w:val="Hyperlink"/>
                <w:noProof/>
              </w:rPr>
              <w:t>Conclusion</w:t>
            </w:r>
            <w:r>
              <w:rPr>
                <w:noProof/>
                <w:webHidden/>
              </w:rPr>
              <w:tab/>
            </w:r>
            <w:r>
              <w:rPr>
                <w:noProof/>
                <w:webHidden/>
              </w:rPr>
              <w:fldChar w:fldCharType="begin"/>
            </w:r>
            <w:r>
              <w:rPr>
                <w:noProof/>
                <w:webHidden/>
              </w:rPr>
              <w:instrText xml:space="preserve"> PAGEREF _Toc228190309 \h </w:instrText>
            </w:r>
            <w:r>
              <w:rPr>
                <w:noProof/>
                <w:webHidden/>
              </w:rPr>
            </w:r>
            <w:r>
              <w:rPr>
                <w:noProof/>
                <w:webHidden/>
              </w:rPr>
              <w:fldChar w:fldCharType="separate"/>
            </w:r>
            <w:r>
              <w:rPr>
                <w:noProof/>
                <w:webHidden/>
              </w:rPr>
              <w:t>5</w:t>
            </w:r>
            <w:r>
              <w:rPr>
                <w:noProof/>
                <w:webHidden/>
              </w:rPr>
              <w:fldChar w:fldCharType="end"/>
            </w:r>
          </w:hyperlink>
        </w:p>
        <w:p w14:paraId="17768784" w14:textId="6982BC80" w:rsidR="00A81B6F" w:rsidRDefault="00A81B6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8190310" w:history="1">
            <w:r w:rsidRPr="00167230">
              <w:rPr>
                <w:rStyle w:val="Hyperlink"/>
                <w:noProof/>
              </w:rPr>
              <w:t>References</w:t>
            </w:r>
            <w:r>
              <w:rPr>
                <w:noProof/>
                <w:webHidden/>
              </w:rPr>
              <w:tab/>
            </w:r>
            <w:r>
              <w:rPr>
                <w:noProof/>
                <w:webHidden/>
              </w:rPr>
              <w:fldChar w:fldCharType="begin"/>
            </w:r>
            <w:r>
              <w:rPr>
                <w:noProof/>
                <w:webHidden/>
              </w:rPr>
              <w:instrText xml:space="preserve"> PAGEREF _Toc228190310 \h </w:instrText>
            </w:r>
            <w:r>
              <w:rPr>
                <w:noProof/>
                <w:webHidden/>
              </w:rPr>
            </w:r>
            <w:r>
              <w:rPr>
                <w:noProof/>
                <w:webHidden/>
              </w:rPr>
              <w:fldChar w:fldCharType="separate"/>
            </w:r>
            <w:r>
              <w:rPr>
                <w:noProof/>
                <w:webHidden/>
              </w:rPr>
              <w:t>6</w:t>
            </w:r>
            <w:r>
              <w:rPr>
                <w:noProof/>
                <w:webHidden/>
              </w:rPr>
              <w:fldChar w:fldCharType="end"/>
            </w:r>
          </w:hyperlink>
        </w:p>
        <w:p w14:paraId="57AA668B" w14:textId="39399258" w:rsidR="007E5CC0" w:rsidRDefault="007E5CC0">
          <w:r>
            <w:rPr>
              <w:b/>
              <w:bCs/>
            </w:rPr>
            <w:fldChar w:fldCharType="end"/>
          </w:r>
        </w:p>
      </w:sdtContent>
    </w:sdt>
    <w:p w14:paraId="36D17FF5" w14:textId="77777777" w:rsidR="0099626C" w:rsidRDefault="0099626C">
      <w:pPr>
        <w:pStyle w:val="NormalWeb"/>
        <w:spacing w:before="0" w:beforeAutospacing="0" w:after="200" w:afterAutospacing="0"/>
        <w:rPr>
          <w:rFonts w:ascii="Calibri" w:hAnsi="Calibri" w:cs="Calibri"/>
          <w:color w:val="000000"/>
          <w:sz w:val="22"/>
          <w:szCs w:val="22"/>
        </w:rPr>
      </w:pPr>
    </w:p>
    <w:p w14:paraId="1E26B9FD" w14:textId="77777777" w:rsidR="0099626C" w:rsidRDefault="00000000">
      <w:pPr>
        <w:pStyle w:val="NormalWeb"/>
        <w:spacing w:before="0" w:beforeAutospacing="0" w:after="200" w:afterAutospacing="0"/>
        <w:rPr>
          <w:rFonts w:ascii="Calibri" w:hAnsi="Calibri" w:cs="Calibri"/>
          <w:color w:val="000000"/>
          <w:sz w:val="22"/>
          <w:szCs w:val="22"/>
        </w:rPr>
      </w:pPr>
      <w:r>
        <w:rPr>
          <w:rFonts w:ascii="Calibri" w:hAnsi="Calibri" w:cs="Calibri"/>
          <w:color w:val="000000"/>
          <w:sz w:val="22"/>
          <w:szCs w:val="22"/>
        </w:rPr>
        <w:t xml:space="preserve">                                                 </w:t>
      </w:r>
    </w:p>
    <w:p w14:paraId="48525D96" w14:textId="77777777" w:rsidR="007E5CC0" w:rsidRDefault="007E5CC0" w:rsidP="007E5CC0">
      <w:pPr>
        <w:pStyle w:val="Heading2"/>
        <w:rPr>
          <w:lang w:val="en-US"/>
        </w:rPr>
      </w:pPr>
    </w:p>
    <w:p w14:paraId="41DF7C02" w14:textId="77777777" w:rsidR="00A81B6F" w:rsidRPr="00A81B6F" w:rsidRDefault="00A81B6F" w:rsidP="00A81B6F">
      <w:pPr>
        <w:rPr>
          <w:lang w:val="en-US"/>
        </w:rPr>
      </w:pPr>
    </w:p>
    <w:p w14:paraId="1D66984A" w14:textId="77777777" w:rsidR="00A81B6F" w:rsidRDefault="00A81B6F" w:rsidP="007E5CC0">
      <w:pPr>
        <w:pStyle w:val="Heading1"/>
        <w:rPr>
          <w:lang w:val="en-US"/>
        </w:rPr>
      </w:pPr>
      <w:bookmarkStart w:id="0" w:name="_Toc228190305"/>
    </w:p>
    <w:p w14:paraId="39F2CD64" w14:textId="77777777" w:rsidR="00A81B6F" w:rsidRDefault="00A81B6F" w:rsidP="007E5CC0">
      <w:pPr>
        <w:pStyle w:val="Heading1"/>
        <w:rPr>
          <w:lang w:val="en-US"/>
        </w:rPr>
      </w:pPr>
    </w:p>
    <w:p w14:paraId="49FE55A5" w14:textId="77777777" w:rsidR="00A81B6F" w:rsidRDefault="00A81B6F" w:rsidP="007E5CC0">
      <w:pPr>
        <w:pStyle w:val="Heading1"/>
        <w:rPr>
          <w:lang w:val="en-US"/>
        </w:rPr>
      </w:pPr>
    </w:p>
    <w:p w14:paraId="56ACF074" w14:textId="77777777" w:rsidR="00A81B6F" w:rsidRDefault="00A81B6F" w:rsidP="007E5CC0">
      <w:pPr>
        <w:pStyle w:val="Heading1"/>
        <w:rPr>
          <w:lang w:val="en-US"/>
        </w:rPr>
      </w:pPr>
    </w:p>
    <w:p w14:paraId="3DE82259" w14:textId="77777777" w:rsidR="00A81B6F" w:rsidRDefault="00A81B6F" w:rsidP="007E5CC0">
      <w:pPr>
        <w:pStyle w:val="Heading1"/>
        <w:rPr>
          <w:lang w:val="en-US"/>
        </w:rPr>
      </w:pPr>
    </w:p>
    <w:p w14:paraId="2DC9518D" w14:textId="77777777" w:rsidR="00A81B6F" w:rsidRDefault="00A81B6F" w:rsidP="007E5CC0">
      <w:pPr>
        <w:pStyle w:val="Heading1"/>
        <w:rPr>
          <w:lang w:val="en-US"/>
        </w:rPr>
      </w:pPr>
    </w:p>
    <w:p w14:paraId="0170830E" w14:textId="77777777" w:rsidR="00A81B6F" w:rsidRDefault="00A81B6F" w:rsidP="007E5CC0">
      <w:pPr>
        <w:pStyle w:val="Heading1"/>
        <w:rPr>
          <w:lang w:val="en-US"/>
        </w:rPr>
      </w:pPr>
    </w:p>
    <w:p w14:paraId="7A15E19A" w14:textId="77777777" w:rsidR="00A81B6F" w:rsidRDefault="00A81B6F" w:rsidP="007E5CC0">
      <w:pPr>
        <w:pStyle w:val="Heading1"/>
        <w:rPr>
          <w:lang w:val="en-US"/>
        </w:rPr>
      </w:pPr>
    </w:p>
    <w:p w14:paraId="332B73A8" w14:textId="77777777" w:rsidR="00A81B6F" w:rsidRPr="00A81B6F" w:rsidRDefault="00A81B6F" w:rsidP="00A81B6F">
      <w:pPr>
        <w:rPr>
          <w:lang w:val="en-US"/>
        </w:rPr>
      </w:pPr>
    </w:p>
    <w:p w14:paraId="4EB9EC89" w14:textId="4B89A1ED" w:rsidR="0099626C" w:rsidRDefault="00000000" w:rsidP="007E5CC0">
      <w:pPr>
        <w:pStyle w:val="Heading1"/>
        <w:rPr>
          <w:rFonts w:cs="Calibri"/>
          <w:color w:val="000000"/>
        </w:rPr>
      </w:pPr>
      <w:r>
        <w:rPr>
          <w:lang w:val="en-US"/>
        </w:rPr>
        <w:lastRenderedPageBreak/>
        <w:t>Introduction</w:t>
      </w:r>
      <w:bookmarkEnd w:id="0"/>
    </w:p>
    <w:p w14:paraId="16CE064D" w14:textId="3775696D" w:rsidR="0099626C" w:rsidRPr="007E5CC0" w:rsidRDefault="00000000" w:rsidP="007E5CC0">
      <w:pPr>
        <w:spacing w:after="200" w:line="360" w:lineRule="auto"/>
        <w:rPr>
          <w:rFonts w:ascii="Arial" w:eastAsia="MS Mincho" w:hAnsi="Arial" w:cs="Arial"/>
          <w:lang w:val="en-US"/>
        </w:rPr>
      </w:pPr>
      <w:r w:rsidRPr="007E5CC0">
        <w:rPr>
          <w:rFonts w:ascii="Arial" w:eastAsia="MS Mincho" w:hAnsi="Arial" w:cs="Arial"/>
          <w:lang w:val="en-US"/>
        </w:rPr>
        <w:t xml:space="preserve">Effective communication is a fundamental element in health and social care, particularly when supporting individuals with complex needs. This essay explores communication within the context of Mr Ahmed, a 68-year-old stroke patient receiving domiciliary care. Due to language barriers and communication difficulties following his stroke, effective interaction between professionals, Mr Ahmed, and his family is essential. The essay applies Gibbs’ Reflective Cycle to analyse a recent incident involving a missed care visit and delayed medication. </w:t>
      </w:r>
    </w:p>
    <w:p w14:paraId="0B97A502" w14:textId="6DEB5099" w:rsidR="0099626C" w:rsidRPr="007E5CC0" w:rsidRDefault="00E66D43" w:rsidP="007E5CC0">
      <w:pPr>
        <w:spacing w:after="200" w:line="360" w:lineRule="auto"/>
        <w:rPr>
          <w:rFonts w:ascii="Arial" w:hAnsi="Arial" w:cs="Arial"/>
          <w:color w:val="000000"/>
        </w:rPr>
      </w:pPr>
      <w:r w:rsidRPr="007E5CC0">
        <w:rPr>
          <w:rFonts w:ascii="Arial" w:eastAsia="MS Mincho" w:hAnsi="Arial" w:cs="Arial"/>
          <w:lang w:val="en-US"/>
        </w:rPr>
        <w:t xml:space="preserve">Patient who </w:t>
      </w:r>
      <w:r w:rsidR="007E5CC0" w:rsidRPr="007E5CC0">
        <w:rPr>
          <w:rFonts w:ascii="Arial" w:eastAsia="MS Mincho" w:hAnsi="Arial" w:cs="Arial"/>
          <w:lang w:val="en-US"/>
        </w:rPr>
        <w:t>speaks little</w:t>
      </w:r>
      <w:r w:rsidRPr="007E5CC0">
        <w:rPr>
          <w:rFonts w:ascii="Arial" w:eastAsia="MS Mincho" w:hAnsi="Arial" w:cs="Arial"/>
          <w:lang w:val="en-US"/>
        </w:rPr>
        <w:t xml:space="preserve"> English, had a stroke and has dementia needs help </w:t>
      </w:r>
      <w:r w:rsidR="00BC6C65" w:rsidRPr="007E5CC0">
        <w:rPr>
          <w:rFonts w:ascii="Arial" w:eastAsia="MS Mincho" w:hAnsi="Arial" w:cs="Arial"/>
          <w:lang w:val="en-US"/>
        </w:rPr>
        <w:t xml:space="preserve">making </w:t>
      </w:r>
      <w:r w:rsidR="00BC6C65" w:rsidRPr="007E5CC0">
        <w:rPr>
          <w:rFonts w:ascii="Arial" w:eastAsia="MS Mincho" w:hAnsi="Arial" w:cs="Arial"/>
        </w:rPr>
        <w:t xml:space="preserve">decisions. Under the Care Act 2010, his wife would be able to help him make these decisions. </w:t>
      </w:r>
      <w:r w:rsidR="00C772E1" w:rsidRPr="007E5CC0">
        <w:rPr>
          <w:rFonts w:ascii="Arial" w:eastAsia="MS Mincho" w:hAnsi="Arial" w:cs="Arial"/>
        </w:rPr>
        <w:t>(UK Legislation, 2014)</w:t>
      </w:r>
    </w:p>
    <w:p w14:paraId="6DF7ED85" w14:textId="777FEB6D" w:rsidR="007E5CC0"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A strength in this case is that the issue was reported, demonstrating accountability. However, the main weakness is the failure in communication and administrative processes, which resulted in a missed visit. Mr Ahmed’s limited English may have prevented him from reporting the issue promptly.</w:t>
      </w:r>
    </w:p>
    <w:p w14:paraId="10F74C82" w14:textId="478900AA" w:rsidR="0099626C" w:rsidRPr="007E5CC0" w:rsidRDefault="00000000" w:rsidP="007E5CC0">
      <w:pPr>
        <w:pStyle w:val="Heading1"/>
      </w:pPr>
      <w:bookmarkStart w:id="1" w:name="_Toc228190306"/>
      <w:r w:rsidRPr="007E5CC0">
        <w:t>Analysis</w:t>
      </w:r>
      <w:bookmarkEnd w:id="1"/>
    </w:p>
    <w:p w14:paraId="7A3ECCF2"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Effective communication is essential for safe and person-centred care. According to NHS (2023), clear communication helps prevent errors and ensures patients understand their treatment. In this case, language barriers and speech difficulties created challenges in communication. The absence of interpreter support or alternative communication strategies may have contributed to the issue.</w:t>
      </w:r>
    </w:p>
    <w:p w14:paraId="5649692F"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In addition, the involvement of multiple professionals requires effective coordination. Reeves et al. (2017) argue that interprofessional collaboration improves patient outcomes, but only when communication is well-managed. The missed visit suggests a breakdown in communication between the domiciliary care agency and other team members.</w:t>
      </w:r>
    </w:p>
    <w:p w14:paraId="595500EC"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Administrative systems also play a crucial role. Poor scheduling or lack of monitoring may have resulted in the missed visit. The Care Quality Commission (CQC, 2022) highlights that accurate record-keeping and communication are essential for maintaining continuity of care.</w:t>
      </w:r>
    </w:p>
    <w:p w14:paraId="087F74B9"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The incident demonstrates how communication barriers and administrative failures can negatively impact patient safety and quality of care.</w:t>
      </w:r>
    </w:p>
    <w:p w14:paraId="1CADA4D7" w14:textId="7614511F" w:rsidR="0099626C" w:rsidRPr="007E5CC0" w:rsidRDefault="00000000" w:rsidP="00064BE8">
      <w:pPr>
        <w:pStyle w:val="Heading1"/>
      </w:pPr>
      <w:bookmarkStart w:id="2" w:name="_Toc228190307"/>
      <w:r w:rsidRPr="00064BE8">
        <w:lastRenderedPageBreak/>
        <w:t>Action Plan</w:t>
      </w:r>
      <w:bookmarkEnd w:id="2"/>
    </w:p>
    <w:p w14:paraId="4C999875"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To prevent similar issues in the future:</w:t>
      </w:r>
    </w:p>
    <w:p w14:paraId="3B7A9DDD"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Provide interpreter services or translation tools</w:t>
      </w:r>
    </w:p>
    <w:p w14:paraId="6A070D8F"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Use digital scheduling and monitoring systems</w:t>
      </w:r>
    </w:p>
    <w:p w14:paraId="2BA024D5"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Improve communication between team members</w:t>
      </w:r>
    </w:p>
    <w:p w14:paraId="39B1B8DA"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Ensure accurate documentation and follow-up</w:t>
      </w:r>
    </w:p>
    <w:p w14:paraId="720D42E2"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These measures can enhance care delivery and reduce risks.</w:t>
      </w:r>
    </w:p>
    <w:p w14:paraId="01CBC115" w14:textId="77777777" w:rsidR="0099626C" w:rsidRPr="007E5CC0" w:rsidRDefault="00000000" w:rsidP="00064BE8">
      <w:pPr>
        <w:pStyle w:val="NormalWeb"/>
        <w:numPr>
          <w:ilvl w:val="0"/>
          <w:numId w:val="1"/>
        </w:numPr>
        <w:spacing w:before="0" w:beforeAutospacing="0" w:after="200" w:afterAutospacing="0" w:line="360" w:lineRule="auto"/>
        <w:rPr>
          <w:rFonts w:ascii="Arial" w:hAnsi="Arial" w:cs="Arial"/>
        </w:rPr>
      </w:pPr>
      <w:r w:rsidRPr="007E5CC0">
        <w:rPr>
          <w:rFonts w:ascii="Arial" w:hAnsi="Arial" w:cs="Arial"/>
          <w:color w:val="000000"/>
          <w:sz w:val="22"/>
          <w:szCs w:val="22"/>
        </w:rPr>
        <w:t>Importance of Administrative Skills and Legal Frameworks.</w:t>
      </w:r>
    </w:p>
    <w:p w14:paraId="00BAE22E"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Administrative skills are fundamental in health and social care, as they support the organisation, coordination, and delivery of services. In Mr Ahmed’s case, the missed visit highlights weaknesses in administrative processes such as scheduling, communication, and record-keeping.</w:t>
      </w:r>
    </w:p>
    <w:p w14:paraId="1C839DE3"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Good administrative practice includes maintaining accurate records, managing time effectively, and ensuring clear communication between professionals. According to the Care Quality Commission (CQC, 2022), effective record-keeping supports patient safety and continuity of care. Without proper systems, important tasks such as medication administration can be missed, leading to serious risks.</w:t>
      </w:r>
    </w:p>
    <w:p w14:paraId="004CC728"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The Care Act 2014 provides a legal framework for safeguarding vulnerable individuals and promoting wellbeing. Mr Ahmed is considered vulnerable due to his age, health condition, and communication difficulties. The missed medication could be viewed as a safeguarding issue, as it places him at risk of harm. Healthcare professionals have a duty to ensure that care is delivered safely and consistently.</w:t>
      </w:r>
    </w:p>
    <w:p w14:paraId="1C810AFC"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The Data Protection Act 2018 is also relevant, as it governs how personal information is handled. Accurate and secure information sharing is essential for effective communication between professionals. In Mr Ahmed’s case, better information management could have helped identify the missed visit earlier and prevent delays in care.</w:t>
      </w:r>
    </w:p>
    <w:p w14:paraId="1D8F1F48"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Additionally, NHS policies emphasise accountability and transparency. NHS England (2023) states that administrative errors can lead to patient harm if not addressed promptly. This highlights the importance of monitoring systems and clear procedures for reporting incidents.</w:t>
      </w:r>
    </w:p>
    <w:p w14:paraId="16AFE071"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lastRenderedPageBreak/>
        <w:t>Administrative skills also support teamwork. When professionals have access to accurate records and clear schedules, they can work more effectively together. This reduces the risk of errors and improves patient outcomes.</w:t>
      </w:r>
    </w:p>
    <w:p w14:paraId="7442119F" w14:textId="77777777" w:rsidR="0099626C" w:rsidRPr="007E5CC0" w:rsidRDefault="00000000" w:rsidP="007E5CC0">
      <w:pPr>
        <w:pStyle w:val="NormalWeb"/>
        <w:spacing w:before="0" w:beforeAutospacing="0" w:after="200" w:afterAutospacing="0" w:line="360" w:lineRule="auto"/>
        <w:rPr>
          <w:rFonts w:ascii="Arial" w:hAnsi="Arial" w:cs="Arial"/>
        </w:rPr>
      </w:pPr>
      <w:r w:rsidRPr="007E5CC0">
        <w:rPr>
          <w:rFonts w:ascii="Arial" w:hAnsi="Arial" w:cs="Arial"/>
          <w:color w:val="000000"/>
          <w:sz w:val="22"/>
          <w:szCs w:val="22"/>
        </w:rPr>
        <w:t>In conclusion, strong administrative skills are essential for ensuring patient safety, meeting legal requirements, and supporting effective teamwork. Health professionals must develop these skills to provide high-quality care.</w:t>
      </w:r>
    </w:p>
    <w:p w14:paraId="25AAFCA8" w14:textId="469989EF" w:rsidR="0099626C" w:rsidRPr="00064BE8" w:rsidRDefault="00000000" w:rsidP="00064BE8">
      <w:pPr>
        <w:pStyle w:val="Heading1"/>
      </w:pPr>
      <w:bookmarkStart w:id="3" w:name="_Toc228190308"/>
      <w:r w:rsidRPr="00064BE8">
        <w:rPr>
          <w:rStyle w:val="Heading2Char"/>
          <w:sz w:val="40"/>
          <w:szCs w:val="40"/>
        </w:rPr>
        <w:t>Strategies to Overcome Challenges in Multi-Agency Working</w:t>
      </w:r>
      <w:bookmarkEnd w:id="3"/>
    </w:p>
    <w:p w14:paraId="2BAB8CE1"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Multi-agency working involves collaboration between different professionals and organisations to provide comprehensive care. While it offers many benefits, it also presents challenges such as communication barriers, role confusion, and lack of coordination.</w:t>
      </w:r>
    </w:p>
    <w:p w14:paraId="6F485107"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One important strategy is improving communication systems. Regular meetings, shared care plans, and digital record systems can ensure all professionals are informed. Glasby and Dickinson (2014) highlight that integrated communication improves collaboration and reduces errors.</w:t>
      </w:r>
    </w:p>
    <w:p w14:paraId="445969B6"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Another strategy is clarifying roles and responsibilities. In Mr Ahmed’s case, it may not have been clear who was responsible for ensuring medication delivery. Clear role definitions help prevent gaps in care and improve accountability.</w:t>
      </w:r>
    </w:p>
    <w:p w14:paraId="353941CF"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Cultural competence is also essential. Providing interpreter services or culturally appropriate communication methods can help patients like Mr Ahmed understand their care and express their needs.</w:t>
      </w:r>
    </w:p>
    <w:p w14:paraId="709E821B"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Training and professional development are key to improving teamwork. Reeves et al. (2017) suggest that interprofessional education enhances communication and collaboration among healthcare workers.</w:t>
      </w:r>
    </w:p>
    <w:p w14:paraId="0BF232D5" w14:textId="77777777" w:rsidR="0099626C" w:rsidRPr="00064BE8" w:rsidRDefault="00000000" w:rsidP="007E5CC0">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Finally, strong leadership is necessary. A care coordinator can oversee the care plan and ensure all professionals work together effectively. This reduces the risk of missed visits and improves patient safety.</w:t>
      </w:r>
    </w:p>
    <w:p w14:paraId="4E73966B" w14:textId="77777777" w:rsidR="00064BE8" w:rsidRDefault="00000000" w:rsidP="00064BE8">
      <w:pPr>
        <w:pStyle w:val="NormalWeb"/>
        <w:spacing w:before="0" w:beforeAutospacing="0" w:after="200" w:afterAutospacing="0" w:line="276" w:lineRule="auto"/>
        <w:rPr>
          <w:rFonts w:ascii="Arial" w:hAnsi="Arial" w:cs="Arial"/>
          <w:color w:val="000000"/>
          <w:sz w:val="22"/>
          <w:szCs w:val="22"/>
        </w:rPr>
      </w:pPr>
      <w:r w:rsidRPr="00064BE8">
        <w:rPr>
          <w:rFonts w:ascii="Arial" w:hAnsi="Arial" w:cs="Arial"/>
          <w:color w:val="000000"/>
          <w:sz w:val="22"/>
          <w:szCs w:val="22"/>
        </w:rPr>
        <w:t>By implementing these strategies, healthcare teams can overcome challenges and provide more effective, person-centred care.</w:t>
      </w:r>
    </w:p>
    <w:p w14:paraId="14CB2DA6" w14:textId="44FDD18C" w:rsidR="00064BE8" w:rsidRDefault="00064BE8" w:rsidP="00064BE8">
      <w:pPr>
        <w:pStyle w:val="Heading1"/>
      </w:pPr>
      <w:bookmarkStart w:id="4" w:name="_Toc228190309"/>
      <w:r>
        <w:t>Conclusion</w:t>
      </w:r>
      <w:bookmarkEnd w:id="4"/>
    </w:p>
    <w:p w14:paraId="530A27A4" w14:textId="435E540C" w:rsidR="0099626C" w:rsidRPr="00064BE8" w:rsidRDefault="00000000" w:rsidP="00064BE8">
      <w:pPr>
        <w:pStyle w:val="NormalWeb"/>
        <w:spacing w:before="0" w:beforeAutospacing="0" w:after="200" w:afterAutospacing="0" w:line="276" w:lineRule="auto"/>
        <w:rPr>
          <w:rFonts w:ascii="Arial" w:hAnsi="Arial" w:cs="Arial"/>
        </w:rPr>
      </w:pPr>
      <w:r w:rsidRPr="00064BE8">
        <w:rPr>
          <w:rFonts w:ascii="Arial" w:hAnsi="Arial" w:cs="Arial"/>
          <w:color w:val="000000"/>
          <w:sz w:val="22"/>
          <w:szCs w:val="22"/>
        </w:rPr>
        <w:t xml:space="preserve">In conclusion, effective communication, strong administrative skills, and efficient multi-agency working are essential components of high-quality health and social care. The case of Mr Ahmed highlights how communication barriers and administrative failures can lead to serious risks, such as delayed medication. Using Gibbs’ Reflective Cycle, this essay has shown the importance of learning from such incidents to improve practice. Legal frameworks, including the Care Act 2014 and Data Protection Act 2018, provide guidance to </w:t>
      </w:r>
      <w:r w:rsidRPr="00064BE8">
        <w:rPr>
          <w:rFonts w:ascii="Arial" w:hAnsi="Arial" w:cs="Arial"/>
          <w:color w:val="000000"/>
          <w:sz w:val="22"/>
          <w:szCs w:val="22"/>
        </w:rPr>
        <w:lastRenderedPageBreak/>
        <w:t>ensure safe and accountable care. Furthermore, strategies such as improved communication systems, role clarity, and cultural competence can enhance collaboration between professionals. Overall, healthcare providers must prioritise communication and organisation to deliver safe, effective, and person-centred care, ensuring positive outcomes for vulnerable individuals like Mr Ahmed.</w:t>
      </w:r>
    </w:p>
    <w:p w14:paraId="758FE756" w14:textId="77777777" w:rsidR="00FB4D40" w:rsidRPr="00064BE8" w:rsidRDefault="00FB4D40" w:rsidP="00064BE8">
      <w:pPr>
        <w:pStyle w:val="NormalWeb"/>
        <w:spacing w:before="0" w:beforeAutospacing="0" w:after="200" w:afterAutospacing="0" w:line="360" w:lineRule="auto"/>
        <w:rPr>
          <w:rFonts w:ascii="Arial" w:hAnsi="Arial" w:cs="Arial"/>
        </w:rPr>
      </w:pPr>
    </w:p>
    <w:p w14:paraId="479F9DE3" w14:textId="6C133A2B" w:rsidR="0099626C" w:rsidRDefault="00FB4D40" w:rsidP="00064BE8">
      <w:pPr>
        <w:pStyle w:val="Heading1"/>
      </w:pPr>
      <w:bookmarkStart w:id="5" w:name="_Toc228190310"/>
      <w:r>
        <w:t>References</w:t>
      </w:r>
      <w:bookmarkEnd w:id="5"/>
    </w:p>
    <w:p w14:paraId="5178E91A" w14:textId="120EA407" w:rsidR="0099626C" w:rsidRPr="00064BE8" w:rsidRDefault="00000000" w:rsidP="007E5CC0">
      <w:pPr>
        <w:pStyle w:val="NormalWeb"/>
        <w:spacing w:before="0" w:beforeAutospacing="0" w:after="200" w:afterAutospacing="0" w:line="276" w:lineRule="auto"/>
        <w:rPr>
          <w:rFonts w:ascii="Arial" w:hAnsi="Arial" w:cs="Arial"/>
          <w:sz w:val="22"/>
          <w:szCs w:val="22"/>
        </w:rPr>
      </w:pPr>
      <w:r w:rsidRPr="00064BE8">
        <w:rPr>
          <w:rFonts w:ascii="Arial" w:hAnsi="Arial" w:cs="Arial"/>
          <w:color w:val="000000"/>
          <w:sz w:val="22"/>
          <w:szCs w:val="22"/>
        </w:rPr>
        <w:t xml:space="preserve">Care Quality Commission (CQC) (2022) </w:t>
      </w:r>
      <w:r w:rsidRPr="00064BE8">
        <w:rPr>
          <w:rFonts w:ascii="Arial" w:hAnsi="Arial" w:cs="Arial"/>
          <w:i/>
          <w:iCs/>
          <w:color w:val="000000"/>
          <w:sz w:val="22"/>
          <w:szCs w:val="22"/>
        </w:rPr>
        <w:t>Regulation and inspection of health and social care services</w:t>
      </w:r>
      <w:r w:rsidRPr="00064BE8">
        <w:rPr>
          <w:rFonts w:ascii="Arial" w:hAnsi="Arial" w:cs="Arial"/>
          <w:color w:val="000000"/>
          <w:sz w:val="22"/>
          <w:szCs w:val="22"/>
        </w:rPr>
        <w:t xml:space="preserve">. Available at: </w:t>
      </w:r>
      <w:hyperlink r:id="rId9" w:history="1">
        <w:r w:rsidR="003E6F20" w:rsidRPr="00064BE8">
          <w:rPr>
            <w:rStyle w:val="Hyperlink"/>
            <w:rFonts w:ascii="Arial" w:hAnsi="Arial" w:cs="Arial"/>
            <w:sz w:val="22"/>
            <w:szCs w:val="22"/>
          </w:rPr>
          <w:t>https://www.cqc.org.uk</w:t>
        </w:r>
      </w:hyperlink>
      <w:r w:rsidR="003E6F20" w:rsidRPr="00064BE8">
        <w:rPr>
          <w:rFonts w:ascii="Arial" w:hAnsi="Arial" w:cs="Arial"/>
          <w:color w:val="000000"/>
          <w:sz w:val="22"/>
          <w:szCs w:val="22"/>
        </w:rPr>
        <w:t xml:space="preserve"> (Accessed 2/04/2026)</w:t>
      </w:r>
      <w:r w:rsidRPr="00064BE8">
        <w:rPr>
          <w:rFonts w:ascii="Segoe UI Symbol" w:hAnsi="Segoe UI Symbol" w:cs="Segoe UI Symbol"/>
          <w:color w:val="000000"/>
          <w:sz w:val="22"/>
          <w:szCs w:val="22"/>
        </w:rPr>
        <w:t>⁠</w:t>
      </w:r>
      <w:r w:rsidR="003E6F20" w:rsidRPr="00064BE8">
        <w:rPr>
          <w:rFonts w:ascii="Arial" w:hAnsi="Arial" w:cs="Arial"/>
          <w:color w:val="000000"/>
          <w:sz w:val="22"/>
          <w:szCs w:val="22"/>
        </w:rPr>
        <w:t xml:space="preserve"> </w:t>
      </w:r>
    </w:p>
    <w:p w14:paraId="269369E8" w14:textId="77777777" w:rsidR="0099626C" w:rsidRPr="00064BE8" w:rsidRDefault="00000000" w:rsidP="007E5CC0">
      <w:pPr>
        <w:pStyle w:val="NormalWeb"/>
        <w:spacing w:before="0" w:beforeAutospacing="0" w:after="200" w:afterAutospacing="0" w:line="276" w:lineRule="auto"/>
        <w:rPr>
          <w:rFonts w:ascii="Arial" w:hAnsi="Arial" w:cs="Arial"/>
          <w:sz w:val="22"/>
          <w:szCs w:val="22"/>
        </w:rPr>
      </w:pPr>
      <w:r w:rsidRPr="00064BE8">
        <w:rPr>
          <w:rFonts w:ascii="Arial" w:hAnsi="Arial" w:cs="Arial"/>
          <w:color w:val="000000"/>
          <w:sz w:val="22"/>
          <w:szCs w:val="22"/>
        </w:rPr>
        <w:t xml:space="preserve">Gibbs, G. (1988) </w:t>
      </w:r>
      <w:r w:rsidRPr="00064BE8">
        <w:rPr>
          <w:rFonts w:ascii="Arial" w:hAnsi="Arial" w:cs="Arial"/>
          <w:i/>
          <w:iCs/>
          <w:color w:val="000000"/>
          <w:sz w:val="22"/>
          <w:szCs w:val="22"/>
        </w:rPr>
        <w:t>Learning by Doing: A Guide to Teaching and Learning Methods.</w:t>
      </w:r>
      <w:r w:rsidRPr="00064BE8">
        <w:rPr>
          <w:rFonts w:ascii="Arial" w:hAnsi="Arial" w:cs="Arial"/>
          <w:color w:val="000000"/>
          <w:sz w:val="22"/>
          <w:szCs w:val="22"/>
        </w:rPr>
        <w:t xml:space="preserve"> Oxford: Oxford Polytechnic.</w:t>
      </w:r>
    </w:p>
    <w:p w14:paraId="0052AC7F" w14:textId="77777777" w:rsidR="0099626C" w:rsidRPr="00064BE8" w:rsidRDefault="00000000" w:rsidP="007E5CC0">
      <w:pPr>
        <w:pStyle w:val="NormalWeb"/>
        <w:spacing w:before="0" w:beforeAutospacing="0" w:after="200" w:afterAutospacing="0" w:line="276" w:lineRule="auto"/>
        <w:rPr>
          <w:rFonts w:ascii="Arial" w:hAnsi="Arial" w:cs="Arial"/>
          <w:sz w:val="22"/>
          <w:szCs w:val="22"/>
        </w:rPr>
      </w:pPr>
      <w:r w:rsidRPr="00064BE8">
        <w:rPr>
          <w:rFonts w:ascii="Arial" w:hAnsi="Arial" w:cs="Arial"/>
          <w:color w:val="000000"/>
          <w:sz w:val="22"/>
          <w:szCs w:val="22"/>
        </w:rPr>
        <w:t xml:space="preserve">Glasby, J. and Dickinson, H. (2014) </w:t>
      </w:r>
      <w:r w:rsidRPr="00064BE8">
        <w:rPr>
          <w:rFonts w:ascii="Arial" w:hAnsi="Arial" w:cs="Arial"/>
          <w:i/>
          <w:iCs/>
          <w:color w:val="000000"/>
          <w:sz w:val="22"/>
          <w:szCs w:val="22"/>
        </w:rPr>
        <w:t>Partnership Working in Health and Social Care</w:t>
      </w:r>
      <w:r w:rsidRPr="00064BE8">
        <w:rPr>
          <w:rFonts w:ascii="Arial" w:hAnsi="Arial" w:cs="Arial"/>
          <w:color w:val="000000"/>
          <w:sz w:val="22"/>
          <w:szCs w:val="22"/>
        </w:rPr>
        <w:t>. Bristol: Policy Press.</w:t>
      </w:r>
    </w:p>
    <w:p w14:paraId="7EB034FD" w14:textId="6EAEB20B" w:rsidR="0099626C" w:rsidRPr="00064BE8" w:rsidRDefault="00000000" w:rsidP="007E5CC0">
      <w:pPr>
        <w:pStyle w:val="NormalWeb"/>
        <w:spacing w:before="0" w:beforeAutospacing="0" w:after="200" w:afterAutospacing="0" w:line="276" w:lineRule="auto"/>
        <w:rPr>
          <w:rFonts w:ascii="Arial" w:hAnsi="Arial" w:cs="Arial"/>
          <w:sz w:val="22"/>
          <w:szCs w:val="22"/>
        </w:rPr>
      </w:pPr>
      <w:r w:rsidRPr="00064BE8">
        <w:rPr>
          <w:rFonts w:ascii="Arial" w:hAnsi="Arial" w:cs="Arial"/>
          <w:color w:val="000000"/>
          <w:sz w:val="22"/>
          <w:szCs w:val="22"/>
        </w:rPr>
        <w:t xml:space="preserve">NHS (2023) </w:t>
      </w:r>
      <w:r w:rsidR="00A24445" w:rsidRPr="00064BE8">
        <w:rPr>
          <w:rFonts w:ascii="Arial" w:hAnsi="Arial" w:cs="Arial"/>
          <w:i/>
          <w:iCs/>
          <w:color w:val="000000"/>
          <w:sz w:val="22"/>
          <w:szCs w:val="22"/>
        </w:rPr>
        <w:t>Good communication with patients waiting for care</w:t>
      </w:r>
      <w:r w:rsidRPr="00064BE8">
        <w:rPr>
          <w:rFonts w:ascii="Arial" w:hAnsi="Arial" w:cs="Arial"/>
          <w:i/>
          <w:iCs/>
          <w:color w:val="000000"/>
          <w:sz w:val="22"/>
          <w:szCs w:val="22"/>
        </w:rPr>
        <w:t>.</w:t>
      </w:r>
      <w:r w:rsidRPr="00064BE8">
        <w:rPr>
          <w:rFonts w:ascii="Arial" w:hAnsi="Arial" w:cs="Arial"/>
          <w:color w:val="000000"/>
          <w:sz w:val="22"/>
          <w:szCs w:val="22"/>
        </w:rPr>
        <w:t xml:space="preserve"> Available at: </w:t>
      </w:r>
      <w:hyperlink r:id="rId10" w:history="1">
        <w:r w:rsidR="00A24445" w:rsidRPr="00064BE8">
          <w:rPr>
            <w:rStyle w:val="Hyperlink"/>
            <w:rFonts w:ascii="Arial" w:hAnsi="Arial" w:cs="Arial"/>
            <w:sz w:val="22"/>
            <w:szCs w:val="22"/>
          </w:rPr>
          <w:t>https://www.england.nhs.uk/long-read/good-communication-with-patients-waiting-for-care/</w:t>
        </w:r>
      </w:hyperlink>
      <w:r w:rsidR="00A24445" w:rsidRPr="00064BE8">
        <w:rPr>
          <w:rFonts w:ascii="Arial" w:hAnsi="Arial" w:cs="Arial"/>
          <w:color w:val="000000"/>
          <w:sz w:val="22"/>
          <w:szCs w:val="22"/>
        </w:rPr>
        <w:t xml:space="preserve"> (Accessed 02/04/2026)</w:t>
      </w:r>
    </w:p>
    <w:p w14:paraId="62C1B46E" w14:textId="61CC1DBF" w:rsidR="0099626C" w:rsidRPr="00064BE8" w:rsidRDefault="00000000" w:rsidP="007E5CC0">
      <w:pPr>
        <w:pStyle w:val="NormalWeb"/>
        <w:spacing w:before="0" w:beforeAutospacing="0" w:after="200" w:afterAutospacing="0" w:line="276" w:lineRule="auto"/>
        <w:rPr>
          <w:rFonts w:ascii="Arial" w:hAnsi="Arial" w:cs="Arial"/>
          <w:sz w:val="22"/>
          <w:szCs w:val="22"/>
        </w:rPr>
      </w:pPr>
      <w:r w:rsidRPr="00064BE8">
        <w:rPr>
          <w:rFonts w:ascii="Arial" w:hAnsi="Arial" w:cs="Arial"/>
          <w:color w:val="000000"/>
          <w:sz w:val="22"/>
          <w:szCs w:val="22"/>
        </w:rPr>
        <w:t xml:space="preserve">NHS England (2023) </w:t>
      </w:r>
      <w:r w:rsidR="00A24445" w:rsidRPr="00064BE8">
        <w:rPr>
          <w:rFonts w:ascii="Arial" w:hAnsi="Arial" w:cs="Arial"/>
          <w:i/>
          <w:iCs/>
          <w:color w:val="000000"/>
          <w:sz w:val="22"/>
          <w:szCs w:val="22"/>
        </w:rPr>
        <w:t>The NHS Patient Safety Strategy</w:t>
      </w:r>
      <w:r w:rsidRPr="00064BE8">
        <w:rPr>
          <w:rFonts w:ascii="Arial" w:hAnsi="Arial" w:cs="Arial"/>
          <w:color w:val="000000"/>
          <w:sz w:val="22"/>
          <w:szCs w:val="22"/>
        </w:rPr>
        <w:t xml:space="preserve">. Available at: </w:t>
      </w:r>
      <w:hyperlink r:id="rId11" w:history="1">
        <w:r w:rsidR="004473CA" w:rsidRPr="00064BE8">
          <w:rPr>
            <w:rStyle w:val="Hyperlink"/>
            <w:rFonts w:ascii="Arial" w:hAnsi="Arial" w:cs="Arial"/>
            <w:sz w:val="22"/>
            <w:szCs w:val="22"/>
          </w:rPr>
          <w:t>https://www.england.nhs.uk/patient-safety/the-nhs-patient-safety-strategy/</w:t>
        </w:r>
      </w:hyperlink>
      <w:r w:rsidR="004473CA" w:rsidRPr="00064BE8">
        <w:rPr>
          <w:rFonts w:ascii="Arial" w:hAnsi="Arial" w:cs="Arial"/>
          <w:color w:val="000000"/>
          <w:sz w:val="22"/>
          <w:szCs w:val="22"/>
        </w:rPr>
        <w:t xml:space="preserve"> (Accessed 02/04/2026)</w:t>
      </w:r>
    </w:p>
    <w:p w14:paraId="5F4B2368" w14:textId="0166F481" w:rsidR="004473CA" w:rsidRPr="00064BE8" w:rsidRDefault="004473CA" w:rsidP="007E5CC0">
      <w:pPr>
        <w:spacing w:line="276" w:lineRule="auto"/>
        <w:rPr>
          <w:rFonts w:ascii="Arial" w:hAnsi="Arial" w:cs="Arial"/>
        </w:rPr>
      </w:pPr>
      <w:r w:rsidRPr="00064BE8">
        <w:rPr>
          <w:rFonts w:ascii="Arial" w:hAnsi="Arial" w:cs="Arial"/>
        </w:rPr>
        <w:t xml:space="preserve">Reeves, S., </w:t>
      </w:r>
      <w:proofErr w:type="spellStart"/>
      <w:r w:rsidRPr="00064BE8">
        <w:rPr>
          <w:rFonts w:ascii="Arial" w:hAnsi="Arial" w:cs="Arial"/>
          <w:color w:val="000000"/>
        </w:rPr>
        <w:t>Pelone</w:t>
      </w:r>
      <w:proofErr w:type="spellEnd"/>
      <w:r w:rsidRPr="00064BE8">
        <w:rPr>
          <w:rFonts w:ascii="Arial" w:hAnsi="Arial" w:cs="Arial"/>
          <w:color w:val="000000"/>
        </w:rPr>
        <w:t xml:space="preserve">, F., Harrison, R., Goldman, J. and </w:t>
      </w:r>
      <w:proofErr w:type="spellStart"/>
      <w:r w:rsidRPr="00064BE8">
        <w:rPr>
          <w:rFonts w:ascii="Arial" w:hAnsi="Arial" w:cs="Arial"/>
          <w:color w:val="000000"/>
        </w:rPr>
        <w:t>Zwarenstein</w:t>
      </w:r>
      <w:proofErr w:type="spellEnd"/>
      <w:r w:rsidRPr="00064BE8">
        <w:rPr>
          <w:rFonts w:ascii="Arial" w:hAnsi="Arial" w:cs="Arial"/>
          <w:color w:val="000000"/>
        </w:rPr>
        <w:t>, M.</w:t>
      </w:r>
      <w:r w:rsidRPr="00064BE8">
        <w:rPr>
          <w:rFonts w:ascii="Arial" w:hAnsi="Arial" w:cs="Arial"/>
        </w:rPr>
        <w:t xml:space="preserve"> (2017) “Interprofessional collaboration to improve professional practice and healthcare outcomes,” </w:t>
      </w:r>
      <w:r w:rsidRPr="00064BE8">
        <w:rPr>
          <w:rFonts w:ascii="Arial" w:hAnsi="Arial" w:cs="Arial"/>
          <w:i/>
          <w:iCs/>
        </w:rPr>
        <w:t>Cochrane database of systematic reviews</w:t>
      </w:r>
      <w:r w:rsidRPr="00064BE8">
        <w:rPr>
          <w:rFonts w:ascii="Arial" w:hAnsi="Arial" w:cs="Arial"/>
        </w:rPr>
        <w:t xml:space="preserve">, 2018(8), p. CD000072. Available at: </w:t>
      </w:r>
      <w:hyperlink r:id="rId12" w:history="1">
        <w:r w:rsidRPr="00064BE8">
          <w:rPr>
            <w:rStyle w:val="Hyperlink"/>
            <w:rFonts w:ascii="Arial" w:hAnsi="Arial" w:cs="Arial"/>
          </w:rPr>
          <w:t>https://doi.org/10.1002/14651858.CD000072.pub3</w:t>
        </w:r>
      </w:hyperlink>
      <w:r w:rsidRPr="00064BE8">
        <w:rPr>
          <w:rFonts w:ascii="Arial" w:hAnsi="Arial" w:cs="Arial"/>
        </w:rPr>
        <w:t xml:space="preserve">. </w:t>
      </w:r>
    </w:p>
    <w:p w14:paraId="3C33C99C" w14:textId="3A491649" w:rsidR="0099626C" w:rsidRPr="00064BE8" w:rsidRDefault="00C772E1" w:rsidP="007E5CC0">
      <w:pPr>
        <w:spacing w:line="276" w:lineRule="auto"/>
        <w:rPr>
          <w:rFonts w:ascii="Arial" w:hAnsi="Arial" w:cs="Arial"/>
        </w:rPr>
      </w:pPr>
      <w:r w:rsidRPr="00064BE8">
        <w:rPr>
          <w:rFonts w:ascii="Arial" w:hAnsi="Arial" w:cs="Arial"/>
        </w:rPr>
        <w:t xml:space="preserve">UK Legislation (2014) </w:t>
      </w:r>
      <w:r w:rsidRPr="00064BE8">
        <w:rPr>
          <w:rFonts w:ascii="Arial" w:hAnsi="Arial" w:cs="Arial"/>
          <w:i/>
          <w:iCs/>
        </w:rPr>
        <w:t>Care Act 2014</w:t>
      </w:r>
      <w:r w:rsidRPr="00064BE8">
        <w:rPr>
          <w:rFonts w:ascii="Arial" w:hAnsi="Arial" w:cs="Arial"/>
        </w:rPr>
        <w:t xml:space="preserve">. Available at </w:t>
      </w:r>
      <w:hyperlink r:id="rId13" w:history="1">
        <w:r w:rsidRPr="00064BE8">
          <w:rPr>
            <w:rStyle w:val="Hyperlink"/>
            <w:rFonts w:ascii="Arial" w:hAnsi="Arial" w:cs="Arial"/>
          </w:rPr>
          <w:t>https://www.legislation.gov.uk/ukpga/2014/23/contents</w:t>
        </w:r>
      </w:hyperlink>
      <w:r w:rsidRPr="00064BE8">
        <w:rPr>
          <w:rFonts w:ascii="Arial" w:hAnsi="Arial" w:cs="Arial"/>
        </w:rPr>
        <w:t xml:space="preserve"> (Accessed 27/04/2026)</w:t>
      </w:r>
    </w:p>
    <w:sectPr w:rsidR="0099626C" w:rsidRPr="00064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3155A"/>
    <w:multiLevelType w:val="hybridMultilevel"/>
    <w:tmpl w:val="993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7001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E783F97-B6A1-491C-B510-10DC1624DA14}"/>
    <w:docVar w:name="dgnword-eventsink" w:val="2470028950480"/>
  </w:docVars>
  <w:rsids>
    <w:rsidRoot w:val="0099626C"/>
    <w:rsid w:val="00064BE8"/>
    <w:rsid w:val="0020570D"/>
    <w:rsid w:val="003E6F20"/>
    <w:rsid w:val="004473CA"/>
    <w:rsid w:val="004E59F6"/>
    <w:rsid w:val="005A6724"/>
    <w:rsid w:val="007E5CC0"/>
    <w:rsid w:val="007F5DE3"/>
    <w:rsid w:val="008C3126"/>
    <w:rsid w:val="0099626C"/>
    <w:rsid w:val="009D002C"/>
    <w:rsid w:val="00A24445"/>
    <w:rsid w:val="00A81B6F"/>
    <w:rsid w:val="00BC6C65"/>
    <w:rsid w:val="00C23494"/>
    <w:rsid w:val="00C772E1"/>
    <w:rsid w:val="00D61760"/>
    <w:rsid w:val="00DF0A4D"/>
    <w:rsid w:val="00E66D43"/>
    <w:rsid w:val="00F7713C"/>
    <w:rsid w:val="00FB4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DBACB"/>
  <w15:docId w15:val="{1F59E74F-9096-458B-A3CC-AE07C62C3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ptos Display" w:eastAsia="SimSun" w:hAnsi="Aptos Display"/>
      <w:color w:val="2E74B5"/>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ptos Display" w:eastAsia="SimSun" w:hAnsi="Aptos Display"/>
      <w:color w:val="2E74B5"/>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olor w:val="2E74B5"/>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i/>
      <w:iCs/>
      <w:color w:val="2E74B5"/>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olor w:val="2E74B5"/>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olor w:val="595959"/>
    </w:rPr>
  </w:style>
  <w:style w:type="paragraph" w:styleId="Heading8">
    <w:name w:val="heading 8"/>
    <w:basedOn w:val="Normal"/>
    <w:next w:val="Normal"/>
    <w:link w:val="Heading8Char"/>
    <w:uiPriority w:val="9"/>
    <w:qFormat/>
    <w:pPr>
      <w:keepNext/>
      <w:keepLines/>
      <w:spacing w:after="0"/>
      <w:outlineLvl w:val="7"/>
    </w:pPr>
    <w:rPr>
      <w:rFonts w:eastAsia="SimSu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SimSun" w:hAnsi="Aptos Display" w:cs="SimSun"/>
      <w:color w:val="2E74B5"/>
      <w:sz w:val="40"/>
      <w:szCs w:val="40"/>
    </w:rPr>
  </w:style>
  <w:style w:type="character" w:customStyle="1" w:styleId="Heading2Char">
    <w:name w:val="Heading 2 Char"/>
    <w:basedOn w:val="DefaultParagraphFont"/>
    <w:link w:val="Heading2"/>
    <w:uiPriority w:val="9"/>
    <w:rPr>
      <w:rFonts w:ascii="Aptos Display" w:eastAsia="SimSun" w:hAnsi="Aptos Display" w:cs="SimSun"/>
      <w:color w:val="2E74B5"/>
      <w:sz w:val="32"/>
      <w:szCs w:val="32"/>
    </w:rPr>
  </w:style>
  <w:style w:type="character" w:customStyle="1" w:styleId="Heading3Char">
    <w:name w:val="Heading 3 Char"/>
    <w:basedOn w:val="DefaultParagraphFont"/>
    <w:link w:val="Heading3"/>
    <w:uiPriority w:val="9"/>
    <w:rPr>
      <w:rFonts w:eastAsia="SimSun" w:cs="SimSun"/>
      <w:color w:val="2E74B5"/>
      <w:sz w:val="28"/>
      <w:szCs w:val="28"/>
    </w:rPr>
  </w:style>
  <w:style w:type="character" w:customStyle="1" w:styleId="Heading4Char">
    <w:name w:val="Heading 4 Char"/>
    <w:basedOn w:val="DefaultParagraphFont"/>
    <w:link w:val="Heading4"/>
    <w:uiPriority w:val="9"/>
    <w:rPr>
      <w:rFonts w:eastAsia="SimSun" w:cs="SimSun"/>
      <w:i/>
      <w:iCs/>
      <w:color w:val="2E74B5"/>
    </w:rPr>
  </w:style>
  <w:style w:type="character" w:customStyle="1" w:styleId="Heading5Char">
    <w:name w:val="Heading 5 Char"/>
    <w:basedOn w:val="DefaultParagraphFont"/>
    <w:link w:val="Heading5"/>
    <w:uiPriority w:val="9"/>
    <w:rPr>
      <w:rFonts w:eastAsia="SimSun" w:cs="SimSun"/>
      <w:color w:val="2E74B5"/>
    </w:rPr>
  </w:style>
  <w:style w:type="character" w:customStyle="1" w:styleId="Heading6Char">
    <w:name w:val="Heading 6 Char"/>
    <w:basedOn w:val="DefaultParagraphFont"/>
    <w:link w:val="Heading6"/>
    <w:uiPriority w:val="9"/>
    <w:rPr>
      <w:rFonts w:eastAsia="SimSun" w:cs="SimSun"/>
      <w:i/>
      <w:iCs/>
      <w:color w:val="595959"/>
    </w:rPr>
  </w:style>
  <w:style w:type="character" w:customStyle="1" w:styleId="Heading7Char">
    <w:name w:val="Heading 7 Char"/>
    <w:basedOn w:val="DefaultParagraphFont"/>
    <w:link w:val="Heading7"/>
    <w:uiPriority w:val="9"/>
    <w:rPr>
      <w:rFonts w:eastAsia="SimSun" w:cs="SimSun"/>
      <w:color w:val="595959"/>
    </w:rPr>
  </w:style>
  <w:style w:type="character" w:customStyle="1" w:styleId="Heading8Char">
    <w:name w:val="Heading 8 Char"/>
    <w:basedOn w:val="DefaultParagraphFont"/>
    <w:link w:val="Heading8"/>
    <w:uiPriority w:val="9"/>
    <w:rPr>
      <w:rFonts w:eastAsia="SimSun" w:cs="SimSun"/>
      <w:i/>
      <w:iCs/>
      <w:color w:val="272727"/>
    </w:rPr>
  </w:style>
  <w:style w:type="character" w:customStyle="1" w:styleId="Heading9Char">
    <w:name w:val="Heading 9 Char"/>
    <w:basedOn w:val="DefaultParagraphFont"/>
    <w:link w:val="Heading9"/>
    <w:uiPriority w:val="9"/>
    <w:rPr>
      <w:rFonts w:eastAsia="SimSun" w:cs="SimSun"/>
      <w:color w:val="272727"/>
    </w:rPr>
  </w:style>
  <w:style w:type="paragraph" w:styleId="Title">
    <w:name w:val="Title"/>
    <w:basedOn w:val="Normal"/>
    <w:next w:val="Normal"/>
    <w:link w:val="TitleChar"/>
    <w:uiPriority w:val="10"/>
    <w:qFormat/>
    <w:pPr>
      <w:spacing w:after="80" w:line="240" w:lineRule="auto"/>
      <w:contextualSpacing/>
    </w:pPr>
    <w:rPr>
      <w:rFonts w:ascii="Aptos Display" w:eastAsia="SimSun" w:hAnsi="Aptos Display"/>
      <w:spacing w:val="-10"/>
      <w:kern w:val="28"/>
      <w:sz w:val="56"/>
      <w:szCs w:val="56"/>
    </w:rPr>
  </w:style>
  <w:style w:type="character" w:customStyle="1" w:styleId="TitleChar">
    <w:name w:val="Title Char"/>
    <w:basedOn w:val="DefaultParagraphFont"/>
    <w:link w:val="Title"/>
    <w:uiPriority w:val="10"/>
    <w:rPr>
      <w:rFonts w:ascii="Aptos Display" w:eastAsia="SimSun" w:hAnsi="Aptos Display" w:cs="SimSu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olor w:val="595959"/>
      <w:spacing w:val="15"/>
      <w:sz w:val="28"/>
      <w:szCs w:val="28"/>
    </w:rPr>
  </w:style>
  <w:style w:type="character" w:customStyle="1" w:styleId="SubtitleChar">
    <w:name w:val="Subtitle Char"/>
    <w:basedOn w:val="DefaultParagraphFont"/>
    <w:link w:val="Subtitle"/>
    <w:uiPriority w:val="11"/>
    <w:rPr>
      <w:rFonts w:eastAsia="SimSun" w:cs="SimSu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E74B5"/>
    </w:rPr>
  </w:style>
  <w:style w:type="paragraph" w:styleId="IntenseQuote">
    <w:name w:val="Intense Quote"/>
    <w:basedOn w:val="Normal"/>
    <w:next w:val="Normal"/>
    <w:link w:val="IntenseQuoteChar"/>
    <w:uiPriority w:val="30"/>
    <w:qFormat/>
    <w:pPr>
      <w:pBdr>
        <w:top w:val="single" w:sz="4" w:space="10" w:color="2E74B5"/>
        <w:bottom w:val="single" w:sz="4" w:space="10" w:color="2E74B5"/>
      </w:pBdr>
      <w:spacing w:before="360" w:after="360"/>
      <w:ind w:left="864" w:right="864"/>
      <w:jc w:val="center"/>
    </w:pPr>
    <w:rPr>
      <w:i/>
      <w:iCs/>
      <w:color w:val="2E74B5"/>
    </w:rPr>
  </w:style>
  <w:style w:type="character" w:customStyle="1" w:styleId="IntenseQuoteChar">
    <w:name w:val="Intense Quote Char"/>
    <w:basedOn w:val="DefaultParagraphFont"/>
    <w:link w:val="IntenseQuote"/>
    <w:uiPriority w:val="30"/>
    <w:rPr>
      <w:i/>
      <w:iCs/>
      <w:color w:val="2E74B5"/>
    </w:rPr>
  </w:style>
  <w:style w:type="character" w:styleId="IntenseReference">
    <w:name w:val="Intense Reference"/>
    <w:basedOn w:val="DefaultParagraphFont"/>
    <w:uiPriority w:val="32"/>
    <w:qFormat/>
    <w:rPr>
      <w:b/>
      <w:bCs/>
      <w:smallCaps/>
      <w:color w:val="2E74B5"/>
      <w:spacing w:val="5"/>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rsid w:val="00FB4D40"/>
    <w:rPr>
      <w:color w:val="0000FF" w:themeColor="hyperlink"/>
      <w:u w:val="single"/>
    </w:rPr>
  </w:style>
  <w:style w:type="character" w:styleId="UnresolvedMention">
    <w:name w:val="Unresolved Mention"/>
    <w:basedOn w:val="DefaultParagraphFont"/>
    <w:uiPriority w:val="99"/>
    <w:semiHidden/>
    <w:unhideWhenUsed/>
    <w:rsid w:val="00FB4D40"/>
    <w:rPr>
      <w:color w:val="605E5C"/>
      <w:shd w:val="clear" w:color="auto" w:fill="E1DFDD"/>
    </w:rPr>
  </w:style>
  <w:style w:type="paragraph" w:styleId="TOCHeading">
    <w:name w:val="TOC Heading"/>
    <w:basedOn w:val="Heading1"/>
    <w:next w:val="Normal"/>
    <w:uiPriority w:val="39"/>
    <w:unhideWhenUsed/>
    <w:qFormat/>
    <w:rsid w:val="007E5CC0"/>
    <w:pPr>
      <w:spacing w:before="240" w:after="0"/>
      <w:outlineLvl w:val="9"/>
    </w:pPr>
    <w:rPr>
      <w:rFonts w:asciiTheme="majorHAnsi" w:eastAsiaTheme="majorEastAsia" w:hAnsiTheme="majorHAnsi" w:cstheme="majorBidi"/>
      <w:color w:val="365F91" w:themeColor="accent1" w:themeShade="BF"/>
      <w:sz w:val="32"/>
      <w:szCs w:val="32"/>
      <w:lang w:eastAsia="en-GB"/>
    </w:rPr>
  </w:style>
  <w:style w:type="paragraph" w:styleId="TOC2">
    <w:name w:val="toc 2"/>
    <w:basedOn w:val="Normal"/>
    <w:next w:val="Normal"/>
    <w:autoRedefine/>
    <w:uiPriority w:val="39"/>
    <w:unhideWhenUsed/>
    <w:rsid w:val="007E5CC0"/>
    <w:pPr>
      <w:spacing w:after="100"/>
      <w:ind w:left="220"/>
    </w:pPr>
  </w:style>
  <w:style w:type="paragraph" w:styleId="TOC1">
    <w:name w:val="toc 1"/>
    <w:basedOn w:val="Normal"/>
    <w:next w:val="Normal"/>
    <w:autoRedefine/>
    <w:uiPriority w:val="39"/>
    <w:unhideWhenUsed/>
    <w:rsid w:val="00064B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news/increased-funding-for-care-homes-providing-nursing" TargetMode="External"/><Relationship Id="rId13" Type="http://schemas.openxmlformats.org/officeDocument/2006/relationships/hyperlink" Target="https://www.legislation.gov.uk/ukpga/2014/23/contents"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doi.org/10.1002/14651858.CD000072.pub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patient-safety/the-nhs-patient-safety-strateg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long-read/good-communication-with-patients-waiting-for-care/" TargetMode="Externa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E1ABE-7EFD-441C-B0B4-7425A3C4D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1451</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Abdi Ibrahim</dc:creator>
  <cp:lastModifiedBy>Abdifatah Ahmed Ibrahim (2336582)</cp:lastModifiedBy>
  <cp:revision>7</cp:revision>
  <dcterms:created xsi:type="dcterms:W3CDTF">2026-04-13T14:15:00Z</dcterms:created>
  <dcterms:modified xsi:type="dcterms:W3CDTF">2026-04-27T12:53:00Z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6e699535-f501-41fd-81ee-b2e1ba7bbd2a</vt:lpwstr>
  </property>
  <property fmtid="{D5CDD505-2E9C-101B-9397-08002B2CF9AE}" pid="3" name="ICV">
    <vt:lpwstr>48d89370936241e7b6feafda8f50d6a7</vt:lpwstr>
  </property>
</Properties>
</file>