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BA0D9" w14:textId="77777777" w:rsidR="003A7C9A" w:rsidRPr="009C4C27" w:rsidRDefault="003A7C9A">
      <w:pPr>
        <w:pStyle w:val="Default"/>
        <w:suppressAutoHyphens/>
        <w:spacing w:before="0" w:after="298" w:line="240" w:lineRule="auto"/>
        <w:rPr>
          <w:rFonts w:ascii="Times New Roman" w:hAnsi="Times New Roman" w:cs="Times New Roman"/>
          <w:b/>
          <w:bCs/>
          <w:sz w:val="40"/>
          <w:szCs w:val="40"/>
          <w:lang w:val="en-US"/>
        </w:rPr>
      </w:pPr>
    </w:p>
    <w:p w14:paraId="79EA52FB" w14:textId="77777777" w:rsidR="00EF1153" w:rsidRPr="009C4C27" w:rsidRDefault="00EF1153" w:rsidP="00EF1153">
      <w:pPr>
        <w:jc w:val="center"/>
        <w:rPr>
          <w:b/>
          <w:bCs/>
          <w:color w:val="005180" w:themeColor="accent1" w:themeShade="80"/>
          <w:sz w:val="40"/>
          <w:szCs w:val="40"/>
        </w:rPr>
      </w:pPr>
      <w:r w:rsidRPr="009C4C27">
        <w:rPr>
          <w:b/>
          <w:bCs/>
          <w:color w:val="005180" w:themeColor="accent1" w:themeShade="80"/>
          <w:sz w:val="40"/>
          <w:szCs w:val="40"/>
        </w:rPr>
        <w:t>BA</w:t>
      </w:r>
      <w:r w:rsidRPr="009C4C27">
        <w:rPr>
          <w:b/>
          <w:bCs/>
          <w:color w:val="005180" w:themeColor="accent1" w:themeShade="80"/>
          <w:spacing w:val="-7"/>
          <w:sz w:val="40"/>
          <w:szCs w:val="40"/>
        </w:rPr>
        <w:t xml:space="preserve"> </w:t>
      </w:r>
      <w:r w:rsidRPr="009C4C27">
        <w:rPr>
          <w:b/>
          <w:bCs/>
          <w:color w:val="005180" w:themeColor="accent1" w:themeShade="80"/>
          <w:sz w:val="40"/>
          <w:szCs w:val="40"/>
        </w:rPr>
        <w:t>(Hons)</w:t>
      </w:r>
      <w:r w:rsidRPr="009C4C27">
        <w:rPr>
          <w:b/>
          <w:bCs/>
          <w:color w:val="005180" w:themeColor="accent1" w:themeShade="80"/>
          <w:spacing w:val="-7"/>
          <w:sz w:val="40"/>
          <w:szCs w:val="40"/>
        </w:rPr>
        <w:t xml:space="preserve"> </w:t>
      </w:r>
      <w:r w:rsidRPr="009C4C27">
        <w:rPr>
          <w:b/>
          <w:bCs/>
          <w:color w:val="005180" w:themeColor="accent1" w:themeShade="80"/>
          <w:sz w:val="40"/>
          <w:szCs w:val="40"/>
        </w:rPr>
        <w:t>Leadership</w:t>
      </w:r>
      <w:r w:rsidRPr="009C4C27">
        <w:rPr>
          <w:b/>
          <w:bCs/>
          <w:color w:val="005180" w:themeColor="accent1" w:themeShade="80"/>
          <w:spacing w:val="-6"/>
          <w:sz w:val="40"/>
          <w:szCs w:val="40"/>
        </w:rPr>
        <w:t xml:space="preserve"> </w:t>
      </w:r>
      <w:r w:rsidRPr="009C4C27">
        <w:rPr>
          <w:b/>
          <w:bCs/>
          <w:color w:val="005180" w:themeColor="accent1" w:themeShade="80"/>
          <w:sz w:val="40"/>
          <w:szCs w:val="40"/>
        </w:rPr>
        <w:t>and</w:t>
      </w:r>
      <w:r w:rsidRPr="009C4C27">
        <w:rPr>
          <w:b/>
          <w:bCs/>
          <w:color w:val="005180" w:themeColor="accent1" w:themeShade="80"/>
          <w:spacing w:val="-5"/>
          <w:sz w:val="40"/>
          <w:szCs w:val="40"/>
        </w:rPr>
        <w:t xml:space="preserve"> </w:t>
      </w:r>
      <w:r w:rsidRPr="009C4C27">
        <w:rPr>
          <w:b/>
          <w:bCs/>
          <w:color w:val="005180" w:themeColor="accent1" w:themeShade="80"/>
          <w:sz w:val="40"/>
          <w:szCs w:val="40"/>
        </w:rPr>
        <w:t>Management</w:t>
      </w:r>
      <w:r w:rsidRPr="009C4C27">
        <w:rPr>
          <w:b/>
          <w:bCs/>
          <w:color w:val="005180" w:themeColor="accent1" w:themeShade="80"/>
          <w:spacing w:val="-7"/>
          <w:sz w:val="40"/>
          <w:szCs w:val="40"/>
        </w:rPr>
        <w:t xml:space="preserve"> </w:t>
      </w:r>
      <w:r w:rsidRPr="009C4C27">
        <w:rPr>
          <w:b/>
          <w:bCs/>
          <w:color w:val="005180" w:themeColor="accent1" w:themeShade="80"/>
          <w:sz w:val="40"/>
          <w:szCs w:val="40"/>
        </w:rPr>
        <w:t>Skills</w:t>
      </w:r>
      <w:r w:rsidRPr="009C4C27">
        <w:rPr>
          <w:b/>
          <w:bCs/>
          <w:color w:val="005180" w:themeColor="accent1" w:themeShade="80"/>
          <w:spacing w:val="-6"/>
          <w:sz w:val="40"/>
          <w:szCs w:val="40"/>
        </w:rPr>
        <w:t xml:space="preserve"> </w:t>
      </w:r>
      <w:r w:rsidRPr="009C4C27">
        <w:rPr>
          <w:b/>
          <w:bCs/>
          <w:color w:val="005180" w:themeColor="accent1" w:themeShade="80"/>
          <w:sz w:val="40"/>
          <w:szCs w:val="40"/>
        </w:rPr>
        <w:t>for</w:t>
      </w:r>
      <w:r w:rsidRPr="009C4C27">
        <w:rPr>
          <w:b/>
          <w:bCs/>
          <w:color w:val="005180" w:themeColor="accent1" w:themeShade="80"/>
          <w:spacing w:val="-6"/>
          <w:sz w:val="40"/>
          <w:szCs w:val="40"/>
        </w:rPr>
        <w:t xml:space="preserve"> </w:t>
      </w:r>
      <w:r w:rsidRPr="009C4C27">
        <w:rPr>
          <w:b/>
          <w:bCs/>
          <w:color w:val="005180" w:themeColor="accent1" w:themeShade="80"/>
          <w:sz w:val="40"/>
          <w:szCs w:val="40"/>
        </w:rPr>
        <w:t>the</w:t>
      </w:r>
      <w:r w:rsidRPr="009C4C27">
        <w:rPr>
          <w:b/>
          <w:bCs/>
          <w:color w:val="005180" w:themeColor="accent1" w:themeShade="80"/>
          <w:spacing w:val="-5"/>
          <w:sz w:val="40"/>
          <w:szCs w:val="40"/>
        </w:rPr>
        <w:t xml:space="preserve"> </w:t>
      </w:r>
      <w:r w:rsidRPr="009C4C27">
        <w:rPr>
          <w:b/>
          <w:bCs/>
          <w:color w:val="005180" w:themeColor="accent1" w:themeShade="80"/>
          <w:spacing w:val="-2"/>
          <w:sz w:val="40"/>
          <w:szCs w:val="40"/>
        </w:rPr>
        <w:t>Workplace</w:t>
      </w:r>
    </w:p>
    <w:p w14:paraId="2D7E58ED" w14:textId="77777777" w:rsidR="00EF1153" w:rsidRPr="009C4C27" w:rsidRDefault="00EF1153" w:rsidP="00EF1153">
      <w:pPr>
        <w:rPr>
          <w:sz w:val="40"/>
          <w:szCs w:val="40"/>
        </w:rPr>
      </w:pPr>
    </w:p>
    <w:p w14:paraId="63264BBF" w14:textId="77777777" w:rsidR="00EF1153" w:rsidRPr="009C4C27" w:rsidRDefault="00EF1153" w:rsidP="00EF1153">
      <w:pPr>
        <w:jc w:val="center"/>
        <w:rPr>
          <w:sz w:val="40"/>
          <w:szCs w:val="40"/>
        </w:rPr>
      </w:pPr>
      <w:r w:rsidRPr="009C4C27">
        <w:rPr>
          <w:noProof/>
          <w:sz w:val="40"/>
          <w:szCs w:val="40"/>
        </w:rPr>
        <w:drawing>
          <wp:inline distT="0" distB="0" distL="0" distR="0" wp14:anchorId="5442AB5A" wp14:editId="1CB47097">
            <wp:extent cx="1238637" cy="1067132"/>
            <wp:effectExtent l="0" t="0" r="0" b="0"/>
            <wp:docPr id="328072266" name="Picture 5" descr="University of Wales Trinity Saint David - Wikip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238637" cy="1067132"/>
                    </a:xfrm>
                    <a:prstGeom prst="rect">
                      <a:avLst/>
                    </a:prstGeom>
                    <a:noFill/>
                    <a:ln>
                      <a:noFill/>
                      <a:prstDash/>
                    </a:ln>
                  </pic:spPr>
                </pic:pic>
              </a:graphicData>
            </a:graphic>
          </wp:inline>
        </w:drawing>
      </w:r>
    </w:p>
    <w:p w14:paraId="4F34BB72" w14:textId="77777777" w:rsidR="00EF1153" w:rsidRPr="00437EC7" w:rsidRDefault="00EF1153" w:rsidP="00EF1153">
      <w:pPr>
        <w:jc w:val="center"/>
        <w:rPr>
          <w:b/>
          <w:bCs/>
          <w:color w:val="005180" w:themeColor="accent1" w:themeShade="80"/>
          <w:sz w:val="36"/>
          <w:szCs w:val="36"/>
        </w:rPr>
      </w:pPr>
      <w:r w:rsidRPr="009C4C27">
        <w:rPr>
          <w:color w:val="005180" w:themeColor="accent1" w:themeShade="80"/>
          <w:sz w:val="40"/>
          <w:szCs w:val="40"/>
          <w:shd w:val="clear" w:color="auto" w:fill="FFFFFF"/>
        </w:rPr>
        <w:t>Program:</w:t>
      </w:r>
      <w:r w:rsidRPr="009C4C27">
        <w:rPr>
          <w:b/>
          <w:bCs/>
          <w:color w:val="005180" w:themeColor="accent1" w:themeShade="80"/>
          <w:sz w:val="40"/>
          <w:szCs w:val="40"/>
          <w:shd w:val="clear" w:color="auto" w:fill="FFFFFF"/>
        </w:rPr>
        <w:t xml:space="preserve"> </w:t>
      </w:r>
      <w:r w:rsidRPr="00437EC7">
        <w:rPr>
          <w:b/>
          <w:bCs/>
          <w:color w:val="005180" w:themeColor="accent1" w:themeShade="80"/>
          <w:sz w:val="36"/>
          <w:szCs w:val="36"/>
          <w:shd w:val="clear" w:color="auto" w:fill="FFFFFF"/>
        </w:rPr>
        <w:t xml:space="preserve">LEADING AND IMPLEMENTING CHANGE  </w:t>
      </w:r>
    </w:p>
    <w:p w14:paraId="3507F52F" w14:textId="77777777" w:rsidR="00EF1153" w:rsidRPr="00437EC7" w:rsidRDefault="00EF1153" w:rsidP="00EF1153">
      <w:pPr>
        <w:jc w:val="center"/>
        <w:rPr>
          <w:b/>
          <w:bCs/>
          <w:color w:val="005180" w:themeColor="accent1" w:themeShade="80"/>
          <w:sz w:val="36"/>
          <w:szCs w:val="36"/>
        </w:rPr>
      </w:pPr>
      <w:r w:rsidRPr="00437EC7">
        <w:rPr>
          <w:b/>
          <w:bCs/>
          <w:color w:val="005180" w:themeColor="accent1" w:themeShade="80"/>
          <w:sz w:val="36"/>
          <w:szCs w:val="36"/>
          <w:shd w:val="clear" w:color="auto" w:fill="FFFFFF"/>
        </w:rPr>
        <w:t xml:space="preserve">Module: (LCLM 6003) </w:t>
      </w:r>
    </w:p>
    <w:p w14:paraId="0D55CDB7" w14:textId="77777777" w:rsidR="00EF1153" w:rsidRPr="009C4C27" w:rsidRDefault="00EF1153" w:rsidP="00EF1153">
      <w:pPr>
        <w:rPr>
          <w:color w:val="005180" w:themeColor="accent1" w:themeShade="80"/>
          <w:sz w:val="40"/>
          <w:szCs w:val="40"/>
        </w:rPr>
      </w:pPr>
    </w:p>
    <w:p w14:paraId="240B0C99" w14:textId="77777777" w:rsidR="00B93D9F" w:rsidRPr="009C4C27" w:rsidRDefault="00B93D9F" w:rsidP="00EF1153">
      <w:pPr>
        <w:pStyle w:val="Default"/>
        <w:suppressAutoHyphens/>
        <w:spacing w:before="0" w:after="160" w:line="360" w:lineRule="auto"/>
        <w:jc w:val="center"/>
        <w:rPr>
          <w:rFonts w:ascii="Times New Roman" w:hAnsi="Times New Roman" w:cs="Times New Roman"/>
          <w:sz w:val="40"/>
          <w:szCs w:val="40"/>
        </w:rPr>
      </w:pPr>
    </w:p>
    <w:p w14:paraId="2FC19D74" w14:textId="30541088" w:rsidR="00EF1153" w:rsidRPr="009C4C27" w:rsidRDefault="00EF1153" w:rsidP="00EF1153">
      <w:pPr>
        <w:pStyle w:val="Default"/>
        <w:suppressAutoHyphens/>
        <w:spacing w:before="0" w:after="160" w:line="360" w:lineRule="auto"/>
        <w:jc w:val="center"/>
        <w:rPr>
          <w:rFonts w:ascii="Times New Roman" w:eastAsia="Helvetica" w:hAnsi="Times New Roman" w:cs="Times New Roman"/>
          <w:sz w:val="40"/>
          <w:szCs w:val="40"/>
        </w:rPr>
      </w:pPr>
      <w:r w:rsidRPr="00437EC7">
        <w:rPr>
          <w:rFonts w:ascii="Times New Roman" w:hAnsi="Times New Roman" w:cs="Times New Roman"/>
          <w:sz w:val="40"/>
          <w:szCs w:val="40"/>
        </w:rPr>
        <w:t>REPORT TITLE</w:t>
      </w:r>
      <w:r w:rsidRPr="009C4C27">
        <w:rPr>
          <w:rFonts w:ascii="Times New Roman" w:hAnsi="Times New Roman" w:cs="Times New Roman"/>
          <w:sz w:val="40"/>
          <w:szCs w:val="40"/>
        </w:rPr>
        <w:t>:</w:t>
      </w:r>
      <w:r w:rsidRPr="009C4C27">
        <w:rPr>
          <w:rFonts w:ascii="Times New Roman" w:hAnsi="Times New Roman" w:cs="Times New Roman"/>
          <w:b/>
          <w:bCs/>
          <w:sz w:val="40"/>
          <w:szCs w:val="40"/>
        </w:rPr>
        <w:t xml:space="preserve"> STRATEGIC CHANGE PLAN AT HSBC</w:t>
      </w:r>
    </w:p>
    <w:p w14:paraId="31C238EB" w14:textId="77777777" w:rsidR="00EF1153" w:rsidRPr="009C4C27" w:rsidRDefault="00EF1153" w:rsidP="00EF1153">
      <w:pPr>
        <w:jc w:val="center"/>
        <w:rPr>
          <w:sz w:val="40"/>
          <w:szCs w:val="40"/>
          <w:lang w:val="de-DE"/>
        </w:rPr>
      </w:pPr>
    </w:p>
    <w:p w14:paraId="399FCDB4" w14:textId="77777777" w:rsidR="00EF1153" w:rsidRPr="009C4C27" w:rsidRDefault="00EF1153" w:rsidP="00437EC7">
      <w:pPr>
        <w:rPr>
          <w:sz w:val="40"/>
          <w:szCs w:val="40"/>
          <w:lang w:val="de-DE"/>
        </w:rPr>
      </w:pPr>
    </w:p>
    <w:p w14:paraId="030E57AE" w14:textId="77777777" w:rsidR="00EF1153" w:rsidRPr="009C4C27" w:rsidRDefault="00EF1153" w:rsidP="00EF1153">
      <w:pPr>
        <w:rPr>
          <w:rFonts w:eastAsia="Aptos"/>
          <w:sz w:val="40"/>
          <w:szCs w:val="40"/>
        </w:rPr>
      </w:pPr>
    </w:p>
    <w:p w14:paraId="58466C8D" w14:textId="1A72F1C4" w:rsidR="00EF1153" w:rsidRPr="009C4C27" w:rsidRDefault="00EF1153" w:rsidP="00EF1153">
      <w:pPr>
        <w:jc w:val="center"/>
        <w:rPr>
          <w:b/>
          <w:bCs/>
          <w:sz w:val="40"/>
          <w:szCs w:val="40"/>
        </w:rPr>
      </w:pPr>
      <w:r w:rsidRPr="009C4C27">
        <w:rPr>
          <w:rFonts w:eastAsia="Aptos"/>
          <w:sz w:val="40"/>
          <w:szCs w:val="40"/>
        </w:rPr>
        <w:t xml:space="preserve">Lecturer’s name: </w:t>
      </w:r>
      <w:r w:rsidRPr="009C4C27">
        <w:rPr>
          <w:b/>
          <w:bCs/>
          <w:sz w:val="40"/>
          <w:szCs w:val="40"/>
        </w:rPr>
        <w:t>DR MUHAMMAD HASAN TARIQ</w:t>
      </w:r>
    </w:p>
    <w:p w14:paraId="20BF3BDD" w14:textId="77777777" w:rsidR="00EF1153" w:rsidRPr="009C4C27" w:rsidRDefault="00EF1153" w:rsidP="00EF1153">
      <w:pPr>
        <w:jc w:val="center"/>
        <w:rPr>
          <w:sz w:val="40"/>
          <w:szCs w:val="40"/>
        </w:rPr>
      </w:pPr>
    </w:p>
    <w:p w14:paraId="63684135" w14:textId="77777777" w:rsidR="00EF1153" w:rsidRPr="009C4C27" w:rsidRDefault="00EF1153" w:rsidP="00EF1153">
      <w:pPr>
        <w:rPr>
          <w:sz w:val="40"/>
          <w:szCs w:val="40"/>
        </w:rPr>
      </w:pPr>
    </w:p>
    <w:p w14:paraId="3A682D42" w14:textId="118B0400" w:rsidR="00EF1153" w:rsidRPr="00437EC7" w:rsidRDefault="00EF1153" w:rsidP="00437EC7">
      <w:pPr>
        <w:jc w:val="center"/>
        <w:rPr>
          <w:sz w:val="40"/>
          <w:szCs w:val="40"/>
        </w:rPr>
      </w:pPr>
      <w:r w:rsidRPr="009C4C27">
        <w:rPr>
          <w:sz w:val="40"/>
          <w:szCs w:val="40"/>
          <w:shd w:val="clear" w:color="auto" w:fill="FFFFFF"/>
        </w:rPr>
        <w:t xml:space="preserve">Student name and number: </w:t>
      </w:r>
      <w:r w:rsidRPr="009C4C27">
        <w:rPr>
          <w:b/>
          <w:bCs/>
          <w:sz w:val="40"/>
          <w:szCs w:val="40"/>
          <w:shd w:val="clear" w:color="auto" w:fill="FFFFFF"/>
        </w:rPr>
        <w:t>Rita Roberts - 224727</w:t>
      </w:r>
    </w:p>
    <w:p w14:paraId="29FFC76B" w14:textId="77777777" w:rsidR="00EF1153" w:rsidRPr="009C4C27" w:rsidRDefault="00EF1153" w:rsidP="00EF1153">
      <w:pPr>
        <w:rPr>
          <w:rFonts w:eastAsia="Times New Roman"/>
          <w:sz w:val="40"/>
          <w:szCs w:val="40"/>
          <w:lang w:eastAsia="en-GB"/>
        </w:rPr>
      </w:pPr>
    </w:p>
    <w:p w14:paraId="1C4E5EB2" w14:textId="77777777" w:rsidR="00EF1153" w:rsidRPr="009C4C27" w:rsidRDefault="00EF1153" w:rsidP="00EF1153">
      <w:pPr>
        <w:rPr>
          <w:rFonts w:eastAsia="Times New Roman"/>
          <w:sz w:val="40"/>
          <w:szCs w:val="40"/>
          <w:lang w:eastAsia="en-GB"/>
        </w:rPr>
      </w:pPr>
    </w:p>
    <w:p w14:paraId="05938D56" w14:textId="77777777" w:rsidR="00EF1153" w:rsidRPr="009C4C27" w:rsidRDefault="00EF1153" w:rsidP="00EF1153">
      <w:pPr>
        <w:jc w:val="center"/>
        <w:rPr>
          <w:sz w:val="40"/>
          <w:szCs w:val="40"/>
        </w:rPr>
      </w:pPr>
      <w:r w:rsidRPr="009C4C27">
        <w:rPr>
          <w:noProof/>
          <w:sz w:val="40"/>
          <w:szCs w:val="40"/>
        </w:rPr>
        <w:drawing>
          <wp:inline distT="0" distB="0" distL="0" distR="0" wp14:anchorId="515022FA" wp14:editId="0A5AADA9">
            <wp:extent cx="1438296" cy="1190640"/>
            <wp:effectExtent l="0" t="0" r="9504" b="9510"/>
            <wp:docPr id="1257965737" name="Picture 1" descr="UWTSDLondon (@UWTSDLondon) / X"/>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438296" cy="1190640"/>
                    </a:xfrm>
                    <a:prstGeom prst="rect">
                      <a:avLst/>
                    </a:prstGeom>
                    <a:noFill/>
                    <a:ln>
                      <a:noFill/>
                      <a:prstDash/>
                    </a:ln>
                  </pic:spPr>
                </pic:pic>
              </a:graphicData>
            </a:graphic>
          </wp:inline>
        </w:drawing>
      </w:r>
    </w:p>
    <w:p w14:paraId="08A1D857" w14:textId="77777777" w:rsidR="00EF1153" w:rsidRPr="009C4C27" w:rsidRDefault="00EF1153" w:rsidP="00EF1153">
      <w:pPr>
        <w:rPr>
          <w:sz w:val="40"/>
          <w:szCs w:val="40"/>
        </w:rPr>
      </w:pPr>
    </w:p>
    <w:p w14:paraId="43F528A5" w14:textId="77777777" w:rsidR="00EF1153" w:rsidRPr="009C4C27" w:rsidRDefault="00EF1153" w:rsidP="00EF1153">
      <w:pPr>
        <w:rPr>
          <w:sz w:val="40"/>
          <w:szCs w:val="40"/>
        </w:rPr>
      </w:pPr>
    </w:p>
    <w:p w14:paraId="2F250DC5" w14:textId="77777777" w:rsidR="00EF1153" w:rsidRPr="009C4C27" w:rsidRDefault="00EF1153" w:rsidP="00EF1153">
      <w:pPr>
        <w:rPr>
          <w:sz w:val="40"/>
          <w:szCs w:val="40"/>
        </w:rPr>
      </w:pPr>
    </w:p>
    <w:p w14:paraId="3B8E1183" w14:textId="77777777" w:rsidR="00EF1153" w:rsidRPr="009C4C27" w:rsidRDefault="00EF1153" w:rsidP="00EF1153">
      <w:pPr>
        <w:pStyle w:val="Default"/>
        <w:suppressAutoHyphens/>
        <w:spacing w:before="0" w:after="160" w:line="240" w:lineRule="auto"/>
        <w:jc w:val="center"/>
        <w:rPr>
          <w:rFonts w:ascii="Times New Roman" w:hAnsi="Times New Roman" w:cs="Times New Roman"/>
          <w:b/>
          <w:bCs/>
          <w:sz w:val="40"/>
          <w:szCs w:val="40"/>
        </w:rPr>
      </w:pPr>
    </w:p>
    <w:p w14:paraId="2B1083A5" w14:textId="77777777" w:rsidR="00D103A7" w:rsidRPr="009C4C27" w:rsidRDefault="00D103A7" w:rsidP="009C4C27">
      <w:pPr>
        <w:pStyle w:val="Default"/>
        <w:suppressAutoHyphens/>
        <w:spacing w:before="0" w:after="298" w:line="360" w:lineRule="auto"/>
        <w:jc w:val="both"/>
        <w:rPr>
          <w:rFonts w:ascii="Times New Roman" w:eastAsia="Times New Roman" w:hAnsi="Times New Roman" w:cs="Times New Roman"/>
          <w:b/>
          <w:bCs/>
          <w:sz w:val="24"/>
          <w:szCs w:val="24"/>
        </w:rPr>
      </w:pPr>
      <w:r w:rsidRPr="009C4C27">
        <w:rPr>
          <w:rFonts w:ascii="Times New Roman" w:hAnsi="Times New Roman" w:cs="Times New Roman"/>
          <w:b/>
          <w:bCs/>
          <w:sz w:val="24"/>
          <w:szCs w:val="24"/>
          <w:lang w:val="en-US"/>
        </w:rPr>
        <w:t>Abstract</w:t>
      </w:r>
    </w:p>
    <w:p w14:paraId="2F3830A7" w14:textId="77777777" w:rsidR="00522F65" w:rsidRPr="009C4C27" w:rsidRDefault="00522F65" w:rsidP="009C4C27">
      <w:pPr>
        <w:pStyle w:val="Default"/>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This report critically evaluates the strategic change initiatives undertaken by HSBC in response to accelerating technological disruption, intensifying competition from fintech firms, evolving customer expectations, and increasing regulatory complexity. It examines HSBC</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xml:space="preserve">s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context and analyses key internal and external environmental pressures influencing its transformation agenda. Established change management frameworks, including Kotter</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s 8-Step Change Model and the McKinsey 7S Framework, are applied to assess the effectiveness of HSBC</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xml:space="preserve">s approach to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change, leadership alignment, and cultural adaptation. </w:t>
      </w:r>
      <w:proofErr w:type="gramStart"/>
      <w:r w:rsidRPr="009C4C27">
        <w:rPr>
          <w:rFonts w:ascii="Times New Roman" w:hAnsi="Times New Roman" w:cs="Times New Roman"/>
          <w:sz w:val="24"/>
          <w:szCs w:val="24"/>
          <w:lang w:val="en-US"/>
        </w:rPr>
        <w:t>Particular emphasis</w:t>
      </w:r>
      <w:proofErr w:type="gramEnd"/>
      <w:r w:rsidRPr="009C4C27">
        <w:rPr>
          <w:rFonts w:ascii="Times New Roman" w:hAnsi="Times New Roman" w:cs="Times New Roman"/>
          <w:sz w:val="24"/>
          <w:szCs w:val="24"/>
          <w:lang w:val="en-US"/>
        </w:rPr>
        <w:t xml:space="preserve"> is placed on the role of leadership in driving transformation through effective communication, employee engagement, and the promotion of a digital-first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culture.</w:t>
      </w:r>
    </w:p>
    <w:p w14:paraId="19AF560E" w14:textId="77777777" w:rsidR="00522F65" w:rsidRPr="009C4C27" w:rsidRDefault="00522F65" w:rsidP="009C4C27">
      <w:pPr>
        <w:pStyle w:val="Default"/>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 xml:space="preserve">Building on this analysis, the report proposes a comprehensive strategic change management plan </w:t>
      </w:r>
      <w:proofErr w:type="spellStart"/>
      <w:r w:rsidRPr="009C4C27">
        <w:rPr>
          <w:rFonts w:ascii="Times New Roman" w:hAnsi="Times New Roman" w:cs="Times New Roman"/>
          <w:sz w:val="24"/>
          <w:szCs w:val="24"/>
          <w:lang w:val="en-US"/>
        </w:rPr>
        <w:t>centred</w:t>
      </w:r>
      <w:proofErr w:type="spellEnd"/>
      <w:r w:rsidRPr="009C4C27">
        <w:rPr>
          <w:rFonts w:ascii="Times New Roman" w:hAnsi="Times New Roman" w:cs="Times New Roman"/>
          <w:sz w:val="24"/>
          <w:szCs w:val="24"/>
          <w:lang w:val="en-US"/>
        </w:rPr>
        <w:t xml:space="preserve"> on the implementation of an AI-driven digital banking ecosystem. The proposed strategy aims to enhance operational efficiency, improve customer experience, strengthen cybersecurity capabilities, and reinforce HSBC</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xml:space="preserve">s competitive position in the global banking sector. The plan is supported by detailed SWOT and PESTLE analyses, a structured financial investment plan, a targeted communication strategy, and clear evaluation mechanisms. The findings indicate that while HSBC faces significant internal and external challenges, long-term success depends on strategic alignment, technological innovation, workforce upskilling, and continuous change management. The report concludes with recommendations focused on accelerating digital transformation, strengthening cyber resilience, and enhancing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agility to ensure sustained competitiveness.</w:t>
      </w:r>
    </w:p>
    <w:p w14:paraId="5C418181" w14:textId="77777777" w:rsidR="00D103A7" w:rsidRPr="009C4C27" w:rsidRDefault="00D103A7" w:rsidP="009C4C27">
      <w:pPr>
        <w:pStyle w:val="Default"/>
        <w:suppressAutoHyphens/>
        <w:spacing w:before="0" w:after="298" w:line="360" w:lineRule="auto"/>
        <w:jc w:val="both"/>
        <w:rPr>
          <w:rFonts w:ascii="Times New Roman" w:hAnsi="Times New Roman" w:cs="Times New Roman"/>
          <w:b/>
          <w:bCs/>
          <w:sz w:val="24"/>
          <w:szCs w:val="24"/>
        </w:rPr>
      </w:pPr>
    </w:p>
    <w:p w14:paraId="00052705" w14:textId="77777777" w:rsidR="00162128" w:rsidRDefault="00162128" w:rsidP="009C4C27">
      <w:pPr>
        <w:pStyle w:val="Default"/>
        <w:suppressAutoHyphens/>
        <w:spacing w:before="0" w:after="298" w:line="360" w:lineRule="auto"/>
        <w:jc w:val="both"/>
        <w:rPr>
          <w:rFonts w:ascii="Times New Roman" w:hAnsi="Times New Roman" w:cs="Times New Roman"/>
          <w:b/>
          <w:bCs/>
          <w:sz w:val="24"/>
          <w:szCs w:val="24"/>
          <w:lang w:val="en-US"/>
        </w:rPr>
      </w:pPr>
    </w:p>
    <w:p w14:paraId="7C2A4B57" w14:textId="77777777" w:rsidR="00333D06" w:rsidRDefault="00333D06" w:rsidP="009C4C27">
      <w:pPr>
        <w:pStyle w:val="Default"/>
        <w:suppressAutoHyphens/>
        <w:spacing w:before="0" w:after="298" w:line="360" w:lineRule="auto"/>
        <w:jc w:val="both"/>
        <w:rPr>
          <w:rFonts w:ascii="Times New Roman" w:hAnsi="Times New Roman" w:cs="Times New Roman"/>
          <w:b/>
          <w:bCs/>
          <w:sz w:val="24"/>
          <w:szCs w:val="24"/>
          <w:lang w:val="en-US"/>
        </w:rPr>
      </w:pPr>
    </w:p>
    <w:p w14:paraId="7943A4B5" w14:textId="77777777" w:rsidR="00333D06" w:rsidRDefault="00333D06" w:rsidP="009C4C27">
      <w:pPr>
        <w:pStyle w:val="Default"/>
        <w:suppressAutoHyphens/>
        <w:spacing w:before="0" w:after="298" w:line="360" w:lineRule="auto"/>
        <w:jc w:val="both"/>
        <w:rPr>
          <w:rFonts w:ascii="Times New Roman" w:hAnsi="Times New Roman" w:cs="Times New Roman"/>
          <w:b/>
          <w:bCs/>
          <w:sz w:val="24"/>
          <w:szCs w:val="24"/>
          <w:lang w:val="en-US"/>
        </w:rPr>
      </w:pPr>
    </w:p>
    <w:p w14:paraId="6CE82E45" w14:textId="77777777" w:rsidR="00333D06" w:rsidRDefault="00333D06" w:rsidP="009C4C27">
      <w:pPr>
        <w:pStyle w:val="Default"/>
        <w:suppressAutoHyphens/>
        <w:spacing w:before="0" w:after="298" w:line="360" w:lineRule="auto"/>
        <w:jc w:val="both"/>
        <w:rPr>
          <w:rFonts w:ascii="Times New Roman" w:hAnsi="Times New Roman" w:cs="Times New Roman"/>
          <w:b/>
          <w:bCs/>
          <w:sz w:val="24"/>
          <w:szCs w:val="24"/>
          <w:lang w:val="en-US"/>
        </w:rPr>
      </w:pPr>
    </w:p>
    <w:p w14:paraId="24FDA193" w14:textId="77777777" w:rsidR="00333D06" w:rsidRPr="009C4C27" w:rsidRDefault="00333D06" w:rsidP="009C4C27">
      <w:pPr>
        <w:pStyle w:val="Default"/>
        <w:suppressAutoHyphens/>
        <w:spacing w:before="0" w:after="298" w:line="360" w:lineRule="auto"/>
        <w:jc w:val="both"/>
        <w:rPr>
          <w:rFonts w:ascii="Times New Roman" w:hAnsi="Times New Roman" w:cs="Times New Roman"/>
          <w:b/>
          <w:bCs/>
          <w:sz w:val="24"/>
          <w:szCs w:val="24"/>
          <w:lang w:val="en-US"/>
        </w:rPr>
      </w:pPr>
    </w:p>
    <w:sdt>
      <w:sdtPr>
        <w:rPr>
          <w:rFonts w:ascii="Times New Roman" w:eastAsia="Arial Unicode MS" w:hAnsi="Times New Roman" w:cs="Times New Roman"/>
          <w:color w:val="auto"/>
          <w:sz w:val="24"/>
          <w:szCs w:val="24"/>
          <w:bdr w:val="nil"/>
          <w:lang w:val="en-US" w:eastAsia="en-US"/>
        </w:rPr>
        <w:id w:val="-1660218567"/>
        <w:docPartObj>
          <w:docPartGallery w:val="Table of Contents"/>
          <w:docPartUnique/>
        </w:docPartObj>
      </w:sdtPr>
      <w:sdtEndPr>
        <w:rPr>
          <w:b/>
          <w:bCs/>
        </w:rPr>
      </w:sdtEndPr>
      <w:sdtContent>
        <w:p w14:paraId="79968F2E" w14:textId="0B5171C4" w:rsidR="008E3819" w:rsidRPr="00B06D1D" w:rsidRDefault="008E3819" w:rsidP="009C4C27">
          <w:pPr>
            <w:pStyle w:val="TOCHeading"/>
            <w:spacing w:line="360" w:lineRule="auto"/>
            <w:jc w:val="both"/>
            <w:rPr>
              <w:rFonts w:ascii="Times New Roman" w:hAnsi="Times New Roman" w:cs="Times New Roman"/>
              <w:color w:val="auto"/>
              <w:sz w:val="28"/>
              <w:szCs w:val="28"/>
            </w:rPr>
          </w:pPr>
          <w:r w:rsidRPr="00B06D1D">
            <w:rPr>
              <w:rFonts w:ascii="Times New Roman" w:hAnsi="Times New Roman" w:cs="Times New Roman"/>
              <w:color w:val="auto"/>
              <w:sz w:val="28"/>
              <w:szCs w:val="28"/>
            </w:rPr>
            <w:t>Contents</w:t>
          </w:r>
        </w:p>
        <w:p w14:paraId="0022394D" w14:textId="77777777" w:rsidR="00A53049" w:rsidRPr="00B06D1D" w:rsidRDefault="00A53049" w:rsidP="009C4C27">
          <w:pPr>
            <w:spacing w:line="360" w:lineRule="auto"/>
            <w:jc w:val="both"/>
            <w:rPr>
              <w:lang w:val="en-GB" w:eastAsia="en-GB"/>
            </w:rPr>
          </w:pPr>
        </w:p>
        <w:p w14:paraId="011BD7AF" w14:textId="19B9A995" w:rsidR="004937B9" w:rsidRPr="00B06D1D" w:rsidRDefault="008E381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r w:rsidRPr="00B06D1D">
            <w:fldChar w:fldCharType="begin"/>
          </w:r>
          <w:r w:rsidRPr="00B06D1D">
            <w:instrText xml:space="preserve"> TOC \o "1-3" \h \z \u </w:instrText>
          </w:r>
          <w:r w:rsidRPr="00B06D1D">
            <w:fldChar w:fldCharType="separate"/>
          </w:r>
          <w:hyperlink w:anchor="_Toc216911236" w:history="1">
            <w:r w:rsidR="004937B9" w:rsidRPr="00B06D1D">
              <w:rPr>
                <w:rStyle w:val="Hyperlink"/>
                <w:noProof/>
                <w:lang w:val="fr-FR"/>
              </w:rPr>
              <w:t>1. Introduction</w:t>
            </w:r>
            <w:r w:rsidR="004937B9" w:rsidRPr="00B06D1D">
              <w:rPr>
                <w:noProof/>
                <w:webHidden/>
              </w:rPr>
              <w:tab/>
            </w:r>
            <w:r w:rsidR="004937B9" w:rsidRPr="00B06D1D">
              <w:rPr>
                <w:noProof/>
                <w:webHidden/>
              </w:rPr>
              <w:fldChar w:fldCharType="begin"/>
            </w:r>
            <w:r w:rsidR="004937B9" w:rsidRPr="00B06D1D">
              <w:rPr>
                <w:noProof/>
                <w:webHidden/>
              </w:rPr>
              <w:instrText xml:space="preserve"> PAGEREF _Toc216911236 \h </w:instrText>
            </w:r>
            <w:r w:rsidR="004937B9" w:rsidRPr="00B06D1D">
              <w:rPr>
                <w:noProof/>
                <w:webHidden/>
              </w:rPr>
            </w:r>
            <w:r w:rsidR="004937B9" w:rsidRPr="00B06D1D">
              <w:rPr>
                <w:noProof/>
                <w:webHidden/>
              </w:rPr>
              <w:fldChar w:fldCharType="separate"/>
            </w:r>
            <w:r w:rsidR="004937B9" w:rsidRPr="00B06D1D">
              <w:rPr>
                <w:noProof/>
                <w:webHidden/>
              </w:rPr>
              <w:t>4</w:t>
            </w:r>
            <w:r w:rsidR="004937B9" w:rsidRPr="00B06D1D">
              <w:rPr>
                <w:noProof/>
                <w:webHidden/>
              </w:rPr>
              <w:fldChar w:fldCharType="end"/>
            </w:r>
          </w:hyperlink>
        </w:p>
        <w:p w14:paraId="242E0B20" w14:textId="06DC77B0"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37" w:history="1">
            <w:r w:rsidRPr="00B06D1D">
              <w:rPr>
                <w:rStyle w:val="Hyperlink"/>
                <w:noProof/>
                <w:lang w:val="fr-FR"/>
              </w:rPr>
              <w:t>2. HSBC and Environmental Changes</w:t>
            </w:r>
            <w:r w:rsidRPr="00B06D1D">
              <w:rPr>
                <w:noProof/>
                <w:webHidden/>
              </w:rPr>
              <w:tab/>
            </w:r>
            <w:r w:rsidRPr="00B06D1D">
              <w:rPr>
                <w:noProof/>
                <w:webHidden/>
              </w:rPr>
              <w:fldChar w:fldCharType="begin"/>
            </w:r>
            <w:r w:rsidRPr="00B06D1D">
              <w:rPr>
                <w:noProof/>
                <w:webHidden/>
              </w:rPr>
              <w:instrText xml:space="preserve"> PAGEREF _Toc216911237 \h </w:instrText>
            </w:r>
            <w:r w:rsidRPr="00B06D1D">
              <w:rPr>
                <w:noProof/>
                <w:webHidden/>
              </w:rPr>
            </w:r>
            <w:r w:rsidRPr="00B06D1D">
              <w:rPr>
                <w:noProof/>
                <w:webHidden/>
              </w:rPr>
              <w:fldChar w:fldCharType="separate"/>
            </w:r>
            <w:r w:rsidRPr="00B06D1D">
              <w:rPr>
                <w:noProof/>
                <w:webHidden/>
              </w:rPr>
              <w:t>4</w:t>
            </w:r>
            <w:r w:rsidRPr="00B06D1D">
              <w:rPr>
                <w:noProof/>
                <w:webHidden/>
              </w:rPr>
              <w:fldChar w:fldCharType="end"/>
            </w:r>
          </w:hyperlink>
        </w:p>
        <w:p w14:paraId="156D8719" w14:textId="0ECA7127"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38" w:history="1">
            <w:r w:rsidRPr="00B06D1D">
              <w:rPr>
                <w:rStyle w:val="Hyperlink"/>
                <w:noProof/>
                <w:lang w:val="fr-FR"/>
              </w:rPr>
              <w:t>SWOT Analysis HSBC (Internal &amp; External)</w:t>
            </w:r>
            <w:r w:rsidRPr="00B06D1D">
              <w:rPr>
                <w:noProof/>
                <w:webHidden/>
              </w:rPr>
              <w:tab/>
            </w:r>
            <w:r w:rsidRPr="00B06D1D">
              <w:rPr>
                <w:noProof/>
                <w:webHidden/>
              </w:rPr>
              <w:fldChar w:fldCharType="begin"/>
            </w:r>
            <w:r w:rsidRPr="00B06D1D">
              <w:rPr>
                <w:noProof/>
                <w:webHidden/>
              </w:rPr>
              <w:instrText xml:space="preserve"> PAGEREF _Toc216911238 \h </w:instrText>
            </w:r>
            <w:r w:rsidRPr="00B06D1D">
              <w:rPr>
                <w:noProof/>
                <w:webHidden/>
              </w:rPr>
            </w:r>
            <w:r w:rsidRPr="00B06D1D">
              <w:rPr>
                <w:noProof/>
                <w:webHidden/>
              </w:rPr>
              <w:fldChar w:fldCharType="separate"/>
            </w:r>
            <w:r w:rsidRPr="00B06D1D">
              <w:rPr>
                <w:noProof/>
                <w:webHidden/>
              </w:rPr>
              <w:t>7</w:t>
            </w:r>
            <w:r w:rsidRPr="00B06D1D">
              <w:rPr>
                <w:noProof/>
                <w:webHidden/>
              </w:rPr>
              <w:fldChar w:fldCharType="end"/>
            </w:r>
          </w:hyperlink>
        </w:p>
        <w:p w14:paraId="25E4791A" w14:textId="5D9115F4"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39" w:history="1">
            <w:r w:rsidRPr="00B06D1D">
              <w:rPr>
                <w:rStyle w:val="Hyperlink"/>
                <w:noProof/>
                <w:lang w:val="fr-FR"/>
              </w:rPr>
              <w:t xml:space="preserve">3. Evaluation of Change Management Models in the Context of HSBC </w:t>
            </w:r>
            <w:r w:rsidRPr="00B06D1D">
              <w:rPr>
                <w:noProof/>
                <w:webHidden/>
              </w:rPr>
              <w:tab/>
            </w:r>
            <w:r w:rsidRPr="00B06D1D">
              <w:rPr>
                <w:noProof/>
                <w:webHidden/>
              </w:rPr>
              <w:fldChar w:fldCharType="begin"/>
            </w:r>
            <w:r w:rsidRPr="00B06D1D">
              <w:rPr>
                <w:noProof/>
                <w:webHidden/>
              </w:rPr>
              <w:instrText xml:space="preserve"> PAGEREF _Toc216911239 \h </w:instrText>
            </w:r>
            <w:r w:rsidRPr="00B06D1D">
              <w:rPr>
                <w:noProof/>
                <w:webHidden/>
              </w:rPr>
            </w:r>
            <w:r w:rsidRPr="00B06D1D">
              <w:rPr>
                <w:noProof/>
                <w:webHidden/>
              </w:rPr>
              <w:fldChar w:fldCharType="separate"/>
            </w:r>
            <w:r w:rsidRPr="00B06D1D">
              <w:rPr>
                <w:noProof/>
                <w:webHidden/>
              </w:rPr>
              <w:t>9</w:t>
            </w:r>
            <w:r w:rsidRPr="00B06D1D">
              <w:rPr>
                <w:noProof/>
                <w:webHidden/>
              </w:rPr>
              <w:fldChar w:fldCharType="end"/>
            </w:r>
          </w:hyperlink>
        </w:p>
        <w:p w14:paraId="4906A051" w14:textId="2B8F7497"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40" w:history="1">
            <w:r w:rsidRPr="00B06D1D">
              <w:rPr>
                <w:rStyle w:val="Hyperlink"/>
                <w:noProof/>
                <w:lang w:val="fr-FR"/>
              </w:rPr>
              <w:t>Kotter</w:t>
            </w:r>
            <w:r w:rsidRPr="00B06D1D">
              <w:rPr>
                <w:rStyle w:val="Hyperlink"/>
                <w:noProof/>
                <w:rtl/>
                <w:lang w:val="fr-FR"/>
              </w:rPr>
              <w:t>’</w:t>
            </w:r>
            <w:r w:rsidRPr="00B06D1D">
              <w:rPr>
                <w:rStyle w:val="Hyperlink"/>
                <w:noProof/>
                <w:lang w:val="fr-FR"/>
              </w:rPr>
              <w:t>s 8-Step Change Model</w:t>
            </w:r>
            <w:r w:rsidRPr="00B06D1D">
              <w:rPr>
                <w:noProof/>
                <w:webHidden/>
              </w:rPr>
              <w:tab/>
            </w:r>
            <w:r w:rsidRPr="00B06D1D">
              <w:rPr>
                <w:noProof/>
                <w:webHidden/>
              </w:rPr>
              <w:fldChar w:fldCharType="begin"/>
            </w:r>
            <w:r w:rsidRPr="00B06D1D">
              <w:rPr>
                <w:noProof/>
                <w:webHidden/>
              </w:rPr>
              <w:instrText xml:space="preserve"> PAGEREF _Toc216911240 \h </w:instrText>
            </w:r>
            <w:r w:rsidRPr="00B06D1D">
              <w:rPr>
                <w:noProof/>
                <w:webHidden/>
              </w:rPr>
            </w:r>
            <w:r w:rsidRPr="00B06D1D">
              <w:rPr>
                <w:noProof/>
                <w:webHidden/>
              </w:rPr>
              <w:fldChar w:fldCharType="separate"/>
            </w:r>
            <w:r w:rsidRPr="00B06D1D">
              <w:rPr>
                <w:noProof/>
                <w:webHidden/>
              </w:rPr>
              <w:t>9</w:t>
            </w:r>
            <w:r w:rsidRPr="00B06D1D">
              <w:rPr>
                <w:noProof/>
                <w:webHidden/>
              </w:rPr>
              <w:fldChar w:fldCharType="end"/>
            </w:r>
          </w:hyperlink>
        </w:p>
        <w:p w14:paraId="1E4118A9" w14:textId="5F0BD6C5"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41" w:history="1">
            <w:r w:rsidRPr="00B06D1D">
              <w:rPr>
                <w:rStyle w:val="Hyperlink"/>
                <w:noProof/>
                <w:lang w:val="fr-FR"/>
              </w:rPr>
              <w:t>McKinsey 7S Framework</w:t>
            </w:r>
            <w:r w:rsidRPr="00B06D1D">
              <w:rPr>
                <w:noProof/>
                <w:webHidden/>
              </w:rPr>
              <w:tab/>
            </w:r>
            <w:r w:rsidRPr="00B06D1D">
              <w:rPr>
                <w:noProof/>
                <w:webHidden/>
              </w:rPr>
              <w:fldChar w:fldCharType="begin"/>
            </w:r>
            <w:r w:rsidRPr="00B06D1D">
              <w:rPr>
                <w:noProof/>
                <w:webHidden/>
              </w:rPr>
              <w:instrText xml:space="preserve"> PAGEREF _Toc216911241 \h </w:instrText>
            </w:r>
            <w:r w:rsidRPr="00B06D1D">
              <w:rPr>
                <w:noProof/>
                <w:webHidden/>
              </w:rPr>
            </w:r>
            <w:r w:rsidRPr="00B06D1D">
              <w:rPr>
                <w:noProof/>
                <w:webHidden/>
              </w:rPr>
              <w:fldChar w:fldCharType="separate"/>
            </w:r>
            <w:r w:rsidRPr="00B06D1D">
              <w:rPr>
                <w:noProof/>
                <w:webHidden/>
              </w:rPr>
              <w:t>10</w:t>
            </w:r>
            <w:r w:rsidRPr="00B06D1D">
              <w:rPr>
                <w:noProof/>
                <w:webHidden/>
              </w:rPr>
              <w:fldChar w:fldCharType="end"/>
            </w:r>
          </w:hyperlink>
        </w:p>
        <w:p w14:paraId="425BC34B" w14:textId="4FF735FF"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42" w:history="1">
            <w:r w:rsidRPr="00B06D1D">
              <w:rPr>
                <w:rStyle w:val="Hyperlink"/>
                <w:noProof/>
                <w:lang w:val="fr-FR"/>
              </w:rPr>
              <w:t>4. Leadership, Organisational Culture and Change at HSBC</w:t>
            </w:r>
            <w:r w:rsidRPr="00B06D1D">
              <w:rPr>
                <w:noProof/>
                <w:webHidden/>
              </w:rPr>
              <w:tab/>
            </w:r>
            <w:r w:rsidRPr="00B06D1D">
              <w:rPr>
                <w:noProof/>
                <w:webHidden/>
              </w:rPr>
              <w:fldChar w:fldCharType="begin"/>
            </w:r>
            <w:r w:rsidRPr="00B06D1D">
              <w:rPr>
                <w:noProof/>
                <w:webHidden/>
              </w:rPr>
              <w:instrText xml:space="preserve"> PAGEREF _Toc216911242 \h </w:instrText>
            </w:r>
            <w:r w:rsidRPr="00B06D1D">
              <w:rPr>
                <w:noProof/>
                <w:webHidden/>
              </w:rPr>
            </w:r>
            <w:r w:rsidRPr="00B06D1D">
              <w:rPr>
                <w:noProof/>
                <w:webHidden/>
              </w:rPr>
              <w:fldChar w:fldCharType="separate"/>
            </w:r>
            <w:r w:rsidRPr="00B06D1D">
              <w:rPr>
                <w:noProof/>
                <w:webHidden/>
              </w:rPr>
              <w:t>11</w:t>
            </w:r>
            <w:r w:rsidRPr="00B06D1D">
              <w:rPr>
                <w:noProof/>
                <w:webHidden/>
              </w:rPr>
              <w:fldChar w:fldCharType="end"/>
            </w:r>
          </w:hyperlink>
        </w:p>
        <w:p w14:paraId="555FDB0D" w14:textId="69C3AA48"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43" w:history="1">
            <w:r w:rsidRPr="00B06D1D">
              <w:rPr>
                <w:rStyle w:val="Hyperlink"/>
                <w:noProof/>
                <w:lang w:val="fr-FR"/>
              </w:rPr>
              <w:t>Leadership Style in HSBC</w:t>
            </w:r>
            <w:r w:rsidRPr="00B06D1D">
              <w:rPr>
                <w:rStyle w:val="Hyperlink"/>
                <w:noProof/>
                <w:rtl/>
                <w:lang w:val="fr-FR"/>
              </w:rPr>
              <w:t>’</w:t>
            </w:r>
            <w:r w:rsidRPr="00B06D1D">
              <w:rPr>
                <w:rStyle w:val="Hyperlink"/>
                <w:noProof/>
                <w:lang w:val="fr-FR"/>
              </w:rPr>
              <w:t>s Change Management</w:t>
            </w:r>
            <w:r w:rsidRPr="00B06D1D">
              <w:rPr>
                <w:noProof/>
                <w:webHidden/>
              </w:rPr>
              <w:tab/>
            </w:r>
            <w:r w:rsidRPr="00B06D1D">
              <w:rPr>
                <w:noProof/>
                <w:webHidden/>
              </w:rPr>
              <w:fldChar w:fldCharType="begin"/>
            </w:r>
            <w:r w:rsidRPr="00B06D1D">
              <w:rPr>
                <w:noProof/>
                <w:webHidden/>
              </w:rPr>
              <w:instrText xml:space="preserve"> PAGEREF _Toc216911243 \h </w:instrText>
            </w:r>
            <w:r w:rsidRPr="00B06D1D">
              <w:rPr>
                <w:noProof/>
                <w:webHidden/>
              </w:rPr>
            </w:r>
            <w:r w:rsidRPr="00B06D1D">
              <w:rPr>
                <w:noProof/>
                <w:webHidden/>
              </w:rPr>
              <w:fldChar w:fldCharType="separate"/>
            </w:r>
            <w:r w:rsidRPr="00B06D1D">
              <w:rPr>
                <w:noProof/>
                <w:webHidden/>
              </w:rPr>
              <w:t>11</w:t>
            </w:r>
            <w:r w:rsidRPr="00B06D1D">
              <w:rPr>
                <w:noProof/>
                <w:webHidden/>
              </w:rPr>
              <w:fldChar w:fldCharType="end"/>
            </w:r>
          </w:hyperlink>
        </w:p>
        <w:p w14:paraId="59637483" w14:textId="4AECAFFF"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44" w:history="1">
            <w:r w:rsidRPr="00B06D1D">
              <w:rPr>
                <w:rStyle w:val="Hyperlink"/>
                <w:noProof/>
                <w:lang w:val="fr-FR"/>
              </w:rPr>
              <w:t>Organisational Culture</w:t>
            </w:r>
            <w:r w:rsidRPr="00B06D1D">
              <w:rPr>
                <w:noProof/>
                <w:webHidden/>
              </w:rPr>
              <w:tab/>
            </w:r>
            <w:r w:rsidRPr="00B06D1D">
              <w:rPr>
                <w:noProof/>
                <w:webHidden/>
              </w:rPr>
              <w:fldChar w:fldCharType="begin"/>
            </w:r>
            <w:r w:rsidRPr="00B06D1D">
              <w:rPr>
                <w:noProof/>
                <w:webHidden/>
              </w:rPr>
              <w:instrText xml:space="preserve"> PAGEREF _Toc216911244 \h </w:instrText>
            </w:r>
            <w:r w:rsidRPr="00B06D1D">
              <w:rPr>
                <w:noProof/>
                <w:webHidden/>
              </w:rPr>
            </w:r>
            <w:r w:rsidRPr="00B06D1D">
              <w:rPr>
                <w:noProof/>
                <w:webHidden/>
              </w:rPr>
              <w:fldChar w:fldCharType="separate"/>
            </w:r>
            <w:r w:rsidRPr="00B06D1D">
              <w:rPr>
                <w:noProof/>
                <w:webHidden/>
              </w:rPr>
              <w:t>11</w:t>
            </w:r>
            <w:r w:rsidRPr="00B06D1D">
              <w:rPr>
                <w:noProof/>
                <w:webHidden/>
              </w:rPr>
              <w:fldChar w:fldCharType="end"/>
            </w:r>
          </w:hyperlink>
        </w:p>
        <w:p w14:paraId="5779A9EB" w14:textId="348A002E"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45" w:history="1">
            <w:r w:rsidRPr="00B06D1D">
              <w:rPr>
                <w:rStyle w:val="Hyperlink"/>
                <w:noProof/>
                <w:lang w:val="fr-FR"/>
              </w:rPr>
              <w:t>Impact on Change Management</w:t>
            </w:r>
            <w:r w:rsidRPr="00B06D1D">
              <w:rPr>
                <w:noProof/>
                <w:webHidden/>
              </w:rPr>
              <w:tab/>
            </w:r>
            <w:r w:rsidRPr="00B06D1D">
              <w:rPr>
                <w:noProof/>
                <w:webHidden/>
              </w:rPr>
              <w:fldChar w:fldCharType="begin"/>
            </w:r>
            <w:r w:rsidRPr="00B06D1D">
              <w:rPr>
                <w:noProof/>
                <w:webHidden/>
              </w:rPr>
              <w:instrText xml:space="preserve"> PAGEREF _Toc216911245 \h </w:instrText>
            </w:r>
            <w:r w:rsidRPr="00B06D1D">
              <w:rPr>
                <w:noProof/>
                <w:webHidden/>
              </w:rPr>
            </w:r>
            <w:r w:rsidRPr="00B06D1D">
              <w:rPr>
                <w:noProof/>
                <w:webHidden/>
              </w:rPr>
              <w:fldChar w:fldCharType="separate"/>
            </w:r>
            <w:r w:rsidRPr="00B06D1D">
              <w:rPr>
                <w:noProof/>
                <w:webHidden/>
              </w:rPr>
              <w:t>11</w:t>
            </w:r>
            <w:r w:rsidRPr="00B06D1D">
              <w:rPr>
                <w:noProof/>
                <w:webHidden/>
              </w:rPr>
              <w:fldChar w:fldCharType="end"/>
            </w:r>
          </w:hyperlink>
        </w:p>
        <w:p w14:paraId="71787E86" w14:textId="218A1F35"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46" w:history="1">
            <w:r w:rsidRPr="00B06D1D">
              <w:rPr>
                <w:rStyle w:val="Hyperlink"/>
                <w:noProof/>
                <w:lang w:val="fr-FR"/>
              </w:rPr>
              <w:t>5. Strategic Change Management Plan for HSBC (</w:t>
            </w:r>
            <w:r w:rsidR="00D30853" w:rsidRPr="00B06D1D">
              <w:rPr>
                <w:rStyle w:val="Hyperlink"/>
                <w:noProof/>
                <w:lang w:val="fr-FR"/>
              </w:rPr>
              <w:t>A</w:t>
            </w:r>
            <w:r w:rsidRPr="00B06D1D">
              <w:rPr>
                <w:rStyle w:val="Hyperlink"/>
                <w:noProof/>
                <w:lang w:val="fr-FR"/>
              </w:rPr>
              <w:t>ppendix</w:t>
            </w:r>
            <w:r w:rsidR="00D30853" w:rsidRPr="00B06D1D">
              <w:rPr>
                <w:rStyle w:val="Hyperlink"/>
                <w:noProof/>
                <w:lang w:val="fr-FR"/>
              </w:rPr>
              <w:t xml:space="preserve"> </w:t>
            </w:r>
            <w:r w:rsidR="00F939DC">
              <w:rPr>
                <w:rStyle w:val="Hyperlink"/>
                <w:noProof/>
                <w:lang w:val="fr-FR"/>
              </w:rPr>
              <w:t>1 and 1A</w:t>
            </w:r>
            <w:r w:rsidRPr="00B06D1D">
              <w:rPr>
                <w:rStyle w:val="Hyperlink"/>
                <w:noProof/>
                <w:lang w:val="fr-FR"/>
              </w:rPr>
              <w:t>)</w:t>
            </w:r>
            <w:r w:rsidRPr="00B06D1D">
              <w:rPr>
                <w:noProof/>
                <w:webHidden/>
              </w:rPr>
              <w:tab/>
            </w:r>
            <w:r w:rsidRPr="00B06D1D">
              <w:rPr>
                <w:noProof/>
                <w:webHidden/>
              </w:rPr>
              <w:fldChar w:fldCharType="begin"/>
            </w:r>
            <w:r w:rsidRPr="00B06D1D">
              <w:rPr>
                <w:noProof/>
                <w:webHidden/>
              </w:rPr>
              <w:instrText xml:space="preserve"> PAGEREF _Toc216911246 \h </w:instrText>
            </w:r>
            <w:r w:rsidRPr="00B06D1D">
              <w:rPr>
                <w:noProof/>
                <w:webHidden/>
              </w:rPr>
            </w:r>
            <w:r w:rsidRPr="00B06D1D">
              <w:rPr>
                <w:noProof/>
                <w:webHidden/>
              </w:rPr>
              <w:fldChar w:fldCharType="separate"/>
            </w:r>
            <w:r w:rsidRPr="00B06D1D">
              <w:rPr>
                <w:noProof/>
                <w:webHidden/>
              </w:rPr>
              <w:t>12</w:t>
            </w:r>
            <w:r w:rsidRPr="00B06D1D">
              <w:rPr>
                <w:noProof/>
                <w:webHidden/>
              </w:rPr>
              <w:fldChar w:fldCharType="end"/>
            </w:r>
          </w:hyperlink>
        </w:p>
        <w:p w14:paraId="369AD8EF" w14:textId="6AB5D9E7"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47" w:history="1">
            <w:r w:rsidRPr="00B06D1D">
              <w:rPr>
                <w:rStyle w:val="Hyperlink"/>
                <w:noProof/>
                <w:lang w:val="fr-FR"/>
              </w:rPr>
              <w:t xml:space="preserve">5.4 Financial Plan Table </w:t>
            </w:r>
            <w:r w:rsidR="003E02BA">
              <w:rPr>
                <w:rStyle w:val="Hyperlink"/>
                <w:noProof/>
                <w:lang w:val="fr-FR"/>
              </w:rPr>
              <w:t xml:space="preserve">and </w:t>
            </w:r>
            <w:r w:rsidRPr="00B06D1D">
              <w:rPr>
                <w:rStyle w:val="Hyperlink"/>
                <w:noProof/>
                <w:lang w:val="fr-FR"/>
              </w:rPr>
              <w:t xml:space="preserve">( Budget Plan </w:t>
            </w:r>
            <w:r w:rsidR="008F3FD0" w:rsidRPr="00B06D1D">
              <w:rPr>
                <w:rStyle w:val="Hyperlink"/>
                <w:noProof/>
                <w:lang w:val="fr-FR"/>
              </w:rPr>
              <w:t>Ap</w:t>
            </w:r>
            <w:r w:rsidR="002228DE" w:rsidRPr="00B06D1D">
              <w:rPr>
                <w:rStyle w:val="Hyperlink"/>
                <w:noProof/>
                <w:lang w:val="fr-FR"/>
              </w:rPr>
              <w:t>pendix</w:t>
            </w:r>
            <w:r w:rsidRPr="00B06D1D">
              <w:rPr>
                <w:rStyle w:val="Hyperlink"/>
                <w:noProof/>
                <w:lang w:val="fr-FR"/>
              </w:rPr>
              <w:t xml:space="preserve"> 3 and</w:t>
            </w:r>
            <w:r w:rsidR="00172A7C">
              <w:rPr>
                <w:rStyle w:val="Hyperlink"/>
                <w:noProof/>
                <w:lang w:val="fr-FR"/>
              </w:rPr>
              <w:t xml:space="preserve"> </w:t>
            </w:r>
            <w:r w:rsidR="002228DE" w:rsidRPr="00B06D1D">
              <w:rPr>
                <w:rStyle w:val="Hyperlink"/>
                <w:noProof/>
                <w:lang w:val="fr-FR"/>
              </w:rPr>
              <w:t>3</w:t>
            </w:r>
            <w:r w:rsidR="001F0D18" w:rsidRPr="00B06D1D">
              <w:rPr>
                <w:rStyle w:val="Hyperlink"/>
                <w:noProof/>
                <w:lang w:val="fr-FR"/>
              </w:rPr>
              <w:t>A</w:t>
            </w:r>
            <w:r w:rsidRPr="00B06D1D">
              <w:rPr>
                <w:rStyle w:val="Hyperlink"/>
                <w:noProof/>
                <w:lang w:val="fr-FR"/>
              </w:rPr>
              <w:t xml:space="preserve"> </w:t>
            </w:r>
            <w:r w:rsidRPr="00B06D1D">
              <w:rPr>
                <w:rStyle w:val="Hyperlink"/>
                <w:noProof/>
              </w:rPr>
              <w:t>)</w:t>
            </w:r>
            <w:r w:rsidRPr="00B06D1D">
              <w:rPr>
                <w:noProof/>
                <w:webHidden/>
              </w:rPr>
              <w:tab/>
            </w:r>
            <w:r w:rsidRPr="00B06D1D">
              <w:rPr>
                <w:noProof/>
                <w:webHidden/>
              </w:rPr>
              <w:fldChar w:fldCharType="begin"/>
            </w:r>
            <w:r w:rsidRPr="00B06D1D">
              <w:rPr>
                <w:noProof/>
                <w:webHidden/>
              </w:rPr>
              <w:instrText xml:space="preserve"> PAGEREF _Toc216911247 \h </w:instrText>
            </w:r>
            <w:r w:rsidRPr="00B06D1D">
              <w:rPr>
                <w:noProof/>
                <w:webHidden/>
              </w:rPr>
            </w:r>
            <w:r w:rsidRPr="00B06D1D">
              <w:rPr>
                <w:noProof/>
                <w:webHidden/>
              </w:rPr>
              <w:fldChar w:fldCharType="separate"/>
            </w:r>
            <w:r w:rsidRPr="00B06D1D">
              <w:rPr>
                <w:noProof/>
                <w:webHidden/>
              </w:rPr>
              <w:t>13</w:t>
            </w:r>
            <w:r w:rsidRPr="00B06D1D">
              <w:rPr>
                <w:noProof/>
                <w:webHidden/>
              </w:rPr>
              <w:fldChar w:fldCharType="end"/>
            </w:r>
          </w:hyperlink>
        </w:p>
        <w:p w14:paraId="6D812535" w14:textId="692084B6"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48" w:history="1">
            <w:r w:rsidRPr="00B06D1D">
              <w:rPr>
                <w:rStyle w:val="Hyperlink"/>
                <w:noProof/>
                <w:lang w:val="fr-FR"/>
              </w:rPr>
              <w:t>5.5 Communication Plan</w:t>
            </w:r>
            <w:r w:rsidRPr="00B06D1D">
              <w:rPr>
                <w:noProof/>
                <w:webHidden/>
              </w:rPr>
              <w:tab/>
            </w:r>
            <w:r w:rsidRPr="00B06D1D">
              <w:rPr>
                <w:noProof/>
                <w:webHidden/>
              </w:rPr>
              <w:fldChar w:fldCharType="begin"/>
            </w:r>
            <w:r w:rsidRPr="00B06D1D">
              <w:rPr>
                <w:noProof/>
                <w:webHidden/>
              </w:rPr>
              <w:instrText xml:space="preserve"> PAGEREF _Toc216911248 \h </w:instrText>
            </w:r>
            <w:r w:rsidRPr="00B06D1D">
              <w:rPr>
                <w:noProof/>
                <w:webHidden/>
              </w:rPr>
            </w:r>
            <w:r w:rsidRPr="00B06D1D">
              <w:rPr>
                <w:noProof/>
                <w:webHidden/>
              </w:rPr>
              <w:fldChar w:fldCharType="separate"/>
            </w:r>
            <w:r w:rsidRPr="00B06D1D">
              <w:rPr>
                <w:noProof/>
                <w:webHidden/>
              </w:rPr>
              <w:t>14</w:t>
            </w:r>
            <w:r w:rsidRPr="00B06D1D">
              <w:rPr>
                <w:noProof/>
                <w:webHidden/>
              </w:rPr>
              <w:fldChar w:fldCharType="end"/>
            </w:r>
          </w:hyperlink>
        </w:p>
        <w:p w14:paraId="0E7D6109" w14:textId="095EAD07"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49" w:history="1">
            <w:r w:rsidRPr="00B06D1D">
              <w:rPr>
                <w:rStyle w:val="Hyperlink"/>
                <w:noProof/>
                <w:lang w:val="fr-FR"/>
              </w:rPr>
              <w:t>5.6 Evaluation Plan (Appendix 2)</w:t>
            </w:r>
            <w:r w:rsidRPr="00B06D1D">
              <w:rPr>
                <w:noProof/>
                <w:webHidden/>
              </w:rPr>
              <w:tab/>
            </w:r>
            <w:r w:rsidRPr="00B06D1D">
              <w:rPr>
                <w:noProof/>
                <w:webHidden/>
              </w:rPr>
              <w:fldChar w:fldCharType="begin"/>
            </w:r>
            <w:r w:rsidRPr="00B06D1D">
              <w:rPr>
                <w:noProof/>
                <w:webHidden/>
              </w:rPr>
              <w:instrText xml:space="preserve"> PAGEREF _Toc216911249 \h </w:instrText>
            </w:r>
            <w:r w:rsidRPr="00B06D1D">
              <w:rPr>
                <w:noProof/>
                <w:webHidden/>
              </w:rPr>
            </w:r>
            <w:r w:rsidRPr="00B06D1D">
              <w:rPr>
                <w:noProof/>
                <w:webHidden/>
              </w:rPr>
              <w:fldChar w:fldCharType="separate"/>
            </w:r>
            <w:r w:rsidRPr="00B06D1D">
              <w:rPr>
                <w:noProof/>
                <w:webHidden/>
              </w:rPr>
              <w:t>16</w:t>
            </w:r>
            <w:r w:rsidRPr="00B06D1D">
              <w:rPr>
                <w:noProof/>
                <w:webHidden/>
              </w:rPr>
              <w:fldChar w:fldCharType="end"/>
            </w:r>
          </w:hyperlink>
        </w:p>
        <w:p w14:paraId="7B0056A1" w14:textId="2A3EE9A8"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50" w:history="1">
            <w:r w:rsidRPr="00B06D1D">
              <w:rPr>
                <w:rStyle w:val="Hyperlink"/>
                <w:noProof/>
                <w:lang w:val="fr-FR"/>
              </w:rPr>
              <w:t>6. Recommendations</w:t>
            </w:r>
            <w:r w:rsidRPr="00B06D1D">
              <w:rPr>
                <w:noProof/>
                <w:webHidden/>
              </w:rPr>
              <w:tab/>
            </w:r>
            <w:r w:rsidRPr="00B06D1D">
              <w:rPr>
                <w:noProof/>
                <w:webHidden/>
              </w:rPr>
              <w:fldChar w:fldCharType="begin"/>
            </w:r>
            <w:r w:rsidRPr="00B06D1D">
              <w:rPr>
                <w:noProof/>
                <w:webHidden/>
              </w:rPr>
              <w:instrText xml:space="preserve"> PAGEREF _Toc216911250 \h </w:instrText>
            </w:r>
            <w:r w:rsidRPr="00B06D1D">
              <w:rPr>
                <w:noProof/>
                <w:webHidden/>
              </w:rPr>
            </w:r>
            <w:r w:rsidRPr="00B06D1D">
              <w:rPr>
                <w:noProof/>
                <w:webHidden/>
              </w:rPr>
              <w:fldChar w:fldCharType="separate"/>
            </w:r>
            <w:r w:rsidRPr="00B06D1D">
              <w:rPr>
                <w:noProof/>
                <w:webHidden/>
              </w:rPr>
              <w:t>17</w:t>
            </w:r>
            <w:r w:rsidRPr="00B06D1D">
              <w:rPr>
                <w:noProof/>
                <w:webHidden/>
              </w:rPr>
              <w:fldChar w:fldCharType="end"/>
            </w:r>
          </w:hyperlink>
        </w:p>
        <w:p w14:paraId="57085FD0" w14:textId="104107B7"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51" w:history="1">
            <w:r w:rsidRPr="00B06D1D">
              <w:rPr>
                <w:rStyle w:val="Hyperlink"/>
                <w:noProof/>
                <w:lang w:val="fr-FR"/>
              </w:rPr>
              <w:t>7. Conclusion</w:t>
            </w:r>
            <w:r w:rsidRPr="00B06D1D">
              <w:rPr>
                <w:noProof/>
                <w:webHidden/>
              </w:rPr>
              <w:tab/>
            </w:r>
            <w:r w:rsidRPr="00B06D1D">
              <w:rPr>
                <w:noProof/>
                <w:webHidden/>
              </w:rPr>
              <w:fldChar w:fldCharType="begin"/>
            </w:r>
            <w:r w:rsidRPr="00B06D1D">
              <w:rPr>
                <w:noProof/>
                <w:webHidden/>
              </w:rPr>
              <w:instrText xml:space="preserve"> PAGEREF _Toc216911251 \h </w:instrText>
            </w:r>
            <w:r w:rsidRPr="00B06D1D">
              <w:rPr>
                <w:noProof/>
                <w:webHidden/>
              </w:rPr>
            </w:r>
            <w:r w:rsidRPr="00B06D1D">
              <w:rPr>
                <w:noProof/>
                <w:webHidden/>
              </w:rPr>
              <w:fldChar w:fldCharType="separate"/>
            </w:r>
            <w:r w:rsidRPr="00B06D1D">
              <w:rPr>
                <w:noProof/>
                <w:webHidden/>
              </w:rPr>
              <w:t>17</w:t>
            </w:r>
            <w:r w:rsidRPr="00B06D1D">
              <w:rPr>
                <w:noProof/>
                <w:webHidden/>
              </w:rPr>
              <w:fldChar w:fldCharType="end"/>
            </w:r>
          </w:hyperlink>
        </w:p>
        <w:p w14:paraId="77509C2E" w14:textId="6B78AC19" w:rsidR="004937B9" w:rsidRPr="00B06D1D" w:rsidRDefault="004937B9">
          <w:pPr>
            <w:pStyle w:val="TOC1"/>
            <w:tabs>
              <w:tab w:val="right" w:leader="dot" w:pos="9628"/>
            </w:tabs>
            <w:rPr>
              <w:rFonts w:asciiTheme="minorHAnsi" w:eastAsiaTheme="minorEastAsia" w:hAnsiTheme="minorHAnsi" w:cstheme="minorBidi"/>
              <w:noProof/>
              <w:kern w:val="2"/>
              <w:bdr w:val="none" w:sz="0" w:space="0" w:color="auto"/>
              <w:lang w:val="en-GB" w:eastAsia="en-GB"/>
              <w14:ligatures w14:val="standardContextual"/>
            </w:rPr>
          </w:pPr>
          <w:hyperlink w:anchor="_Toc216911252" w:history="1">
            <w:r w:rsidRPr="00B06D1D">
              <w:rPr>
                <w:rStyle w:val="Hyperlink"/>
                <w:noProof/>
                <w:lang w:val="fr-FR"/>
              </w:rPr>
              <w:t>8. References</w:t>
            </w:r>
            <w:r w:rsidRPr="00B06D1D">
              <w:rPr>
                <w:noProof/>
                <w:webHidden/>
              </w:rPr>
              <w:tab/>
            </w:r>
            <w:r w:rsidRPr="00B06D1D">
              <w:rPr>
                <w:noProof/>
                <w:webHidden/>
              </w:rPr>
              <w:fldChar w:fldCharType="begin"/>
            </w:r>
            <w:r w:rsidRPr="00B06D1D">
              <w:rPr>
                <w:noProof/>
                <w:webHidden/>
              </w:rPr>
              <w:instrText xml:space="preserve"> PAGEREF _Toc216911252 \h </w:instrText>
            </w:r>
            <w:r w:rsidRPr="00B06D1D">
              <w:rPr>
                <w:noProof/>
                <w:webHidden/>
              </w:rPr>
            </w:r>
            <w:r w:rsidRPr="00B06D1D">
              <w:rPr>
                <w:noProof/>
                <w:webHidden/>
              </w:rPr>
              <w:fldChar w:fldCharType="separate"/>
            </w:r>
            <w:r w:rsidRPr="00B06D1D">
              <w:rPr>
                <w:noProof/>
                <w:webHidden/>
              </w:rPr>
              <w:t>20</w:t>
            </w:r>
            <w:r w:rsidRPr="00B06D1D">
              <w:rPr>
                <w:noProof/>
                <w:webHidden/>
              </w:rPr>
              <w:fldChar w:fldCharType="end"/>
            </w:r>
          </w:hyperlink>
        </w:p>
        <w:p w14:paraId="1FFFD2AC" w14:textId="2B6BE608" w:rsidR="008E3819" w:rsidRPr="009C4C27" w:rsidRDefault="008E3819" w:rsidP="009C4C27">
          <w:pPr>
            <w:spacing w:line="360" w:lineRule="auto"/>
            <w:jc w:val="both"/>
          </w:pPr>
          <w:r w:rsidRPr="00B06D1D">
            <w:fldChar w:fldCharType="end"/>
          </w:r>
          <w:r w:rsidR="00CE551C" w:rsidRPr="00B06D1D">
            <w:t xml:space="preserve">9. </w:t>
          </w:r>
          <w:r w:rsidR="00CD3BB9" w:rsidRPr="00B06D1D">
            <w:rPr>
              <w:rFonts w:eastAsia="Times New Roman"/>
              <w:bdr w:val="none" w:sz="0" w:space="0" w:color="auto"/>
              <w:lang w:val="en-GB" w:eastAsia="en-GB"/>
            </w:rPr>
            <w:t>Appendixes: 1-1A- 2- 3 and 3A</w:t>
          </w:r>
          <w:r w:rsidR="00CD5C8B" w:rsidRPr="00B06D1D">
            <w:rPr>
              <w:rFonts w:eastAsia="Times New Roman"/>
              <w:bdr w:val="none" w:sz="0" w:space="0" w:color="auto"/>
              <w:lang w:val="en-GB" w:eastAsia="en-GB"/>
            </w:rPr>
            <w:t>……………………</w:t>
          </w:r>
          <w:proofErr w:type="gramStart"/>
          <w:r w:rsidR="00CD5C8B" w:rsidRPr="00B06D1D">
            <w:rPr>
              <w:rFonts w:eastAsia="Times New Roman"/>
              <w:bdr w:val="none" w:sz="0" w:space="0" w:color="auto"/>
              <w:lang w:val="en-GB" w:eastAsia="en-GB"/>
            </w:rPr>
            <w:t>…</w:t>
          </w:r>
          <w:r w:rsidR="00FD08E7" w:rsidRPr="00B06D1D">
            <w:rPr>
              <w:rFonts w:eastAsia="Times New Roman"/>
              <w:bdr w:val="none" w:sz="0" w:space="0" w:color="auto"/>
              <w:lang w:val="en-GB" w:eastAsia="en-GB"/>
            </w:rPr>
            <w:t>..</w:t>
          </w:r>
          <w:proofErr w:type="gramEnd"/>
          <w:r w:rsidR="00CD5C8B" w:rsidRPr="00B06D1D">
            <w:rPr>
              <w:rFonts w:eastAsia="Times New Roman"/>
              <w:bdr w:val="none" w:sz="0" w:space="0" w:color="auto"/>
              <w:lang w:val="en-GB" w:eastAsia="en-GB"/>
            </w:rPr>
            <w:t>…………</w:t>
          </w:r>
          <w:r w:rsidR="00760D7D" w:rsidRPr="00B06D1D">
            <w:rPr>
              <w:rFonts w:eastAsia="Times New Roman"/>
              <w:bdr w:val="none" w:sz="0" w:space="0" w:color="auto"/>
              <w:lang w:val="en-GB" w:eastAsia="en-GB"/>
            </w:rPr>
            <w:t>…………</w:t>
          </w:r>
          <w:proofErr w:type="gramStart"/>
          <w:r w:rsidR="00760D7D" w:rsidRPr="00B06D1D">
            <w:rPr>
              <w:rFonts w:eastAsia="Times New Roman"/>
              <w:bdr w:val="none" w:sz="0" w:space="0" w:color="auto"/>
              <w:lang w:val="en-GB" w:eastAsia="en-GB"/>
            </w:rPr>
            <w:t>…..</w:t>
          </w:r>
          <w:proofErr w:type="gramEnd"/>
          <w:r w:rsidR="00CD5C8B" w:rsidRPr="00B06D1D">
            <w:rPr>
              <w:rFonts w:eastAsia="Times New Roman"/>
              <w:bdr w:val="none" w:sz="0" w:space="0" w:color="auto"/>
              <w:lang w:val="en-GB" w:eastAsia="en-GB"/>
            </w:rPr>
            <w:t>…………….</w:t>
          </w:r>
          <w:r w:rsidR="00760D7D" w:rsidRPr="00B06D1D">
            <w:rPr>
              <w:rFonts w:eastAsia="Times New Roman"/>
              <w:bdr w:val="none" w:sz="0" w:space="0" w:color="auto"/>
              <w:lang w:val="en-GB" w:eastAsia="en-GB"/>
            </w:rPr>
            <w:t>.</w:t>
          </w:r>
          <w:r w:rsidR="00CD5C8B" w:rsidRPr="00B06D1D">
            <w:rPr>
              <w:rFonts w:eastAsia="Times New Roman"/>
              <w:bdr w:val="none" w:sz="0" w:space="0" w:color="auto"/>
              <w:lang w:val="en-GB" w:eastAsia="en-GB"/>
            </w:rPr>
            <w:t>..2</w:t>
          </w:r>
          <w:r w:rsidR="00760D7D" w:rsidRPr="00B06D1D">
            <w:rPr>
              <w:rFonts w:eastAsia="Times New Roman"/>
              <w:bdr w:val="none" w:sz="0" w:space="0" w:color="auto"/>
              <w:lang w:val="en-GB" w:eastAsia="en-GB"/>
            </w:rPr>
            <w:t>1</w:t>
          </w:r>
        </w:p>
      </w:sdtContent>
    </w:sdt>
    <w:p w14:paraId="7F6C112E" w14:textId="77777777" w:rsidR="00D4508B" w:rsidRPr="009C4C27" w:rsidRDefault="00D4508B" w:rsidP="009C4C27">
      <w:pPr>
        <w:pStyle w:val="Default"/>
        <w:suppressAutoHyphens/>
        <w:spacing w:before="0" w:after="240" w:line="360" w:lineRule="auto"/>
        <w:jc w:val="both"/>
        <w:rPr>
          <w:rFonts w:ascii="Times New Roman" w:eastAsia="Times New Roman" w:hAnsi="Times New Roman" w:cs="Times New Roman"/>
          <w:sz w:val="24"/>
          <w:szCs w:val="24"/>
        </w:rPr>
      </w:pPr>
    </w:p>
    <w:p w14:paraId="66FEA2E5" w14:textId="77777777" w:rsidR="00D4508B" w:rsidRPr="009C4C27" w:rsidRDefault="00D4508B" w:rsidP="009C4C27">
      <w:pPr>
        <w:pStyle w:val="Default"/>
        <w:suppressAutoHyphens/>
        <w:spacing w:before="0" w:after="240" w:line="360" w:lineRule="auto"/>
        <w:jc w:val="both"/>
        <w:rPr>
          <w:rFonts w:ascii="Times New Roman" w:eastAsia="Times New Roman" w:hAnsi="Times New Roman" w:cs="Times New Roman"/>
          <w:sz w:val="24"/>
          <w:szCs w:val="24"/>
        </w:rPr>
      </w:pPr>
    </w:p>
    <w:p w14:paraId="37517557" w14:textId="3C43EE54" w:rsidR="008E3819" w:rsidRPr="009C4C27" w:rsidRDefault="008E3819" w:rsidP="009C4C27">
      <w:pPr>
        <w:spacing w:line="360" w:lineRule="auto"/>
        <w:jc w:val="both"/>
        <w:rPr>
          <w:rFonts w:eastAsia="Times New Roman"/>
          <w:color w:val="000000"/>
          <w:lang w:val="en-GB" w:eastAsia="en-GB"/>
          <w14:textOutline w14:w="0" w14:cap="flat" w14:cmpd="sng" w14:algn="ctr">
            <w14:noFill/>
            <w14:prstDash w14:val="solid"/>
            <w14:bevel/>
          </w14:textOutline>
        </w:rPr>
      </w:pPr>
      <w:r w:rsidRPr="009C4C27">
        <w:rPr>
          <w:rFonts w:eastAsia="Times New Roman"/>
          <w:lang w:val="en-GB"/>
        </w:rPr>
        <w:br w:type="page"/>
      </w:r>
    </w:p>
    <w:p w14:paraId="414F773F" w14:textId="77777777" w:rsidR="000058FC" w:rsidRPr="009C4C27" w:rsidRDefault="00710EC1" w:rsidP="009C4C27">
      <w:pPr>
        <w:pStyle w:val="Heading1"/>
        <w:spacing w:line="360" w:lineRule="auto"/>
        <w:jc w:val="both"/>
        <w:rPr>
          <w:rFonts w:ascii="Times New Roman" w:eastAsia="Times New Roman" w:hAnsi="Times New Roman" w:cs="Times New Roman"/>
          <w:b/>
          <w:bCs/>
          <w:color w:val="auto"/>
          <w:sz w:val="24"/>
          <w:szCs w:val="24"/>
        </w:rPr>
      </w:pPr>
      <w:bookmarkStart w:id="0" w:name="_Toc216911236"/>
      <w:r w:rsidRPr="009C4C27">
        <w:rPr>
          <w:rFonts w:ascii="Times New Roman" w:hAnsi="Times New Roman" w:cs="Times New Roman"/>
          <w:b/>
          <w:bCs/>
          <w:color w:val="auto"/>
          <w:sz w:val="24"/>
          <w:szCs w:val="24"/>
          <w:lang w:val="fr-FR"/>
        </w:rPr>
        <w:lastRenderedPageBreak/>
        <w:t>1. Introduction</w:t>
      </w:r>
      <w:bookmarkEnd w:id="0"/>
    </w:p>
    <w:p w14:paraId="209E8248" w14:textId="77777777" w:rsidR="000058FC" w:rsidRPr="009C4C27" w:rsidRDefault="00710EC1" w:rsidP="009C4C27">
      <w:pPr>
        <w:pStyle w:val="Default"/>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HSBC Holdings plc is one of the world</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xml:space="preserve">s largest banking and financial services institutions, with origins dating back to 1865 when it was founded in Hong Kong and Shanghai to facilitate growing trade between China, Europe, and the Middle East (HSBC, 2023). Over more than 150 years, HSBC has grown into a global banking powerhouse, headquartered in London and operating across more than 60 countries. Its service portfolio encompasses retail banking, wealth management, commercial banking, global banking, and markets and securities services. The </w:t>
      </w:r>
      <w:proofErr w:type="spellStart"/>
      <w:r w:rsidRPr="009C4C27">
        <w:rPr>
          <w:rFonts w:ascii="Times New Roman" w:hAnsi="Times New Roman" w:cs="Times New Roman"/>
          <w:sz w:val="24"/>
          <w:szCs w:val="24"/>
          <w:lang w:val="en-US"/>
        </w:rPr>
        <w:t>org</w:t>
      </w:r>
      <w:r w:rsidRPr="009C4C27">
        <w:rPr>
          <w:rFonts w:ascii="Times New Roman" w:hAnsi="Times New Roman" w:cs="Times New Roman"/>
          <w:sz w:val="24"/>
          <w:szCs w:val="24"/>
          <w:lang w:val="en-US"/>
        </w:rPr>
        <w:t>anisation</w:t>
      </w:r>
      <w:proofErr w:type="spellEnd"/>
      <w:r w:rsidRPr="009C4C27">
        <w:rPr>
          <w:rFonts w:ascii="Times New Roman" w:hAnsi="Times New Roman" w:cs="Times New Roman"/>
          <w:sz w:val="24"/>
          <w:szCs w:val="24"/>
          <w:lang w:val="en-US"/>
        </w:rPr>
        <w:t xml:space="preserve"> has historically positioned itself as </w:t>
      </w:r>
      <w:r w:rsidRPr="009C4C27">
        <w:rPr>
          <w:rFonts w:ascii="Times New Roman" w:hAnsi="Times New Roman" w:cs="Times New Roman"/>
          <w:sz w:val="24"/>
          <w:szCs w:val="24"/>
          <w:rtl/>
          <w:lang w:val="ar-SA"/>
        </w:rPr>
        <w:t>“</w:t>
      </w:r>
      <w:r w:rsidRPr="009C4C27">
        <w:rPr>
          <w:rFonts w:ascii="Times New Roman" w:hAnsi="Times New Roman" w:cs="Times New Roman"/>
          <w:sz w:val="24"/>
          <w:szCs w:val="24"/>
          <w:lang w:val="en-US"/>
        </w:rPr>
        <w:t>the world</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s local bank,</w:t>
      </w:r>
      <w:r w:rsidRPr="009C4C27">
        <w:rPr>
          <w:rFonts w:ascii="Times New Roman" w:hAnsi="Times New Roman" w:cs="Times New Roman"/>
          <w:sz w:val="24"/>
          <w:szCs w:val="24"/>
        </w:rPr>
        <w:t xml:space="preserve">” </w:t>
      </w:r>
      <w:r w:rsidRPr="009C4C27">
        <w:rPr>
          <w:rFonts w:ascii="Times New Roman" w:hAnsi="Times New Roman" w:cs="Times New Roman"/>
          <w:sz w:val="24"/>
          <w:szCs w:val="24"/>
          <w:lang w:val="en-US"/>
        </w:rPr>
        <w:t>reflecting its strong international presence and commitment to connecting customers to global financial opportunities (Wilson, 2021).</w:t>
      </w:r>
    </w:p>
    <w:p w14:paraId="7BF8C830" w14:textId="77777777" w:rsidR="000058FC" w:rsidRPr="009C4C27" w:rsidRDefault="00710EC1" w:rsidP="009C4C27">
      <w:pPr>
        <w:pStyle w:val="Default"/>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 xml:space="preserve">Like other major global banks, HSBC has been subjected to unprecedented disruptions during the past two decades, including the global financial crisis of 2008, digital transformation, new regulatory requirements, technological disruption, the rise of fintech competitors, geopolitical tensions, and significant shifts in consumer </w:t>
      </w:r>
      <w:proofErr w:type="spellStart"/>
      <w:r w:rsidRPr="009C4C27">
        <w:rPr>
          <w:rFonts w:ascii="Times New Roman" w:hAnsi="Times New Roman" w:cs="Times New Roman"/>
          <w:sz w:val="24"/>
          <w:szCs w:val="24"/>
          <w:lang w:val="en-US"/>
        </w:rPr>
        <w:t>behaviour</w:t>
      </w:r>
      <w:proofErr w:type="spellEnd"/>
      <w:r w:rsidRPr="009C4C27">
        <w:rPr>
          <w:rFonts w:ascii="Times New Roman" w:hAnsi="Times New Roman" w:cs="Times New Roman"/>
          <w:sz w:val="24"/>
          <w:szCs w:val="24"/>
          <w:lang w:val="en-US"/>
        </w:rPr>
        <w:t xml:space="preserve"> such as online banking and mobile financial services. Such changes have required HSBC to undergo a series of major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changes encompassing structural </w:t>
      </w:r>
      <w:proofErr w:type="spellStart"/>
      <w:r w:rsidRPr="009C4C27">
        <w:rPr>
          <w:rFonts w:ascii="Times New Roman" w:hAnsi="Times New Roman" w:cs="Times New Roman"/>
          <w:sz w:val="24"/>
          <w:szCs w:val="24"/>
          <w:lang w:val="en-US"/>
        </w:rPr>
        <w:t>reorganisation</w:t>
      </w:r>
      <w:proofErr w:type="spellEnd"/>
      <w:r w:rsidRPr="009C4C27">
        <w:rPr>
          <w:rFonts w:ascii="Times New Roman" w:hAnsi="Times New Roman" w:cs="Times New Roman"/>
          <w:sz w:val="24"/>
          <w:szCs w:val="24"/>
          <w:lang w:val="en-US"/>
        </w:rPr>
        <w:t xml:space="preserve">, cost-reduction </w:t>
      </w:r>
      <w:proofErr w:type="spellStart"/>
      <w:r w:rsidRPr="009C4C27">
        <w:rPr>
          <w:rFonts w:ascii="Times New Roman" w:hAnsi="Times New Roman" w:cs="Times New Roman"/>
          <w:sz w:val="24"/>
          <w:szCs w:val="24"/>
          <w:lang w:val="en-US"/>
        </w:rPr>
        <w:t>programmes</w:t>
      </w:r>
      <w:proofErr w:type="spellEnd"/>
      <w:r w:rsidRPr="009C4C27">
        <w:rPr>
          <w:rFonts w:ascii="Times New Roman" w:hAnsi="Times New Roman" w:cs="Times New Roman"/>
          <w:sz w:val="24"/>
          <w:szCs w:val="24"/>
          <w:lang w:val="en-US"/>
        </w:rPr>
        <w:t>, technology investments, and the strategic repositioning of its operations (Frost, 2022).</w:t>
      </w:r>
    </w:p>
    <w:p w14:paraId="1224D6F2" w14:textId="13835736" w:rsidR="000058FC" w:rsidRPr="009C4C27" w:rsidRDefault="00710EC1" w:rsidP="009C4C27">
      <w:pPr>
        <w:pStyle w:val="Default"/>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In this context, the ability to plan, manage, and sustain strategic change has become critical to HSBC</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xml:space="preserve">s long-term competitiveness. Change management is not only necessary for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survival but also essential for leveraging emerging opportunities such as artificial intelligence (AI), automation, blockchain, digital payments and open banking. This report critically evaluates the strategic change efforts of HSBC, analyses its internal and external environment, discusses relevant change management models, explores the role of leadership and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culture, and proposes a comprehensive strateg</w:t>
      </w:r>
      <w:r w:rsidRPr="009C4C27">
        <w:rPr>
          <w:rFonts w:ascii="Times New Roman" w:hAnsi="Times New Roman" w:cs="Times New Roman"/>
          <w:sz w:val="24"/>
          <w:szCs w:val="24"/>
          <w:lang w:val="en-US"/>
        </w:rPr>
        <w:t xml:space="preserve">ic change management plan to guide future transformation. </w:t>
      </w:r>
    </w:p>
    <w:p w14:paraId="2A56BEFB" w14:textId="0FAB735E" w:rsidR="000058FC" w:rsidRPr="009C4C27" w:rsidRDefault="00710EC1" w:rsidP="009C4C27">
      <w:pPr>
        <w:pStyle w:val="Heading1"/>
        <w:spacing w:line="360" w:lineRule="auto"/>
        <w:jc w:val="both"/>
        <w:rPr>
          <w:rFonts w:ascii="Times New Roman" w:hAnsi="Times New Roman" w:cs="Times New Roman"/>
          <w:b/>
          <w:bCs/>
          <w:color w:val="auto"/>
          <w:sz w:val="24"/>
          <w:szCs w:val="24"/>
          <w:lang w:val="fr-FR"/>
        </w:rPr>
      </w:pPr>
      <w:bookmarkStart w:id="1" w:name="_Toc216911237"/>
      <w:r w:rsidRPr="009C4C27">
        <w:rPr>
          <w:rFonts w:ascii="Times New Roman" w:hAnsi="Times New Roman" w:cs="Times New Roman"/>
          <w:b/>
          <w:bCs/>
          <w:color w:val="auto"/>
          <w:sz w:val="24"/>
          <w:szCs w:val="24"/>
          <w:lang w:val="fr-FR"/>
        </w:rPr>
        <w:t>2. HSBC and Environmental Changes</w:t>
      </w:r>
      <w:bookmarkEnd w:id="1"/>
    </w:p>
    <w:p w14:paraId="2C92BC96" w14:textId="77777777" w:rsidR="00507B9F" w:rsidRPr="00507B9F" w:rsidRDefault="00507B9F"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507B9F">
        <w:rPr>
          <w:rFonts w:eastAsia="Times New Roman"/>
          <w:color w:val="000000"/>
          <w:bdr w:val="none" w:sz="0" w:space="0" w:color="auto"/>
          <w:lang w:val="en-GB" w:eastAsia="en-GB"/>
        </w:rPr>
        <w:t>HSBC’s recent history has been characterised by continuous cycles of strategic transformation aimed at addressing operational inefficiencies, responding to global market volatility, and restoring sustainable competitive advantage. Following the 2008 global financial crisis, the bank faced declining profitability, substantial regulatory penalties, and intensified scrutiny over its risk management practices (Goodhart, 2019). In response, HSBC initiated a series of large-scale change programmes focused on restructuring global operations, reducing risk exposure, and simplifying its complex organisational structure.</w:t>
      </w:r>
    </w:p>
    <w:p w14:paraId="1459A13C" w14:textId="77777777" w:rsidR="00507B9F" w:rsidRPr="00507B9F" w:rsidRDefault="00507B9F"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p>
    <w:p w14:paraId="4D8B2D00" w14:textId="77777777" w:rsidR="00507B9F" w:rsidRPr="00507B9F" w:rsidRDefault="00507B9F"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507B9F">
        <w:rPr>
          <w:rFonts w:eastAsia="Times New Roman"/>
          <w:color w:val="000000"/>
          <w:bdr w:val="none" w:sz="0" w:space="0" w:color="auto"/>
          <w:lang w:val="en-GB" w:eastAsia="en-GB"/>
        </w:rPr>
        <w:lastRenderedPageBreak/>
        <w:t>A prominent example of this restructuring occurred in 2015, when HSBC announced plans to eliminate approximately 50,000 jobs and exit several non-core markets, including Turkey and Brazil, as part of a cost-reduction strategy designed to streamline the business and improve efficiency (Treanor, 2015). More recently, HSBC has intensified its focus on advanced technologies as a core element of its transformation agenda. In December 2025, the bank entered a multi-year strategic partnership with the French AI firm Mistral AI to accelerate the adoption of generative artificial intelligence across its global operations, targeting improvements in internal workflows, customer-facing processes, and overall operational efficiency (HSBC, 2025). Furthermore, in September 2025, HSBC collaborated with IBM to develop quantum-enabled algorithmic trading capabilities, demonstrating the potential commercial value of quantum computing and strengthening the bank’s future competitiveness in digital finance markets (HSBC, 2025).</w:t>
      </w:r>
    </w:p>
    <w:p w14:paraId="6F4A274C" w14:textId="77777777" w:rsidR="00507B9F" w:rsidRPr="00507B9F" w:rsidRDefault="00507B9F"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p>
    <w:p w14:paraId="0AD287B2" w14:textId="77777777" w:rsidR="00507B9F" w:rsidRPr="00507B9F" w:rsidRDefault="00507B9F"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507B9F">
        <w:rPr>
          <w:rFonts w:eastAsia="Times New Roman"/>
          <w:b/>
          <w:bCs/>
          <w:color w:val="000000"/>
          <w:bdr w:val="none" w:sz="0" w:space="0" w:color="auto"/>
          <w:lang w:val="en-GB" w:eastAsia="en-GB"/>
        </w:rPr>
        <w:t>Externally</w:t>
      </w:r>
      <w:r w:rsidRPr="00507B9F">
        <w:rPr>
          <w:rFonts w:eastAsia="Times New Roman"/>
          <w:color w:val="000000"/>
          <w:bdr w:val="none" w:sz="0" w:space="0" w:color="auto"/>
          <w:lang w:val="en-GB" w:eastAsia="en-GB"/>
        </w:rPr>
        <w:t xml:space="preserve">, HSBC has been significantly affected by digital disruption, artificial intelligence, automation, the growth of online banking, and intensifying competition from fintech firms. Digital-only banks such as Monzo, Revolut, and N26 have reshaped customer expectations by offering low-cost, mobile-first, and highly personalised services, compelling traditional banks to accelerate digital investment (Zhang, 2023). </w:t>
      </w:r>
      <w:r w:rsidRPr="00507B9F">
        <w:rPr>
          <w:rFonts w:eastAsia="Times New Roman"/>
          <w:b/>
          <w:bCs/>
          <w:color w:val="000000"/>
          <w:bdr w:val="none" w:sz="0" w:space="0" w:color="auto"/>
          <w:lang w:val="en-GB" w:eastAsia="en-GB"/>
        </w:rPr>
        <w:t>Internally</w:t>
      </w:r>
      <w:r w:rsidRPr="00507B9F">
        <w:rPr>
          <w:rFonts w:eastAsia="Times New Roman"/>
          <w:color w:val="000000"/>
          <w:bdr w:val="none" w:sz="0" w:space="0" w:color="auto"/>
          <w:lang w:val="en-GB" w:eastAsia="en-GB"/>
        </w:rPr>
        <w:t>, HSBC has responded by investing heavily in AI-driven analytics, fraud detection, and compliance systems, reducing exposure to financial crime and regulatory penalties (Frost, 2022).</w:t>
      </w:r>
    </w:p>
    <w:p w14:paraId="49AC7F85" w14:textId="77777777" w:rsidR="00507B9F" w:rsidRPr="00507B9F" w:rsidRDefault="00507B9F"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p>
    <w:p w14:paraId="79A4F292" w14:textId="1E1469DC" w:rsidR="00507B9F" w:rsidRPr="00507B9F" w:rsidRDefault="00507B9F"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proofErr w:type="spellStart"/>
      <w:proofErr w:type="gramStart"/>
      <w:r w:rsidRPr="00507B9F">
        <w:rPr>
          <w:rFonts w:eastAsia="Times New Roman"/>
          <w:color w:val="000000"/>
          <w:bdr w:val="none" w:sz="0" w:space="0" w:color="auto"/>
          <w:lang w:val="en-GB" w:eastAsia="en-GB"/>
        </w:rPr>
        <w:t>Additionally,The</w:t>
      </w:r>
      <w:proofErr w:type="spellEnd"/>
      <w:proofErr w:type="gramEnd"/>
      <w:r w:rsidRPr="00507B9F">
        <w:rPr>
          <w:rFonts w:eastAsia="Times New Roman"/>
          <w:color w:val="000000"/>
          <w:bdr w:val="none" w:sz="0" w:space="0" w:color="auto"/>
          <w:lang w:val="en-GB" w:eastAsia="en-GB"/>
        </w:rPr>
        <w:t xml:space="preserve"> relocation of key leadership functions to Hong Kong aligns with HSBC’s “Pivot to Asia” strategy, recognising stronger long-term growth prospects in Asian markets compared to Europe (HSBC Annual Report, 2022). The COVID-19 pandemic further accelerated digital adoption and branch closures, improving efficiency but generating employee resistance and customer dissatisfaction, thereby reinforcing the importance of effective change management (Martin, 2021). Collectively, these forces underscore the necessity for HSBC to manage change strategically while remaining adaptable, innovative, and </w:t>
      </w:r>
      <w:r w:rsidR="00E40339" w:rsidRPr="009C4C27">
        <w:rPr>
          <w:rFonts w:eastAsia="Times New Roman"/>
          <w:color w:val="000000"/>
          <w:bdr w:val="none" w:sz="0" w:space="0" w:color="auto"/>
          <w:lang w:val="en-GB" w:eastAsia="en-GB"/>
        </w:rPr>
        <w:t>customer focused</w:t>
      </w:r>
      <w:r w:rsidRPr="00507B9F">
        <w:rPr>
          <w:rFonts w:eastAsia="Times New Roman"/>
          <w:color w:val="000000"/>
          <w:bdr w:val="none" w:sz="0" w:space="0" w:color="auto"/>
          <w:lang w:val="en-GB" w:eastAsia="en-GB"/>
        </w:rPr>
        <w:t>.</w:t>
      </w:r>
    </w:p>
    <w:p w14:paraId="1D33F61E" w14:textId="77777777" w:rsidR="00507B9F" w:rsidRPr="009C4C27" w:rsidRDefault="00507B9F" w:rsidP="009C4C27">
      <w:pPr>
        <w:spacing w:line="360" w:lineRule="auto"/>
        <w:jc w:val="both"/>
        <w:rPr>
          <w:lang w:val="fr-FR"/>
        </w:rPr>
      </w:pPr>
    </w:p>
    <w:p w14:paraId="5480A9E8" w14:textId="77777777" w:rsidR="00507B9F" w:rsidRPr="009C4C27" w:rsidRDefault="00507B9F" w:rsidP="009C4C27">
      <w:pPr>
        <w:spacing w:line="360" w:lineRule="auto"/>
        <w:jc w:val="both"/>
        <w:rPr>
          <w:lang w:val="fr-FR"/>
        </w:rPr>
      </w:pPr>
    </w:p>
    <w:p w14:paraId="1E2DC13E" w14:textId="77777777" w:rsidR="00D125BD" w:rsidRPr="009C4C27" w:rsidRDefault="00D125BD" w:rsidP="009C4C27">
      <w:pPr>
        <w:spacing w:line="360" w:lineRule="auto"/>
        <w:jc w:val="both"/>
        <w:rPr>
          <w:lang w:val="fr-FR"/>
        </w:rPr>
      </w:pPr>
    </w:p>
    <w:p w14:paraId="387538CE" w14:textId="77777777" w:rsidR="00162128" w:rsidRPr="009C4C27" w:rsidRDefault="00162128" w:rsidP="009C4C27">
      <w:pPr>
        <w:pStyle w:val="Default"/>
        <w:suppressAutoHyphens/>
        <w:spacing w:before="0" w:after="160" w:line="360" w:lineRule="auto"/>
        <w:jc w:val="both"/>
        <w:rPr>
          <w:rFonts w:ascii="Times New Roman" w:hAnsi="Times New Roman" w:cs="Times New Roman"/>
          <w:b/>
          <w:bCs/>
          <w:sz w:val="24"/>
          <w:szCs w:val="24"/>
          <w:u w:color="000000"/>
          <w:lang w:val="en-US"/>
        </w:rPr>
      </w:pPr>
    </w:p>
    <w:p w14:paraId="1B104D2C" w14:textId="77777777" w:rsidR="00162128" w:rsidRPr="009C4C27" w:rsidRDefault="00162128" w:rsidP="009C4C27">
      <w:pPr>
        <w:pStyle w:val="Default"/>
        <w:suppressAutoHyphens/>
        <w:spacing w:before="0" w:after="160" w:line="360" w:lineRule="auto"/>
        <w:jc w:val="both"/>
        <w:rPr>
          <w:rFonts w:ascii="Times New Roman" w:hAnsi="Times New Roman" w:cs="Times New Roman"/>
          <w:b/>
          <w:bCs/>
          <w:sz w:val="24"/>
          <w:szCs w:val="24"/>
          <w:u w:color="000000"/>
          <w:lang w:val="en-US"/>
        </w:rPr>
      </w:pPr>
    </w:p>
    <w:p w14:paraId="4DE2B384" w14:textId="77777777" w:rsidR="009A0E77" w:rsidRPr="009C4C27" w:rsidRDefault="009A0E77" w:rsidP="009C4C27">
      <w:pPr>
        <w:pStyle w:val="Default"/>
        <w:suppressAutoHyphens/>
        <w:spacing w:before="0" w:after="160" w:line="360" w:lineRule="auto"/>
        <w:jc w:val="both"/>
        <w:rPr>
          <w:rFonts w:ascii="Times New Roman" w:hAnsi="Times New Roman" w:cs="Times New Roman"/>
          <w:b/>
          <w:bCs/>
          <w:sz w:val="24"/>
          <w:szCs w:val="24"/>
          <w:u w:color="000000"/>
          <w:lang w:val="en-US"/>
        </w:rPr>
      </w:pPr>
    </w:p>
    <w:p w14:paraId="57176EFB" w14:textId="77777777" w:rsidR="00095A4A" w:rsidRPr="009C4C27" w:rsidRDefault="00095A4A" w:rsidP="009C4C27">
      <w:pPr>
        <w:pStyle w:val="Default"/>
        <w:suppressAutoHyphens/>
        <w:spacing w:before="0" w:after="160" w:line="360" w:lineRule="auto"/>
        <w:jc w:val="both"/>
        <w:rPr>
          <w:rFonts w:ascii="Times New Roman" w:hAnsi="Times New Roman" w:cs="Times New Roman"/>
          <w:b/>
          <w:bCs/>
          <w:sz w:val="24"/>
          <w:szCs w:val="24"/>
          <w:u w:color="000000"/>
          <w:lang w:val="en-US"/>
        </w:rPr>
      </w:pPr>
    </w:p>
    <w:p w14:paraId="334DB7B6" w14:textId="77777777" w:rsidR="00095A4A" w:rsidRPr="009C4C27" w:rsidRDefault="00095A4A" w:rsidP="009C4C27">
      <w:pPr>
        <w:pStyle w:val="Default"/>
        <w:suppressAutoHyphens/>
        <w:spacing w:before="0" w:after="160" w:line="360" w:lineRule="auto"/>
        <w:jc w:val="both"/>
        <w:rPr>
          <w:rFonts w:ascii="Times New Roman" w:hAnsi="Times New Roman" w:cs="Times New Roman"/>
          <w:b/>
          <w:bCs/>
          <w:sz w:val="24"/>
          <w:szCs w:val="24"/>
          <w:u w:color="000000"/>
          <w:lang w:val="en-US"/>
        </w:rPr>
      </w:pPr>
    </w:p>
    <w:p w14:paraId="1E369DE9" w14:textId="77777777" w:rsidR="00095A4A" w:rsidRPr="009C4C27" w:rsidRDefault="00095A4A" w:rsidP="009C4C27">
      <w:pPr>
        <w:pStyle w:val="Default"/>
        <w:suppressAutoHyphens/>
        <w:spacing w:before="0" w:after="160" w:line="360" w:lineRule="auto"/>
        <w:jc w:val="both"/>
        <w:rPr>
          <w:rFonts w:ascii="Times New Roman" w:hAnsi="Times New Roman" w:cs="Times New Roman"/>
          <w:b/>
          <w:bCs/>
          <w:sz w:val="24"/>
          <w:szCs w:val="24"/>
          <w:u w:color="000000"/>
          <w:lang w:val="en-US"/>
        </w:rPr>
      </w:pPr>
    </w:p>
    <w:p w14:paraId="5E6D984C" w14:textId="77777777" w:rsidR="009A0E77" w:rsidRPr="009C4C27" w:rsidRDefault="009A0E77" w:rsidP="009C4C27">
      <w:pPr>
        <w:pStyle w:val="Default"/>
        <w:suppressAutoHyphens/>
        <w:spacing w:before="0" w:after="160" w:line="360" w:lineRule="auto"/>
        <w:jc w:val="both"/>
        <w:rPr>
          <w:rFonts w:ascii="Times New Roman" w:hAnsi="Times New Roman" w:cs="Times New Roman"/>
          <w:b/>
          <w:bCs/>
          <w:sz w:val="24"/>
          <w:szCs w:val="24"/>
          <w:u w:color="000000"/>
          <w:lang w:val="en-US"/>
        </w:rPr>
      </w:pPr>
    </w:p>
    <w:p w14:paraId="4E343D45" w14:textId="7AC2B391" w:rsidR="00A61A5F" w:rsidRPr="009C4C27" w:rsidRDefault="00A61A5F" w:rsidP="009C4C27">
      <w:pPr>
        <w:pStyle w:val="Default"/>
        <w:suppressAutoHyphens/>
        <w:spacing w:before="0" w:after="160" w:line="360" w:lineRule="auto"/>
        <w:jc w:val="both"/>
        <w:rPr>
          <w:rFonts w:ascii="Times New Roman" w:eastAsia="Helvetica" w:hAnsi="Times New Roman" w:cs="Times New Roman"/>
          <w:sz w:val="24"/>
          <w:szCs w:val="24"/>
          <w:u w:color="000000"/>
        </w:rPr>
      </w:pPr>
      <w:r w:rsidRPr="009C4C27">
        <w:rPr>
          <w:rFonts w:ascii="Times New Roman" w:hAnsi="Times New Roman" w:cs="Times New Roman"/>
          <w:b/>
          <w:bCs/>
          <w:sz w:val="24"/>
          <w:szCs w:val="24"/>
          <w:u w:color="000000"/>
          <w:lang w:val="en-US"/>
        </w:rPr>
        <w:t>PESTLE Analysis Framework</w:t>
      </w:r>
      <w:r w:rsidR="00FB5CAF">
        <w:rPr>
          <w:rFonts w:ascii="Times New Roman" w:hAnsi="Times New Roman" w:cs="Times New Roman"/>
          <w:b/>
          <w:bCs/>
          <w:sz w:val="24"/>
          <w:szCs w:val="24"/>
          <w:u w:color="000000"/>
          <w:lang w:val="en-US"/>
        </w:rPr>
        <w:t xml:space="preserve"> </w:t>
      </w:r>
      <w:bookmarkStart w:id="2" w:name="_Hlk216910925"/>
      <w:r w:rsidR="004755C1">
        <w:rPr>
          <w:rFonts w:ascii="Times New Roman" w:hAnsi="Times New Roman" w:cs="Times New Roman"/>
          <w:b/>
          <w:bCs/>
          <w:sz w:val="24"/>
          <w:szCs w:val="24"/>
          <w:u w:color="000000"/>
          <w:lang w:val="en-US"/>
        </w:rPr>
        <w:t>(created by Rita Roberts)</w:t>
      </w:r>
      <w:bookmarkEnd w:id="2"/>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109"/>
        <w:gridCol w:w="7529"/>
      </w:tblGrid>
      <w:tr w:rsidR="00A61A5F" w:rsidRPr="009C4C27" w14:paraId="61158B7A" w14:textId="77777777" w:rsidTr="005516F3">
        <w:trPr>
          <w:trHeight w:val="240"/>
        </w:trPr>
        <w:tc>
          <w:tcPr>
            <w:tcW w:w="2109" w:type="dxa"/>
            <w:tcBorders>
              <w:top w:val="single" w:sz="2" w:space="0" w:color="000000"/>
              <w:left w:val="single" w:sz="2" w:space="0" w:color="000000"/>
              <w:bottom w:val="single" w:sz="2" w:space="0" w:color="000000"/>
              <w:right w:val="single" w:sz="2" w:space="0" w:color="000000"/>
            </w:tcBorders>
            <w:shd w:val="clear" w:color="auto" w:fill="D4E7F0"/>
            <w:tcMar>
              <w:top w:w="133" w:type="dxa"/>
              <w:left w:w="133" w:type="dxa"/>
              <w:bottom w:w="133" w:type="dxa"/>
              <w:right w:w="133" w:type="dxa"/>
            </w:tcMar>
          </w:tcPr>
          <w:p w14:paraId="451F50B0"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Factor</w:t>
            </w:r>
          </w:p>
        </w:tc>
        <w:tc>
          <w:tcPr>
            <w:tcW w:w="7528" w:type="dxa"/>
            <w:tcBorders>
              <w:top w:val="single" w:sz="2" w:space="0" w:color="000000"/>
              <w:left w:val="single" w:sz="2" w:space="0" w:color="000000"/>
              <w:bottom w:val="single" w:sz="2" w:space="0" w:color="000000"/>
              <w:right w:val="single" w:sz="2" w:space="0" w:color="000000"/>
            </w:tcBorders>
            <w:shd w:val="clear" w:color="auto" w:fill="D4E7F0"/>
            <w:tcMar>
              <w:top w:w="133" w:type="dxa"/>
              <w:left w:w="133" w:type="dxa"/>
              <w:bottom w:w="133" w:type="dxa"/>
              <w:right w:w="133" w:type="dxa"/>
            </w:tcMar>
          </w:tcPr>
          <w:p w14:paraId="5D675ADC"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Impact on HSBC</w:t>
            </w:r>
          </w:p>
        </w:tc>
      </w:tr>
      <w:tr w:rsidR="00A61A5F" w:rsidRPr="009C4C27" w14:paraId="1BF66B4C" w14:textId="77777777" w:rsidTr="005516F3">
        <w:trPr>
          <w:trHeight w:val="480"/>
        </w:trPr>
        <w:tc>
          <w:tcPr>
            <w:tcW w:w="2109" w:type="dxa"/>
            <w:tcBorders>
              <w:top w:val="single" w:sz="2" w:space="0" w:color="000000"/>
              <w:left w:val="single" w:sz="2" w:space="0" w:color="000000"/>
              <w:bottom w:val="single" w:sz="2" w:space="0" w:color="000000"/>
              <w:right w:val="single" w:sz="2" w:space="0" w:color="000000"/>
            </w:tcBorders>
            <w:shd w:val="clear" w:color="auto" w:fill="F5F5F5"/>
            <w:tcMar>
              <w:top w:w="133" w:type="dxa"/>
              <w:left w:w="133" w:type="dxa"/>
              <w:bottom w:w="133" w:type="dxa"/>
              <w:right w:w="133" w:type="dxa"/>
            </w:tcMar>
          </w:tcPr>
          <w:p w14:paraId="1294B432"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Political</w:t>
            </w:r>
          </w:p>
        </w:tc>
        <w:tc>
          <w:tcPr>
            <w:tcW w:w="7528" w:type="dxa"/>
            <w:tcBorders>
              <w:top w:val="single" w:sz="2" w:space="0" w:color="000000"/>
              <w:left w:val="single" w:sz="2" w:space="0" w:color="000000"/>
              <w:bottom w:val="single" w:sz="2" w:space="0" w:color="000000"/>
              <w:right w:val="single" w:sz="2" w:space="0" w:color="000000"/>
            </w:tcBorders>
            <w:shd w:val="clear" w:color="auto" w:fill="F5F5F5"/>
            <w:tcMar>
              <w:top w:w="133" w:type="dxa"/>
              <w:left w:w="133" w:type="dxa"/>
              <w:bottom w:w="133" w:type="dxa"/>
              <w:right w:w="133" w:type="dxa"/>
            </w:tcMar>
          </w:tcPr>
          <w:p w14:paraId="6DD192B7"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Geopolitical tensions including China-US relations and Brexit affect international operations and regulatory requirements across multiple jurisdictions</w:t>
            </w:r>
          </w:p>
        </w:tc>
      </w:tr>
      <w:tr w:rsidR="00A61A5F" w:rsidRPr="009C4C27" w14:paraId="6DEA1016" w14:textId="77777777" w:rsidTr="005516F3">
        <w:trPr>
          <w:trHeight w:val="480"/>
        </w:trPr>
        <w:tc>
          <w:tcPr>
            <w:tcW w:w="2109" w:type="dxa"/>
            <w:tcBorders>
              <w:top w:val="single" w:sz="2" w:space="0" w:color="000000"/>
              <w:left w:val="single" w:sz="2" w:space="0" w:color="000000"/>
              <w:bottom w:val="single" w:sz="2" w:space="0" w:color="000000"/>
              <w:right w:val="single" w:sz="2" w:space="0" w:color="000000"/>
            </w:tcBorders>
            <w:tcMar>
              <w:top w:w="133" w:type="dxa"/>
              <w:left w:w="133" w:type="dxa"/>
              <w:bottom w:w="133" w:type="dxa"/>
              <w:right w:w="133" w:type="dxa"/>
            </w:tcMar>
          </w:tcPr>
          <w:p w14:paraId="577EFCFA"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Economic</w:t>
            </w:r>
          </w:p>
        </w:tc>
        <w:tc>
          <w:tcPr>
            <w:tcW w:w="7528" w:type="dxa"/>
            <w:tcBorders>
              <w:top w:val="single" w:sz="2" w:space="0" w:color="000000"/>
              <w:left w:val="single" w:sz="2" w:space="0" w:color="000000"/>
              <w:bottom w:val="single" w:sz="2" w:space="0" w:color="000000"/>
              <w:right w:val="single" w:sz="2" w:space="0" w:color="000000"/>
            </w:tcBorders>
            <w:tcMar>
              <w:top w:w="133" w:type="dxa"/>
              <w:left w:w="133" w:type="dxa"/>
              <w:bottom w:w="133" w:type="dxa"/>
              <w:right w:w="133" w:type="dxa"/>
            </w:tcMar>
          </w:tcPr>
          <w:p w14:paraId="3DBBEFC4"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Interest rate fluctuations, inflation, currency volatility, and property market cycles directly impact profitability and credit risk exposure</w:t>
            </w:r>
          </w:p>
        </w:tc>
      </w:tr>
      <w:tr w:rsidR="00A61A5F" w:rsidRPr="009C4C27" w14:paraId="7851FAC3" w14:textId="77777777" w:rsidTr="005516F3">
        <w:trPr>
          <w:trHeight w:val="480"/>
        </w:trPr>
        <w:tc>
          <w:tcPr>
            <w:tcW w:w="2109" w:type="dxa"/>
            <w:tcBorders>
              <w:top w:val="single" w:sz="2" w:space="0" w:color="000000"/>
              <w:left w:val="single" w:sz="2" w:space="0" w:color="000000"/>
              <w:bottom w:val="single" w:sz="2" w:space="0" w:color="000000"/>
              <w:right w:val="single" w:sz="2" w:space="0" w:color="000000"/>
            </w:tcBorders>
            <w:shd w:val="clear" w:color="auto" w:fill="F5F5F5"/>
            <w:tcMar>
              <w:top w:w="133" w:type="dxa"/>
              <w:left w:w="133" w:type="dxa"/>
              <w:bottom w:w="133" w:type="dxa"/>
              <w:right w:w="133" w:type="dxa"/>
            </w:tcMar>
          </w:tcPr>
          <w:p w14:paraId="47780CAF"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Social</w:t>
            </w:r>
          </w:p>
        </w:tc>
        <w:tc>
          <w:tcPr>
            <w:tcW w:w="7528" w:type="dxa"/>
            <w:tcBorders>
              <w:top w:val="single" w:sz="2" w:space="0" w:color="000000"/>
              <w:left w:val="single" w:sz="2" w:space="0" w:color="000000"/>
              <w:bottom w:val="single" w:sz="2" w:space="0" w:color="000000"/>
              <w:right w:val="single" w:sz="2" w:space="0" w:color="000000"/>
            </w:tcBorders>
            <w:shd w:val="clear" w:color="auto" w:fill="F5F5F5"/>
            <w:tcMar>
              <w:top w:w="133" w:type="dxa"/>
              <w:left w:w="133" w:type="dxa"/>
              <w:bottom w:w="133" w:type="dxa"/>
              <w:right w:w="133" w:type="dxa"/>
            </w:tcMar>
          </w:tcPr>
          <w:p w14:paraId="638B769B"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Growing demand for digital banking, demographic shifts in service preferences, expectations around financial inclusion and responsible banking practices</w:t>
            </w:r>
          </w:p>
        </w:tc>
      </w:tr>
      <w:tr w:rsidR="00A61A5F" w:rsidRPr="009C4C27" w14:paraId="0D918D9C" w14:textId="77777777" w:rsidTr="005516F3">
        <w:trPr>
          <w:trHeight w:val="480"/>
        </w:trPr>
        <w:tc>
          <w:tcPr>
            <w:tcW w:w="2109" w:type="dxa"/>
            <w:tcBorders>
              <w:top w:val="single" w:sz="2" w:space="0" w:color="000000"/>
              <w:left w:val="single" w:sz="2" w:space="0" w:color="000000"/>
              <w:bottom w:val="single" w:sz="2" w:space="0" w:color="000000"/>
              <w:right w:val="single" w:sz="2" w:space="0" w:color="000000"/>
            </w:tcBorders>
            <w:tcMar>
              <w:top w:w="133" w:type="dxa"/>
              <w:left w:w="133" w:type="dxa"/>
              <w:bottom w:w="133" w:type="dxa"/>
              <w:right w:w="133" w:type="dxa"/>
            </w:tcMar>
          </w:tcPr>
          <w:p w14:paraId="7C0DFE9A"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Technological</w:t>
            </w:r>
          </w:p>
        </w:tc>
        <w:tc>
          <w:tcPr>
            <w:tcW w:w="7528" w:type="dxa"/>
            <w:tcBorders>
              <w:top w:val="single" w:sz="2" w:space="0" w:color="000000"/>
              <w:left w:val="single" w:sz="2" w:space="0" w:color="000000"/>
              <w:bottom w:val="single" w:sz="2" w:space="0" w:color="000000"/>
              <w:right w:val="single" w:sz="2" w:space="0" w:color="000000"/>
            </w:tcBorders>
            <w:tcMar>
              <w:top w:w="133" w:type="dxa"/>
              <w:left w:w="133" w:type="dxa"/>
              <w:bottom w:w="133" w:type="dxa"/>
              <w:right w:w="133" w:type="dxa"/>
            </w:tcMar>
          </w:tcPr>
          <w:p w14:paraId="3FED4C36"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Rapid AI, blockchain, and cloud innovation requiring continuous investment; fintech competition; cybersecurity risks; legacy system constraints</w:t>
            </w:r>
          </w:p>
        </w:tc>
      </w:tr>
      <w:tr w:rsidR="00A61A5F" w:rsidRPr="009C4C27" w14:paraId="6A90074A" w14:textId="77777777" w:rsidTr="005516F3">
        <w:trPr>
          <w:trHeight w:val="480"/>
        </w:trPr>
        <w:tc>
          <w:tcPr>
            <w:tcW w:w="2109" w:type="dxa"/>
            <w:tcBorders>
              <w:top w:val="single" w:sz="2" w:space="0" w:color="000000"/>
              <w:left w:val="single" w:sz="2" w:space="0" w:color="000000"/>
              <w:bottom w:val="single" w:sz="2" w:space="0" w:color="000000"/>
              <w:right w:val="single" w:sz="2" w:space="0" w:color="000000"/>
            </w:tcBorders>
            <w:shd w:val="clear" w:color="auto" w:fill="F5F5F5"/>
            <w:tcMar>
              <w:top w:w="133" w:type="dxa"/>
              <w:left w:w="133" w:type="dxa"/>
              <w:bottom w:w="133" w:type="dxa"/>
              <w:right w:w="133" w:type="dxa"/>
            </w:tcMar>
          </w:tcPr>
          <w:p w14:paraId="23F252EB"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Legal</w:t>
            </w:r>
          </w:p>
        </w:tc>
        <w:tc>
          <w:tcPr>
            <w:tcW w:w="7528" w:type="dxa"/>
            <w:tcBorders>
              <w:top w:val="single" w:sz="2" w:space="0" w:color="000000"/>
              <w:left w:val="single" w:sz="2" w:space="0" w:color="000000"/>
              <w:bottom w:val="single" w:sz="2" w:space="0" w:color="000000"/>
              <w:right w:val="single" w:sz="2" w:space="0" w:color="000000"/>
            </w:tcBorders>
            <w:shd w:val="clear" w:color="auto" w:fill="F5F5F5"/>
            <w:tcMar>
              <w:top w:w="133" w:type="dxa"/>
              <w:left w:w="133" w:type="dxa"/>
              <w:bottom w:w="133" w:type="dxa"/>
              <w:right w:w="133" w:type="dxa"/>
            </w:tcMar>
          </w:tcPr>
          <w:p w14:paraId="2263D285"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Complex regulatory compliance across jurisdictions including GDPR, anti-money laundering, consumer protection, and capital adequacy requirements</w:t>
            </w:r>
          </w:p>
        </w:tc>
      </w:tr>
      <w:tr w:rsidR="00A61A5F" w:rsidRPr="009C4C27" w14:paraId="71EB68FA" w14:textId="77777777" w:rsidTr="005516F3">
        <w:trPr>
          <w:trHeight w:val="480"/>
        </w:trPr>
        <w:tc>
          <w:tcPr>
            <w:tcW w:w="2109" w:type="dxa"/>
            <w:tcBorders>
              <w:top w:val="single" w:sz="2" w:space="0" w:color="000000"/>
              <w:left w:val="single" w:sz="2" w:space="0" w:color="000000"/>
              <w:bottom w:val="single" w:sz="2" w:space="0" w:color="000000"/>
              <w:right w:val="single" w:sz="2" w:space="0" w:color="000000"/>
            </w:tcBorders>
            <w:tcMar>
              <w:top w:w="133" w:type="dxa"/>
              <w:left w:w="133" w:type="dxa"/>
              <w:bottom w:w="133" w:type="dxa"/>
              <w:right w:w="133" w:type="dxa"/>
            </w:tcMar>
          </w:tcPr>
          <w:p w14:paraId="32748CF5"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Environmental</w:t>
            </w:r>
          </w:p>
        </w:tc>
        <w:tc>
          <w:tcPr>
            <w:tcW w:w="7528" w:type="dxa"/>
            <w:tcBorders>
              <w:top w:val="single" w:sz="2" w:space="0" w:color="000000"/>
              <w:left w:val="single" w:sz="2" w:space="0" w:color="000000"/>
              <w:bottom w:val="single" w:sz="2" w:space="0" w:color="000000"/>
              <w:right w:val="single" w:sz="2" w:space="0" w:color="000000"/>
            </w:tcBorders>
            <w:tcMar>
              <w:top w:w="133" w:type="dxa"/>
              <w:left w:w="133" w:type="dxa"/>
              <w:bottom w:w="133" w:type="dxa"/>
              <w:right w:w="133" w:type="dxa"/>
            </w:tcMar>
          </w:tcPr>
          <w:p w14:paraId="3C505C22" w14:textId="77777777" w:rsidR="00A61A5F" w:rsidRPr="009C4C27" w:rsidRDefault="00A61A5F"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Climate change regulation, ESG disclosure requirements, sustainable finance commitments, physical risks to infrastructure, carbon footprint reduction obligations</w:t>
            </w:r>
          </w:p>
        </w:tc>
      </w:tr>
    </w:tbl>
    <w:p w14:paraId="05D08B6E" w14:textId="77777777" w:rsidR="009070E1" w:rsidRPr="009C4C27" w:rsidRDefault="009070E1" w:rsidP="009C4C27">
      <w:pPr>
        <w:pStyle w:val="Default"/>
        <w:suppressAutoHyphens/>
        <w:spacing w:before="0" w:after="240" w:line="360" w:lineRule="auto"/>
        <w:jc w:val="both"/>
        <w:rPr>
          <w:rFonts w:ascii="Times New Roman" w:eastAsia="Times New Roman" w:hAnsi="Times New Roman" w:cs="Times New Roman"/>
          <w:sz w:val="24"/>
          <w:szCs w:val="24"/>
        </w:rPr>
      </w:pPr>
    </w:p>
    <w:p w14:paraId="0093E854" w14:textId="6CE5D940" w:rsidR="001F4F7D" w:rsidRPr="001F4F7D" w:rsidRDefault="001F4F7D" w:rsidP="009C4C2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1F4F7D">
        <w:rPr>
          <w:rFonts w:eastAsia="Times New Roman"/>
          <w:color w:val="000000"/>
          <w:bdr w:val="none" w:sz="0" w:space="0" w:color="auto"/>
          <w:lang w:val="en-GB" w:eastAsia="en-GB"/>
        </w:rPr>
        <w:t xml:space="preserve">The PESTLE analysis provides a structured evaluation of the macro-environmental forces shaping HSBC’s strategic decision-making and its AI-driven digital transformation agenda. Political and legal </w:t>
      </w:r>
      <w:r w:rsidRPr="001F4F7D">
        <w:rPr>
          <w:rFonts w:eastAsia="Times New Roman"/>
          <w:color w:val="000000"/>
          <w:bdr w:val="none" w:sz="0" w:space="0" w:color="auto"/>
          <w:lang w:val="en-GB" w:eastAsia="en-GB"/>
        </w:rPr>
        <w:lastRenderedPageBreak/>
        <w:t>factors reflect the complexity of operating across multiple jurisdictions, while economic, social, technological, and environmental influences highlight the need for agility, innovation, and sustainability to maintain long-term competitiveness.</w:t>
      </w:r>
    </w:p>
    <w:p w14:paraId="454496B6" w14:textId="55F7031A" w:rsidR="001F4F7D" w:rsidRPr="001F4F7D" w:rsidRDefault="001F4F7D" w:rsidP="009C4C2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1F4F7D">
        <w:rPr>
          <w:rFonts w:eastAsia="Times New Roman"/>
          <w:color w:val="000000"/>
          <w:bdr w:val="none" w:sz="0" w:space="0" w:color="auto"/>
          <w:lang w:val="en-GB" w:eastAsia="en-GB"/>
        </w:rPr>
        <w:t>Politically, HSBC operates within an increasingly volatile geopolitical environment. Tensions between major global powers, directly affect cross-border banking operations, regulatory alignment, and regional investment decisions. These dynamics underpin HSBC’s “Pivot to Asia” strategy, which seeks to capture long-term growth opportunities while mitigating geopolitical risk through strategic reallocation of resources (Wilson, 2021). At the same time, expanding regulatory oversight across global financial markets has intensified compliance obligations related to data privacy, financial crime prevention, and operational resilience, increasing both costs and operational complexity for multinational banks (Goodhart, 2019).</w:t>
      </w:r>
    </w:p>
    <w:p w14:paraId="7356A6CC" w14:textId="77777777" w:rsidR="001F4F7D" w:rsidRPr="001F4F7D" w:rsidRDefault="001F4F7D" w:rsidP="009C4C2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p>
    <w:p w14:paraId="506C0E9F" w14:textId="25D80152" w:rsidR="001F4F7D" w:rsidRPr="001F4F7D" w:rsidRDefault="001F4F7D" w:rsidP="009C4C2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1F4F7D">
        <w:rPr>
          <w:rFonts w:eastAsia="Times New Roman"/>
          <w:color w:val="000000"/>
          <w:bdr w:val="none" w:sz="0" w:space="0" w:color="auto"/>
          <w:lang w:val="en-GB" w:eastAsia="en-GB"/>
        </w:rPr>
        <w:t>Economic conditions significantly influence HSBC’s transformation strategy. Global inflation, interest rate volatility, and recessionary pressures affect customer borrowing behaviour and credit risk. However, stronger economic growth prospects in Asian markets present opportunities for expansion, reinforcing the strategic rationale behind HSBC’s geographic repositioning (HSBC Annual Report, 2022). Social trends further support the need for digital transformation, as customers increasingly expect real-time, mobile-first, and personalised banking services. The COVID-19 pandemic accelerated this shift, reducing reliance on physical branches and intensifying demand for seamless digital channels (Martin, 2021).</w:t>
      </w:r>
    </w:p>
    <w:p w14:paraId="5C79DA74" w14:textId="110DEF0D" w:rsidR="001F4F7D" w:rsidRPr="001F4F7D" w:rsidRDefault="001F4F7D" w:rsidP="009C4C2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1F4F7D">
        <w:rPr>
          <w:rFonts w:eastAsia="Times New Roman"/>
          <w:color w:val="000000"/>
          <w:bdr w:val="none" w:sz="0" w:space="0" w:color="auto"/>
          <w:lang w:val="en-GB" w:eastAsia="en-GB"/>
        </w:rPr>
        <w:t xml:space="preserve">Technological factors are among the most critical drivers of change. Advances in artificial intelligence, automation, blockchain, and digital payments have reshaped the competitive landscape, </w:t>
      </w:r>
      <w:r w:rsidR="00FC5830" w:rsidRPr="009C4C27">
        <w:rPr>
          <w:rFonts w:eastAsia="Times New Roman"/>
          <w:color w:val="000000"/>
          <w:bdr w:val="none" w:sz="0" w:space="0" w:color="auto"/>
          <w:lang w:val="en-GB" w:eastAsia="en-GB"/>
        </w:rPr>
        <w:t>enabled</w:t>
      </w:r>
      <w:r w:rsidRPr="001F4F7D">
        <w:rPr>
          <w:rFonts w:eastAsia="Times New Roman"/>
          <w:color w:val="000000"/>
          <w:bdr w:val="none" w:sz="0" w:space="0" w:color="auto"/>
          <w:lang w:val="en-GB" w:eastAsia="en-GB"/>
        </w:rPr>
        <w:t xml:space="preserve"> innovation while </w:t>
      </w:r>
      <w:r w:rsidR="00142397" w:rsidRPr="009C4C27">
        <w:rPr>
          <w:rFonts w:eastAsia="Times New Roman"/>
          <w:color w:val="000000"/>
          <w:bdr w:val="none" w:sz="0" w:space="0" w:color="auto"/>
          <w:lang w:val="en-GB" w:eastAsia="en-GB"/>
        </w:rPr>
        <w:t>increased</w:t>
      </w:r>
      <w:r w:rsidRPr="001F4F7D">
        <w:rPr>
          <w:rFonts w:eastAsia="Times New Roman"/>
          <w:color w:val="000000"/>
          <w:bdr w:val="none" w:sz="0" w:space="0" w:color="auto"/>
          <w:lang w:val="en-GB" w:eastAsia="en-GB"/>
        </w:rPr>
        <w:t xml:space="preserve"> the risk of technological obsolescence for traditional banks (Frost, 2022). From a legal perspective, stringent anti-money-laundering, data protection, and cybersecurity regulations necessitate continued investment in AI-enabled compliance and risk management systems (Goodhart, 2019). Finally, environmental pressures and expanding ESG reporting requirements emphasise the importance of integrating sustainability objectives into digital transformation strategies to meet regulatory expectations and stakeholder demands (HSBC Annual Report, 2022).</w:t>
      </w:r>
    </w:p>
    <w:p w14:paraId="09C0F951" w14:textId="77777777" w:rsidR="00A7276A" w:rsidRPr="009C4C27" w:rsidRDefault="00A7276A" w:rsidP="009C4C27">
      <w:pPr>
        <w:pStyle w:val="Default"/>
        <w:suppressAutoHyphens/>
        <w:spacing w:before="0" w:after="240" w:line="360" w:lineRule="auto"/>
        <w:jc w:val="both"/>
        <w:rPr>
          <w:rFonts w:ascii="Times New Roman" w:eastAsia="Times New Roman" w:hAnsi="Times New Roman" w:cs="Times New Roman"/>
          <w:sz w:val="24"/>
          <w:szCs w:val="24"/>
        </w:rPr>
      </w:pPr>
    </w:p>
    <w:p w14:paraId="6084C4D8" w14:textId="3076672C" w:rsidR="00722C84" w:rsidRPr="009C4C27" w:rsidRDefault="00501DD2" w:rsidP="009C4C27">
      <w:pPr>
        <w:pStyle w:val="Heading1"/>
        <w:spacing w:line="360" w:lineRule="auto"/>
        <w:jc w:val="both"/>
        <w:rPr>
          <w:rFonts w:ascii="Times New Roman" w:hAnsi="Times New Roman" w:cs="Times New Roman"/>
          <w:b/>
          <w:bCs/>
          <w:color w:val="auto"/>
          <w:sz w:val="24"/>
          <w:szCs w:val="24"/>
          <w:lang w:val="fr-FR"/>
        </w:rPr>
      </w:pPr>
      <w:bookmarkStart w:id="3" w:name="_Toc216911238"/>
      <w:r w:rsidRPr="009C4C27">
        <w:rPr>
          <w:rFonts w:ascii="Times New Roman" w:hAnsi="Times New Roman" w:cs="Times New Roman"/>
          <w:b/>
          <w:bCs/>
          <w:color w:val="auto"/>
          <w:sz w:val="24"/>
          <w:szCs w:val="24"/>
          <w:lang w:val="fr-FR"/>
        </w:rPr>
        <w:t xml:space="preserve">SWOT Analysis </w:t>
      </w:r>
      <w:r w:rsidR="00795D96" w:rsidRPr="009C4C27">
        <w:rPr>
          <w:rFonts w:ascii="Times New Roman" w:hAnsi="Times New Roman" w:cs="Times New Roman"/>
          <w:b/>
          <w:bCs/>
          <w:color w:val="auto"/>
          <w:sz w:val="24"/>
          <w:szCs w:val="24"/>
          <w:lang w:val="fr-FR"/>
        </w:rPr>
        <w:t xml:space="preserve">HSBC </w:t>
      </w:r>
      <w:r w:rsidRPr="009C4C27">
        <w:rPr>
          <w:rFonts w:ascii="Times New Roman" w:hAnsi="Times New Roman" w:cs="Times New Roman"/>
          <w:b/>
          <w:bCs/>
          <w:color w:val="auto"/>
          <w:sz w:val="24"/>
          <w:szCs w:val="24"/>
          <w:lang w:val="fr-FR"/>
        </w:rPr>
        <w:t>(Internal &amp; External</w:t>
      </w:r>
      <w:r w:rsidRPr="009B6D3D">
        <w:rPr>
          <w:rFonts w:ascii="Times New Roman" w:hAnsi="Times New Roman" w:cs="Times New Roman"/>
          <w:b/>
          <w:bCs/>
          <w:color w:val="auto"/>
          <w:sz w:val="24"/>
          <w:szCs w:val="24"/>
          <w:lang w:val="fr-FR"/>
        </w:rPr>
        <w:t>)</w:t>
      </w:r>
      <w:r w:rsidR="009B6D3D" w:rsidRPr="009B6D3D">
        <w:rPr>
          <w:rFonts w:ascii="Times New Roman" w:hAnsi="Times New Roman" w:cs="Times New Roman"/>
          <w:b/>
          <w:bCs/>
          <w:color w:val="auto"/>
          <w:sz w:val="24"/>
          <w:szCs w:val="24"/>
          <w:lang w:val="fr-FR"/>
        </w:rPr>
        <w:t xml:space="preserve"> </w:t>
      </w:r>
      <w:r w:rsidR="009B6D3D" w:rsidRPr="009B6D3D">
        <w:rPr>
          <w:rFonts w:ascii="Times New Roman" w:hAnsi="Times New Roman" w:cs="Times New Roman"/>
          <w:b/>
          <w:bCs/>
          <w:color w:val="auto"/>
          <w:sz w:val="24"/>
          <w:szCs w:val="24"/>
          <w:u w:color="000000"/>
        </w:rPr>
        <w:t>(created by Rita Roberts)</w:t>
      </w:r>
      <w:bookmarkEnd w:id="3"/>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823"/>
        <w:gridCol w:w="4815"/>
      </w:tblGrid>
      <w:tr w:rsidR="00722C84" w:rsidRPr="009C4C27" w14:paraId="0D7D4383" w14:textId="77777777" w:rsidTr="005516F3">
        <w:trPr>
          <w:trHeight w:val="240"/>
        </w:trPr>
        <w:tc>
          <w:tcPr>
            <w:tcW w:w="4822" w:type="dxa"/>
            <w:tcBorders>
              <w:top w:val="single" w:sz="2" w:space="0" w:color="000000"/>
              <w:left w:val="single" w:sz="2" w:space="0" w:color="000000"/>
              <w:bottom w:val="single" w:sz="2" w:space="0" w:color="000000"/>
              <w:right w:val="single" w:sz="2" w:space="0" w:color="000000"/>
            </w:tcBorders>
            <w:shd w:val="clear" w:color="auto" w:fill="D4E7F0"/>
            <w:tcMar>
              <w:top w:w="133" w:type="dxa"/>
              <w:left w:w="133" w:type="dxa"/>
              <w:bottom w:w="133" w:type="dxa"/>
              <w:right w:w="133" w:type="dxa"/>
            </w:tcMar>
          </w:tcPr>
          <w:p w14:paraId="608069D5" w14:textId="77777777" w:rsidR="00722C84" w:rsidRPr="009C4C27" w:rsidRDefault="00722C84"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Strengths</w:t>
            </w:r>
          </w:p>
        </w:tc>
        <w:tc>
          <w:tcPr>
            <w:tcW w:w="4815" w:type="dxa"/>
            <w:tcBorders>
              <w:top w:val="single" w:sz="2" w:space="0" w:color="000000"/>
              <w:left w:val="single" w:sz="2" w:space="0" w:color="000000"/>
              <w:bottom w:val="single" w:sz="2" w:space="0" w:color="000000"/>
              <w:right w:val="single" w:sz="2" w:space="0" w:color="000000"/>
            </w:tcBorders>
            <w:shd w:val="clear" w:color="auto" w:fill="D4E7F0"/>
            <w:tcMar>
              <w:top w:w="133" w:type="dxa"/>
              <w:left w:w="133" w:type="dxa"/>
              <w:bottom w:w="133" w:type="dxa"/>
              <w:right w:w="133" w:type="dxa"/>
            </w:tcMar>
          </w:tcPr>
          <w:p w14:paraId="396908A4" w14:textId="77777777" w:rsidR="00722C84" w:rsidRPr="009C4C27" w:rsidRDefault="00722C84"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Weaknesses</w:t>
            </w:r>
          </w:p>
        </w:tc>
      </w:tr>
      <w:tr w:rsidR="00722C84" w:rsidRPr="009C4C27" w14:paraId="5B4D9E3A" w14:textId="77777777" w:rsidTr="005516F3">
        <w:trPr>
          <w:trHeight w:val="240"/>
        </w:trPr>
        <w:tc>
          <w:tcPr>
            <w:tcW w:w="4822" w:type="dxa"/>
            <w:tcBorders>
              <w:top w:val="single" w:sz="2" w:space="0" w:color="000000"/>
              <w:left w:val="single" w:sz="2" w:space="0" w:color="000000"/>
              <w:bottom w:val="single" w:sz="2" w:space="0" w:color="000000"/>
              <w:right w:val="single" w:sz="2" w:space="0" w:color="000000"/>
            </w:tcBorders>
            <w:shd w:val="clear" w:color="auto" w:fill="D4E7F0"/>
            <w:tcMar>
              <w:top w:w="133" w:type="dxa"/>
              <w:left w:w="133" w:type="dxa"/>
              <w:bottom w:w="133" w:type="dxa"/>
              <w:right w:w="133" w:type="dxa"/>
            </w:tcMar>
          </w:tcPr>
          <w:p w14:paraId="1993BA74" w14:textId="77777777" w:rsidR="00722C84" w:rsidRPr="009C4C27" w:rsidRDefault="00722C84"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lastRenderedPageBreak/>
              <w:t>Opportunities</w:t>
            </w:r>
          </w:p>
        </w:tc>
        <w:tc>
          <w:tcPr>
            <w:tcW w:w="4815" w:type="dxa"/>
            <w:tcBorders>
              <w:top w:val="single" w:sz="2" w:space="0" w:color="000000"/>
              <w:left w:val="single" w:sz="2" w:space="0" w:color="000000"/>
              <w:bottom w:val="single" w:sz="2" w:space="0" w:color="000000"/>
              <w:right w:val="single" w:sz="2" w:space="0" w:color="000000"/>
            </w:tcBorders>
            <w:shd w:val="clear" w:color="auto" w:fill="D4E7F0"/>
            <w:tcMar>
              <w:top w:w="133" w:type="dxa"/>
              <w:left w:w="133" w:type="dxa"/>
              <w:bottom w:w="133" w:type="dxa"/>
              <w:right w:w="133" w:type="dxa"/>
            </w:tcMar>
          </w:tcPr>
          <w:p w14:paraId="5364C104" w14:textId="77777777" w:rsidR="00722C84" w:rsidRPr="009C4C27" w:rsidRDefault="00722C84"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Threats</w:t>
            </w:r>
          </w:p>
        </w:tc>
      </w:tr>
      <w:tr w:rsidR="00722C84" w:rsidRPr="009C4C27" w14:paraId="22347D29" w14:textId="77777777" w:rsidTr="005516F3">
        <w:trPr>
          <w:trHeight w:val="1200"/>
        </w:trPr>
        <w:tc>
          <w:tcPr>
            <w:tcW w:w="4822" w:type="dxa"/>
            <w:tcBorders>
              <w:top w:val="single" w:sz="2" w:space="0" w:color="000000"/>
              <w:left w:val="single" w:sz="2" w:space="0" w:color="000000"/>
              <w:bottom w:val="single" w:sz="2" w:space="0" w:color="000000"/>
              <w:right w:val="single" w:sz="2" w:space="0" w:color="000000"/>
            </w:tcBorders>
            <w:tcMar>
              <w:top w:w="133" w:type="dxa"/>
              <w:left w:w="133" w:type="dxa"/>
              <w:bottom w:w="133" w:type="dxa"/>
              <w:right w:w="133" w:type="dxa"/>
            </w:tcMar>
          </w:tcPr>
          <w:p w14:paraId="4BBC06DD" w14:textId="77777777" w:rsidR="00722C84" w:rsidRPr="009C4C27" w:rsidRDefault="00722C84" w:rsidP="009C4C27">
            <w:pPr>
              <w:pStyle w:val="TableStyle2"/>
              <w:suppressAutoHyphens/>
              <w:spacing w:line="360" w:lineRule="auto"/>
              <w:ind w:left="220"/>
              <w:jc w:val="both"/>
              <w:rPr>
                <w:rFonts w:ascii="Times New Roman" w:hAnsi="Times New Roman" w:cs="Times New Roman"/>
                <w:sz w:val="24"/>
                <w:szCs w:val="24"/>
                <w:u w:color="000000"/>
                <w:lang w:val="en-US"/>
              </w:rPr>
            </w:pPr>
            <w:r w:rsidRPr="009C4C27">
              <w:rPr>
                <w:rFonts w:ascii="Times New Roman" w:hAnsi="Times New Roman" w:cs="Times New Roman"/>
                <w:b/>
                <w:bCs/>
                <w:sz w:val="24"/>
                <w:szCs w:val="24"/>
                <w:u w:color="000000"/>
              </w:rPr>
              <w:t>Strengths</w:t>
            </w:r>
          </w:p>
          <w:p w14:paraId="0760266D" w14:textId="77777777" w:rsidR="00722C84" w:rsidRPr="009C4C27" w:rsidRDefault="00722C84" w:rsidP="009C4C27">
            <w:pPr>
              <w:pStyle w:val="TableStyle2"/>
              <w:numPr>
                <w:ilvl w:val="0"/>
                <w:numId w:val="14"/>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Global brand and extensive international footprint</w:t>
            </w:r>
          </w:p>
          <w:p w14:paraId="0EAEEAC8" w14:textId="77777777" w:rsidR="00722C84" w:rsidRPr="009C4C27" w:rsidRDefault="00722C84" w:rsidP="009C4C27">
            <w:pPr>
              <w:pStyle w:val="TableStyle2"/>
              <w:numPr>
                <w:ilvl w:val="0"/>
                <w:numId w:val="14"/>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Strong capital base and diversified asset portfolio</w:t>
            </w:r>
          </w:p>
          <w:p w14:paraId="6771C38F" w14:textId="77777777" w:rsidR="00722C84" w:rsidRPr="009C4C27" w:rsidRDefault="00722C84" w:rsidP="009C4C27">
            <w:pPr>
              <w:pStyle w:val="TableStyle2"/>
              <w:numPr>
                <w:ilvl w:val="0"/>
                <w:numId w:val="14"/>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Advanced digital initiatives investment and innovation including HSBC Orion platform</w:t>
            </w:r>
          </w:p>
          <w:p w14:paraId="12683B0A" w14:textId="77777777" w:rsidR="00722C84" w:rsidRPr="009C4C27" w:rsidRDefault="00722C84" w:rsidP="009C4C27">
            <w:pPr>
              <w:pStyle w:val="TableStyle2"/>
              <w:numPr>
                <w:ilvl w:val="0"/>
                <w:numId w:val="14"/>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Leadership in trade finance and cross-border payments</w:t>
            </w:r>
          </w:p>
          <w:p w14:paraId="43ADAC4D" w14:textId="77777777" w:rsidR="00722C84" w:rsidRPr="009C4C27" w:rsidRDefault="00722C84" w:rsidP="009C4C27">
            <w:pPr>
              <w:pStyle w:val="TableStyle2"/>
              <w:numPr>
                <w:ilvl w:val="0"/>
                <w:numId w:val="14"/>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Comprehensive ESG and sustainability commitment</w:t>
            </w:r>
          </w:p>
        </w:tc>
        <w:tc>
          <w:tcPr>
            <w:tcW w:w="4815" w:type="dxa"/>
            <w:tcBorders>
              <w:top w:val="single" w:sz="2" w:space="0" w:color="000000"/>
              <w:left w:val="single" w:sz="2" w:space="0" w:color="000000"/>
              <w:bottom w:val="single" w:sz="2" w:space="0" w:color="000000"/>
              <w:right w:val="single" w:sz="2" w:space="0" w:color="000000"/>
            </w:tcBorders>
            <w:tcMar>
              <w:top w:w="133" w:type="dxa"/>
              <w:left w:w="133" w:type="dxa"/>
              <w:bottom w:w="133" w:type="dxa"/>
              <w:right w:w="133" w:type="dxa"/>
            </w:tcMar>
          </w:tcPr>
          <w:p w14:paraId="78B7CC41" w14:textId="77777777" w:rsidR="00722C84" w:rsidRPr="009C4C27" w:rsidRDefault="00722C84" w:rsidP="009C4C27">
            <w:pPr>
              <w:pStyle w:val="TableStyle2"/>
              <w:suppressAutoHyphens/>
              <w:spacing w:line="360" w:lineRule="auto"/>
              <w:ind w:left="220"/>
              <w:jc w:val="both"/>
              <w:rPr>
                <w:rFonts w:ascii="Times New Roman" w:hAnsi="Times New Roman" w:cs="Times New Roman"/>
                <w:sz w:val="24"/>
                <w:szCs w:val="24"/>
                <w:u w:color="000000"/>
                <w:lang w:val="en-US"/>
              </w:rPr>
            </w:pPr>
            <w:r w:rsidRPr="009C4C27">
              <w:rPr>
                <w:rFonts w:ascii="Times New Roman" w:hAnsi="Times New Roman" w:cs="Times New Roman"/>
                <w:b/>
                <w:bCs/>
                <w:sz w:val="24"/>
                <w:szCs w:val="24"/>
                <w:u w:color="000000"/>
              </w:rPr>
              <w:t>Weaknesses</w:t>
            </w:r>
          </w:p>
          <w:p w14:paraId="3E23C1FD" w14:textId="77777777" w:rsidR="00722C84" w:rsidRPr="009C4C27" w:rsidRDefault="00722C84" w:rsidP="009C4C27">
            <w:pPr>
              <w:pStyle w:val="TableStyle2"/>
              <w:numPr>
                <w:ilvl w:val="0"/>
                <w:numId w:val="15"/>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Legacy technology systems in multiple regions</w:t>
            </w:r>
          </w:p>
          <w:p w14:paraId="7CD5E1CB" w14:textId="77777777" w:rsidR="00722C84" w:rsidRPr="009C4C27" w:rsidRDefault="00722C84" w:rsidP="009C4C27">
            <w:pPr>
              <w:pStyle w:val="TableStyle2"/>
              <w:numPr>
                <w:ilvl w:val="0"/>
                <w:numId w:val="15"/>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Complex organizational structure across jurisdictions</w:t>
            </w:r>
          </w:p>
          <w:p w14:paraId="3444359D" w14:textId="77777777" w:rsidR="00722C84" w:rsidRPr="009C4C27" w:rsidRDefault="00722C84" w:rsidP="009C4C27">
            <w:pPr>
              <w:pStyle w:val="TableStyle2"/>
              <w:numPr>
                <w:ilvl w:val="0"/>
                <w:numId w:val="15"/>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Complex regulatory environment increases compliance burden</w:t>
            </w:r>
          </w:p>
          <w:p w14:paraId="37C98E18" w14:textId="77777777" w:rsidR="00722C84" w:rsidRPr="009C4C27" w:rsidRDefault="00722C84" w:rsidP="009C4C27">
            <w:pPr>
              <w:pStyle w:val="TableStyle2"/>
              <w:numPr>
                <w:ilvl w:val="0"/>
                <w:numId w:val="15"/>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Lower agility compared to fintech competitors</w:t>
            </w:r>
          </w:p>
          <w:p w14:paraId="4A5D0230" w14:textId="77777777" w:rsidR="00722C84" w:rsidRPr="009C4C27" w:rsidRDefault="00722C84" w:rsidP="009C4C27">
            <w:pPr>
              <w:pStyle w:val="TableStyle2"/>
              <w:numPr>
                <w:ilvl w:val="0"/>
                <w:numId w:val="15"/>
              </w:numPr>
              <w:suppressAutoHyphens/>
              <w:spacing w:line="360" w:lineRule="auto"/>
              <w:jc w:val="both"/>
              <w:rPr>
                <w:rFonts w:ascii="Times New Roman" w:hAnsi="Times New Roman" w:cs="Times New Roman"/>
                <w:sz w:val="24"/>
                <w:szCs w:val="24"/>
                <w:u w:color="000000"/>
                <w:lang w:val="en-US"/>
              </w:rPr>
            </w:pPr>
          </w:p>
          <w:p w14:paraId="6D29D29C" w14:textId="1EDE71DD" w:rsidR="00722C84" w:rsidRPr="009C4C27" w:rsidRDefault="00453CB0" w:rsidP="009C4C27">
            <w:pPr>
              <w:pStyle w:val="TableStyle2"/>
              <w:numPr>
                <w:ilvl w:val="0"/>
                <w:numId w:val="15"/>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High-cost</w:t>
            </w:r>
            <w:r w:rsidR="00722C84" w:rsidRPr="009C4C27">
              <w:rPr>
                <w:rFonts w:ascii="Times New Roman" w:hAnsi="Times New Roman" w:cs="Times New Roman"/>
                <w:sz w:val="24"/>
                <w:szCs w:val="24"/>
                <w:u w:color="000000"/>
                <w:lang w:val="en-US"/>
              </w:rPr>
              <w:t xml:space="preserve"> base and constant restructuring may affect morale.</w:t>
            </w:r>
          </w:p>
          <w:p w14:paraId="7881AF71" w14:textId="77777777" w:rsidR="00722C84" w:rsidRPr="009C4C27" w:rsidRDefault="00722C84" w:rsidP="009C4C27">
            <w:pPr>
              <w:pStyle w:val="TableStyle2"/>
              <w:numPr>
                <w:ilvl w:val="0"/>
                <w:numId w:val="15"/>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Net-zero target postponement raises ESG credibility concerns</w:t>
            </w:r>
          </w:p>
        </w:tc>
      </w:tr>
      <w:tr w:rsidR="00722C84" w:rsidRPr="009C4C27" w14:paraId="52395FEE" w14:textId="77777777" w:rsidTr="005516F3">
        <w:trPr>
          <w:trHeight w:val="1200"/>
        </w:trPr>
        <w:tc>
          <w:tcPr>
            <w:tcW w:w="4822" w:type="dxa"/>
            <w:tcBorders>
              <w:top w:val="single" w:sz="2" w:space="0" w:color="000000"/>
              <w:left w:val="single" w:sz="2" w:space="0" w:color="000000"/>
              <w:bottom w:val="single" w:sz="2" w:space="0" w:color="000000"/>
              <w:right w:val="single" w:sz="2" w:space="0" w:color="000000"/>
            </w:tcBorders>
            <w:shd w:val="clear" w:color="auto" w:fill="F5F5F5"/>
            <w:tcMar>
              <w:top w:w="133" w:type="dxa"/>
              <w:left w:w="133" w:type="dxa"/>
              <w:bottom w:w="133" w:type="dxa"/>
              <w:right w:w="133" w:type="dxa"/>
            </w:tcMar>
          </w:tcPr>
          <w:p w14:paraId="52B25227" w14:textId="77777777" w:rsidR="00722C84" w:rsidRPr="009C4C27" w:rsidRDefault="00722C84" w:rsidP="009C4C27">
            <w:pPr>
              <w:pStyle w:val="TableStyle2"/>
              <w:suppressAutoHyphens/>
              <w:spacing w:line="360" w:lineRule="auto"/>
              <w:ind w:left="220"/>
              <w:jc w:val="both"/>
              <w:rPr>
                <w:rFonts w:ascii="Times New Roman" w:hAnsi="Times New Roman" w:cs="Times New Roman"/>
                <w:b/>
                <w:bCs/>
                <w:sz w:val="24"/>
                <w:szCs w:val="24"/>
                <w:u w:color="000000"/>
              </w:rPr>
            </w:pPr>
            <w:r w:rsidRPr="009C4C27">
              <w:rPr>
                <w:rFonts w:ascii="Times New Roman" w:hAnsi="Times New Roman" w:cs="Times New Roman"/>
                <w:b/>
                <w:bCs/>
                <w:sz w:val="24"/>
                <w:szCs w:val="24"/>
                <w:u w:color="000000"/>
              </w:rPr>
              <w:t>Opportunities</w:t>
            </w:r>
          </w:p>
          <w:p w14:paraId="1E068E38" w14:textId="77777777" w:rsidR="00722C84" w:rsidRPr="009C4C27" w:rsidRDefault="00722C84" w:rsidP="009C4C27">
            <w:pPr>
              <w:pStyle w:val="TableStyle2"/>
              <w:suppressAutoHyphens/>
              <w:spacing w:line="360" w:lineRule="auto"/>
              <w:jc w:val="both"/>
              <w:rPr>
                <w:rFonts w:ascii="Times New Roman" w:hAnsi="Times New Roman" w:cs="Times New Roman"/>
                <w:sz w:val="24"/>
                <w:szCs w:val="24"/>
                <w:u w:color="000000"/>
                <w:lang w:val="en-US"/>
              </w:rPr>
            </w:pPr>
          </w:p>
          <w:p w14:paraId="7C8AAAF8" w14:textId="77777777" w:rsidR="00722C84" w:rsidRPr="009C4C27" w:rsidRDefault="00722C84" w:rsidP="009C4C27">
            <w:pPr>
              <w:pStyle w:val="TableStyle2"/>
              <w:numPr>
                <w:ilvl w:val="0"/>
                <w:numId w:val="16"/>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 xml:space="preserve">Digital banking and mobile platform </w:t>
            </w:r>
          </w:p>
          <w:p w14:paraId="6ECDE7DF" w14:textId="77777777" w:rsidR="00722C84" w:rsidRPr="009C4C27" w:rsidRDefault="00722C84" w:rsidP="009C4C27">
            <w:pPr>
              <w:pStyle w:val="TableStyle2"/>
              <w:numPr>
                <w:ilvl w:val="0"/>
                <w:numId w:val="16"/>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Expansion in sustainable financial services.</w:t>
            </w:r>
          </w:p>
          <w:p w14:paraId="6C4558E9" w14:textId="77777777" w:rsidR="00722C84" w:rsidRPr="009C4C27" w:rsidRDefault="00722C84" w:rsidP="009C4C27">
            <w:pPr>
              <w:pStyle w:val="TableStyle2"/>
              <w:numPr>
                <w:ilvl w:val="0"/>
                <w:numId w:val="16"/>
              </w:numPr>
              <w:suppressAutoHyphens/>
              <w:spacing w:line="360" w:lineRule="auto"/>
              <w:jc w:val="both"/>
              <w:rPr>
                <w:rFonts w:ascii="Times New Roman" w:hAnsi="Times New Roman" w:cs="Times New Roman"/>
                <w:sz w:val="24"/>
                <w:szCs w:val="24"/>
                <w:u w:color="000000"/>
                <w:lang w:val="en-US"/>
              </w:rPr>
            </w:pPr>
          </w:p>
          <w:p w14:paraId="3B70C912" w14:textId="77777777" w:rsidR="00722C84" w:rsidRPr="009C4C27" w:rsidRDefault="00722C84" w:rsidP="009C4C27">
            <w:pPr>
              <w:pStyle w:val="TableStyle2"/>
              <w:numPr>
                <w:ilvl w:val="0"/>
                <w:numId w:val="16"/>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Emerging market growth, particularly in Asia</w:t>
            </w:r>
          </w:p>
          <w:p w14:paraId="70DE9D10" w14:textId="2CA6C45F" w:rsidR="00722C84" w:rsidRPr="009C4C27" w:rsidRDefault="00722C84" w:rsidP="009C4C27">
            <w:pPr>
              <w:pStyle w:val="TableStyle2"/>
              <w:numPr>
                <w:ilvl w:val="0"/>
                <w:numId w:val="16"/>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 xml:space="preserve">Economic </w:t>
            </w:r>
            <w:r w:rsidR="00512E43" w:rsidRPr="009C4C27">
              <w:rPr>
                <w:rFonts w:ascii="Times New Roman" w:hAnsi="Times New Roman" w:cs="Times New Roman"/>
                <w:sz w:val="24"/>
                <w:szCs w:val="24"/>
                <w:u w:color="000000"/>
                <w:lang w:val="en-US"/>
              </w:rPr>
              <w:t>reforms (</w:t>
            </w:r>
            <w:r w:rsidRPr="009C4C27">
              <w:rPr>
                <w:rFonts w:ascii="Times New Roman" w:hAnsi="Times New Roman" w:cs="Times New Roman"/>
                <w:sz w:val="24"/>
                <w:szCs w:val="24"/>
                <w:u w:color="000000"/>
                <w:lang w:val="en-US"/>
              </w:rPr>
              <w:t>e.g., potential UK ring-fencing changes</w:t>
            </w:r>
          </w:p>
          <w:p w14:paraId="273C73BD" w14:textId="77777777" w:rsidR="00722C84" w:rsidRPr="009C4C27" w:rsidRDefault="00722C84" w:rsidP="009C4C27">
            <w:pPr>
              <w:pStyle w:val="TableStyle2"/>
              <w:numPr>
                <w:ilvl w:val="0"/>
                <w:numId w:val="16"/>
              </w:numPr>
              <w:suppressAutoHyphens/>
              <w:spacing w:line="360" w:lineRule="auto"/>
              <w:jc w:val="both"/>
              <w:rPr>
                <w:rFonts w:ascii="Times New Roman" w:hAnsi="Times New Roman" w:cs="Times New Roman"/>
                <w:sz w:val="24"/>
                <w:szCs w:val="24"/>
                <w:u w:color="000000"/>
                <w:lang w:val="en-US"/>
              </w:rPr>
            </w:pPr>
            <w:proofErr w:type="spellStart"/>
            <w:r w:rsidRPr="009C4C27">
              <w:rPr>
                <w:rFonts w:ascii="Times New Roman" w:hAnsi="Times New Roman" w:cs="Times New Roman"/>
                <w:sz w:val="24"/>
                <w:szCs w:val="24"/>
                <w:u w:color="000000"/>
                <w:lang w:val="en-US"/>
              </w:rPr>
              <w:t>Tokenisation</w:t>
            </w:r>
            <w:proofErr w:type="spellEnd"/>
            <w:r w:rsidRPr="009C4C27">
              <w:rPr>
                <w:rFonts w:ascii="Times New Roman" w:hAnsi="Times New Roman" w:cs="Times New Roman"/>
                <w:sz w:val="24"/>
                <w:szCs w:val="24"/>
                <w:u w:color="000000"/>
                <w:lang w:val="en-US"/>
              </w:rPr>
              <w:t xml:space="preserve"> and digital asset services</w:t>
            </w:r>
          </w:p>
          <w:p w14:paraId="5530D620" w14:textId="77777777" w:rsidR="00722C84" w:rsidRPr="009C4C27" w:rsidRDefault="00722C84" w:rsidP="009C4C27">
            <w:pPr>
              <w:pStyle w:val="TableStyle2"/>
              <w:numPr>
                <w:ilvl w:val="0"/>
                <w:numId w:val="16"/>
              </w:numPr>
              <w:suppressAutoHyphens/>
              <w:spacing w:line="360" w:lineRule="auto"/>
              <w:jc w:val="both"/>
              <w:rPr>
                <w:rFonts w:ascii="Times New Roman" w:hAnsi="Times New Roman" w:cs="Times New Roman"/>
                <w:sz w:val="24"/>
                <w:szCs w:val="24"/>
                <w:u w:color="000000"/>
                <w:lang w:val="en-US"/>
              </w:rPr>
            </w:pPr>
          </w:p>
          <w:p w14:paraId="4D9379DE" w14:textId="77777777" w:rsidR="00722C84" w:rsidRPr="009C4C27" w:rsidRDefault="00722C84" w:rsidP="009C4C27">
            <w:pPr>
              <w:pStyle w:val="TableStyle2"/>
              <w:numPr>
                <w:ilvl w:val="0"/>
                <w:numId w:val="16"/>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Wealth management in high-growth markets and digital services</w:t>
            </w:r>
          </w:p>
          <w:p w14:paraId="2DB7173C" w14:textId="77777777" w:rsidR="00722C84" w:rsidRPr="009C4C27" w:rsidRDefault="00722C84" w:rsidP="009C4C27">
            <w:pPr>
              <w:pStyle w:val="TableStyle2"/>
              <w:numPr>
                <w:ilvl w:val="0"/>
                <w:numId w:val="16"/>
              </w:numPr>
              <w:suppressAutoHyphens/>
              <w:spacing w:line="360" w:lineRule="auto"/>
              <w:jc w:val="both"/>
              <w:rPr>
                <w:rFonts w:ascii="Times New Roman" w:hAnsi="Times New Roman" w:cs="Times New Roman"/>
                <w:sz w:val="24"/>
                <w:szCs w:val="24"/>
                <w:u w:color="000000"/>
                <w:lang w:val="en-US"/>
              </w:rPr>
            </w:pPr>
          </w:p>
          <w:p w14:paraId="64032D9D" w14:textId="77777777" w:rsidR="00722C84" w:rsidRPr="009C4C27" w:rsidRDefault="00722C84" w:rsidP="009C4C27">
            <w:pPr>
              <w:pStyle w:val="TableStyle2"/>
              <w:numPr>
                <w:ilvl w:val="0"/>
                <w:numId w:val="16"/>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AI-driven personalization and analytics</w:t>
            </w:r>
          </w:p>
        </w:tc>
        <w:tc>
          <w:tcPr>
            <w:tcW w:w="4815" w:type="dxa"/>
            <w:tcBorders>
              <w:top w:val="single" w:sz="2" w:space="0" w:color="000000"/>
              <w:left w:val="single" w:sz="2" w:space="0" w:color="000000"/>
              <w:bottom w:val="single" w:sz="2" w:space="0" w:color="000000"/>
              <w:right w:val="single" w:sz="2" w:space="0" w:color="000000"/>
            </w:tcBorders>
            <w:shd w:val="clear" w:color="auto" w:fill="F5F5F5"/>
            <w:tcMar>
              <w:top w:w="133" w:type="dxa"/>
              <w:left w:w="133" w:type="dxa"/>
              <w:bottom w:w="133" w:type="dxa"/>
              <w:right w:w="133" w:type="dxa"/>
            </w:tcMar>
          </w:tcPr>
          <w:p w14:paraId="68F9D18D" w14:textId="77777777" w:rsidR="00722C84" w:rsidRPr="009C4C27" w:rsidRDefault="00722C84" w:rsidP="009C4C27">
            <w:pPr>
              <w:pStyle w:val="TableStyle2"/>
              <w:suppressAutoHyphens/>
              <w:spacing w:line="360" w:lineRule="auto"/>
              <w:ind w:left="220"/>
              <w:jc w:val="both"/>
              <w:rPr>
                <w:rFonts w:ascii="Times New Roman" w:hAnsi="Times New Roman" w:cs="Times New Roman"/>
                <w:sz w:val="24"/>
                <w:szCs w:val="24"/>
                <w:u w:color="000000"/>
                <w:lang w:val="en-US"/>
              </w:rPr>
            </w:pPr>
            <w:r w:rsidRPr="009C4C27">
              <w:rPr>
                <w:rFonts w:ascii="Times New Roman" w:hAnsi="Times New Roman" w:cs="Times New Roman"/>
                <w:b/>
                <w:bCs/>
                <w:sz w:val="24"/>
                <w:szCs w:val="24"/>
                <w:u w:color="000000"/>
              </w:rPr>
              <w:t>Threats</w:t>
            </w:r>
          </w:p>
          <w:p w14:paraId="52E8EF2E" w14:textId="77777777" w:rsidR="00722C84" w:rsidRPr="009C4C27" w:rsidRDefault="00722C84" w:rsidP="009C4C27">
            <w:pPr>
              <w:pStyle w:val="TableStyle2"/>
              <w:numPr>
                <w:ilvl w:val="0"/>
                <w:numId w:val="17"/>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Intensifying fintech and digital challenger competition</w:t>
            </w:r>
          </w:p>
          <w:p w14:paraId="4D2C9333" w14:textId="77777777" w:rsidR="00722C84" w:rsidRPr="009C4C27" w:rsidRDefault="00722C84" w:rsidP="009C4C27">
            <w:pPr>
              <w:pStyle w:val="TableStyle2"/>
              <w:numPr>
                <w:ilvl w:val="0"/>
                <w:numId w:val="17"/>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Cybersecurity threats and data breach risks</w:t>
            </w:r>
          </w:p>
          <w:p w14:paraId="4217DD0D" w14:textId="77777777" w:rsidR="00722C84" w:rsidRPr="009C4C27" w:rsidRDefault="00722C84" w:rsidP="009C4C27">
            <w:pPr>
              <w:pStyle w:val="TableStyle2"/>
              <w:numPr>
                <w:ilvl w:val="0"/>
                <w:numId w:val="17"/>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Macroeconomic volatility and interest rate fluctuations (recession, inflation, credit risk).</w:t>
            </w:r>
          </w:p>
          <w:p w14:paraId="2888072D" w14:textId="77777777" w:rsidR="00722C84" w:rsidRPr="009C4C27" w:rsidRDefault="00722C84" w:rsidP="009C4C27">
            <w:pPr>
              <w:pStyle w:val="TableStyle2"/>
              <w:numPr>
                <w:ilvl w:val="0"/>
                <w:numId w:val="17"/>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Geopolitical tensions affecting international operations (trade wars, marketing issues) impacting operations.</w:t>
            </w:r>
          </w:p>
          <w:p w14:paraId="05881FD2" w14:textId="77777777" w:rsidR="00722C84" w:rsidRPr="009C4C27" w:rsidRDefault="00722C84" w:rsidP="009C4C27">
            <w:pPr>
              <w:pStyle w:val="TableStyle2"/>
              <w:numPr>
                <w:ilvl w:val="0"/>
                <w:numId w:val="17"/>
              </w:numPr>
              <w:suppressAutoHyphens/>
              <w:spacing w:line="360" w:lineRule="auto"/>
              <w:jc w:val="both"/>
              <w:rPr>
                <w:rFonts w:ascii="Times New Roman" w:hAnsi="Times New Roman" w:cs="Times New Roman"/>
                <w:sz w:val="24"/>
                <w:szCs w:val="24"/>
                <w:u w:color="000000"/>
                <w:lang w:val="en-US"/>
              </w:rPr>
            </w:pPr>
            <w:r w:rsidRPr="009C4C27">
              <w:rPr>
                <w:rFonts w:ascii="Times New Roman" w:hAnsi="Times New Roman" w:cs="Times New Roman"/>
                <w:sz w:val="24"/>
                <w:szCs w:val="24"/>
                <w:u w:color="000000"/>
                <w:lang w:val="en-US"/>
              </w:rPr>
              <w:t>Regulatory compliance costs and potential penalties</w:t>
            </w:r>
          </w:p>
        </w:tc>
      </w:tr>
    </w:tbl>
    <w:p w14:paraId="2D1847BA" w14:textId="77777777" w:rsidR="00722C84" w:rsidRPr="009C4C27" w:rsidRDefault="00722C84" w:rsidP="009C4C27">
      <w:pPr>
        <w:spacing w:line="360" w:lineRule="auto"/>
        <w:jc w:val="both"/>
      </w:pPr>
    </w:p>
    <w:p w14:paraId="50F84BE7" w14:textId="77777777" w:rsidR="00722C84" w:rsidRPr="009C4C27" w:rsidRDefault="00722C84" w:rsidP="009C4C27">
      <w:pPr>
        <w:spacing w:line="360" w:lineRule="auto"/>
        <w:jc w:val="both"/>
        <w:rPr>
          <w:lang w:val="fr-FR"/>
        </w:rPr>
      </w:pPr>
    </w:p>
    <w:p w14:paraId="271BBC7B" w14:textId="77777777" w:rsidR="00501DD2" w:rsidRPr="009C4C27" w:rsidRDefault="00501DD2" w:rsidP="009C4C27">
      <w:pPr>
        <w:pStyle w:val="Default"/>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 xml:space="preserve">Source: HSBC strategic insights adapted from public analyses and reports. </w:t>
      </w:r>
    </w:p>
    <w:p w14:paraId="25B050D4" w14:textId="606A37A1" w:rsidR="008030E7" w:rsidRPr="009C4C27" w:rsidRDefault="00501DD2" w:rsidP="009C4C27">
      <w:pPr>
        <w:pStyle w:val="Default"/>
        <w:suppressAutoHyphens/>
        <w:spacing w:before="0" w:after="280" w:line="360" w:lineRule="auto"/>
        <w:jc w:val="both"/>
        <w:rPr>
          <w:rFonts w:ascii="Times New Roman" w:eastAsia="Times New Roman" w:hAnsi="Times New Roman" w:cs="Times New Roman"/>
          <w:b/>
          <w:bCs/>
          <w:sz w:val="24"/>
          <w:szCs w:val="24"/>
        </w:rPr>
      </w:pPr>
      <w:r w:rsidRPr="009C4C27">
        <w:rPr>
          <w:rFonts w:ascii="Times New Roman" w:hAnsi="Times New Roman" w:cs="Times New Roman"/>
          <w:b/>
          <w:bCs/>
          <w:sz w:val="24"/>
          <w:szCs w:val="24"/>
          <w:lang w:val="en-US"/>
        </w:rPr>
        <w:lastRenderedPageBreak/>
        <w:t>SWOT Analysis</w:t>
      </w:r>
      <w:r w:rsidRPr="009C4C27">
        <w:rPr>
          <w:rFonts w:ascii="Times New Roman" w:eastAsia="Times New Roman" w:hAnsi="Times New Roman" w:cs="Times New Roman"/>
          <w:b/>
          <w:bCs/>
          <w:sz w:val="24"/>
          <w:szCs w:val="24"/>
        </w:rPr>
        <w:t xml:space="preserve"> explained</w:t>
      </w:r>
    </w:p>
    <w:p w14:paraId="7784063F" w14:textId="6281CF94" w:rsidR="00B522BB" w:rsidRPr="00B522BB" w:rsidRDefault="00B522BB"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B522BB">
        <w:rPr>
          <w:rFonts w:eastAsia="Times New Roman"/>
          <w:color w:val="000000"/>
          <w:bdr w:val="none" w:sz="0" w:space="0" w:color="auto"/>
          <w:lang w:val="en-GB" w:eastAsia="en-GB"/>
        </w:rPr>
        <w:t>The SWOT analysis examines HSBC’s internal strengths and weaknesses alongside external opportunities and threats to support strategic decision-making. HSBC’s strengths include strong global brand recognition and a long-established reputation, providing a solid foundation for AI-driven strategies through effective use of customer data and digital capabilities (HSBC, 2023; Zhang, 2023).</w:t>
      </w:r>
    </w:p>
    <w:p w14:paraId="41AC7D14" w14:textId="439473FA" w:rsidR="00F47D0F" w:rsidRPr="00B522BB" w:rsidRDefault="00B522BB"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B522BB">
        <w:rPr>
          <w:rFonts w:eastAsia="Times New Roman"/>
          <w:color w:val="000000"/>
          <w:bdr w:val="none" w:sz="0" w:space="0" w:color="auto"/>
          <w:lang w:val="en-GB" w:eastAsia="en-GB"/>
        </w:rPr>
        <w:t>However, internal weaknesses such as bureaucratic decision-making, legacy IT systems, cultural resistance to change, and high operational costs may slow digital transformation and reduce organisational agility (Goodhart, 2019; Wilson, 2021; Martin, 2021).</w:t>
      </w:r>
    </w:p>
    <w:p w14:paraId="6FD63F64" w14:textId="30873636" w:rsidR="00B522BB" w:rsidRPr="00B522BB" w:rsidRDefault="00B522BB"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B522BB">
        <w:rPr>
          <w:rFonts w:eastAsia="Times New Roman"/>
          <w:color w:val="000000"/>
          <w:bdr w:val="none" w:sz="0" w:space="0" w:color="auto"/>
          <w:lang w:val="en-GB" w:eastAsia="en-GB"/>
        </w:rPr>
        <w:t>Externally, opportunities arise from growing demand for digital banking, advances in AI and data analytics, expanding e-commerce, and growth in Asian and emerging markets aligned with HSBC’s “Pivot to Asia” strategy (Zhang, 2023; Frost, 2022; HSBC Annual Report, 2022).</w:t>
      </w:r>
    </w:p>
    <w:p w14:paraId="094AC130" w14:textId="77777777" w:rsidR="00B522BB" w:rsidRPr="00B522BB" w:rsidRDefault="00B522BB"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B522BB">
        <w:rPr>
          <w:rFonts w:eastAsia="Times New Roman"/>
          <w:color w:val="000000"/>
          <w:bdr w:val="none" w:sz="0" w:space="0" w:color="auto"/>
          <w:lang w:val="en-GB" w:eastAsia="en-GB"/>
        </w:rPr>
        <w:t>At the same time, HSBC faces threats from fintech competition, rising cybersecurity risks, regulatory pressures, and ongoing economic and geopolitical uncertainty (Zhang, 2023; Frost, 2022; Goodhart, 2019).</w:t>
      </w:r>
    </w:p>
    <w:p w14:paraId="11D61E71" w14:textId="508F4BED" w:rsidR="000058FC" w:rsidRPr="009C4C27" w:rsidRDefault="00710EC1" w:rsidP="009C4C27">
      <w:pPr>
        <w:pStyle w:val="Heading1"/>
        <w:spacing w:line="360" w:lineRule="auto"/>
        <w:jc w:val="both"/>
        <w:rPr>
          <w:rFonts w:ascii="Times New Roman" w:hAnsi="Times New Roman" w:cs="Times New Roman"/>
          <w:b/>
          <w:bCs/>
          <w:color w:val="auto"/>
          <w:sz w:val="24"/>
          <w:szCs w:val="24"/>
          <w:lang w:val="fr-FR"/>
        </w:rPr>
      </w:pPr>
      <w:bookmarkStart w:id="4" w:name="_Toc216911239"/>
      <w:r w:rsidRPr="009C4C27">
        <w:rPr>
          <w:rFonts w:ascii="Times New Roman" w:hAnsi="Times New Roman" w:cs="Times New Roman"/>
          <w:b/>
          <w:bCs/>
          <w:color w:val="auto"/>
          <w:sz w:val="24"/>
          <w:szCs w:val="24"/>
          <w:lang w:val="fr-FR"/>
        </w:rPr>
        <w:t>3. Evaluation of Change Management Models in the Context of HSBC</w:t>
      </w:r>
      <w:r w:rsidR="005331B5" w:rsidRPr="009C4C27">
        <w:rPr>
          <w:rFonts w:ascii="Times New Roman" w:hAnsi="Times New Roman" w:cs="Times New Roman"/>
          <w:b/>
          <w:bCs/>
          <w:color w:val="auto"/>
          <w:sz w:val="24"/>
          <w:szCs w:val="24"/>
          <w:lang w:val="fr-FR"/>
        </w:rPr>
        <w:t xml:space="preserve"> ( </w:t>
      </w:r>
      <w:r w:rsidR="00612808" w:rsidRPr="009C4C27">
        <w:rPr>
          <w:rFonts w:ascii="Times New Roman" w:hAnsi="Times New Roman" w:cs="Times New Roman"/>
          <w:b/>
          <w:bCs/>
          <w:color w:val="auto"/>
          <w:sz w:val="24"/>
          <w:szCs w:val="24"/>
          <w:lang w:val="fr-FR"/>
        </w:rPr>
        <w:t xml:space="preserve">Refer to </w:t>
      </w:r>
      <w:r w:rsidR="005331B5" w:rsidRPr="009C4C27">
        <w:rPr>
          <w:rFonts w:ascii="Times New Roman" w:hAnsi="Times New Roman" w:cs="Times New Roman"/>
          <w:b/>
          <w:bCs/>
          <w:color w:val="auto"/>
          <w:sz w:val="24"/>
          <w:szCs w:val="24"/>
          <w:lang w:val="fr-FR"/>
        </w:rPr>
        <w:t xml:space="preserve">Table 2 </w:t>
      </w:r>
      <w:r w:rsidR="00612808" w:rsidRPr="009C4C27">
        <w:rPr>
          <w:rFonts w:ascii="Times New Roman" w:hAnsi="Times New Roman" w:cs="Times New Roman"/>
          <w:b/>
          <w:bCs/>
          <w:color w:val="auto"/>
          <w:sz w:val="24"/>
          <w:szCs w:val="24"/>
          <w:lang w:val="fr-FR"/>
        </w:rPr>
        <w:t>appendice)</w:t>
      </w:r>
      <w:bookmarkEnd w:id="4"/>
    </w:p>
    <w:p w14:paraId="369F31C7" w14:textId="77777777" w:rsidR="0029504E" w:rsidRPr="009C4C27" w:rsidRDefault="0029504E" w:rsidP="009C4C27">
      <w:pPr>
        <w:spacing w:line="360" w:lineRule="auto"/>
        <w:jc w:val="both"/>
        <w:rPr>
          <w:lang w:val="fr-FR"/>
        </w:rPr>
      </w:pPr>
    </w:p>
    <w:p w14:paraId="1645D5BE" w14:textId="32CB12CC" w:rsidR="002D7D3B" w:rsidRPr="009C4C27" w:rsidRDefault="00710EC1" w:rsidP="009C4C27">
      <w:pPr>
        <w:pStyle w:val="Default"/>
        <w:suppressAutoHyphens/>
        <w:spacing w:before="0" w:after="240" w:line="360" w:lineRule="auto"/>
        <w:jc w:val="both"/>
        <w:rPr>
          <w:rFonts w:ascii="Times New Roman" w:hAnsi="Times New Roman" w:cs="Times New Roman"/>
          <w:sz w:val="24"/>
          <w:szCs w:val="24"/>
          <w:lang w:val="en-US"/>
        </w:rPr>
      </w:pPr>
      <w:r w:rsidRPr="009C4C27">
        <w:rPr>
          <w:rFonts w:ascii="Times New Roman" w:hAnsi="Times New Roman" w:cs="Times New Roman"/>
          <w:sz w:val="24"/>
          <w:szCs w:val="24"/>
          <w:lang w:val="en-US"/>
        </w:rPr>
        <w:t xml:space="preserve">The transformation of HSBC can be </w:t>
      </w:r>
      <w:proofErr w:type="spellStart"/>
      <w:r w:rsidRPr="009C4C27">
        <w:rPr>
          <w:rFonts w:ascii="Times New Roman" w:hAnsi="Times New Roman" w:cs="Times New Roman"/>
          <w:sz w:val="24"/>
          <w:szCs w:val="24"/>
          <w:lang w:val="en-US"/>
        </w:rPr>
        <w:t>analysed</w:t>
      </w:r>
      <w:proofErr w:type="spellEnd"/>
      <w:r w:rsidRPr="009C4C27">
        <w:rPr>
          <w:rFonts w:ascii="Times New Roman" w:hAnsi="Times New Roman" w:cs="Times New Roman"/>
          <w:sz w:val="24"/>
          <w:szCs w:val="24"/>
          <w:lang w:val="en-US"/>
        </w:rPr>
        <w:t xml:space="preserve"> through multiple change management frameworks, including Lewin</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s Change Model, Kotter</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xml:space="preserve">s 8-Step Change Model, and the McKinsey 7S Framework. These models offer insights into the methods and effectiveness of managing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change and can be applied to HSBC</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s past and ongoing transformation efforts.</w:t>
      </w:r>
    </w:p>
    <w:p w14:paraId="0D15A456" w14:textId="6D86498B" w:rsidR="008812E4" w:rsidRPr="009C4C27" w:rsidRDefault="00A024BB" w:rsidP="009C4C27">
      <w:pPr>
        <w:pStyle w:val="Default"/>
        <w:suppressAutoHyphens/>
        <w:spacing w:before="0" w:after="240" w:line="360" w:lineRule="auto"/>
        <w:jc w:val="both"/>
        <w:rPr>
          <w:rFonts w:ascii="Times New Roman" w:hAnsi="Times New Roman" w:cs="Times New Roman"/>
          <w:b/>
          <w:bCs/>
          <w:sz w:val="24"/>
          <w:szCs w:val="24"/>
          <w:lang w:val="en-US"/>
        </w:rPr>
      </w:pPr>
      <w:r w:rsidRPr="009C4C27">
        <w:rPr>
          <w:rFonts w:ascii="Times New Roman" w:hAnsi="Times New Roman" w:cs="Times New Roman"/>
          <w:b/>
          <w:bCs/>
          <w:sz w:val="24"/>
          <w:szCs w:val="24"/>
          <w:lang w:val="en-US"/>
        </w:rPr>
        <w:t xml:space="preserve">As examples here </w:t>
      </w:r>
      <w:r w:rsidR="005F7497" w:rsidRPr="009C4C27">
        <w:rPr>
          <w:rFonts w:ascii="Times New Roman" w:hAnsi="Times New Roman" w:cs="Times New Roman"/>
          <w:b/>
          <w:bCs/>
          <w:sz w:val="24"/>
          <w:szCs w:val="24"/>
          <w:lang w:val="en-US"/>
        </w:rPr>
        <w:t xml:space="preserve">are </w:t>
      </w:r>
      <w:r w:rsidRPr="009C4C27">
        <w:rPr>
          <w:rFonts w:ascii="Times New Roman" w:hAnsi="Times New Roman" w:cs="Times New Roman"/>
          <w:b/>
          <w:bCs/>
          <w:sz w:val="24"/>
          <w:szCs w:val="24"/>
          <w:lang w:val="en-US"/>
        </w:rPr>
        <w:t xml:space="preserve">two of the </w:t>
      </w:r>
      <w:r w:rsidR="005F7497" w:rsidRPr="009C4C27">
        <w:rPr>
          <w:rFonts w:ascii="Times New Roman" w:hAnsi="Times New Roman" w:cs="Times New Roman"/>
          <w:b/>
          <w:bCs/>
          <w:sz w:val="24"/>
          <w:szCs w:val="24"/>
          <w:lang w:val="en-US"/>
        </w:rPr>
        <w:t>change management frameworks</w:t>
      </w:r>
      <w:r w:rsidR="004346F2" w:rsidRPr="009C4C27">
        <w:rPr>
          <w:rFonts w:ascii="Times New Roman" w:hAnsi="Times New Roman" w:cs="Times New Roman"/>
          <w:b/>
          <w:bCs/>
          <w:sz w:val="24"/>
          <w:szCs w:val="24"/>
          <w:lang w:val="en-US"/>
        </w:rPr>
        <w:t>:</w:t>
      </w:r>
    </w:p>
    <w:p w14:paraId="42A17571" w14:textId="77777777" w:rsidR="000058FC" w:rsidRPr="009C4C27" w:rsidRDefault="00710EC1" w:rsidP="009C4C27">
      <w:pPr>
        <w:pStyle w:val="Heading1"/>
        <w:spacing w:line="360" w:lineRule="auto"/>
        <w:jc w:val="both"/>
        <w:rPr>
          <w:rFonts w:ascii="Times New Roman" w:hAnsi="Times New Roman" w:cs="Times New Roman"/>
          <w:b/>
          <w:bCs/>
          <w:color w:val="auto"/>
          <w:sz w:val="24"/>
          <w:szCs w:val="24"/>
          <w:lang w:val="fr-FR"/>
        </w:rPr>
      </w:pPr>
      <w:bookmarkStart w:id="5" w:name="_Toc216911240"/>
      <w:r w:rsidRPr="009C4C27">
        <w:rPr>
          <w:rFonts w:ascii="Times New Roman" w:hAnsi="Times New Roman" w:cs="Times New Roman"/>
          <w:b/>
          <w:bCs/>
          <w:color w:val="auto"/>
          <w:sz w:val="24"/>
          <w:szCs w:val="24"/>
          <w:lang w:val="fr-FR"/>
        </w:rPr>
        <w:t>Kotter</w:t>
      </w:r>
      <w:r w:rsidRPr="009C4C27">
        <w:rPr>
          <w:rFonts w:ascii="Times New Roman" w:hAnsi="Times New Roman" w:cs="Times New Roman"/>
          <w:b/>
          <w:bCs/>
          <w:color w:val="auto"/>
          <w:sz w:val="24"/>
          <w:szCs w:val="24"/>
          <w:rtl/>
          <w:lang w:val="fr-FR"/>
        </w:rPr>
        <w:t>’</w:t>
      </w:r>
      <w:r w:rsidRPr="009C4C27">
        <w:rPr>
          <w:rFonts w:ascii="Times New Roman" w:hAnsi="Times New Roman" w:cs="Times New Roman"/>
          <w:b/>
          <w:bCs/>
          <w:color w:val="auto"/>
          <w:sz w:val="24"/>
          <w:szCs w:val="24"/>
          <w:lang w:val="fr-FR"/>
        </w:rPr>
        <w:t>s 8-Step Change Model</w:t>
      </w:r>
      <w:bookmarkEnd w:id="5"/>
    </w:p>
    <w:p w14:paraId="6BFC27F7" w14:textId="46DEC239" w:rsidR="00B95685" w:rsidRPr="00B95685" w:rsidRDefault="00B95685"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B95685">
        <w:rPr>
          <w:rFonts w:eastAsia="Times New Roman"/>
          <w:color w:val="000000"/>
          <w:bdr w:val="none" w:sz="0" w:space="0" w:color="auto"/>
          <w:lang w:val="en-GB" w:eastAsia="en-GB"/>
        </w:rPr>
        <w:t>Kotter’s 8-Step Change Model provides a structured framework for analysing large-scale organisational transformation and is highly relevant to HSBC’s change initiatives. The model’s initial stages are reflected in HSBC’s response to external pressures such as increased competition from fintech firms and heightened regulatory scrutiny, which helped create a sense of urgency across the organisation (Kotter, 1996; HSBC, 2023). In response, HSBC established a guiding coalition comprising senior executives, digital transformation leaders and cross-functional teams to coordinate strategic priorities.</w:t>
      </w:r>
    </w:p>
    <w:p w14:paraId="2787747A" w14:textId="6E9C7007" w:rsidR="00652D41" w:rsidRPr="00B95685" w:rsidRDefault="00B95685"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B95685">
        <w:rPr>
          <w:rFonts w:eastAsia="Times New Roman"/>
          <w:color w:val="000000"/>
          <w:bdr w:val="none" w:sz="0" w:space="0" w:color="auto"/>
          <w:lang w:val="en-GB" w:eastAsia="en-GB"/>
        </w:rPr>
        <w:t xml:space="preserve">HSBC also developed and communicated a clear vision for change, centred on strategic priorities such as the “Pivot to Asia,” digital-first banking and strengthened environmental, social and </w:t>
      </w:r>
      <w:r w:rsidRPr="00B95685">
        <w:rPr>
          <w:rFonts w:eastAsia="Times New Roman"/>
          <w:color w:val="000000"/>
          <w:bdr w:val="none" w:sz="0" w:space="0" w:color="auto"/>
          <w:lang w:val="en-GB" w:eastAsia="en-GB"/>
        </w:rPr>
        <w:lastRenderedPageBreak/>
        <w:t>governance (ESG) leadership (HSBC, 2022). This</w:t>
      </w:r>
      <w:r w:rsidR="00C74465" w:rsidRPr="009C4C27">
        <w:rPr>
          <w:rFonts w:eastAsia="Times New Roman"/>
          <w:color w:val="000000"/>
          <w:bdr w:val="none" w:sz="0" w:space="0" w:color="auto"/>
          <w:lang w:val="en-GB" w:eastAsia="en-GB"/>
        </w:rPr>
        <w:t xml:space="preserve"> was </w:t>
      </w:r>
      <w:r w:rsidRPr="00B95685">
        <w:rPr>
          <w:rFonts w:eastAsia="Times New Roman"/>
          <w:color w:val="000000"/>
          <w:bdr w:val="none" w:sz="0" w:space="0" w:color="auto"/>
          <w:lang w:val="en-GB" w:eastAsia="en-GB"/>
        </w:rPr>
        <w:t>reinforced through internal communication campaigns, leadership briefings and formal reporting mechanisms. To support implementation, the bank invested in digital technologies, reduced bureaucratic barriers and encouraged innovation, while early short-term wins</w:t>
      </w:r>
      <w:r w:rsidR="00A55E90" w:rsidRPr="009C4C27">
        <w:rPr>
          <w:rFonts w:eastAsia="Times New Roman"/>
          <w:color w:val="000000"/>
          <w:bdr w:val="none" w:sz="0" w:space="0" w:color="auto"/>
          <w:lang w:val="en-GB" w:eastAsia="en-GB"/>
        </w:rPr>
        <w:t xml:space="preserve"> </w:t>
      </w:r>
      <w:r w:rsidRPr="00B95685">
        <w:rPr>
          <w:rFonts w:eastAsia="Times New Roman"/>
          <w:color w:val="000000"/>
          <w:bdr w:val="none" w:sz="0" w:space="0" w:color="auto"/>
          <w:lang w:val="en-GB" w:eastAsia="en-GB"/>
        </w:rPr>
        <w:t>such as improvements in mobile banking, reductions in compliance breaches and cost efficiencies</w:t>
      </w:r>
      <w:r w:rsidR="00DD2802" w:rsidRPr="009C4C27">
        <w:rPr>
          <w:rFonts w:eastAsia="Times New Roman"/>
          <w:color w:val="000000"/>
          <w:bdr w:val="none" w:sz="0" w:space="0" w:color="auto"/>
          <w:lang w:val="en-GB" w:eastAsia="en-GB"/>
        </w:rPr>
        <w:t xml:space="preserve"> </w:t>
      </w:r>
      <w:r w:rsidRPr="00B95685">
        <w:rPr>
          <w:rFonts w:eastAsia="Times New Roman"/>
          <w:color w:val="000000"/>
          <w:bdr w:val="none" w:sz="0" w:space="0" w:color="auto"/>
          <w:lang w:val="en-GB" w:eastAsia="en-GB"/>
        </w:rPr>
        <w:t>helped sustain momentum and reinforce employee commitment (Kotter, 1996; HSBC, 2023).</w:t>
      </w:r>
    </w:p>
    <w:p w14:paraId="5DA1CCA2" w14:textId="059585AA" w:rsidR="0033407A" w:rsidRPr="009C4C27" w:rsidRDefault="00B95685"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B95685">
        <w:rPr>
          <w:rFonts w:eastAsia="Times New Roman"/>
          <w:color w:val="000000"/>
          <w:bdr w:val="none" w:sz="0" w:space="0" w:color="auto"/>
          <w:lang w:val="en-GB" w:eastAsia="en-GB"/>
        </w:rPr>
        <w:t xml:space="preserve">The </w:t>
      </w:r>
      <w:proofErr w:type="spellStart"/>
      <w:r w:rsidRPr="00B95685">
        <w:rPr>
          <w:rFonts w:eastAsia="Times New Roman"/>
          <w:color w:val="000000"/>
          <w:bdr w:val="none" w:sz="0" w:space="0" w:color="auto"/>
          <w:lang w:val="en-GB" w:eastAsia="en-GB"/>
        </w:rPr>
        <w:t>later</w:t>
      </w:r>
      <w:proofErr w:type="spellEnd"/>
      <w:r w:rsidRPr="00B95685">
        <w:rPr>
          <w:rFonts w:eastAsia="Times New Roman"/>
          <w:color w:val="000000"/>
          <w:bdr w:val="none" w:sz="0" w:space="0" w:color="auto"/>
          <w:lang w:val="en-GB" w:eastAsia="en-GB"/>
        </w:rPr>
        <w:t xml:space="preserve"> stages of Kotter’s model are evident in HSBC’s efforts to consolidate improvements and embed change within its organisational culture. Successful initiatives were scaled across international operations, while ongoing efforts focus on anchoring digital-first thinking and a strong risk-aware culture into everyday practices (Kotter, 1996; HSBC, 2023). Overall, the model is particularly applicable to HSBC due to its emphasis on leadership, communication and culture; however, critics suggest its linear structure may oversimplify the complex and continuous nature of change in large multinational organisations, where multiple transformations often occur simultaneously (Appelbaum et al., 2018).</w:t>
      </w:r>
    </w:p>
    <w:p w14:paraId="7FAE71C8" w14:textId="77777777" w:rsidR="000058FC" w:rsidRPr="009C4C27" w:rsidRDefault="00710EC1" w:rsidP="009C4C27">
      <w:pPr>
        <w:pStyle w:val="Heading1"/>
        <w:spacing w:line="360" w:lineRule="auto"/>
        <w:jc w:val="both"/>
        <w:rPr>
          <w:rFonts w:ascii="Times New Roman" w:hAnsi="Times New Roman" w:cs="Times New Roman"/>
          <w:b/>
          <w:bCs/>
          <w:color w:val="auto"/>
          <w:sz w:val="24"/>
          <w:szCs w:val="24"/>
          <w:lang w:val="fr-FR"/>
        </w:rPr>
      </w:pPr>
      <w:bookmarkStart w:id="6" w:name="_Toc216911241"/>
      <w:r w:rsidRPr="009C4C27">
        <w:rPr>
          <w:rFonts w:ascii="Times New Roman" w:hAnsi="Times New Roman" w:cs="Times New Roman"/>
          <w:b/>
          <w:bCs/>
          <w:color w:val="auto"/>
          <w:sz w:val="24"/>
          <w:szCs w:val="24"/>
          <w:lang w:val="fr-FR"/>
        </w:rPr>
        <w:t>McKinsey 7S Framework</w:t>
      </w:r>
      <w:bookmarkEnd w:id="6"/>
    </w:p>
    <w:p w14:paraId="3CEC29EB" w14:textId="7E0037B4" w:rsidR="00B014C9" w:rsidRPr="00B014C9" w:rsidRDefault="00B014C9"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B014C9">
        <w:rPr>
          <w:rFonts w:eastAsia="Times New Roman"/>
          <w:color w:val="000000"/>
          <w:bdr w:val="none" w:sz="0" w:space="0" w:color="auto"/>
          <w:lang w:val="en-GB" w:eastAsia="en-GB"/>
        </w:rPr>
        <w:t>The McKinsey 7S Framework offers a holistic lens for analysing organisational transformation by examining the alignment between strategy, structure, systems, shared values, skills, style and staff (Waterman, Peters and Phillips, 1980). This approach is particularly relevant to HSBC, as the bank has undertaken significant changes across all seven elements. Strategically, HSBC has pursued a “Pivot to Asia,” adopted a digital-first banking model and strengthened its customer-centric focus in response to technological disruption and changing customer expectations (HSBC, 2022; McKinsey &amp; Company, 2020).</w:t>
      </w:r>
    </w:p>
    <w:p w14:paraId="63AE53B4" w14:textId="4E5482BA" w:rsidR="00B014C9" w:rsidRPr="00B014C9" w:rsidRDefault="00B014C9"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B014C9">
        <w:rPr>
          <w:rFonts w:eastAsia="Times New Roman"/>
          <w:color w:val="000000"/>
          <w:bdr w:val="none" w:sz="0" w:space="0" w:color="auto"/>
          <w:lang w:val="en-GB" w:eastAsia="en-GB"/>
        </w:rPr>
        <w:t>To support this strategic shift, HSBC has restructured its organisation by delayering management and consolidating regional operations to improve agility and efficiency (HSBC, 2023). At the same time, the bank has upgraded its systems through increased automation, artificial intelligence and enhanced compliance technologies, modernising processes and strengthening risk management. These changes have been accompanied by a reinforcement of shared values centred on integrity, customer trust and risk awareness, alongside a growing demand for digital skills such as data analytics and cybersecurity expertise (HSBC, 2023; McKinsey &amp; Company, 2021).</w:t>
      </w:r>
    </w:p>
    <w:p w14:paraId="07ED1111" w14:textId="5362DF52" w:rsidR="008A1B9D" w:rsidRPr="009C4C27" w:rsidRDefault="00B014C9"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B014C9">
        <w:rPr>
          <w:rFonts w:eastAsia="Times New Roman"/>
          <w:color w:val="000000"/>
          <w:bdr w:val="none" w:sz="0" w:space="0" w:color="auto"/>
          <w:lang w:val="en-GB" w:eastAsia="en-GB"/>
        </w:rPr>
        <w:t xml:space="preserve">Leadership has become more collaborative and innovation-driven, while workforce changes include reductions in traditional roles and increased investment in digital and technical talent (HSBC, 2022; HSBC, 2023). Overall, the McKinsey 7S Framework highlights the interdependence of organisational elements, demonstrating that effective and sustainable change at HSBC depends on maintaining </w:t>
      </w:r>
      <w:r w:rsidRPr="00B014C9">
        <w:rPr>
          <w:rFonts w:eastAsia="Times New Roman"/>
          <w:color w:val="000000"/>
          <w:bdr w:val="none" w:sz="0" w:space="0" w:color="auto"/>
          <w:lang w:val="en-GB" w:eastAsia="en-GB"/>
        </w:rPr>
        <w:lastRenderedPageBreak/>
        <w:t>alignment across structures, systems, people and organisational values (Waterman, Peters and Phillips, 1980).</w:t>
      </w:r>
    </w:p>
    <w:p w14:paraId="6EC0380A" w14:textId="77777777" w:rsidR="000058FC" w:rsidRPr="009C4C27" w:rsidRDefault="00710EC1" w:rsidP="009C4C27">
      <w:pPr>
        <w:pStyle w:val="Heading1"/>
        <w:spacing w:line="360" w:lineRule="auto"/>
        <w:jc w:val="both"/>
        <w:rPr>
          <w:rFonts w:ascii="Times New Roman" w:hAnsi="Times New Roman" w:cs="Times New Roman"/>
          <w:b/>
          <w:bCs/>
          <w:color w:val="auto"/>
          <w:sz w:val="24"/>
          <w:szCs w:val="24"/>
          <w:lang w:val="fr-FR"/>
        </w:rPr>
      </w:pPr>
      <w:bookmarkStart w:id="7" w:name="_Toc216911242"/>
      <w:r w:rsidRPr="009C4C27">
        <w:rPr>
          <w:rFonts w:ascii="Times New Roman" w:hAnsi="Times New Roman" w:cs="Times New Roman"/>
          <w:b/>
          <w:bCs/>
          <w:color w:val="auto"/>
          <w:sz w:val="24"/>
          <w:szCs w:val="24"/>
          <w:lang w:val="fr-FR"/>
        </w:rPr>
        <w:t>4. Leadership, Organisational Culture and Change at HSBC</w:t>
      </w:r>
      <w:bookmarkEnd w:id="7"/>
    </w:p>
    <w:p w14:paraId="299499C3" w14:textId="5894ECE1" w:rsidR="00B422BE" w:rsidRPr="009C4C27" w:rsidRDefault="00710EC1" w:rsidP="009C4C27">
      <w:pPr>
        <w:pStyle w:val="Default"/>
        <w:suppressAutoHyphens/>
        <w:spacing w:before="0" w:after="240" w:line="360" w:lineRule="auto"/>
        <w:jc w:val="both"/>
        <w:rPr>
          <w:rFonts w:ascii="Times New Roman" w:hAnsi="Times New Roman" w:cs="Times New Roman"/>
          <w:sz w:val="24"/>
          <w:szCs w:val="24"/>
          <w:lang w:val="en-US"/>
        </w:rPr>
      </w:pPr>
      <w:r w:rsidRPr="009C4C27">
        <w:rPr>
          <w:rFonts w:ascii="Times New Roman" w:hAnsi="Times New Roman" w:cs="Times New Roman"/>
          <w:sz w:val="24"/>
          <w:szCs w:val="24"/>
          <w:lang w:val="en-US"/>
        </w:rPr>
        <w:t xml:space="preserve">Leadership has played a pivotal role in driving and supporting change at HSBC. The leadership </w:t>
      </w:r>
      <w:r w:rsidR="0022280E" w:rsidRPr="009C4C27">
        <w:rPr>
          <w:rFonts w:ascii="Times New Roman" w:hAnsi="Times New Roman" w:cs="Times New Roman"/>
          <w:sz w:val="24"/>
          <w:szCs w:val="24"/>
          <w:lang w:val="en-US"/>
        </w:rPr>
        <w:t>style,</w:t>
      </w:r>
      <w:r w:rsidRPr="009C4C27">
        <w:rPr>
          <w:rFonts w:ascii="Times New Roman" w:hAnsi="Times New Roman" w:cs="Times New Roman"/>
          <w:sz w:val="24"/>
          <w:szCs w:val="24"/>
          <w:lang w:val="en-US"/>
        </w:rPr>
        <w:t xml:space="preserve"> historically associated with the </w:t>
      </w:r>
      <w:proofErr w:type="spellStart"/>
      <w:r w:rsidRPr="009C4C27">
        <w:rPr>
          <w:rFonts w:ascii="Times New Roman" w:hAnsi="Times New Roman" w:cs="Times New Roman"/>
          <w:sz w:val="24"/>
          <w:szCs w:val="24"/>
          <w:lang w:val="en-US"/>
        </w:rPr>
        <w:t>organisation</w:t>
      </w:r>
      <w:proofErr w:type="spellEnd"/>
      <w:r w:rsidRPr="009C4C27">
        <w:rPr>
          <w:rFonts w:ascii="Times New Roman" w:hAnsi="Times New Roman" w:cs="Times New Roman"/>
          <w:sz w:val="24"/>
          <w:szCs w:val="24"/>
          <w:lang w:val="en-US"/>
        </w:rPr>
        <w:t xml:space="preserve"> has been traditional, hierarchical, and risk-averse, given its background as a global financial institution. However, the need to adapt to digital disruption and geopolitical shifts has forced a transition towards more agile, transformational, and collaborative leadership styles.</w:t>
      </w:r>
    </w:p>
    <w:p w14:paraId="3C278325" w14:textId="77777777" w:rsidR="000058FC" w:rsidRPr="009C4C27" w:rsidRDefault="00710EC1" w:rsidP="009C4C27">
      <w:pPr>
        <w:pStyle w:val="Heading1"/>
        <w:spacing w:line="360" w:lineRule="auto"/>
        <w:jc w:val="both"/>
        <w:rPr>
          <w:rFonts w:ascii="Times New Roman" w:hAnsi="Times New Roman" w:cs="Times New Roman"/>
          <w:b/>
          <w:bCs/>
          <w:color w:val="auto"/>
          <w:sz w:val="24"/>
          <w:szCs w:val="24"/>
          <w:lang w:val="fr-FR"/>
        </w:rPr>
      </w:pPr>
      <w:bookmarkStart w:id="8" w:name="_Toc216911243"/>
      <w:r w:rsidRPr="009C4C27">
        <w:rPr>
          <w:rFonts w:ascii="Times New Roman" w:hAnsi="Times New Roman" w:cs="Times New Roman"/>
          <w:b/>
          <w:bCs/>
          <w:color w:val="auto"/>
          <w:sz w:val="24"/>
          <w:szCs w:val="24"/>
          <w:lang w:val="fr-FR"/>
        </w:rPr>
        <w:t>Leadership Style in HSBC</w:t>
      </w:r>
      <w:r w:rsidRPr="009C4C27">
        <w:rPr>
          <w:rFonts w:ascii="Times New Roman" w:hAnsi="Times New Roman" w:cs="Times New Roman"/>
          <w:b/>
          <w:bCs/>
          <w:color w:val="auto"/>
          <w:sz w:val="24"/>
          <w:szCs w:val="24"/>
          <w:rtl/>
          <w:lang w:val="fr-FR"/>
        </w:rPr>
        <w:t>’</w:t>
      </w:r>
      <w:r w:rsidRPr="009C4C27">
        <w:rPr>
          <w:rFonts w:ascii="Times New Roman" w:hAnsi="Times New Roman" w:cs="Times New Roman"/>
          <w:b/>
          <w:bCs/>
          <w:color w:val="auto"/>
          <w:sz w:val="24"/>
          <w:szCs w:val="24"/>
          <w:lang w:val="fr-FR"/>
        </w:rPr>
        <w:t>s Change Management</w:t>
      </w:r>
      <w:bookmarkEnd w:id="8"/>
    </w:p>
    <w:p w14:paraId="52DEFDB4" w14:textId="77777777" w:rsidR="000058FC" w:rsidRPr="009C4C27" w:rsidRDefault="00710EC1" w:rsidP="009C4C27">
      <w:pPr>
        <w:pStyle w:val="Default"/>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rPr>
        <w:t>HSBC</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xml:space="preserve">s recent CEOs, such as Noel Quinn, have </w:t>
      </w:r>
      <w:proofErr w:type="spellStart"/>
      <w:r w:rsidRPr="009C4C27">
        <w:rPr>
          <w:rFonts w:ascii="Times New Roman" w:hAnsi="Times New Roman" w:cs="Times New Roman"/>
          <w:sz w:val="24"/>
          <w:szCs w:val="24"/>
          <w:lang w:val="en-US"/>
        </w:rPr>
        <w:t>emphasised</w:t>
      </w:r>
      <w:proofErr w:type="spellEnd"/>
      <w:r w:rsidRPr="009C4C27">
        <w:rPr>
          <w:rFonts w:ascii="Times New Roman" w:hAnsi="Times New Roman" w:cs="Times New Roman"/>
          <w:sz w:val="24"/>
          <w:szCs w:val="24"/>
          <w:lang w:val="en-US"/>
        </w:rPr>
        <w:t xml:space="preserve"> transformational leadership, </w:t>
      </w:r>
      <w:proofErr w:type="spellStart"/>
      <w:r w:rsidRPr="009C4C27">
        <w:rPr>
          <w:rFonts w:ascii="Times New Roman" w:hAnsi="Times New Roman" w:cs="Times New Roman"/>
          <w:sz w:val="24"/>
          <w:szCs w:val="24"/>
          <w:lang w:val="en-US"/>
        </w:rPr>
        <w:t>characterised</w:t>
      </w:r>
      <w:proofErr w:type="spellEnd"/>
      <w:r w:rsidRPr="009C4C27">
        <w:rPr>
          <w:rFonts w:ascii="Times New Roman" w:hAnsi="Times New Roman" w:cs="Times New Roman"/>
          <w:sz w:val="24"/>
          <w:szCs w:val="24"/>
          <w:lang w:val="en-US"/>
        </w:rPr>
        <w:t xml:space="preserve"> by inspiring a shared vision, fostering innovation, and empowering employees (Bass &amp; Riggio, 2006). Quinn</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xml:space="preserve">s leadership during the </w:t>
      </w:r>
      <w:r w:rsidRPr="009C4C27">
        <w:rPr>
          <w:rFonts w:ascii="Times New Roman" w:hAnsi="Times New Roman" w:cs="Times New Roman"/>
          <w:sz w:val="24"/>
          <w:szCs w:val="24"/>
          <w:rtl/>
          <w:lang w:val="ar-SA"/>
        </w:rPr>
        <w:t>“</w:t>
      </w:r>
      <w:r w:rsidRPr="009C4C27">
        <w:rPr>
          <w:rFonts w:ascii="Times New Roman" w:hAnsi="Times New Roman" w:cs="Times New Roman"/>
          <w:sz w:val="24"/>
          <w:szCs w:val="24"/>
          <w:lang w:val="en-US"/>
        </w:rPr>
        <w:t>Pivot to Asia</w:t>
      </w:r>
      <w:r w:rsidRPr="009C4C27">
        <w:rPr>
          <w:rFonts w:ascii="Times New Roman" w:hAnsi="Times New Roman" w:cs="Times New Roman"/>
          <w:sz w:val="24"/>
          <w:szCs w:val="24"/>
        </w:rPr>
        <w:t xml:space="preserve">” </w:t>
      </w:r>
      <w:r w:rsidRPr="009C4C27">
        <w:rPr>
          <w:rFonts w:ascii="Times New Roman" w:hAnsi="Times New Roman" w:cs="Times New Roman"/>
          <w:sz w:val="24"/>
          <w:szCs w:val="24"/>
          <w:lang w:val="en-US"/>
        </w:rPr>
        <w:t xml:space="preserve">strategy placed strong emphasis on digital transformation, cost discipline, and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simplification. Transformational leadership has been critical in motivating employees to embrace technological change and accept the closure of branches, redundancies, and role</w:t>
      </w:r>
      <w:r w:rsidRPr="009C4C27">
        <w:rPr>
          <w:rFonts w:ascii="Times New Roman" w:hAnsi="Times New Roman" w:cs="Times New Roman"/>
          <w:sz w:val="24"/>
          <w:szCs w:val="24"/>
          <w:lang w:val="en-US"/>
        </w:rPr>
        <w:t xml:space="preserve"> redefinitions.</w:t>
      </w:r>
    </w:p>
    <w:p w14:paraId="4FB7C55F" w14:textId="71A85782" w:rsidR="000058FC" w:rsidRPr="009C4C27" w:rsidRDefault="00710EC1" w:rsidP="009C4C27">
      <w:pPr>
        <w:pStyle w:val="Default"/>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 xml:space="preserve">Additionally, distributed leadership has become increasingly relevant, as middle managers and frontline teams play essential roles in implementing digital tools, process changes, and customer engagement </w:t>
      </w:r>
      <w:proofErr w:type="gramStart"/>
      <w:r w:rsidRPr="009C4C27">
        <w:rPr>
          <w:rFonts w:ascii="Times New Roman" w:hAnsi="Times New Roman" w:cs="Times New Roman"/>
          <w:sz w:val="24"/>
          <w:szCs w:val="24"/>
          <w:lang w:val="en-US"/>
        </w:rPr>
        <w:t>strategies..</w:t>
      </w:r>
      <w:proofErr w:type="gramEnd"/>
    </w:p>
    <w:p w14:paraId="581BA554" w14:textId="77777777" w:rsidR="000058FC" w:rsidRPr="009C4C27" w:rsidRDefault="00710EC1" w:rsidP="009C4C27">
      <w:pPr>
        <w:pStyle w:val="Heading1"/>
        <w:spacing w:line="360" w:lineRule="auto"/>
        <w:jc w:val="both"/>
        <w:rPr>
          <w:rFonts w:ascii="Times New Roman" w:hAnsi="Times New Roman" w:cs="Times New Roman"/>
          <w:b/>
          <w:bCs/>
          <w:color w:val="auto"/>
          <w:sz w:val="24"/>
          <w:szCs w:val="24"/>
          <w:lang w:val="fr-FR"/>
        </w:rPr>
      </w:pPr>
      <w:bookmarkStart w:id="9" w:name="_Toc216911244"/>
      <w:r w:rsidRPr="009C4C27">
        <w:rPr>
          <w:rFonts w:ascii="Times New Roman" w:hAnsi="Times New Roman" w:cs="Times New Roman"/>
          <w:b/>
          <w:bCs/>
          <w:color w:val="auto"/>
          <w:sz w:val="24"/>
          <w:szCs w:val="24"/>
          <w:lang w:val="fr-FR"/>
        </w:rPr>
        <w:t>Organisational Culture</w:t>
      </w:r>
      <w:bookmarkEnd w:id="9"/>
    </w:p>
    <w:p w14:paraId="37A25CDC" w14:textId="77777777" w:rsidR="000058FC" w:rsidRPr="009C4C27" w:rsidRDefault="00710EC1" w:rsidP="009C4C27">
      <w:pPr>
        <w:pStyle w:val="Default"/>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rPr>
        <w:t>HSBC</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xml:space="preserve">s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culture has historically been conservative, compliance-oriented, and heavily bureaucratic. These characteristics have supported regulatory adherence, effective risk management, and operational stability, which are critical in the highly regulated banking sector (Goodhart, 2019; HSBC Annual Report, 2022). However, the same traits have also hindered innovation, agility, and the willingness of employees to embrace change. In response, HSBC has undertaken initiatives to </w:t>
      </w:r>
      <w:proofErr w:type="spellStart"/>
      <w:r w:rsidRPr="009C4C27">
        <w:rPr>
          <w:rFonts w:ascii="Times New Roman" w:hAnsi="Times New Roman" w:cs="Times New Roman"/>
          <w:sz w:val="24"/>
          <w:szCs w:val="24"/>
          <w:lang w:val="en-US"/>
        </w:rPr>
        <w:t>modernise</w:t>
      </w:r>
      <w:proofErr w:type="spellEnd"/>
      <w:r w:rsidRPr="009C4C27">
        <w:rPr>
          <w:rFonts w:ascii="Times New Roman" w:hAnsi="Times New Roman" w:cs="Times New Roman"/>
          <w:sz w:val="24"/>
          <w:szCs w:val="24"/>
          <w:lang w:val="en-US"/>
        </w:rPr>
        <w:t xml:space="preserve"> its culture, </w:t>
      </w:r>
      <w:r w:rsidRPr="009C4C27">
        <w:rPr>
          <w:rFonts w:ascii="Times New Roman" w:hAnsi="Times New Roman" w:cs="Times New Roman"/>
          <w:sz w:val="24"/>
          <w:szCs w:val="24"/>
          <w:lang w:val="en-US"/>
        </w:rPr>
        <w:t xml:space="preserve">including encouraging innovation and experimentation, promoting accountability and transparency, reinforcing a risk-aware mindset following previous regulatory penalties, and </w:t>
      </w:r>
      <w:proofErr w:type="spellStart"/>
      <w:r w:rsidRPr="009C4C27">
        <w:rPr>
          <w:rFonts w:ascii="Times New Roman" w:hAnsi="Times New Roman" w:cs="Times New Roman"/>
          <w:sz w:val="24"/>
          <w:szCs w:val="24"/>
          <w:lang w:val="en-US"/>
        </w:rPr>
        <w:t>emphasising</w:t>
      </w:r>
      <w:proofErr w:type="spellEnd"/>
      <w:r w:rsidRPr="009C4C27">
        <w:rPr>
          <w:rFonts w:ascii="Times New Roman" w:hAnsi="Times New Roman" w:cs="Times New Roman"/>
          <w:sz w:val="24"/>
          <w:szCs w:val="24"/>
          <w:lang w:val="en-US"/>
        </w:rPr>
        <w:t xml:space="preserve"> customer-centric service delivery (Martin, 2021; Burnes, 2017). Despite these efforts, cultural resistance remains a significant challenge. Employees affected by job reductions, branch closures, or automation often experience dissatisfaction, which can lower morale and reduce engagement with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change initiative</w:t>
      </w:r>
      <w:r w:rsidRPr="009C4C27">
        <w:rPr>
          <w:rFonts w:ascii="Times New Roman" w:hAnsi="Times New Roman" w:cs="Times New Roman"/>
          <w:sz w:val="24"/>
          <w:szCs w:val="24"/>
          <w:lang w:val="en-US"/>
        </w:rPr>
        <w:t xml:space="preserve">s (Martin, 2021). Changing such deeply embedded cultural norms requires consistent leadership, clear communication, incentives, and </w:t>
      </w:r>
      <w:proofErr w:type="gramStart"/>
      <w:r w:rsidRPr="009C4C27">
        <w:rPr>
          <w:rFonts w:ascii="Times New Roman" w:hAnsi="Times New Roman" w:cs="Times New Roman"/>
          <w:sz w:val="24"/>
          <w:szCs w:val="24"/>
          <w:lang w:val="en-US"/>
        </w:rPr>
        <w:t>a long</w:t>
      </w:r>
      <w:proofErr w:type="gramEnd"/>
      <w:r w:rsidRPr="009C4C27">
        <w:rPr>
          <w:rFonts w:ascii="Times New Roman" w:hAnsi="Times New Roman" w:cs="Times New Roman"/>
          <w:sz w:val="24"/>
          <w:szCs w:val="24"/>
          <w:lang w:val="en-US"/>
        </w:rPr>
        <w:t>-term commitment.</w:t>
      </w:r>
    </w:p>
    <w:p w14:paraId="6AD1397D" w14:textId="77777777" w:rsidR="000058FC" w:rsidRPr="009C4C27" w:rsidRDefault="00710EC1" w:rsidP="009C4C27">
      <w:pPr>
        <w:pStyle w:val="Heading1"/>
        <w:spacing w:line="360" w:lineRule="auto"/>
        <w:jc w:val="both"/>
        <w:rPr>
          <w:rFonts w:ascii="Times New Roman" w:hAnsi="Times New Roman" w:cs="Times New Roman"/>
          <w:b/>
          <w:bCs/>
          <w:color w:val="auto"/>
          <w:sz w:val="24"/>
          <w:szCs w:val="24"/>
          <w:lang w:val="fr-FR"/>
        </w:rPr>
      </w:pPr>
      <w:bookmarkStart w:id="10" w:name="_Toc216911245"/>
      <w:r w:rsidRPr="009C4C27">
        <w:rPr>
          <w:rFonts w:ascii="Times New Roman" w:hAnsi="Times New Roman" w:cs="Times New Roman"/>
          <w:b/>
          <w:bCs/>
          <w:color w:val="auto"/>
          <w:sz w:val="24"/>
          <w:szCs w:val="24"/>
          <w:lang w:val="fr-FR"/>
        </w:rPr>
        <w:lastRenderedPageBreak/>
        <w:t>Impact on Change Management</w:t>
      </w:r>
      <w:bookmarkEnd w:id="10"/>
    </w:p>
    <w:p w14:paraId="666CD7EB" w14:textId="2726F7B2" w:rsidR="00147609" w:rsidRPr="009C4C27" w:rsidRDefault="00710EC1" w:rsidP="009C4C27">
      <w:pPr>
        <w:pStyle w:val="Default"/>
        <w:suppressAutoHyphens/>
        <w:spacing w:before="0" w:after="240" w:line="360" w:lineRule="auto"/>
        <w:jc w:val="both"/>
        <w:rPr>
          <w:rFonts w:ascii="Times New Roman" w:eastAsia="Times New Roman" w:hAnsi="Times New Roman" w:cs="Times New Roman"/>
          <w:sz w:val="24"/>
          <w:szCs w:val="24"/>
        </w:rPr>
      </w:pP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culture has a direct and profound impact on the success of </w:t>
      </w:r>
      <w:proofErr w:type="gramStart"/>
      <w:r w:rsidRPr="009C4C27">
        <w:rPr>
          <w:rFonts w:ascii="Times New Roman" w:hAnsi="Times New Roman" w:cs="Times New Roman"/>
          <w:sz w:val="24"/>
          <w:szCs w:val="24"/>
          <w:lang w:val="en-US"/>
        </w:rPr>
        <w:t>change</w:t>
      </w:r>
      <w:proofErr w:type="gramEnd"/>
      <w:r w:rsidRPr="009C4C27">
        <w:rPr>
          <w:rFonts w:ascii="Times New Roman" w:hAnsi="Times New Roman" w:cs="Times New Roman"/>
          <w:sz w:val="24"/>
          <w:szCs w:val="24"/>
          <w:lang w:val="en-US"/>
        </w:rPr>
        <w:t xml:space="preserve"> management initiatives at HSBC. Leadership plays a pivotal role in shaping how change is perceived, accepted, and enacted throughout the </w:t>
      </w:r>
      <w:proofErr w:type="spellStart"/>
      <w:r w:rsidRPr="009C4C27">
        <w:rPr>
          <w:rFonts w:ascii="Times New Roman" w:hAnsi="Times New Roman" w:cs="Times New Roman"/>
          <w:sz w:val="24"/>
          <w:szCs w:val="24"/>
          <w:lang w:val="en-US"/>
        </w:rPr>
        <w:t>organisation</w:t>
      </w:r>
      <w:proofErr w:type="spellEnd"/>
      <w:r w:rsidRPr="009C4C27">
        <w:rPr>
          <w:rFonts w:ascii="Times New Roman" w:hAnsi="Times New Roman" w:cs="Times New Roman"/>
          <w:sz w:val="24"/>
          <w:szCs w:val="24"/>
          <w:lang w:val="en-US"/>
        </w:rPr>
        <w:t xml:space="preserve"> (Kotter, 2012). Strong and visible leadership is critical when navigating complex transformations, such as digital migration, restructuring, or strategic repositioning towards growth markets like Asia. Effective leaders help communicate the vision, motivate employees, and establish accountabili</w:t>
      </w:r>
      <w:r w:rsidRPr="009C4C27">
        <w:rPr>
          <w:rFonts w:ascii="Times New Roman" w:hAnsi="Times New Roman" w:cs="Times New Roman"/>
          <w:sz w:val="24"/>
          <w:szCs w:val="24"/>
          <w:lang w:val="en-US"/>
        </w:rPr>
        <w:t xml:space="preserve">ty structures that support successful change. Conversely, cultural rigidity can slow the adoption of new digital tools, reduce employee engagement, and impede the implementation of strategic initiatives (Appelbaum et al., 2018). Therefore, the alignment of leadership,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culture, and strategic objectives is essential for the success of any large-scale transformation. HSBC</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s experience demonstrates that without embedding a culture that balances risk-awareness with innovation, agility, and custome</w:t>
      </w:r>
      <w:r w:rsidRPr="009C4C27">
        <w:rPr>
          <w:rFonts w:ascii="Times New Roman" w:hAnsi="Times New Roman" w:cs="Times New Roman"/>
          <w:sz w:val="24"/>
          <w:szCs w:val="24"/>
          <w:lang w:val="en-US"/>
        </w:rPr>
        <w:t>r focus, even well-planned change initiatives risk underperformance or failure (Wilson, 2021; Burnes, 2017).</w:t>
      </w:r>
    </w:p>
    <w:p w14:paraId="04866E4A" w14:textId="686CD15F" w:rsidR="000058FC" w:rsidRPr="009C4C27" w:rsidRDefault="00710EC1" w:rsidP="009C4C27">
      <w:pPr>
        <w:pStyle w:val="Heading1"/>
        <w:spacing w:line="360" w:lineRule="auto"/>
        <w:jc w:val="both"/>
        <w:rPr>
          <w:rFonts w:ascii="Times New Roman" w:hAnsi="Times New Roman" w:cs="Times New Roman"/>
          <w:b/>
          <w:bCs/>
          <w:color w:val="auto"/>
          <w:sz w:val="24"/>
          <w:szCs w:val="24"/>
          <w:lang w:val="fr-FR"/>
        </w:rPr>
      </w:pPr>
      <w:bookmarkStart w:id="11" w:name="_Toc216911246"/>
      <w:r w:rsidRPr="009C4C27">
        <w:rPr>
          <w:rFonts w:ascii="Times New Roman" w:hAnsi="Times New Roman" w:cs="Times New Roman"/>
          <w:b/>
          <w:bCs/>
          <w:color w:val="auto"/>
          <w:sz w:val="24"/>
          <w:szCs w:val="24"/>
          <w:lang w:val="fr-FR"/>
        </w:rPr>
        <w:t>5. Strategic Change Management Plan for HSBC</w:t>
      </w:r>
      <w:r w:rsidR="00B422BE" w:rsidRPr="009C4C27">
        <w:rPr>
          <w:rFonts w:ascii="Times New Roman" w:hAnsi="Times New Roman" w:cs="Times New Roman"/>
          <w:b/>
          <w:bCs/>
          <w:color w:val="auto"/>
          <w:sz w:val="24"/>
          <w:szCs w:val="24"/>
          <w:lang w:val="fr-FR"/>
        </w:rPr>
        <w:t xml:space="preserve"> (see table</w:t>
      </w:r>
      <w:r w:rsidR="00F6407D" w:rsidRPr="009C4C27">
        <w:rPr>
          <w:rFonts w:ascii="Times New Roman" w:hAnsi="Times New Roman" w:cs="Times New Roman"/>
          <w:b/>
          <w:bCs/>
          <w:color w:val="auto"/>
          <w:sz w:val="24"/>
          <w:szCs w:val="24"/>
          <w:lang w:val="fr-FR"/>
        </w:rPr>
        <w:t> 1-</w:t>
      </w:r>
      <w:r w:rsidR="00B422BE" w:rsidRPr="009C4C27">
        <w:rPr>
          <w:rFonts w:ascii="Times New Roman" w:hAnsi="Times New Roman" w:cs="Times New Roman"/>
          <w:b/>
          <w:bCs/>
          <w:color w:val="auto"/>
          <w:sz w:val="24"/>
          <w:szCs w:val="24"/>
          <w:lang w:val="fr-FR"/>
        </w:rPr>
        <w:t>appendi</w:t>
      </w:r>
      <w:r w:rsidR="00131B55" w:rsidRPr="009C4C27">
        <w:rPr>
          <w:rFonts w:ascii="Times New Roman" w:hAnsi="Times New Roman" w:cs="Times New Roman"/>
          <w:b/>
          <w:bCs/>
          <w:color w:val="auto"/>
          <w:sz w:val="24"/>
          <w:szCs w:val="24"/>
          <w:lang w:val="fr-FR"/>
        </w:rPr>
        <w:t>x</w:t>
      </w:r>
      <w:r w:rsidR="005C6CD2" w:rsidRPr="009C4C27">
        <w:rPr>
          <w:rFonts w:ascii="Times New Roman" w:hAnsi="Times New Roman" w:cs="Times New Roman"/>
          <w:b/>
          <w:bCs/>
          <w:color w:val="auto"/>
          <w:sz w:val="24"/>
          <w:szCs w:val="24"/>
          <w:lang w:val="fr-FR"/>
        </w:rPr>
        <w:t>)</w:t>
      </w:r>
      <w:bookmarkEnd w:id="11"/>
      <w:r w:rsidR="00B422BE" w:rsidRPr="009C4C27">
        <w:rPr>
          <w:rFonts w:ascii="Times New Roman" w:hAnsi="Times New Roman" w:cs="Times New Roman"/>
          <w:b/>
          <w:bCs/>
          <w:color w:val="auto"/>
          <w:sz w:val="24"/>
          <w:szCs w:val="24"/>
          <w:lang w:val="fr-FR"/>
        </w:rPr>
        <w:t xml:space="preserve"> </w:t>
      </w:r>
    </w:p>
    <w:p w14:paraId="1D88ACBB" w14:textId="1EE041A6" w:rsidR="005218C4" w:rsidRPr="009C4C27" w:rsidRDefault="005218C4" w:rsidP="009C4C27">
      <w:pPr>
        <w:spacing w:line="360" w:lineRule="auto"/>
        <w:jc w:val="both"/>
        <w:textAlignment w:val="baseline"/>
        <w:rPr>
          <w:rFonts w:eastAsia="Times New Roman"/>
          <w:color w:val="000000"/>
          <w:bdr w:val="none" w:sz="0" w:space="0" w:color="auto"/>
          <w:lang w:val="en-GB" w:eastAsia="en-GB"/>
        </w:rPr>
      </w:pPr>
      <w:r w:rsidRPr="009C4C27">
        <w:rPr>
          <w:rFonts w:eastAsia="Times New Roman"/>
          <w:b/>
          <w:bCs/>
          <w:color w:val="000000"/>
          <w:bdr w:val="none" w:sz="0" w:space="0" w:color="auto"/>
          <w:lang w:val="en-GB" w:eastAsia="en-GB"/>
        </w:rPr>
        <w:t>5.1 Proposed Strategic Change and SMART Objectives: AI-Driven Digital Banking Transformation</w:t>
      </w:r>
    </w:p>
    <w:p w14:paraId="733805D1" w14:textId="77777777" w:rsidR="005218C4" w:rsidRPr="005218C4" w:rsidRDefault="005218C4"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p>
    <w:p w14:paraId="474420A8" w14:textId="77777777" w:rsidR="005218C4" w:rsidRPr="005218C4" w:rsidRDefault="005218C4"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5218C4">
        <w:rPr>
          <w:rFonts w:eastAsia="Times New Roman"/>
          <w:color w:val="000000"/>
          <w:bdr w:val="none" w:sz="0" w:space="0" w:color="auto"/>
          <w:lang w:val="en-GB" w:eastAsia="en-GB"/>
        </w:rPr>
        <w:t>HSBC proposes the implementation of a fully integrated AI-driven digital banking ecosystem to address accelerating technological disruption, evolving customer expectations, and intensifying competition from agile fintech firms (PwC, 2022). By embedding artificial intelligence across customer interfaces, decision-making processes, cybersecurity functions, and back-office operations, the bank seeks to enhance operational resilience while strengthening its competitive position within the global financial services sector (Accenture, 2021). This transformation will enable hyper-personalised financial solutions, predictive insights, and real-time customer support, aligning with growing demand for seamless and frictionless digital banking experiences (Deloitte, 2020). Moreover, the automation of approximately 60–70% of back-office processes is expected to reduce manual errors, improve efficiency, and release organisational capacity for higher-value strategic activities, consistent with industry best practice in financial services automation (McKinsey &amp; Company, 2023).</w:t>
      </w:r>
    </w:p>
    <w:p w14:paraId="1BA59F15" w14:textId="77777777" w:rsidR="005218C4" w:rsidRPr="005218C4" w:rsidRDefault="005218C4"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p>
    <w:p w14:paraId="3BD49822" w14:textId="77777777" w:rsidR="005218C4" w:rsidRPr="005218C4" w:rsidRDefault="005218C4"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5218C4">
        <w:rPr>
          <w:rFonts w:eastAsia="Times New Roman"/>
          <w:color w:val="000000"/>
          <w:bdr w:val="none" w:sz="0" w:space="0" w:color="auto"/>
          <w:lang w:val="en-GB" w:eastAsia="en-GB"/>
        </w:rPr>
        <w:t xml:space="preserve">The proposed transformation is structured around five SMART objectives that align closely with HSBC’s corporate strategy. The first objective focuses on operational efficiency, targeting a 25% reduction in overall operating costs within five years through extensive process automation and systems optimisation. This objective supports HSBC’s emphasis on cost discipline and operational </w:t>
      </w:r>
      <w:r w:rsidRPr="005218C4">
        <w:rPr>
          <w:rFonts w:eastAsia="Times New Roman"/>
          <w:color w:val="000000"/>
          <w:bdr w:val="none" w:sz="0" w:space="0" w:color="auto"/>
          <w:lang w:val="en-GB" w:eastAsia="en-GB"/>
        </w:rPr>
        <w:lastRenderedPageBreak/>
        <w:t>excellence by improving resource allocation and process consistency (HSBC Holdings plc, 2023). The second objective aims to increase digital customer satisfaction scores by at least 20% within three years by leveraging AI-driven personalisation and responsive digital services, reinforcing HSBC’s strategic commitment to customer centricity and innovation (KPMG, 2021).</w:t>
      </w:r>
    </w:p>
    <w:p w14:paraId="65DD3055" w14:textId="77777777" w:rsidR="005218C4" w:rsidRPr="005218C4" w:rsidRDefault="005218C4"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p>
    <w:p w14:paraId="719420DD" w14:textId="77777777" w:rsidR="005218C4" w:rsidRPr="005218C4" w:rsidRDefault="005218C4"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5218C4">
        <w:rPr>
          <w:rFonts w:eastAsia="Times New Roman"/>
          <w:color w:val="000000"/>
          <w:bdr w:val="none" w:sz="0" w:space="0" w:color="auto"/>
          <w:lang w:val="en-GB" w:eastAsia="en-GB"/>
        </w:rPr>
        <w:t xml:space="preserve">The third objective seeks to enhance competitive positioning by increasing HSBC’s digital market share by 10% within four years through the introduction of AI-enabled products capable of </w:t>
      </w:r>
      <w:proofErr w:type="spellStart"/>
      <w:r w:rsidRPr="005218C4">
        <w:rPr>
          <w:rFonts w:eastAsia="Times New Roman"/>
          <w:color w:val="000000"/>
          <w:bdr w:val="none" w:sz="0" w:space="0" w:color="auto"/>
          <w:lang w:val="en-GB" w:eastAsia="en-GB"/>
        </w:rPr>
        <w:t>rivaling</w:t>
      </w:r>
      <w:proofErr w:type="spellEnd"/>
      <w:r w:rsidRPr="005218C4">
        <w:rPr>
          <w:rFonts w:eastAsia="Times New Roman"/>
          <w:color w:val="000000"/>
          <w:bdr w:val="none" w:sz="0" w:space="0" w:color="auto"/>
          <w:lang w:val="en-GB" w:eastAsia="en-GB"/>
        </w:rPr>
        <w:t xml:space="preserve"> fintech offerings (EY, 2022). The fourth objective addresses cybersecurity and risk management, aiming to reduce successful cyber incidents and fraud-related losses by 30% within three years through AI-powered threat detection systems, thereby safeguarding trust and regulatory compliance (World Economic Forum, 2021). Finally, the fifth objective targets a 15% improvement in profit margins within five years by reallocating resources from physical branch infrastructure to scalable digital platforms, supporting sustainable growth and long-term financial resilience (HSBC Holdings plc, 2023).</w:t>
      </w:r>
    </w:p>
    <w:p w14:paraId="0EF98F42" w14:textId="517B14AB" w:rsidR="002E070E" w:rsidRPr="009C4C27" w:rsidRDefault="00E45A36" w:rsidP="009C4C27">
      <w:pPr>
        <w:pStyle w:val="Heading1"/>
        <w:spacing w:line="360" w:lineRule="auto"/>
        <w:jc w:val="both"/>
        <w:rPr>
          <w:rFonts w:ascii="Times New Roman" w:hAnsi="Times New Roman" w:cs="Times New Roman"/>
          <w:b/>
          <w:bCs/>
          <w:color w:val="auto"/>
          <w:sz w:val="24"/>
          <w:szCs w:val="24"/>
          <w:lang w:val="fr-FR"/>
        </w:rPr>
      </w:pPr>
      <w:bookmarkStart w:id="12" w:name="_Toc216911247"/>
      <w:r w:rsidRPr="009C4C27">
        <w:rPr>
          <w:rFonts w:ascii="Times New Roman" w:hAnsi="Times New Roman" w:cs="Times New Roman"/>
          <w:b/>
          <w:bCs/>
          <w:color w:val="auto"/>
          <w:sz w:val="24"/>
          <w:szCs w:val="24"/>
          <w:lang w:val="fr-FR"/>
        </w:rPr>
        <w:t>5.4 Financial Plan</w:t>
      </w:r>
      <w:r w:rsidR="002E070E" w:rsidRPr="009C4C27">
        <w:rPr>
          <w:rFonts w:ascii="Times New Roman" w:hAnsi="Times New Roman" w:cs="Times New Roman"/>
          <w:b/>
          <w:bCs/>
          <w:color w:val="auto"/>
          <w:sz w:val="24"/>
          <w:szCs w:val="24"/>
          <w:lang w:val="fr-FR"/>
        </w:rPr>
        <w:t xml:space="preserve"> Table</w:t>
      </w:r>
      <w:r w:rsidR="00383914" w:rsidRPr="009C4C27">
        <w:rPr>
          <w:rFonts w:ascii="Times New Roman" w:hAnsi="Times New Roman" w:cs="Times New Roman"/>
          <w:b/>
          <w:bCs/>
          <w:color w:val="auto"/>
          <w:sz w:val="24"/>
          <w:szCs w:val="24"/>
          <w:lang w:val="fr-FR"/>
        </w:rPr>
        <w:t xml:space="preserve"> (</w:t>
      </w:r>
      <w:r w:rsidR="003D13F0" w:rsidRPr="009C4C27">
        <w:rPr>
          <w:rFonts w:ascii="Times New Roman" w:hAnsi="Times New Roman" w:cs="Times New Roman"/>
          <w:b/>
          <w:bCs/>
          <w:color w:val="auto"/>
          <w:sz w:val="24"/>
          <w:szCs w:val="24"/>
          <w:lang w:val="fr-FR"/>
        </w:rPr>
        <w:t xml:space="preserve"> Budget Plan </w:t>
      </w:r>
      <w:r w:rsidR="009C6D93" w:rsidRPr="009C4C27">
        <w:rPr>
          <w:rFonts w:ascii="Times New Roman" w:hAnsi="Times New Roman" w:cs="Times New Roman"/>
          <w:b/>
          <w:bCs/>
          <w:color w:val="auto"/>
          <w:sz w:val="24"/>
          <w:szCs w:val="24"/>
          <w:lang w:val="fr-FR"/>
        </w:rPr>
        <w:t xml:space="preserve">table 3 and more information </w:t>
      </w:r>
      <w:r w:rsidR="003D13F0" w:rsidRPr="009C4C27">
        <w:rPr>
          <w:rFonts w:ascii="Times New Roman" w:hAnsi="Times New Roman" w:cs="Times New Roman"/>
          <w:b/>
          <w:bCs/>
          <w:color w:val="auto"/>
          <w:sz w:val="24"/>
          <w:szCs w:val="24"/>
          <w:lang w:val="fr-FR"/>
        </w:rPr>
        <w:t>added in Appendix</w:t>
      </w:r>
      <w:r w:rsidR="00AC7032">
        <w:rPr>
          <w:rFonts w:ascii="Times New Roman" w:hAnsi="Times New Roman" w:cs="Times New Roman"/>
          <w:b/>
          <w:bCs/>
          <w:color w:val="auto"/>
          <w:sz w:val="24"/>
          <w:szCs w:val="24"/>
          <w:lang w:val="fr-FR"/>
        </w:rPr>
        <w:t xml:space="preserve"> </w:t>
      </w:r>
      <w:r w:rsidR="00AC7032" w:rsidRPr="00AC7032">
        <w:rPr>
          <w:rFonts w:ascii="Times New Roman" w:hAnsi="Times New Roman" w:cs="Times New Roman"/>
          <w:b/>
          <w:bCs/>
          <w:color w:val="auto"/>
          <w:sz w:val="24"/>
          <w:szCs w:val="24"/>
          <w:u w:color="000000"/>
        </w:rPr>
        <w:t>created by Rita Roberts)</w:t>
      </w:r>
      <w:bookmarkEnd w:id="12"/>
    </w:p>
    <w:tbl>
      <w:tblPr>
        <w:tblW w:w="983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970"/>
        <w:gridCol w:w="2392"/>
        <w:gridCol w:w="4472"/>
      </w:tblGrid>
      <w:tr w:rsidR="002E070E" w:rsidRPr="009C4C27" w14:paraId="5970793B" w14:textId="77777777" w:rsidTr="005516F3">
        <w:trPr>
          <w:trHeight w:val="794"/>
        </w:trPr>
        <w:tc>
          <w:tcPr>
            <w:tcW w:w="297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6F98210"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b/>
                <w:bCs/>
                <w:sz w:val="24"/>
                <w:szCs w:val="24"/>
              </w:rPr>
              <w:t>Investment Area</w:t>
            </w:r>
          </w:p>
        </w:tc>
        <w:tc>
          <w:tcPr>
            <w:tcW w:w="239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CFF644B"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b/>
                <w:bCs/>
                <w:sz w:val="24"/>
                <w:szCs w:val="24"/>
              </w:rPr>
              <w:t>Allocation (£ millions)</w:t>
            </w:r>
          </w:p>
        </w:tc>
        <w:tc>
          <w:tcPr>
            <w:tcW w:w="447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CB79232"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b/>
                <w:bCs/>
                <w:sz w:val="24"/>
                <w:szCs w:val="24"/>
              </w:rPr>
              <w:t>Purpose</w:t>
            </w:r>
          </w:p>
        </w:tc>
      </w:tr>
      <w:tr w:rsidR="002E070E" w:rsidRPr="009C4C27" w14:paraId="3F33D51B" w14:textId="77777777" w:rsidTr="005516F3">
        <w:trPr>
          <w:trHeight w:val="806"/>
        </w:trPr>
        <w:tc>
          <w:tcPr>
            <w:tcW w:w="297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AE7AA05"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AI and Automation</w:t>
            </w:r>
          </w:p>
        </w:tc>
        <w:tc>
          <w:tcPr>
            <w:tcW w:w="239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47256A3" w14:textId="77777777" w:rsidR="002E070E" w:rsidRPr="009C4C27" w:rsidRDefault="002E070E" w:rsidP="009C4C27">
            <w:pPr>
              <w:suppressAutoHyphens/>
              <w:spacing w:after="240" w:line="360" w:lineRule="auto"/>
              <w:jc w:val="both"/>
            </w:pPr>
            <w:r w:rsidRPr="009C4C27">
              <w:rPr>
                <w:color w:val="000000"/>
                <w14:textOutline w14:w="0" w14:cap="flat" w14:cmpd="sng" w14:algn="ctr">
                  <w14:noFill/>
                  <w14:prstDash w14:val="solid"/>
                  <w14:bevel/>
                </w14:textOutline>
              </w:rPr>
              <w:t>1,200</w:t>
            </w:r>
          </w:p>
        </w:tc>
        <w:tc>
          <w:tcPr>
            <w:tcW w:w="447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172765F"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Operational efficiency, personalised services</w:t>
            </w:r>
          </w:p>
        </w:tc>
      </w:tr>
      <w:tr w:rsidR="002E070E" w:rsidRPr="009C4C27" w14:paraId="7D50314D" w14:textId="77777777" w:rsidTr="005516F3">
        <w:trPr>
          <w:trHeight w:val="741"/>
        </w:trPr>
        <w:tc>
          <w:tcPr>
            <w:tcW w:w="297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283484C"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Cybersecurity</w:t>
            </w:r>
          </w:p>
        </w:tc>
        <w:tc>
          <w:tcPr>
            <w:tcW w:w="239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1795D22" w14:textId="77777777" w:rsidR="002E070E" w:rsidRPr="009C4C27" w:rsidRDefault="002E070E" w:rsidP="009C4C27">
            <w:pPr>
              <w:suppressAutoHyphens/>
              <w:spacing w:after="240" w:line="360" w:lineRule="auto"/>
              <w:jc w:val="both"/>
            </w:pPr>
            <w:r w:rsidRPr="009C4C27">
              <w:rPr>
                <w:color w:val="000000"/>
                <w14:textOutline w14:w="0" w14:cap="flat" w14:cmpd="sng" w14:algn="ctr">
                  <w14:noFill/>
                  <w14:prstDash w14:val="solid"/>
                  <w14:bevel/>
                </w14:textOutline>
              </w:rPr>
              <w:t>800</w:t>
            </w:r>
          </w:p>
        </w:tc>
        <w:tc>
          <w:tcPr>
            <w:tcW w:w="447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7F6ACCD"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Advanced threat detection and compliance</w:t>
            </w:r>
          </w:p>
        </w:tc>
      </w:tr>
      <w:tr w:rsidR="002E070E" w:rsidRPr="009C4C27" w14:paraId="1C217939" w14:textId="77777777" w:rsidTr="005516F3">
        <w:trPr>
          <w:trHeight w:val="588"/>
        </w:trPr>
        <w:tc>
          <w:tcPr>
            <w:tcW w:w="297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8804858"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IT Upgrades</w:t>
            </w:r>
          </w:p>
        </w:tc>
        <w:tc>
          <w:tcPr>
            <w:tcW w:w="239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C6404B4" w14:textId="77777777" w:rsidR="002E070E" w:rsidRPr="009C4C27" w:rsidRDefault="002E070E" w:rsidP="009C4C27">
            <w:pPr>
              <w:suppressAutoHyphens/>
              <w:spacing w:after="240" w:line="360" w:lineRule="auto"/>
              <w:jc w:val="both"/>
            </w:pPr>
            <w:r w:rsidRPr="009C4C27">
              <w:rPr>
                <w:color w:val="000000"/>
                <w14:textOutline w14:w="0" w14:cap="flat" w14:cmpd="sng" w14:algn="ctr">
                  <w14:noFill/>
                  <w14:prstDash w14:val="solid"/>
                  <w14:bevel/>
                </w14:textOutline>
              </w:rPr>
              <w:t>500</w:t>
            </w:r>
          </w:p>
        </w:tc>
        <w:tc>
          <w:tcPr>
            <w:tcW w:w="447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41531B9"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Legacy system modernisation</w:t>
            </w:r>
          </w:p>
        </w:tc>
      </w:tr>
      <w:tr w:rsidR="002E070E" w:rsidRPr="009C4C27" w14:paraId="5FD3387A" w14:textId="77777777" w:rsidTr="005516F3">
        <w:trPr>
          <w:trHeight w:val="384"/>
        </w:trPr>
        <w:tc>
          <w:tcPr>
            <w:tcW w:w="297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B345294"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Staff Upskilling</w:t>
            </w:r>
          </w:p>
        </w:tc>
        <w:tc>
          <w:tcPr>
            <w:tcW w:w="239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150CD8F" w14:textId="77777777" w:rsidR="002E070E" w:rsidRPr="009C4C27" w:rsidRDefault="002E070E" w:rsidP="009C4C27">
            <w:pPr>
              <w:suppressAutoHyphens/>
              <w:spacing w:after="240" w:line="360" w:lineRule="auto"/>
              <w:jc w:val="both"/>
            </w:pPr>
            <w:r w:rsidRPr="009C4C27">
              <w:rPr>
                <w:color w:val="000000"/>
                <w14:textOutline w14:w="0" w14:cap="flat" w14:cmpd="sng" w14:algn="ctr">
                  <w14:noFill/>
                  <w14:prstDash w14:val="solid"/>
                  <w14:bevel/>
                </w14:textOutline>
              </w:rPr>
              <w:t>300</w:t>
            </w:r>
          </w:p>
        </w:tc>
        <w:tc>
          <w:tcPr>
            <w:tcW w:w="447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3EABFF8"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Digital competency and adoption</w:t>
            </w:r>
          </w:p>
        </w:tc>
      </w:tr>
      <w:tr w:rsidR="002E070E" w:rsidRPr="009C4C27" w14:paraId="1A2BE80B" w14:textId="77777777" w:rsidTr="005516F3">
        <w:trPr>
          <w:trHeight w:hRule="exact" w:val="570"/>
        </w:trPr>
        <w:tc>
          <w:tcPr>
            <w:tcW w:w="297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52A80AE"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Digital Product Development</w:t>
            </w:r>
          </w:p>
        </w:tc>
        <w:tc>
          <w:tcPr>
            <w:tcW w:w="239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A975D52" w14:textId="77777777" w:rsidR="002E070E" w:rsidRPr="009C4C27" w:rsidRDefault="002E070E" w:rsidP="009C4C27">
            <w:pPr>
              <w:suppressAutoHyphens/>
              <w:spacing w:after="240" w:line="360" w:lineRule="auto"/>
              <w:jc w:val="both"/>
            </w:pPr>
            <w:r w:rsidRPr="009C4C27">
              <w:rPr>
                <w:color w:val="000000"/>
                <w14:textOutline w14:w="0" w14:cap="flat" w14:cmpd="sng" w14:algn="ctr">
                  <w14:noFill/>
                  <w14:prstDash w14:val="solid"/>
                  <w14:bevel/>
                </w14:textOutline>
              </w:rPr>
              <w:t>200</w:t>
            </w:r>
          </w:p>
        </w:tc>
        <w:tc>
          <w:tcPr>
            <w:tcW w:w="4472"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BE3B88D"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New AI-enabled banking services</w:t>
            </w:r>
          </w:p>
        </w:tc>
      </w:tr>
      <w:tr w:rsidR="002E070E" w:rsidRPr="009C4C27" w14:paraId="4D3EEE48" w14:textId="77777777" w:rsidTr="005516F3">
        <w:trPr>
          <w:trHeight w:hRule="exact" w:val="550"/>
        </w:trPr>
        <w:tc>
          <w:tcPr>
            <w:tcW w:w="297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171BA5A"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Total Investment</w:t>
            </w:r>
          </w:p>
        </w:tc>
        <w:tc>
          <w:tcPr>
            <w:tcW w:w="239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306C5B2" w14:textId="77777777" w:rsidR="002E070E" w:rsidRPr="009C4C27" w:rsidRDefault="002E070E" w:rsidP="009C4C27">
            <w:pPr>
              <w:suppressAutoHyphens/>
              <w:spacing w:after="240" w:line="360" w:lineRule="auto"/>
              <w:jc w:val="both"/>
            </w:pPr>
            <w:r w:rsidRPr="009C4C27">
              <w:rPr>
                <w:color w:val="000000"/>
                <w14:textOutline w14:w="0" w14:cap="flat" w14:cmpd="sng" w14:algn="ctr">
                  <w14:noFill/>
                  <w14:prstDash w14:val="solid"/>
                  <w14:bevel/>
                </w14:textOutline>
              </w:rPr>
              <w:t>3,000</w:t>
            </w:r>
          </w:p>
        </w:tc>
        <w:tc>
          <w:tcPr>
            <w:tcW w:w="4472"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5DAFD94" w14:textId="77777777" w:rsidR="002E070E" w:rsidRPr="009C4C27" w:rsidRDefault="002E070E"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w:t>
            </w:r>
          </w:p>
        </w:tc>
      </w:tr>
    </w:tbl>
    <w:p w14:paraId="02481FFE" w14:textId="77777777" w:rsidR="002E070E" w:rsidRPr="009C4C27" w:rsidRDefault="002E070E" w:rsidP="009C4C27">
      <w:pPr>
        <w:pStyle w:val="Default"/>
        <w:suppressAutoHyphens/>
        <w:spacing w:before="0" w:after="240" w:line="360" w:lineRule="auto"/>
        <w:jc w:val="both"/>
        <w:rPr>
          <w:rFonts w:ascii="Times New Roman" w:eastAsia="Times New Roman" w:hAnsi="Times New Roman" w:cs="Times New Roman"/>
          <w:sz w:val="24"/>
          <w:szCs w:val="24"/>
        </w:rPr>
      </w:pPr>
    </w:p>
    <w:p w14:paraId="789B6371" w14:textId="77777777" w:rsidR="009132C9" w:rsidRPr="009C4C27" w:rsidRDefault="002E070E" w:rsidP="009C4C27">
      <w:pPr>
        <w:pStyle w:val="Default"/>
        <w:numPr>
          <w:ilvl w:val="0"/>
          <w:numId w:val="6"/>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Projected Outcomes:</w:t>
      </w:r>
      <w:r w:rsidRPr="009C4C27">
        <w:rPr>
          <w:rFonts w:ascii="Times New Roman" w:eastAsia="Times New Roman" w:hAnsi="Times New Roman" w:cs="Times New Roman"/>
          <w:sz w:val="24"/>
          <w:szCs w:val="24"/>
        </w:rPr>
        <w:t xml:space="preserve"> </w:t>
      </w:r>
      <w:r w:rsidRPr="009C4C27">
        <w:rPr>
          <w:rFonts w:ascii="Times New Roman" w:hAnsi="Times New Roman" w:cs="Times New Roman"/>
          <w:sz w:val="24"/>
          <w:szCs w:val="24"/>
          <w:lang w:val="en-US"/>
        </w:rPr>
        <w:t>25% reduction in operating costs over 5 years</w:t>
      </w:r>
      <w:r w:rsidR="007D3578" w:rsidRPr="009C4C27">
        <w:rPr>
          <w:rFonts w:ascii="Times New Roman" w:hAnsi="Times New Roman" w:cs="Times New Roman"/>
          <w:sz w:val="24"/>
          <w:szCs w:val="24"/>
          <w:lang w:val="en-US"/>
        </w:rPr>
        <w:t xml:space="preserve"> </w:t>
      </w:r>
    </w:p>
    <w:p w14:paraId="1EEB1CCF" w14:textId="04BA42A5" w:rsidR="002E070E" w:rsidRPr="009C4C27" w:rsidRDefault="002E070E" w:rsidP="009C4C27">
      <w:pPr>
        <w:pStyle w:val="Default"/>
        <w:numPr>
          <w:ilvl w:val="0"/>
          <w:numId w:val="6"/>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rPr>
        <w:t>10–</w:t>
      </w:r>
      <w:r w:rsidRPr="009C4C27">
        <w:rPr>
          <w:rFonts w:ascii="Times New Roman" w:hAnsi="Times New Roman" w:cs="Times New Roman"/>
          <w:sz w:val="24"/>
          <w:szCs w:val="24"/>
          <w:lang w:val="en-US"/>
        </w:rPr>
        <w:t>15% increase in revenue from digital products</w:t>
      </w:r>
    </w:p>
    <w:p w14:paraId="54D3B838" w14:textId="13D3FE6B" w:rsidR="002E070E" w:rsidRPr="009C4C27" w:rsidRDefault="002E070E" w:rsidP="009C4C27">
      <w:pPr>
        <w:pStyle w:val="Default"/>
        <w:numPr>
          <w:ilvl w:val="0"/>
          <w:numId w:val="6"/>
        </w:numPr>
        <w:suppressAutoHyphens/>
        <w:spacing w:before="0" w:after="240" w:line="360" w:lineRule="auto"/>
        <w:jc w:val="both"/>
        <w:rPr>
          <w:rFonts w:ascii="Times New Roman" w:hAnsi="Times New Roman" w:cs="Times New Roman"/>
          <w:sz w:val="24"/>
          <w:szCs w:val="24"/>
          <w:lang w:val="en-US"/>
        </w:rPr>
      </w:pPr>
      <w:r w:rsidRPr="009C4C27">
        <w:rPr>
          <w:rFonts w:ascii="Times New Roman" w:hAnsi="Times New Roman" w:cs="Times New Roman"/>
          <w:sz w:val="24"/>
          <w:szCs w:val="24"/>
          <w:lang w:val="en-US"/>
        </w:rPr>
        <w:t>Closure of underperforming branches and improved productivity</w:t>
      </w:r>
    </w:p>
    <w:p w14:paraId="72ABC5E7" w14:textId="6451F64D" w:rsidR="00C1258F" w:rsidRPr="00C1258F" w:rsidRDefault="00C1258F"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C1258F">
        <w:rPr>
          <w:rFonts w:eastAsia="Times New Roman"/>
          <w:color w:val="000000"/>
          <w:bdr w:val="none" w:sz="0" w:space="0" w:color="auto"/>
          <w:lang w:val="en-GB" w:eastAsia="en-GB"/>
        </w:rPr>
        <w:lastRenderedPageBreak/>
        <w:t>HSBC’s financial plan for digital transformation is underpinned by SMART objectives designed to align substantial capital investment with long-term competitive advantage. Between 2024 and 2027, HSBC plans to invest £3 billion to modernise its digital infrastructure, with the specific and time-bound objective of achieving full interoperability across cloud-based platforms, AI-enabled systems, and digital service channels by the end of 2027. Progress will be measured through system integration milestones and service reliability metrics, and the scale of investment is achievable given HSBC’s financial capacity. Strategically, this initiative supports both cost leadership and differentiation by improving operational efficiency while enhancing customer experience (Porter, 1985).</w:t>
      </w:r>
    </w:p>
    <w:p w14:paraId="6179A613" w14:textId="2F07AF5F" w:rsidR="00C1258F" w:rsidRPr="00C1258F" w:rsidRDefault="00C1258F"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C1258F">
        <w:rPr>
          <w:rFonts w:eastAsia="Times New Roman"/>
          <w:color w:val="000000"/>
          <w:bdr w:val="none" w:sz="0" w:space="0" w:color="auto"/>
          <w:lang w:val="en-GB" w:eastAsia="en-GB"/>
        </w:rPr>
        <w:t>A key element of the plan is the allocation of £1.2 billion to AI and automation technologies by 2027, with the measurable objective of reducing operational costs by approximately 25% within five years. From a Resource-Based View perspective, proprietary AI capabilities and advanced analytics constitute valuable and difficult-to-imitate resources that can generate sustained competitive advantage (Barney, 1991). However, this objective assumes effective integration of AI into existing processes and high employee adoption. Resistance to change, regulatory limitations, or legacy system rigidity may delay the realisation of projected cost savings (HSBC Annual Report, 2022).</w:t>
      </w:r>
    </w:p>
    <w:p w14:paraId="7679E945" w14:textId="1EC2094C" w:rsidR="00C1258F" w:rsidRPr="00C1258F" w:rsidRDefault="00C1258F"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C1258F">
        <w:rPr>
          <w:rFonts w:eastAsia="Times New Roman"/>
          <w:color w:val="000000"/>
          <w:bdr w:val="none" w:sz="0" w:space="0" w:color="auto"/>
          <w:lang w:val="en-GB" w:eastAsia="en-GB"/>
        </w:rPr>
        <w:t xml:space="preserve">Cybersecurity investment represents a further SMART objective, with £800 million committed by 2027 to enhance threat detection, data protection, and regulatory compliance. Success will be measured through reduced security incidents and strengthened compliance outcomes. Strategically, this investment reinforces differentiation by protecting trust and brand reputation in an increasingly digital banking environment (Frost, 2022). Nonetheless, cybersecurity risks are </w:t>
      </w:r>
      <w:r w:rsidR="004E20D2" w:rsidRPr="009C4C27">
        <w:rPr>
          <w:rFonts w:eastAsia="Times New Roman"/>
          <w:color w:val="000000"/>
          <w:bdr w:val="none" w:sz="0" w:space="0" w:color="auto"/>
          <w:lang w:val="en-GB" w:eastAsia="en-GB"/>
        </w:rPr>
        <w:t>dynamic and</w:t>
      </w:r>
      <w:r w:rsidRPr="00C1258F">
        <w:rPr>
          <w:rFonts w:eastAsia="Times New Roman"/>
          <w:color w:val="000000"/>
          <w:bdr w:val="none" w:sz="0" w:space="0" w:color="auto"/>
          <w:lang w:val="en-GB" w:eastAsia="en-GB"/>
        </w:rPr>
        <w:t xml:space="preserve"> diminishing returns on security spending present an inherent limitation.</w:t>
      </w:r>
    </w:p>
    <w:p w14:paraId="6A9E83A2" w14:textId="00AA6AA7" w:rsidR="00383914" w:rsidRPr="00FE4125" w:rsidRDefault="00C1258F"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C1258F">
        <w:rPr>
          <w:rFonts w:eastAsia="Times New Roman"/>
          <w:color w:val="000000"/>
          <w:bdr w:val="none" w:sz="0" w:space="0" w:color="auto"/>
          <w:lang w:val="en-GB" w:eastAsia="en-GB"/>
        </w:rPr>
        <w:t>HSBC will also invest £500 million by the end of 2026 to modernise legacy IT systems, enabling the development of dynamic capabilities that allow the organisation to reconfigure resources in response to technological change (Teece, 2007). While essential, this initiative carries risks related to system integration and potential cost overruns. Finally, £300 million will be invested in workforce upskilling and £200 million in customer-facing digital products by 2027, aiming to support a 10–15% increase in digital-driven revenue within five years. These objectives are strategically aligned with differentiation but remain exposed to employee resistance, customer adoption uncertainty, and competitive imitation by fintech rivals (HSBC Annual Report, 2022).</w:t>
      </w:r>
    </w:p>
    <w:p w14:paraId="03D462E3" w14:textId="1C691F5D" w:rsidR="00FE4125" w:rsidRPr="009C4C27" w:rsidRDefault="00FE4125" w:rsidP="009C4C27">
      <w:pPr>
        <w:pStyle w:val="Heading1"/>
        <w:spacing w:line="360" w:lineRule="auto"/>
        <w:jc w:val="both"/>
        <w:rPr>
          <w:rFonts w:ascii="Times New Roman" w:hAnsi="Times New Roman" w:cs="Times New Roman"/>
          <w:b/>
          <w:bCs/>
          <w:color w:val="auto"/>
          <w:sz w:val="24"/>
          <w:szCs w:val="24"/>
          <w:lang w:val="fr-FR"/>
        </w:rPr>
      </w:pPr>
      <w:bookmarkStart w:id="13" w:name="_Toc216911248"/>
      <w:r w:rsidRPr="009C4C27">
        <w:rPr>
          <w:rFonts w:ascii="Times New Roman" w:hAnsi="Times New Roman" w:cs="Times New Roman"/>
          <w:b/>
          <w:bCs/>
          <w:color w:val="auto"/>
          <w:sz w:val="24"/>
          <w:szCs w:val="24"/>
          <w:lang w:val="fr-FR"/>
        </w:rPr>
        <w:t>5.5 Communication Plan</w:t>
      </w:r>
      <w:bookmarkEnd w:id="13"/>
      <w:r w:rsidR="00A873E5" w:rsidRPr="009C4C27">
        <w:rPr>
          <w:rFonts w:ascii="Times New Roman" w:hAnsi="Times New Roman" w:cs="Times New Roman"/>
          <w:b/>
          <w:bCs/>
          <w:color w:val="auto"/>
          <w:sz w:val="24"/>
          <w:szCs w:val="24"/>
          <w:lang w:val="fr-FR"/>
        </w:rPr>
        <w:t xml:space="preserve"> </w:t>
      </w:r>
    </w:p>
    <w:p w14:paraId="2F2D97B8" w14:textId="42DA0DF0" w:rsidR="009D0406" w:rsidRPr="009C4C27" w:rsidRDefault="009D0406" w:rsidP="009C4C27">
      <w:pPr>
        <w:pStyle w:val="Default"/>
        <w:suppressAutoHyphens/>
        <w:spacing w:before="0" w:after="160" w:line="360" w:lineRule="auto"/>
        <w:jc w:val="both"/>
        <w:rPr>
          <w:rFonts w:ascii="Times New Roman" w:eastAsia="Helvetica" w:hAnsi="Times New Roman" w:cs="Times New Roman"/>
          <w:color w:val="auto"/>
          <w:sz w:val="24"/>
          <w:szCs w:val="24"/>
          <w:u w:color="000000"/>
        </w:rPr>
      </w:pPr>
      <w:r w:rsidRPr="009C4C27">
        <w:rPr>
          <w:rFonts w:ascii="Times New Roman" w:hAnsi="Times New Roman" w:cs="Times New Roman"/>
          <w:b/>
          <w:bCs/>
          <w:color w:val="auto"/>
          <w:sz w:val="24"/>
          <w:szCs w:val="24"/>
          <w:u w:color="000000"/>
          <w:lang w:val="fr-FR"/>
        </w:rPr>
        <w:t>Table E1: Communication RACI Matrix</w:t>
      </w:r>
      <w:r w:rsidR="00AC7032">
        <w:rPr>
          <w:rFonts w:ascii="Times New Roman" w:hAnsi="Times New Roman" w:cs="Times New Roman"/>
          <w:b/>
          <w:bCs/>
          <w:color w:val="auto"/>
          <w:sz w:val="24"/>
          <w:szCs w:val="24"/>
          <w:u w:color="000000"/>
          <w:lang w:val="fr-FR"/>
        </w:rPr>
        <w:t xml:space="preserve"> </w:t>
      </w:r>
      <w:r w:rsidR="00AC7032">
        <w:rPr>
          <w:rFonts w:ascii="Times New Roman" w:hAnsi="Times New Roman" w:cs="Times New Roman"/>
          <w:b/>
          <w:bCs/>
          <w:sz w:val="24"/>
          <w:szCs w:val="24"/>
          <w:u w:color="000000"/>
          <w:lang w:val="en-US"/>
        </w:rPr>
        <w:t>(created by Rita Roberts)</w:t>
      </w: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872"/>
        <w:gridCol w:w="1224"/>
        <w:gridCol w:w="1223"/>
        <w:gridCol w:w="1223"/>
        <w:gridCol w:w="1223"/>
        <w:gridCol w:w="1223"/>
        <w:gridCol w:w="1650"/>
      </w:tblGrid>
      <w:tr w:rsidR="009D0406" w:rsidRPr="009C4C27" w14:paraId="4794E7E4" w14:textId="77777777" w:rsidTr="005516F3">
        <w:trPr>
          <w:trHeight w:val="480"/>
        </w:trPr>
        <w:tc>
          <w:tcPr>
            <w:tcW w:w="1871" w:type="dxa"/>
            <w:tcBorders>
              <w:top w:val="single" w:sz="2" w:space="0" w:color="000000"/>
              <w:left w:val="single" w:sz="2" w:space="0" w:color="000000"/>
              <w:bottom w:val="single" w:sz="2" w:space="0" w:color="000000"/>
              <w:right w:val="single" w:sz="2" w:space="0" w:color="000000"/>
            </w:tcBorders>
            <w:shd w:val="clear" w:color="auto" w:fill="D4E7F0"/>
            <w:tcMar>
              <w:top w:w="106" w:type="dxa"/>
              <w:left w:w="106" w:type="dxa"/>
              <w:bottom w:w="106" w:type="dxa"/>
              <w:right w:w="106" w:type="dxa"/>
            </w:tcMar>
          </w:tcPr>
          <w:p w14:paraId="032246DD"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lastRenderedPageBreak/>
              <w:t>Activity</w:t>
            </w:r>
          </w:p>
        </w:tc>
        <w:tc>
          <w:tcPr>
            <w:tcW w:w="1223" w:type="dxa"/>
            <w:tcBorders>
              <w:top w:val="single" w:sz="2" w:space="0" w:color="000000"/>
              <w:left w:val="single" w:sz="2" w:space="0" w:color="000000"/>
              <w:bottom w:val="single" w:sz="2" w:space="0" w:color="000000"/>
              <w:right w:val="single" w:sz="2" w:space="0" w:color="000000"/>
            </w:tcBorders>
            <w:shd w:val="clear" w:color="auto" w:fill="D4E7F0"/>
            <w:tcMar>
              <w:top w:w="106" w:type="dxa"/>
              <w:left w:w="106" w:type="dxa"/>
              <w:bottom w:w="106" w:type="dxa"/>
              <w:right w:w="106" w:type="dxa"/>
            </w:tcMar>
          </w:tcPr>
          <w:p w14:paraId="550537AB"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Change Lead</w:t>
            </w:r>
          </w:p>
        </w:tc>
        <w:tc>
          <w:tcPr>
            <w:tcW w:w="1223" w:type="dxa"/>
            <w:tcBorders>
              <w:top w:val="single" w:sz="2" w:space="0" w:color="000000"/>
              <w:left w:val="single" w:sz="2" w:space="0" w:color="000000"/>
              <w:bottom w:val="single" w:sz="2" w:space="0" w:color="000000"/>
              <w:right w:val="single" w:sz="2" w:space="0" w:color="000000"/>
            </w:tcBorders>
            <w:shd w:val="clear" w:color="auto" w:fill="D4E7F0"/>
            <w:tcMar>
              <w:top w:w="106" w:type="dxa"/>
              <w:left w:w="106" w:type="dxa"/>
              <w:bottom w:w="106" w:type="dxa"/>
              <w:right w:w="106" w:type="dxa"/>
            </w:tcMar>
          </w:tcPr>
          <w:p w14:paraId="44357B7B"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Program Manager</w:t>
            </w:r>
          </w:p>
        </w:tc>
        <w:tc>
          <w:tcPr>
            <w:tcW w:w="1223" w:type="dxa"/>
            <w:tcBorders>
              <w:top w:val="single" w:sz="2" w:space="0" w:color="000000"/>
              <w:left w:val="single" w:sz="2" w:space="0" w:color="000000"/>
              <w:bottom w:val="single" w:sz="2" w:space="0" w:color="000000"/>
              <w:right w:val="single" w:sz="2" w:space="0" w:color="000000"/>
            </w:tcBorders>
            <w:shd w:val="clear" w:color="auto" w:fill="D4E7F0"/>
            <w:tcMar>
              <w:top w:w="106" w:type="dxa"/>
              <w:left w:w="106" w:type="dxa"/>
              <w:bottom w:w="106" w:type="dxa"/>
              <w:right w:w="106" w:type="dxa"/>
            </w:tcMar>
          </w:tcPr>
          <w:p w14:paraId="52CEFECA"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Comms</w:t>
            </w:r>
          </w:p>
        </w:tc>
        <w:tc>
          <w:tcPr>
            <w:tcW w:w="1223" w:type="dxa"/>
            <w:tcBorders>
              <w:top w:val="single" w:sz="2" w:space="0" w:color="000000"/>
              <w:left w:val="single" w:sz="2" w:space="0" w:color="000000"/>
              <w:bottom w:val="single" w:sz="2" w:space="0" w:color="000000"/>
              <w:right w:val="single" w:sz="2" w:space="0" w:color="000000"/>
            </w:tcBorders>
            <w:shd w:val="clear" w:color="auto" w:fill="D4E7F0"/>
            <w:tcMar>
              <w:top w:w="106" w:type="dxa"/>
              <w:left w:w="106" w:type="dxa"/>
              <w:bottom w:w="106" w:type="dxa"/>
              <w:right w:w="106" w:type="dxa"/>
            </w:tcMar>
          </w:tcPr>
          <w:p w14:paraId="6A1174CE"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HR</w:t>
            </w:r>
          </w:p>
        </w:tc>
        <w:tc>
          <w:tcPr>
            <w:tcW w:w="1223" w:type="dxa"/>
            <w:tcBorders>
              <w:top w:val="single" w:sz="2" w:space="0" w:color="000000"/>
              <w:left w:val="single" w:sz="2" w:space="0" w:color="000000"/>
              <w:bottom w:val="single" w:sz="2" w:space="0" w:color="000000"/>
              <w:right w:val="single" w:sz="2" w:space="0" w:color="000000"/>
            </w:tcBorders>
            <w:shd w:val="clear" w:color="auto" w:fill="D4E7F0"/>
            <w:tcMar>
              <w:top w:w="106" w:type="dxa"/>
              <w:left w:w="106" w:type="dxa"/>
              <w:bottom w:w="106" w:type="dxa"/>
              <w:right w:w="106" w:type="dxa"/>
            </w:tcMar>
          </w:tcPr>
          <w:p w14:paraId="3ABAF27B"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Exec Sponsor</w:t>
            </w:r>
          </w:p>
        </w:tc>
        <w:tc>
          <w:tcPr>
            <w:tcW w:w="1650" w:type="dxa"/>
            <w:tcBorders>
              <w:top w:val="single" w:sz="2" w:space="0" w:color="000000"/>
              <w:left w:val="single" w:sz="2" w:space="0" w:color="000000"/>
              <w:bottom w:val="single" w:sz="2" w:space="0" w:color="000000"/>
              <w:right w:val="single" w:sz="2" w:space="0" w:color="000000"/>
            </w:tcBorders>
            <w:shd w:val="clear" w:color="auto" w:fill="D4E7F0"/>
            <w:tcMar>
              <w:top w:w="106" w:type="dxa"/>
              <w:left w:w="106" w:type="dxa"/>
              <w:bottom w:w="106" w:type="dxa"/>
              <w:right w:w="106" w:type="dxa"/>
            </w:tcMar>
          </w:tcPr>
          <w:p w14:paraId="30F524E3"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b/>
                <w:bCs/>
                <w:sz w:val="24"/>
                <w:szCs w:val="24"/>
                <w:u w:color="000000"/>
              </w:rPr>
              <w:t>Line Managers</w:t>
            </w:r>
          </w:p>
        </w:tc>
      </w:tr>
      <w:tr w:rsidR="009D0406" w:rsidRPr="009C4C27" w14:paraId="1A7708F4" w14:textId="77777777" w:rsidTr="005516F3">
        <w:trPr>
          <w:trHeight w:val="240"/>
        </w:trPr>
        <w:tc>
          <w:tcPr>
            <w:tcW w:w="1871"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3690DDFC"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Communication Strategy</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6EA0E350"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A/R</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2D3D5AF1"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25D6922A"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33B21B18"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52C62648"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w:t>
            </w:r>
          </w:p>
        </w:tc>
        <w:tc>
          <w:tcPr>
            <w:tcW w:w="1650"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16B78BB3"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w:t>
            </w:r>
          </w:p>
        </w:tc>
      </w:tr>
      <w:tr w:rsidR="009D0406" w:rsidRPr="009C4C27" w14:paraId="76560BFD" w14:textId="77777777" w:rsidTr="005516F3">
        <w:trPr>
          <w:trHeight w:val="480"/>
        </w:trPr>
        <w:tc>
          <w:tcPr>
            <w:tcW w:w="1871"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639F3196"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Executive Announcements</w:t>
            </w:r>
          </w:p>
        </w:tc>
        <w:tc>
          <w:tcPr>
            <w:tcW w:w="1223"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6D3E2321"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w:t>
            </w:r>
          </w:p>
        </w:tc>
        <w:tc>
          <w:tcPr>
            <w:tcW w:w="1223"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03D68873"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w:t>
            </w:r>
          </w:p>
        </w:tc>
        <w:tc>
          <w:tcPr>
            <w:tcW w:w="1223"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583D6723"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R</w:t>
            </w:r>
          </w:p>
        </w:tc>
        <w:tc>
          <w:tcPr>
            <w:tcW w:w="1223"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46AA8EDE"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w:t>
            </w:r>
          </w:p>
        </w:tc>
        <w:tc>
          <w:tcPr>
            <w:tcW w:w="1223"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1837BCBB"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A</w:t>
            </w:r>
          </w:p>
        </w:tc>
        <w:tc>
          <w:tcPr>
            <w:tcW w:w="1650"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2D5022DC"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w:t>
            </w:r>
          </w:p>
        </w:tc>
      </w:tr>
      <w:tr w:rsidR="009D0406" w:rsidRPr="009C4C27" w14:paraId="7F40B816" w14:textId="77777777" w:rsidTr="005516F3">
        <w:trPr>
          <w:trHeight w:val="480"/>
        </w:trPr>
        <w:tc>
          <w:tcPr>
            <w:tcW w:w="1871"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5E16E058"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Manager Cascade Briefings</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2EA97E7D"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R</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3766582E"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6C519D39"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12097C9C"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10FE2B8A"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w:t>
            </w:r>
          </w:p>
        </w:tc>
        <w:tc>
          <w:tcPr>
            <w:tcW w:w="1650"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01D90FD3"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A/R</w:t>
            </w:r>
          </w:p>
        </w:tc>
      </w:tr>
      <w:tr w:rsidR="009D0406" w:rsidRPr="009C4C27" w14:paraId="71CCD7D5" w14:textId="77777777" w:rsidTr="005516F3">
        <w:trPr>
          <w:trHeight w:val="240"/>
        </w:trPr>
        <w:tc>
          <w:tcPr>
            <w:tcW w:w="1871"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70E32B2A"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Training Communications</w:t>
            </w:r>
          </w:p>
        </w:tc>
        <w:tc>
          <w:tcPr>
            <w:tcW w:w="1223"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55FBCEE3"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w:t>
            </w:r>
          </w:p>
        </w:tc>
        <w:tc>
          <w:tcPr>
            <w:tcW w:w="1223"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383CB235"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w:t>
            </w:r>
          </w:p>
        </w:tc>
        <w:tc>
          <w:tcPr>
            <w:tcW w:w="1223"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0B8D69A2"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w:t>
            </w:r>
          </w:p>
        </w:tc>
        <w:tc>
          <w:tcPr>
            <w:tcW w:w="1223"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4B1A1F2D"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A/R</w:t>
            </w:r>
          </w:p>
        </w:tc>
        <w:tc>
          <w:tcPr>
            <w:tcW w:w="1223"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442AEB72"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w:t>
            </w:r>
          </w:p>
        </w:tc>
        <w:tc>
          <w:tcPr>
            <w:tcW w:w="1650" w:type="dxa"/>
            <w:tcBorders>
              <w:top w:val="single" w:sz="2" w:space="0" w:color="000000"/>
              <w:left w:val="single" w:sz="2" w:space="0" w:color="000000"/>
              <w:bottom w:val="single" w:sz="2" w:space="0" w:color="000000"/>
              <w:right w:val="single" w:sz="2" w:space="0" w:color="000000"/>
            </w:tcBorders>
            <w:tcMar>
              <w:top w:w="106" w:type="dxa"/>
              <w:left w:w="106" w:type="dxa"/>
              <w:bottom w:w="106" w:type="dxa"/>
              <w:right w:w="106" w:type="dxa"/>
            </w:tcMar>
          </w:tcPr>
          <w:p w14:paraId="3D97560C"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w:t>
            </w:r>
          </w:p>
        </w:tc>
      </w:tr>
      <w:tr w:rsidR="009D0406" w:rsidRPr="009C4C27" w14:paraId="2DAD4437" w14:textId="77777777" w:rsidTr="005516F3">
        <w:trPr>
          <w:trHeight w:val="240"/>
        </w:trPr>
        <w:tc>
          <w:tcPr>
            <w:tcW w:w="1871"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5A80FF89"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Feedback Collection</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21D82009"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R</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7B51B702"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08E6BB58"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16ADDCF0"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C</w:t>
            </w:r>
          </w:p>
        </w:tc>
        <w:tc>
          <w:tcPr>
            <w:tcW w:w="1223"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27019EFB"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w:t>
            </w:r>
          </w:p>
        </w:tc>
        <w:tc>
          <w:tcPr>
            <w:tcW w:w="1650" w:type="dxa"/>
            <w:tcBorders>
              <w:top w:val="single" w:sz="2" w:space="0" w:color="000000"/>
              <w:left w:val="single" w:sz="2" w:space="0" w:color="000000"/>
              <w:bottom w:val="single" w:sz="2" w:space="0" w:color="000000"/>
              <w:right w:val="single" w:sz="2" w:space="0" w:color="000000"/>
            </w:tcBorders>
            <w:shd w:val="clear" w:color="auto" w:fill="F5F5F5"/>
            <w:tcMar>
              <w:top w:w="106" w:type="dxa"/>
              <w:left w:w="106" w:type="dxa"/>
              <w:bottom w:w="106" w:type="dxa"/>
              <w:right w:w="106" w:type="dxa"/>
            </w:tcMar>
          </w:tcPr>
          <w:p w14:paraId="043CDB14" w14:textId="77777777" w:rsidR="009D0406" w:rsidRPr="009C4C27" w:rsidRDefault="009D0406" w:rsidP="009C4C27">
            <w:pPr>
              <w:pStyle w:val="TableStyle2"/>
              <w:suppressAutoHyphens/>
              <w:spacing w:after="160" w:line="360" w:lineRule="auto"/>
              <w:jc w:val="both"/>
              <w:rPr>
                <w:rFonts w:ascii="Times New Roman" w:hAnsi="Times New Roman" w:cs="Times New Roman"/>
                <w:sz w:val="24"/>
                <w:szCs w:val="24"/>
              </w:rPr>
            </w:pPr>
            <w:r w:rsidRPr="009C4C27">
              <w:rPr>
                <w:rFonts w:ascii="Times New Roman" w:hAnsi="Times New Roman" w:cs="Times New Roman"/>
                <w:sz w:val="24"/>
                <w:szCs w:val="24"/>
                <w:u w:color="000000"/>
              </w:rPr>
              <w:t>I</w:t>
            </w:r>
          </w:p>
        </w:tc>
      </w:tr>
    </w:tbl>
    <w:p w14:paraId="6B1EC36D" w14:textId="77777777" w:rsidR="009D0406" w:rsidRPr="009C4C27" w:rsidRDefault="009D0406" w:rsidP="009C4C27">
      <w:pPr>
        <w:pStyle w:val="Default"/>
        <w:suppressAutoHyphens/>
        <w:spacing w:before="0" w:line="360" w:lineRule="auto"/>
        <w:jc w:val="both"/>
        <w:rPr>
          <w:rFonts w:ascii="Times New Roman" w:eastAsia="Helvetica" w:hAnsi="Times New Roman" w:cs="Times New Roman"/>
          <w:i/>
          <w:iCs/>
          <w:sz w:val="24"/>
          <w:szCs w:val="24"/>
          <w:u w:color="000000"/>
        </w:rPr>
      </w:pPr>
    </w:p>
    <w:p w14:paraId="1A5C4B28" w14:textId="125682D4" w:rsidR="009D0406" w:rsidRPr="009C4C27" w:rsidRDefault="009D0406" w:rsidP="009C4C27">
      <w:pPr>
        <w:pStyle w:val="Default"/>
        <w:suppressAutoHyphens/>
        <w:spacing w:before="0" w:line="360" w:lineRule="auto"/>
        <w:jc w:val="both"/>
        <w:rPr>
          <w:rFonts w:ascii="Times New Roman" w:eastAsia="Helvetica" w:hAnsi="Times New Roman" w:cs="Times New Roman"/>
          <w:b/>
          <w:bCs/>
          <w:sz w:val="24"/>
          <w:szCs w:val="24"/>
          <w:u w:color="000000"/>
        </w:rPr>
      </w:pPr>
      <w:r w:rsidRPr="009C4C27">
        <w:rPr>
          <w:rFonts w:ascii="Times New Roman" w:hAnsi="Times New Roman" w:cs="Times New Roman"/>
          <w:b/>
          <w:bCs/>
          <w:i/>
          <w:iCs/>
          <w:sz w:val="24"/>
          <w:szCs w:val="24"/>
          <w:u w:color="000000"/>
          <w:lang w:val="en-US"/>
        </w:rPr>
        <w:t>Note: R = Responsible (executes), A = Accountable (approves), C = Consulted (provides input), I = Informed (kept aware)</w:t>
      </w:r>
    </w:p>
    <w:p w14:paraId="69103326" w14:textId="77777777" w:rsidR="009D0406" w:rsidRPr="009C4C27" w:rsidRDefault="009D0406" w:rsidP="009C4C27">
      <w:pPr>
        <w:spacing w:line="360" w:lineRule="auto"/>
        <w:jc w:val="both"/>
        <w:rPr>
          <w:lang w:val="en-GB"/>
        </w:rPr>
      </w:pPr>
    </w:p>
    <w:p w14:paraId="087203A1" w14:textId="6E5C7658" w:rsidR="007A0473" w:rsidRPr="007A0473" w:rsidRDefault="007A047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7A0473">
        <w:rPr>
          <w:rFonts w:eastAsia="Times New Roman"/>
          <w:color w:val="000000"/>
          <w:bdr w:val="none" w:sz="0" w:space="0" w:color="auto"/>
          <w:lang w:val="en-GB" w:eastAsia="en-GB"/>
        </w:rPr>
        <w:t>HSBC’s communication plan is designed to support digital transformation by aligning stakeholders, reducing resistance and reinforcing organisational commitment. Internally, a key SMART objective is to ensure that at least 90% of employees are informed and engaged with the transformation programme from 2024 onwards through quarterly leadership updates and monthly digital newsletters. This objective is measurable through engagement analytics and aligns with Kotter’s (2012) emphasis on continuous and transparent communication as a critical driver of successful change. In addition, HSBC aims to deliver targeted workshops, training programmes and structured feedback mechanisms by 2026 to prepare employees for new digital systems, thereby strengthening firm-specific human capital, which the Resource-Based View identifies as a source of sustained competitive advantage (Barney, 1991). However, this approach assumes that communication and training alone will overcome resistance, overlooking potential challenges such as entrenched organisational cultures, skills gaps and concerns over job displacement.</w:t>
      </w:r>
    </w:p>
    <w:p w14:paraId="058D4028" w14:textId="5373B3DB" w:rsidR="00B76CA3" w:rsidRPr="009C4C27" w:rsidRDefault="007A047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7A0473">
        <w:rPr>
          <w:rFonts w:eastAsia="Times New Roman"/>
          <w:color w:val="000000"/>
          <w:bdr w:val="none" w:sz="0" w:space="0" w:color="auto"/>
          <w:lang w:val="en-GB" w:eastAsia="en-GB"/>
        </w:rPr>
        <w:lastRenderedPageBreak/>
        <w:t>Externally, HSBC’s communication strategy focuses on maintaining customer trust and awareness throughout the transformation period from 2024 to 2027. Regular emails, mobile app notifications and website updates are intended to inform customers about service improvements and AI-enabled features, with effectiveness measured through engagement and satisfaction metrics. This transparency supports competitive differentiation by enhancing perceived service quality in digital banking markets (Porter, 1985). A further objective is to clearly communicate cybersecurity and data privacy measures by 2027 in response to growing public concern. While trust is a critical intangible resource, this strategy is constrained by the assumption that communication alone can mitigate customer anxiety, as any major security breach could significantly undermine credibility and confidence (Frost, 2022).</w:t>
      </w:r>
    </w:p>
    <w:p w14:paraId="1611F95D" w14:textId="44ECAF27" w:rsidR="000058FC" w:rsidRPr="00E00285" w:rsidRDefault="00710EC1" w:rsidP="009C4C27">
      <w:pPr>
        <w:pStyle w:val="Heading1"/>
        <w:spacing w:line="360" w:lineRule="auto"/>
        <w:jc w:val="both"/>
        <w:rPr>
          <w:rFonts w:ascii="Times New Roman" w:hAnsi="Times New Roman" w:cs="Times New Roman"/>
          <w:b/>
          <w:bCs/>
          <w:color w:val="auto"/>
          <w:sz w:val="28"/>
          <w:szCs w:val="28"/>
          <w:lang w:val="fr-FR"/>
        </w:rPr>
      </w:pPr>
      <w:bookmarkStart w:id="14" w:name="_Toc216911249"/>
      <w:r w:rsidRPr="00E00285">
        <w:rPr>
          <w:rFonts w:ascii="Times New Roman" w:hAnsi="Times New Roman" w:cs="Times New Roman"/>
          <w:b/>
          <w:bCs/>
          <w:color w:val="auto"/>
          <w:sz w:val="28"/>
          <w:szCs w:val="28"/>
          <w:lang w:val="fr-FR"/>
        </w:rPr>
        <w:t>5.6 Evaluation Plan</w:t>
      </w:r>
      <w:r w:rsidR="00F84CC2" w:rsidRPr="00E00285">
        <w:rPr>
          <w:rFonts w:ascii="Times New Roman" w:hAnsi="Times New Roman" w:cs="Times New Roman"/>
          <w:b/>
          <w:bCs/>
          <w:color w:val="auto"/>
          <w:sz w:val="28"/>
          <w:szCs w:val="28"/>
          <w:lang w:val="fr-FR"/>
        </w:rPr>
        <w:t xml:space="preserve"> </w:t>
      </w:r>
      <w:r w:rsidR="00CD42E2" w:rsidRPr="00E00285">
        <w:rPr>
          <w:rFonts w:ascii="Times New Roman" w:hAnsi="Times New Roman" w:cs="Times New Roman"/>
          <w:b/>
          <w:bCs/>
          <w:color w:val="auto"/>
          <w:sz w:val="28"/>
          <w:szCs w:val="28"/>
          <w:lang w:val="fr-FR"/>
        </w:rPr>
        <w:t>(</w:t>
      </w:r>
      <w:r w:rsidR="00E00285">
        <w:rPr>
          <w:rFonts w:ascii="Times New Roman" w:hAnsi="Times New Roman" w:cs="Times New Roman"/>
          <w:b/>
          <w:bCs/>
          <w:color w:val="auto"/>
          <w:sz w:val="28"/>
          <w:szCs w:val="28"/>
          <w:lang w:val="fr-FR"/>
        </w:rPr>
        <w:t xml:space="preserve">Table </w:t>
      </w:r>
      <w:r w:rsidR="00AF72C5" w:rsidRPr="00E00285">
        <w:rPr>
          <w:rFonts w:ascii="Times New Roman" w:hAnsi="Times New Roman" w:cs="Times New Roman"/>
          <w:b/>
          <w:bCs/>
          <w:color w:val="auto"/>
          <w:sz w:val="28"/>
          <w:szCs w:val="28"/>
          <w:lang w:val="fr-FR"/>
        </w:rPr>
        <w:t>A</w:t>
      </w:r>
      <w:r w:rsidR="00CD42E2" w:rsidRPr="00E00285">
        <w:rPr>
          <w:rFonts w:ascii="Times New Roman" w:hAnsi="Times New Roman" w:cs="Times New Roman"/>
          <w:b/>
          <w:bCs/>
          <w:color w:val="auto"/>
          <w:sz w:val="28"/>
          <w:szCs w:val="28"/>
          <w:lang w:val="fr-FR"/>
        </w:rPr>
        <w:t>ppendi</w:t>
      </w:r>
      <w:r w:rsidR="002B5D4A" w:rsidRPr="00E00285">
        <w:rPr>
          <w:rFonts w:ascii="Times New Roman" w:hAnsi="Times New Roman" w:cs="Times New Roman"/>
          <w:b/>
          <w:bCs/>
          <w:color w:val="auto"/>
          <w:sz w:val="28"/>
          <w:szCs w:val="28"/>
          <w:lang w:val="fr-FR"/>
        </w:rPr>
        <w:t>x</w:t>
      </w:r>
      <w:r w:rsidR="00AF72C5" w:rsidRPr="00E00285">
        <w:rPr>
          <w:rFonts w:ascii="Times New Roman" w:hAnsi="Times New Roman" w:cs="Times New Roman"/>
          <w:b/>
          <w:bCs/>
          <w:color w:val="auto"/>
          <w:sz w:val="28"/>
          <w:szCs w:val="28"/>
          <w:lang w:val="fr-FR"/>
        </w:rPr>
        <w:t xml:space="preserve"> 2</w:t>
      </w:r>
      <w:r w:rsidR="00CD42E2" w:rsidRPr="00E00285">
        <w:rPr>
          <w:rFonts w:ascii="Times New Roman" w:hAnsi="Times New Roman" w:cs="Times New Roman"/>
          <w:b/>
          <w:bCs/>
          <w:color w:val="auto"/>
          <w:sz w:val="28"/>
          <w:szCs w:val="28"/>
          <w:lang w:val="fr-FR"/>
        </w:rPr>
        <w:t>)</w:t>
      </w:r>
      <w:bookmarkEnd w:id="14"/>
    </w:p>
    <w:p w14:paraId="2E0D394E" w14:textId="3B688E81" w:rsidR="00662558" w:rsidRPr="009F2FA3" w:rsidRDefault="00662558" w:rsidP="009C4C2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 xml:space="preserve">The evaluation framework is intended to support continuous monitoring, ensure accountability, and enable adaptive decision-making throughout HSBC’s digital transformation programme. A comprehensive set of key performance indicators (KPIs) </w:t>
      </w:r>
      <w:r w:rsidR="008E4D78" w:rsidRPr="009C4C27">
        <w:rPr>
          <w:rFonts w:eastAsia="Times New Roman"/>
          <w:color w:val="000000"/>
          <w:bdr w:val="none" w:sz="0" w:space="0" w:color="auto"/>
          <w:lang w:val="en-GB" w:eastAsia="en-GB"/>
        </w:rPr>
        <w:t xml:space="preserve">are </w:t>
      </w:r>
      <w:r w:rsidRPr="009F2FA3">
        <w:rPr>
          <w:rFonts w:eastAsia="Times New Roman"/>
          <w:color w:val="000000"/>
          <w:bdr w:val="none" w:sz="0" w:space="0" w:color="auto"/>
          <w:lang w:val="en-GB" w:eastAsia="en-GB"/>
        </w:rPr>
        <w:t>used to assess progress across operational, financial, technological, and cultural dimensions. Core measures include customer satisfaction scores, reductions in operational costs, and adoption rates of newly implemented digital services. In addition, indicators such as the frequency of cybersecurity incidents, levels of employee engagement, and workforce digital capability will be monitored to reflect the importance of risk management and human capital in achieving sustainable transformation (HSBC Annual Report, 2022; Kane et al., 2015).</w:t>
      </w:r>
    </w:p>
    <w:p w14:paraId="4C5C3E47" w14:textId="77777777" w:rsidR="00662558" w:rsidRPr="009F2FA3" w:rsidRDefault="00662558" w:rsidP="009C4C2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p>
    <w:p w14:paraId="3D2C6985" w14:textId="4DE9E487" w:rsidR="00662558" w:rsidRPr="009F2FA3" w:rsidRDefault="00662558" w:rsidP="009C4C2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Effective performance measurement systems are widely recognised as critical to ensuring that digital transformation initiatives deliver long-term strategic value rather than isolated technological improvements (Vial, 2019).</w:t>
      </w:r>
    </w:p>
    <w:p w14:paraId="79A4E501" w14:textId="03D84E50" w:rsidR="00662558" w:rsidRPr="009F2FA3" w:rsidRDefault="00662558" w:rsidP="009C4C2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To ensure robustness and transparency, the evaluation process will incorporate multiple review mechanisms. Bi-annual audits will be undertaken to assess progress against strategic objectives and ensure compliance with regulatory requirements, which is particularly important within the banking sector (Basel Committee on Banking Supervision, 2018). Alongside this, real-time performance dashboards will be utilised to track digital adoption levels, productivity improvements, and emerging operational risks, allowing management to intervene promptly where performance deviates from targets (McAfee and Brynjolfsson, 2012).</w:t>
      </w:r>
    </w:p>
    <w:p w14:paraId="1686ED0A" w14:textId="76A7A589" w:rsidR="00662558" w:rsidRPr="009C4C27" w:rsidRDefault="00662558" w:rsidP="009C4C2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 xml:space="preserve">Customer feedback surveys will complement quantitative performance data by providing qualitative insights into service quality, customer expectations, and user experience. This approach supports continuous refinement of digital products and reinforces customer-centric decision-making (Verhoef </w:t>
      </w:r>
      <w:r w:rsidRPr="009F2FA3">
        <w:rPr>
          <w:rFonts w:eastAsia="Times New Roman"/>
          <w:color w:val="000000"/>
          <w:bdr w:val="none" w:sz="0" w:space="0" w:color="auto"/>
          <w:lang w:val="en-GB" w:eastAsia="en-GB"/>
        </w:rPr>
        <w:lastRenderedPageBreak/>
        <w:t xml:space="preserve">et al., 2021). Furthermore, periodic independent external evaluations may be conducted to enhance objectivity, strengthen governance, and increase stakeholder confidence. </w:t>
      </w:r>
      <w:r w:rsidR="00893AC0" w:rsidRPr="009C4C27">
        <w:rPr>
          <w:rFonts w:eastAsia="Times New Roman"/>
          <w:color w:val="000000"/>
          <w:bdr w:val="none" w:sz="0" w:space="0" w:color="auto"/>
          <w:lang w:val="en-GB" w:eastAsia="en-GB"/>
        </w:rPr>
        <w:t xml:space="preserve">The </w:t>
      </w:r>
      <w:r w:rsidRPr="009F2FA3">
        <w:rPr>
          <w:rFonts w:eastAsia="Times New Roman"/>
          <w:color w:val="000000"/>
          <w:bdr w:val="none" w:sz="0" w:space="0" w:color="auto"/>
          <w:lang w:val="en-GB" w:eastAsia="en-GB"/>
        </w:rPr>
        <w:t xml:space="preserve">adopting </w:t>
      </w:r>
      <w:r w:rsidR="00893AC0" w:rsidRPr="009C4C27">
        <w:rPr>
          <w:rFonts w:eastAsia="Times New Roman"/>
          <w:color w:val="000000"/>
          <w:bdr w:val="none" w:sz="0" w:space="0" w:color="auto"/>
          <w:lang w:val="en-GB" w:eastAsia="en-GB"/>
        </w:rPr>
        <w:t xml:space="preserve">of </w:t>
      </w:r>
      <w:r w:rsidRPr="009F2FA3">
        <w:rPr>
          <w:rFonts w:eastAsia="Times New Roman"/>
          <w:color w:val="000000"/>
          <w:bdr w:val="none" w:sz="0" w:space="0" w:color="auto"/>
          <w:lang w:val="en-GB" w:eastAsia="en-GB"/>
        </w:rPr>
        <w:t>continuous, multi-layered evaluation framework,</w:t>
      </w:r>
      <w:r w:rsidR="00693D23" w:rsidRPr="009C4C27">
        <w:rPr>
          <w:rFonts w:eastAsia="Times New Roman"/>
          <w:color w:val="000000"/>
          <w:bdr w:val="none" w:sz="0" w:space="0" w:color="auto"/>
          <w:lang w:val="en-GB" w:eastAsia="en-GB"/>
        </w:rPr>
        <w:t xml:space="preserve"> will </w:t>
      </w:r>
      <w:r w:rsidRPr="009F2FA3">
        <w:rPr>
          <w:rFonts w:eastAsia="Times New Roman"/>
          <w:color w:val="000000"/>
          <w:bdr w:val="none" w:sz="0" w:space="0" w:color="auto"/>
          <w:lang w:val="en-GB" w:eastAsia="en-GB"/>
        </w:rPr>
        <w:t xml:space="preserve">ensure that </w:t>
      </w:r>
      <w:r w:rsidR="00693D23" w:rsidRPr="009C4C27">
        <w:rPr>
          <w:rFonts w:eastAsia="Times New Roman"/>
          <w:color w:val="000000"/>
          <w:bdr w:val="none" w:sz="0" w:space="0" w:color="auto"/>
          <w:lang w:val="en-GB" w:eastAsia="en-GB"/>
        </w:rPr>
        <w:t xml:space="preserve">HSBC </w:t>
      </w:r>
      <w:r w:rsidRPr="009F2FA3">
        <w:rPr>
          <w:rFonts w:eastAsia="Times New Roman"/>
          <w:color w:val="000000"/>
          <w:bdr w:val="none" w:sz="0" w:space="0" w:color="auto"/>
          <w:lang w:val="en-GB" w:eastAsia="en-GB"/>
        </w:rPr>
        <w:t>digital transformation remains aligned with strategic priorities while remaining responsive to evolving technological, regulatory, and market conditions.</w:t>
      </w:r>
    </w:p>
    <w:p w14:paraId="30EFBE55" w14:textId="0B0694CB" w:rsidR="008E46E4" w:rsidRPr="00E00285" w:rsidRDefault="00EA31E4" w:rsidP="009C4C27">
      <w:pPr>
        <w:pStyle w:val="Heading1"/>
        <w:spacing w:line="360" w:lineRule="auto"/>
        <w:jc w:val="both"/>
        <w:rPr>
          <w:rFonts w:ascii="Times New Roman" w:hAnsi="Times New Roman" w:cs="Times New Roman"/>
          <w:b/>
          <w:bCs/>
          <w:color w:val="auto"/>
          <w:sz w:val="28"/>
          <w:szCs w:val="28"/>
          <w:lang w:val="fr-FR"/>
        </w:rPr>
      </w:pPr>
      <w:bookmarkStart w:id="15" w:name="_Toc216911250"/>
      <w:r w:rsidRPr="00E00285">
        <w:rPr>
          <w:rFonts w:ascii="Times New Roman" w:hAnsi="Times New Roman" w:cs="Times New Roman"/>
          <w:b/>
          <w:bCs/>
          <w:color w:val="auto"/>
          <w:sz w:val="28"/>
          <w:szCs w:val="28"/>
          <w:lang w:val="fr-FR"/>
        </w:rPr>
        <w:t>6</w:t>
      </w:r>
      <w:r w:rsidR="008E46E4" w:rsidRPr="00E00285">
        <w:rPr>
          <w:rFonts w:ascii="Times New Roman" w:hAnsi="Times New Roman" w:cs="Times New Roman"/>
          <w:b/>
          <w:bCs/>
          <w:color w:val="auto"/>
          <w:sz w:val="28"/>
          <w:szCs w:val="28"/>
          <w:lang w:val="fr-FR"/>
        </w:rPr>
        <w:t>. Recommendations</w:t>
      </w:r>
      <w:bookmarkEnd w:id="15"/>
      <w:r w:rsidR="008E46E4" w:rsidRPr="00E00285">
        <w:rPr>
          <w:rFonts w:ascii="Times New Roman" w:hAnsi="Times New Roman" w:cs="Times New Roman"/>
          <w:b/>
          <w:bCs/>
          <w:color w:val="auto"/>
          <w:sz w:val="28"/>
          <w:szCs w:val="28"/>
          <w:lang w:val="fr-FR"/>
        </w:rPr>
        <w:t xml:space="preserve"> </w:t>
      </w:r>
    </w:p>
    <w:p w14:paraId="16878590" w14:textId="364B93F1" w:rsidR="00775876" w:rsidRPr="00775876" w:rsidRDefault="00775876"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775876">
        <w:rPr>
          <w:rFonts w:eastAsia="Times New Roman"/>
          <w:color w:val="000000"/>
          <w:bdr w:val="none" w:sz="0" w:space="0" w:color="auto"/>
          <w:lang w:val="en-GB" w:eastAsia="en-GB"/>
        </w:rPr>
        <w:t xml:space="preserve">Based on the findings of this report, several strategic recommendations are proposed to support the successful implementation and sustainability of HSBC’s </w:t>
      </w:r>
      <w:r w:rsidR="00401DA1" w:rsidRPr="009C4C27">
        <w:rPr>
          <w:rFonts w:eastAsia="Times New Roman"/>
          <w:color w:val="000000"/>
          <w:bdr w:val="none" w:sz="0" w:space="0" w:color="auto"/>
          <w:lang w:val="en-GB" w:eastAsia="en-GB"/>
        </w:rPr>
        <w:t xml:space="preserve">change </w:t>
      </w:r>
      <w:r w:rsidR="007E10AE" w:rsidRPr="009C4C27">
        <w:rPr>
          <w:rFonts w:eastAsia="Times New Roman"/>
          <w:color w:val="000000"/>
          <w:bdr w:val="none" w:sz="0" w:space="0" w:color="auto"/>
          <w:lang w:val="en-GB" w:eastAsia="en-GB"/>
        </w:rPr>
        <w:t xml:space="preserve">strategies and </w:t>
      </w:r>
      <w:r w:rsidRPr="00775876">
        <w:rPr>
          <w:rFonts w:eastAsia="Times New Roman"/>
          <w:color w:val="000000"/>
          <w:bdr w:val="none" w:sz="0" w:space="0" w:color="auto"/>
          <w:lang w:val="en-GB" w:eastAsia="en-GB"/>
        </w:rPr>
        <w:t>AI-driven digital transformation.</w:t>
      </w:r>
    </w:p>
    <w:p w14:paraId="681B91BE" w14:textId="77777777" w:rsidR="00775876" w:rsidRPr="00775876" w:rsidRDefault="00775876"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775876">
        <w:rPr>
          <w:rFonts w:eastAsia="Times New Roman"/>
          <w:color w:val="000000"/>
          <w:bdr w:val="none" w:sz="0" w:space="0" w:color="auto"/>
          <w:lang w:val="en-GB" w:eastAsia="en-GB"/>
        </w:rPr>
        <w:t>First, HSBC should prioritise continuous investment in workforce upskilling and reskilling. While technological infrastructure is critical, the effectiveness of digital transformation ultimately depends on employee capability and engagement. Structured training programmes focused on data analytics, AI literacy, cybersecurity awareness, and digital service delivery should be embedded into long-term talent development strategies. This approach will help mitigate resistance to change, improve employee confidence, and ensure that digital systems are used effectively across the organisation.</w:t>
      </w:r>
    </w:p>
    <w:p w14:paraId="6627C3C0" w14:textId="0FD4A328" w:rsidR="00775876" w:rsidRPr="00775876" w:rsidRDefault="00775876"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775876">
        <w:rPr>
          <w:rFonts w:eastAsia="Times New Roman"/>
          <w:color w:val="000000"/>
          <w:bdr w:val="none" w:sz="0" w:space="0" w:color="auto"/>
          <w:lang w:val="en-GB" w:eastAsia="en-GB"/>
        </w:rPr>
        <w:t>Second, HSBC should strengthen its change communication strategy by adopting a more participatory and feedback-driven approach.</w:t>
      </w:r>
      <w:r w:rsidR="00044783" w:rsidRPr="009C4C27">
        <w:rPr>
          <w:rFonts w:eastAsia="Times New Roman"/>
          <w:color w:val="000000"/>
          <w:bdr w:val="none" w:sz="0" w:space="0" w:color="auto"/>
          <w:lang w:val="en-GB" w:eastAsia="en-GB"/>
        </w:rPr>
        <w:t xml:space="preserve"> G</w:t>
      </w:r>
      <w:r w:rsidRPr="00775876">
        <w:rPr>
          <w:rFonts w:eastAsia="Times New Roman"/>
          <w:color w:val="000000"/>
          <w:bdr w:val="none" w:sz="0" w:space="0" w:color="auto"/>
          <w:lang w:val="en-GB" w:eastAsia="en-GB"/>
        </w:rPr>
        <w:t>reater emphasis should be placed on two-way communication channels that actively involve employees in the transformation process. Encouraging employee input, addressing concerns transparently, and recognising contributions can enhance trust and foster a sense of shared ownership over change initiatives, thereby improving implementation outcomes.</w:t>
      </w:r>
    </w:p>
    <w:p w14:paraId="1E8D947D" w14:textId="51C5261A" w:rsidR="00775876" w:rsidRPr="00775876" w:rsidRDefault="00775876"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775876">
        <w:rPr>
          <w:rFonts w:eastAsia="Times New Roman"/>
          <w:color w:val="000000"/>
          <w:bdr w:val="none" w:sz="0" w:space="0" w:color="auto"/>
          <w:lang w:val="en-GB" w:eastAsia="en-GB"/>
        </w:rPr>
        <w:t>Third, the organisation should further modernise its legacy IT infrastructure in a phased and risk-managed manner. A modular migration strategy that gradually replaces outdated systems while maintaining operational stability will reduce disruption and improve compatibility with AI-driven platforms. This approach also allows HSBC to adapt more quickly to future technological developments.</w:t>
      </w:r>
    </w:p>
    <w:p w14:paraId="10DC2ECF" w14:textId="77777777" w:rsidR="00775876" w:rsidRPr="00775876" w:rsidRDefault="00775876"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775876">
        <w:rPr>
          <w:rFonts w:eastAsia="Times New Roman"/>
          <w:color w:val="000000"/>
          <w:bdr w:val="none" w:sz="0" w:space="0" w:color="auto"/>
          <w:lang w:val="en-GB" w:eastAsia="en-GB"/>
        </w:rPr>
        <w:t>Finally, HSBC should institutionalise continuous evaluation and adaptive change mechanisms. Given the dynamic nature of the global banking environment, change should be viewed as an ongoing process rather than a one-time initiative. Regular performance reviews, real-time data monitoring, and external benchmarking should inform strategic adjustments, ensuring that the transformation remains aligned with evolving market conditions, customer expectations, and regulatory requirements.</w:t>
      </w:r>
    </w:p>
    <w:p w14:paraId="17988D35" w14:textId="2BC8FA74" w:rsidR="00775876" w:rsidRPr="00775876" w:rsidRDefault="00BC400D" w:rsidP="009C4C27">
      <w:pPr>
        <w:pStyle w:val="Heading1"/>
        <w:spacing w:line="360" w:lineRule="auto"/>
        <w:jc w:val="both"/>
        <w:rPr>
          <w:rFonts w:ascii="Times New Roman" w:hAnsi="Times New Roman" w:cs="Times New Roman"/>
          <w:b/>
          <w:bCs/>
          <w:color w:val="auto"/>
          <w:sz w:val="28"/>
          <w:szCs w:val="28"/>
          <w:lang w:val="fr-FR"/>
        </w:rPr>
      </w:pPr>
      <w:bookmarkStart w:id="16" w:name="_Toc216911251"/>
      <w:r w:rsidRPr="00E00285">
        <w:rPr>
          <w:rFonts w:ascii="Times New Roman" w:hAnsi="Times New Roman" w:cs="Times New Roman"/>
          <w:b/>
          <w:bCs/>
          <w:color w:val="auto"/>
          <w:sz w:val="28"/>
          <w:szCs w:val="28"/>
          <w:lang w:val="fr-FR"/>
        </w:rPr>
        <w:lastRenderedPageBreak/>
        <w:t xml:space="preserve">7. </w:t>
      </w:r>
      <w:r w:rsidR="00775876" w:rsidRPr="00775876">
        <w:rPr>
          <w:rFonts w:ascii="Times New Roman" w:hAnsi="Times New Roman" w:cs="Times New Roman"/>
          <w:b/>
          <w:bCs/>
          <w:color w:val="auto"/>
          <w:sz w:val="28"/>
          <w:szCs w:val="28"/>
          <w:lang w:val="fr-FR"/>
        </w:rPr>
        <w:t>Conclusion</w:t>
      </w:r>
      <w:bookmarkEnd w:id="16"/>
    </w:p>
    <w:p w14:paraId="0D984691" w14:textId="5ACCE73E" w:rsidR="00597E52" w:rsidRPr="00597E52" w:rsidRDefault="00597E5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597E52">
        <w:rPr>
          <w:rFonts w:eastAsia="Times New Roman"/>
          <w:color w:val="000000"/>
          <w:bdr w:val="none" w:sz="0" w:space="0" w:color="auto"/>
          <w:lang w:val="en-GB" w:eastAsia="en-GB"/>
        </w:rPr>
        <w:t>This report has critically examined HSBC’s strategic change initiatives in response to accelerating technological disruption, increasing competition from fintech firms, shifting customer expectations, and growing regulatory complexity. The analysis demonstrates that strategic change has become a fundamental requirement for HSBC’s continued competitiveness and long-term sustainability within the global banking industry.</w:t>
      </w:r>
    </w:p>
    <w:p w14:paraId="3694EBD2" w14:textId="27E0BAD5" w:rsidR="00597E52" w:rsidRPr="00597E52" w:rsidRDefault="00597E5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597E52">
        <w:rPr>
          <w:rFonts w:eastAsia="Times New Roman"/>
          <w:color w:val="000000"/>
          <w:bdr w:val="none" w:sz="0" w:space="0" w:color="auto"/>
          <w:lang w:val="en-GB" w:eastAsia="en-GB"/>
        </w:rPr>
        <w:t>The evaluation of established change management models has provided important insights into HSBC’s transformation journey. While traditional models offer useful conceptual foundations, the findings highlight that change within a large multinational bank is neither linear nor finite. Effective transformation requires continuous leadership engagement, clear strategic direction, and strong alignment between organisational structures, systems, and culture. The analysis further shows that leadership and communication play a decisive role in shaping employee perceptions of change and in facilitating the adoption of new ways of working.</w:t>
      </w:r>
      <w:r w:rsidRPr="009C4C27">
        <w:rPr>
          <w:rFonts w:eastAsia="Times New Roman"/>
          <w:color w:val="000000"/>
          <w:bdr w:val="none" w:sz="0" w:space="0" w:color="auto"/>
          <w:lang w:val="en-GB" w:eastAsia="en-GB"/>
        </w:rPr>
        <w:t xml:space="preserve"> </w:t>
      </w:r>
      <w:r w:rsidRPr="00597E52">
        <w:rPr>
          <w:rFonts w:eastAsia="Times New Roman"/>
          <w:color w:val="000000"/>
          <w:bdr w:val="none" w:sz="0" w:space="0" w:color="auto"/>
          <w:lang w:val="en-GB" w:eastAsia="en-GB"/>
        </w:rPr>
        <w:t>The examination of organisational culture reveals that although HSBC has made progress in transitioning towards a more digitally oriented and agile organisation, elements of cultural resistance persist. These challenges are particularly evident in relation to automation, restructuring, and the reduction of physical branch networks. Addressing such resistance requires sustained commitment from leadership, consistent messaging, and the integration of change objectives into everyday organisational practices.</w:t>
      </w:r>
    </w:p>
    <w:p w14:paraId="0EFE820E" w14:textId="076CB840" w:rsidR="00B422BE" w:rsidRPr="009C4C27" w:rsidRDefault="00BA475A"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 xml:space="preserve">To </w:t>
      </w:r>
      <w:r w:rsidR="00CA2D11" w:rsidRPr="009C4C27">
        <w:rPr>
          <w:rFonts w:eastAsia="Times New Roman"/>
          <w:color w:val="000000"/>
          <w:bdr w:val="none" w:sz="0" w:space="0" w:color="auto"/>
          <w:lang w:val="en-GB" w:eastAsia="en-GB"/>
        </w:rPr>
        <w:t xml:space="preserve">conclude it can be said </w:t>
      </w:r>
      <w:proofErr w:type="gramStart"/>
      <w:r w:rsidR="00CA2D11" w:rsidRPr="009C4C27">
        <w:rPr>
          <w:rFonts w:eastAsia="Times New Roman"/>
          <w:color w:val="000000"/>
          <w:bdr w:val="none" w:sz="0" w:space="0" w:color="auto"/>
          <w:lang w:val="en-GB" w:eastAsia="en-GB"/>
        </w:rPr>
        <w:t xml:space="preserve">that </w:t>
      </w:r>
      <w:r w:rsidR="00597E52" w:rsidRPr="00597E52">
        <w:rPr>
          <w:rFonts w:eastAsia="Times New Roman"/>
          <w:color w:val="000000"/>
          <w:bdr w:val="none" w:sz="0" w:space="0" w:color="auto"/>
          <w:lang w:val="en-GB" w:eastAsia="en-GB"/>
        </w:rPr>
        <w:t xml:space="preserve"> HSBC’s</w:t>
      </w:r>
      <w:proofErr w:type="gramEnd"/>
      <w:r w:rsidR="00597E52" w:rsidRPr="00597E52">
        <w:rPr>
          <w:rFonts w:eastAsia="Times New Roman"/>
          <w:color w:val="000000"/>
          <w:bdr w:val="none" w:sz="0" w:space="0" w:color="auto"/>
          <w:lang w:val="en-GB" w:eastAsia="en-GB"/>
        </w:rPr>
        <w:t xml:space="preserve"> ability to achieve sustainable competitive advantage will depend on its capacity to integrate advanced digital technologies with effective change management practices. </w:t>
      </w:r>
    </w:p>
    <w:p w14:paraId="13DEBE22"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63E2D8B1"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642195F9"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07B21D52"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57E91A21"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1BEDDDCE"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635E25DD"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72295BC1"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41E0A5BA"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2F7413A4"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2594CF7D"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6FF06F20"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49887352" w14:textId="77777777" w:rsidR="00BF3128" w:rsidRPr="009C4C27" w:rsidRDefault="00BF3128" w:rsidP="009C4C27">
      <w:pPr>
        <w:pStyle w:val="Heading1"/>
        <w:spacing w:line="360" w:lineRule="auto"/>
        <w:jc w:val="both"/>
        <w:rPr>
          <w:rFonts w:ascii="Times New Roman" w:hAnsi="Times New Roman" w:cs="Times New Roman"/>
          <w:b/>
          <w:bCs/>
          <w:color w:val="auto"/>
          <w:sz w:val="24"/>
          <w:szCs w:val="24"/>
          <w:lang w:val="fr-FR"/>
        </w:rPr>
      </w:pPr>
    </w:p>
    <w:p w14:paraId="13D11754" w14:textId="77777777" w:rsidR="00AA4BAB" w:rsidRPr="009C4C27" w:rsidRDefault="00AA4BAB" w:rsidP="009C4C27">
      <w:pPr>
        <w:pStyle w:val="Heading1"/>
        <w:spacing w:line="360" w:lineRule="auto"/>
        <w:jc w:val="both"/>
        <w:rPr>
          <w:rFonts w:ascii="Times New Roman" w:hAnsi="Times New Roman" w:cs="Times New Roman"/>
          <w:b/>
          <w:bCs/>
          <w:color w:val="auto"/>
          <w:sz w:val="24"/>
          <w:szCs w:val="24"/>
          <w:lang w:val="fr-FR"/>
        </w:rPr>
      </w:pPr>
    </w:p>
    <w:p w14:paraId="4E7D667B" w14:textId="77777777" w:rsidR="00AA4BAB" w:rsidRPr="009C4C27" w:rsidRDefault="00AA4BAB" w:rsidP="009C4C27">
      <w:pPr>
        <w:pStyle w:val="Heading1"/>
        <w:spacing w:line="360" w:lineRule="auto"/>
        <w:jc w:val="both"/>
        <w:rPr>
          <w:rFonts w:ascii="Times New Roman" w:hAnsi="Times New Roman" w:cs="Times New Roman"/>
          <w:b/>
          <w:bCs/>
          <w:color w:val="auto"/>
          <w:sz w:val="24"/>
          <w:szCs w:val="24"/>
          <w:lang w:val="fr-FR"/>
        </w:rPr>
      </w:pPr>
    </w:p>
    <w:p w14:paraId="6C2FDEF9" w14:textId="77777777" w:rsidR="00AA4BAB" w:rsidRPr="009C4C27" w:rsidRDefault="00AA4BAB" w:rsidP="009C4C27">
      <w:pPr>
        <w:pStyle w:val="Heading1"/>
        <w:spacing w:line="360" w:lineRule="auto"/>
        <w:jc w:val="both"/>
        <w:rPr>
          <w:rFonts w:ascii="Times New Roman" w:hAnsi="Times New Roman" w:cs="Times New Roman"/>
          <w:b/>
          <w:bCs/>
          <w:color w:val="auto"/>
          <w:sz w:val="24"/>
          <w:szCs w:val="24"/>
          <w:lang w:val="fr-FR"/>
        </w:rPr>
      </w:pPr>
    </w:p>
    <w:p w14:paraId="5E7526F7" w14:textId="77777777" w:rsidR="00AA4BAB" w:rsidRPr="009C4C27" w:rsidRDefault="00AA4BAB" w:rsidP="009C4C27">
      <w:pPr>
        <w:pStyle w:val="Heading1"/>
        <w:spacing w:line="360" w:lineRule="auto"/>
        <w:jc w:val="both"/>
        <w:rPr>
          <w:rFonts w:ascii="Times New Roman" w:hAnsi="Times New Roman" w:cs="Times New Roman"/>
          <w:b/>
          <w:bCs/>
          <w:color w:val="auto"/>
          <w:sz w:val="24"/>
          <w:szCs w:val="24"/>
          <w:lang w:val="fr-FR"/>
        </w:rPr>
      </w:pPr>
    </w:p>
    <w:p w14:paraId="66C5D2CD" w14:textId="77777777" w:rsidR="00AA4BAB" w:rsidRPr="009C4C27" w:rsidRDefault="00AA4BAB" w:rsidP="009C4C27">
      <w:pPr>
        <w:pStyle w:val="Heading1"/>
        <w:spacing w:line="360" w:lineRule="auto"/>
        <w:jc w:val="both"/>
        <w:rPr>
          <w:rFonts w:ascii="Times New Roman" w:hAnsi="Times New Roman" w:cs="Times New Roman"/>
          <w:b/>
          <w:bCs/>
          <w:color w:val="auto"/>
          <w:sz w:val="24"/>
          <w:szCs w:val="24"/>
          <w:lang w:val="fr-FR"/>
        </w:rPr>
      </w:pPr>
    </w:p>
    <w:p w14:paraId="5EC385E9" w14:textId="77777777" w:rsidR="00AA4BAB" w:rsidRPr="009C4C27" w:rsidRDefault="00AA4BAB" w:rsidP="009C4C27">
      <w:pPr>
        <w:pStyle w:val="Heading1"/>
        <w:spacing w:line="360" w:lineRule="auto"/>
        <w:jc w:val="both"/>
        <w:rPr>
          <w:rFonts w:ascii="Times New Roman" w:hAnsi="Times New Roman" w:cs="Times New Roman"/>
          <w:b/>
          <w:bCs/>
          <w:color w:val="auto"/>
          <w:sz w:val="24"/>
          <w:szCs w:val="24"/>
          <w:lang w:val="fr-FR"/>
        </w:rPr>
      </w:pPr>
    </w:p>
    <w:p w14:paraId="124279D0" w14:textId="77777777" w:rsidR="00AA4BAB" w:rsidRPr="009C4C27" w:rsidRDefault="00AA4BAB" w:rsidP="009C4C27">
      <w:pPr>
        <w:pStyle w:val="Heading1"/>
        <w:spacing w:line="360" w:lineRule="auto"/>
        <w:jc w:val="both"/>
        <w:rPr>
          <w:rFonts w:ascii="Times New Roman" w:hAnsi="Times New Roman" w:cs="Times New Roman"/>
          <w:b/>
          <w:bCs/>
          <w:color w:val="auto"/>
          <w:sz w:val="24"/>
          <w:szCs w:val="24"/>
          <w:lang w:val="fr-FR"/>
        </w:rPr>
      </w:pPr>
    </w:p>
    <w:p w14:paraId="61984077" w14:textId="77777777" w:rsidR="0051292F" w:rsidRDefault="0051292F" w:rsidP="009C4C27">
      <w:pPr>
        <w:pStyle w:val="Heading1"/>
        <w:spacing w:line="360" w:lineRule="auto"/>
        <w:jc w:val="both"/>
        <w:rPr>
          <w:rFonts w:ascii="Times New Roman" w:hAnsi="Times New Roman" w:cs="Times New Roman"/>
          <w:b/>
          <w:bCs/>
          <w:color w:val="auto"/>
          <w:sz w:val="24"/>
          <w:szCs w:val="24"/>
          <w:lang w:val="fr-FR"/>
        </w:rPr>
      </w:pPr>
    </w:p>
    <w:p w14:paraId="4B18F5CA" w14:textId="77777777" w:rsidR="0051292F" w:rsidRDefault="0051292F" w:rsidP="009C4C27">
      <w:pPr>
        <w:pStyle w:val="Heading1"/>
        <w:spacing w:line="360" w:lineRule="auto"/>
        <w:jc w:val="both"/>
        <w:rPr>
          <w:rFonts w:ascii="Times New Roman" w:hAnsi="Times New Roman" w:cs="Times New Roman"/>
          <w:b/>
          <w:bCs/>
          <w:color w:val="auto"/>
          <w:sz w:val="24"/>
          <w:szCs w:val="24"/>
          <w:lang w:val="fr-FR"/>
        </w:rPr>
      </w:pPr>
    </w:p>
    <w:p w14:paraId="3CD2858B" w14:textId="179A18CF" w:rsidR="000058FC" w:rsidRPr="00E00285" w:rsidRDefault="00710EC1" w:rsidP="009C4C27">
      <w:pPr>
        <w:pStyle w:val="Heading1"/>
        <w:spacing w:line="360" w:lineRule="auto"/>
        <w:jc w:val="both"/>
        <w:rPr>
          <w:rFonts w:ascii="Times New Roman" w:hAnsi="Times New Roman" w:cs="Times New Roman"/>
          <w:b/>
          <w:bCs/>
          <w:color w:val="auto"/>
          <w:sz w:val="28"/>
          <w:szCs w:val="28"/>
          <w:lang w:val="fr-FR"/>
        </w:rPr>
      </w:pPr>
      <w:bookmarkStart w:id="17" w:name="_Toc216911252"/>
      <w:r w:rsidRPr="00E00285">
        <w:rPr>
          <w:rFonts w:ascii="Times New Roman" w:hAnsi="Times New Roman" w:cs="Times New Roman"/>
          <w:b/>
          <w:bCs/>
          <w:color w:val="auto"/>
          <w:sz w:val="28"/>
          <w:szCs w:val="28"/>
          <w:lang w:val="fr-FR"/>
        </w:rPr>
        <w:lastRenderedPageBreak/>
        <w:t>8. References</w:t>
      </w:r>
      <w:bookmarkEnd w:id="17"/>
    </w:p>
    <w:p w14:paraId="3E76BFDB" w14:textId="0A5D2696" w:rsidR="003C5073" w:rsidRPr="009C4C27" w:rsidRDefault="003C5073" w:rsidP="009C4C27">
      <w:pPr>
        <w:pStyle w:val="Default"/>
        <w:numPr>
          <w:ilvl w:val="0"/>
          <w:numId w:val="10"/>
        </w:numPr>
        <w:suppressAutoHyphens/>
        <w:spacing w:before="0" w:after="321" w:line="360" w:lineRule="auto"/>
        <w:jc w:val="both"/>
        <w:rPr>
          <w:rFonts w:ascii="Times New Roman" w:eastAsia="Times New Roman" w:hAnsi="Times New Roman" w:cs="Times New Roman"/>
          <w:b/>
          <w:bCs/>
          <w:sz w:val="24"/>
          <w:szCs w:val="24"/>
        </w:rPr>
      </w:pPr>
      <w:r w:rsidRPr="003C5073">
        <w:rPr>
          <w:rFonts w:ascii="Times New Roman" w:eastAsia="Times New Roman" w:hAnsi="Times New Roman" w:cs="Times New Roman"/>
          <w:sz w:val="24"/>
          <w:szCs w:val="24"/>
          <w:bdr w:val="none" w:sz="0" w:space="0" w:color="auto"/>
        </w:rPr>
        <w:t>Accenture (2021) AI in Banking: Driving Innovation and Efficiency. Available at: </w:t>
      </w:r>
      <w:hyperlink r:id="rId10" w:tgtFrame="_blank" w:tooltip="https://www.accenture.com/" w:history="1">
        <w:r w:rsidRPr="003C5073">
          <w:rPr>
            <w:rFonts w:ascii="Times New Roman" w:eastAsia="Times New Roman" w:hAnsi="Times New Roman" w:cs="Times New Roman"/>
            <w:color w:val="0000FF"/>
            <w:sz w:val="24"/>
            <w:szCs w:val="24"/>
            <w:u w:val="single"/>
            <w:bdr w:val="none" w:sz="0" w:space="0" w:color="auto" w:frame="1"/>
          </w:rPr>
          <w:t>https://www.accenture.com/</w:t>
        </w:r>
      </w:hyperlink>
    </w:p>
    <w:p w14:paraId="2FE3FA62" w14:textId="1609AB3E" w:rsidR="00F84D38" w:rsidRPr="009C4C27" w:rsidRDefault="00F84D38"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Accenture (2021) Banking Technology Vision: Transforming IT for Digital Banking. Dublin: Accenture.</w:t>
      </w:r>
    </w:p>
    <w:p w14:paraId="735A0BC6" w14:textId="77777777" w:rsidR="000058FC" w:rsidRPr="009C4C27" w:rsidRDefault="00710EC1"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rPr>
        <w:t xml:space="preserve">Appelbaum, S., Habashy, S., Malo, J. and Shafiq, H. (2018) </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Back to the future: Revisiting Kotter</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s 1996 change model</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Journal of Management Development, 27(8), pp. 761</w:t>
      </w:r>
      <w:r w:rsidRPr="009C4C27">
        <w:rPr>
          <w:rFonts w:ascii="Times New Roman" w:hAnsi="Times New Roman" w:cs="Times New Roman"/>
          <w:sz w:val="24"/>
          <w:szCs w:val="24"/>
        </w:rPr>
        <w:t>–773.</w:t>
      </w:r>
    </w:p>
    <w:p w14:paraId="79687E4E" w14:textId="157AB919" w:rsidR="0005313E" w:rsidRPr="00E00285" w:rsidRDefault="00981DC6" w:rsidP="00E00285">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Appelbaum, S.H., Habashy, S., Malo, J.-L. and Shafiq, H. (2018) ‘Back to the future: Revisiting Kotter’s 1996 change model’, Journal of Management Development, 37(8), pp. 651–664.</w:t>
      </w:r>
    </w:p>
    <w:p w14:paraId="6BB918AD" w14:textId="3149554C" w:rsidR="001133AA" w:rsidRPr="00E00285" w:rsidRDefault="0005313E" w:rsidP="009C4C2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Basel Committee on Banking Supervision (2018) Sound practices: implications of fintech developments for banks and bank supervisors. Basel: Bank for International Settlements.</w:t>
      </w:r>
    </w:p>
    <w:p w14:paraId="5C90B79C" w14:textId="06FA2994" w:rsidR="00E55363" w:rsidRPr="009C4C27" w:rsidRDefault="00710EC1"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 xml:space="preserve">Bass, B. and Riggio, R. (2006) Transformational Leadership. 2nd </w:t>
      </w:r>
      <w:proofErr w:type="spellStart"/>
      <w:proofErr w:type="gramStart"/>
      <w:r w:rsidRPr="009C4C27">
        <w:rPr>
          <w:rFonts w:ascii="Times New Roman" w:hAnsi="Times New Roman" w:cs="Times New Roman"/>
          <w:sz w:val="24"/>
          <w:szCs w:val="24"/>
          <w:lang w:val="en-US"/>
        </w:rPr>
        <w:t>edn</w:t>
      </w:r>
      <w:proofErr w:type="spellEnd"/>
      <w:proofErr w:type="gramEnd"/>
      <w:r w:rsidRPr="009C4C27">
        <w:rPr>
          <w:rFonts w:ascii="Times New Roman" w:hAnsi="Times New Roman" w:cs="Times New Roman"/>
          <w:sz w:val="24"/>
          <w:szCs w:val="24"/>
          <w:lang w:val="en-US"/>
        </w:rPr>
        <w:t>. Mahwah: Lawrence Erlbaum.</w:t>
      </w:r>
    </w:p>
    <w:p w14:paraId="0C8017AC" w14:textId="17262CB6" w:rsidR="00582615" w:rsidRPr="009C4C27" w:rsidRDefault="00582615"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rPr>
        <w:t xml:space="preserve">Barney, J. (1991) </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Firm resources and sustained competitive advantage</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Journal of Management, 17(1), pp. 99</w:t>
      </w:r>
      <w:r w:rsidRPr="009C4C27">
        <w:rPr>
          <w:rFonts w:ascii="Times New Roman" w:hAnsi="Times New Roman" w:cs="Times New Roman"/>
          <w:sz w:val="24"/>
          <w:szCs w:val="24"/>
        </w:rPr>
        <w:t>–120.</w:t>
      </w:r>
    </w:p>
    <w:p w14:paraId="5502F1DF" w14:textId="77777777" w:rsidR="00211192" w:rsidRPr="009C4C27" w:rsidRDefault="00710EC1"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rPr>
        <w:t xml:space="preserve">Burnes, B. (2017) </w:t>
      </w:r>
      <w:r w:rsidRPr="009C4C27">
        <w:rPr>
          <w:rFonts w:ascii="Times New Roman" w:hAnsi="Times New Roman" w:cs="Times New Roman"/>
          <w:sz w:val="24"/>
          <w:szCs w:val="24"/>
          <w:rtl/>
        </w:rPr>
        <w:t>‘</w:t>
      </w:r>
      <w:r w:rsidRPr="009C4C27">
        <w:rPr>
          <w:rFonts w:ascii="Times New Roman" w:hAnsi="Times New Roman" w:cs="Times New Roman"/>
          <w:sz w:val="24"/>
          <w:szCs w:val="24"/>
        </w:rPr>
        <w:t>Kurt Lewin and the Harwood Studies: The foundations of OD</w:t>
      </w:r>
      <w:r w:rsidRPr="009C4C27">
        <w:rPr>
          <w:rFonts w:ascii="Times New Roman" w:hAnsi="Times New Roman" w:cs="Times New Roman"/>
          <w:sz w:val="24"/>
          <w:szCs w:val="24"/>
          <w:rtl/>
        </w:rPr>
        <w:t>’</w:t>
      </w:r>
      <w:r w:rsidRPr="009C4C27">
        <w:rPr>
          <w:rFonts w:ascii="Times New Roman" w:hAnsi="Times New Roman" w:cs="Times New Roman"/>
          <w:sz w:val="24"/>
          <w:szCs w:val="24"/>
        </w:rPr>
        <w:t xml:space="preserve">, Journal of Applied </w:t>
      </w:r>
      <w:proofErr w:type="spellStart"/>
      <w:r w:rsidRPr="009C4C27">
        <w:rPr>
          <w:rFonts w:ascii="Times New Roman" w:hAnsi="Times New Roman" w:cs="Times New Roman"/>
          <w:sz w:val="24"/>
          <w:szCs w:val="24"/>
        </w:rPr>
        <w:t>Behavioral</w:t>
      </w:r>
      <w:proofErr w:type="spellEnd"/>
      <w:r w:rsidRPr="009C4C27">
        <w:rPr>
          <w:rFonts w:ascii="Times New Roman" w:hAnsi="Times New Roman" w:cs="Times New Roman"/>
          <w:sz w:val="24"/>
          <w:szCs w:val="24"/>
        </w:rPr>
        <w:t xml:space="preserve"> Science, 53(3), pp. 273–294.</w:t>
      </w:r>
      <w:r w:rsidR="00595364" w:rsidRPr="009C4C27">
        <w:rPr>
          <w:rFonts w:ascii="Times New Roman" w:hAnsi="Times New Roman" w:cs="Times New Roman"/>
          <w:sz w:val="24"/>
          <w:szCs w:val="24"/>
        </w:rPr>
        <w:t xml:space="preserve"> </w:t>
      </w:r>
    </w:p>
    <w:p w14:paraId="1256855E" w14:textId="77777777" w:rsidR="00B422BE" w:rsidRPr="009C4C27" w:rsidRDefault="00595364"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eastAsia="Times New Roman" w:hAnsi="Times New Roman" w:cs="Times New Roman"/>
          <w:sz w:val="24"/>
          <w:szCs w:val="24"/>
          <w:bdr w:val="none" w:sz="0" w:space="0" w:color="auto"/>
        </w:rPr>
        <w:t>Barney, J. (1991) ‘Firm resources and sustained competitive advantage’, Journal of Management, 17(1), pp. 99–120.</w:t>
      </w:r>
      <w:r w:rsidR="003C5073" w:rsidRPr="009C4C27">
        <w:rPr>
          <w:rFonts w:ascii="Times New Roman" w:eastAsia="Times New Roman" w:hAnsi="Times New Roman" w:cs="Times New Roman"/>
          <w:sz w:val="24"/>
          <w:szCs w:val="24"/>
          <w:bdr w:val="none" w:sz="0" w:space="0" w:color="auto"/>
        </w:rPr>
        <w:t xml:space="preserve"> </w:t>
      </w:r>
    </w:p>
    <w:p w14:paraId="4CF5E2FD" w14:textId="77777777" w:rsidR="00B422BE" w:rsidRPr="009C4C27" w:rsidRDefault="00B422BE"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3C5073">
        <w:rPr>
          <w:rFonts w:ascii="Times New Roman" w:eastAsia="Times New Roman" w:hAnsi="Times New Roman" w:cs="Times New Roman"/>
          <w:sz w:val="24"/>
          <w:szCs w:val="24"/>
          <w:bdr w:val="none" w:sz="0" w:space="0" w:color="auto"/>
        </w:rPr>
        <w:t>Deloitte (2020) The Future of Banking: AI-Enabled Customer Experience. Available at: </w:t>
      </w:r>
      <w:hyperlink r:id="rId11" w:tgtFrame="_blank" w:tooltip="https://www2.deloitte.com/" w:history="1">
        <w:r w:rsidRPr="003C5073">
          <w:rPr>
            <w:rFonts w:ascii="Times New Roman" w:eastAsia="Times New Roman" w:hAnsi="Times New Roman" w:cs="Times New Roman"/>
            <w:color w:val="0000FF"/>
            <w:sz w:val="24"/>
            <w:szCs w:val="24"/>
            <w:u w:val="single"/>
            <w:bdr w:val="none" w:sz="0" w:space="0" w:color="auto" w:frame="1"/>
          </w:rPr>
          <w:t>https://www2.deloitte.com/</w:t>
        </w:r>
      </w:hyperlink>
      <w:r w:rsidRPr="009C4C27">
        <w:rPr>
          <w:rFonts w:ascii="Times New Roman" w:eastAsia="Times New Roman" w:hAnsi="Times New Roman" w:cs="Times New Roman"/>
          <w:sz w:val="24"/>
          <w:szCs w:val="24"/>
          <w:bdr w:val="none" w:sz="0" w:space="0" w:color="auto"/>
        </w:rPr>
        <w:t xml:space="preserve">. </w:t>
      </w:r>
    </w:p>
    <w:p w14:paraId="4F96EAAD" w14:textId="32A52824" w:rsidR="00AA06C4" w:rsidRPr="009C4C27" w:rsidRDefault="00AA06C4"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rPr>
        <w:t>Deloitte (2020) AI in Financial Services: Driving Personalisation and Efficiency. London: Deloitte Insights.</w:t>
      </w:r>
    </w:p>
    <w:p w14:paraId="3AC45E59" w14:textId="2381FDE4" w:rsidR="00595364" w:rsidRPr="009C4C27" w:rsidRDefault="00B422BE"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3C5073">
        <w:rPr>
          <w:rFonts w:ascii="Times New Roman" w:eastAsia="Times New Roman" w:hAnsi="Times New Roman" w:cs="Times New Roman"/>
          <w:sz w:val="24"/>
          <w:szCs w:val="24"/>
          <w:bdr w:val="none" w:sz="0" w:space="0" w:color="auto"/>
        </w:rPr>
        <w:t>EY (2022) Digital Banking and Fintech Competition: Strategic Implications. Available at: </w:t>
      </w:r>
      <w:hyperlink r:id="rId12" w:tgtFrame="_blank" w:tooltip="https://www.ey.com/" w:history="1">
        <w:r w:rsidRPr="003C5073">
          <w:rPr>
            <w:rFonts w:ascii="Times New Roman" w:eastAsia="Times New Roman" w:hAnsi="Times New Roman" w:cs="Times New Roman"/>
            <w:color w:val="0000FF"/>
            <w:sz w:val="24"/>
            <w:szCs w:val="24"/>
            <w:u w:val="single"/>
            <w:bdr w:val="none" w:sz="0" w:space="0" w:color="auto" w:frame="1"/>
          </w:rPr>
          <w:t>https://www.ey.com/</w:t>
        </w:r>
      </w:hyperlink>
    </w:p>
    <w:p w14:paraId="5F06315C" w14:textId="77777777" w:rsidR="00C47709" w:rsidRPr="009C4C27" w:rsidRDefault="00C47709"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EY (2022) Global Banking Outlook: Competing in the Digital Age. London: Ernst &amp; Young.</w:t>
      </w:r>
    </w:p>
    <w:p w14:paraId="2D0F4B61" w14:textId="45D8BB5C" w:rsidR="00C47709" w:rsidRPr="009C4C27" w:rsidRDefault="000970DA"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lang w:val="ru-RU"/>
        </w:rPr>
      </w:pPr>
      <w:r w:rsidRPr="009C4C27">
        <w:rPr>
          <w:rFonts w:ascii="Times New Roman" w:hAnsi="Times New Roman" w:cs="Times New Roman"/>
          <w:sz w:val="24"/>
          <w:szCs w:val="24"/>
        </w:rPr>
        <w:lastRenderedPageBreak/>
        <w:t xml:space="preserve">Frost, J. (2022) </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The economic forces driving fintech adoption across global banking</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Bank for International Settlements Quarterly Review, March, pp. 45</w:t>
      </w:r>
      <w:r w:rsidRPr="009C4C27">
        <w:rPr>
          <w:rFonts w:ascii="Times New Roman" w:hAnsi="Times New Roman" w:cs="Times New Roman"/>
          <w:sz w:val="24"/>
          <w:szCs w:val="24"/>
        </w:rPr>
        <w:t>–</w:t>
      </w:r>
      <w:r w:rsidRPr="009C4C27">
        <w:rPr>
          <w:rFonts w:ascii="Times New Roman" w:hAnsi="Times New Roman" w:cs="Times New Roman"/>
          <w:sz w:val="24"/>
          <w:szCs w:val="24"/>
          <w:lang w:val="ru-RU"/>
        </w:rPr>
        <w:t>58.</w:t>
      </w:r>
    </w:p>
    <w:p w14:paraId="61F79647" w14:textId="228C0B07" w:rsidR="00351C41" w:rsidRPr="00E00285" w:rsidRDefault="007F5C33" w:rsidP="00E00285">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Frost, S. (2022) Digital Transformation in Banking: Strategic Investment and Risk Management. London: Financial Times Publishing.</w:t>
      </w:r>
    </w:p>
    <w:p w14:paraId="76DD4D2C" w14:textId="77777777" w:rsidR="00265E71" w:rsidRPr="009C4C27" w:rsidRDefault="00710EC1"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rPr>
        <w:t xml:space="preserve">Frost, J. (2022) </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AI in banking: Enhancing risk and compliance</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Banking Technology Review, 45(2), pp. 112</w:t>
      </w:r>
      <w:r w:rsidRPr="009C4C27">
        <w:rPr>
          <w:rFonts w:ascii="Times New Roman" w:hAnsi="Times New Roman" w:cs="Times New Roman"/>
          <w:sz w:val="24"/>
          <w:szCs w:val="24"/>
        </w:rPr>
        <w:t>–129.</w:t>
      </w:r>
      <w:r w:rsidR="00265E71" w:rsidRPr="009C4C27">
        <w:rPr>
          <w:rFonts w:ascii="Times New Roman" w:hAnsi="Times New Roman" w:cs="Times New Roman"/>
          <w:sz w:val="24"/>
          <w:szCs w:val="24"/>
        </w:rPr>
        <w:t xml:space="preserve"> </w:t>
      </w:r>
    </w:p>
    <w:p w14:paraId="20478F39" w14:textId="77777777" w:rsidR="00265E71" w:rsidRPr="009C4C27" w:rsidRDefault="00710EC1"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rPr>
        <w:t>Goodhart, C. (2019) The Financial Crisis and the Future of Global Banking. Oxford: Oxford University Press.</w:t>
      </w:r>
      <w:r w:rsidR="00F40F39" w:rsidRPr="009C4C27">
        <w:rPr>
          <w:rFonts w:ascii="Times New Roman" w:hAnsi="Times New Roman" w:cs="Times New Roman"/>
          <w:sz w:val="24"/>
          <w:szCs w:val="24"/>
        </w:rPr>
        <w:t xml:space="preserve"> </w:t>
      </w:r>
    </w:p>
    <w:p w14:paraId="7F93667C" w14:textId="77777777" w:rsidR="00B422BE" w:rsidRPr="009C4C27" w:rsidRDefault="00F40F39"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eastAsia="Times New Roman" w:hAnsi="Times New Roman" w:cs="Times New Roman"/>
          <w:sz w:val="24"/>
          <w:szCs w:val="24"/>
          <w:bdr w:val="none" w:sz="0" w:space="0" w:color="auto"/>
        </w:rPr>
        <w:t>HSBC (2022) HSBC Annual Report and Accounts 2022. London: HSBC Holdings plc.</w:t>
      </w:r>
      <w:r w:rsidR="00B422BE" w:rsidRPr="009C4C27">
        <w:rPr>
          <w:rFonts w:ascii="Times New Roman" w:eastAsia="Times New Roman" w:hAnsi="Times New Roman" w:cs="Times New Roman"/>
          <w:sz w:val="24"/>
          <w:szCs w:val="24"/>
          <w:bdr w:val="none" w:sz="0" w:space="0" w:color="auto"/>
        </w:rPr>
        <w:t xml:space="preserve"> </w:t>
      </w:r>
    </w:p>
    <w:p w14:paraId="4105C563" w14:textId="20E69766" w:rsidR="00B330E2" w:rsidRPr="00E00285" w:rsidRDefault="00B330E2" w:rsidP="00E00285">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HSBC Annual Report (2022) HSBC Holdings plc annual report and accounts 2022. London: HSBC Holdings plc.</w:t>
      </w:r>
    </w:p>
    <w:p w14:paraId="49B5DF41" w14:textId="77777777" w:rsidR="0043234A" w:rsidRPr="009C4C27" w:rsidRDefault="00710EC1"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HSBC (2023) Company History and Overview. Available at: www.hsbc.com (Accessed: date).</w:t>
      </w:r>
    </w:p>
    <w:p w14:paraId="615CFA16" w14:textId="11FC532A" w:rsidR="005E541C" w:rsidRPr="00E00285" w:rsidRDefault="00B422BE" w:rsidP="00E00285">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HSBC Holdings plc (2023) Annual Report 2023: Strategic Priorities and Transformation. London: HSBC.</w:t>
      </w:r>
    </w:p>
    <w:p w14:paraId="114817A4" w14:textId="2BD4F86D" w:rsidR="002D4295" w:rsidRPr="00187066" w:rsidRDefault="00AD5CA1" w:rsidP="00187066">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t>HSBC Holdings plc (2023) Annual Report and Accounts 2023. London: HSBC.</w:t>
      </w:r>
    </w:p>
    <w:p w14:paraId="71760C5E" w14:textId="369E038C" w:rsidR="002D4295" w:rsidRPr="00E00285" w:rsidRDefault="00AD5CA1" w:rsidP="00E00285">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t>KPMG (2021) Customer Experience in Digital Banking. London: KPMG International.</w:t>
      </w:r>
    </w:p>
    <w:p w14:paraId="22C455EE" w14:textId="1353C8ED" w:rsidR="002D4295" w:rsidRPr="00E00285" w:rsidRDefault="00AD5CA1" w:rsidP="00E00285">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t>McKinsey &amp; Company (2023) The Value of Automation in Financial Services. New York: McKinsey Global Institute.</w:t>
      </w:r>
    </w:p>
    <w:p w14:paraId="7EBBAABE" w14:textId="713AA368" w:rsidR="007808E1" w:rsidRPr="00E00285" w:rsidRDefault="00AD5CA1" w:rsidP="00E00285">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t>Porter, M.E. (1985) Competitive Advantage: Creating and Sustaining Superior Performance. New York: Free Press.</w:t>
      </w:r>
    </w:p>
    <w:p w14:paraId="62A13C0D" w14:textId="5BC98D10" w:rsidR="00981DC6" w:rsidRPr="00E00285" w:rsidRDefault="007808E1" w:rsidP="009C4C2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Kotter, J.P. (1996) Leading Change. Boston, MA: Harvard Business School Press.</w:t>
      </w:r>
    </w:p>
    <w:p w14:paraId="678A8FF0" w14:textId="77777777" w:rsidR="0043234A" w:rsidRPr="009C4C27" w:rsidRDefault="00A205E8"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Kotter, J. (2012) Leading Change. Boston: Harvard Business Review Press.</w:t>
      </w:r>
    </w:p>
    <w:p w14:paraId="4B611ECA" w14:textId="250C7A6B" w:rsidR="002F0A47" w:rsidRPr="002F0A47" w:rsidRDefault="002F0A47" w:rsidP="009C4C2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80" w:line="360" w:lineRule="auto"/>
        <w:jc w:val="both"/>
        <w:rPr>
          <w:rFonts w:eastAsia="Times New Roman"/>
          <w:color w:val="000000"/>
          <w:bdr w:val="none" w:sz="0" w:space="0" w:color="auto"/>
          <w:lang w:val="en-GB" w:eastAsia="en-GB"/>
        </w:rPr>
      </w:pPr>
      <w:r w:rsidRPr="002F0A47">
        <w:rPr>
          <w:rFonts w:eastAsia="Times New Roman"/>
          <w:color w:val="000000"/>
          <w:bdr w:val="none" w:sz="0" w:space="0" w:color="auto"/>
          <w:lang w:val="en-GB" w:eastAsia="en-GB"/>
        </w:rPr>
        <w:t>HSBC (2025) HSBC and Mistral AI join forces to accelerate AI adoption across global bank, 1 December. Available at: https://www.hsbc.com/news-and-views/news/media-releases/2025/hsbc-and-mistral-ai-join-forces-to-accelerate-ai-adoption-across-global-bank.  </w:t>
      </w:r>
    </w:p>
    <w:p w14:paraId="0CF40DF7" w14:textId="7FD69084" w:rsidR="002F0A47" w:rsidRPr="009C4C27" w:rsidRDefault="002F0A47" w:rsidP="009C4C2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80" w:line="360" w:lineRule="auto"/>
        <w:jc w:val="both"/>
        <w:rPr>
          <w:rFonts w:eastAsia="Times New Roman"/>
          <w:color w:val="000000"/>
          <w:bdr w:val="none" w:sz="0" w:space="0" w:color="auto"/>
          <w:lang w:val="en-GB" w:eastAsia="en-GB"/>
        </w:rPr>
      </w:pPr>
      <w:r w:rsidRPr="002F0A47">
        <w:rPr>
          <w:rFonts w:eastAsia="Times New Roman"/>
          <w:color w:val="000000"/>
          <w:bdr w:val="none" w:sz="0" w:space="0" w:color="auto"/>
          <w:lang w:val="en-GB" w:eastAsia="en-GB"/>
        </w:rPr>
        <w:t>HSBC (2025) HSBC demonstrates world’s first</w:t>
      </w:r>
      <w:r w:rsidRPr="002F0A47">
        <w:rPr>
          <w:rFonts w:eastAsia="Times New Roman"/>
          <w:color w:val="000000"/>
          <w:bdr w:val="none" w:sz="0" w:space="0" w:color="auto"/>
          <w:lang w:val="en-GB" w:eastAsia="en-GB"/>
        </w:rPr>
        <w:noBreakHyphen/>
        <w:t>known quantum</w:t>
      </w:r>
      <w:r w:rsidRPr="002F0A47">
        <w:rPr>
          <w:rFonts w:eastAsia="Times New Roman"/>
          <w:color w:val="000000"/>
          <w:bdr w:val="none" w:sz="0" w:space="0" w:color="auto"/>
          <w:lang w:val="en-GB" w:eastAsia="en-GB"/>
        </w:rPr>
        <w:noBreakHyphen/>
        <w:t xml:space="preserve">enabled algorithmic trading with IBM, 25 September. Available at: </w:t>
      </w:r>
      <w:hyperlink r:id="rId13" w:history="1">
        <w:r w:rsidR="0005313E" w:rsidRPr="002F0A47">
          <w:rPr>
            <w:rStyle w:val="Hyperlink"/>
            <w:rFonts w:eastAsia="Times New Roman"/>
            <w:bdr w:val="none" w:sz="0" w:space="0" w:color="auto"/>
            <w:lang w:val="en-GB" w:eastAsia="en-GB"/>
          </w:rPr>
          <w:t>https://www.hsbc.com/news-and-views/news/media-releases/2025/hsbc-demonstrates-worlds-first-known-quantum-enabled-algorithmic-trading-with-ibm</w:t>
        </w:r>
      </w:hyperlink>
      <w:r w:rsidRPr="002F0A47">
        <w:rPr>
          <w:rFonts w:eastAsia="Times New Roman"/>
          <w:color w:val="000000"/>
          <w:bdr w:val="none" w:sz="0" w:space="0" w:color="auto"/>
          <w:lang w:val="en-GB" w:eastAsia="en-GB"/>
        </w:rPr>
        <w:t xml:space="preserve"> </w:t>
      </w:r>
    </w:p>
    <w:p w14:paraId="1EB80099" w14:textId="4E7D8740" w:rsidR="00B422BE" w:rsidRPr="00E00285" w:rsidRDefault="0005313E" w:rsidP="00E00285">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lastRenderedPageBreak/>
        <w:t>Kane, G.C., Palmer, D., Phillips, A.N., Kiron, D. and Buckley, N. (2015) ‘Strategy, not technology, drives digital transformation’, MIT Sloan Management Review, 14 July.</w:t>
      </w:r>
    </w:p>
    <w:p w14:paraId="6E4358C4" w14:textId="4516AEE3" w:rsidR="00A45E5D" w:rsidRPr="00187066" w:rsidRDefault="00B422BE" w:rsidP="00187066">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3C5073">
        <w:rPr>
          <w:rFonts w:ascii="Times New Roman" w:eastAsia="Times New Roman" w:hAnsi="Times New Roman" w:cs="Times New Roman"/>
          <w:sz w:val="24"/>
          <w:szCs w:val="24"/>
          <w:bdr w:val="none" w:sz="0" w:space="0" w:color="auto"/>
        </w:rPr>
        <w:t>KPMG (2021) Customer Centricity in Digital Banking: AI Opportunities. Available at: </w:t>
      </w:r>
      <w:hyperlink r:id="rId14" w:tgtFrame="_blank" w:tooltip="https://home.kpmg/" w:history="1">
        <w:r w:rsidRPr="003C5073">
          <w:rPr>
            <w:rFonts w:ascii="Times New Roman" w:eastAsia="Times New Roman" w:hAnsi="Times New Roman" w:cs="Times New Roman"/>
            <w:color w:val="0000FF"/>
            <w:sz w:val="24"/>
            <w:szCs w:val="24"/>
            <w:u w:val="single"/>
            <w:bdr w:val="none" w:sz="0" w:space="0" w:color="auto" w:frame="1"/>
          </w:rPr>
          <w:t>https://home.kpmg/</w:t>
        </w:r>
      </w:hyperlink>
    </w:p>
    <w:p w14:paraId="6F09B8E0" w14:textId="5715945E" w:rsidR="00C75DA5" w:rsidRPr="00E00285" w:rsidRDefault="00A45E5D" w:rsidP="009C4C2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McAfee, A. and Brynjolfsson, E. (2012) ‘Big data: the management revolution’, Harvard Business Review, 90(10), pp. 60–68.</w:t>
      </w:r>
    </w:p>
    <w:p w14:paraId="64C4F86E" w14:textId="499A0A01" w:rsidR="00B6741E" w:rsidRPr="00E00285" w:rsidRDefault="00B6741E" w:rsidP="00E00285">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McKinsey &amp; Company (2020) The next normal in banking. New York: McKinsey &amp; Company.</w:t>
      </w:r>
    </w:p>
    <w:p w14:paraId="551FCFA1" w14:textId="1CD6662E" w:rsidR="00B6741E" w:rsidRPr="00E00285" w:rsidRDefault="00B6741E" w:rsidP="00E00285">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McKinsey &amp; Company (2021) Global banking annual review. New York: McKinsey &amp; Company.</w:t>
      </w:r>
    </w:p>
    <w:p w14:paraId="066D6D4D" w14:textId="77777777" w:rsidR="0043234A" w:rsidRPr="009C4C27" w:rsidRDefault="005C4145"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u w:color="000000"/>
          <w:lang w:val="en-US"/>
        </w:rPr>
        <w:t xml:space="preserve">McKinsey and Company (2023) </w:t>
      </w:r>
      <w:r w:rsidRPr="009C4C27">
        <w:rPr>
          <w:rFonts w:ascii="Times New Roman" w:hAnsi="Times New Roman" w:cs="Times New Roman"/>
          <w:i/>
          <w:iCs/>
          <w:sz w:val="24"/>
          <w:szCs w:val="24"/>
          <w:u w:color="000000"/>
          <w:lang w:val="en-US"/>
        </w:rPr>
        <w:t>Digital Banking Transformation</w:t>
      </w:r>
      <w:r w:rsidRPr="009C4C27">
        <w:rPr>
          <w:rFonts w:ascii="Times New Roman" w:hAnsi="Times New Roman" w:cs="Times New Roman"/>
          <w:sz w:val="24"/>
          <w:szCs w:val="24"/>
          <w:u w:color="000000"/>
          <w:lang w:val="en-US"/>
        </w:rPr>
        <w:t>. Available at: https://www.mckinsey.com(Accessed: 28 October 2025).</w:t>
      </w:r>
    </w:p>
    <w:p w14:paraId="34F14E1F" w14:textId="40740BD9" w:rsidR="001F75B1" w:rsidRPr="009C4C27" w:rsidRDefault="00B422BE"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3C5073">
        <w:rPr>
          <w:rFonts w:ascii="Times New Roman" w:eastAsia="Times New Roman" w:hAnsi="Times New Roman" w:cs="Times New Roman"/>
          <w:sz w:val="24"/>
          <w:szCs w:val="24"/>
          <w:bdr w:val="none" w:sz="0" w:space="0" w:color="auto"/>
        </w:rPr>
        <w:t>McKinsey &amp; Company (2023) Automating Financial Services: Operational Excellence in Banking. Available at: </w:t>
      </w:r>
      <w:hyperlink r:id="rId15" w:tgtFrame="_blank" w:tooltip="https://www.mckinsey.com/" w:history="1">
        <w:r w:rsidRPr="003C5073">
          <w:rPr>
            <w:rFonts w:ascii="Times New Roman" w:eastAsia="Times New Roman" w:hAnsi="Times New Roman" w:cs="Times New Roman"/>
            <w:color w:val="0000FF"/>
            <w:sz w:val="24"/>
            <w:szCs w:val="24"/>
            <w:u w:val="single"/>
            <w:bdr w:val="none" w:sz="0" w:space="0" w:color="auto" w:frame="1"/>
          </w:rPr>
          <w:t>https://www.mckinsey.com/</w:t>
        </w:r>
      </w:hyperlink>
    </w:p>
    <w:p w14:paraId="29872EC9" w14:textId="4DD6EDA0" w:rsidR="00B422BE" w:rsidRPr="009C4C27" w:rsidRDefault="00710EC1"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rPr>
        <w:t xml:space="preserve">Martin, A. (2021) </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Branch closures and digital dominance: The new normal for UK banking</w:t>
      </w:r>
      <w:r w:rsidRPr="009C4C27">
        <w:rPr>
          <w:rFonts w:ascii="Times New Roman" w:hAnsi="Times New Roman" w:cs="Times New Roman"/>
          <w:sz w:val="24"/>
          <w:szCs w:val="24"/>
          <w:rtl/>
        </w:rPr>
        <w:t>’</w:t>
      </w:r>
      <w:r w:rsidRPr="009C4C27">
        <w:rPr>
          <w:rFonts w:ascii="Times New Roman" w:hAnsi="Times New Roman" w:cs="Times New Roman"/>
          <w:sz w:val="24"/>
          <w:szCs w:val="24"/>
          <w:lang w:val="it-IT"/>
        </w:rPr>
        <w:t>, Financial Times, 14 April.</w:t>
      </w:r>
    </w:p>
    <w:p w14:paraId="36A74188" w14:textId="77777777" w:rsidR="00190000" w:rsidRPr="009C4C27" w:rsidRDefault="00741135"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u w:color="000000"/>
          <w:lang w:val="en-US"/>
        </w:rPr>
        <w:t xml:space="preserve">Northouse, P.G. (2021) </w:t>
      </w:r>
      <w:r w:rsidRPr="009C4C27">
        <w:rPr>
          <w:rFonts w:ascii="Times New Roman" w:hAnsi="Times New Roman" w:cs="Times New Roman"/>
          <w:i/>
          <w:iCs/>
          <w:sz w:val="24"/>
          <w:szCs w:val="24"/>
          <w:u w:color="000000"/>
          <w:lang w:val="en-US"/>
        </w:rPr>
        <w:t>Leadership: Theory and Practice</w:t>
      </w:r>
      <w:r w:rsidRPr="009C4C27">
        <w:rPr>
          <w:rFonts w:ascii="Times New Roman" w:hAnsi="Times New Roman" w:cs="Times New Roman"/>
          <w:sz w:val="24"/>
          <w:szCs w:val="24"/>
          <w:u w:color="000000"/>
          <w:lang w:val="en-US"/>
        </w:rPr>
        <w:t xml:space="preserve">. 9th </w:t>
      </w:r>
      <w:proofErr w:type="spellStart"/>
      <w:proofErr w:type="gramStart"/>
      <w:r w:rsidRPr="009C4C27">
        <w:rPr>
          <w:rFonts w:ascii="Times New Roman" w:hAnsi="Times New Roman" w:cs="Times New Roman"/>
          <w:sz w:val="24"/>
          <w:szCs w:val="24"/>
          <w:u w:color="000000"/>
          <w:lang w:val="en-US"/>
        </w:rPr>
        <w:t>edn</w:t>
      </w:r>
      <w:proofErr w:type="spellEnd"/>
      <w:proofErr w:type="gramEnd"/>
      <w:r w:rsidRPr="009C4C27">
        <w:rPr>
          <w:rFonts w:ascii="Times New Roman" w:hAnsi="Times New Roman" w:cs="Times New Roman"/>
          <w:sz w:val="24"/>
          <w:szCs w:val="24"/>
          <w:u w:color="000000"/>
          <w:lang w:val="en-US"/>
        </w:rPr>
        <w:t>. London: SAGE Publications.</w:t>
      </w:r>
    </w:p>
    <w:p w14:paraId="0D2ACD4C" w14:textId="2F925BEB" w:rsidR="0074744A" w:rsidRPr="009C4C27" w:rsidRDefault="00190000"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eastAsia="Times New Roman" w:hAnsi="Times New Roman" w:cs="Times New Roman"/>
          <w:sz w:val="24"/>
          <w:szCs w:val="24"/>
          <w:bdr w:val="none" w:sz="0" w:space="0" w:color="auto"/>
        </w:rPr>
        <w:t xml:space="preserve"> Porter, M.E. (1985) Competitive Advantage: Creating and Sustaining Superior Performance. New York: Free Press.</w:t>
      </w:r>
    </w:p>
    <w:p w14:paraId="6837E76B" w14:textId="27EACE38" w:rsidR="00B422BE" w:rsidRPr="009C4C27" w:rsidRDefault="00B422BE"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3C5073">
        <w:rPr>
          <w:rFonts w:ascii="Times New Roman" w:eastAsia="Times New Roman" w:hAnsi="Times New Roman" w:cs="Times New Roman"/>
          <w:sz w:val="24"/>
          <w:szCs w:val="24"/>
          <w:bdr w:val="none" w:sz="0" w:space="0" w:color="auto"/>
        </w:rPr>
        <w:t>PwC (2022) Global Fintech Report 2022: Opportunities and Threats for Traditional Banks. Available at: </w:t>
      </w:r>
      <w:hyperlink r:id="rId16" w:tgtFrame="_blank" w:tooltip="https://www.pwc.com/" w:history="1">
        <w:r w:rsidRPr="003C5073">
          <w:rPr>
            <w:rFonts w:ascii="Times New Roman" w:eastAsia="Times New Roman" w:hAnsi="Times New Roman" w:cs="Times New Roman"/>
            <w:color w:val="0000FF"/>
            <w:sz w:val="24"/>
            <w:szCs w:val="24"/>
            <w:u w:val="single"/>
            <w:bdr w:val="none" w:sz="0" w:space="0" w:color="auto" w:frame="1"/>
          </w:rPr>
          <w:t>https://www.pwc.com/</w:t>
        </w:r>
      </w:hyperlink>
    </w:p>
    <w:p w14:paraId="503AF8BA" w14:textId="77777777" w:rsidR="0074744A" w:rsidRPr="009C4C27" w:rsidRDefault="00710EC1" w:rsidP="009C4C27">
      <w:pPr>
        <w:pStyle w:val="Default"/>
        <w:numPr>
          <w:ilvl w:val="0"/>
          <w:numId w:val="10"/>
        </w:numPr>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rPr>
        <w:t xml:space="preserve">Treanor, J. (2015) </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HSBC to cut 50,000 jobs in global restructuring plan</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The Guardian, 9 June.</w:t>
      </w:r>
    </w:p>
    <w:p w14:paraId="4EE15316" w14:textId="79807D90" w:rsidR="003225E5" w:rsidRPr="009C4C27" w:rsidRDefault="009F3F5C" w:rsidP="009C4C2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 xml:space="preserve">Teece, D.J. (2007) ‘Explicating dynamic capabilities: The nature and </w:t>
      </w:r>
      <w:r w:rsidR="002E03E4" w:rsidRPr="009C4C27">
        <w:rPr>
          <w:rFonts w:eastAsia="Times New Roman"/>
          <w:color w:val="000000"/>
          <w:bdr w:val="none" w:sz="0" w:space="0" w:color="auto"/>
          <w:lang w:val="en-GB" w:eastAsia="en-GB"/>
        </w:rPr>
        <w:t>micro foundations</w:t>
      </w:r>
      <w:r w:rsidRPr="009C4C27">
        <w:rPr>
          <w:rFonts w:eastAsia="Times New Roman"/>
          <w:color w:val="000000"/>
          <w:bdr w:val="none" w:sz="0" w:space="0" w:color="auto"/>
          <w:lang w:val="en-GB" w:eastAsia="en-GB"/>
        </w:rPr>
        <w:t xml:space="preserve"> of (sustainable) enterprise performance’, Strategic Management Journal, 28(13), pp. 1319–1350</w:t>
      </w:r>
      <w:r w:rsidR="001C432F" w:rsidRPr="009C4C27">
        <w:rPr>
          <w:rFonts w:eastAsia="Times New Roman"/>
          <w:color w:val="000000"/>
          <w:bdr w:val="none" w:sz="0" w:space="0" w:color="auto"/>
          <w:lang w:val="en-GB" w:eastAsia="en-GB"/>
        </w:rPr>
        <w:t>.</w:t>
      </w:r>
    </w:p>
    <w:p w14:paraId="78ACC591" w14:textId="77777777" w:rsidR="000D22F1" w:rsidRPr="009C4C27" w:rsidRDefault="000D22F1"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p>
    <w:p w14:paraId="177314AD" w14:textId="77777777" w:rsidR="000D22F1" w:rsidRPr="009C4C27" w:rsidRDefault="000D22F1" w:rsidP="009C4C2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Waterman, R.H., Peters, T.J. and Phillips, J.R. (1980) ‘Structure is not organisation’, Business Horizons, 23(3), pp. 14–26.</w:t>
      </w:r>
    </w:p>
    <w:p w14:paraId="018833F6" w14:textId="77777777" w:rsidR="00AF2C93" w:rsidRPr="009C4C27" w:rsidRDefault="00AF2C9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p>
    <w:p w14:paraId="52B57F37" w14:textId="228955AA" w:rsidR="001C432F" w:rsidRPr="009C4C27" w:rsidRDefault="00710EC1" w:rsidP="009C4C2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lastRenderedPageBreak/>
        <w:t>Wilson, R. (2021) Global Banking Strategies. London: Palgrave Macmillan.</w:t>
      </w:r>
    </w:p>
    <w:p w14:paraId="65DDD241" w14:textId="77777777" w:rsidR="00B422BE" w:rsidRPr="009C4C27" w:rsidRDefault="00B422BE" w:rsidP="009C4C27">
      <w:pPr>
        <w:pStyle w:val="ListParagraph"/>
        <w:spacing w:line="360" w:lineRule="auto"/>
        <w:jc w:val="both"/>
        <w:rPr>
          <w:rFonts w:eastAsia="Times New Roman"/>
          <w:color w:val="000000"/>
          <w:bdr w:val="none" w:sz="0" w:space="0" w:color="auto"/>
          <w:lang w:val="en-GB" w:eastAsia="en-GB"/>
        </w:rPr>
      </w:pPr>
    </w:p>
    <w:p w14:paraId="0650D3E6" w14:textId="5B63EFB2" w:rsidR="00B422BE" w:rsidRPr="009C4C27" w:rsidRDefault="00B422BE" w:rsidP="009C4C2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World Economic Forum (2021) Cybersecurity in Financial Services: AI-Driven Solutions. Geneva: WEF.</w:t>
      </w:r>
    </w:p>
    <w:p w14:paraId="72063A1A" w14:textId="77777777" w:rsidR="00144B00" w:rsidRPr="009C4C27" w:rsidRDefault="00144B00" w:rsidP="009C4C2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p>
    <w:p w14:paraId="73EFEA3C" w14:textId="77777777" w:rsidR="00144B00" w:rsidRPr="009C4C27" w:rsidRDefault="00144B00" w:rsidP="009C4C2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Verhoef, P.C., Broekhuizen, T., Bart, Y., Bhattacharya, A., Dong, J.Q., Fabian, N. and Haenlein, M. (2021) ‘Digital transformation: a multidisciplinary reflection and research agenda’, Journal of Business Research, 122, pp. 889–901.</w:t>
      </w:r>
    </w:p>
    <w:p w14:paraId="55F9E420" w14:textId="77777777" w:rsidR="00144B00" w:rsidRPr="009C4C27" w:rsidRDefault="00144B00" w:rsidP="009C4C27">
      <w:pPr>
        <w:pStyle w:val="ListParagraph"/>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p>
    <w:p w14:paraId="57BD6EB4" w14:textId="17228884" w:rsidR="00144B00" w:rsidRPr="009C4C27" w:rsidRDefault="00144B00" w:rsidP="009C4C2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C4C27">
        <w:rPr>
          <w:rFonts w:eastAsia="Times New Roman"/>
          <w:color w:val="000000"/>
          <w:bdr w:val="none" w:sz="0" w:space="0" w:color="auto"/>
          <w:lang w:val="en-GB" w:eastAsia="en-GB"/>
        </w:rPr>
        <w:t>Vial, G. (2019) ‘Understanding digital transformation: a review and a research agenda’, MIS Quarterly, 43(1), pp. 223–254.</w:t>
      </w:r>
    </w:p>
    <w:p w14:paraId="36BD96AA" w14:textId="77777777" w:rsidR="00AF2C93" w:rsidRPr="009C4C27" w:rsidRDefault="00AF2C93" w:rsidP="009C4C27">
      <w:pPr>
        <w:pStyle w:val="ListParagraph"/>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p>
    <w:p w14:paraId="2DA64319" w14:textId="2AA38E1E" w:rsidR="00B57801" w:rsidRPr="009C4C27" w:rsidRDefault="00710EC1" w:rsidP="009C4C2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t xml:space="preserve">Zhang, T. (2023) </w:t>
      </w:r>
      <w:r w:rsidRPr="009C4C27">
        <w:rPr>
          <w:rtl/>
        </w:rPr>
        <w:t>‘</w:t>
      </w:r>
      <w:r w:rsidRPr="009C4C27">
        <w:t>Fintech disruption and its impact on traditional banking</w:t>
      </w:r>
      <w:r w:rsidRPr="009C4C27">
        <w:rPr>
          <w:rtl/>
        </w:rPr>
        <w:t>’</w:t>
      </w:r>
      <w:r w:rsidRPr="009C4C27">
        <w:t>, International Journal of Digital Finance, 6(1), pp. 24–39.</w:t>
      </w:r>
    </w:p>
    <w:p w14:paraId="23D44FBB" w14:textId="77777777" w:rsidR="00CD3BB9" w:rsidRPr="009C4C27" w:rsidRDefault="00CD3BB9"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55D8A483" w14:textId="77777777" w:rsidR="00CD3BB9" w:rsidRPr="009C4C27" w:rsidRDefault="00CD3BB9"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7FB439F6" w14:textId="77777777" w:rsidR="00CD3BB9" w:rsidRPr="009C4C27" w:rsidRDefault="00CD3BB9"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3BE60552" w14:textId="77777777" w:rsidR="00CD3BB9" w:rsidRPr="009C4C27" w:rsidRDefault="00CD3BB9"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4441E4F6" w14:textId="77777777" w:rsidR="00CD3BB9" w:rsidRPr="009C4C27" w:rsidRDefault="00CD3BB9"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34A68CB7" w14:textId="77777777" w:rsidR="00CD3BB9" w:rsidRPr="009C4C27" w:rsidRDefault="00CD3BB9"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3452690C" w14:textId="77777777" w:rsidR="00CD3BB9" w:rsidRDefault="00CD3BB9"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3BE790FD" w14:textId="77777777" w:rsidR="00F26102"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7364A1A7" w14:textId="77777777" w:rsidR="00F26102"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1EE1C949" w14:textId="77777777" w:rsidR="00F26102"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5C3F94F7" w14:textId="77777777" w:rsidR="00F26102"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2C687948" w14:textId="77777777" w:rsidR="00F26102"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3AFB4473" w14:textId="77777777" w:rsidR="00F26102"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755F6A17" w14:textId="77777777" w:rsidR="00F26102"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0DBB8027" w14:textId="77777777" w:rsidR="00F26102"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661937AC" w14:textId="77777777" w:rsidR="00F26102"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091C9938" w14:textId="77777777" w:rsidR="00F26102"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7D7DD368" w14:textId="77777777" w:rsidR="00F26102"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0D3016B1" w14:textId="77777777" w:rsidR="00F26102"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11F3670B" w14:textId="77777777" w:rsidR="00F26102" w:rsidRPr="009C4C27" w:rsidRDefault="00F26102"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5D6CCA68" w14:textId="77777777" w:rsidR="00CD3BB9" w:rsidRPr="009C4C27" w:rsidRDefault="00CD3BB9"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45B2C451" w14:textId="5894BEE9" w:rsidR="00416E17" w:rsidRPr="00A73B48" w:rsidRDefault="00554318"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sz w:val="28"/>
          <w:szCs w:val="28"/>
          <w:bdr w:val="none" w:sz="0" w:space="0" w:color="auto"/>
          <w:lang w:val="en-GB" w:eastAsia="en-GB"/>
        </w:rPr>
      </w:pPr>
      <w:r w:rsidRPr="00A73B48">
        <w:rPr>
          <w:rFonts w:eastAsia="Times New Roman"/>
          <w:b/>
          <w:bCs/>
          <w:sz w:val="28"/>
          <w:szCs w:val="28"/>
          <w:bdr w:val="none" w:sz="0" w:space="0" w:color="auto"/>
          <w:lang w:val="en-GB" w:eastAsia="en-GB"/>
        </w:rPr>
        <w:t>9</w:t>
      </w:r>
      <w:r w:rsidR="005953C3" w:rsidRPr="00A73B48">
        <w:rPr>
          <w:rFonts w:eastAsia="Times New Roman"/>
          <w:b/>
          <w:bCs/>
          <w:sz w:val="28"/>
          <w:szCs w:val="28"/>
          <w:bdr w:val="none" w:sz="0" w:space="0" w:color="auto"/>
          <w:lang w:val="en-GB" w:eastAsia="en-GB"/>
        </w:rPr>
        <w:t xml:space="preserve">. </w:t>
      </w:r>
      <w:bookmarkStart w:id="18" w:name="_Hlk216905087"/>
      <w:r w:rsidR="00B57801" w:rsidRPr="00A73B48">
        <w:rPr>
          <w:rFonts w:eastAsia="Times New Roman"/>
          <w:b/>
          <w:bCs/>
          <w:sz w:val="28"/>
          <w:szCs w:val="28"/>
          <w:bdr w:val="none" w:sz="0" w:space="0" w:color="auto"/>
          <w:lang w:val="en-GB" w:eastAsia="en-GB"/>
        </w:rPr>
        <w:t>Appendi</w:t>
      </w:r>
      <w:r w:rsidR="0068163F" w:rsidRPr="00A73B48">
        <w:rPr>
          <w:rFonts w:eastAsia="Times New Roman"/>
          <w:b/>
          <w:bCs/>
          <w:sz w:val="28"/>
          <w:szCs w:val="28"/>
          <w:bdr w:val="none" w:sz="0" w:space="0" w:color="auto"/>
          <w:lang w:val="en-GB" w:eastAsia="en-GB"/>
        </w:rPr>
        <w:t>x</w:t>
      </w:r>
      <w:r w:rsidR="00B57801" w:rsidRPr="00A73B48">
        <w:rPr>
          <w:rFonts w:eastAsia="Times New Roman"/>
          <w:b/>
          <w:bCs/>
          <w:sz w:val="28"/>
          <w:szCs w:val="28"/>
          <w:bdr w:val="none" w:sz="0" w:space="0" w:color="auto"/>
          <w:lang w:val="en-GB" w:eastAsia="en-GB"/>
        </w:rPr>
        <w:t>es</w:t>
      </w:r>
      <w:r w:rsidR="00DE4AE8" w:rsidRPr="00A73B48">
        <w:rPr>
          <w:rFonts w:eastAsia="Times New Roman"/>
          <w:b/>
          <w:bCs/>
          <w:sz w:val="28"/>
          <w:szCs w:val="28"/>
          <w:bdr w:val="none" w:sz="0" w:space="0" w:color="auto"/>
          <w:lang w:val="en-GB" w:eastAsia="en-GB"/>
        </w:rPr>
        <w:t>: 1</w:t>
      </w:r>
      <w:r w:rsidR="00CD3BB9" w:rsidRPr="00A73B48">
        <w:rPr>
          <w:rFonts w:eastAsia="Times New Roman"/>
          <w:b/>
          <w:bCs/>
          <w:sz w:val="28"/>
          <w:szCs w:val="28"/>
          <w:bdr w:val="none" w:sz="0" w:space="0" w:color="auto"/>
          <w:lang w:val="en-GB" w:eastAsia="en-GB"/>
        </w:rPr>
        <w:t>-</w:t>
      </w:r>
      <w:r w:rsidR="00DE4AE8" w:rsidRPr="00A73B48">
        <w:rPr>
          <w:rFonts w:eastAsia="Times New Roman"/>
          <w:b/>
          <w:bCs/>
          <w:sz w:val="28"/>
          <w:szCs w:val="28"/>
          <w:bdr w:val="none" w:sz="0" w:space="0" w:color="auto"/>
          <w:lang w:val="en-GB" w:eastAsia="en-GB"/>
        </w:rPr>
        <w:t>1A</w:t>
      </w:r>
      <w:r w:rsidR="00CD3BB9" w:rsidRPr="00A73B48">
        <w:rPr>
          <w:rFonts w:eastAsia="Times New Roman"/>
          <w:b/>
          <w:bCs/>
          <w:sz w:val="28"/>
          <w:szCs w:val="28"/>
          <w:bdr w:val="none" w:sz="0" w:space="0" w:color="auto"/>
          <w:lang w:val="en-GB" w:eastAsia="en-GB"/>
        </w:rPr>
        <w:t xml:space="preserve">- </w:t>
      </w:r>
      <w:r w:rsidR="00DE4AE8" w:rsidRPr="00A73B48">
        <w:rPr>
          <w:rFonts w:eastAsia="Times New Roman"/>
          <w:b/>
          <w:bCs/>
          <w:sz w:val="28"/>
          <w:szCs w:val="28"/>
          <w:bdr w:val="none" w:sz="0" w:space="0" w:color="auto"/>
          <w:lang w:val="en-GB" w:eastAsia="en-GB"/>
        </w:rPr>
        <w:t>2</w:t>
      </w:r>
      <w:r w:rsidR="00CD3BB9" w:rsidRPr="00A73B48">
        <w:rPr>
          <w:rFonts w:eastAsia="Times New Roman"/>
          <w:b/>
          <w:bCs/>
          <w:sz w:val="28"/>
          <w:szCs w:val="28"/>
          <w:bdr w:val="none" w:sz="0" w:space="0" w:color="auto"/>
          <w:lang w:val="en-GB" w:eastAsia="en-GB"/>
        </w:rPr>
        <w:t>-</w:t>
      </w:r>
      <w:r w:rsidR="00DE4AE8" w:rsidRPr="00A73B48">
        <w:rPr>
          <w:rFonts w:eastAsia="Times New Roman"/>
          <w:b/>
          <w:bCs/>
          <w:sz w:val="28"/>
          <w:szCs w:val="28"/>
          <w:bdr w:val="none" w:sz="0" w:space="0" w:color="auto"/>
          <w:lang w:val="en-GB" w:eastAsia="en-GB"/>
        </w:rPr>
        <w:t xml:space="preserve"> 3 </w:t>
      </w:r>
      <w:r w:rsidR="00327AF9" w:rsidRPr="00A73B48">
        <w:rPr>
          <w:rFonts w:eastAsia="Times New Roman"/>
          <w:b/>
          <w:bCs/>
          <w:sz w:val="28"/>
          <w:szCs w:val="28"/>
          <w:bdr w:val="none" w:sz="0" w:space="0" w:color="auto"/>
          <w:lang w:val="en-GB" w:eastAsia="en-GB"/>
        </w:rPr>
        <w:t>and 3A</w:t>
      </w:r>
      <w:bookmarkEnd w:id="18"/>
    </w:p>
    <w:p w14:paraId="5F9149FC" w14:textId="77777777" w:rsidR="00F6248D" w:rsidRPr="009C4C27" w:rsidRDefault="00F6248D"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val="en-GB" w:eastAsia="en-GB"/>
        </w:rPr>
      </w:pPr>
    </w:p>
    <w:p w14:paraId="075DC929" w14:textId="77777777" w:rsidR="00A73B48" w:rsidRDefault="00CF04B0" w:rsidP="00A73B4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rPr>
          <w:rFonts w:eastAsia="Times New Roman"/>
          <w:b/>
          <w:bCs/>
          <w:bdr w:val="none" w:sz="0" w:space="0" w:color="auto"/>
          <w:lang w:val="en-GB" w:eastAsia="en-GB"/>
        </w:rPr>
        <w:t xml:space="preserve">Appendix </w:t>
      </w:r>
      <w:r w:rsidR="00746F4C" w:rsidRPr="009C4C27">
        <w:rPr>
          <w:rFonts w:eastAsia="Times New Roman"/>
          <w:b/>
          <w:bCs/>
          <w:bdr w:val="none" w:sz="0" w:space="0" w:color="auto"/>
          <w:lang w:val="en-GB" w:eastAsia="en-GB"/>
        </w:rPr>
        <w:t>1</w:t>
      </w:r>
      <w:r w:rsidR="006F10B0" w:rsidRPr="009C4C27">
        <w:rPr>
          <w:rFonts w:eastAsia="Times New Roman"/>
          <w:b/>
          <w:bCs/>
          <w:bdr w:val="none" w:sz="0" w:space="0" w:color="auto"/>
          <w:lang w:val="en-GB" w:eastAsia="en-GB"/>
        </w:rPr>
        <w:t xml:space="preserve"> </w:t>
      </w:r>
      <w:r w:rsidR="00EA568F" w:rsidRPr="009C4C27">
        <w:rPr>
          <w:rFonts w:eastAsia="Times New Roman"/>
          <w:b/>
          <w:bCs/>
          <w:bdr w:val="none" w:sz="0" w:space="0" w:color="auto"/>
          <w:lang w:val="en-GB" w:eastAsia="en-GB"/>
        </w:rPr>
        <w:t xml:space="preserve">- </w:t>
      </w:r>
      <w:r w:rsidR="00F83C11" w:rsidRPr="009C4C27">
        <w:rPr>
          <w:rFonts w:eastAsia="Times New Roman"/>
          <w:color w:val="000000"/>
          <w:bdr w:val="none" w:sz="0" w:space="0" w:color="auto"/>
          <w:lang w:val="en-GB" w:eastAsia="en-GB"/>
        </w:rPr>
        <w:t>Strategic Change</w:t>
      </w:r>
      <w:r w:rsidR="00F83C11" w:rsidRPr="00ED7C62">
        <w:rPr>
          <w:rFonts w:eastAsia="Times New Roman"/>
          <w:color w:val="000000"/>
          <w:bdr w:val="none" w:sz="0" w:space="0" w:color="auto"/>
          <w:lang w:val="en-GB" w:eastAsia="en-GB"/>
        </w:rPr>
        <w:t>: SMART objectives for HSBC AI-driven digital banking transformation (adapted from HSBC Holdings plc, 2023; KPMG, 2021; EY, 2022; World Economic Forum, 2021)</w:t>
      </w:r>
      <w:r w:rsidR="00A73B48">
        <w:rPr>
          <w:rFonts w:eastAsia="Times New Roman"/>
          <w:color w:val="000000"/>
          <w:bdr w:val="none" w:sz="0" w:space="0" w:color="auto"/>
          <w:lang w:val="en-GB" w:eastAsia="en-GB"/>
        </w:rPr>
        <w:t xml:space="preserve"> </w:t>
      </w:r>
    </w:p>
    <w:p w14:paraId="7C666CD9" w14:textId="07D81301" w:rsidR="00A73B48" w:rsidRPr="009C4C27" w:rsidRDefault="00A73B48" w:rsidP="00A73B4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CF725B">
        <w:rPr>
          <w:rFonts w:eastAsia="Times New Roman"/>
          <w:color w:val="000000"/>
          <w:bdr w:val="none" w:sz="0" w:space="0" w:color="auto"/>
          <w:lang w:val="en-GB" w:eastAsia="en-GB"/>
        </w:rPr>
        <w:t>Source: Adapted from HSBC Holdings plc (2023), KPMG (2021), EY (2022), World Economic Forum (2021)</w:t>
      </w:r>
    </w:p>
    <w:p w14:paraId="597DC9DE" w14:textId="77777777" w:rsidR="00F83C11" w:rsidRPr="009C4C27" w:rsidRDefault="00F83C11"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color w:val="000000"/>
          <w:bdr w:val="none" w:sz="0" w:space="0" w:color="auto"/>
          <w:lang w:val="en-GB" w:eastAsia="en-GB"/>
        </w:rPr>
      </w:pP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42"/>
        <w:gridCol w:w="2977"/>
        <w:gridCol w:w="2768"/>
        <w:gridCol w:w="2851"/>
      </w:tblGrid>
      <w:tr w:rsidR="00F83C11" w:rsidRPr="009C4C27" w14:paraId="3107622C" w14:textId="77777777" w:rsidTr="005516F3">
        <w:trPr>
          <w:trHeight w:val="389"/>
        </w:trPr>
        <w:tc>
          <w:tcPr>
            <w:tcW w:w="104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9B61FBE"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b/>
                <w:bCs/>
                <w:sz w:val="24"/>
                <w:szCs w:val="24"/>
              </w:rPr>
              <w:t>Objective</w:t>
            </w:r>
          </w:p>
        </w:tc>
        <w:tc>
          <w:tcPr>
            <w:tcW w:w="297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AEC8A8C"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b/>
                <w:bCs/>
                <w:sz w:val="24"/>
                <w:szCs w:val="24"/>
              </w:rPr>
              <w:t>SMART Target</w:t>
            </w:r>
          </w:p>
        </w:tc>
        <w:tc>
          <w:tcPr>
            <w:tcW w:w="2767"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F8C047D"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b/>
                <w:bCs/>
                <w:sz w:val="24"/>
                <w:szCs w:val="24"/>
              </w:rPr>
              <w:t>Key Performance Indicators (KPIs)</w:t>
            </w:r>
          </w:p>
        </w:tc>
        <w:tc>
          <w:tcPr>
            <w:tcW w:w="285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994EAFB"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b/>
                <w:bCs/>
                <w:sz w:val="24"/>
                <w:szCs w:val="24"/>
              </w:rPr>
              <w:t>Alignment with HSBC Corporate Strategy</w:t>
            </w:r>
          </w:p>
        </w:tc>
      </w:tr>
      <w:tr w:rsidR="00F83C11" w:rsidRPr="009C4C27" w14:paraId="47D82964" w14:textId="77777777" w:rsidTr="005516F3">
        <w:trPr>
          <w:trHeight w:val="897"/>
        </w:trPr>
        <w:tc>
          <w:tcPr>
            <w:tcW w:w="104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34DF44D"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Operational Efficiency</w:t>
            </w:r>
          </w:p>
        </w:tc>
        <w:tc>
          <w:tcPr>
            <w:tcW w:w="297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0A1D7EE"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Reduce operational costs by 25% within 5 years through automation of back-office processes.</w:t>
            </w:r>
          </w:p>
        </w:tc>
        <w:tc>
          <w:tcPr>
            <w:tcW w:w="2767"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BE5BAE0"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 % reduction in operational costs- % of processes automated- Error reduction rate</w:t>
            </w:r>
          </w:p>
        </w:tc>
        <w:tc>
          <w:tcPr>
            <w:tcW w:w="285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73F060D"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Supports cost discipline, operational excellence, and resource optimisation (HSBC Holdings plc, 2023).</w:t>
            </w:r>
          </w:p>
        </w:tc>
      </w:tr>
      <w:tr w:rsidR="00F83C11" w:rsidRPr="009C4C27" w14:paraId="1BDA04D8" w14:textId="77777777" w:rsidTr="005516F3">
        <w:trPr>
          <w:trHeight w:val="897"/>
        </w:trPr>
        <w:tc>
          <w:tcPr>
            <w:tcW w:w="104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AB8C728"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Customer Satisfaction &amp; Personalisation</w:t>
            </w:r>
          </w:p>
        </w:tc>
        <w:tc>
          <w:tcPr>
            <w:tcW w:w="297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DBD1D9A"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Increase digital customer satisfaction scores by 20% within 3 years using AI-driven personalised advice and services.</w:t>
            </w:r>
          </w:p>
        </w:tc>
        <w:tc>
          <w:tcPr>
            <w:tcW w:w="2767"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B256F24"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 Customer satisfaction (CSAT) scores- Net Promoter Score (NPS)- Usage of AI-driven services</w:t>
            </w:r>
          </w:p>
        </w:tc>
        <w:tc>
          <w:tcPr>
            <w:tcW w:w="285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6259BE1"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Enhances customer centricity, loyalty, and engagement in a digital-first environment (KPMG, 2021).</w:t>
            </w:r>
          </w:p>
        </w:tc>
      </w:tr>
      <w:tr w:rsidR="00F83C11" w:rsidRPr="009C4C27" w14:paraId="478FC3FA" w14:textId="77777777" w:rsidTr="005516F3">
        <w:trPr>
          <w:trHeight w:val="897"/>
        </w:trPr>
        <w:tc>
          <w:tcPr>
            <w:tcW w:w="104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15F8A0EC"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Competitive Positioning</w:t>
            </w:r>
          </w:p>
        </w:tc>
        <w:tc>
          <w:tcPr>
            <w:tcW w:w="297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E423806"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Grow digital market share by 10% within 4 years by offering innovative AI-enabled products.</w:t>
            </w:r>
          </w:p>
        </w:tc>
        <w:tc>
          <w:tcPr>
            <w:tcW w:w="2767"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D6C4A85"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 Digital market share growth- Number of AI-enabled product launches- Customer acquisition/retention rates</w:t>
            </w:r>
          </w:p>
        </w:tc>
        <w:tc>
          <w:tcPr>
            <w:tcW w:w="285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E73B266"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Reinforces market leadership and technology-driven differentiation (EY, 2022).</w:t>
            </w:r>
          </w:p>
        </w:tc>
      </w:tr>
      <w:tr w:rsidR="00F83C11" w:rsidRPr="009C4C27" w14:paraId="559E8AEC" w14:textId="77777777" w:rsidTr="005516F3">
        <w:trPr>
          <w:trHeight w:val="897"/>
        </w:trPr>
        <w:tc>
          <w:tcPr>
            <w:tcW w:w="1043"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15E2E40"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Cybersecurity &amp; Risk Management</w:t>
            </w:r>
          </w:p>
        </w:tc>
        <w:tc>
          <w:tcPr>
            <w:tcW w:w="297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52144B0"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Reduce successful cyber incidents and fraud-related losses by 30% within 3 years through AI threat detection.</w:t>
            </w:r>
          </w:p>
        </w:tc>
        <w:tc>
          <w:tcPr>
            <w:tcW w:w="2767"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854DC18"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 Number of cyber incidents- Fraud loss reduction- Compliance audit results</w:t>
            </w:r>
          </w:p>
        </w:tc>
        <w:tc>
          <w:tcPr>
            <w:tcW w:w="285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A8C5B7C"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Strengthens security, public trust, regulatory compliance, and risk management (World Economic Forum, 2021).</w:t>
            </w:r>
          </w:p>
        </w:tc>
      </w:tr>
      <w:tr w:rsidR="00F83C11" w:rsidRPr="009C4C27" w14:paraId="6E54ADF3" w14:textId="77777777" w:rsidTr="005516F3">
        <w:trPr>
          <w:trHeight w:val="897"/>
        </w:trPr>
        <w:tc>
          <w:tcPr>
            <w:tcW w:w="1043"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E4468A2"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lastRenderedPageBreak/>
              <w:t>Profitability &amp; Sustainability</w:t>
            </w:r>
          </w:p>
        </w:tc>
        <w:tc>
          <w:tcPr>
            <w:tcW w:w="297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16EF414"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Improve profit margins by 15% within 5 years by reallocating resources from physical branches to digital platforms.</w:t>
            </w:r>
          </w:p>
        </w:tc>
        <w:tc>
          <w:tcPr>
            <w:tcW w:w="2767"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78968C50"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 Profit margin improvement- Cost-to-income ratio- ROI on digital investments</w:t>
            </w:r>
          </w:p>
        </w:tc>
        <w:tc>
          <w:tcPr>
            <w:tcW w:w="285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291CC3A" w14:textId="77777777" w:rsidR="00F83C11" w:rsidRPr="009C4C27" w:rsidRDefault="00F83C11"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Supports sustainable growth, capital efficiency, and long-term financial resilience (HSBC Holdings plc, 2023).</w:t>
            </w:r>
          </w:p>
        </w:tc>
      </w:tr>
    </w:tbl>
    <w:p w14:paraId="4B757416" w14:textId="77777777" w:rsidR="00F83C11" w:rsidRPr="009C4C27" w:rsidRDefault="00F83C11"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Cs/>
          <w:bdr w:val="none" w:sz="0" w:space="0" w:color="auto"/>
          <w:lang w:eastAsia="en-GB"/>
        </w:rPr>
      </w:pPr>
    </w:p>
    <w:p w14:paraId="3DD4ED58" w14:textId="77777777" w:rsidR="00041004" w:rsidRPr="009C4C27" w:rsidRDefault="00041004"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color w:val="000000"/>
          <w:bdr w:val="none" w:sz="0" w:space="0" w:color="auto"/>
          <w:lang w:val="en-GB" w:eastAsia="en-GB"/>
        </w:rPr>
      </w:pPr>
    </w:p>
    <w:p w14:paraId="65A47B8C" w14:textId="6981A80D" w:rsidR="00041004" w:rsidRPr="009C4C27" w:rsidRDefault="00CF04B0"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C4C27">
        <w:rPr>
          <w:rFonts w:eastAsia="Times New Roman"/>
          <w:b/>
          <w:bCs/>
          <w:color w:val="000000"/>
          <w:bdr w:val="none" w:sz="0" w:space="0" w:color="auto"/>
          <w:lang w:val="en-GB" w:eastAsia="en-GB"/>
        </w:rPr>
        <w:t xml:space="preserve">Appendix </w:t>
      </w:r>
      <w:r w:rsidR="00CB0D15" w:rsidRPr="009C4C27">
        <w:rPr>
          <w:rFonts w:eastAsia="Times New Roman"/>
          <w:b/>
          <w:bCs/>
          <w:color w:val="000000"/>
          <w:bdr w:val="none" w:sz="0" w:space="0" w:color="auto"/>
          <w:lang w:val="en-GB" w:eastAsia="en-GB"/>
        </w:rPr>
        <w:t>1</w:t>
      </w:r>
      <w:r w:rsidR="00385458" w:rsidRPr="009C4C27">
        <w:rPr>
          <w:rFonts w:eastAsia="Times New Roman"/>
          <w:b/>
          <w:bCs/>
          <w:color w:val="000000"/>
          <w:bdr w:val="none" w:sz="0" w:space="0" w:color="auto"/>
          <w:lang w:val="en-GB" w:eastAsia="en-GB"/>
        </w:rPr>
        <w:t>A</w:t>
      </w:r>
      <w:r w:rsidR="007761B7" w:rsidRPr="009C4C27">
        <w:rPr>
          <w:rFonts w:eastAsia="Times New Roman"/>
          <w:color w:val="000000"/>
          <w:bdr w:val="none" w:sz="0" w:space="0" w:color="auto"/>
          <w:lang w:val="en-GB" w:eastAsia="en-GB"/>
        </w:rPr>
        <w:t xml:space="preserve"> </w:t>
      </w:r>
      <w:r w:rsidR="00041004" w:rsidRPr="00CF725B">
        <w:rPr>
          <w:rFonts w:eastAsia="Times New Roman"/>
          <w:color w:val="000000"/>
          <w:bdr w:val="none" w:sz="0" w:space="0" w:color="auto"/>
          <w:lang w:val="en-GB" w:eastAsia="en-GB"/>
        </w:rPr>
        <w:t>Source: Adapted from HSBC Holdings plc (2023), KPMG (2021), EY (2022), World Economic Forum (2021)</w:t>
      </w:r>
    </w:p>
    <w:p w14:paraId="7FAED92C" w14:textId="185950A7" w:rsidR="009D2081" w:rsidRPr="009C4C27" w:rsidRDefault="00041004"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color w:val="000000"/>
          <w:bdr w:val="none" w:sz="0" w:space="0" w:color="auto"/>
          <w:lang w:val="en-GB" w:eastAsia="en-GB"/>
        </w:rPr>
      </w:pPr>
      <w:r w:rsidRPr="009C4C27">
        <w:rPr>
          <w:noProof/>
        </w:rPr>
        <w:drawing>
          <wp:inline distT="0" distB="0" distL="0" distR="0" wp14:anchorId="0FFA2825" wp14:editId="0AE2C366">
            <wp:extent cx="6100763" cy="4067175"/>
            <wp:effectExtent l="0" t="0" r="0" b="0"/>
            <wp:docPr id="1442037203" name="Picture 1442037203" descr="A diagram of a company's company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ompany's company strategy&#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01401" cy="4067600"/>
                    </a:xfrm>
                    <a:prstGeom prst="rect">
                      <a:avLst/>
                    </a:prstGeom>
                    <a:noFill/>
                    <a:ln>
                      <a:noFill/>
                    </a:ln>
                  </pic:spPr>
                </pic:pic>
              </a:graphicData>
            </a:graphic>
          </wp:inline>
        </w:drawing>
      </w:r>
    </w:p>
    <w:p w14:paraId="6BE82B48" w14:textId="1D8B0AB1" w:rsidR="00406F53" w:rsidRPr="009C4C27" w:rsidRDefault="00EF491D" w:rsidP="009C4C2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color w:val="000000"/>
          <w:bdr w:val="none" w:sz="0" w:space="0" w:color="auto"/>
          <w:lang w:val="en-GB" w:eastAsia="en-GB"/>
        </w:rPr>
      </w:pPr>
      <w:r w:rsidRPr="009C4C27">
        <w:rPr>
          <w:rFonts w:eastAsia="Times New Roman"/>
          <w:b/>
          <w:bCs/>
          <w:color w:val="000000"/>
          <w:bdr w:val="none" w:sz="0" w:space="0" w:color="auto"/>
          <w:lang w:val="en-GB" w:eastAsia="en-GB"/>
        </w:rPr>
        <w:t>Appendix</w:t>
      </w:r>
      <w:r w:rsidR="003E26E2" w:rsidRPr="009C4C27">
        <w:rPr>
          <w:rFonts w:eastAsia="Times New Roman"/>
          <w:b/>
          <w:bCs/>
          <w:color w:val="000000"/>
          <w:bdr w:val="none" w:sz="0" w:space="0" w:color="auto"/>
          <w:lang w:val="en-GB" w:eastAsia="en-GB"/>
        </w:rPr>
        <w:t xml:space="preserve"> 2: </w:t>
      </w:r>
      <w:r w:rsidR="0029504E" w:rsidRPr="009F2FA3">
        <w:rPr>
          <w:rFonts w:eastAsia="Times New Roman"/>
          <w:b/>
          <w:bCs/>
          <w:color w:val="000000"/>
          <w:bdr w:val="none" w:sz="0" w:space="0" w:color="auto"/>
          <w:lang w:val="en-GB" w:eastAsia="en-GB"/>
        </w:rPr>
        <w:t>Evaluation Plan</w:t>
      </w:r>
      <w:r w:rsidR="006608B4" w:rsidRPr="009C4C27">
        <w:rPr>
          <w:rFonts w:eastAsia="Times New Roman"/>
          <w:b/>
          <w:bCs/>
          <w:color w:val="000000"/>
          <w:bdr w:val="none" w:sz="0" w:space="0" w:color="auto"/>
          <w:lang w:val="en-GB" w:eastAsia="en-GB"/>
        </w:rPr>
        <w:t xml:space="preserve"> </w:t>
      </w:r>
      <w:bookmarkStart w:id="19" w:name="_Hlk216911076"/>
      <w:r w:rsidR="00A73B48">
        <w:rPr>
          <w:rFonts w:eastAsia="Times New Roman"/>
          <w:b/>
          <w:bCs/>
          <w:color w:val="000000"/>
          <w:bdr w:val="none" w:sz="0" w:space="0" w:color="auto"/>
          <w:lang w:val="en-GB" w:eastAsia="en-GB"/>
        </w:rPr>
        <w:t>Created by Rita Roberts</w:t>
      </w:r>
      <w:bookmarkEnd w:id="19"/>
    </w:p>
    <w:tbl>
      <w:tblPr>
        <w:tblW w:w="0" w:type="auto"/>
        <w:shd w:val="clear" w:color="auto" w:fill="FFFFFF"/>
        <w:tblCellMar>
          <w:left w:w="0" w:type="dxa"/>
          <w:right w:w="0" w:type="dxa"/>
        </w:tblCellMar>
        <w:tblLook w:val="04A0" w:firstRow="1" w:lastRow="0" w:firstColumn="1" w:lastColumn="0" w:noHBand="0" w:noVBand="1"/>
      </w:tblPr>
      <w:tblGrid>
        <w:gridCol w:w="1971"/>
        <w:gridCol w:w="1994"/>
        <w:gridCol w:w="1857"/>
        <w:gridCol w:w="1767"/>
        <w:gridCol w:w="2033"/>
      </w:tblGrid>
      <w:tr w:rsidR="00406F53" w:rsidRPr="009F2FA3" w14:paraId="55962F70" w14:textId="77777777" w:rsidTr="005516F3">
        <w:trPr>
          <w:trHeight w:val="345"/>
        </w:trPr>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4D161F1"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b/>
                <w:bCs/>
                <w:color w:val="000000"/>
                <w:bdr w:val="none" w:sz="0" w:space="0" w:color="auto"/>
                <w:lang w:val="en-GB" w:eastAsia="en-GB"/>
              </w:rPr>
              <w:t>Evaluation Dimension</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FA72CE6"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b/>
                <w:bCs/>
                <w:color w:val="000000"/>
                <w:bdr w:val="none" w:sz="0" w:space="0" w:color="auto"/>
                <w:lang w:val="en-GB" w:eastAsia="en-GB"/>
              </w:rPr>
              <w:t>Key Performance Indicators (KPIs)</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B723EEF"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b/>
                <w:bCs/>
                <w:color w:val="000000"/>
                <w:bdr w:val="none" w:sz="0" w:space="0" w:color="auto"/>
                <w:lang w:val="en-GB" w:eastAsia="en-GB"/>
              </w:rPr>
              <w:t>Evaluation Methods</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8E52653"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b/>
                <w:bCs/>
                <w:color w:val="000000"/>
                <w:bdr w:val="none" w:sz="0" w:space="0" w:color="auto"/>
                <w:lang w:val="en-GB" w:eastAsia="en-GB"/>
              </w:rPr>
              <w:t>Frequency</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9FC0D46"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b/>
                <w:bCs/>
                <w:color w:val="000000"/>
                <w:bdr w:val="none" w:sz="0" w:space="0" w:color="auto"/>
                <w:lang w:val="en-GB" w:eastAsia="en-GB"/>
              </w:rPr>
              <w:t>Purpose / Use of Findings</w:t>
            </w:r>
          </w:p>
        </w:tc>
      </w:tr>
      <w:tr w:rsidR="00406F53" w:rsidRPr="009F2FA3" w14:paraId="36FC0EBD" w14:textId="77777777" w:rsidTr="005516F3">
        <w:trPr>
          <w:trHeight w:val="765"/>
        </w:trPr>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7DA6C303"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Operational Performance</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01943671"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Reduction in operational costs; process efficiency improvements</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2DF93357"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Bi-annual internal audits; performance dashboards</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4C33637A"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Bi-annually / Real-time</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6A7C209D"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Assess efficiency gains and identify areas for process optimisation</w:t>
            </w:r>
          </w:p>
        </w:tc>
      </w:tr>
      <w:tr w:rsidR="00406F53" w:rsidRPr="009F2FA3" w14:paraId="381C9B1A" w14:textId="77777777" w:rsidTr="005516F3">
        <w:trPr>
          <w:trHeight w:val="1185"/>
        </w:trPr>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ECE2B1E"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lastRenderedPageBreak/>
              <w:t>Financial Performance</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6592285"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Cost savings from digitalisation; return on investment (ROI)</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48E35A3"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Financial reporting and variance analysis</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EAC8894"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Quarterly</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C0071D9"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Measure financial sustainability and value creation from transformation initiatives</w:t>
            </w:r>
          </w:p>
        </w:tc>
      </w:tr>
      <w:tr w:rsidR="00406F53" w:rsidRPr="009F2FA3" w14:paraId="14C06DD1" w14:textId="77777777" w:rsidTr="005516F3">
        <w:trPr>
          <w:trHeight w:val="1170"/>
        </w:trPr>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3C77054B"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Customer Experience</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3D12E7B6"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Customer satisfaction ratings; service quality feedback; digital service usage</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19500650"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Customer feedback surveys; analytics from digital platforms</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2E0EF2B2"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Quarterly / Ongoing</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0E816305"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Improve service design, enhance user experience, and strengthen customer loyalty</w:t>
            </w:r>
          </w:p>
        </w:tc>
      </w:tr>
      <w:tr w:rsidR="00406F53" w:rsidRPr="009F2FA3" w14:paraId="1EC0A0D5" w14:textId="77777777" w:rsidTr="005516F3">
        <w:trPr>
          <w:trHeight w:val="765"/>
        </w:trPr>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541AAD7"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Digital Adoption</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343D19F"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Adoption rates of new digital services; usage frequency</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BCDA098"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Real-time performance dashboards</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A96CD46"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Continuous</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64DB90A"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Monitor effectiveness of digital initiatives and guide corrective actions</w:t>
            </w:r>
          </w:p>
        </w:tc>
      </w:tr>
      <w:tr w:rsidR="00406F53" w:rsidRPr="009F2FA3" w14:paraId="5C1C27FA" w14:textId="77777777" w:rsidTr="005516F3">
        <w:trPr>
          <w:trHeight w:val="765"/>
        </w:trPr>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5EE6C9F1"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Cybersecurity &amp; Risk</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56DE1617"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Frequency and severity of cybersecurity incidents</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21024DA5"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Risk monitoring systems; independent security assessments</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70696BE2"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Continuous / Annually</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175CBF1B"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Ensure data protection, regulatory compliance, and operational resilience</w:t>
            </w:r>
          </w:p>
        </w:tc>
      </w:tr>
      <w:tr w:rsidR="00406F53" w:rsidRPr="009F2FA3" w14:paraId="0C83BD1E" w14:textId="77777777" w:rsidTr="005516F3">
        <w:trPr>
          <w:trHeight w:val="750"/>
        </w:trPr>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F36925D"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Workforce Engagement</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B99CCE2"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Employee engagement levels; digital proficiency indicators</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655BE70"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Employee surveys; training completion records</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2779B56"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Annually / Ongoing</w:t>
            </w:r>
          </w:p>
        </w:tc>
        <w:tc>
          <w:tcPr>
            <w:tcW w:w="53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18F2B7A"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Evaluate workforce readiness and support cultural transformation</w:t>
            </w:r>
          </w:p>
        </w:tc>
      </w:tr>
      <w:tr w:rsidR="00406F53" w:rsidRPr="009F2FA3" w14:paraId="01918CC9" w14:textId="77777777" w:rsidTr="005516F3">
        <w:trPr>
          <w:trHeight w:val="765"/>
        </w:trPr>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34FADA8D"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Governance &amp; Compliance</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169F24F9"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Compliance with regulatory standards; audit findings</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725A1E73"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Internal and external audits</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064F1240"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Bi-annually</w:t>
            </w:r>
          </w:p>
        </w:tc>
        <w:tc>
          <w:tcPr>
            <w:tcW w:w="5325" w:type="dxa"/>
            <w:tcBorders>
              <w:top w:val="single" w:sz="6" w:space="0" w:color="000000"/>
              <w:left w:val="single" w:sz="6" w:space="0" w:color="000000"/>
              <w:bottom w:val="single" w:sz="6" w:space="0" w:color="000000"/>
              <w:right w:val="single" w:sz="6" w:space="0" w:color="000000"/>
            </w:tcBorders>
            <w:shd w:val="clear" w:color="auto" w:fill="F5F5F5"/>
            <w:tcMar>
              <w:top w:w="15" w:type="dxa"/>
              <w:left w:w="15" w:type="dxa"/>
              <w:bottom w:w="15" w:type="dxa"/>
              <w:right w:w="15" w:type="dxa"/>
            </w:tcMar>
            <w:vAlign w:val="center"/>
            <w:hideMark/>
          </w:tcPr>
          <w:p w14:paraId="227BC717" w14:textId="77777777" w:rsidR="00406F53" w:rsidRPr="009F2FA3" w:rsidRDefault="00406F53" w:rsidP="009C4C2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GB" w:eastAsia="en-GB"/>
              </w:rPr>
            </w:pPr>
            <w:r w:rsidRPr="009F2FA3">
              <w:rPr>
                <w:rFonts w:eastAsia="Times New Roman"/>
                <w:color w:val="000000"/>
                <w:bdr w:val="none" w:sz="0" w:space="0" w:color="auto"/>
                <w:lang w:val="en-GB" w:eastAsia="en-GB"/>
              </w:rPr>
              <w:t>Maintain accountability, transparency, and regulatory adherence</w:t>
            </w:r>
          </w:p>
        </w:tc>
      </w:tr>
    </w:tbl>
    <w:p w14:paraId="1D949122" w14:textId="77777777" w:rsidR="0029504E" w:rsidRPr="009C4C27" w:rsidRDefault="0029504E" w:rsidP="009C4C27">
      <w:pPr>
        <w:pStyle w:val="Default"/>
        <w:suppressAutoHyphens/>
        <w:spacing w:before="0" w:after="160" w:line="360" w:lineRule="auto"/>
        <w:jc w:val="both"/>
        <w:rPr>
          <w:rFonts w:ascii="Times New Roman" w:eastAsia="Helvetica" w:hAnsi="Times New Roman" w:cs="Times New Roman"/>
          <w:sz w:val="24"/>
          <w:szCs w:val="24"/>
          <w:u w:color="000000"/>
        </w:rPr>
      </w:pPr>
    </w:p>
    <w:p w14:paraId="76BE8DCD" w14:textId="62935D9D" w:rsidR="00B314FA" w:rsidRPr="009C4C27" w:rsidRDefault="00EF491D" w:rsidP="009C4C27">
      <w:pPr>
        <w:pStyle w:val="Default"/>
        <w:suppressAutoHyphens/>
        <w:spacing w:before="0" w:after="298" w:line="360" w:lineRule="auto"/>
        <w:jc w:val="both"/>
        <w:rPr>
          <w:rFonts w:ascii="Times New Roman" w:eastAsia="Times New Roman" w:hAnsi="Times New Roman" w:cs="Times New Roman"/>
          <w:b/>
          <w:bCs/>
          <w:sz w:val="24"/>
          <w:szCs w:val="24"/>
        </w:rPr>
      </w:pPr>
      <w:r w:rsidRPr="009C4C27">
        <w:rPr>
          <w:rFonts w:ascii="Times New Roman" w:hAnsi="Times New Roman" w:cs="Times New Roman"/>
          <w:b/>
          <w:bCs/>
          <w:sz w:val="24"/>
          <w:szCs w:val="24"/>
        </w:rPr>
        <w:t>Appendix</w:t>
      </w:r>
      <w:r w:rsidR="00B314FA" w:rsidRPr="009C4C27">
        <w:rPr>
          <w:rFonts w:ascii="Times New Roman" w:hAnsi="Times New Roman" w:cs="Times New Roman"/>
          <w:b/>
          <w:bCs/>
          <w:sz w:val="24"/>
          <w:szCs w:val="24"/>
        </w:rPr>
        <w:t xml:space="preserve"> 3</w:t>
      </w:r>
      <w:r w:rsidR="00B314FA" w:rsidRPr="009C4C27">
        <w:rPr>
          <w:rFonts w:ascii="Times New Roman" w:hAnsi="Times New Roman" w:cs="Times New Roman"/>
          <w:sz w:val="24"/>
          <w:szCs w:val="24"/>
        </w:rPr>
        <w:t xml:space="preserve">: </w:t>
      </w:r>
      <w:r w:rsidR="00B314FA" w:rsidRPr="009C4C27">
        <w:rPr>
          <w:rFonts w:ascii="Times New Roman" w:hAnsi="Times New Roman" w:cs="Times New Roman"/>
          <w:b/>
          <w:bCs/>
          <w:sz w:val="24"/>
          <w:szCs w:val="24"/>
          <w:lang w:val="en-US"/>
        </w:rPr>
        <w:t>Budget Allocation Linked to SMART Objectives</w:t>
      </w:r>
      <w:r w:rsidR="00083A69">
        <w:rPr>
          <w:rFonts w:ascii="Times New Roman" w:hAnsi="Times New Roman" w:cs="Times New Roman"/>
          <w:b/>
          <w:bCs/>
          <w:sz w:val="24"/>
          <w:szCs w:val="24"/>
          <w:lang w:val="en-US"/>
        </w:rPr>
        <w:t xml:space="preserve"> </w:t>
      </w:r>
      <w:r w:rsidR="00DE6DCC">
        <w:rPr>
          <w:rFonts w:ascii="Times New Roman" w:hAnsi="Times New Roman" w:cs="Times New Roman"/>
          <w:b/>
          <w:bCs/>
          <w:sz w:val="24"/>
          <w:szCs w:val="24"/>
          <w:lang w:val="en-US"/>
        </w:rPr>
        <w:t xml:space="preserve">Table </w:t>
      </w:r>
      <w:r w:rsidR="00083A69">
        <w:rPr>
          <w:rFonts w:eastAsia="Times New Roman"/>
          <w:b/>
          <w:bCs/>
          <w:bdr w:val="none" w:sz="0" w:space="0" w:color="auto"/>
        </w:rPr>
        <w:t>Created by Rita Roberts</w:t>
      </w:r>
    </w:p>
    <w:tbl>
      <w:tblPr>
        <w:tblW w:w="10033" w:type="dxa"/>
        <w:tblInd w:w="-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60"/>
        <w:gridCol w:w="851"/>
        <w:gridCol w:w="2835"/>
        <w:gridCol w:w="2126"/>
        <w:gridCol w:w="2661"/>
      </w:tblGrid>
      <w:tr w:rsidR="00B314FA" w:rsidRPr="009C4C27" w14:paraId="6F6DD950" w14:textId="77777777" w:rsidTr="005516F3">
        <w:trPr>
          <w:trHeight w:val="597"/>
        </w:trPr>
        <w:tc>
          <w:tcPr>
            <w:tcW w:w="156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752DBBA"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lastRenderedPageBreak/>
              <w:t>Investment Area</w:t>
            </w:r>
          </w:p>
        </w:tc>
        <w:tc>
          <w:tcPr>
            <w:tcW w:w="85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0C41191"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Allocation budget</w:t>
            </w:r>
          </w:p>
        </w:tc>
        <w:tc>
          <w:tcPr>
            <w:tcW w:w="283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4CE2947C"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Linked SMART Objective(s)</w:t>
            </w:r>
          </w:p>
        </w:tc>
        <w:tc>
          <w:tcPr>
            <w:tcW w:w="212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B67245A"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Performance Metrics (KPIs)</w:t>
            </w:r>
          </w:p>
        </w:tc>
        <w:tc>
          <w:tcPr>
            <w:tcW w:w="266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EEA593A"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Strategic Contribution</w:t>
            </w:r>
          </w:p>
        </w:tc>
      </w:tr>
      <w:tr w:rsidR="00B314FA" w:rsidRPr="009C4C27" w14:paraId="11A7D726" w14:textId="77777777" w:rsidTr="005516F3">
        <w:trPr>
          <w:trHeight w:val="897"/>
        </w:trPr>
        <w:tc>
          <w:tcPr>
            <w:tcW w:w="156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436CAB2"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AI and Automation</w:t>
            </w:r>
          </w:p>
        </w:tc>
        <w:tc>
          <w:tcPr>
            <w:tcW w:w="85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50AF997" w14:textId="77777777" w:rsidR="00B314FA" w:rsidRPr="009C4C27" w:rsidRDefault="00B314FA" w:rsidP="009C4C27">
            <w:pPr>
              <w:suppressAutoHyphens/>
              <w:spacing w:after="240" w:line="360" w:lineRule="auto"/>
              <w:jc w:val="both"/>
            </w:pPr>
            <w:r w:rsidRPr="009C4C27">
              <w:rPr>
                <w:color w:val="000000"/>
                <w14:textOutline w14:w="0" w14:cap="flat" w14:cmpd="sng" w14:algn="ctr">
                  <w14:noFill/>
                  <w14:prstDash w14:val="solid"/>
                  <w14:bevel/>
                </w14:textOutline>
              </w:rPr>
              <w:t>1,200</w:t>
            </w:r>
          </w:p>
        </w:tc>
        <w:tc>
          <w:tcPr>
            <w:tcW w:w="283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115D10D"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Objective 1: Reduce operational costs by 25% within 5 years Objective 2: Increase digital customer satisfaction by 20% within 3 years</w:t>
            </w:r>
          </w:p>
        </w:tc>
        <w:tc>
          <w:tcPr>
            <w:tcW w:w="212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D01A63B"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of automated back-office processes (target 60 to70</w:t>
            </w:r>
            <w:proofErr w:type="gramStart"/>
            <w:r w:rsidRPr="009C4C27">
              <w:rPr>
                <w:rFonts w:ascii="Times New Roman" w:hAnsi="Times New Roman" w:cs="Times New Roman"/>
                <w:sz w:val="24"/>
                <w:szCs w:val="24"/>
              </w:rPr>
              <w:t>%)  Cost</w:t>
            </w:r>
            <w:proofErr w:type="gramEnd"/>
            <w:r w:rsidRPr="009C4C27">
              <w:rPr>
                <w:rFonts w:ascii="Times New Roman" w:hAnsi="Times New Roman" w:cs="Times New Roman"/>
                <w:sz w:val="24"/>
                <w:szCs w:val="24"/>
              </w:rPr>
              <w:t>-to-income ratio Digital CSAT scores</w:t>
            </w:r>
          </w:p>
        </w:tc>
        <w:tc>
          <w:tcPr>
            <w:tcW w:w="266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352FC5A"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Drives cost efficiency, reduces manual errors, enables personalised services and real-time decision-making</w:t>
            </w:r>
          </w:p>
        </w:tc>
      </w:tr>
      <w:tr w:rsidR="00B314FA" w:rsidRPr="009C4C27" w14:paraId="196EB05A" w14:textId="77777777" w:rsidTr="005516F3">
        <w:trPr>
          <w:trHeight w:val="897"/>
        </w:trPr>
        <w:tc>
          <w:tcPr>
            <w:tcW w:w="156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EF58719"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Cybersecurity &amp; Risk Management</w:t>
            </w:r>
          </w:p>
        </w:tc>
        <w:tc>
          <w:tcPr>
            <w:tcW w:w="85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C4CB00F" w14:textId="77777777" w:rsidR="00B314FA" w:rsidRPr="009C4C27" w:rsidRDefault="00B314FA" w:rsidP="009C4C27">
            <w:pPr>
              <w:suppressAutoHyphens/>
              <w:spacing w:after="240" w:line="360" w:lineRule="auto"/>
              <w:jc w:val="both"/>
            </w:pPr>
            <w:r w:rsidRPr="009C4C27">
              <w:rPr>
                <w:color w:val="000000"/>
                <w14:textOutline w14:w="0" w14:cap="flat" w14:cmpd="sng" w14:algn="ctr">
                  <w14:noFill/>
                  <w14:prstDash w14:val="solid"/>
                  <w14:bevel/>
                </w14:textOutline>
              </w:rPr>
              <w:t>800</w:t>
            </w:r>
          </w:p>
        </w:tc>
        <w:tc>
          <w:tcPr>
            <w:tcW w:w="283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050B1189"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Objective 4: Reduce cyber incidents and fraud losses by 30% within 3 years</w:t>
            </w:r>
          </w:p>
        </w:tc>
        <w:tc>
          <w:tcPr>
            <w:tcW w:w="212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14AC5F55"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Number of successful cyber incidents Fraud loss value Regulatory compliance audit outcomes</w:t>
            </w:r>
          </w:p>
        </w:tc>
        <w:tc>
          <w:tcPr>
            <w:tcW w:w="266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3D1F9F3"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Protects customer trust, supports regulatory compliance, reinforces risk-aware organisational culture</w:t>
            </w:r>
          </w:p>
        </w:tc>
      </w:tr>
      <w:tr w:rsidR="00B314FA" w:rsidRPr="009C4C27" w14:paraId="7225AA2D" w14:textId="77777777" w:rsidTr="005516F3">
        <w:trPr>
          <w:trHeight w:val="897"/>
        </w:trPr>
        <w:tc>
          <w:tcPr>
            <w:tcW w:w="156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67034B4"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Legacy IT Modernisation</w:t>
            </w:r>
          </w:p>
        </w:tc>
        <w:tc>
          <w:tcPr>
            <w:tcW w:w="85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59A2A638" w14:textId="77777777" w:rsidR="00B314FA" w:rsidRPr="009C4C27" w:rsidRDefault="00B314FA" w:rsidP="009C4C27">
            <w:pPr>
              <w:suppressAutoHyphens/>
              <w:spacing w:after="240" w:line="360" w:lineRule="auto"/>
              <w:jc w:val="both"/>
            </w:pPr>
            <w:r w:rsidRPr="009C4C27">
              <w:rPr>
                <w:color w:val="000000"/>
                <w14:textOutline w14:w="0" w14:cap="flat" w14:cmpd="sng" w14:algn="ctr">
                  <w14:noFill/>
                  <w14:prstDash w14:val="solid"/>
                  <w14:bevel/>
                </w14:textOutline>
              </w:rPr>
              <w:t>500</w:t>
            </w:r>
          </w:p>
        </w:tc>
        <w:tc>
          <w:tcPr>
            <w:tcW w:w="283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FCFA176"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Objective 1: Operational cost reduction Objective 3: Grow digital market share by 10% within 4 years</w:t>
            </w:r>
          </w:p>
        </w:tc>
        <w:tc>
          <w:tcPr>
            <w:tcW w:w="212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B721404"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System uptime and resilience Platform integration milestones Speed of product deployment</w:t>
            </w:r>
          </w:p>
        </w:tc>
        <w:tc>
          <w:tcPr>
            <w:tcW w:w="266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1276C9BA"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Enables AI integration, improves agility, and supports scalable digital product delivery</w:t>
            </w:r>
          </w:p>
        </w:tc>
      </w:tr>
      <w:tr w:rsidR="00B314FA" w:rsidRPr="009C4C27" w14:paraId="44E526AB" w14:textId="77777777" w:rsidTr="005516F3">
        <w:trPr>
          <w:trHeight w:val="897"/>
        </w:trPr>
        <w:tc>
          <w:tcPr>
            <w:tcW w:w="156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9FE76BC"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Workforce Upskilling &amp; Training</w:t>
            </w:r>
          </w:p>
        </w:tc>
        <w:tc>
          <w:tcPr>
            <w:tcW w:w="85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21DE3D7" w14:textId="77777777" w:rsidR="00B314FA" w:rsidRPr="009C4C27" w:rsidRDefault="00B314FA" w:rsidP="009C4C27">
            <w:pPr>
              <w:suppressAutoHyphens/>
              <w:spacing w:after="240" w:line="360" w:lineRule="auto"/>
              <w:jc w:val="both"/>
            </w:pPr>
            <w:r w:rsidRPr="009C4C27">
              <w:rPr>
                <w:color w:val="000000"/>
                <w14:textOutline w14:w="0" w14:cap="flat" w14:cmpd="sng" w14:algn="ctr">
                  <w14:noFill/>
                  <w14:prstDash w14:val="solid"/>
                  <w14:bevel/>
                </w14:textOutline>
              </w:rPr>
              <w:t>300</w:t>
            </w:r>
          </w:p>
        </w:tc>
        <w:tc>
          <w:tcPr>
            <w:tcW w:w="283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FBA64E7"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Objective 2: Improve customer satisfaction Objective 3: Digital market share growth</w:t>
            </w:r>
          </w:p>
        </w:tc>
        <w:tc>
          <w:tcPr>
            <w:tcW w:w="212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5CBDDBCA"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 workforce digitally certified Employee engagement scores Digital tool adoption rates</w:t>
            </w:r>
          </w:p>
        </w:tc>
        <w:tc>
          <w:tcPr>
            <w:tcW w:w="266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AA5C78B"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Builds firm-specific human capital, reduces resistance to change, supports sustainable transformation</w:t>
            </w:r>
          </w:p>
        </w:tc>
      </w:tr>
      <w:tr w:rsidR="00B314FA" w:rsidRPr="009C4C27" w14:paraId="627D5F17" w14:textId="77777777" w:rsidTr="005516F3">
        <w:trPr>
          <w:trHeight w:val="897"/>
        </w:trPr>
        <w:tc>
          <w:tcPr>
            <w:tcW w:w="1560"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26093BAC"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Digital Product Development</w:t>
            </w:r>
          </w:p>
        </w:tc>
        <w:tc>
          <w:tcPr>
            <w:tcW w:w="85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4B430F40" w14:textId="77777777" w:rsidR="00B314FA" w:rsidRPr="009C4C27" w:rsidRDefault="00B314FA" w:rsidP="009C4C27">
            <w:pPr>
              <w:suppressAutoHyphens/>
              <w:spacing w:after="240" w:line="360" w:lineRule="auto"/>
              <w:jc w:val="both"/>
            </w:pPr>
            <w:r w:rsidRPr="009C4C27">
              <w:rPr>
                <w:color w:val="000000"/>
                <w14:textOutline w14:w="0" w14:cap="flat" w14:cmpd="sng" w14:algn="ctr">
                  <w14:noFill/>
                  <w14:prstDash w14:val="solid"/>
                  <w14:bevel/>
                </w14:textOutline>
              </w:rPr>
              <w:t>200</w:t>
            </w:r>
          </w:p>
        </w:tc>
        <w:tc>
          <w:tcPr>
            <w:tcW w:w="2835"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66ACD4F4"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Objective 3: Increase digital market share by 10% Objective 5: Improve profit margins by 15% within 5 years</w:t>
            </w:r>
          </w:p>
        </w:tc>
        <w:tc>
          <w:tcPr>
            <w:tcW w:w="2126"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0F727228"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 xml:space="preserve"> Revenue from digital products Active digital users Time-to-market for new services</w:t>
            </w:r>
          </w:p>
        </w:tc>
        <w:tc>
          <w:tcPr>
            <w:tcW w:w="2661" w:type="dxa"/>
            <w:tcBorders>
              <w:top w:val="single" w:sz="2" w:space="0" w:color="000000"/>
              <w:left w:val="single" w:sz="2" w:space="0" w:color="000000"/>
              <w:bottom w:val="single" w:sz="2" w:space="0" w:color="000000"/>
              <w:right w:val="single" w:sz="2" w:space="0" w:color="000000"/>
            </w:tcBorders>
            <w:shd w:val="clear" w:color="auto" w:fill="F5F5F5"/>
            <w:tcMar>
              <w:top w:w="20" w:type="dxa"/>
              <w:left w:w="20" w:type="dxa"/>
              <w:bottom w:w="20" w:type="dxa"/>
              <w:right w:w="20" w:type="dxa"/>
            </w:tcMar>
            <w:vAlign w:val="center"/>
          </w:tcPr>
          <w:p w14:paraId="34921005"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Supports differentiation through AI-enabled services and fintech-competitive offerings</w:t>
            </w:r>
          </w:p>
        </w:tc>
      </w:tr>
      <w:tr w:rsidR="00B314FA" w:rsidRPr="009C4C27" w14:paraId="29C503E0" w14:textId="77777777" w:rsidTr="005516F3">
        <w:trPr>
          <w:trHeight w:val="897"/>
        </w:trPr>
        <w:tc>
          <w:tcPr>
            <w:tcW w:w="1560"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7EB5D5EF"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lastRenderedPageBreak/>
              <w:t>Total</w:t>
            </w:r>
          </w:p>
        </w:tc>
        <w:tc>
          <w:tcPr>
            <w:tcW w:w="85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0DD3733" w14:textId="77777777" w:rsidR="00B314FA" w:rsidRPr="009C4C27" w:rsidRDefault="00B314FA" w:rsidP="009C4C27">
            <w:pPr>
              <w:suppressAutoHyphens/>
              <w:spacing w:after="240" w:line="360" w:lineRule="auto"/>
              <w:jc w:val="both"/>
            </w:pPr>
            <w:r w:rsidRPr="009C4C27">
              <w:rPr>
                <w:color w:val="000000"/>
                <w14:textOutline w14:w="0" w14:cap="flat" w14:cmpd="sng" w14:algn="ctr">
                  <w14:noFill/>
                  <w14:prstDash w14:val="solid"/>
                  <w14:bevel/>
                </w14:textOutline>
              </w:rPr>
              <w:t>3,000</w:t>
            </w:r>
          </w:p>
        </w:tc>
        <w:tc>
          <w:tcPr>
            <w:tcW w:w="2835"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619B5F4A"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All objectives</w:t>
            </w:r>
          </w:p>
        </w:tc>
        <w:tc>
          <w:tcPr>
            <w:tcW w:w="2126"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20A389D4"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p>
        </w:tc>
        <w:tc>
          <w:tcPr>
            <w:tcW w:w="2661" w:type="dxa"/>
            <w:tcBorders>
              <w:top w:val="single" w:sz="2" w:space="0" w:color="000000"/>
              <w:left w:val="single" w:sz="2" w:space="0" w:color="000000"/>
              <w:bottom w:val="single" w:sz="2" w:space="0" w:color="000000"/>
              <w:right w:val="single" w:sz="2" w:space="0" w:color="000000"/>
            </w:tcBorders>
            <w:tcMar>
              <w:top w:w="20" w:type="dxa"/>
              <w:left w:w="20" w:type="dxa"/>
              <w:bottom w:w="20" w:type="dxa"/>
              <w:right w:w="20" w:type="dxa"/>
            </w:tcMar>
            <w:vAlign w:val="center"/>
          </w:tcPr>
          <w:p w14:paraId="3CEB4BBA" w14:textId="77777777" w:rsidR="00B314FA" w:rsidRPr="009C4C27" w:rsidRDefault="00B314FA" w:rsidP="009C4C27">
            <w:pPr>
              <w:pStyle w:val="TableStyle2"/>
              <w:suppressAutoHyphens/>
              <w:spacing w:after="240" w:line="360" w:lineRule="auto"/>
              <w:jc w:val="both"/>
              <w:rPr>
                <w:rFonts w:ascii="Times New Roman" w:hAnsi="Times New Roman" w:cs="Times New Roman"/>
                <w:sz w:val="24"/>
                <w:szCs w:val="24"/>
              </w:rPr>
            </w:pPr>
            <w:r w:rsidRPr="009C4C27">
              <w:rPr>
                <w:rFonts w:ascii="Times New Roman" w:hAnsi="Times New Roman" w:cs="Times New Roman"/>
                <w:sz w:val="24"/>
                <w:szCs w:val="24"/>
              </w:rPr>
              <w:t>Ensures strategic alignment between financial investment and transformation outcomes</w:t>
            </w:r>
          </w:p>
        </w:tc>
      </w:tr>
    </w:tbl>
    <w:p w14:paraId="5BE7F8B5" w14:textId="77777777" w:rsidR="00B314FA" w:rsidRPr="009C4C27" w:rsidRDefault="00B314FA" w:rsidP="009C4C27">
      <w:pPr>
        <w:pStyle w:val="Default"/>
        <w:suppressAutoHyphens/>
        <w:spacing w:before="0" w:after="160" w:line="360" w:lineRule="auto"/>
        <w:jc w:val="both"/>
        <w:rPr>
          <w:rFonts w:ascii="Times New Roman" w:hAnsi="Times New Roman" w:cs="Times New Roman"/>
          <w:b/>
          <w:bCs/>
          <w:color w:val="auto"/>
          <w:sz w:val="24"/>
          <w:szCs w:val="24"/>
          <w:u w:color="000000"/>
          <w:lang w:val="en-US"/>
        </w:rPr>
      </w:pPr>
    </w:p>
    <w:p w14:paraId="2994F6C6" w14:textId="748157B9" w:rsidR="002D1BE2" w:rsidRPr="009C4C27" w:rsidRDefault="002D1BE2" w:rsidP="009C4C27">
      <w:pPr>
        <w:pStyle w:val="Default"/>
        <w:suppressAutoHyphens/>
        <w:spacing w:before="0" w:after="298" w:line="360" w:lineRule="auto"/>
        <w:jc w:val="both"/>
        <w:rPr>
          <w:rFonts w:ascii="Times New Roman" w:eastAsia="Times New Roman" w:hAnsi="Times New Roman" w:cs="Times New Roman"/>
          <w:b/>
          <w:bCs/>
          <w:sz w:val="24"/>
          <w:szCs w:val="24"/>
        </w:rPr>
      </w:pPr>
      <w:r w:rsidRPr="009C4C27">
        <w:rPr>
          <w:rFonts w:ascii="Times New Roman" w:eastAsia="Times New Roman" w:hAnsi="Times New Roman" w:cs="Times New Roman"/>
          <w:b/>
          <w:bCs/>
          <w:sz w:val="24"/>
          <w:szCs w:val="24"/>
        </w:rPr>
        <w:t xml:space="preserve">Appendix </w:t>
      </w:r>
      <w:r w:rsidR="00EF491D" w:rsidRPr="009C4C27">
        <w:rPr>
          <w:rFonts w:ascii="Times New Roman" w:eastAsia="Times New Roman" w:hAnsi="Times New Roman" w:cs="Times New Roman"/>
          <w:b/>
          <w:bCs/>
          <w:sz w:val="24"/>
          <w:szCs w:val="24"/>
        </w:rPr>
        <w:t xml:space="preserve">3A: </w:t>
      </w:r>
      <w:r w:rsidRPr="009C4C27">
        <w:rPr>
          <w:rFonts w:ascii="Times New Roman" w:eastAsia="Times New Roman" w:hAnsi="Times New Roman" w:cs="Times New Roman"/>
          <w:b/>
          <w:bCs/>
          <w:sz w:val="24"/>
          <w:szCs w:val="24"/>
        </w:rPr>
        <w:t>Budget allocation: Information to a</w:t>
      </w:r>
      <w:r w:rsidRPr="009C4C27">
        <w:rPr>
          <w:rFonts w:ascii="Times New Roman" w:hAnsi="Times New Roman" w:cs="Times New Roman"/>
          <w:b/>
          <w:bCs/>
          <w:sz w:val="24"/>
          <w:szCs w:val="24"/>
          <w:lang w:val="en-US"/>
        </w:rPr>
        <w:t>dd value and clarify SMART Objectives and Financial Plan)</w:t>
      </w:r>
    </w:p>
    <w:p w14:paraId="52CBCDA0" w14:textId="77777777" w:rsidR="002D1BE2" w:rsidRPr="009C4C27" w:rsidRDefault="002D1BE2" w:rsidP="009C4C27">
      <w:pPr>
        <w:pStyle w:val="Default"/>
        <w:suppressAutoHyphens/>
        <w:spacing w:before="0" w:after="240" w:line="360" w:lineRule="auto"/>
        <w:jc w:val="both"/>
        <w:rPr>
          <w:rFonts w:ascii="Times New Roman" w:eastAsia="Times New Roman" w:hAnsi="Times New Roman" w:cs="Times New Roman"/>
          <w:sz w:val="24"/>
          <w:szCs w:val="24"/>
        </w:rPr>
      </w:pPr>
      <w:r w:rsidRPr="009C4C27">
        <w:rPr>
          <w:rFonts w:ascii="Times New Roman" w:hAnsi="Times New Roman" w:cs="Times New Roman"/>
          <w:sz w:val="24"/>
          <w:szCs w:val="24"/>
          <w:lang w:val="en-US"/>
        </w:rPr>
        <w:t>The financial investment plan is explicitly aligned with HSBC</w:t>
      </w:r>
      <w:r w:rsidRPr="009C4C27">
        <w:rPr>
          <w:rFonts w:ascii="Times New Roman" w:hAnsi="Times New Roman" w:cs="Times New Roman"/>
          <w:sz w:val="24"/>
          <w:szCs w:val="24"/>
          <w:rtl/>
        </w:rPr>
        <w:t>’</w:t>
      </w:r>
      <w:r w:rsidRPr="009C4C27">
        <w:rPr>
          <w:rFonts w:ascii="Times New Roman" w:hAnsi="Times New Roman" w:cs="Times New Roman"/>
          <w:sz w:val="24"/>
          <w:szCs w:val="24"/>
          <w:lang w:val="en-US"/>
        </w:rPr>
        <w:t xml:space="preserve">s SMART objectives to ensure strategic coherence and measurable outcomes (HSBC Holdings plc, 2023). Investment in AI and automation directly supports the objective of reducing operational costs by 25% within five years, while simultaneously enhancing customer satisfaction through </w:t>
      </w:r>
      <w:proofErr w:type="spellStart"/>
      <w:r w:rsidRPr="009C4C27">
        <w:rPr>
          <w:rFonts w:ascii="Times New Roman" w:hAnsi="Times New Roman" w:cs="Times New Roman"/>
          <w:sz w:val="24"/>
          <w:szCs w:val="24"/>
          <w:lang w:val="en-US"/>
        </w:rPr>
        <w:t>personalised</w:t>
      </w:r>
      <w:proofErr w:type="spellEnd"/>
      <w:r w:rsidRPr="009C4C27">
        <w:rPr>
          <w:rFonts w:ascii="Times New Roman" w:hAnsi="Times New Roman" w:cs="Times New Roman"/>
          <w:sz w:val="24"/>
          <w:szCs w:val="24"/>
          <w:lang w:val="en-US"/>
        </w:rPr>
        <w:t xml:space="preserve"> and responsive digital services (McKinsey &amp; Company, 2023; Deloitte, 2020). Cybersecurity funding is aligned with the objective of reducing cyber incidents and fraud-related losses by 30% within three years, reinforcing customer trust, regulatory compliance, and </w:t>
      </w:r>
      <w:proofErr w:type="spellStart"/>
      <w:r w:rsidRPr="009C4C27">
        <w:rPr>
          <w:rFonts w:ascii="Times New Roman" w:hAnsi="Times New Roman" w:cs="Times New Roman"/>
          <w:sz w:val="24"/>
          <w:szCs w:val="24"/>
          <w:lang w:val="en-US"/>
        </w:rPr>
        <w:t>organisational</w:t>
      </w:r>
      <w:proofErr w:type="spellEnd"/>
      <w:r w:rsidRPr="009C4C27">
        <w:rPr>
          <w:rFonts w:ascii="Times New Roman" w:hAnsi="Times New Roman" w:cs="Times New Roman"/>
          <w:sz w:val="24"/>
          <w:szCs w:val="24"/>
          <w:lang w:val="en-US"/>
        </w:rPr>
        <w:t xml:space="preserve"> reputational resilience (World Economic Forum, 2021; Frost, 2022). Expenditure on legacy IT </w:t>
      </w:r>
      <w:proofErr w:type="spellStart"/>
      <w:r w:rsidRPr="009C4C27">
        <w:rPr>
          <w:rFonts w:ascii="Times New Roman" w:hAnsi="Times New Roman" w:cs="Times New Roman"/>
          <w:sz w:val="24"/>
          <w:szCs w:val="24"/>
          <w:lang w:val="en-US"/>
        </w:rPr>
        <w:t>modernisation</w:t>
      </w:r>
      <w:proofErr w:type="spellEnd"/>
      <w:r w:rsidRPr="009C4C27">
        <w:rPr>
          <w:rFonts w:ascii="Times New Roman" w:hAnsi="Times New Roman" w:cs="Times New Roman"/>
          <w:sz w:val="24"/>
          <w:szCs w:val="24"/>
          <w:lang w:val="en-US"/>
        </w:rPr>
        <w:t xml:space="preserve"> underpins both cost efficiency and market competitiveness by enabling system interoperability and accelerating digital product deployment (Teece, 2007; Accenture, 2021). Workforce upskilling investment supports customer satisfaction and digital market share growth by ensuring employees possess the digital capabilities required to adopt and </w:t>
      </w:r>
      <w:proofErr w:type="spellStart"/>
      <w:r w:rsidRPr="009C4C27">
        <w:rPr>
          <w:rFonts w:ascii="Times New Roman" w:hAnsi="Times New Roman" w:cs="Times New Roman"/>
          <w:sz w:val="24"/>
          <w:szCs w:val="24"/>
          <w:lang w:val="en-US"/>
        </w:rPr>
        <w:t>optimise</w:t>
      </w:r>
      <w:proofErr w:type="spellEnd"/>
      <w:r w:rsidRPr="009C4C27">
        <w:rPr>
          <w:rFonts w:ascii="Times New Roman" w:hAnsi="Times New Roman" w:cs="Times New Roman"/>
          <w:sz w:val="24"/>
          <w:szCs w:val="24"/>
          <w:lang w:val="en-US"/>
        </w:rPr>
        <w:t xml:space="preserve"> new technologies (Barney, 1991; KPMG, 2021). Finally, funding for digital product development is directly linked to objectives targeting increased digital market share and improved profit margins, supporting both differentiation and long-term value creation (Porter, 1985; EY, 2022). By linking each budget allocation to specific SMART objectives and performance indicators, HSBC ensures that financial resources are strategically deployed, measurable, and aligned with sustainable competitive advantage (Barney, 1991; HSBC Holdings plc, 2023).</w:t>
      </w:r>
    </w:p>
    <w:p w14:paraId="20990657" w14:textId="77777777" w:rsidR="002D1BE2" w:rsidRPr="009C4C27" w:rsidRDefault="002D1BE2" w:rsidP="009C4C27">
      <w:pPr>
        <w:pStyle w:val="Default"/>
        <w:suppressAutoHyphens/>
        <w:spacing w:before="0" w:after="160" w:line="360" w:lineRule="auto"/>
        <w:jc w:val="both"/>
        <w:rPr>
          <w:rFonts w:ascii="Times New Roman" w:hAnsi="Times New Roman" w:cs="Times New Roman"/>
          <w:b/>
          <w:bCs/>
          <w:color w:val="auto"/>
          <w:sz w:val="24"/>
          <w:szCs w:val="24"/>
          <w:u w:color="000000"/>
          <w:lang w:val="en-US"/>
        </w:rPr>
      </w:pPr>
    </w:p>
    <w:sectPr w:rsidR="002D1BE2" w:rsidRPr="009C4C27">
      <w:footerReference w:type="default" r:id="rId1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6DD9A" w14:textId="77777777" w:rsidR="006A3861" w:rsidRDefault="006A3861">
      <w:r>
        <w:separator/>
      </w:r>
    </w:p>
  </w:endnote>
  <w:endnote w:type="continuationSeparator" w:id="0">
    <w:p w14:paraId="320B2E4E" w14:textId="77777777" w:rsidR="006A3861" w:rsidRDefault="006A3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Helvetica">
    <w:panose1 w:val="020B0604020202020204"/>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255803"/>
      <w:docPartObj>
        <w:docPartGallery w:val="Page Numbers (Bottom of Page)"/>
        <w:docPartUnique/>
      </w:docPartObj>
    </w:sdtPr>
    <w:sdtContent>
      <w:p w14:paraId="68775D6C" w14:textId="2A0347EF" w:rsidR="00006B8E" w:rsidRDefault="00006B8E">
        <w:pPr>
          <w:pStyle w:val="Footer"/>
        </w:pPr>
        <w:r>
          <w:fldChar w:fldCharType="begin"/>
        </w:r>
        <w:r>
          <w:instrText>PAGE   \* MERGEFORMAT</w:instrText>
        </w:r>
        <w:r>
          <w:fldChar w:fldCharType="separate"/>
        </w:r>
        <w:r>
          <w:rPr>
            <w:lang w:val="en-GB"/>
          </w:rPr>
          <w:t>2</w:t>
        </w:r>
        <w:r>
          <w:fldChar w:fldCharType="end"/>
        </w:r>
      </w:p>
    </w:sdtContent>
  </w:sdt>
  <w:p w14:paraId="27A935EC" w14:textId="77777777" w:rsidR="000058FC" w:rsidRDefault="000058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8A907" w14:textId="77777777" w:rsidR="006A3861" w:rsidRDefault="006A3861">
      <w:r>
        <w:separator/>
      </w:r>
    </w:p>
  </w:footnote>
  <w:footnote w:type="continuationSeparator" w:id="0">
    <w:p w14:paraId="6998EEE3" w14:textId="77777777" w:rsidR="006A3861" w:rsidRDefault="006A38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2089E"/>
    <w:multiLevelType w:val="hybridMultilevel"/>
    <w:tmpl w:val="84B6C9FC"/>
    <w:styleLink w:val="Dash0"/>
    <w:lvl w:ilvl="0" w:tplc="5F00E028">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00BA36B4">
      <w:start w:val="1"/>
      <w:numFmt w:val="bullet"/>
      <w:lvlText w:val="◦"/>
      <w:lvlJc w:val="left"/>
      <w:pPr>
        <w:ind w:left="14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2" w:tplc="23BC2606">
      <w:start w:val="1"/>
      <w:numFmt w:val="bullet"/>
      <w:lvlText w:val="◦"/>
      <w:lvlJc w:val="left"/>
      <w:pPr>
        <w:ind w:left="21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3" w:tplc="23A4C2F6">
      <w:start w:val="1"/>
      <w:numFmt w:val="bullet"/>
      <w:lvlText w:val="◦"/>
      <w:lvlJc w:val="left"/>
      <w:pPr>
        <w:ind w:left="28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4" w:tplc="EC8683D8">
      <w:start w:val="1"/>
      <w:numFmt w:val="bullet"/>
      <w:lvlText w:val="◦"/>
      <w:lvlJc w:val="left"/>
      <w:pPr>
        <w:ind w:left="360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5" w:tplc="644C2F3A">
      <w:start w:val="1"/>
      <w:numFmt w:val="bullet"/>
      <w:lvlText w:val="◦"/>
      <w:lvlJc w:val="left"/>
      <w:pPr>
        <w:ind w:left="43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6" w:tplc="1BB20152">
      <w:start w:val="1"/>
      <w:numFmt w:val="bullet"/>
      <w:lvlText w:val="◦"/>
      <w:lvlJc w:val="left"/>
      <w:pPr>
        <w:ind w:left="50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7" w:tplc="E2D00550">
      <w:start w:val="1"/>
      <w:numFmt w:val="bullet"/>
      <w:lvlText w:val="◦"/>
      <w:lvlJc w:val="left"/>
      <w:pPr>
        <w:ind w:left="57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8" w:tplc="279A9596">
      <w:start w:val="1"/>
      <w:numFmt w:val="bullet"/>
      <w:lvlText w:val="◦"/>
      <w:lvlJc w:val="left"/>
      <w:pPr>
        <w:ind w:left="64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abstractNum>
  <w:abstractNum w:abstractNumId="1" w15:restartNumberingAfterBreak="0">
    <w:nsid w:val="1C4C39A3"/>
    <w:multiLevelType w:val="hybridMultilevel"/>
    <w:tmpl w:val="E0408BFA"/>
    <w:lvl w:ilvl="0" w:tplc="A0ECF520">
      <w:start w:val="1"/>
      <w:numFmt w:val="bullet"/>
      <w:lvlText w:val="•"/>
      <w:lvlJc w:val="left"/>
      <w:pPr>
        <w:ind w:left="220" w:hanging="2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8066606C">
      <w:start w:val="1"/>
      <w:numFmt w:val="bullet"/>
      <w:lvlText w:val="•"/>
      <w:lvlJc w:val="left"/>
      <w:pPr>
        <w:ind w:left="40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2" w:tplc="83D0373E">
      <w:start w:val="1"/>
      <w:numFmt w:val="bullet"/>
      <w:lvlText w:val="•"/>
      <w:lvlJc w:val="left"/>
      <w:pPr>
        <w:ind w:left="58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3" w:tplc="924CE73C">
      <w:start w:val="1"/>
      <w:numFmt w:val="bullet"/>
      <w:lvlText w:val="•"/>
      <w:lvlJc w:val="left"/>
      <w:pPr>
        <w:ind w:left="76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4" w:tplc="AF26E1BA">
      <w:start w:val="1"/>
      <w:numFmt w:val="bullet"/>
      <w:lvlText w:val="•"/>
      <w:lvlJc w:val="left"/>
      <w:pPr>
        <w:ind w:left="94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5" w:tplc="17824518">
      <w:start w:val="1"/>
      <w:numFmt w:val="bullet"/>
      <w:lvlText w:val="•"/>
      <w:lvlJc w:val="left"/>
      <w:pPr>
        <w:ind w:left="112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6" w:tplc="16CE297E">
      <w:start w:val="1"/>
      <w:numFmt w:val="bullet"/>
      <w:lvlText w:val="•"/>
      <w:lvlJc w:val="left"/>
      <w:pPr>
        <w:ind w:left="130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7" w:tplc="0A56C3E6">
      <w:start w:val="1"/>
      <w:numFmt w:val="bullet"/>
      <w:lvlText w:val="•"/>
      <w:lvlJc w:val="left"/>
      <w:pPr>
        <w:ind w:left="148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8" w:tplc="CA1C43E8">
      <w:start w:val="1"/>
      <w:numFmt w:val="bullet"/>
      <w:lvlText w:val="•"/>
      <w:lvlJc w:val="left"/>
      <w:pPr>
        <w:ind w:left="166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1EDC037E"/>
    <w:multiLevelType w:val="hybridMultilevel"/>
    <w:tmpl w:val="B5B0D1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7A58C3"/>
    <w:multiLevelType w:val="hybridMultilevel"/>
    <w:tmpl w:val="D5AA6A5A"/>
    <w:styleLink w:val="Numbered"/>
    <w:lvl w:ilvl="0" w:tplc="6DA0EA72">
      <w:start w:val="1"/>
      <w:numFmt w:val="decimal"/>
      <w:lvlText w:val="%1."/>
      <w:lvlJc w:val="left"/>
      <w:pPr>
        <w:ind w:left="7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BEB6E2D2">
      <w:start w:val="1"/>
      <w:numFmt w:val="decimal"/>
      <w:lvlText w:val="%2."/>
      <w:lvlJc w:val="left"/>
      <w:pPr>
        <w:ind w:left="9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E2C4468">
      <w:start w:val="1"/>
      <w:numFmt w:val="decimal"/>
      <w:lvlText w:val="%3."/>
      <w:lvlJc w:val="left"/>
      <w:pPr>
        <w:ind w:left="11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98324270">
      <w:start w:val="1"/>
      <w:numFmt w:val="decimal"/>
      <w:lvlText w:val="%4."/>
      <w:lvlJc w:val="left"/>
      <w:pPr>
        <w:ind w:left="13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F4CF148">
      <w:start w:val="1"/>
      <w:numFmt w:val="decimal"/>
      <w:lvlText w:val="%5."/>
      <w:lvlJc w:val="left"/>
      <w:pPr>
        <w:ind w:left="160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78E20EE">
      <w:start w:val="1"/>
      <w:numFmt w:val="decimal"/>
      <w:lvlText w:val="%6."/>
      <w:lvlJc w:val="left"/>
      <w:pPr>
        <w:ind w:left="18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A62C940">
      <w:start w:val="1"/>
      <w:numFmt w:val="decimal"/>
      <w:lvlText w:val="%7."/>
      <w:lvlJc w:val="left"/>
      <w:pPr>
        <w:ind w:left="20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16ECD444">
      <w:start w:val="1"/>
      <w:numFmt w:val="decimal"/>
      <w:lvlText w:val="%8."/>
      <w:lvlJc w:val="left"/>
      <w:pPr>
        <w:ind w:left="22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2585274">
      <w:start w:val="1"/>
      <w:numFmt w:val="decimal"/>
      <w:lvlText w:val="%9."/>
      <w:lvlJc w:val="left"/>
      <w:pPr>
        <w:ind w:left="24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4447EAE"/>
    <w:multiLevelType w:val="hybridMultilevel"/>
    <w:tmpl w:val="7AE2BBC6"/>
    <w:lvl w:ilvl="0" w:tplc="1F102DFE">
      <w:start w:val="1"/>
      <w:numFmt w:val="bullet"/>
      <w:lvlText w:val="•"/>
      <w:lvlJc w:val="left"/>
      <w:pPr>
        <w:ind w:left="220" w:hanging="2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B01248D8">
      <w:start w:val="1"/>
      <w:numFmt w:val="bullet"/>
      <w:lvlText w:val="•"/>
      <w:lvlJc w:val="left"/>
      <w:pPr>
        <w:ind w:left="40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2" w:tplc="0A303942">
      <w:start w:val="1"/>
      <w:numFmt w:val="bullet"/>
      <w:lvlText w:val="•"/>
      <w:lvlJc w:val="left"/>
      <w:pPr>
        <w:ind w:left="58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3" w:tplc="1430F2C8">
      <w:start w:val="1"/>
      <w:numFmt w:val="bullet"/>
      <w:lvlText w:val="•"/>
      <w:lvlJc w:val="left"/>
      <w:pPr>
        <w:ind w:left="76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4" w:tplc="9D8468DE">
      <w:start w:val="1"/>
      <w:numFmt w:val="bullet"/>
      <w:lvlText w:val="•"/>
      <w:lvlJc w:val="left"/>
      <w:pPr>
        <w:ind w:left="94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5" w:tplc="9EC6C156">
      <w:start w:val="1"/>
      <w:numFmt w:val="bullet"/>
      <w:lvlText w:val="•"/>
      <w:lvlJc w:val="left"/>
      <w:pPr>
        <w:ind w:left="112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6" w:tplc="AA32AE10">
      <w:start w:val="1"/>
      <w:numFmt w:val="bullet"/>
      <w:lvlText w:val="•"/>
      <w:lvlJc w:val="left"/>
      <w:pPr>
        <w:ind w:left="130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7" w:tplc="41002410">
      <w:start w:val="1"/>
      <w:numFmt w:val="bullet"/>
      <w:lvlText w:val="•"/>
      <w:lvlJc w:val="left"/>
      <w:pPr>
        <w:ind w:left="148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8" w:tplc="D570AEBE">
      <w:start w:val="1"/>
      <w:numFmt w:val="bullet"/>
      <w:lvlText w:val="•"/>
      <w:lvlJc w:val="left"/>
      <w:pPr>
        <w:ind w:left="166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5" w15:restartNumberingAfterBreak="0">
    <w:nsid w:val="310E1810"/>
    <w:multiLevelType w:val="hybridMultilevel"/>
    <w:tmpl w:val="9FA6234E"/>
    <w:styleLink w:val="Dash"/>
    <w:lvl w:ilvl="0" w:tplc="BE08F0A4">
      <w:start w:val="1"/>
      <w:numFmt w:val="decimal"/>
      <w:lvlText w:val="%1."/>
      <w:lvlJc w:val="left"/>
      <w:pPr>
        <w:ind w:left="7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1" w:tplc="6A62D21E">
      <w:start w:val="1"/>
      <w:numFmt w:val="decimal"/>
      <w:lvlText w:val="%2."/>
      <w:lvlJc w:val="left"/>
      <w:pPr>
        <w:ind w:left="12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2" w:tplc="694ABA10">
      <w:start w:val="1"/>
      <w:numFmt w:val="decimal"/>
      <w:lvlText w:val="%3."/>
      <w:lvlJc w:val="left"/>
      <w:pPr>
        <w:ind w:left="19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3" w:tplc="76CC018A">
      <w:start w:val="1"/>
      <w:numFmt w:val="decimal"/>
      <w:lvlText w:val="%4."/>
      <w:lvlJc w:val="left"/>
      <w:pPr>
        <w:ind w:left="26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4" w:tplc="7108A80C">
      <w:start w:val="1"/>
      <w:numFmt w:val="decimal"/>
      <w:lvlText w:val="%5."/>
      <w:lvlJc w:val="left"/>
      <w:pPr>
        <w:ind w:left="33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5" w:tplc="7B723CF2">
      <w:start w:val="1"/>
      <w:numFmt w:val="decimal"/>
      <w:lvlText w:val="%6."/>
      <w:lvlJc w:val="left"/>
      <w:pPr>
        <w:ind w:left="410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6" w:tplc="9496A140">
      <w:start w:val="1"/>
      <w:numFmt w:val="decimal"/>
      <w:lvlText w:val="%7."/>
      <w:lvlJc w:val="left"/>
      <w:pPr>
        <w:ind w:left="48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7" w:tplc="AC0844FE">
      <w:start w:val="1"/>
      <w:numFmt w:val="decimal"/>
      <w:lvlText w:val="%8."/>
      <w:lvlJc w:val="left"/>
      <w:pPr>
        <w:ind w:left="55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lvl w:ilvl="8" w:tplc="4D8C5342">
      <w:start w:val="1"/>
      <w:numFmt w:val="decimal"/>
      <w:lvlText w:val="%9."/>
      <w:lvlJc w:val="left"/>
      <w:pPr>
        <w:ind w:left="62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4"/>
        <w:sz w:val="29"/>
        <w:szCs w:val="29"/>
        <w:highlight w:val="none"/>
        <w:vertAlign w:val="baseline"/>
      </w:rPr>
    </w:lvl>
  </w:abstractNum>
  <w:abstractNum w:abstractNumId="6" w15:restartNumberingAfterBreak="0">
    <w:nsid w:val="312F242E"/>
    <w:multiLevelType w:val="hybridMultilevel"/>
    <w:tmpl w:val="85A0AD16"/>
    <w:lvl w:ilvl="0" w:tplc="BBF2E18E">
      <w:start w:val="1"/>
      <w:numFmt w:val="bullet"/>
      <w:lvlText w:val="•"/>
      <w:lvlJc w:val="left"/>
      <w:pPr>
        <w:ind w:left="220" w:hanging="2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BFF6B84A">
      <w:start w:val="1"/>
      <w:numFmt w:val="bullet"/>
      <w:lvlText w:val="•"/>
      <w:lvlJc w:val="left"/>
      <w:pPr>
        <w:ind w:left="40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2" w:tplc="7B8AFF06">
      <w:start w:val="1"/>
      <w:numFmt w:val="bullet"/>
      <w:lvlText w:val="•"/>
      <w:lvlJc w:val="left"/>
      <w:pPr>
        <w:ind w:left="58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3" w:tplc="465E083E">
      <w:start w:val="1"/>
      <w:numFmt w:val="bullet"/>
      <w:lvlText w:val="•"/>
      <w:lvlJc w:val="left"/>
      <w:pPr>
        <w:ind w:left="76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4" w:tplc="7F8EEC4E">
      <w:start w:val="1"/>
      <w:numFmt w:val="bullet"/>
      <w:lvlText w:val="•"/>
      <w:lvlJc w:val="left"/>
      <w:pPr>
        <w:ind w:left="94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5" w:tplc="019AE570">
      <w:start w:val="1"/>
      <w:numFmt w:val="bullet"/>
      <w:lvlText w:val="•"/>
      <w:lvlJc w:val="left"/>
      <w:pPr>
        <w:ind w:left="112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6" w:tplc="B4EAE9F8">
      <w:start w:val="1"/>
      <w:numFmt w:val="bullet"/>
      <w:lvlText w:val="•"/>
      <w:lvlJc w:val="left"/>
      <w:pPr>
        <w:ind w:left="130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7" w:tplc="979CE1D6">
      <w:start w:val="1"/>
      <w:numFmt w:val="bullet"/>
      <w:lvlText w:val="•"/>
      <w:lvlJc w:val="left"/>
      <w:pPr>
        <w:ind w:left="148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8" w:tplc="6B96BF84">
      <w:start w:val="1"/>
      <w:numFmt w:val="bullet"/>
      <w:lvlText w:val="•"/>
      <w:lvlJc w:val="left"/>
      <w:pPr>
        <w:ind w:left="166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7" w15:restartNumberingAfterBreak="0">
    <w:nsid w:val="33631AA5"/>
    <w:multiLevelType w:val="multilevel"/>
    <w:tmpl w:val="BC28F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113F54"/>
    <w:multiLevelType w:val="hybridMultilevel"/>
    <w:tmpl w:val="7C88F5B6"/>
    <w:lvl w:ilvl="0" w:tplc="E7BEEA32">
      <w:start w:val="1"/>
      <w:numFmt w:val="bullet"/>
      <w:lvlText w:val="•"/>
      <w:lvlJc w:val="left"/>
      <w:pPr>
        <w:ind w:left="220" w:hanging="2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156E65F6">
      <w:start w:val="1"/>
      <w:numFmt w:val="bullet"/>
      <w:lvlText w:val="•"/>
      <w:lvlJc w:val="left"/>
      <w:pPr>
        <w:ind w:left="40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2" w:tplc="04D6E0D4">
      <w:start w:val="1"/>
      <w:numFmt w:val="bullet"/>
      <w:lvlText w:val="•"/>
      <w:lvlJc w:val="left"/>
      <w:pPr>
        <w:ind w:left="58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3" w:tplc="C8D8B224">
      <w:start w:val="1"/>
      <w:numFmt w:val="bullet"/>
      <w:lvlText w:val="•"/>
      <w:lvlJc w:val="left"/>
      <w:pPr>
        <w:ind w:left="76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4" w:tplc="AB2085AE">
      <w:start w:val="1"/>
      <w:numFmt w:val="bullet"/>
      <w:lvlText w:val="•"/>
      <w:lvlJc w:val="left"/>
      <w:pPr>
        <w:ind w:left="94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5" w:tplc="E37ED44E">
      <w:start w:val="1"/>
      <w:numFmt w:val="bullet"/>
      <w:lvlText w:val="•"/>
      <w:lvlJc w:val="left"/>
      <w:pPr>
        <w:ind w:left="112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6" w:tplc="5FA49DB4">
      <w:start w:val="1"/>
      <w:numFmt w:val="bullet"/>
      <w:lvlText w:val="•"/>
      <w:lvlJc w:val="left"/>
      <w:pPr>
        <w:ind w:left="130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7" w:tplc="7E2E23C4">
      <w:start w:val="1"/>
      <w:numFmt w:val="bullet"/>
      <w:lvlText w:val="•"/>
      <w:lvlJc w:val="left"/>
      <w:pPr>
        <w:ind w:left="148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lvl w:ilvl="8" w:tplc="7102D382">
      <w:start w:val="1"/>
      <w:numFmt w:val="bullet"/>
      <w:lvlText w:val="•"/>
      <w:lvlJc w:val="left"/>
      <w:pPr>
        <w:ind w:left="1660" w:hanging="220"/>
      </w:pPr>
      <w:rPr>
        <w:rFonts w:ascii="Arial" w:eastAsia="Arial" w:hAnsi="Arial" w:cs="Arial"/>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9" w15:restartNumberingAfterBreak="0">
    <w:nsid w:val="3BE50BA7"/>
    <w:multiLevelType w:val="hybridMultilevel"/>
    <w:tmpl w:val="9FA6234E"/>
    <w:numStyleLink w:val="Dash"/>
  </w:abstractNum>
  <w:abstractNum w:abstractNumId="10" w15:restartNumberingAfterBreak="0">
    <w:nsid w:val="5F8D679D"/>
    <w:multiLevelType w:val="hybridMultilevel"/>
    <w:tmpl w:val="84B6C9FC"/>
    <w:numStyleLink w:val="Dash0"/>
  </w:abstractNum>
  <w:abstractNum w:abstractNumId="11" w15:restartNumberingAfterBreak="0">
    <w:nsid w:val="60E50205"/>
    <w:multiLevelType w:val="hybridMultilevel"/>
    <w:tmpl w:val="52E22D94"/>
    <w:styleLink w:val="Bullet"/>
    <w:lvl w:ilvl="0" w:tplc="D0CEF2EE">
      <w:start w:val="1"/>
      <w:numFmt w:val="bullet"/>
      <w:lvlText w:val="•"/>
      <w:lvlJc w:val="left"/>
      <w:pPr>
        <w:ind w:left="7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04CE2B8">
      <w:start w:val="1"/>
      <w:numFmt w:val="bullet"/>
      <w:lvlText w:val="•"/>
      <w:lvlJc w:val="left"/>
      <w:pPr>
        <w:ind w:left="9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2" w:tplc="38AECF0E">
      <w:start w:val="1"/>
      <w:numFmt w:val="bullet"/>
      <w:lvlText w:val="•"/>
      <w:lvlJc w:val="left"/>
      <w:pPr>
        <w:ind w:left="11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3" w:tplc="FFC0F222">
      <w:start w:val="1"/>
      <w:numFmt w:val="bullet"/>
      <w:lvlText w:val="•"/>
      <w:lvlJc w:val="left"/>
      <w:pPr>
        <w:ind w:left="13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4" w:tplc="92068542">
      <w:start w:val="1"/>
      <w:numFmt w:val="bullet"/>
      <w:lvlText w:val="•"/>
      <w:lvlJc w:val="left"/>
      <w:pPr>
        <w:ind w:left="160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5" w:tplc="C6623DDC">
      <w:start w:val="1"/>
      <w:numFmt w:val="bullet"/>
      <w:lvlText w:val="•"/>
      <w:lvlJc w:val="left"/>
      <w:pPr>
        <w:ind w:left="18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6" w:tplc="9B7EA046">
      <w:start w:val="1"/>
      <w:numFmt w:val="bullet"/>
      <w:lvlText w:val="•"/>
      <w:lvlJc w:val="left"/>
      <w:pPr>
        <w:ind w:left="20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7" w:tplc="12B87D6E">
      <w:start w:val="1"/>
      <w:numFmt w:val="bullet"/>
      <w:lvlText w:val="•"/>
      <w:lvlJc w:val="left"/>
      <w:pPr>
        <w:ind w:left="22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lvl w:ilvl="8" w:tplc="4F62BD02">
      <w:start w:val="1"/>
      <w:numFmt w:val="bullet"/>
      <w:lvlText w:val="•"/>
      <w:lvlJc w:val="left"/>
      <w:pPr>
        <w:ind w:left="24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12" w15:restartNumberingAfterBreak="0">
    <w:nsid w:val="6C9724A4"/>
    <w:multiLevelType w:val="multilevel"/>
    <w:tmpl w:val="BF5A9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1F730B"/>
    <w:multiLevelType w:val="hybridMultilevel"/>
    <w:tmpl w:val="52E22D94"/>
    <w:numStyleLink w:val="Bullet"/>
  </w:abstractNum>
  <w:abstractNum w:abstractNumId="14" w15:restartNumberingAfterBreak="0">
    <w:nsid w:val="70DE4817"/>
    <w:multiLevelType w:val="multilevel"/>
    <w:tmpl w:val="D2662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2C559A"/>
    <w:multiLevelType w:val="hybridMultilevel"/>
    <w:tmpl w:val="D5AA6A5A"/>
    <w:numStyleLink w:val="Numbered"/>
  </w:abstractNum>
  <w:abstractNum w:abstractNumId="16" w15:restartNumberingAfterBreak="0">
    <w:nsid w:val="7EF26053"/>
    <w:multiLevelType w:val="hybridMultilevel"/>
    <w:tmpl w:val="F808FB9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103875">
    <w:abstractNumId w:val="5"/>
  </w:num>
  <w:num w:numId="2" w16cid:durableId="1364552998">
    <w:abstractNumId w:val="9"/>
  </w:num>
  <w:num w:numId="3" w16cid:durableId="910508528">
    <w:abstractNumId w:val="0"/>
  </w:num>
  <w:num w:numId="4" w16cid:durableId="1336882244">
    <w:abstractNumId w:val="10"/>
  </w:num>
  <w:num w:numId="5" w16cid:durableId="2027366321">
    <w:abstractNumId w:val="11"/>
  </w:num>
  <w:num w:numId="6" w16cid:durableId="416292581">
    <w:abstractNumId w:val="13"/>
  </w:num>
  <w:num w:numId="7" w16cid:durableId="470172953">
    <w:abstractNumId w:val="3"/>
  </w:num>
  <w:num w:numId="8" w16cid:durableId="1759136989">
    <w:abstractNumId w:val="15"/>
  </w:num>
  <w:num w:numId="9" w16cid:durableId="714744323">
    <w:abstractNumId w:val="16"/>
  </w:num>
  <w:num w:numId="10" w16cid:durableId="1238586734">
    <w:abstractNumId w:val="2"/>
  </w:num>
  <w:num w:numId="11" w16cid:durableId="647856095">
    <w:abstractNumId w:val="14"/>
  </w:num>
  <w:num w:numId="12" w16cid:durableId="1178154753">
    <w:abstractNumId w:val="7"/>
  </w:num>
  <w:num w:numId="13" w16cid:durableId="2038309681">
    <w:abstractNumId w:val="12"/>
  </w:num>
  <w:num w:numId="14" w16cid:durableId="476998680">
    <w:abstractNumId w:val="4"/>
  </w:num>
  <w:num w:numId="15" w16cid:durableId="899824290">
    <w:abstractNumId w:val="8"/>
  </w:num>
  <w:num w:numId="16" w16cid:durableId="233976073">
    <w:abstractNumId w:val="6"/>
  </w:num>
  <w:num w:numId="17" w16cid:durableId="2037999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8FC"/>
    <w:rsid w:val="00001DE5"/>
    <w:rsid w:val="0000499B"/>
    <w:rsid w:val="000058FC"/>
    <w:rsid w:val="00006B8E"/>
    <w:rsid w:val="000178C8"/>
    <w:rsid w:val="00032D98"/>
    <w:rsid w:val="00041004"/>
    <w:rsid w:val="000434A1"/>
    <w:rsid w:val="00044783"/>
    <w:rsid w:val="00045FE7"/>
    <w:rsid w:val="0005313E"/>
    <w:rsid w:val="00061981"/>
    <w:rsid w:val="00062C91"/>
    <w:rsid w:val="000719FA"/>
    <w:rsid w:val="00072C23"/>
    <w:rsid w:val="00081190"/>
    <w:rsid w:val="00083A69"/>
    <w:rsid w:val="00084838"/>
    <w:rsid w:val="00095A4A"/>
    <w:rsid w:val="00096EB1"/>
    <w:rsid w:val="000970DA"/>
    <w:rsid w:val="000A5BA0"/>
    <w:rsid w:val="000A5D1A"/>
    <w:rsid w:val="000B7678"/>
    <w:rsid w:val="000D22F1"/>
    <w:rsid w:val="000E6C90"/>
    <w:rsid w:val="00106492"/>
    <w:rsid w:val="00112040"/>
    <w:rsid w:val="001133AA"/>
    <w:rsid w:val="00114177"/>
    <w:rsid w:val="00120AED"/>
    <w:rsid w:val="00125BF0"/>
    <w:rsid w:val="00131B55"/>
    <w:rsid w:val="00142397"/>
    <w:rsid w:val="00144B00"/>
    <w:rsid w:val="00147609"/>
    <w:rsid w:val="00157324"/>
    <w:rsid w:val="00162128"/>
    <w:rsid w:val="00172A7C"/>
    <w:rsid w:val="001744B4"/>
    <w:rsid w:val="0018183F"/>
    <w:rsid w:val="00187066"/>
    <w:rsid w:val="00190000"/>
    <w:rsid w:val="0019437D"/>
    <w:rsid w:val="001A2FE1"/>
    <w:rsid w:val="001B2116"/>
    <w:rsid w:val="001B54E4"/>
    <w:rsid w:val="001C053C"/>
    <w:rsid w:val="001C245A"/>
    <w:rsid w:val="001C432F"/>
    <w:rsid w:val="001C7C9E"/>
    <w:rsid w:val="001E1BD1"/>
    <w:rsid w:val="001E6BA8"/>
    <w:rsid w:val="001F0524"/>
    <w:rsid w:val="001F0D18"/>
    <w:rsid w:val="001F4F7D"/>
    <w:rsid w:val="001F75B1"/>
    <w:rsid w:val="00211192"/>
    <w:rsid w:val="0022280E"/>
    <w:rsid w:val="002228DE"/>
    <w:rsid w:val="00236537"/>
    <w:rsid w:val="002432DF"/>
    <w:rsid w:val="00245B7B"/>
    <w:rsid w:val="002542FA"/>
    <w:rsid w:val="00265E71"/>
    <w:rsid w:val="0029229A"/>
    <w:rsid w:val="0029504E"/>
    <w:rsid w:val="00296340"/>
    <w:rsid w:val="002B5D4A"/>
    <w:rsid w:val="002C5E8D"/>
    <w:rsid w:val="002D1BE2"/>
    <w:rsid w:val="002D2AA7"/>
    <w:rsid w:val="002D4295"/>
    <w:rsid w:val="002D6992"/>
    <w:rsid w:val="002D7D3B"/>
    <w:rsid w:val="002E03E4"/>
    <w:rsid w:val="002E070E"/>
    <w:rsid w:val="002F0A47"/>
    <w:rsid w:val="00306F41"/>
    <w:rsid w:val="00313F61"/>
    <w:rsid w:val="003225E5"/>
    <w:rsid w:val="00324513"/>
    <w:rsid w:val="00327AF9"/>
    <w:rsid w:val="00333D06"/>
    <w:rsid w:val="0033407A"/>
    <w:rsid w:val="00334F57"/>
    <w:rsid w:val="00341AB9"/>
    <w:rsid w:val="0034442A"/>
    <w:rsid w:val="0034792F"/>
    <w:rsid w:val="003515F3"/>
    <w:rsid w:val="00351C41"/>
    <w:rsid w:val="00374536"/>
    <w:rsid w:val="0038099A"/>
    <w:rsid w:val="00382368"/>
    <w:rsid w:val="00383914"/>
    <w:rsid w:val="00385458"/>
    <w:rsid w:val="003909A6"/>
    <w:rsid w:val="003A02CA"/>
    <w:rsid w:val="003A4804"/>
    <w:rsid w:val="003A7C9A"/>
    <w:rsid w:val="003B1BD1"/>
    <w:rsid w:val="003C5073"/>
    <w:rsid w:val="003C5423"/>
    <w:rsid w:val="003D13F0"/>
    <w:rsid w:val="003D4103"/>
    <w:rsid w:val="003E02BA"/>
    <w:rsid w:val="003E26E2"/>
    <w:rsid w:val="003E329B"/>
    <w:rsid w:val="003E58D1"/>
    <w:rsid w:val="003F7353"/>
    <w:rsid w:val="00401DA1"/>
    <w:rsid w:val="00406F53"/>
    <w:rsid w:val="00413C5B"/>
    <w:rsid w:val="00414798"/>
    <w:rsid w:val="00416E17"/>
    <w:rsid w:val="004246AD"/>
    <w:rsid w:val="004313F1"/>
    <w:rsid w:val="0043234A"/>
    <w:rsid w:val="004346F2"/>
    <w:rsid w:val="00437EC7"/>
    <w:rsid w:val="00453CB0"/>
    <w:rsid w:val="00457F78"/>
    <w:rsid w:val="0046114E"/>
    <w:rsid w:val="00463005"/>
    <w:rsid w:val="004755C1"/>
    <w:rsid w:val="00486FD5"/>
    <w:rsid w:val="0048718B"/>
    <w:rsid w:val="004937B9"/>
    <w:rsid w:val="004A1F0F"/>
    <w:rsid w:val="004A61BA"/>
    <w:rsid w:val="004B0281"/>
    <w:rsid w:val="004B64EF"/>
    <w:rsid w:val="004C0A3B"/>
    <w:rsid w:val="004C11D9"/>
    <w:rsid w:val="004D36F1"/>
    <w:rsid w:val="004E20D2"/>
    <w:rsid w:val="004E3ACC"/>
    <w:rsid w:val="004F6F46"/>
    <w:rsid w:val="00501DD2"/>
    <w:rsid w:val="005073F9"/>
    <w:rsid w:val="00507B9F"/>
    <w:rsid w:val="0051292F"/>
    <w:rsid w:val="00512E43"/>
    <w:rsid w:val="005218C4"/>
    <w:rsid w:val="00522F65"/>
    <w:rsid w:val="00527AB6"/>
    <w:rsid w:val="0053220E"/>
    <w:rsid w:val="005331B5"/>
    <w:rsid w:val="00536514"/>
    <w:rsid w:val="00537007"/>
    <w:rsid w:val="005405D1"/>
    <w:rsid w:val="00546FBD"/>
    <w:rsid w:val="00550FAE"/>
    <w:rsid w:val="00554318"/>
    <w:rsid w:val="005559AD"/>
    <w:rsid w:val="00556939"/>
    <w:rsid w:val="0056231F"/>
    <w:rsid w:val="00565F8C"/>
    <w:rsid w:val="00567E7E"/>
    <w:rsid w:val="00573DD1"/>
    <w:rsid w:val="00574A0E"/>
    <w:rsid w:val="00582615"/>
    <w:rsid w:val="005836D7"/>
    <w:rsid w:val="00586333"/>
    <w:rsid w:val="00586E1D"/>
    <w:rsid w:val="00587F70"/>
    <w:rsid w:val="00590105"/>
    <w:rsid w:val="00595364"/>
    <w:rsid w:val="005953C3"/>
    <w:rsid w:val="00597E52"/>
    <w:rsid w:val="005C4145"/>
    <w:rsid w:val="005C6CD2"/>
    <w:rsid w:val="005E541C"/>
    <w:rsid w:val="005F1F95"/>
    <w:rsid w:val="005F638F"/>
    <w:rsid w:val="005F7497"/>
    <w:rsid w:val="00606399"/>
    <w:rsid w:val="00612808"/>
    <w:rsid w:val="00630A6A"/>
    <w:rsid w:val="00637824"/>
    <w:rsid w:val="00647977"/>
    <w:rsid w:val="00652D41"/>
    <w:rsid w:val="006608B4"/>
    <w:rsid w:val="00662558"/>
    <w:rsid w:val="00665422"/>
    <w:rsid w:val="00666129"/>
    <w:rsid w:val="00673C80"/>
    <w:rsid w:val="00677A4D"/>
    <w:rsid w:val="0068163F"/>
    <w:rsid w:val="00687931"/>
    <w:rsid w:val="00687D4F"/>
    <w:rsid w:val="00693D23"/>
    <w:rsid w:val="006958F2"/>
    <w:rsid w:val="006A3861"/>
    <w:rsid w:val="006B1F52"/>
    <w:rsid w:val="006B70D2"/>
    <w:rsid w:val="006C26DA"/>
    <w:rsid w:val="006C4B23"/>
    <w:rsid w:val="006F068C"/>
    <w:rsid w:val="006F10B0"/>
    <w:rsid w:val="0070664B"/>
    <w:rsid w:val="00706692"/>
    <w:rsid w:val="00710EC1"/>
    <w:rsid w:val="0071590B"/>
    <w:rsid w:val="00722C84"/>
    <w:rsid w:val="00724EF2"/>
    <w:rsid w:val="00730CCF"/>
    <w:rsid w:val="007321BE"/>
    <w:rsid w:val="00741135"/>
    <w:rsid w:val="00743910"/>
    <w:rsid w:val="00746F4C"/>
    <w:rsid w:val="0074744A"/>
    <w:rsid w:val="007541FA"/>
    <w:rsid w:val="0076054A"/>
    <w:rsid w:val="00760D7D"/>
    <w:rsid w:val="007631A6"/>
    <w:rsid w:val="00774464"/>
    <w:rsid w:val="00775876"/>
    <w:rsid w:val="007761B7"/>
    <w:rsid w:val="007808E1"/>
    <w:rsid w:val="00795D96"/>
    <w:rsid w:val="007A0473"/>
    <w:rsid w:val="007B7744"/>
    <w:rsid w:val="007C06EC"/>
    <w:rsid w:val="007C0BFB"/>
    <w:rsid w:val="007C18C4"/>
    <w:rsid w:val="007D01D7"/>
    <w:rsid w:val="007D1581"/>
    <w:rsid w:val="007D3578"/>
    <w:rsid w:val="007E10AE"/>
    <w:rsid w:val="007E379C"/>
    <w:rsid w:val="007E7094"/>
    <w:rsid w:val="007E7C47"/>
    <w:rsid w:val="007F5C33"/>
    <w:rsid w:val="007F7525"/>
    <w:rsid w:val="008030E7"/>
    <w:rsid w:val="008226B6"/>
    <w:rsid w:val="008812E4"/>
    <w:rsid w:val="008900F0"/>
    <w:rsid w:val="00892E4B"/>
    <w:rsid w:val="00893AC0"/>
    <w:rsid w:val="008A1B9D"/>
    <w:rsid w:val="008A373B"/>
    <w:rsid w:val="008C2DE7"/>
    <w:rsid w:val="008C438E"/>
    <w:rsid w:val="008D3A84"/>
    <w:rsid w:val="008E36CB"/>
    <w:rsid w:val="008E3819"/>
    <w:rsid w:val="008E46E4"/>
    <w:rsid w:val="008E4D78"/>
    <w:rsid w:val="008F014A"/>
    <w:rsid w:val="008F3FD0"/>
    <w:rsid w:val="00903537"/>
    <w:rsid w:val="009070E1"/>
    <w:rsid w:val="009071FD"/>
    <w:rsid w:val="009132C9"/>
    <w:rsid w:val="0093285D"/>
    <w:rsid w:val="00934614"/>
    <w:rsid w:val="009362F0"/>
    <w:rsid w:val="00944FD5"/>
    <w:rsid w:val="00952DCD"/>
    <w:rsid w:val="00955A58"/>
    <w:rsid w:val="0096647E"/>
    <w:rsid w:val="00981DC6"/>
    <w:rsid w:val="00987C49"/>
    <w:rsid w:val="009A0E77"/>
    <w:rsid w:val="009A79F6"/>
    <w:rsid w:val="009B2478"/>
    <w:rsid w:val="009B6D3D"/>
    <w:rsid w:val="009C4C27"/>
    <w:rsid w:val="009C6847"/>
    <w:rsid w:val="009C6D93"/>
    <w:rsid w:val="009D0406"/>
    <w:rsid w:val="009D2081"/>
    <w:rsid w:val="009F3F5C"/>
    <w:rsid w:val="00A024BB"/>
    <w:rsid w:val="00A04851"/>
    <w:rsid w:val="00A13150"/>
    <w:rsid w:val="00A205E8"/>
    <w:rsid w:val="00A31F00"/>
    <w:rsid w:val="00A33DEF"/>
    <w:rsid w:val="00A34211"/>
    <w:rsid w:val="00A43AEA"/>
    <w:rsid w:val="00A45E5D"/>
    <w:rsid w:val="00A4627C"/>
    <w:rsid w:val="00A51D11"/>
    <w:rsid w:val="00A53049"/>
    <w:rsid w:val="00A55E90"/>
    <w:rsid w:val="00A61A5F"/>
    <w:rsid w:val="00A7276A"/>
    <w:rsid w:val="00A7368B"/>
    <w:rsid w:val="00A73B48"/>
    <w:rsid w:val="00A7472F"/>
    <w:rsid w:val="00A873E5"/>
    <w:rsid w:val="00AA06C4"/>
    <w:rsid w:val="00AA4BAB"/>
    <w:rsid w:val="00AB02D6"/>
    <w:rsid w:val="00AB6DAA"/>
    <w:rsid w:val="00AC54C1"/>
    <w:rsid w:val="00AC7032"/>
    <w:rsid w:val="00AD5CA1"/>
    <w:rsid w:val="00AD74FE"/>
    <w:rsid w:val="00AE2B25"/>
    <w:rsid w:val="00AE4A40"/>
    <w:rsid w:val="00AF2C93"/>
    <w:rsid w:val="00AF4D7A"/>
    <w:rsid w:val="00AF53E8"/>
    <w:rsid w:val="00AF72C5"/>
    <w:rsid w:val="00B014C9"/>
    <w:rsid w:val="00B01DCE"/>
    <w:rsid w:val="00B043FF"/>
    <w:rsid w:val="00B06D1D"/>
    <w:rsid w:val="00B1764A"/>
    <w:rsid w:val="00B23631"/>
    <w:rsid w:val="00B236F8"/>
    <w:rsid w:val="00B314FA"/>
    <w:rsid w:val="00B330E2"/>
    <w:rsid w:val="00B422BE"/>
    <w:rsid w:val="00B46A18"/>
    <w:rsid w:val="00B47986"/>
    <w:rsid w:val="00B522BB"/>
    <w:rsid w:val="00B57801"/>
    <w:rsid w:val="00B60456"/>
    <w:rsid w:val="00B60DF7"/>
    <w:rsid w:val="00B6741E"/>
    <w:rsid w:val="00B70C4A"/>
    <w:rsid w:val="00B72BF9"/>
    <w:rsid w:val="00B76CA3"/>
    <w:rsid w:val="00B779A3"/>
    <w:rsid w:val="00B87455"/>
    <w:rsid w:val="00B93D9F"/>
    <w:rsid w:val="00B95685"/>
    <w:rsid w:val="00BA475A"/>
    <w:rsid w:val="00BC400D"/>
    <w:rsid w:val="00BC44B3"/>
    <w:rsid w:val="00BC6062"/>
    <w:rsid w:val="00BD315B"/>
    <w:rsid w:val="00BD6367"/>
    <w:rsid w:val="00BD7991"/>
    <w:rsid w:val="00BE71FC"/>
    <w:rsid w:val="00BF00BB"/>
    <w:rsid w:val="00BF06E8"/>
    <w:rsid w:val="00BF3128"/>
    <w:rsid w:val="00C1258F"/>
    <w:rsid w:val="00C14D62"/>
    <w:rsid w:val="00C27679"/>
    <w:rsid w:val="00C32387"/>
    <w:rsid w:val="00C325B1"/>
    <w:rsid w:val="00C37A7E"/>
    <w:rsid w:val="00C4684D"/>
    <w:rsid w:val="00C47709"/>
    <w:rsid w:val="00C54EB1"/>
    <w:rsid w:val="00C74465"/>
    <w:rsid w:val="00C75DA5"/>
    <w:rsid w:val="00C92CD6"/>
    <w:rsid w:val="00C93723"/>
    <w:rsid w:val="00CA032B"/>
    <w:rsid w:val="00CA2CF7"/>
    <w:rsid w:val="00CA2D11"/>
    <w:rsid w:val="00CA4429"/>
    <w:rsid w:val="00CA5F72"/>
    <w:rsid w:val="00CB0D15"/>
    <w:rsid w:val="00CD3BB9"/>
    <w:rsid w:val="00CD3E08"/>
    <w:rsid w:val="00CD41DD"/>
    <w:rsid w:val="00CD42E2"/>
    <w:rsid w:val="00CD5C8B"/>
    <w:rsid w:val="00CE032F"/>
    <w:rsid w:val="00CE1DB8"/>
    <w:rsid w:val="00CE2FE6"/>
    <w:rsid w:val="00CE50F3"/>
    <w:rsid w:val="00CE551C"/>
    <w:rsid w:val="00CF04B0"/>
    <w:rsid w:val="00CF725B"/>
    <w:rsid w:val="00D103A7"/>
    <w:rsid w:val="00D11BF4"/>
    <w:rsid w:val="00D125BD"/>
    <w:rsid w:val="00D13B37"/>
    <w:rsid w:val="00D22D97"/>
    <w:rsid w:val="00D26C75"/>
    <w:rsid w:val="00D30485"/>
    <w:rsid w:val="00D30853"/>
    <w:rsid w:val="00D44C87"/>
    <w:rsid w:val="00D4508B"/>
    <w:rsid w:val="00D4794D"/>
    <w:rsid w:val="00D52C34"/>
    <w:rsid w:val="00D56604"/>
    <w:rsid w:val="00D70A01"/>
    <w:rsid w:val="00D728CB"/>
    <w:rsid w:val="00D7618F"/>
    <w:rsid w:val="00D76AA0"/>
    <w:rsid w:val="00D93B1B"/>
    <w:rsid w:val="00D95D44"/>
    <w:rsid w:val="00D97B2D"/>
    <w:rsid w:val="00DB6DCA"/>
    <w:rsid w:val="00DB71FD"/>
    <w:rsid w:val="00DC4A44"/>
    <w:rsid w:val="00DD2802"/>
    <w:rsid w:val="00DD4E73"/>
    <w:rsid w:val="00DE4AE8"/>
    <w:rsid w:val="00DE6DCC"/>
    <w:rsid w:val="00DF7576"/>
    <w:rsid w:val="00E00285"/>
    <w:rsid w:val="00E1323B"/>
    <w:rsid w:val="00E36C1B"/>
    <w:rsid w:val="00E40339"/>
    <w:rsid w:val="00E44CFC"/>
    <w:rsid w:val="00E45A36"/>
    <w:rsid w:val="00E50626"/>
    <w:rsid w:val="00E55363"/>
    <w:rsid w:val="00E611CB"/>
    <w:rsid w:val="00E62826"/>
    <w:rsid w:val="00E67F1A"/>
    <w:rsid w:val="00E70E72"/>
    <w:rsid w:val="00E7357E"/>
    <w:rsid w:val="00E97C80"/>
    <w:rsid w:val="00EA31E4"/>
    <w:rsid w:val="00EA3A7F"/>
    <w:rsid w:val="00EA568F"/>
    <w:rsid w:val="00EB71EC"/>
    <w:rsid w:val="00EC7174"/>
    <w:rsid w:val="00ED4BC3"/>
    <w:rsid w:val="00ED7C62"/>
    <w:rsid w:val="00EE1695"/>
    <w:rsid w:val="00EE2AD1"/>
    <w:rsid w:val="00EF1153"/>
    <w:rsid w:val="00EF491D"/>
    <w:rsid w:val="00EF6602"/>
    <w:rsid w:val="00F018EE"/>
    <w:rsid w:val="00F04BA8"/>
    <w:rsid w:val="00F06148"/>
    <w:rsid w:val="00F13B98"/>
    <w:rsid w:val="00F26102"/>
    <w:rsid w:val="00F305D9"/>
    <w:rsid w:val="00F36D53"/>
    <w:rsid w:val="00F40F39"/>
    <w:rsid w:val="00F41799"/>
    <w:rsid w:val="00F47D0F"/>
    <w:rsid w:val="00F615F5"/>
    <w:rsid w:val="00F6248D"/>
    <w:rsid w:val="00F6407D"/>
    <w:rsid w:val="00F6657C"/>
    <w:rsid w:val="00F73EC6"/>
    <w:rsid w:val="00F8170C"/>
    <w:rsid w:val="00F83C11"/>
    <w:rsid w:val="00F84CC2"/>
    <w:rsid w:val="00F84D38"/>
    <w:rsid w:val="00F85BAE"/>
    <w:rsid w:val="00F91BE7"/>
    <w:rsid w:val="00F92C9E"/>
    <w:rsid w:val="00F939DC"/>
    <w:rsid w:val="00F94D16"/>
    <w:rsid w:val="00FA29F9"/>
    <w:rsid w:val="00FA6359"/>
    <w:rsid w:val="00FB5066"/>
    <w:rsid w:val="00FB5CAF"/>
    <w:rsid w:val="00FC5830"/>
    <w:rsid w:val="00FC74F8"/>
    <w:rsid w:val="00FD08E7"/>
    <w:rsid w:val="00FE2F9D"/>
    <w:rsid w:val="00FE4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7F7A9F"/>
  <w15:docId w15:val="{2FCF7FE9-145C-4062-9EAC-B8E4648D3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001DE5"/>
    <w:pPr>
      <w:keepNext/>
      <w:keepLines/>
      <w:spacing w:before="240"/>
      <w:outlineLvl w:val="0"/>
    </w:pPr>
    <w:rPr>
      <w:rFonts w:asciiTheme="majorHAnsi" w:eastAsiaTheme="majorEastAsia" w:hAnsiTheme="majorHAnsi" w:cstheme="majorBidi"/>
      <w:color w:val="0079BF"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Default">
    <w:name w:val="Default"/>
    <w:pPr>
      <w:spacing w:before="160" w:line="288" w:lineRule="auto"/>
    </w:pPr>
    <w:rPr>
      <w:rFonts w:ascii="Helvetica Neue" w:hAnsi="Helvetica Neue" w:cs="Arial Unicode MS"/>
      <w:color w:val="000000"/>
      <w:sz w:val="26"/>
      <w:szCs w:val="26"/>
      <w14:textOutline w14:w="0" w14:cap="flat" w14:cmpd="sng" w14:algn="ctr">
        <w14:noFill/>
        <w14:prstDash w14:val="solid"/>
        <w14:bevel/>
      </w14:textOutline>
    </w:rPr>
  </w:style>
  <w:style w:type="numbering" w:customStyle="1" w:styleId="Dash">
    <w:name w:val="Dash"/>
    <w:pPr>
      <w:numPr>
        <w:numId w:val="1"/>
      </w:numPr>
    </w:pPr>
  </w:style>
  <w:style w:type="numbering" w:customStyle="1" w:styleId="Dash0">
    <w:name w:val="Dash.0"/>
    <w:pPr>
      <w:numPr>
        <w:numId w:val="3"/>
      </w:numPr>
    </w:pPr>
  </w:style>
  <w:style w:type="paragraph" w:customStyle="1" w:styleId="TableStyle2">
    <w:name w:val="Table Style 2"/>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Bullet">
    <w:name w:val="Bullet"/>
    <w:pPr>
      <w:numPr>
        <w:numId w:val="5"/>
      </w:numPr>
    </w:pPr>
  </w:style>
  <w:style w:type="numbering" w:customStyle="1" w:styleId="Numbered">
    <w:name w:val="Numbered"/>
    <w:pPr>
      <w:numPr>
        <w:numId w:val="7"/>
      </w:numPr>
    </w:pPr>
  </w:style>
  <w:style w:type="paragraph" w:styleId="ListParagraph">
    <w:name w:val="List Paragraph"/>
    <w:basedOn w:val="Normal"/>
    <w:uiPriority w:val="34"/>
    <w:qFormat/>
    <w:rsid w:val="007F5C33"/>
    <w:pPr>
      <w:ind w:left="720"/>
      <w:contextualSpacing/>
    </w:pPr>
  </w:style>
  <w:style w:type="paragraph" w:styleId="NormalWeb">
    <w:name w:val="Normal (Web)"/>
    <w:basedOn w:val="Normal"/>
    <w:uiPriority w:val="99"/>
    <w:semiHidden/>
    <w:unhideWhenUsed/>
    <w:rsid w:val="0041479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Heading1Char">
    <w:name w:val="Heading 1 Char"/>
    <w:basedOn w:val="DefaultParagraphFont"/>
    <w:link w:val="Heading1"/>
    <w:uiPriority w:val="9"/>
    <w:rsid w:val="00001DE5"/>
    <w:rPr>
      <w:rFonts w:asciiTheme="majorHAnsi" w:eastAsiaTheme="majorEastAsia" w:hAnsiTheme="majorHAnsi" w:cstheme="majorBidi"/>
      <w:color w:val="0079BF" w:themeColor="accent1" w:themeShade="BF"/>
      <w:sz w:val="32"/>
      <w:szCs w:val="32"/>
      <w:lang w:val="en-US" w:eastAsia="en-US"/>
    </w:rPr>
  </w:style>
  <w:style w:type="paragraph" w:styleId="TOCHeading">
    <w:name w:val="TOC Heading"/>
    <w:basedOn w:val="Heading1"/>
    <w:next w:val="Normal"/>
    <w:uiPriority w:val="39"/>
    <w:unhideWhenUsed/>
    <w:qFormat/>
    <w:rsid w:val="008E3819"/>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lang w:val="en-GB" w:eastAsia="en-GB"/>
    </w:rPr>
  </w:style>
  <w:style w:type="paragraph" w:styleId="TOC1">
    <w:name w:val="toc 1"/>
    <w:basedOn w:val="Normal"/>
    <w:next w:val="Normal"/>
    <w:autoRedefine/>
    <w:uiPriority w:val="39"/>
    <w:unhideWhenUsed/>
    <w:rsid w:val="008E3819"/>
    <w:pPr>
      <w:spacing w:after="100"/>
    </w:pPr>
  </w:style>
  <w:style w:type="character" w:styleId="UnresolvedMention">
    <w:name w:val="Unresolved Mention"/>
    <w:basedOn w:val="DefaultParagraphFont"/>
    <w:uiPriority w:val="99"/>
    <w:semiHidden/>
    <w:unhideWhenUsed/>
    <w:rsid w:val="0005313E"/>
    <w:rPr>
      <w:color w:val="605E5C"/>
      <w:shd w:val="clear" w:color="auto" w:fill="E1DFDD"/>
    </w:rPr>
  </w:style>
  <w:style w:type="paragraph" w:styleId="Header">
    <w:name w:val="header"/>
    <w:basedOn w:val="Normal"/>
    <w:link w:val="HeaderChar"/>
    <w:uiPriority w:val="99"/>
    <w:unhideWhenUsed/>
    <w:rsid w:val="00F615F5"/>
    <w:pPr>
      <w:tabs>
        <w:tab w:val="center" w:pos="4513"/>
        <w:tab w:val="right" w:pos="9026"/>
      </w:tabs>
    </w:pPr>
  </w:style>
  <w:style w:type="character" w:customStyle="1" w:styleId="HeaderChar">
    <w:name w:val="Header Char"/>
    <w:basedOn w:val="DefaultParagraphFont"/>
    <w:link w:val="Header"/>
    <w:uiPriority w:val="99"/>
    <w:rsid w:val="00F615F5"/>
    <w:rPr>
      <w:sz w:val="24"/>
      <w:szCs w:val="24"/>
      <w:lang w:val="en-US" w:eastAsia="en-US"/>
    </w:rPr>
  </w:style>
  <w:style w:type="paragraph" w:styleId="Footer">
    <w:name w:val="footer"/>
    <w:basedOn w:val="Normal"/>
    <w:link w:val="FooterChar"/>
    <w:uiPriority w:val="99"/>
    <w:unhideWhenUsed/>
    <w:rsid w:val="00F615F5"/>
    <w:pPr>
      <w:tabs>
        <w:tab w:val="center" w:pos="4513"/>
        <w:tab w:val="right" w:pos="9026"/>
      </w:tabs>
    </w:pPr>
  </w:style>
  <w:style w:type="character" w:customStyle="1" w:styleId="FooterChar">
    <w:name w:val="Footer Char"/>
    <w:basedOn w:val="DefaultParagraphFont"/>
    <w:link w:val="Footer"/>
    <w:uiPriority w:val="99"/>
    <w:rsid w:val="00F615F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sbc.com/news-and-views/news/media-releases/2025/hsbc-demonstrates-worlds-first-known-quantum-enabled-algorithmic-trading-with-ib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y.com/"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www.pwc.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 TargetMode="External"/><Relationship Id="rId5" Type="http://schemas.openxmlformats.org/officeDocument/2006/relationships/webSettings" Target="webSettings.xml"/><Relationship Id="rId15" Type="http://schemas.openxmlformats.org/officeDocument/2006/relationships/hyperlink" Target="https://www.mckinsey.com/" TargetMode="External"/><Relationship Id="rId10" Type="http://schemas.openxmlformats.org/officeDocument/2006/relationships/hyperlink" Target="https://www.accenture.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ome.kpmg/"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3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2D997-888A-40BC-9A8D-881187918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7817</Words>
  <Characters>44558</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Rita Roberts</dc:creator>
  <cp:lastModifiedBy>Rita Maria Roberts (2247276)</cp:lastModifiedBy>
  <cp:revision>2</cp:revision>
  <dcterms:created xsi:type="dcterms:W3CDTF">2025-12-18T01:26:00Z</dcterms:created>
  <dcterms:modified xsi:type="dcterms:W3CDTF">2025-12-18T01:26:00Z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9fd0ac5b-5760-4f7f-852d-c82fd524c244</vt:lpwstr>
  </property>
</Properties>
</file>