
<file path=[Content_Types].xml><?xml version="1.0" encoding="utf-8"?>
<Types xmlns="http://schemas.openxmlformats.org/package/2006/content-types">
  <Default Extension="jpeg" ContentType="image/jpeg"/>
  <Default Extension="JPG" ContentType="image/.jpg"/>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74FB4">
      <w:pPr>
        <w:jc w:val="center"/>
        <w:rPr>
          <w:rFonts w:cs="Arial"/>
          <w:b/>
          <w:bCs/>
          <w:lang w:val="en-US"/>
        </w:rPr>
      </w:pPr>
      <w:r>
        <w:rPr>
          <w:rFonts w:cs="Arial"/>
          <w:b/>
          <w:bCs/>
          <w:lang w:val="en-US"/>
        </w:rPr>
        <w:drawing>
          <wp:inline distT="0" distB="0" distL="0" distR="0">
            <wp:extent cx="3600450" cy="1476375"/>
            <wp:effectExtent l="0" t="0" r="0" b="9525"/>
            <wp:docPr id="28703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360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600450" cy="1476375"/>
                    </a:xfrm>
                    <a:prstGeom prst="rect">
                      <a:avLst/>
                    </a:prstGeom>
                    <a:noFill/>
                    <a:ln>
                      <a:noFill/>
                    </a:ln>
                  </pic:spPr>
                </pic:pic>
              </a:graphicData>
            </a:graphic>
          </wp:inline>
        </w:drawing>
      </w:r>
    </w:p>
    <w:p w14:paraId="35A9627D">
      <w:pPr>
        <w:jc w:val="center"/>
        <w:rPr>
          <w:rFonts w:cs="Arial"/>
          <w:b/>
          <w:bCs/>
          <w:lang w:val="en-US"/>
        </w:rPr>
      </w:pPr>
    </w:p>
    <w:p w14:paraId="3E3434CB">
      <w:pPr>
        <w:jc w:val="center"/>
        <w:rPr>
          <w:rFonts w:cs="Arial"/>
          <w:b/>
          <w:bCs/>
          <w:lang w:val="en-US"/>
        </w:rPr>
      </w:pPr>
    </w:p>
    <w:p w14:paraId="73DA3259">
      <w:pPr>
        <w:jc w:val="center"/>
        <w:rPr>
          <w:rFonts w:cs="Arial"/>
          <w:b/>
          <w:bCs/>
          <w:lang w:val="en-US"/>
        </w:rPr>
      </w:pPr>
      <w:r>
        <w:rPr>
          <w:rFonts w:cs="Arial"/>
          <w:b/>
          <w:bCs/>
          <w:lang w:val="en-US"/>
        </w:rPr>
        <w:t xml:space="preserve">Module Name: </w:t>
      </w:r>
      <w:r>
        <w:rPr>
          <w:rFonts w:eastAsia="Times New Roman" w:cs="Arial"/>
          <w:b/>
          <w:szCs w:val="24"/>
          <w:lang w:val="en-US"/>
        </w:rPr>
        <w:t>Business Research</w:t>
      </w:r>
    </w:p>
    <w:p w14:paraId="14CA8209">
      <w:pPr>
        <w:jc w:val="center"/>
        <w:rPr>
          <w:rFonts w:cs="Arial"/>
          <w:b/>
          <w:bCs/>
          <w:lang w:val="en-US"/>
        </w:rPr>
      </w:pPr>
      <w:r>
        <w:rPr>
          <w:rFonts w:cs="Arial"/>
          <w:b/>
          <w:bCs/>
          <w:lang w:val="en-US"/>
        </w:rPr>
        <w:t xml:space="preserve">Module Code:  </w:t>
      </w:r>
      <w:r>
        <w:rPr>
          <w:rFonts w:eastAsia="Times New Roman" w:cs="Arial"/>
          <w:b/>
          <w:bCs/>
          <w:szCs w:val="24"/>
        </w:rPr>
        <w:t>BMMB7028</w:t>
      </w:r>
    </w:p>
    <w:p w14:paraId="37EB56EE">
      <w:pPr>
        <w:jc w:val="center"/>
        <w:rPr>
          <w:rFonts w:cs="Arial"/>
          <w:b/>
          <w:bCs/>
          <w:lang w:val="en-US"/>
        </w:rPr>
      </w:pPr>
    </w:p>
    <w:p w14:paraId="5A72C31F">
      <w:pPr>
        <w:jc w:val="center"/>
        <w:rPr>
          <w:rFonts w:cs="Arial"/>
          <w:b/>
          <w:bCs/>
          <w:lang w:val="en-US"/>
        </w:rPr>
      </w:pPr>
      <w:r>
        <w:rPr>
          <w:rFonts w:cs="Arial"/>
          <w:b/>
          <w:bCs/>
          <w:lang w:val="en-US"/>
        </w:rPr>
        <w:t xml:space="preserve">Assignment: </w:t>
      </w:r>
      <w:r>
        <w:rPr>
          <w:rFonts w:eastAsia="Times New Roman" w:cs="Arial"/>
          <w:b/>
          <w:szCs w:val="24"/>
        </w:rPr>
        <w:t>Research Proposal Report</w:t>
      </w:r>
    </w:p>
    <w:p w14:paraId="7FB47438">
      <w:pPr>
        <w:jc w:val="center"/>
        <w:rPr>
          <w:rFonts w:cs="Arial"/>
          <w:b/>
          <w:bCs/>
        </w:rPr>
      </w:pPr>
      <w:r>
        <w:rPr>
          <w:rFonts w:cs="Arial"/>
          <w:b/>
          <w:bCs/>
          <w:lang w:val="en-US"/>
        </w:rPr>
        <w:t xml:space="preserve">Title: </w:t>
      </w:r>
      <w:r>
        <w:rPr>
          <w:rFonts w:cs="Arial"/>
          <w:b/>
          <w:bCs/>
        </w:rPr>
        <w:t>The Impact of Diversity and Inclusion Strategies on Staff Retention in the UK Healthcare Sector</w:t>
      </w:r>
    </w:p>
    <w:p w14:paraId="48DB8121">
      <w:pPr>
        <w:jc w:val="center"/>
        <w:rPr>
          <w:rFonts w:cs="Arial"/>
          <w:b/>
          <w:bCs/>
        </w:rPr>
      </w:pPr>
    </w:p>
    <w:p w14:paraId="153B2B9F">
      <w:pPr>
        <w:jc w:val="center"/>
        <w:rPr>
          <w:rFonts w:cs="Arial"/>
          <w:b/>
          <w:bCs/>
          <w:lang w:val="en-US"/>
        </w:rPr>
      </w:pPr>
      <w:r>
        <w:rPr>
          <w:rFonts w:cs="Arial"/>
          <w:b/>
          <w:bCs/>
        </w:rPr>
        <w:t xml:space="preserve">Module Lecturer: </w:t>
      </w:r>
      <w:bookmarkStart w:id="57" w:name="_GoBack"/>
      <w:bookmarkEnd w:id="57"/>
    </w:p>
    <w:p w14:paraId="1A054243">
      <w:pPr>
        <w:jc w:val="center"/>
        <w:rPr>
          <w:rFonts w:cs="Arial"/>
          <w:b/>
          <w:bCs/>
          <w:lang w:val="en-US"/>
        </w:rPr>
      </w:pPr>
    </w:p>
    <w:p w14:paraId="647C4EE0">
      <w:pPr>
        <w:jc w:val="center"/>
        <w:rPr>
          <w:rFonts w:cs="Arial"/>
          <w:b/>
          <w:bCs/>
          <w:lang w:val="en-US"/>
        </w:rPr>
      </w:pPr>
      <w:r>
        <w:rPr>
          <w:rFonts w:cs="Arial"/>
          <w:b/>
          <w:bCs/>
          <w:lang w:val="en-US"/>
        </w:rPr>
        <w:t>Student Name:</w:t>
      </w:r>
    </w:p>
    <w:p w14:paraId="0FEACEA1">
      <w:pPr>
        <w:jc w:val="center"/>
        <w:rPr>
          <w:rFonts w:cs="Arial"/>
          <w:b/>
          <w:bCs/>
          <w:lang w:val="en-US"/>
        </w:rPr>
      </w:pPr>
    </w:p>
    <w:p w14:paraId="3E05B581">
      <w:pPr>
        <w:jc w:val="center"/>
        <w:rPr>
          <w:rFonts w:cs="Arial"/>
          <w:b/>
          <w:bCs/>
          <w:lang w:val="en-US"/>
        </w:rPr>
      </w:pPr>
      <w:r>
        <w:rPr>
          <w:rFonts w:cs="Arial"/>
          <w:b/>
          <w:bCs/>
          <w:lang w:val="en-US"/>
        </w:rPr>
        <w:t>Date:02/05/2025</w:t>
      </w:r>
    </w:p>
    <w:p w14:paraId="7C10E67C">
      <w:pPr>
        <w:rPr>
          <w:rFonts w:cs="Arial"/>
          <w:b/>
          <w:bCs/>
        </w:rPr>
      </w:pPr>
    </w:p>
    <w:p w14:paraId="2F670DF9">
      <w:pPr>
        <w:spacing w:line="259" w:lineRule="auto"/>
        <w:jc w:val="left"/>
        <w:rPr>
          <w:rFonts w:cs="Arial"/>
        </w:rPr>
      </w:pPr>
      <w:r>
        <w:rPr>
          <w:rFonts w:cs="Arial"/>
        </w:rPr>
        <w:br w:type="page"/>
      </w:r>
    </w:p>
    <w:p w14:paraId="1F8FC4BA">
      <w:pPr>
        <w:rPr>
          <w:rFonts w:cs="Arial"/>
        </w:rPr>
      </w:pPr>
    </w:p>
    <w:p w14:paraId="697AE10B">
      <w:pPr>
        <w:rPr>
          <w:rFonts w:cs="Arial"/>
        </w:rPr>
      </w:pPr>
    </w:p>
    <w:sdt>
      <w:sdtPr>
        <w:rPr>
          <w:rFonts w:cs="Arial"/>
          <w:b/>
        </w:rPr>
        <w:id w:val="22611443"/>
        <w:docPartObj>
          <w:docPartGallery w:val="Table of Contents"/>
          <w:docPartUnique/>
        </w:docPartObj>
      </w:sdtPr>
      <w:sdtEndPr>
        <w:rPr>
          <w:rFonts w:cs="Arial"/>
          <w:b w:val="0"/>
          <w:bCs/>
        </w:rPr>
      </w:sdtEndPr>
      <w:sdtContent>
        <w:p w14:paraId="2A185C28">
          <w:pPr>
            <w:rPr>
              <w:rFonts w:cs="Arial"/>
              <w:color w:val="002060"/>
              <w:sz w:val="28"/>
              <w:szCs w:val="28"/>
            </w:rPr>
          </w:pPr>
          <w:r>
            <w:rPr>
              <w:rFonts w:cs="Arial"/>
              <w:color w:val="002060"/>
              <w:sz w:val="28"/>
              <w:szCs w:val="28"/>
            </w:rPr>
            <w:t>Table of Contents</w:t>
          </w:r>
        </w:p>
        <w:p w14:paraId="0394395C">
          <w:pPr>
            <w:pStyle w:val="22"/>
            <w:tabs>
              <w:tab w:val="right" w:leader="dot" w:pos="9016"/>
            </w:tabs>
            <w:rPr>
              <w:rFonts w:cs="Arial" w:eastAsiaTheme="minorEastAsia"/>
              <w:sz w:val="24"/>
              <w:szCs w:val="24"/>
              <w:lang w:eastAsia="en-GB"/>
            </w:rPr>
          </w:pPr>
          <w:r>
            <w:rPr>
              <w:rFonts w:cs="Arial"/>
            </w:rPr>
            <w:fldChar w:fldCharType="begin"/>
          </w:r>
          <w:r>
            <w:rPr>
              <w:rFonts w:cs="Arial"/>
            </w:rPr>
            <w:instrText xml:space="preserve"> TOC \o "1-3" \h \z \u </w:instrText>
          </w:r>
          <w:r>
            <w:rPr>
              <w:rFonts w:cs="Arial"/>
            </w:rPr>
            <w:fldChar w:fldCharType="separate"/>
          </w:r>
          <w:r>
            <w:fldChar w:fldCharType="begin"/>
          </w:r>
          <w:r>
            <w:instrText xml:space="preserve"> HYPERLINK \l "_Toc197073375" </w:instrText>
          </w:r>
          <w:r>
            <w:fldChar w:fldCharType="separate"/>
          </w:r>
          <w:r>
            <w:rPr>
              <w:rStyle w:val="16"/>
              <w:rFonts w:cs="Arial"/>
            </w:rPr>
            <w:t>Table of Figures</w:t>
          </w:r>
          <w:r>
            <w:rPr>
              <w:rFonts w:cs="Arial"/>
            </w:rPr>
            <w:tab/>
          </w:r>
          <w:r>
            <w:rPr>
              <w:rFonts w:cs="Arial"/>
            </w:rPr>
            <w:fldChar w:fldCharType="begin"/>
          </w:r>
          <w:r>
            <w:rPr>
              <w:rFonts w:cs="Arial"/>
            </w:rPr>
            <w:instrText xml:space="preserve"> PAGEREF _Toc197073375 \h </w:instrText>
          </w:r>
          <w:r>
            <w:rPr>
              <w:rFonts w:cs="Arial"/>
            </w:rPr>
            <w:fldChar w:fldCharType="separate"/>
          </w:r>
          <w:r>
            <w:rPr>
              <w:rFonts w:cs="Arial"/>
            </w:rPr>
            <w:t>4</w:t>
          </w:r>
          <w:r>
            <w:rPr>
              <w:rFonts w:cs="Arial"/>
            </w:rPr>
            <w:fldChar w:fldCharType="end"/>
          </w:r>
          <w:r>
            <w:rPr>
              <w:rFonts w:cs="Arial"/>
            </w:rPr>
            <w:fldChar w:fldCharType="end"/>
          </w:r>
        </w:p>
        <w:p w14:paraId="68693531">
          <w:pPr>
            <w:pStyle w:val="22"/>
            <w:tabs>
              <w:tab w:val="right" w:leader="dot" w:pos="9016"/>
            </w:tabs>
            <w:rPr>
              <w:rFonts w:cs="Arial" w:eastAsiaTheme="minorEastAsia"/>
              <w:sz w:val="24"/>
              <w:szCs w:val="24"/>
              <w:lang w:eastAsia="en-GB"/>
            </w:rPr>
          </w:pPr>
          <w:r>
            <w:fldChar w:fldCharType="begin"/>
          </w:r>
          <w:r>
            <w:instrText xml:space="preserve"> HYPERLINK \l "_Toc197073376" </w:instrText>
          </w:r>
          <w:r>
            <w:fldChar w:fldCharType="separate"/>
          </w:r>
          <w:r>
            <w:rPr>
              <w:rStyle w:val="16"/>
              <w:rFonts w:cs="Arial"/>
            </w:rPr>
            <w:t>Research Title</w:t>
          </w:r>
          <w:r>
            <w:rPr>
              <w:rFonts w:cs="Arial"/>
            </w:rPr>
            <w:tab/>
          </w:r>
          <w:r>
            <w:rPr>
              <w:rFonts w:cs="Arial"/>
            </w:rPr>
            <w:fldChar w:fldCharType="begin"/>
          </w:r>
          <w:r>
            <w:rPr>
              <w:rFonts w:cs="Arial"/>
            </w:rPr>
            <w:instrText xml:space="preserve"> PAGEREF _Toc197073376 \h </w:instrText>
          </w:r>
          <w:r>
            <w:rPr>
              <w:rFonts w:cs="Arial"/>
            </w:rPr>
            <w:fldChar w:fldCharType="separate"/>
          </w:r>
          <w:r>
            <w:rPr>
              <w:rFonts w:cs="Arial"/>
            </w:rPr>
            <w:t>5</w:t>
          </w:r>
          <w:r>
            <w:rPr>
              <w:rFonts w:cs="Arial"/>
            </w:rPr>
            <w:fldChar w:fldCharType="end"/>
          </w:r>
          <w:r>
            <w:rPr>
              <w:rFonts w:cs="Arial"/>
            </w:rPr>
            <w:fldChar w:fldCharType="end"/>
          </w:r>
        </w:p>
        <w:p w14:paraId="272A908A">
          <w:pPr>
            <w:pStyle w:val="22"/>
            <w:tabs>
              <w:tab w:val="left" w:pos="480"/>
              <w:tab w:val="right" w:leader="dot" w:pos="9016"/>
            </w:tabs>
            <w:rPr>
              <w:rFonts w:cs="Arial" w:eastAsiaTheme="minorEastAsia"/>
              <w:sz w:val="24"/>
              <w:szCs w:val="24"/>
              <w:lang w:eastAsia="en-GB"/>
            </w:rPr>
          </w:pPr>
          <w:r>
            <w:fldChar w:fldCharType="begin"/>
          </w:r>
          <w:r>
            <w:instrText xml:space="preserve"> HYPERLINK \l "_Toc197073377" </w:instrText>
          </w:r>
          <w:r>
            <w:fldChar w:fldCharType="separate"/>
          </w:r>
          <w:r>
            <w:rPr>
              <w:rStyle w:val="16"/>
              <w:rFonts w:cs="Arial"/>
            </w:rPr>
            <w:t>1.</w:t>
          </w:r>
          <w:r>
            <w:rPr>
              <w:rFonts w:cs="Arial" w:eastAsiaTheme="minorEastAsia"/>
              <w:sz w:val="24"/>
              <w:szCs w:val="24"/>
              <w:lang w:eastAsia="en-GB"/>
            </w:rPr>
            <w:tab/>
          </w:r>
          <w:r>
            <w:rPr>
              <w:rStyle w:val="16"/>
              <w:rFonts w:cs="Arial"/>
            </w:rPr>
            <w:t>Introduction</w:t>
          </w:r>
          <w:r>
            <w:rPr>
              <w:rFonts w:cs="Arial"/>
            </w:rPr>
            <w:tab/>
          </w:r>
          <w:r>
            <w:rPr>
              <w:rFonts w:cs="Arial"/>
            </w:rPr>
            <w:fldChar w:fldCharType="begin"/>
          </w:r>
          <w:r>
            <w:rPr>
              <w:rFonts w:cs="Arial"/>
            </w:rPr>
            <w:instrText xml:space="preserve"> PAGEREF _Toc197073377 \h </w:instrText>
          </w:r>
          <w:r>
            <w:rPr>
              <w:rFonts w:cs="Arial"/>
            </w:rPr>
            <w:fldChar w:fldCharType="separate"/>
          </w:r>
          <w:r>
            <w:rPr>
              <w:rFonts w:cs="Arial"/>
            </w:rPr>
            <w:t>5</w:t>
          </w:r>
          <w:r>
            <w:rPr>
              <w:rFonts w:cs="Arial"/>
            </w:rPr>
            <w:fldChar w:fldCharType="end"/>
          </w:r>
          <w:r>
            <w:rPr>
              <w:rFonts w:cs="Arial"/>
            </w:rPr>
            <w:fldChar w:fldCharType="end"/>
          </w:r>
        </w:p>
        <w:p w14:paraId="26F7BBA7">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"_Toc197073378" </w:instrText>
          </w:r>
          <w:r>
            <w:fldChar w:fldCharType="separate"/>
          </w:r>
          <w:r>
            <w:rPr>
              <w:rStyle w:val="16"/>
              <w:rFonts w:cs="Arial"/>
            </w:rPr>
            <w:t>1.1</w:t>
          </w:r>
          <w:r>
            <w:rPr>
              <w:rFonts w:cs="Arial" w:eastAsiaTheme="minorEastAsia"/>
              <w:kern w:val="2"/>
              <w:szCs w:val="24"/>
              <w:lang w:eastAsia="en-GB"/>
              <w14:ligatures w14:val="standardContextual"/>
            </w:rPr>
            <w:tab/>
          </w:r>
          <w:r>
            <w:rPr>
              <w:rStyle w:val="16"/>
              <w:rFonts w:cs="Arial"/>
            </w:rPr>
            <w:t>Background of the Study</w:t>
          </w:r>
          <w:r>
            <w:rPr>
              <w:rFonts w:cs="Arial"/>
            </w:rPr>
            <w:tab/>
          </w:r>
          <w:r>
            <w:rPr>
              <w:rFonts w:cs="Arial"/>
            </w:rPr>
            <w:fldChar w:fldCharType="begin"/>
          </w:r>
          <w:r>
            <w:rPr>
              <w:rFonts w:cs="Arial"/>
            </w:rPr>
            <w:instrText xml:space="preserve"> PAGEREF _Toc197073378 \h </w:instrText>
          </w:r>
          <w:r>
            <w:rPr>
              <w:rFonts w:cs="Arial"/>
            </w:rPr>
            <w:fldChar w:fldCharType="separate"/>
          </w:r>
          <w:r>
            <w:rPr>
              <w:rFonts w:cs="Arial"/>
            </w:rPr>
            <w:t>5</w:t>
          </w:r>
          <w:r>
            <w:rPr>
              <w:rFonts w:cs="Arial"/>
            </w:rPr>
            <w:fldChar w:fldCharType="end"/>
          </w:r>
          <w:r>
            <w:rPr>
              <w:rFonts w:cs="Arial"/>
            </w:rPr>
            <w:fldChar w:fldCharType="end"/>
          </w:r>
        </w:p>
        <w:p w14:paraId="08E6AE05">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"_Toc197073379" </w:instrText>
          </w:r>
          <w:r>
            <w:fldChar w:fldCharType="separate"/>
          </w:r>
          <w:r>
            <w:rPr>
              <w:rStyle w:val="16"/>
              <w:rFonts w:cs="Arial"/>
            </w:rPr>
            <w:t>1.2</w:t>
          </w:r>
          <w:r>
            <w:rPr>
              <w:rFonts w:cs="Arial" w:eastAsiaTheme="minorEastAsia"/>
              <w:kern w:val="2"/>
              <w:szCs w:val="24"/>
              <w:lang w:eastAsia="en-GB"/>
              <w14:ligatures w14:val="standardContextual"/>
            </w:rPr>
            <w:tab/>
          </w:r>
          <w:r>
            <w:rPr>
              <w:rStyle w:val="16"/>
              <w:rFonts w:cs="Arial"/>
            </w:rPr>
            <w:t>Problem Statement</w:t>
          </w:r>
          <w:r>
            <w:rPr>
              <w:rFonts w:cs="Arial"/>
            </w:rPr>
            <w:tab/>
          </w:r>
          <w:r>
            <w:rPr>
              <w:rFonts w:cs="Arial"/>
            </w:rPr>
            <w:fldChar w:fldCharType="begin"/>
          </w:r>
          <w:r>
            <w:rPr>
              <w:rFonts w:cs="Arial"/>
            </w:rPr>
            <w:instrText xml:space="preserve"> PAGEREF _Toc197073379 \h </w:instrText>
          </w:r>
          <w:r>
            <w:rPr>
              <w:rFonts w:cs="Arial"/>
            </w:rPr>
            <w:fldChar w:fldCharType="separate"/>
          </w:r>
          <w:r>
            <w:rPr>
              <w:rFonts w:cs="Arial"/>
            </w:rPr>
            <w:t>5</w:t>
          </w:r>
          <w:r>
            <w:rPr>
              <w:rFonts w:cs="Arial"/>
            </w:rPr>
            <w:fldChar w:fldCharType="end"/>
          </w:r>
          <w:r>
            <w:rPr>
              <w:rFonts w:cs="Arial"/>
            </w:rPr>
            <w:fldChar w:fldCharType="end"/>
          </w:r>
        </w:p>
        <w:p w14:paraId="14AE99B6">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"_Toc197073380" </w:instrText>
          </w:r>
          <w:r>
            <w:fldChar w:fldCharType="separate"/>
          </w:r>
          <w:r>
            <w:rPr>
              <w:rStyle w:val="16"/>
              <w:rFonts w:cs="Arial"/>
            </w:rPr>
            <w:t>1.3</w:t>
          </w:r>
          <w:r>
            <w:rPr>
              <w:rFonts w:cs="Arial" w:eastAsiaTheme="minorEastAsia"/>
              <w:kern w:val="2"/>
              <w:szCs w:val="24"/>
              <w:lang w:eastAsia="en-GB"/>
              <w14:ligatures w14:val="standardContextual"/>
            </w:rPr>
            <w:tab/>
          </w:r>
          <w:r>
            <w:rPr>
              <w:rStyle w:val="16"/>
              <w:rFonts w:cs="Arial"/>
            </w:rPr>
            <w:t>Significance of the Study</w:t>
          </w:r>
          <w:r>
            <w:rPr>
              <w:rFonts w:cs="Arial"/>
            </w:rPr>
            <w:tab/>
          </w:r>
          <w:r>
            <w:rPr>
              <w:rFonts w:cs="Arial"/>
            </w:rPr>
            <w:fldChar w:fldCharType="begin"/>
          </w:r>
          <w:r>
            <w:rPr>
              <w:rFonts w:cs="Arial"/>
            </w:rPr>
            <w:instrText xml:space="preserve"> PAGEREF _Toc197073380 \h </w:instrText>
          </w:r>
          <w:r>
            <w:rPr>
              <w:rFonts w:cs="Arial"/>
            </w:rPr>
            <w:fldChar w:fldCharType="separate"/>
          </w:r>
          <w:r>
            <w:rPr>
              <w:rFonts w:cs="Arial"/>
            </w:rPr>
            <w:t>6</w:t>
          </w:r>
          <w:r>
            <w:rPr>
              <w:rFonts w:cs="Arial"/>
            </w:rPr>
            <w:fldChar w:fldCharType="end"/>
          </w:r>
          <w:r>
            <w:rPr>
              <w:rFonts w:cs="Arial"/>
            </w:rPr>
            <w:fldChar w:fldCharType="end"/>
          </w:r>
        </w:p>
        <w:p w14:paraId="094B8ED2">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"_Toc197073381" </w:instrText>
          </w:r>
          <w:r>
            <w:fldChar w:fldCharType="separate"/>
          </w:r>
          <w:r>
            <w:rPr>
              <w:rStyle w:val="16"/>
              <w:rFonts w:cs="Arial"/>
            </w:rPr>
            <w:t>1.4</w:t>
          </w:r>
          <w:r>
            <w:rPr>
              <w:rFonts w:cs="Arial" w:eastAsiaTheme="minorEastAsia"/>
              <w:kern w:val="2"/>
              <w:szCs w:val="24"/>
              <w:lang w:eastAsia="en-GB"/>
              <w14:ligatures w14:val="standardContextual"/>
            </w:rPr>
            <w:tab/>
          </w:r>
          <w:r>
            <w:rPr>
              <w:rStyle w:val="16"/>
              <w:rFonts w:cs="Arial"/>
            </w:rPr>
            <w:t>Research Scope</w:t>
          </w:r>
          <w:r>
            <w:rPr>
              <w:rFonts w:cs="Arial"/>
            </w:rPr>
            <w:tab/>
          </w:r>
          <w:r>
            <w:rPr>
              <w:rFonts w:cs="Arial"/>
            </w:rPr>
            <w:fldChar w:fldCharType="begin"/>
          </w:r>
          <w:r>
            <w:rPr>
              <w:rFonts w:cs="Arial"/>
            </w:rPr>
            <w:instrText xml:space="preserve"> PAGEREF _Toc197073381 \h </w:instrText>
          </w:r>
          <w:r>
            <w:rPr>
              <w:rFonts w:cs="Arial"/>
            </w:rPr>
            <w:fldChar w:fldCharType="separate"/>
          </w:r>
          <w:r>
            <w:rPr>
              <w:rFonts w:cs="Arial"/>
            </w:rPr>
            <w:t>7</w:t>
          </w:r>
          <w:r>
            <w:rPr>
              <w:rFonts w:cs="Arial"/>
            </w:rPr>
            <w:fldChar w:fldCharType="end"/>
          </w:r>
          <w:r>
            <w:rPr>
              <w:rFonts w:cs="Arial"/>
            </w:rPr>
            <w:fldChar w:fldCharType="end"/>
          </w:r>
        </w:p>
        <w:p w14:paraId="32B2CE81">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"_Toc197073382" </w:instrText>
          </w:r>
          <w:r>
            <w:fldChar w:fldCharType="separate"/>
          </w:r>
          <w:r>
            <w:rPr>
              <w:rStyle w:val="16"/>
              <w:rFonts w:cs="Arial"/>
            </w:rPr>
            <w:t>1.4.1</w:t>
          </w:r>
          <w:r>
            <w:rPr>
              <w:rFonts w:cs="Arial" w:eastAsiaTheme="minorEastAsia"/>
              <w:kern w:val="2"/>
              <w:szCs w:val="24"/>
              <w:lang w:eastAsia="en-GB"/>
              <w14:ligatures w14:val="standardContextual"/>
            </w:rPr>
            <w:tab/>
          </w:r>
          <w:r>
            <w:rPr>
              <w:rStyle w:val="16"/>
              <w:rFonts w:cs="Arial"/>
            </w:rPr>
            <w:t>Aim of the Study</w:t>
          </w:r>
          <w:r>
            <w:rPr>
              <w:rFonts w:cs="Arial"/>
            </w:rPr>
            <w:tab/>
          </w:r>
          <w:r>
            <w:rPr>
              <w:rFonts w:cs="Arial"/>
            </w:rPr>
            <w:fldChar w:fldCharType="begin"/>
          </w:r>
          <w:r>
            <w:rPr>
              <w:rFonts w:cs="Arial"/>
            </w:rPr>
            <w:instrText xml:space="preserve"> PAGEREF _Toc197073382 \h </w:instrText>
          </w:r>
          <w:r>
            <w:rPr>
              <w:rFonts w:cs="Arial"/>
            </w:rPr>
            <w:fldChar w:fldCharType="separate"/>
          </w:r>
          <w:r>
            <w:rPr>
              <w:rFonts w:cs="Arial"/>
            </w:rPr>
            <w:t>7</w:t>
          </w:r>
          <w:r>
            <w:rPr>
              <w:rFonts w:cs="Arial"/>
            </w:rPr>
            <w:fldChar w:fldCharType="end"/>
          </w:r>
          <w:r>
            <w:rPr>
              <w:rFonts w:cs="Arial"/>
            </w:rPr>
            <w:fldChar w:fldCharType="end"/>
          </w:r>
        </w:p>
        <w:p w14:paraId="10A8F7E5">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"_Toc197073383" </w:instrText>
          </w:r>
          <w:r>
            <w:fldChar w:fldCharType="separate"/>
          </w:r>
          <w:r>
            <w:rPr>
              <w:rStyle w:val="16"/>
              <w:rFonts w:cs="Arial"/>
            </w:rPr>
            <w:t>1.4.2</w:t>
          </w:r>
          <w:r>
            <w:rPr>
              <w:rFonts w:cs="Arial" w:eastAsiaTheme="minorEastAsia"/>
              <w:kern w:val="2"/>
              <w:szCs w:val="24"/>
              <w:lang w:eastAsia="en-GB"/>
              <w14:ligatures w14:val="standardContextual"/>
            </w:rPr>
            <w:tab/>
          </w:r>
          <w:r>
            <w:rPr>
              <w:rStyle w:val="16"/>
              <w:rFonts w:cs="Arial"/>
            </w:rPr>
            <w:t>Objectives of the Study</w:t>
          </w:r>
          <w:r>
            <w:rPr>
              <w:rFonts w:cs="Arial"/>
            </w:rPr>
            <w:tab/>
          </w:r>
          <w:r>
            <w:rPr>
              <w:rFonts w:cs="Arial"/>
            </w:rPr>
            <w:fldChar w:fldCharType="begin"/>
          </w:r>
          <w:r>
            <w:rPr>
              <w:rFonts w:cs="Arial"/>
            </w:rPr>
            <w:instrText xml:space="preserve"> PAGEREF _Toc197073383 \h </w:instrText>
          </w:r>
          <w:r>
            <w:rPr>
              <w:rFonts w:cs="Arial"/>
            </w:rPr>
            <w:fldChar w:fldCharType="separate"/>
          </w:r>
          <w:r>
            <w:rPr>
              <w:rFonts w:cs="Arial"/>
            </w:rPr>
            <w:t>7</w:t>
          </w:r>
          <w:r>
            <w:rPr>
              <w:rFonts w:cs="Arial"/>
            </w:rPr>
            <w:fldChar w:fldCharType="end"/>
          </w:r>
          <w:r>
            <w:rPr>
              <w:rFonts w:cs="Arial"/>
            </w:rPr>
            <w:fldChar w:fldCharType="end"/>
          </w:r>
        </w:p>
        <w:p w14:paraId="3D3AB52D">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"_Toc197073384" </w:instrText>
          </w:r>
          <w:r>
            <w:fldChar w:fldCharType="separate"/>
          </w:r>
          <w:r>
            <w:rPr>
              <w:rStyle w:val="16"/>
              <w:rFonts w:cs="Arial"/>
            </w:rPr>
            <w:t>1.4.3</w:t>
          </w:r>
          <w:r>
            <w:rPr>
              <w:rFonts w:cs="Arial" w:eastAsiaTheme="minorEastAsia"/>
              <w:kern w:val="2"/>
              <w:szCs w:val="24"/>
              <w:lang w:eastAsia="en-GB"/>
              <w14:ligatures w14:val="standardContextual"/>
            </w:rPr>
            <w:tab/>
          </w:r>
          <w:r>
            <w:rPr>
              <w:rStyle w:val="16"/>
              <w:rFonts w:cs="Arial"/>
            </w:rPr>
            <w:t>Research Questions</w:t>
          </w:r>
          <w:r>
            <w:rPr>
              <w:rFonts w:cs="Arial"/>
            </w:rPr>
            <w:tab/>
          </w:r>
          <w:r>
            <w:rPr>
              <w:rFonts w:cs="Arial"/>
            </w:rPr>
            <w:fldChar w:fldCharType="begin"/>
          </w:r>
          <w:r>
            <w:rPr>
              <w:rFonts w:cs="Arial"/>
            </w:rPr>
            <w:instrText xml:space="preserve"> PAGEREF _Toc197073384 \h </w:instrText>
          </w:r>
          <w:r>
            <w:rPr>
              <w:rFonts w:cs="Arial"/>
            </w:rPr>
            <w:fldChar w:fldCharType="separate"/>
          </w:r>
          <w:r>
            <w:rPr>
              <w:rFonts w:cs="Arial"/>
            </w:rPr>
            <w:t>8</w:t>
          </w:r>
          <w:r>
            <w:rPr>
              <w:rFonts w:cs="Arial"/>
            </w:rPr>
            <w:fldChar w:fldCharType="end"/>
          </w:r>
          <w:r>
            <w:rPr>
              <w:rFonts w:cs="Arial"/>
            </w:rPr>
            <w:fldChar w:fldCharType="end"/>
          </w:r>
        </w:p>
        <w:p w14:paraId="104566E7">
          <w:pPr>
            <w:pStyle w:val="22"/>
            <w:tabs>
              <w:tab w:val="left" w:pos="480"/>
              <w:tab w:val="right" w:leader="dot" w:pos="9016"/>
            </w:tabs>
            <w:rPr>
              <w:rFonts w:cs="Arial" w:eastAsiaTheme="minorEastAsia"/>
              <w:sz w:val="24"/>
              <w:szCs w:val="24"/>
              <w:lang w:eastAsia="en-GB"/>
            </w:rPr>
          </w:pPr>
          <w:r>
            <w:fldChar w:fldCharType="begin"/>
          </w:r>
          <w:r>
            <w:instrText xml:space="preserve"> HYPERLINK \l "_Toc197073385" </w:instrText>
          </w:r>
          <w:r>
            <w:fldChar w:fldCharType="separate"/>
          </w:r>
          <w:r>
            <w:rPr>
              <w:rStyle w:val="16"/>
              <w:rFonts w:cs="Arial"/>
            </w:rPr>
            <w:t>2.</w:t>
          </w:r>
          <w:r>
            <w:rPr>
              <w:rFonts w:cs="Arial" w:eastAsiaTheme="minorEastAsia"/>
              <w:sz w:val="24"/>
              <w:szCs w:val="24"/>
              <w:lang w:eastAsia="en-GB"/>
            </w:rPr>
            <w:tab/>
          </w:r>
          <w:r>
            <w:rPr>
              <w:rStyle w:val="16"/>
              <w:rFonts w:cs="Arial"/>
            </w:rPr>
            <w:t>Literature Review</w:t>
          </w:r>
          <w:r>
            <w:rPr>
              <w:rFonts w:cs="Arial"/>
            </w:rPr>
            <w:tab/>
          </w:r>
          <w:r>
            <w:rPr>
              <w:rFonts w:cs="Arial"/>
            </w:rPr>
            <w:fldChar w:fldCharType="begin"/>
          </w:r>
          <w:r>
            <w:rPr>
              <w:rFonts w:cs="Arial"/>
            </w:rPr>
            <w:instrText xml:space="preserve"> PAGEREF _Toc197073385 \h </w:instrText>
          </w:r>
          <w:r>
            <w:rPr>
              <w:rFonts w:cs="Arial"/>
            </w:rPr>
            <w:fldChar w:fldCharType="separate"/>
          </w:r>
          <w:r>
            <w:rPr>
              <w:rFonts w:cs="Arial"/>
            </w:rPr>
            <w:t>9</w:t>
          </w:r>
          <w:r>
            <w:rPr>
              <w:rFonts w:cs="Arial"/>
            </w:rPr>
            <w:fldChar w:fldCharType="end"/>
          </w:r>
          <w:r>
            <w:rPr>
              <w:rFonts w:cs="Arial"/>
            </w:rPr>
            <w:fldChar w:fldCharType="end"/>
          </w:r>
        </w:p>
        <w:p w14:paraId="51896071">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"_Toc197073386" </w:instrText>
          </w:r>
          <w:r>
            <w:fldChar w:fldCharType="separate"/>
          </w:r>
          <w:r>
            <w:rPr>
              <w:rStyle w:val="16"/>
              <w:rFonts w:cs="Arial"/>
            </w:rPr>
            <w:t>2.1</w:t>
          </w:r>
          <w:r>
            <w:rPr>
              <w:rFonts w:cs="Arial" w:eastAsiaTheme="minorEastAsia"/>
              <w:kern w:val="2"/>
              <w:szCs w:val="24"/>
              <w:lang w:eastAsia="en-GB"/>
              <w14:ligatures w14:val="standardContextual"/>
            </w:rPr>
            <w:tab/>
          </w:r>
          <w:r>
            <w:rPr>
              <w:rStyle w:val="16"/>
              <w:rFonts w:cs="Arial"/>
            </w:rPr>
            <w:t>Theoretical Frameworks</w:t>
          </w:r>
          <w:r>
            <w:rPr>
              <w:rFonts w:cs="Arial"/>
            </w:rPr>
            <w:tab/>
          </w:r>
          <w:r>
            <w:rPr>
              <w:rFonts w:cs="Arial"/>
            </w:rPr>
            <w:fldChar w:fldCharType="begin"/>
          </w:r>
          <w:r>
            <w:rPr>
              <w:rFonts w:cs="Arial"/>
            </w:rPr>
            <w:instrText xml:space="preserve"> PAGEREF _Toc197073386 \h </w:instrText>
          </w:r>
          <w:r>
            <w:rPr>
              <w:rFonts w:cs="Arial"/>
            </w:rPr>
            <w:fldChar w:fldCharType="separate"/>
          </w:r>
          <w:r>
            <w:rPr>
              <w:rFonts w:cs="Arial"/>
            </w:rPr>
            <w:t>9</w:t>
          </w:r>
          <w:r>
            <w:rPr>
              <w:rFonts w:cs="Arial"/>
            </w:rPr>
            <w:fldChar w:fldCharType="end"/>
          </w:r>
          <w:r>
            <w:rPr>
              <w:rFonts w:cs="Arial"/>
            </w:rPr>
            <w:fldChar w:fldCharType="end"/>
          </w:r>
        </w:p>
        <w:p w14:paraId="1E45B58E">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"_Toc197073387" </w:instrText>
          </w:r>
          <w:r>
            <w:fldChar w:fldCharType="separate"/>
          </w:r>
          <w:r>
            <w:rPr>
              <w:rStyle w:val="16"/>
              <w:rFonts w:cs="Arial"/>
            </w:rPr>
            <w:t>2.1.1</w:t>
          </w:r>
          <w:r>
            <w:rPr>
              <w:rFonts w:cs="Arial" w:eastAsiaTheme="minorEastAsia"/>
              <w:kern w:val="2"/>
              <w:szCs w:val="24"/>
              <w:lang w:eastAsia="en-GB"/>
              <w14:ligatures w14:val="standardContextual"/>
            </w:rPr>
            <w:tab/>
          </w:r>
          <w:r>
            <w:rPr>
              <w:rStyle w:val="16"/>
              <w:rFonts w:cs="Arial"/>
            </w:rPr>
            <w:t>Social Identity Theory</w:t>
          </w:r>
          <w:r>
            <w:rPr>
              <w:rFonts w:cs="Arial"/>
            </w:rPr>
            <w:tab/>
          </w:r>
          <w:r>
            <w:rPr>
              <w:rFonts w:cs="Arial"/>
            </w:rPr>
            <w:fldChar w:fldCharType="begin"/>
          </w:r>
          <w:r>
            <w:rPr>
              <w:rFonts w:cs="Arial"/>
            </w:rPr>
            <w:instrText xml:space="preserve"> PAGEREF _Toc197073387 \h </w:instrText>
          </w:r>
          <w:r>
            <w:rPr>
              <w:rFonts w:cs="Arial"/>
            </w:rPr>
            <w:fldChar w:fldCharType="separate"/>
          </w:r>
          <w:r>
            <w:rPr>
              <w:rFonts w:cs="Arial"/>
            </w:rPr>
            <w:t>9</w:t>
          </w:r>
          <w:r>
            <w:rPr>
              <w:rFonts w:cs="Arial"/>
            </w:rPr>
            <w:fldChar w:fldCharType="end"/>
          </w:r>
          <w:r>
            <w:rPr>
              <w:rFonts w:cs="Arial"/>
            </w:rPr>
            <w:fldChar w:fldCharType="end"/>
          </w:r>
        </w:p>
        <w:p w14:paraId="7352CEA4">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"_Toc197073388" </w:instrText>
          </w:r>
          <w:r>
            <w:fldChar w:fldCharType="separate"/>
          </w:r>
          <w:r>
            <w:rPr>
              <w:rStyle w:val="16"/>
              <w:rFonts w:cs="Arial"/>
            </w:rPr>
            <w:t>2.1.2</w:t>
          </w:r>
          <w:r>
            <w:rPr>
              <w:rFonts w:cs="Arial" w:eastAsiaTheme="minorEastAsia"/>
              <w:kern w:val="2"/>
              <w:szCs w:val="24"/>
              <w:lang w:eastAsia="en-GB"/>
              <w14:ligatures w14:val="standardContextual"/>
            </w:rPr>
            <w:tab/>
          </w:r>
          <w:r>
            <w:rPr>
              <w:rStyle w:val="16"/>
              <w:rFonts w:cs="Arial"/>
            </w:rPr>
            <w:t>Schema Theory</w:t>
          </w:r>
          <w:r>
            <w:rPr>
              <w:rFonts w:cs="Arial"/>
            </w:rPr>
            <w:tab/>
          </w:r>
          <w:r>
            <w:rPr>
              <w:rFonts w:cs="Arial"/>
            </w:rPr>
            <w:fldChar w:fldCharType="begin"/>
          </w:r>
          <w:r>
            <w:rPr>
              <w:rFonts w:cs="Arial"/>
            </w:rPr>
            <w:instrText xml:space="preserve"> PAGEREF _Toc197073388 \h </w:instrText>
          </w:r>
          <w:r>
            <w:rPr>
              <w:rFonts w:cs="Arial"/>
            </w:rPr>
            <w:fldChar w:fldCharType="separate"/>
          </w:r>
          <w:r>
            <w:rPr>
              <w:rFonts w:cs="Arial"/>
            </w:rPr>
            <w:t>9</w:t>
          </w:r>
          <w:r>
            <w:rPr>
              <w:rFonts w:cs="Arial"/>
            </w:rPr>
            <w:fldChar w:fldCharType="end"/>
          </w:r>
          <w:r>
            <w:rPr>
              <w:rFonts w:cs="Arial"/>
            </w:rPr>
            <w:fldChar w:fldCharType="end"/>
          </w:r>
        </w:p>
        <w:p w14:paraId="4ACE6369">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"_Toc197073389" </w:instrText>
          </w:r>
          <w:r>
            <w:fldChar w:fldCharType="separate"/>
          </w:r>
          <w:r>
            <w:rPr>
              <w:rStyle w:val="16"/>
              <w:rFonts w:cs="Arial"/>
            </w:rPr>
            <w:t>2.1.3</w:t>
          </w:r>
          <w:r>
            <w:rPr>
              <w:rFonts w:cs="Arial" w:eastAsiaTheme="minorEastAsia"/>
              <w:kern w:val="2"/>
              <w:szCs w:val="24"/>
              <w:lang w:eastAsia="en-GB"/>
              <w14:ligatures w14:val="standardContextual"/>
            </w:rPr>
            <w:tab/>
          </w:r>
          <w:r>
            <w:rPr>
              <w:rStyle w:val="16"/>
              <w:rFonts w:cs="Arial"/>
            </w:rPr>
            <w:t>Contact theory</w:t>
          </w:r>
          <w:r>
            <w:rPr>
              <w:rFonts w:cs="Arial"/>
            </w:rPr>
            <w:tab/>
          </w:r>
          <w:r>
            <w:rPr>
              <w:rFonts w:cs="Arial"/>
            </w:rPr>
            <w:fldChar w:fldCharType="begin"/>
          </w:r>
          <w:r>
            <w:rPr>
              <w:rFonts w:cs="Arial"/>
            </w:rPr>
            <w:instrText xml:space="preserve"> PAGEREF _Toc197073389 \h </w:instrText>
          </w:r>
          <w:r>
            <w:rPr>
              <w:rFonts w:cs="Arial"/>
            </w:rPr>
            <w:fldChar w:fldCharType="separate"/>
          </w:r>
          <w:r>
            <w:rPr>
              <w:rFonts w:cs="Arial"/>
            </w:rPr>
            <w:t>10</w:t>
          </w:r>
          <w:r>
            <w:rPr>
              <w:rFonts w:cs="Arial"/>
            </w:rPr>
            <w:fldChar w:fldCharType="end"/>
          </w:r>
          <w:r>
            <w:rPr>
              <w:rFonts w:cs="Arial"/>
            </w:rPr>
            <w:fldChar w:fldCharType="end"/>
          </w:r>
        </w:p>
        <w:p w14:paraId="6AC89A78">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"_Toc197073390" </w:instrText>
          </w:r>
          <w:r>
            <w:fldChar w:fldCharType="separate"/>
          </w:r>
          <w:r>
            <w:rPr>
              <w:rStyle w:val="16"/>
              <w:rFonts w:cs="Arial"/>
            </w:rPr>
            <w:t>2.1.4</w:t>
          </w:r>
          <w:r>
            <w:rPr>
              <w:rFonts w:cs="Arial" w:eastAsiaTheme="minorEastAsia"/>
              <w:kern w:val="2"/>
              <w:szCs w:val="24"/>
              <w:lang w:eastAsia="en-GB"/>
              <w14:ligatures w14:val="standardContextual"/>
            </w:rPr>
            <w:tab/>
          </w:r>
          <w:r>
            <w:rPr>
              <w:rStyle w:val="16"/>
              <w:rFonts w:cs="Arial"/>
            </w:rPr>
            <w:t>Cultural Intelligence Theory</w:t>
          </w:r>
          <w:r>
            <w:rPr>
              <w:rFonts w:cs="Arial"/>
            </w:rPr>
            <w:tab/>
          </w:r>
          <w:r>
            <w:rPr>
              <w:rFonts w:cs="Arial"/>
            </w:rPr>
            <w:fldChar w:fldCharType="begin"/>
          </w:r>
          <w:r>
            <w:rPr>
              <w:rFonts w:cs="Arial"/>
            </w:rPr>
            <w:instrText xml:space="preserve"> PAGEREF _Toc197073390 \h </w:instrText>
          </w:r>
          <w:r>
            <w:rPr>
              <w:rFonts w:cs="Arial"/>
            </w:rPr>
            <w:fldChar w:fldCharType="separate"/>
          </w:r>
          <w:r>
            <w:rPr>
              <w:rFonts w:cs="Arial"/>
            </w:rPr>
            <w:t>10</w:t>
          </w:r>
          <w:r>
            <w:rPr>
              <w:rFonts w:cs="Arial"/>
            </w:rPr>
            <w:fldChar w:fldCharType="end"/>
          </w:r>
          <w:r>
            <w:rPr>
              <w:rFonts w:cs="Arial"/>
            </w:rPr>
            <w:fldChar w:fldCharType="end"/>
          </w:r>
        </w:p>
        <w:p w14:paraId="2CDAD9F1">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"_Toc197073391" </w:instrText>
          </w:r>
          <w:r>
            <w:fldChar w:fldCharType="separate"/>
          </w:r>
          <w:r>
            <w:rPr>
              <w:rStyle w:val="16"/>
              <w:rFonts w:cs="Arial"/>
            </w:rPr>
            <w:t>2.2</w:t>
          </w:r>
          <w:r>
            <w:rPr>
              <w:rFonts w:cs="Arial" w:eastAsiaTheme="minorEastAsia"/>
              <w:kern w:val="2"/>
              <w:szCs w:val="24"/>
              <w:lang w:eastAsia="en-GB"/>
              <w14:ligatures w14:val="standardContextual"/>
            </w:rPr>
            <w:tab/>
          </w:r>
          <w:r>
            <w:rPr>
              <w:rStyle w:val="16"/>
              <w:rFonts w:cs="Arial"/>
            </w:rPr>
            <w:t>Relationship Between D&amp;I and Staff Retention</w:t>
          </w:r>
          <w:r>
            <w:rPr>
              <w:rFonts w:cs="Arial"/>
            </w:rPr>
            <w:tab/>
          </w:r>
          <w:r>
            <w:rPr>
              <w:rFonts w:cs="Arial"/>
            </w:rPr>
            <w:fldChar w:fldCharType="begin"/>
          </w:r>
          <w:r>
            <w:rPr>
              <w:rFonts w:cs="Arial"/>
            </w:rPr>
            <w:instrText xml:space="preserve"> PAGEREF _Toc197073391 \h </w:instrText>
          </w:r>
          <w:r>
            <w:rPr>
              <w:rFonts w:cs="Arial"/>
            </w:rPr>
            <w:fldChar w:fldCharType="separate"/>
          </w:r>
          <w:r>
            <w:rPr>
              <w:rFonts w:cs="Arial"/>
            </w:rPr>
            <w:t>11</w:t>
          </w:r>
          <w:r>
            <w:rPr>
              <w:rFonts w:cs="Arial"/>
            </w:rPr>
            <w:fldChar w:fldCharType="end"/>
          </w:r>
          <w:r>
            <w:rPr>
              <w:rFonts w:cs="Arial"/>
            </w:rPr>
            <w:fldChar w:fldCharType="end"/>
          </w:r>
        </w:p>
        <w:p w14:paraId="62E7BF33">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"_Toc197073392" </w:instrText>
          </w:r>
          <w:r>
            <w:fldChar w:fldCharType="separate"/>
          </w:r>
          <w:r>
            <w:rPr>
              <w:rStyle w:val="16"/>
              <w:rFonts w:cs="Arial"/>
            </w:rPr>
            <w:t>2.3</w:t>
          </w:r>
          <w:r>
            <w:rPr>
              <w:rFonts w:cs="Arial" w:eastAsiaTheme="minorEastAsia"/>
              <w:kern w:val="2"/>
              <w:szCs w:val="24"/>
              <w:lang w:eastAsia="en-GB"/>
              <w14:ligatures w14:val="standardContextual"/>
            </w:rPr>
            <w:tab/>
          </w:r>
          <w:r>
            <w:rPr>
              <w:rStyle w:val="16"/>
              <w:rFonts w:cs="Arial"/>
            </w:rPr>
            <w:t>Factors Impacting Diversity and Inclusion Strategies</w:t>
          </w:r>
          <w:r>
            <w:rPr>
              <w:rFonts w:cs="Arial"/>
            </w:rPr>
            <w:tab/>
          </w:r>
          <w:r>
            <w:rPr>
              <w:rFonts w:cs="Arial"/>
            </w:rPr>
            <w:fldChar w:fldCharType="begin"/>
          </w:r>
          <w:r>
            <w:rPr>
              <w:rFonts w:cs="Arial"/>
            </w:rPr>
            <w:instrText xml:space="preserve"> PAGEREF _Toc197073392 \h </w:instrText>
          </w:r>
          <w:r>
            <w:rPr>
              <w:rFonts w:cs="Arial"/>
            </w:rPr>
            <w:fldChar w:fldCharType="separate"/>
          </w:r>
          <w:r>
            <w:rPr>
              <w:rFonts w:cs="Arial"/>
            </w:rPr>
            <w:t>11</w:t>
          </w:r>
          <w:r>
            <w:rPr>
              <w:rFonts w:cs="Arial"/>
            </w:rPr>
            <w:fldChar w:fldCharType="end"/>
          </w:r>
          <w:r>
            <w:rPr>
              <w:rFonts w:cs="Arial"/>
            </w:rPr>
            <w:fldChar w:fldCharType="end"/>
          </w:r>
        </w:p>
        <w:p w14:paraId="6F9F00C2">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"_Toc197073393" </w:instrText>
          </w:r>
          <w:r>
            <w:fldChar w:fldCharType="separate"/>
          </w:r>
          <w:r>
            <w:rPr>
              <w:rStyle w:val="16"/>
              <w:rFonts w:cs="Arial"/>
            </w:rPr>
            <w:t>2.4</w:t>
          </w:r>
          <w:r>
            <w:rPr>
              <w:rFonts w:cs="Arial" w:eastAsiaTheme="minorEastAsia"/>
              <w:kern w:val="2"/>
              <w:szCs w:val="24"/>
              <w:lang w:eastAsia="en-GB"/>
              <w14:ligatures w14:val="standardContextual"/>
            </w:rPr>
            <w:tab/>
          </w:r>
          <w:r>
            <w:rPr>
              <w:rStyle w:val="16"/>
              <w:rFonts w:cs="Arial"/>
            </w:rPr>
            <w:t>Empirical Reviews</w:t>
          </w:r>
          <w:r>
            <w:rPr>
              <w:rFonts w:cs="Arial"/>
            </w:rPr>
            <w:tab/>
          </w:r>
          <w:r>
            <w:rPr>
              <w:rFonts w:cs="Arial"/>
            </w:rPr>
            <w:fldChar w:fldCharType="begin"/>
          </w:r>
          <w:r>
            <w:rPr>
              <w:rFonts w:cs="Arial"/>
            </w:rPr>
            <w:instrText xml:space="preserve"> PAGEREF _Toc197073393 \h </w:instrText>
          </w:r>
          <w:r>
            <w:rPr>
              <w:rFonts w:cs="Arial"/>
            </w:rPr>
            <w:fldChar w:fldCharType="separate"/>
          </w:r>
          <w:r>
            <w:rPr>
              <w:rFonts w:cs="Arial"/>
            </w:rPr>
            <w:t>11</w:t>
          </w:r>
          <w:r>
            <w:rPr>
              <w:rFonts w:cs="Arial"/>
            </w:rPr>
            <w:fldChar w:fldCharType="end"/>
          </w:r>
          <w:r>
            <w:rPr>
              <w:rFonts w:cs="Arial"/>
            </w:rPr>
            <w:fldChar w:fldCharType="end"/>
          </w:r>
        </w:p>
        <w:p w14:paraId="41ED0EA2">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"_Toc197073394" </w:instrText>
          </w:r>
          <w:r>
            <w:fldChar w:fldCharType="separate"/>
          </w:r>
          <w:r>
            <w:rPr>
              <w:rStyle w:val="16"/>
              <w:rFonts w:cs="Arial"/>
              <w:lang w:eastAsia="en-GB"/>
            </w:rPr>
            <w:t>2.4.1</w:t>
          </w:r>
          <w:r>
            <w:rPr>
              <w:rFonts w:cs="Arial" w:eastAsiaTheme="minorEastAsia"/>
              <w:kern w:val="2"/>
              <w:szCs w:val="24"/>
              <w:lang w:eastAsia="en-GB"/>
              <w14:ligatures w14:val="standardContextual"/>
            </w:rPr>
            <w:tab/>
          </w:r>
          <w:r>
            <w:rPr>
              <w:rStyle w:val="16"/>
              <w:rFonts w:cs="Arial"/>
              <w:lang w:eastAsia="en-GB"/>
            </w:rPr>
            <w:t>Relationship Between D&amp;I Strategies and Employee Satisfaction</w:t>
          </w:r>
          <w:r>
            <w:rPr>
              <w:rFonts w:cs="Arial"/>
            </w:rPr>
            <w:tab/>
          </w:r>
          <w:r>
            <w:rPr>
              <w:rFonts w:cs="Arial"/>
            </w:rPr>
            <w:fldChar w:fldCharType="begin"/>
          </w:r>
          <w:r>
            <w:rPr>
              <w:rFonts w:cs="Arial"/>
            </w:rPr>
            <w:instrText xml:space="preserve"> PAGEREF _Toc197073394 \h </w:instrText>
          </w:r>
          <w:r>
            <w:rPr>
              <w:rFonts w:cs="Arial"/>
            </w:rPr>
            <w:fldChar w:fldCharType="separate"/>
          </w:r>
          <w:r>
            <w:rPr>
              <w:rFonts w:cs="Arial"/>
            </w:rPr>
            <w:t>11</w:t>
          </w:r>
          <w:r>
            <w:rPr>
              <w:rFonts w:cs="Arial"/>
            </w:rPr>
            <w:fldChar w:fldCharType="end"/>
          </w:r>
          <w:r>
            <w:rPr>
              <w:rFonts w:cs="Arial"/>
            </w:rPr>
            <w:fldChar w:fldCharType="end"/>
          </w:r>
        </w:p>
        <w:p w14:paraId="3E5735F1">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"_Toc197073395" </w:instrText>
          </w:r>
          <w:r>
            <w:fldChar w:fldCharType="separate"/>
          </w:r>
          <w:r>
            <w:rPr>
              <w:rStyle w:val="16"/>
              <w:rFonts w:cs="Arial"/>
              <w:lang w:eastAsia="en-GB"/>
            </w:rPr>
            <w:t>2.4.2</w:t>
          </w:r>
          <w:r>
            <w:rPr>
              <w:rFonts w:cs="Arial" w:eastAsiaTheme="minorEastAsia"/>
              <w:kern w:val="2"/>
              <w:szCs w:val="24"/>
              <w:lang w:eastAsia="en-GB"/>
              <w14:ligatures w14:val="standardContextual"/>
            </w:rPr>
            <w:tab/>
          </w:r>
          <w:r>
            <w:rPr>
              <w:rStyle w:val="16"/>
              <w:rFonts w:cs="Arial"/>
              <w:lang w:eastAsia="en-GB"/>
            </w:rPr>
            <w:t>Barriers to Effective D&amp;I Implementation</w:t>
          </w:r>
          <w:r>
            <w:rPr>
              <w:rFonts w:cs="Arial"/>
            </w:rPr>
            <w:tab/>
          </w:r>
          <w:r>
            <w:rPr>
              <w:rFonts w:cs="Arial"/>
            </w:rPr>
            <w:fldChar w:fldCharType="begin"/>
          </w:r>
          <w:r>
            <w:rPr>
              <w:rFonts w:cs="Arial"/>
            </w:rPr>
            <w:instrText xml:space="preserve"> PAGEREF _Toc197073395 \h </w:instrText>
          </w:r>
          <w:r>
            <w:rPr>
              <w:rFonts w:cs="Arial"/>
            </w:rPr>
            <w:fldChar w:fldCharType="separate"/>
          </w:r>
          <w:r>
            <w:rPr>
              <w:rFonts w:cs="Arial"/>
            </w:rPr>
            <w:t>12</w:t>
          </w:r>
          <w:r>
            <w:rPr>
              <w:rFonts w:cs="Arial"/>
            </w:rPr>
            <w:fldChar w:fldCharType="end"/>
          </w:r>
          <w:r>
            <w:rPr>
              <w:rFonts w:cs="Arial"/>
            </w:rPr>
            <w:fldChar w:fldCharType="end"/>
          </w:r>
        </w:p>
        <w:p w14:paraId="32BD3744">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"_Toc197073396" </w:instrText>
          </w:r>
          <w:r>
            <w:fldChar w:fldCharType="separate"/>
          </w:r>
          <w:r>
            <w:rPr>
              <w:rStyle w:val="16"/>
              <w:rFonts w:cs="Arial"/>
              <w:lang w:eastAsia="en-GB"/>
            </w:rPr>
            <w:t>2.4.3</w:t>
          </w:r>
          <w:r>
            <w:rPr>
              <w:rFonts w:cs="Arial" w:eastAsiaTheme="minorEastAsia"/>
              <w:kern w:val="2"/>
              <w:szCs w:val="24"/>
              <w:lang w:eastAsia="en-GB"/>
              <w14:ligatures w14:val="standardContextual"/>
            </w:rPr>
            <w:tab/>
          </w:r>
          <w:r>
            <w:rPr>
              <w:rStyle w:val="16"/>
              <w:rFonts w:cs="Arial"/>
              <w:lang w:eastAsia="en-GB"/>
            </w:rPr>
            <w:t>Role of D&amp;I in Enhancing Workforce Stability</w:t>
          </w:r>
          <w:r>
            <w:rPr>
              <w:rFonts w:cs="Arial"/>
            </w:rPr>
            <w:tab/>
          </w:r>
          <w:r>
            <w:rPr>
              <w:rFonts w:cs="Arial"/>
            </w:rPr>
            <w:fldChar w:fldCharType="begin"/>
          </w:r>
          <w:r>
            <w:rPr>
              <w:rFonts w:cs="Arial"/>
            </w:rPr>
            <w:instrText xml:space="preserve"> PAGEREF _Toc197073396 \h </w:instrText>
          </w:r>
          <w:r>
            <w:rPr>
              <w:rFonts w:cs="Arial"/>
            </w:rPr>
            <w:fldChar w:fldCharType="separate"/>
          </w:r>
          <w:r>
            <w:rPr>
              <w:rFonts w:cs="Arial"/>
            </w:rPr>
            <w:t>12</w:t>
          </w:r>
          <w:r>
            <w:rPr>
              <w:rFonts w:cs="Arial"/>
            </w:rPr>
            <w:fldChar w:fldCharType="end"/>
          </w:r>
          <w:r>
            <w:rPr>
              <w:rFonts w:cs="Arial"/>
            </w:rPr>
            <w:fldChar w:fldCharType="end"/>
          </w:r>
        </w:p>
        <w:p w14:paraId="1FFE07F1">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"_Toc197073397" </w:instrText>
          </w:r>
          <w:r>
            <w:fldChar w:fldCharType="separate"/>
          </w:r>
          <w:r>
            <w:rPr>
              <w:rStyle w:val="16"/>
              <w:rFonts w:cs="Arial"/>
              <w:lang w:eastAsia="en-GB"/>
            </w:rPr>
            <w:t>2.4.4</w:t>
          </w:r>
          <w:r>
            <w:rPr>
              <w:rFonts w:cs="Arial" w:eastAsiaTheme="minorEastAsia"/>
              <w:kern w:val="2"/>
              <w:szCs w:val="24"/>
              <w:lang w:eastAsia="en-GB"/>
              <w14:ligatures w14:val="standardContextual"/>
            </w:rPr>
            <w:tab/>
          </w:r>
          <w:r>
            <w:rPr>
              <w:rStyle w:val="16"/>
              <w:rFonts w:cs="Arial"/>
              <w:lang w:eastAsia="en-GB"/>
            </w:rPr>
            <w:t>Impact of Inclusive Leadership on Staff Retention</w:t>
          </w:r>
          <w:r>
            <w:rPr>
              <w:rFonts w:cs="Arial"/>
            </w:rPr>
            <w:tab/>
          </w:r>
          <w:r>
            <w:rPr>
              <w:rFonts w:cs="Arial"/>
            </w:rPr>
            <w:fldChar w:fldCharType="begin"/>
          </w:r>
          <w:r>
            <w:rPr>
              <w:rFonts w:cs="Arial"/>
            </w:rPr>
            <w:instrText xml:space="preserve"> PAGEREF _Toc197073397 \h </w:instrText>
          </w:r>
          <w:r>
            <w:rPr>
              <w:rFonts w:cs="Arial"/>
            </w:rPr>
            <w:fldChar w:fldCharType="separate"/>
          </w:r>
          <w:r>
            <w:rPr>
              <w:rFonts w:cs="Arial"/>
            </w:rPr>
            <w:t>13</w:t>
          </w:r>
          <w:r>
            <w:rPr>
              <w:rFonts w:cs="Arial"/>
            </w:rPr>
            <w:fldChar w:fldCharType="end"/>
          </w:r>
          <w:r>
            <w:rPr>
              <w:rFonts w:cs="Arial"/>
            </w:rPr>
            <w:fldChar w:fldCharType="end"/>
          </w:r>
        </w:p>
        <w:p w14:paraId="6F837307">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"_Toc197073398" </w:instrText>
          </w:r>
          <w:r>
            <w:fldChar w:fldCharType="separate"/>
          </w:r>
          <w:r>
            <w:rPr>
              <w:rStyle w:val="16"/>
              <w:rFonts w:cs="Arial"/>
            </w:rPr>
            <w:t>2.5</w:t>
          </w:r>
          <w:r>
            <w:rPr>
              <w:rFonts w:cs="Arial" w:eastAsiaTheme="minorEastAsia"/>
              <w:kern w:val="2"/>
              <w:szCs w:val="24"/>
              <w:lang w:eastAsia="en-GB"/>
              <w14:ligatures w14:val="standardContextual"/>
            </w:rPr>
            <w:tab/>
          </w:r>
          <w:r>
            <w:rPr>
              <w:rStyle w:val="16"/>
              <w:rFonts w:cs="Arial"/>
            </w:rPr>
            <w:t>Research Gap</w:t>
          </w:r>
          <w:r>
            <w:rPr>
              <w:rFonts w:cs="Arial"/>
            </w:rPr>
            <w:tab/>
          </w:r>
          <w:r>
            <w:rPr>
              <w:rFonts w:cs="Arial"/>
            </w:rPr>
            <w:fldChar w:fldCharType="begin"/>
          </w:r>
          <w:r>
            <w:rPr>
              <w:rFonts w:cs="Arial"/>
            </w:rPr>
            <w:instrText xml:space="preserve"> PAGEREF _Toc197073398 \h </w:instrText>
          </w:r>
          <w:r>
            <w:rPr>
              <w:rFonts w:cs="Arial"/>
            </w:rPr>
            <w:fldChar w:fldCharType="separate"/>
          </w:r>
          <w:r>
            <w:rPr>
              <w:rFonts w:cs="Arial"/>
            </w:rPr>
            <w:t>14</w:t>
          </w:r>
          <w:r>
            <w:rPr>
              <w:rFonts w:cs="Arial"/>
            </w:rPr>
            <w:fldChar w:fldCharType="end"/>
          </w:r>
          <w:r>
            <w:rPr>
              <w:rFonts w:cs="Arial"/>
            </w:rPr>
            <w:fldChar w:fldCharType="end"/>
          </w:r>
        </w:p>
        <w:p w14:paraId="20E0C284">
          <w:pPr>
            <w:pStyle w:val="22"/>
            <w:tabs>
              <w:tab w:val="left" w:pos="480"/>
              <w:tab w:val="right" w:leader="dot" w:pos="9016"/>
            </w:tabs>
            <w:rPr>
              <w:rFonts w:cs="Arial" w:eastAsiaTheme="minorEastAsia"/>
              <w:sz w:val="24"/>
              <w:szCs w:val="24"/>
              <w:lang w:eastAsia="en-GB"/>
            </w:rPr>
          </w:pPr>
          <w:r>
            <w:fldChar w:fldCharType="begin"/>
          </w:r>
          <w:r>
            <w:instrText xml:space="preserve"> HYPERLINK \l "_Toc197073399" </w:instrText>
          </w:r>
          <w:r>
            <w:fldChar w:fldCharType="separate"/>
          </w:r>
          <w:r>
            <w:rPr>
              <w:rStyle w:val="16"/>
              <w:rFonts w:cs="Arial"/>
            </w:rPr>
            <w:t>3.</w:t>
          </w:r>
          <w:r>
            <w:rPr>
              <w:rFonts w:cs="Arial" w:eastAsiaTheme="minorEastAsia"/>
              <w:sz w:val="24"/>
              <w:szCs w:val="24"/>
              <w:lang w:eastAsia="en-GB"/>
            </w:rPr>
            <w:tab/>
          </w:r>
          <w:r>
            <w:rPr>
              <w:rStyle w:val="16"/>
              <w:rFonts w:cs="Arial"/>
            </w:rPr>
            <w:t>Research Methodology</w:t>
          </w:r>
          <w:r>
            <w:rPr>
              <w:rFonts w:cs="Arial"/>
            </w:rPr>
            <w:tab/>
          </w:r>
          <w:r>
            <w:rPr>
              <w:rFonts w:cs="Arial"/>
            </w:rPr>
            <w:fldChar w:fldCharType="begin"/>
          </w:r>
          <w:r>
            <w:rPr>
              <w:rFonts w:cs="Arial"/>
            </w:rPr>
            <w:instrText xml:space="preserve"> PAGEREF _Toc197073399 \h </w:instrText>
          </w:r>
          <w:r>
            <w:rPr>
              <w:rFonts w:cs="Arial"/>
            </w:rPr>
            <w:fldChar w:fldCharType="separate"/>
          </w:r>
          <w:r>
            <w:rPr>
              <w:rFonts w:cs="Arial"/>
            </w:rPr>
            <w:t>15</w:t>
          </w:r>
          <w:r>
            <w:rPr>
              <w:rFonts w:cs="Arial"/>
            </w:rPr>
            <w:fldChar w:fldCharType="end"/>
          </w:r>
          <w:r>
            <w:rPr>
              <w:rFonts w:cs="Arial"/>
            </w:rPr>
            <w:fldChar w:fldCharType="end"/>
          </w:r>
        </w:p>
        <w:p w14:paraId="6992F5E0">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"_Toc197073400" </w:instrText>
          </w:r>
          <w:r>
            <w:fldChar w:fldCharType="separate"/>
          </w:r>
          <w:r>
            <w:rPr>
              <w:rStyle w:val="16"/>
              <w:rFonts w:cs="Arial"/>
            </w:rPr>
            <w:t>3.1</w:t>
          </w:r>
          <w:r>
            <w:rPr>
              <w:rFonts w:cs="Arial" w:eastAsiaTheme="minorEastAsia"/>
              <w:kern w:val="2"/>
              <w:szCs w:val="24"/>
              <w:lang w:eastAsia="en-GB"/>
              <w14:ligatures w14:val="standardContextual"/>
            </w:rPr>
            <w:tab/>
          </w:r>
          <w:r>
            <w:rPr>
              <w:rStyle w:val="16"/>
              <w:rFonts w:cs="Arial"/>
            </w:rPr>
            <w:t>Introduction</w:t>
          </w:r>
          <w:r>
            <w:rPr>
              <w:rFonts w:cs="Arial"/>
            </w:rPr>
            <w:tab/>
          </w:r>
          <w:r>
            <w:rPr>
              <w:rFonts w:cs="Arial"/>
            </w:rPr>
            <w:fldChar w:fldCharType="begin"/>
          </w:r>
          <w:r>
            <w:rPr>
              <w:rFonts w:cs="Arial"/>
            </w:rPr>
            <w:instrText xml:space="preserve"> PAGEREF _Toc197073400 \h </w:instrText>
          </w:r>
          <w:r>
            <w:rPr>
              <w:rFonts w:cs="Arial"/>
            </w:rPr>
            <w:fldChar w:fldCharType="separate"/>
          </w:r>
          <w:r>
            <w:rPr>
              <w:rFonts w:cs="Arial"/>
            </w:rPr>
            <w:t>15</w:t>
          </w:r>
          <w:r>
            <w:rPr>
              <w:rFonts w:cs="Arial"/>
            </w:rPr>
            <w:fldChar w:fldCharType="end"/>
          </w:r>
          <w:r>
            <w:rPr>
              <w:rFonts w:cs="Arial"/>
            </w:rPr>
            <w:fldChar w:fldCharType="end"/>
          </w:r>
        </w:p>
        <w:p w14:paraId="45EF8DDB">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"_Toc197073401" </w:instrText>
          </w:r>
          <w:r>
            <w:fldChar w:fldCharType="separate"/>
          </w:r>
          <w:r>
            <w:rPr>
              <w:rStyle w:val="16"/>
              <w:rFonts w:cs="Arial"/>
            </w:rPr>
            <w:t>3.2</w:t>
          </w:r>
          <w:r>
            <w:rPr>
              <w:rFonts w:cs="Arial" w:eastAsiaTheme="minorEastAsia"/>
              <w:kern w:val="2"/>
              <w:szCs w:val="24"/>
              <w:lang w:eastAsia="en-GB"/>
              <w14:ligatures w14:val="standardContextual"/>
            </w:rPr>
            <w:tab/>
          </w:r>
          <w:r>
            <w:rPr>
              <w:rStyle w:val="16"/>
              <w:rFonts w:cs="Arial"/>
            </w:rPr>
            <w:t>Research Philosophy</w:t>
          </w:r>
          <w:r>
            <w:rPr>
              <w:rFonts w:cs="Arial"/>
            </w:rPr>
            <w:tab/>
          </w:r>
          <w:r>
            <w:rPr>
              <w:rFonts w:cs="Arial"/>
            </w:rPr>
            <w:fldChar w:fldCharType="begin"/>
          </w:r>
          <w:r>
            <w:rPr>
              <w:rFonts w:cs="Arial"/>
            </w:rPr>
            <w:instrText xml:space="preserve"> PAGEREF _Toc197073401 \h </w:instrText>
          </w:r>
          <w:r>
            <w:rPr>
              <w:rFonts w:cs="Arial"/>
            </w:rPr>
            <w:fldChar w:fldCharType="separate"/>
          </w:r>
          <w:r>
            <w:rPr>
              <w:rFonts w:cs="Arial"/>
            </w:rPr>
            <w:t>15</w:t>
          </w:r>
          <w:r>
            <w:rPr>
              <w:rFonts w:cs="Arial"/>
            </w:rPr>
            <w:fldChar w:fldCharType="end"/>
          </w:r>
          <w:r>
            <w:rPr>
              <w:rFonts w:cs="Arial"/>
            </w:rPr>
            <w:fldChar w:fldCharType="end"/>
          </w:r>
        </w:p>
        <w:p w14:paraId="1221F197">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"_Toc197073402" </w:instrText>
          </w:r>
          <w:r>
            <w:fldChar w:fldCharType="separate"/>
          </w:r>
          <w:r>
            <w:rPr>
              <w:rStyle w:val="16"/>
              <w:rFonts w:cs="Arial"/>
              <w:lang w:val="en" w:eastAsia="en-GB"/>
            </w:rPr>
            <w:t>3.2.1</w:t>
          </w:r>
          <w:r>
            <w:rPr>
              <w:rFonts w:cs="Arial" w:eastAsiaTheme="minorEastAsia"/>
              <w:kern w:val="2"/>
              <w:szCs w:val="24"/>
              <w:lang w:eastAsia="en-GB"/>
              <w14:ligatures w14:val="standardContextual"/>
            </w:rPr>
            <w:tab/>
          </w:r>
          <w:r>
            <w:rPr>
              <w:rStyle w:val="16"/>
              <w:rFonts w:cs="Arial"/>
              <w:lang w:val="en" w:eastAsia="en-GB"/>
            </w:rPr>
            <w:t>Ontological Stance</w:t>
          </w:r>
          <w:r>
            <w:rPr>
              <w:rFonts w:cs="Arial"/>
            </w:rPr>
            <w:tab/>
          </w:r>
          <w:r>
            <w:rPr>
              <w:rFonts w:cs="Arial"/>
            </w:rPr>
            <w:fldChar w:fldCharType="begin"/>
          </w:r>
          <w:r>
            <w:rPr>
              <w:rFonts w:cs="Arial"/>
            </w:rPr>
            <w:instrText xml:space="preserve"> PAGEREF _Toc197073402 \h </w:instrText>
          </w:r>
          <w:r>
            <w:rPr>
              <w:rFonts w:cs="Arial"/>
            </w:rPr>
            <w:fldChar w:fldCharType="separate"/>
          </w:r>
          <w:r>
            <w:rPr>
              <w:rFonts w:cs="Arial"/>
            </w:rPr>
            <w:t>15</w:t>
          </w:r>
          <w:r>
            <w:rPr>
              <w:rFonts w:cs="Arial"/>
            </w:rPr>
            <w:fldChar w:fldCharType="end"/>
          </w:r>
          <w:r>
            <w:rPr>
              <w:rFonts w:cs="Arial"/>
            </w:rPr>
            <w:fldChar w:fldCharType="end"/>
          </w:r>
        </w:p>
        <w:p w14:paraId="3B3DD7F7">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"_Toc197073403" </w:instrText>
          </w:r>
          <w:r>
            <w:fldChar w:fldCharType="separate"/>
          </w:r>
          <w:r>
            <w:rPr>
              <w:rStyle w:val="16"/>
              <w:rFonts w:cs="Arial"/>
              <w:lang w:val="en" w:eastAsia="en-GB"/>
            </w:rPr>
            <w:t>3.2.2</w:t>
          </w:r>
          <w:r>
            <w:rPr>
              <w:rFonts w:cs="Arial" w:eastAsiaTheme="minorEastAsia"/>
              <w:kern w:val="2"/>
              <w:szCs w:val="24"/>
              <w:lang w:eastAsia="en-GB"/>
              <w14:ligatures w14:val="standardContextual"/>
            </w:rPr>
            <w:tab/>
          </w:r>
          <w:r>
            <w:rPr>
              <w:rStyle w:val="16"/>
              <w:rFonts w:cs="Arial"/>
              <w:lang w:val="en" w:eastAsia="en-GB"/>
            </w:rPr>
            <w:t>Epistemological Stance</w:t>
          </w:r>
          <w:r>
            <w:rPr>
              <w:rFonts w:cs="Arial"/>
            </w:rPr>
            <w:tab/>
          </w:r>
          <w:r>
            <w:rPr>
              <w:rFonts w:cs="Arial"/>
            </w:rPr>
            <w:fldChar w:fldCharType="begin"/>
          </w:r>
          <w:r>
            <w:rPr>
              <w:rFonts w:cs="Arial"/>
            </w:rPr>
            <w:instrText xml:space="preserve"> PAGEREF _Toc197073403 \h </w:instrText>
          </w:r>
          <w:r>
            <w:rPr>
              <w:rFonts w:cs="Arial"/>
            </w:rPr>
            <w:fldChar w:fldCharType="separate"/>
          </w:r>
          <w:r>
            <w:rPr>
              <w:rFonts w:cs="Arial"/>
            </w:rPr>
            <w:t>16</w:t>
          </w:r>
          <w:r>
            <w:rPr>
              <w:rFonts w:cs="Arial"/>
            </w:rPr>
            <w:fldChar w:fldCharType="end"/>
          </w:r>
          <w:r>
            <w:rPr>
              <w:rFonts w:cs="Arial"/>
            </w:rPr>
            <w:fldChar w:fldCharType="end"/>
          </w:r>
        </w:p>
        <w:p w14:paraId="4E92FBB7">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"_Toc197073404" </w:instrText>
          </w:r>
          <w:r>
            <w:fldChar w:fldCharType="separate"/>
          </w:r>
          <w:r>
            <w:rPr>
              <w:rStyle w:val="16"/>
              <w:rFonts w:cs="Arial"/>
            </w:rPr>
            <w:t>3.3</w:t>
          </w:r>
          <w:r>
            <w:rPr>
              <w:rFonts w:cs="Arial" w:eastAsiaTheme="minorEastAsia"/>
              <w:kern w:val="2"/>
              <w:szCs w:val="24"/>
              <w:lang w:eastAsia="en-GB"/>
              <w14:ligatures w14:val="standardContextual"/>
            </w:rPr>
            <w:tab/>
          </w:r>
          <w:r>
            <w:rPr>
              <w:rStyle w:val="16"/>
              <w:rFonts w:cs="Arial"/>
            </w:rPr>
            <w:t>Research Approach</w:t>
          </w:r>
          <w:r>
            <w:rPr>
              <w:rFonts w:cs="Arial"/>
            </w:rPr>
            <w:tab/>
          </w:r>
          <w:r>
            <w:rPr>
              <w:rFonts w:cs="Arial"/>
            </w:rPr>
            <w:fldChar w:fldCharType="begin"/>
          </w:r>
          <w:r>
            <w:rPr>
              <w:rFonts w:cs="Arial"/>
            </w:rPr>
            <w:instrText xml:space="preserve"> PAGEREF _Toc197073404 \h </w:instrText>
          </w:r>
          <w:r>
            <w:rPr>
              <w:rFonts w:cs="Arial"/>
            </w:rPr>
            <w:fldChar w:fldCharType="separate"/>
          </w:r>
          <w:r>
            <w:rPr>
              <w:rFonts w:cs="Arial"/>
            </w:rPr>
            <w:t>16</w:t>
          </w:r>
          <w:r>
            <w:rPr>
              <w:rFonts w:cs="Arial"/>
            </w:rPr>
            <w:fldChar w:fldCharType="end"/>
          </w:r>
          <w:r>
            <w:rPr>
              <w:rFonts w:cs="Arial"/>
            </w:rPr>
            <w:fldChar w:fldCharType="end"/>
          </w:r>
        </w:p>
        <w:p w14:paraId="77CF8547">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"_Toc197073405" </w:instrText>
          </w:r>
          <w:r>
            <w:fldChar w:fldCharType="separate"/>
          </w:r>
          <w:r>
            <w:rPr>
              <w:rStyle w:val="16"/>
              <w:rFonts w:cs="Arial"/>
            </w:rPr>
            <w:t>3.4</w:t>
          </w:r>
          <w:r>
            <w:rPr>
              <w:rFonts w:cs="Arial" w:eastAsiaTheme="minorEastAsia"/>
              <w:kern w:val="2"/>
              <w:szCs w:val="24"/>
              <w:lang w:eastAsia="en-GB"/>
              <w14:ligatures w14:val="standardContextual"/>
            </w:rPr>
            <w:tab/>
          </w:r>
          <w:r>
            <w:rPr>
              <w:rStyle w:val="16"/>
              <w:rFonts w:cs="Arial"/>
            </w:rPr>
            <w:t>Research Strategy</w:t>
          </w:r>
          <w:r>
            <w:rPr>
              <w:rFonts w:cs="Arial"/>
            </w:rPr>
            <w:tab/>
          </w:r>
          <w:r>
            <w:rPr>
              <w:rFonts w:cs="Arial"/>
            </w:rPr>
            <w:fldChar w:fldCharType="begin"/>
          </w:r>
          <w:r>
            <w:rPr>
              <w:rFonts w:cs="Arial"/>
            </w:rPr>
            <w:instrText xml:space="preserve"> PAGEREF _Toc197073405 \h </w:instrText>
          </w:r>
          <w:r>
            <w:rPr>
              <w:rFonts w:cs="Arial"/>
            </w:rPr>
            <w:fldChar w:fldCharType="separate"/>
          </w:r>
          <w:r>
            <w:rPr>
              <w:rFonts w:cs="Arial"/>
            </w:rPr>
            <w:t>16</w:t>
          </w:r>
          <w:r>
            <w:rPr>
              <w:rFonts w:cs="Arial"/>
            </w:rPr>
            <w:fldChar w:fldCharType="end"/>
          </w:r>
          <w:r>
            <w:rPr>
              <w:rFonts w:cs="Arial"/>
            </w:rPr>
            <w:fldChar w:fldCharType="end"/>
          </w:r>
        </w:p>
        <w:p w14:paraId="6F38E0E9">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"_Toc197073406" </w:instrText>
          </w:r>
          <w:r>
            <w:fldChar w:fldCharType="separate"/>
          </w:r>
          <w:r>
            <w:rPr>
              <w:rStyle w:val="16"/>
              <w:rFonts w:cs="Arial"/>
            </w:rPr>
            <w:t>3.5</w:t>
          </w:r>
          <w:r>
            <w:rPr>
              <w:rFonts w:cs="Arial" w:eastAsiaTheme="minorEastAsia"/>
              <w:kern w:val="2"/>
              <w:szCs w:val="24"/>
              <w:lang w:eastAsia="en-GB"/>
              <w14:ligatures w14:val="standardContextual"/>
            </w:rPr>
            <w:tab/>
          </w:r>
          <w:r>
            <w:rPr>
              <w:rStyle w:val="16"/>
              <w:rFonts w:cs="Arial"/>
            </w:rPr>
            <w:t>Research Method</w:t>
          </w:r>
          <w:r>
            <w:rPr>
              <w:rFonts w:cs="Arial"/>
            </w:rPr>
            <w:tab/>
          </w:r>
          <w:r>
            <w:rPr>
              <w:rFonts w:cs="Arial"/>
            </w:rPr>
            <w:fldChar w:fldCharType="begin"/>
          </w:r>
          <w:r>
            <w:rPr>
              <w:rFonts w:cs="Arial"/>
            </w:rPr>
            <w:instrText xml:space="preserve"> PAGEREF _Toc197073406 \h </w:instrText>
          </w:r>
          <w:r>
            <w:rPr>
              <w:rFonts w:cs="Arial"/>
            </w:rPr>
            <w:fldChar w:fldCharType="separate"/>
          </w:r>
          <w:r>
            <w:rPr>
              <w:rFonts w:cs="Arial"/>
            </w:rPr>
            <w:t>16</w:t>
          </w:r>
          <w:r>
            <w:rPr>
              <w:rFonts w:cs="Arial"/>
            </w:rPr>
            <w:fldChar w:fldCharType="end"/>
          </w:r>
          <w:r>
            <w:rPr>
              <w:rFonts w:cs="Arial"/>
            </w:rPr>
            <w:fldChar w:fldCharType="end"/>
          </w:r>
        </w:p>
        <w:p w14:paraId="74194F0A">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"_Toc197073407" </w:instrText>
          </w:r>
          <w:r>
            <w:fldChar w:fldCharType="separate"/>
          </w:r>
          <w:r>
            <w:rPr>
              <w:rStyle w:val="16"/>
              <w:rFonts w:cs="Arial"/>
            </w:rPr>
            <w:t>3.6</w:t>
          </w:r>
          <w:r>
            <w:rPr>
              <w:rFonts w:cs="Arial" w:eastAsiaTheme="minorEastAsia"/>
              <w:kern w:val="2"/>
              <w:szCs w:val="24"/>
              <w:lang w:eastAsia="en-GB"/>
              <w14:ligatures w14:val="standardContextual"/>
            </w:rPr>
            <w:tab/>
          </w:r>
          <w:r>
            <w:rPr>
              <w:rStyle w:val="16"/>
              <w:rFonts w:cs="Arial"/>
            </w:rPr>
            <w:t>Research Time Horizon</w:t>
          </w:r>
          <w:r>
            <w:rPr>
              <w:rFonts w:cs="Arial"/>
            </w:rPr>
            <w:tab/>
          </w:r>
          <w:r>
            <w:rPr>
              <w:rFonts w:cs="Arial"/>
            </w:rPr>
            <w:fldChar w:fldCharType="begin"/>
          </w:r>
          <w:r>
            <w:rPr>
              <w:rFonts w:cs="Arial"/>
            </w:rPr>
            <w:instrText xml:space="preserve"> PAGEREF _Toc197073407 \h </w:instrText>
          </w:r>
          <w:r>
            <w:rPr>
              <w:rFonts w:cs="Arial"/>
            </w:rPr>
            <w:fldChar w:fldCharType="separate"/>
          </w:r>
          <w:r>
            <w:rPr>
              <w:rFonts w:cs="Arial"/>
            </w:rPr>
            <w:t>17</w:t>
          </w:r>
          <w:r>
            <w:rPr>
              <w:rFonts w:cs="Arial"/>
            </w:rPr>
            <w:fldChar w:fldCharType="end"/>
          </w:r>
          <w:r>
            <w:rPr>
              <w:rFonts w:cs="Arial"/>
            </w:rPr>
            <w:fldChar w:fldCharType="end"/>
          </w:r>
        </w:p>
        <w:p w14:paraId="09FA3157">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"_Toc197073408" </w:instrText>
          </w:r>
          <w:r>
            <w:fldChar w:fldCharType="separate"/>
          </w:r>
          <w:r>
            <w:rPr>
              <w:rStyle w:val="16"/>
              <w:rFonts w:cs="Arial"/>
            </w:rPr>
            <w:t>3.7</w:t>
          </w:r>
          <w:r>
            <w:rPr>
              <w:rFonts w:cs="Arial" w:eastAsiaTheme="minorEastAsia"/>
              <w:kern w:val="2"/>
              <w:szCs w:val="24"/>
              <w:lang w:eastAsia="en-GB"/>
              <w14:ligatures w14:val="standardContextual"/>
            </w:rPr>
            <w:tab/>
          </w:r>
          <w:r>
            <w:rPr>
              <w:rStyle w:val="16"/>
              <w:rFonts w:cs="Arial"/>
            </w:rPr>
            <w:t>Data Collection</w:t>
          </w:r>
          <w:r>
            <w:rPr>
              <w:rFonts w:cs="Arial"/>
            </w:rPr>
            <w:tab/>
          </w:r>
          <w:r>
            <w:rPr>
              <w:rFonts w:cs="Arial"/>
            </w:rPr>
            <w:fldChar w:fldCharType="begin"/>
          </w:r>
          <w:r>
            <w:rPr>
              <w:rFonts w:cs="Arial"/>
            </w:rPr>
            <w:instrText xml:space="preserve"> PAGEREF _Toc197073408 \h </w:instrText>
          </w:r>
          <w:r>
            <w:rPr>
              <w:rFonts w:cs="Arial"/>
            </w:rPr>
            <w:fldChar w:fldCharType="separate"/>
          </w:r>
          <w:r>
            <w:rPr>
              <w:rFonts w:cs="Arial"/>
            </w:rPr>
            <w:t>17</w:t>
          </w:r>
          <w:r>
            <w:rPr>
              <w:rFonts w:cs="Arial"/>
            </w:rPr>
            <w:fldChar w:fldCharType="end"/>
          </w:r>
          <w:r>
            <w:rPr>
              <w:rFonts w:cs="Arial"/>
            </w:rPr>
            <w:fldChar w:fldCharType="end"/>
          </w:r>
        </w:p>
        <w:p w14:paraId="5E439013">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"_Toc197073409" </w:instrText>
          </w:r>
          <w:r>
            <w:fldChar w:fldCharType="separate"/>
          </w:r>
          <w:r>
            <w:rPr>
              <w:rStyle w:val="16"/>
              <w:rFonts w:cs="Arial"/>
              <w:lang w:eastAsia="en-GB"/>
            </w:rPr>
            <w:t>3.7.1</w:t>
          </w:r>
          <w:r>
            <w:rPr>
              <w:rFonts w:cs="Arial" w:eastAsiaTheme="minorEastAsia"/>
              <w:kern w:val="2"/>
              <w:szCs w:val="24"/>
              <w:lang w:eastAsia="en-GB"/>
              <w14:ligatures w14:val="standardContextual"/>
            </w:rPr>
            <w:tab/>
          </w:r>
          <w:r>
            <w:rPr>
              <w:rStyle w:val="16"/>
              <w:rFonts w:cs="Arial"/>
              <w:lang w:eastAsia="en-GB"/>
            </w:rPr>
            <w:t>Survey Design and Data Collection</w:t>
          </w:r>
          <w:r>
            <w:rPr>
              <w:rFonts w:cs="Arial"/>
            </w:rPr>
            <w:tab/>
          </w:r>
          <w:r>
            <w:rPr>
              <w:rFonts w:cs="Arial"/>
            </w:rPr>
            <w:fldChar w:fldCharType="begin"/>
          </w:r>
          <w:r>
            <w:rPr>
              <w:rFonts w:cs="Arial"/>
            </w:rPr>
            <w:instrText xml:space="preserve"> PAGEREF _Toc197073409 \h </w:instrText>
          </w:r>
          <w:r>
            <w:rPr>
              <w:rFonts w:cs="Arial"/>
            </w:rPr>
            <w:fldChar w:fldCharType="separate"/>
          </w:r>
          <w:r>
            <w:rPr>
              <w:rFonts w:cs="Arial"/>
            </w:rPr>
            <w:t>17</w:t>
          </w:r>
          <w:r>
            <w:rPr>
              <w:rFonts w:cs="Arial"/>
            </w:rPr>
            <w:fldChar w:fldCharType="end"/>
          </w:r>
          <w:r>
            <w:rPr>
              <w:rFonts w:cs="Arial"/>
            </w:rPr>
            <w:fldChar w:fldCharType="end"/>
          </w:r>
        </w:p>
        <w:p w14:paraId="60FB0EF4">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"_Toc197073410" </w:instrText>
          </w:r>
          <w:r>
            <w:fldChar w:fldCharType="separate"/>
          </w:r>
          <w:r>
            <w:rPr>
              <w:rStyle w:val="16"/>
              <w:rFonts w:cs="Arial"/>
              <w:lang w:eastAsia="en-GB"/>
            </w:rPr>
            <w:t>3.7.2</w:t>
          </w:r>
          <w:r>
            <w:rPr>
              <w:rFonts w:cs="Arial" w:eastAsiaTheme="minorEastAsia"/>
              <w:kern w:val="2"/>
              <w:szCs w:val="24"/>
              <w:lang w:eastAsia="en-GB"/>
              <w14:ligatures w14:val="standardContextual"/>
            </w:rPr>
            <w:tab/>
          </w:r>
          <w:r>
            <w:rPr>
              <w:rStyle w:val="16"/>
              <w:rFonts w:cs="Arial"/>
              <w:lang w:eastAsia="en-GB"/>
            </w:rPr>
            <w:t>Semi-Structured Interviews</w:t>
          </w:r>
          <w:r>
            <w:rPr>
              <w:rFonts w:cs="Arial"/>
            </w:rPr>
            <w:tab/>
          </w:r>
          <w:r>
            <w:rPr>
              <w:rFonts w:cs="Arial"/>
            </w:rPr>
            <w:fldChar w:fldCharType="begin"/>
          </w:r>
          <w:r>
            <w:rPr>
              <w:rFonts w:cs="Arial"/>
            </w:rPr>
            <w:instrText xml:space="preserve"> PAGEREF _Toc197073410 \h </w:instrText>
          </w:r>
          <w:r>
            <w:rPr>
              <w:rFonts w:cs="Arial"/>
            </w:rPr>
            <w:fldChar w:fldCharType="separate"/>
          </w:r>
          <w:r>
            <w:rPr>
              <w:rFonts w:cs="Arial"/>
            </w:rPr>
            <w:t>18</w:t>
          </w:r>
          <w:r>
            <w:rPr>
              <w:rFonts w:cs="Arial"/>
            </w:rPr>
            <w:fldChar w:fldCharType="end"/>
          </w:r>
          <w:r>
            <w:rPr>
              <w:rFonts w:cs="Arial"/>
            </w:rPr>
            <w:fldChar w:fldCharType="end"/>
          </w:r>
        </w:p>
        <w:p w14:paraId="1A798F9E">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"_Toc197073411" </w:instrText>
          </w:r>
          <w:r>
            <w:fldChar w:fldCharType="separate"/>
          </w:r>
          <w:r>
            <w:rPr>
              <w:rStyle w:val="16"/>
              <w:rFonts w:cs="Arial"/>
            </w:rPr>
            <w:t>3.8</w:t>
          </w:r>
          <w:r>
            <w:rPr>
              <w:rFonts w:cs="Arial" w:eastAsiaTheme="minorEastAsia"/>
              <w:kern w:val="2"/>
              <w:szCs w:val="24"/>
              <w:lang w:eastAsia="en-GB"/>
              <w14:ligatures w14:val="standardContextual"/>
            </w:rPr>
            <w:tab/>
          </w:r>
          <w:r>
            <w:rPr>
              <w:rStyle w:val="16"/>
              <w:rFonts w:cs="Arial"/>
            </w:rPr>
            <w:t>Data Analysis Techniques</w:t>
          </w:r>
          <w:r>
            <w:rPr>
              <w:rFonts w:cs="Arial"/>
            </w:rPr>
            <w:tab/>
          </w:r>
          <w:r>
            <w:rPr>
              <w:rFonts w:cs="Arial"/>
            </w:rPr>
            <w:fldChar w:fldCharType="begin"/>
          </w:r>
          <w:r>
            <w:rPr>
              <w:rFonts w:cs="Arial"/>
            </w:rPr>
            <w:instrText xml:space="preserve"> PAGEREF _Toc197073411 \h </w:instrText>
          </w:r>
          <w:r>
            <w:rPr>
              <w:rFonts w:cs="Arial"/>
            </w:rPr>
            <w:fldChar w:fldCharType="separate"/>
          </w:r>
          <w:r>
            <w:rPr>
              <w:rFonts w:cs="Arial"/>
            </w:rPr>
            <w:t>18</w:t>
          </w:r>
          <w:r>
            <w:rPr>
              <w:rFonts w:cs="Arial"/>
            </w:rPr>
            <w:fldChar w:fldCharType="end"/>
          </w:r>
          <w:r>
            <w:rPr>
              <w:rFonts w:cs="Arial"/>
            </w:rPr>
            <w:fldChar w:fldCharType="end"/>
          </w:r>
        </w:p>
        <w:p w14:paraId="4487663B">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"_Toc197073412" </w:instrText>
          </w:r>
          <w:r>
            <w:fldChar w:fldCharType="separate"/>
          </w:r>
          <w:r>
            <w:rPr>
              <w:rStyle w:val="16"/>
              <w:rFonts w:cs="Arial"/>
              <w:lang w:eastAsia="en-GB"/>
            </w:rPr>
            <w:t>3.8.1</w:t>
          </w:r>
          <w:r>
            <w:rPr>
              <w:rFonts w:cs="Arial" w:eastAsiaTheme="minorEastAsia"/>
              <w:kern w:val="2"/>
              <w:szCs w:val="24"/>
              <w:lang w:eastAsia="en-GB"/>
              <w14:ligatures w14:val="standardContextual"/>
            </w:rPr>
            <w:tab/>
          </w:r>
          <w:r>
            <w:rPr>
              <w:rStyle w:val="16"/>
              <w:rFonts w:cs="Arial"/>
              <w:lang w:eastAsia="en-GB"/>
            </w:rPr>
            <w:t>Quantitative Data Analysis</w:t>
          </w:r>
          <w:r>
            <w:rPr>
              <w:rFonts w:cs="Arial"/>
            </w:rPr>
            <w:tab/>
          </w:r>
          <w:r>
            <w:rPr>
              <w:rFonts w:cs="Arial"/>
            </w:rPr>
            <w:fldChar w:fldCharType="begin"/>
          </w:r>
          <w:r>
            <w:rPr>
              <w:rFonts w:cs="Arial"/>
            </w:rPr>
            <w:instrText xml:space="preserve"> PAGEREF _Toc197073412 \h </w:instrText>
          </w:r>
          <w:r>
            <w:rPr>
              <w:rFonts w:cs="Arial"/>
            </w:rPr>
            <w:fldChar w:fldCharType="separate"/>
          </w:r>
          <w:r>
            <w:rPr>
              <w:rFonts w:cs="Arial"/>
            </w:rPr>
            <w:t>18</w:t>
          </w:r>
          <w:r>
            <w:rPr>
              <w:rFonts w:cs="Arial"/>
            </w:rPr>
            <w:fldChar w:fldCharType="end"/>
          </w:r>
          <w:r>
            <w:rPr>
              <w:rFonts w:cs="Arial"/>
            </w:rPr>
            <w:fldChar w:fldCharType="end"/>
          </w:r>
        </w:p>
        <w:p w14:paraId="1969CA5D">
          <w:pPr>
            <w:pStyle w:val="24"/>
            <w:tabs>
              <w:tab w:val="left" w:pos="1440"/>
              <w:tab w:val="right" w:leader="dot" w:pos="9016"/>
            </w:tabs>
            <w:rPr>
              <w:rFonts w:cs="Arial" w:eastAsiaTheme="minorEastAsia"/>
              <w:kern w:val="2"/>
              <w:szCs w:val="24"/>
              <w:lang w:eastAsia="en-GB"/>
              <w14:ligatures w14:val="standardContextual"/>
            </w:rPr>
          </w:pPr>
          <w:r>
            <w:fldChar w:fldCharType="begin"/>
          </w:r>
          <w:r>
            <w:instrText xml:space="preserve"> HYPERLINK \l "_Toc197073413" </w:instrText>
          </w:r>
          <w:r>
            <w:fldChar w:fldCharType="separate"/>
          </w:r>
          <w:r>
            <w:rPr>
              <w:rStyle w:val="16"/>
              <w:rFonts w:cs="Arial"/>
              <w:lang w:eastAsia="en-GB"/>
            </w:rPr>
            <w:t>3.8.2</w:t>
          </w:r>
          <w:r>
            <w:rPr>
              <w:rFonts w:cs="Arial" w:eastAsiaTheme="minorEastAsia"/>
              <w:kern w:val="2"/>
              <w:szCs w:val="24"/>
              <w:lang w:eastAsia="en-GB"/>
              <w14:ligatures w14:val="standardContextual"/>
            </w:rPr>
            <w:tab/>
          </w:r>
          <w:r>
            <w:rPr>
              <w:rStyle w:val="16"/>
              <w:rFonts w:cs="Arial"/>
              <w:lang w:eastAsia="en-GB"/>
            </w:rPr>
            <w:t>Qualitative Data Analysis</w:t>
          </w:r>
          <w:r>
            <w:rPr>
              <w:rFonts w:cs="Arial"/>
            </w:rPr>
            <w:tab/>
          </w:r>
          <w:r>
            <w:rPr>
              <w:rFonts w:cs="Arial"/>
            </w:rPr>
            <w:fldChar w:fldCharType="begin"/>
          </w:r>
          <w:r>
            <w:rPr>
              <w:rFonts w:cs="Arial"/>
            </w:rPr>
            <w:instrText xml:space="preserve"> PAGEREF _Toc197073413 \h </w:instrText>
          </w:r>
          <w:r>
            <w:rPr>
              <w:rFonts w:cs="Arial"/>
            </w:rPr>
            <w:fldChar w:fldCharType="separate"/>
          </w:r>
          <w:r>
            <w:rPr>
              <w:rFonts w:cs="Arial"/>
            </w:rPr>
            <w:t>18</w:t>
          </w:r>
          <w:r>
            <w:rPr>
              <w:rFonts w:cs="Arial"/>
            </w:rPr>
            <w:fldChar w:fldCharType="end"/>
          </w:r>
          <w:r>
            <w:rPr>
              <w:rFonts w:cs="Arial"/>
            </w:rPr>
            <w:fldChar w:fldCharType="end"/>
          </w:r>
        </w:p>
        <w:p w14:paraId="0A851EF7">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"_Toc197073414" </w:instrText>
          </w:r>
          <w:r>
            <w:fldChar w:fldCharType="separate"/>
          </w:r>
          <w:r>
            <w:rPr>
              <w:rStyle w:val="16"/>
              <w:rFonts w:cs="Arial"/>
            </w:rPr>
            <w:t>3.9</w:t>
          </w:r>
          <w:r>
            <w:rPr>
              <w:rFonts w:cs="Arial" w:eastAsiaTheme="minorEastAsia"/>
              <w:kern w:val="2"/>
              <w:szCs w:val="24"/>
              <w:lang w:eastAsia="en-GB"/>
              <w14:ligatures w14:val="standardContextual"/>
            </w:rPr>
            <w:tab/>
          </w:r>
          <w:r>
            <w:rPr>
              <w:rStyle w:val="16"/>
              <w:rFonts w:cs="Arial"/>
            </w:rPr>
            <w:t>Reliability and Validity</w:t>
          </w:r>
          <w:r>
            <w:rPr>
              <w:rFonts w:cs="Arial"/>
            </w:rPr>
            <w:tab/>
          </w:r>
          <w:r>
            <w:rPr>
              <w:rFonts w:cs="Arial"/>
            </w:rPr>
            <w:fldChar w:fldCharType="begin"/>
          </w:r>
          <w:r>
            <w:rPr>
              <w:rFonts w:cs="Arial"/>
            </w:rPr>
            <w:instrText xml:space="preserve"> PAGEREF _Toc197073414 \h </w:instrText>
          </w:r>
          <w:r>
            <w:rPr>
              <w:rFonts w:cs="Arial"/>
            </w:rPr>
            <w:fldChar w:fldCharType="separate"/>
          </w:r>
          <w:r>
            <w:rPr>
              <w:rFonts w:cs="Arial"/>
            </w:rPr>
            <w:t>18</w:t>
          </w:r>
          <w:r>
            <w:rPr>
              <w:rFonts w:cs="Arial"/>
            </w:rPr>
            <w:fldChar w:fldCharType="end"/>
          </w:r>
          <w:r>
            <w:rPr>
              <w:rFonts w:cs="Arial"/>
            </w:rPr>
            <w:fldChar w:fldCharType="end"/>
          </w:r>
        </w:p>
        <w:p w14:paraId="3001A0A7">
          <w:pPr>
            <w:pStyle w:val="23"/>
            <w:tabs>
              <w:tab w:val="left" w:pos="960"/>
              <w:tab w:val="right" w:leader="dot" w:pos="9016"/>
            </w:tabs>
            <w:rPr>
              <w:rFonts w:cs="Arial" w:eastAsiaTheme="minorEastAsia"/>
              <w:kern w:val="2"/>
              <w:szCs w:val="24"/>
              <w:lang w:eastAsia="en-GB"/>
              <w14:ligatures w14:val="standardContextual"/>
            </w:rPr>
          </w:pPr>
          <w:r>
            <w:fldChar w:fldCharType="begin"/>
          </w:r>
          <w:r>
            <w:instrText xml:space="preserve"> HYPERLINK \l "_Toc197073415" </w:instrText>
          </w:r>
          <w:r>
            <w:fldChar w:fldCharType="separate"/>
          </w:r>
          <w:r>
            <w:rPr>
              <w:rStyle w:val="16"/>
              <w:rFonts w:cs="Arial"/>
            </w:rPr>
            <w:t>3.10</w:t>
          </w:r>
          <w:r>
            <w:rPr>
              <w:rFonts w:cs="Arial" w:eastAsiaTheme="minorEastAsia"/>
              <w:kern w:val="2"/>
              <w:szCs w:val="24"/>
              <w:lang w:eastAsia="en-GB"/>
              <w14:ligatures w14:val="standardContextual"/>
            </w:rPr>
            <w:tab/>
          </w:r>
          <w:r>
            <w:rPr>
              <w:rStyle w:val="16"/>
              <w:rFonts w:cs="Arial"/>
            </w:rPr>
            <w:t>Ethical Considerations</w:t>
          </w:r>
          <w:r>
            <w:rPr>
              <w:rFonts w:cs="Arial"/>
            </w:rPr>
            <w:tab/>
          </w:r>
          <w:r>
            <w:rPr>
              <w:rFonts w:cs="Arial"/>
            </w:rPr>
            <w:fldChar w:fldCharType="begin"/>
          </w:r>
          <w:r>
            <w:rPr>
              <w:rFonts w:cs="Arial"/>
            </w:rPr>
            <w:instrText xml:space="preserve"> PAGEREF _Toc197073415 \h </w:instrText>
          </w:r>
          <w:r>
            <w:rPr>
              <w:rFonts w:cs="Arial"/>
            </w:rPr>
            <w:fldChar w:fldCharType="separate"/>
          </w:r>
          <w:r>
            <w:rPr>
              <w:rFonts w:cs="Arial"/>
            </w:rPr>
            <w:t>19</w:t>
          </w:r>
          <w:r>
            <w:rPr>
              <w:rFonts w:cs="Arial"/>
            </w:rPr>
            <w:fldChar w:fldCharType="end"/>
          </w:r>
          <w:r>
            <w:rPr>
              <w:rFonts w:cs="Arial"/>
            </w:rPr>
            <w:fldChar w:fldCharType="end"/>
          </w:r>
        </w:p>
        <w:p w14:paraId="497D05FA">
          <w:pPr>
            <w:pStyle w:val="22"/>
            <w:tabs>
              <w:tab w:val="left" w:pos="480"/>
              <w:tab w:val="right" w:leader="dot" w:pos="9016"/>
            </w:tabs>
            <w:rPr>
              <w:rFonts w:cs="Arial" w:eastAsiaTheme="minorEastAsia"/>
              <w:sz w:val="24"/>
              <w:szCs w:val="24"/>
              <w:lang w:eastAsia="en-GB"/>
            </w:rPr>
          </w:pPr>
          <w:r>
            <w:fldChar w:fldCharType="begin"/>
          </w:r>
          <w:r>
            <w:instrText xml:space="preserve"> HYPERLINK \l "_Toc197073416" </w:instrText>
          </w:r>
          <w:r>
            <w:fldChar w:fldCharType="separate"/>
          </w:r>
          <w:r>
            <w:rPr>
              <w:rStyle w:val="16"/>
              <w:rFonts w:cs="Arial"/>
            </w:rPr>
            <w:t>4.</w:t>
          </w:r>
          <w:r>
            <w:rPr>
              <w:rFonts w:cs="Arial" w:eastAsiaTheme="minorEastAsia"/>
              <w:sz w:val="24"/>
              <w:szCs w:val="24"/>
              <w:lang w:eastAsia="en-GB"/>
            </w:rPr>
            <w:tab/>
          </w:r>
          <w:r>
            <w:rPr>
              <w:rStyle w:val="16"/>
              <w:rFonts w:cs="Arial"/>
            </w:rPr>
            <w:t>Limitations of the Study</w:t>
          </w:r>
          <w:r>
            <w:rPr>
              <w:rFonts w:cs="Arial"/>
            </w:rPr>
            <w:tab/>
          </w:r>
          <w:r>
            <w:rPr>
              <w:rFonts w:cs="Arial"/>
            </w:rPr>
            <w:fldChar w:fldCharType="begin"/>
          </w:r>
          <w:r>
            <w:rPr>
              <w:rFonts w:cs="Arial"/>
            </w:rPr>
            <w:instrText xml:space="preserve"> PAGEREF _Toc197073416 \h </w:instrText>
          </w:r>
          <w:r>
            <w:rPr>
              <w:rFonts w:cs="Arial"/>
            </w:rPr>
            <w:fldChar w:fldCharType="separate"/>
          </w:r>
          <w:r>
            <w:rPr>
              <w:rFonts w:cs="Arial"/>
            </w:rPr>
            <w:t>19</w:t>
          </w:r>
          <w:r>
            <w:rPr>
              <w:rFonts w:cs="Arial"/>
            </w:rPr>
            <w:fldChar w:fldCharType="end"/>
          </w:r>
          <w:r>
            <w:rPr>
              <w:rFonts w:cs="Arial"/>
            </w:rPr>
            <w:fldChar w:fldCharType="end"/>
          </w:r>
        </w:p>
        <w:p w14:paraId="5C5B2375">
          <w:pPr>
            <w:pStyle w:val="22"/>
            <w:tabs>
              <w:tab w:val="left" w:pos="480"/>
              <w:tab w:val="right" w:leader="dot" w:pos="9016"/>
            </w:tabs>
            <w:rPr>
              <w:rFonts w:cs="Arial" w:eastAsiaTheme="minorEastAsia"/>
              <w:sz w:val="24"/>
              <w:szCs w:val="24"/>
              <w:lang w:eastAsia="en-GB"/>
            </w:rPr>
          </w:pPr>
          <w:r>
            <w:fldChar w:fldCharType="begin"/>
          </w:r>
          <w:r>
            <w:instrText xml:space="preserve"> HYPERLINK \l "_Toc197073417" </w:instrText>
          </w:r>
          <w:r>
            <w:fldChar w:fldCharType="separate"/>
          </w:r>
          <w:r>
            <w:rPr>
              <w:rStyle w:val="16"/>
              <w:rFonts w:cs="Arial"/>
            </w:rPr>
            <w:t>5.</w:t>
          </w:r>
          <w:r>
            <w:rPr>
              <w:rFonts w:cs="Arial" w:eastAsiaTheme="minorEastAsia"/>
              <w:sz w:val="24"/>
              <w:szCs w:val="24"/>
              <w:lang w:eastAsia="en-GB"/>
            </w:rPr>
            <w:tab/>
          </w:r>
          <w:r>
            <w:rPr>
              <w:rStyle w:val="16"/>
              <w:rFonts w:cs="Arial"/>
            </w:rPr>
            <w:t>Timeline and Gantt Chart</w:t>
          </w:r>
          <w:r>
            <w:rPr>
              <w:rFonts w:cs="Arial"/>
            </w:rPr>
            <w:tab/>
          </w:r>
          <w:r>
            <w:rPr>
              <w:rFonts w:cs="Arial"/>
            </w:rPr>
            <w:fldChar w:fldCharType="begin"/>
          </w:r>
          <w:r>
            <w:rPr>
              <w:rFonts w:cs="Arial"/>
            </w:rPr>
            <w:instrText xml:space="preserve"> PAGEREF _Toc197073417 \h </w:instrText>
          </w:r>
          <w:r>
            <w:rPr>
              <w:rFonts w:cs="Arial"/>
            </w:rPr>
            <w:fldChar w:fldCharType="separate"/>
          </w:r>
          <w:r>
            <w:rPr>
              <w:rFonts w:cs="Arial"/>
            </w:rPr>
            <w:t>20</w:t>
          </w:r>
          <w:r>
            <w:rPr>
              <w:rFonts w:cs="Arial"/>
            </w:rPr>
            <w:fldChar w:fldCharType="end"/>
          </w:r>
          <w:r>
            <w:rPr>
              <w:rFonts w:cs="Arial"/>
            </w:rPr>
            <w:fldChar w:fldCharType="end"/>
          </w:r>
        </w:p>
        <w:p w14:paraId="2F6C1EF7">
          <w:pPr>
            <w:pStyle w:val="22"/>
            <w:tabs>
              <w:tab w:val="left" w:pos="480"/>
              <w:tab w:val="right" w:leader="dot" w:pos="9016"/>
            </w:tabs>
            <w:rPr>
              <w:rFonts w:cs="Arial" w:eastAsiaTheme="minorEastAsia"/>
              <w:sz w:val="24"/>
              <w:szCs w:val="24"/>
              <w:lang w:eastAsia="en-GB"/>
            </w:rPr>
          </w:pPr>
          <w:r>
            <w:fldChar w:fldCharType="begin"/>
          </w:r>
          <w:r>
            <w:instrText xml:space="preserve"> HYPERLINK \l "_Toc197073418" </w:instrText>
          </w:r>
          <w:r>
            <w:fldChar w:fldCharType="separate"/>
          </w:r>
          <w:r>
            <w:rPr>
              <w:rStyle w:val="16"/>
              <w:rFonts w:cs="Arial"/>
            </w:rPr>
            <w:t>6.</w:t>
          </w:r>
          <w:r>
            <w:rPr>
              <w:rFonts w:cs="Arial" w:eastAsiaTheme="minorEastAsia"/>
              <w:sz w:val="24"/>
              <w:szCs w:val="24"/>
              <w:lang w:eastAsia="en-GB"/>
            </w:rPr>
            <w:tab/>
          </w:r>
          <w:r>
            <w:rPr>
              <w:rStyle w:val="16"/>
              <w:rFonts w:cs="Arial"/>
            </w:rPr>
            <w:t>References</w:t>
          </w:r>
          <w:r>
            <w:rPr>
              <w:rFonts w:cs="Arial"/>
            </w:rPr>
            <w:tab/>
          </w:r>
          <w:r>
            <w:rPr>
              <w:rFonts w:cs="Arial"/>
            </w:rPr>
            <w:fldChar w:fldCharType="begin"/>
          </w:r>
          <w:r>
            <w:rPr>
              <w:rFonts w:cs="Arial"/>
            </w:rPr>
            <w:instrText xml:space="preserve"> PAGEREF _Toc197073418 \h </w:instrText>
          </w:r>
          <w:r>
            <w:rPr>
              <w:rFonts w:cs="Arial"/>
            </w:rPr>
            <w:fldChar w:fldCharType="separate"/>
          </w:r>
          <w:r>
            <w:rPr>
              <w:rFonts w:cs="Arial"/>
            </w:rPr>
            <w:t>21</w:t>
          </w:r>
          <w:r>
            <w:rPr>
              <w:rFonts w:cs="Arial"/>
            </w:rPr>
            <w:fldChar w:fldCharType="end"/>
          </w:r>
          <w:r>
            <w:rPr>
              <w:rFonts w:cs="Arial"/>
            </w:rPr>
            <w:fldChar w:fldCharType="end"/>
          </w:r>
        </w:p>
        <w:p w14:paraId="61ECACF0">
          <w:pPr>
            <w:rPr>
              <w:rFonts w:cs="Arial"/>
            </w:rPr>
          </w:pPr>
          <w:r>
            <w:rPr>
              <w:rFonts w:cs="Arial"/>
              <w:b/>
              <w:bCs/>
            </w:rPr>
            <w:fldChar w:fldCharType="end"/>
          </w:r>
        </w:p>
      </w:sdtContent>
    </w:sdt>
    <w:p w14:paraId="4FB370C4">
      <w:pPr>
        <w:pStyle w:val="20"/>
        <w:tabs>
          <w:tab w:val="right" w:leader="dot" w:pos="9016"/>
        </w:tabs>
        <w:rPr>
          <w:rFonts w:eastAsia="Arial" w:cs="Arial"/>
          <w:bCs/>
          <w:color w:val="002060"/>
          <w:kern w:val="0"/>
          <w:sz w:val="32"/>
          <w:szCs w:val="40"/>
          <w:highlight w:val="lightGray"/>
          <w:lang w:val="en" w:eastAsia="en-GB"/>
          <w14:ligatures w14:val="none"/>
        </w:rPr>
      </w:pPr>
      <w:bookmarkStart w:id="0" w:name="_Toc163378184"/>
    </w:p>
    <w:p w14:paraId="31F9F987">
      <w:pPr>
        <w:spacing w:line="259" w:lineRule="auto"/>
        <w:jc w:val="left"/>
        <w:rPr>
          <w:rFonts w:eastAsia="Arial" w:cs="Arial"/>
          <w:bCs/>
          <w:color w:val="002060"/>
          <w:kern w:val="0"/>
          <w:sz w:val="32"/>
          <w:szCs w:val="40"/>
          <w:highlight w:val="lightGray"/>
          <w:lang w:val="en" w:eastAsia="en-GB"/>
          <w14:ligatures w14:val="none"/>
        </w:rPr>
      </w:pPr>
      <w:r>
        <w:rPr>
          <w:rFonts w:eastAsia="Arial" w:cs="Arial"/>
          <w:bCs/>
          <w:color w:val="002060"/>
          <w:kern w:val="0"/>
          <w:sz w:val="32"/>
          <w:szCs w:val="40"/>
          <w:highlight w:val="lightGray"/>
          <w:lang w:val="en" w:eastAsia="en-GB"/>
          <w14:ligatures w14:val="none"/>
        </w:rPr>
        <w:br w:type="page"/>
      </w:r>
    </w:p>
    <w:p w14:paraId="5DE68037">
      <w:pPr>
        <w:pStyle w:val="2"/>
      </w:pPr>
      <w:bookmarkStart w:id="1" w:name="_Toc197073375"/>
      <w:r>
        <w:t>Table of Figures</w:t>
      </w:r>
      <w:bookmarkEnd w:id="1"/>
    </w:p>
    <w:p w14:paraId="6ED1A574">
      <w:pPr>
        <w:pStyle w:val="20"/>
        <w:tabs>
          <w:tab w:val="right" w:leader="dot" w:pos="9016"/>
        </w:tabs>
        <w:spacing w:line="480" w:lineRule="auto"/>
        <w:rPr>
          <w:rFonts w:cs="Arial" w:eastAsiaTheme="minorEastAsia"/>
          <w:sz w:val="24"/>
          <w:szCs w:val="24"/>
          <w:lang w:eastAsia="en-GB"/>
        </w:rPr>
      </w:pPr>
      <w:r>
        <w:rPr>
          <w:rFonts w:eastAsia="Arial" w:cs="Arial"/>
          <w:bCs/>
          <w:color w:val="002060"/>
          <w:kern w:val="0"/>
          <w:sz w:val="32"/>
          <w:szCs w:val="40"/>
          <w:highlight w:val="lightGray"/>
          <w:lang w:val="en" w:eastAsia="en-GB"/>
          <w14:ligatures w14:val="none"/>
        </w:rPr>
        <w:fldChar w:fldCharType="begin"/>
      </w:r>
      <w:r>
        <w:rPr>
          <w:rFonts w:eastAsia="Arial" w:cs="Arial"/>
          <w:bCs/>
          <w:color w:val="002060"/>
          <w:kern w:val="0"/>
          <w:sz w:val="32"/>
          <w:szCs w:val="40"/>
          <w:highlight w:val="lightGray"/>
          <w:lang w:val="en" w:eastAsia="en-GB"/>
          <w14:ligatures w14:val="none"/>
        </w:rPr>
        <w:instrText xml:space="preserve"> TOC \h \z \c "Figure" </w:instrText>
      </w:r>
      <w:r>
        <w:rPr>
          <w:rFonts w:eastAsia="Arial" w:cs="Arial"/>
          <w:bCs/>
          <w:color w:val="002060"/>
          <w:kern w:val="0"/>
          <w:sz w:val="32"/>
          <w:szCs w:val="40"/>
          <w:highlight w:val="lightGray"/>
          <w:lang w:val="en" w:eastAsia="en-GB"/>
          <w14:ligatures w14:val="none"/>
        </w:rPr>
        <w:fldChar w:fldCharType="separate"/>
      </w:r>
      <w:r>
        <w:fldChar w:fldCharType="begin"/>
      </w:r>
      <w:r>
        <w:instrText xml:space="preserve"> HYPERLINK \l "_Toc197070230" </w:instrText>
      </w:r>
      <w:r>
        <w:fldChar w:fldCharType="separate"/>
      </w:r>
      <w:r>
        <w:rPr>
          <w:rStyle w:val="16"/>
          <w:rFonts w:cs="Arial"/>
        </w:rPr>
        <w:t xml:space="preserve">Figure 1 </w:t>
      </w:r>
      <w:r>
        <w:rPr>
          <w:rStyle w:val="16"/>
          <w:rFonts w:cs="Arial"/>
          <w:lang w:eastAsia="en-GB"/>
        </w:rPr>
        <w:t>Social Identity Theory, Source: (Tajfel &amp; Turner, 1979)</w:t>
      </w:r>
      <w:r>
        <w:rPr>
          <w:rFonts w:cs="Arial"/>
        </w:rPr>
        <w:tab/>
      </w:r>
      <w:r>
        <w:rPr>
          <w:rFonts w:cs="Arial"/>
        </w:rPr>
        <w:fldChar w:fldCharType="begin"/>
      </w:r>
      <w:r>
        <w:rPr>
          <w:rFonts w:cs="Arial"/>
        </w:rPr>
        <w:instrText xml:space="preserve"> PAGEREF _Toc197070230 \h </w:instrText>
      </w:r>
      <w:r>
        <w:rPr>
          <w:rFonts w:cs="Arial"/>
        </w:rPr>
        <w:fldChar w:fldCharType="separate"/>
      </w:r>
      <w:r>
        <w:rPr>
          <w:rFonts w:cs="Arial"/>
        </w:rPr>
        <w:t>9</w:t>
      </w:r>
      <w:r>
        <w:rPr>
          <w:rFonts w:cs="Arial"/>
        </w:rPr>
        <w:fldChar w:fldCharType="end"/>
      </w:r>
      <w:r>
        <w:rPr>
          <w:rFonts w:cs="Arial"/>
        </w:rPr>
        <w:fldChar w:fldCharType="end"/>
      </w:r>
    </w:p>
    <w:p w14:paraId="7BC54D6C">
      <w:pPr>
        <w:pStyle w:val="20"/>
        <w:tabs>
          <w:tab w:val="right" w:leader="dot" w:pos="9016"/>
        </w:tabs>
        <w:spacing w:line="480" w:lineRule="auto"/>
        <w:rPr>
          <w:rFonts w:cs="Arial" w:eastAsiaTheme="minorEastAsia"/>
          <w:sz w:val="24"/>
          <w:szCs w:val="24"/>
          <w:lang w:eastAsia="en-GB"/>
        </w:rPr>
      </w:pPr>
      <w:r>
        <w:fldChar w:fldCharType="begin"/>
      </w:r>
      <w:r>
        <w:instrText xml:space="preserve"> HYPERLINK \l "_Toc197070231" </w:instrText>
      </w:r>
      <w:r>
        <w:fldChar w:fldCharType="separate"/>
      </w:r>
      <w:r>
        <w:rPr>
          <w:rStyle w:val="16"/>
          <w:rFonts w:cs="Arial"/>
        </w:rPr>
        <w:t>Figure 2</w:t>
      </w:r>
      <w:r>
        <w:rPr>
          <w:rStyle w:val="16"/>
          <w:rFonts w:cs="Arial"/>
          <w:lang w:eastAsia="en-GB"/>
        </w:rPr>
        <w:t xml:space="preserve"> Contact Theory, Source: (Allport, 1954)</w:t>
      </w:r>
      <w:r>
        <w:rPr>
          <w:rFonts w:cs="Arial"/>
        </w:rPr>
        <w:tab/>
      </w:r>
      <w:r>
        <w:rPr>
          <w:rFonts w:cs="Arial"/>
        </w:rPr>
        <w:fldChar w:fldCharType="begin"/>
      </w:r>
      <w:r>
        <w:rPr>
          <w:rFonts w:cs="Arial"/>
        </w:rPr>
        <w:instrText xml:space="preserve"> PAGEREF _Toc197070231 \h </w:instrText>
      </w:r>
      <w:r>
        <w:rPr>
          <w:rFonts w:cs="Arial"/>
        </w:rPr>
        <w:fldChar w:fldCharType="separate"/>
      </w:r>
      <w:r>
        <w:rPr>
          <w:rFonts w:cs="Arial"/>
        </w:rPr>
        <w:t>10</w:t>
      </w:r>
      <w:r>
        <w:rPr>
          <w:rFonts w:cs="Arial"/>
        </w:rPr>
        <w:fldChar w:fldCharType="end"/>
      </w:r>
      <w:r>
        <w:rPr>
          <w:rFonts w:cs="Arial"/>
        </w:rPr>
        <w:fldChar w:fldCharType="end"/>
      </w:r>
    </w:p>
    <w:p w14:paraId="5B3812DB">
      <w:pPr>
        <w:pStyle w:val="20"/>
        <w:tabs>
          <w:tab w:val="right" w:leader="dot" w:pos="9016"/>
        </w:tabs>
        <w:spacing w:line="480" w:lineRule="auto"/>
        <w:rPr>
          <w:rFonts w:cs="Arial" w:eastAsiaTheme="minorEastAsia"/>
          <w:sz w:val="24"/>
          <w:szCs w:val="24"/>
          <w:lang w:eastAsia="en-GB"/>
        </w:rPr>
      </w:pPr>
      <w:r>
        <w:fldChar w:fldCharType="begin"/>
      </w:r>
      <w:r>
        <w:instrText xml:space="preserve"> HYPERLINK \l "_Toc197070232" </w:instrText>
      </w:r>
      <w:r>
        <w:fldChar w:fldCharType="separate"/>
      </w:r>
      <w:r>
        <w:rPr>
          <w:rStyle w:val="16"/>
          <w:rFonts w:cs="Arial"/>
        </w:rPr>
        <w:t xml:space="preserve">Figure 3 </w:t>
      </w:r>
      <w:r>
        <w:rPr>
          <w:rStyle w:val="16"/>
          <w:rFonts w:cs="Arial"/>
          <w:lang w:eastAsia="en-GB"/>
        </w:rPr>
        <w:t>Cultural Intelligence Theory, Source: (Earley &amp; Ang, 2003)</w:t>
      </w:r>
      <w:r>
        <w:rPr>
          <w:rFonts w:cs="Arial"/>
        </w:rPr>
        <w:tab/>
      </w:r>
      <w:r>
        <w:rPr>
          <w:rFonts w:cs="Arial"/>
        </w:rPr>
        <w:fldChar w:fldCharType="begin"/>
      </w:r>
      <w:r>
        <w:rPr>
          <w:rFonts w:cs="Arial"/>
        </w:rPr>
        <w:instrText xml:space="preserve"> PAGEREF _Toc197070232 \h </w:instrText>
      </w:r>
      <w:r>
        <w:rPr>
          <w:rFonts w:cs="Arial"/>
        </w:rPr>
        <w:fldChar w:fldCharType="separate"/>
      </w:r>
      <w:r>
        <w:rPr>
          <w:rFonts w:cs="Arial"/>
        </w:rPr>
        <w:t>10</w:t>
      </w:r>
      <w:r>
        <w:rPr>
          <w:rFonts w:cs="Arial"/>
        </w:rPr>
        <w:fldChar w:fldCharType="end"/>
      </w:r>
      <w:r>
        <w:rPr>
          <w:rFonts w:cs="Arial"/>
        </w:rPr>
        <w:fldChar w:fldCharType="end"/>
      </w:r>
    </w:p>
    <w:p w14:paraId="113847AF">
      <w:pPr>
        <w:pStyle w:val="20"/>
        <w:tabs>
          <w:tab w:val="right" w:leader="dot" w:pos="9016"/>
        </w:tabs>
        <w:spacing w:line="480" w:lineRule="auto"/>
        <w:rPr>
          <w:rFonts w:cs="Arial" w:eastAsiaTheme="minorEastAsia"/>
          <w:sz w:val="24"/>
          <w:szCs w:val="24"/>
          <w:lang w:eastAsia="en-GB"/>
        </w:rPr>
      </w:pPr>
      <w:r>
        <w:fldChar w:fldCharType="begin"/>
      </w:r>
      <w:r>
        <w:instrText xml:space="preserve"> HYPERLINK \l "_Toc197070233" </w:instrText>
      </w:r>
      <w:r>
        <w:fldChar w:fldCharType="separate"/>
      </w:r>
      <w:r>
        <w:rPr>
          <w:rStyle w:val="16"/>
          <w:rFonts w:cs="Arial"/>
        </w:rPr>
        <w:t>Figure 4 Research Onion Model Source: (Saunders et al., 2007)</w:t>
      </w:r>
      <w:r>
        <w:rPr>
          <w:rFonts w:cs="Arial"/>
        </w:rPr>
        <w:tab/>
      </w:r>
      <w:r>
        <w:rPr>
          <w:rFonts w:cs="Arial"/>
        </w:rPr>
        <w:fldChar w:fldCharType="begin"/>
      </w:r>
      <w:r>
        <w:rPr>
          <w:rFonts w:cs="Arial"/>
        </w:rPr>
        <w:instrText xml:space="preserve"> PAGEREF _Toc197070233 \h </w:instrText>
      </w:r>
      <w:r>
        <w:rPr>
          <w:rFonts w:cs="Arial"/>
        </w:rPr>
        <w:fldChar w:fldCharType="separate"/>
      </w:r>
      <w:r>
        <w:rPr>
          <w:rFonts w:cs="Arial"/>
        </w:rPr>
        <w:t>15</w:t>
      </w:r>
      <w:r>
        <w:rPr>
          <w:rFonts w:cs="Arial"/>
        </w:rPr>
        <w:fldChar w:fldCharType="end"/>
      </w:r>
      <w:r>
        <w:rPr>
          <w:rFonts w:cs="Arial"/>
        </w:rPr>
        <w:fldChar w:fldCharType="end"/>
      </w:r>
    </w:p>
    <w:p w14:paraId="3722BC2C">
      <w:pPr>
        <w:pStyle w:val="20"/>
        <w:tabs>
          <w:tab w:val="right" w:leader="dot" w:pos="9016"/>
        </w:tabs>
        <w:spacing w:line="480" w:lineRule="auto"/>
        <w:rPr>
          <w:rFonts w:cs="Arial" w:eastAsiaTheme="minorEastAsia"/>
          <w:sz w:val="24"/>
          <w:szCs w:val="24"/>
          <w:lang w:eastAsia="en-GB"/>
        </w:rPr>
      </w:pPr>
      <w:r>
        <w:fldChar w:fldCharType="begin"/>
      </w:r>
      <w:r>
        <w:instrText xml:space="preserve"> HYPERLINK \l "_Toc197070234" </w:instrText>
      </w:r>
      <w:r>
        <w:fldChar w:fldCharType="separate"/>
      </w:r>
      <w:r>
        <w:rPr>
          <w:rStyle w:val="16"/>
          <w:rFonts w:cs="Arial"/>
        </w:rPr>
        <w:t>Figure 5: Gantt Chart of Research Timeline, Source: Self-made</w:t>
      </w:r>
      <w:r>
        <w:rPr>
          <w:rStyle w:val="16"/>
          <w:rFonts w:cs="Arial"/>
        </w:rPr>
        <w:tab/>
      </w:r>
      <w:r>
        <w:rPr>
          <w:rStyle w:val="16"/>
          <w:rFonts w:cs="Arial"/>
        </w:rPr>
        <w:t>21</w:t>
      </w:r>
      <w:r>
        <w:rPr>
          <w:rStyle w:val="16"/>
          <w:rFonts w:cs="Arial"/>
        </w:rPr>
        <w:fldChar w:fldCharType="end"/>
      </w:r>
    </w:p>
    <w:p w14:paraId="4A99B548">
      <w:pPr>
        <w:rPr>
          <w:rFonts w:eastAsia="Arial" w:cs="Arial"/>
          <w:bCs/>
          <w:color w:val="002060"/>
          <w:kern w:val="0"/>
          <w:sz w:val="32"/>
          <w:szCs w:val="40"/>
          <w:highlight w:val="lightGray"/>
          <w:lang w:val="en" w:eastAsia="en-GB"/>
          <w14:ligatures w14:val="none"/>
        </w:rPr>
      </w:pPr>
      <w:r>
        <w:rPr>
          <w:rFonts w:eastAsia="Arial" w:cs="Arial"/>
          <w:bCs/>
          <w:color w:val="002060"/>
          <w:kern w:val="0"/>
          <w:sz w:val="32"/>
          <w:szCs w:val="40"/>
          <w:highlight w:val="lightGray"/>
          <w:lang w:val="en" w:eastAsia="en-GB"/>
          <w14:ligatures w14:val="none"/>
        </w:rPr>
        <w:fldChar w:fldCharType="end"/>
      </w:r>
    </w:p>
    <w:p w14:paraId="05CC6812">
      <w:pPr>
        <w:rPr>
          <w:rFonts w:eastAsia="Arial" w:cs="Arial"/>
          <w:bCs/>
          <w:color w:val="002060"/>
          <w:kern w:val="0"/>
          <w:sz w:val="32"/>
          <w:szCs w:val="40"/>
          <w:highlight w:val="lightGray"/>
          <w:lang w:val="en" w:eastAsia="en-GB"/>
          <w14:ligatures w14:val="none"/>
        </w:rPr>
      </w:pPr>
    </w:p>
    <w:p w14:paraId="0DC13702">
      <w:pPr>
        <w:rPr>
          <w:rFonts w:eastAsia="Arial" w:cs="Arial"/>
          <w:bCs/>
          <w:color w:val="002060"/>
          <w:kern w:val="0"/>
          <w:sz w:val="32"/>
          <w:szCs w:val="40"/>
          <w:highlight w:val="lightGray"/>
          <w:lang w:val="en" w:eastAsia="en-GB"/>
          <w14:ligatures w14:val="none"/>
        </w:rPr>
      </w:pPr>
    </w:p>
    <w:p w14:paraId="4868119B">
      <w:pPr>
        <w:rPr>
          <w:rFonts w:eastAsia="Arial" w:cs="Arial"/>
          <w:bCs/>
          <w:color w:val="002060"/>
          <w:kern w:val="0"/>
          <w:sz w:val="32"/>
          <w:szCs w:val="40"/>
          <w:highlight w:val="lightGray"/>
          <w:lang w:val="en" w:eastAsia="en-GB"/>
          <w14:ligatures w14:val="none"/>
        </w:rPr>
      </w:pPr>
    </w:p>
    <w:p w14:paraId="5B7844E5">
      <w:pPr>
        <w:rPr>
          <w:rFonts w:eastAsia="Arial" w:cs="Arial"/>
          <w:bCs/>
          <w:color w:val="002060"/>
          <w:kern w:val="0"/>
          <w:sz w:val="32"/>
          <w:szCs w:val="40"/>
          <w:highlight w:val="lightGray"/>
          <w:lang w:val="en" w:eastAsia="en-GB"/>
          <w14:ligatures w14:val="none"/>
        </w:rPr>
      </w:pPr>
    </w:p>
    <w:p w14:paraId="2FF7DA03">
      <w:pPr>
        <w:rPr>
          <w:rFonts w:eastAsia="Arial" w:cs="Arial"/>
          <w:bCs/>
          <w:color w:val="002060"/>
          <w:kern w:val="0"/>
          <w:sz w:val="32"/>
          <w:szCs w:val="40"/>
          <w:highlight w:val="lightGray"/>
          <w:lang w:val="en" w:eastAsia="en-GB"/>
          <w14:ligatures w14:val="none"/>
        </w:rPr>
      </w:pPr>
    </w:p>
    <w:p w14:paraId="5273703E">
      <w:pPr>
        <w:rPr>
          <w:rFonts w:eastAsia="Arial" w:cs="Arial"/>
          <w:bCs/>
          <w:color w:val="002060"/>
          <w:kern w:val="0"/>
          <w:sz w:val="32"/>
          <w:szCs w:val="40"/>
          <w:highlight w:val="lightGray"/>
          <w:lang w:val="en" w:eastAsia="en-GB"/>
          <w14:ligatures w14:val="none"/>
        </w:rPr>
      </w:pPr>
    </w:p>
    <w:p w14:paraId="31A5DB7B">
      <w:pPr>
        <w:rPr>
          <w:rFonts w:eastAsia="Arial" w:cs="Arial"/>
          <w:bCs/>
          <w:color w:val="002060"/>
          <w:kern w:val="0"/>
          <w:sz w:val="32"/>
          <w:szCs w:val="40"/>
          <w:highlight w:val="lightGray"/>
          <w:lang w:val="en" w:eastAsia="en-GB"/>
          <w14:ligatures w14:val="none"/>
        </w:rPr>
      </w:pPr>
    </w:p>
    <w:p w14:paraId="42E1D92C">
      <w:pPr>
        <w:rPr>
          <w:rFonts w:eastAsia="Arial" w:cs="Arial"/>
          <w:bCs/>
          <w:color w:val="002060"/>
          <w:kern w:val="0"/>
          <w:sz w:val="32"/>
          <w:szCs w:val="40"/>
          <w:highlight w:val="lightGray"/>
          <w:lang w:val="en" w:eastAsia="en-GB"/>
          <w14:ligatures w14:val="none"/>
        </w:rPr>
      </w:pPr>
    </w:p>
    <w:p w14:paraId="6D553E81">
      <w:pPr>
        <w:rPr>
          <w:rFonts w:eastAsia="Arial" w:cs="Arial"/>
          <w:bCs/>
          <w:color w:val="002060"/>
          <w:kern w:val="0"/>
          <w:sz w:val="32"/>
          <w:szCs w:val="40"/>
          <w:highlight w:val="lightGray"/>
          <w:lang w:val="en" w:eastAsia="en-GB"/>
          <w14:ligatures w14:val="none"/>
        </w:rPr>
      </w:pPr>
    </w:p>
    <w:p w14:paraId="7A4BCCAD">
      <w:pPr>
        <w:rPr>
          <w:rFonts w:eastAsia="Arial" w:cs="Arial"/>
          <w:bCs/>
          <w:color w:val="002060"/>
          <w:kern w:val="0"/>
          <w:sz w:val="32"/>
          <w:szCs w:val="40"/>
          <w:highlight w:val="lightGray"/>
          <w:lang w:val="en" w:eastAsia="en-GB"/>
          <w14:ligatures w14:val="none"/>
        </w:rPr>
      </w:pPr>
    </w:p>
    <w:p w14:paraId="48F805C1">
      <w:pPr>
        <w:rPr>
          <w:rFonts w:eastAsia="Arial" w:cs="Arial"/>
          <w:bCs/>
          <w:color w:val="002060"/>
          <w:kern w:val="0"/>
          <w:sz w:val="32"/>
          <w:szCs w:val="40"/>
          <w:highlight w:val="lightGray"/>
          <w:lang w:val="en" w:eastAsia="en-GB"/>
          <w14:ligatures w14:val="none"/>
        </w:rPr>
      </w:pPr>
    </w:p>
    <w:p w14:paraId="6E018F28">
      <w:pPr>
        <w:rPr>
          <w:rFonts w:eastAsia="Arial" w:cs="Arial"/>
          <w:bCs/>
          <w:color w:val="002060"/>
          <w:kern w:val="0"/>
          <w:sz w:val="32"/>
          <w:szCs w:val="40"/>
          <w:highlight w:val="lightGray"/>
          <w:lang w:val="en" w:eastAsia="en-GB"/>
          <w14:ligatures w14:val="none"/>
        </w:rPr>
      </w:pPr>
    </w:p>
    <w:p w14:paraId="4CDDEDC3">
      <w:pPr>
        <w:rPr>
          <w:rFonts w:eastAsia="Arial" w:cs="Arial"/>
          <w:bCs/>
          <w:color w:val="002060"/>
          <w:kern w:val="0"/>
          <w:sz w:val="32"/>
          <w:szCs w:val="40"/>
          <w:highlight w:val="lightGray"/>
          <w:lang w:val="en" w:eastAsia="en-GB"/>
          <w14:ligatures w14:val="none"/>
        </w:rPr>
      </w:pPr>
    </w:p>
    <w:p w14:paraId="78F731F8">
      <w:pPr>
        <w:rPr>
          <w:rFonts w:eastAsia="Arial" w:cs="Arial"/>
          <w:b/>
          <w:color w:val="002060"/>
          <w:kern w:val="0"/>
          <w:sz w:val="32"/>
          <w:szCs w:val="40"/>
          <w:highlight w:val="lightGray"/>
          <w:lang w:val="en" w:eastAsia="en-GB"/>
          <w14:ligatures w14:val="none"/>
        </w:rPr>
      </w:pPr>
    </w:p>
    <w:p w14:paraId="3E44F905">
      <w:pPr>
        <w:pStyle w:val="2"/>
        <w:ind w:left="0" w:firstLine="0"/>
      </w:pPr>
      <w:bookmarkStart w:id="2" w:name="_Toc197073376"/>
      <w:r>
        <w:t>Research Title</w:t>
      </w:r>
      <w:bookmarkEnd w:id="0"/>
      <w:bookmarkEnd w:id="2"/>
    </w:p>
    <w:p w14:paraId="77120D74">
      <w:pPr>
        <w:rPr>
          <w:rFonts w:cs="Arial"/>
        </w:rPr>
      </w:pPr>
      <w:r>
        <w:rPr>
          <w:rFonts w:cs="Arial"/>
        </w:rPr>
        <w:t>The Impact of Diversity and Inclusion Strategies on Staff Retention in the UK Healthcare Sector.</w:t>
      </w:r>
    </w:p>
    <w:p w14:paraId="0A9B16C7">
      <w:pPr>
        <w:pStyle w:val="2"/>
        <w:numPr>
          <w:ilvl w:val="0"/>
          <w:numId w:val="2"/>
        </w:numPr>
      </w:pPr>
      <w:bookmarkStart w:id="3" w:name="_Toc163378185"/>
      <w:bookmarkStart w:id="4" w:name="_Toc197073377"/>
      <w:r>
        <w:t>Introduction</w:t>
      </w:r>
      <w:bookmarkEnd w:id="3"/>
      <w:bookmarkEnd w:id="4"/>
    </w:p>
    <w:p w14:paraId="7AC578AD">
      <w:pPr>
        <w:pStyle w:val="3"/>
        <w:numPr>
          <w:ilvl w:val="1"/>
          <w:numId w:val="3"/>
        </w:numPr>
      </w:pPr>
      <w:bookmarkStart w:id="5" w:name="_Toc163378186"/>
      <w:bookmarkStart w:id="6" w:name="_Toc197073378"/>
      <w:r>
        <w:t>Background</w:t>
      </w:r>
      <w:bookmarkEnd w:id="5"/>
      <w:r>
        <w:t xml:space="preserve"> of the Study</w:t>
      </w:r>
      <w:bookmarkEnd w:id="6"/>
    </w:p>
    <w:p w14:paraId="04B38162">
      <w:pPr>
        <w:rPr>
          <w:rFonts w:cs="Arial"/>
          <w:lang w:eastAsia="en-GB"/>
        </w:rPr>
      </w:pPr>
      <w:r>
        <w:rPr>
          <w:rFonts w:cs="Arial"/>
          <w:lang w:eastAsia="en-GB"/>
        </w:rPr>
        <w:t>The UK’s NHS is one of the world’s biggest organisations, providing frontline care daily to millions of patients. However, it is currently facing significant workforce shortages, with more than 100,000 vacant positions in all types of health care roles (NHS Digital, 2023). Retention is a particular problem in this high-turnover area among frontline health workers and staff from black, Asian and minority ethnic backgrounds. D&amp;I is all about creating a culture where there is no favouritism and all are given the same chance to succeed regardless of ethnicity, gender, sexual orientation, etc. It is not only a matter of fairness and equity that makes this work so essential, but it has been associated with greater job satisfaction and staff retention as well (Saunders et al., 2019). When they are executed well, D&amp;I tactics lead to a more supportive and less biased workplace that is higher in overall morale, all of which helps in retaining employees.</w:t>
      </w:r>
    </w:p>
    <w:p w14:paraId="75773BE1">
      <w:pPr>
        <w:rPr>
          <w:rFonts w:cs="Arial"/>
          <w:lang w:eastAsia="en-GB"/>
        </w:rPr>
      </w:pPr>
      <w:r>
        <w:rPr>
          <w:rFonts w:cs="Arial"/>
          <w:lang w:eastAsia="en-GB"/>
        </w:rPr>
        <w:t>NHS has indeed included aspects of D&amp;I; however, minority ethnic staff, including, but not exclusive to Black, Asian and Minority Ethnic (BAME) staff, are less than impressed with the environment at the workplace. In a healthcare division, iv that all employees are afforded the same opportunity and an environment in which different types of individuals can effectively be included in the working culture and both valued and respected. The services of the UK’s National Health Service (NHS) are important millions of lives depend on them every day. But as a trusted public sector brand, the NHS has a serious problem retaining its staff, especially the BAME workforce and staff working on the front line. One such measure of interest to this article is the impact of D&amp;I policy on NHS staff retention, especially that of ethnic minority and frontline healthcare staff.</w:t>
      </w:r>
    </w:p>
    <w:p w14:paraId="7A41182D">
      <w:pPr>
        <w:pStyle w:val="3"/>
        <w:numPr>
          <w:ilvl w:val="1"/>
          <w:numId w:val="3"/>
        </w:numPr>
      </w:pPr>
      <w:bookmarkStart w:id="7" w:name="_Toc197073379"/>
      <w:r>
        <w:t>Problem Statement</w:t>
      </w:r>
      <w:bookmarkEnd w:id="7"/>
    </w:p>
    <w:p w14:paraId="2E4976DA">
      <w:pPr>
        <w:rPr>
          <w:rFonts w:cs="Arial"/>
          <w:lang w:eastAsia="en-GB"/>
        </w:rPr>
      </w:pPr>
      <w:r>
        <w:rPr>
          <w:rFonts w:cs="Arial"/>
          <w:lang w:eastAsia="en-GB"/>
        </w:rPr>
        <w:t>Even with significant attention on diversity and inclusion within healthcare organisations like the NHS, retention of staff, particularly from a BAME and frontline background, remains a real issue. The NHS Workforce Race Equality Standard (WRES, 2022) states that BAME staff experience increased discrimination and are less likely to have career opportunities. These factors, and minority underrepresentation in the executive ranks, are why there is so much turnover. Relational literature predominantly privileges recruitment and representation as concerns for D&amp;I, and although the research which does exist focuses on how D&amp;I practices and initiatives work to enhance staff retention.</w:t>
      </w:r>
    </w:p>
    <w:p w14:paraId="53615074">
      <w:pPr>
        <w:rPr>
          <w:rFonts w:cs="Arial"/>
        </w:rPr>
      </w:pPr>
      <w:r>
        <w:rPr>
          <w:rFonts w:cs="Arial"/>
          <w:lang w:eastAsia="en-GB"/>
        </w:rPr>
        <w:t xml:space="preserve">This study aims to fill a gap by examining how well D&amp;I interventions work to improve retention in NHS Trusts, in particular for minority staff. </w:t>
      </w:r>
      <w:r>
        <w:rPr>
          <w:rFonts w:cs="Arial"/>
        </w:rPr>
        <w:t>Retention of BAME and frontline NHS workers is a growing concern. Despite continued attempts by the NHS to ameliorate the challenges, the retention issue remains of considerable concern, particularly within BAME and frontline staff. BAME staff were also found to experience greater levels of discrimination, lack of opportunities for career progression and exclusion from senior leadership roles (NHS Workforce Race Equality Standard (WRES, 2022). These difficulties manifest as high turnover, particularly among the workforce. It FEED for the strain of high-demanding work combined with a lack of support and the ability to advance.</w:t>
      </w:r>
    </w:p>
    <w:p w14:paraId="57584203">
      <w:pPr>
        <w:rPr>
          <w:rFonts w:cs="Arial"/>
          <w:lang w:eastAsia="en-GB"/>
        </w:rPr>
      </w:pPr>
      <w:r>
        <w:rPr>
          <w:rFonts w:cs="Arial"/>
          <w:lang w:eastAsia="en-GB"/>
        </w:rPr>
        <w:t>The issue of employee retention isn't only about happy staff, it's about happy companies. Amid a continued staffing crisis, which has already seen high staff churn rates in the NHS, the organisation is unable to strike a balance between a diverse and skilled workforce that caters for the requirements of its patient population. Whilst efforts to tackle D&amp;I in healthcare organisations have occurred, many have been short-term and have not led to significant improvements in retention, especially among BAME and frontline staff.</w:t>
      </w:r>
    </w:p>
    <w:p w14:paraId="6FE95F0E">
      <w:pPr>
        <w:rPr>
          <w:rFonts w:cs="Arial"/>
          <w:lang w:eastAsia="en-GB"/>
        </w:rPr>
      </w:pPr>
      <w:r>
        <w:rPr>
          <w:rFonts w:cs="Arial"/>
          <w:lang w:eastAsia="en-GB"/>
        </w:rPr>
        <w:t>The available literature in D&amp;I has mostly centred around recruitment, representativeness employee engagement at the early outset. But there is a knowledge gap on the long-term effects of D&amp;I interventions on retention in health care, especially among minority ethnic staff and frontline health care workers. The current study seeks to contribute to this gap by investigating how D&amp;I programs can be bolstered in efforts to retain employees by reducing turnover, especially for those coming from marginalised backgrounds.</w:t>
      </w:r>
    </w:p>
    <w:p w14:paraId="66F0807D">
      <w:pPr>
        <w:pStyle w:val="3"/>
        <w:numPr>
          <w:ilvl w:val="1"/>
          <w:numId w:val="3"/>
        </w:numPr>
      </w:pPr>
      <w:bookmarkStart w:id="8" w:name="_Toc197073380"/>
      <w:r>
        <w:t>Significance of the Study</w:t>
      </w:r>
      <w:bookmarkEnd w:id="8"/>
    </w:p>
    <w:p w14:paraId="337E2489">
      <w:pPr>
        <w:rPr>
          <w:rFonts w:cs="Arial"/>
        </w:rPr>
      </w:pPr>
      <w:r>
        <w:rPr>
          <w:rFonts w:cs="Arial"/>
          <w:lang w:eastAsia="en-GB"/>
        </w:rPr>
        <w:t xml:space="preserve">The findings will be beneficial to the wider health industry. Boosting staff retention (particularly among the BAME and frontline workforce) is essential if the health service is to tackle its chronic staffing shortfall. By examining the D&amp;I strategies and their impact on retention, this research has the potential to add to the body of knowledge for NHS Trusts who aim to improve their D&amp;I plans and create an inclusive workplace. </w:t>
      </w:r>
      <w:r>
        <w:rPr>
          <w:rFonts w:cs="Arial"/>
        </w:rPr>
        <w:t xml:space="preserve">This study is important for several reasons. For one, it tackles head-on the staff retention crisis in Britain’s health service that provides care to millions every day. </w:t>
      </w:r>
    </w:p>
    <w:p w14:paraId="094C6F8B">
      <w:pPr>
        <w:rPr>
          <w:rFonts w:cs="Arial"/>
        </w:rPr>
      </w:pPr>
      <w:r>
        <w:rPr>
          <w:rFonts w:cs="Arial"/>
        </w:rPr>
        <w:t>The study will offer useful evidence on the enhancement of D&amp;I approaches so that the NHS can ensure that it holds on to a diverse and skilled staff by turning its attention to BAME and frontline health workers. The department needs to act now to tackle staff shortages and unfair turnover and ensure that the NHS can continue to deliver high-quality care to its patients.</w:t>
      </w:r>
    </w:p>
    <w:p w14:paraId="545FDDD1">
      <w:pPr>
        <w:rPr>
          <w:rFonts w:cs="Arial"/>
          <w:lang w:eastAsia="en-GB"/>
        </w:rPr>
      </w:pPr>
      <w:r>
        <w:rPr>
          <w:rFonts w:cs="Arial"/>
          <w:lang w:eastAsia="en-GB"/>
        </w:rPr>
        <w:t>Second, the study will add to the small but fast-growing body of literature on the effect of D&amp;I initiatives on retention, especially in public sector organisations, as is the case with the NHS. The bulk of the research in the literature conducted on the topic has been about the corporate field, paying less attention to hospitals, where the dynamics of personnel retention are different owing to the high-stress environment and the public service nature of the work.</w:t>
      </w:r>
    </w:p>
    <w:p w14:paraId="7CCD8F36">
      <w:pPr>
        <w:rPr>
          <w:rFonts w:cs="Arial"/>
          <w:lang w:eastAsia="en-GB"/>
        </w:rPr>
      </w:pPr>
      <w:r>
        <w:rPr>
          <w:rFonts w:cs="Arial"/>
          <w:lang w:eastAsia="en-GB"/>
        </w:rPr>
        <w:t>Finally, the results of this study have potentially implications for how leadership is approached in the NHS. Inclusive leadership has been deemed an essential factor promoting employee engagement and retention (Leavy, 2020). This research will investigate how leaders in the NHS can better deliver D&amp;I strategies to create an inclusive workplace that enables the long-term retention of staff from diverse origins.</w:t>
      </w:r>
    </w:p>
    <w:p w14:paraId="74FC0738">
      <w:pPr>
        <w:rPr>
          <w:rFonts w:cs="Arial"/>
          <w:lang w:eastAsia="en-GB"/>
        </w:rPr>
      </w:pPr>
      <w:r>
        <w:rPr>
          <w:rFonts w:cs="Arial"/>
          <w:lang w:eastAsia="en-GB"/>
        </w:rPr>
        <w:t>Lastly, the evidence will add to the worldwide D&amp;I dialogue, specifically in the health care field. Many systems across the globe share obstacles to diversity and retention. These results could therefore be useful for the healthcare organisation in other countries as well and provide lessons on how D&amp;I strategies may be adapted to address retention in health systems across the globe. The outcomes will provide actionable suggestions for increasing retention, decreasing turnover, and developing a diverse and inclusive workforce. Additionally, the analysis will add to the broader discussion on the diversity issue in health settings and is likely to offer transferable lessons to other health systems struggling with the same issue globally.</w:t>
      </w:r>
    </w:p>
    <w:p w14:paraId="03ADF23F">
      <w:pPr>
        <w:pStyle w:val="3"/>
        <w:numPr>
          <w:ilvl w:val="1"/>
          <w:numId w:val="3"/>
        </w:numPr>
      </w:pPr>
      <w:bookmarkStart w:id="9" w:name="_Toc197073381"/>
      <w:r>
        <w:t>Research Scope</w:t>
      </w:r>
      <w:bookmarkEnd w:id="9"/>
    </w:p>
    <w:p w14:paraId="43331AF3">
      <w:pPr>
        <w:pStyle w:val="4"/>
        <w:numPr>
          <w:ilvl w:val="2"/>
          <w:numId w:val="3"/>
        </w:numPr>
        <w:rPr>
          <w:rFonts w:cs="Arial"/>
        </w:rPr>
      </w:pPr>
      <w:bookmarkStart w:id="10" w:name="_Toc197073382"/>
      <w:r>
        <w:rPr>
          <w:rFonts w:cs="Arial"/>
        </w:rPr>
        <w:t>Aim of the Study</w:t>
      </w:r>
      <w:bookmarkEnd w:id="10"/>
    </w:p>
    <w:p w14:paraId="1A9DC1BC">
      <w:pPr>
        <w:rPr>
          <w:rFonts w:cs="Arial"/>
        </w:rPr>
      </w:pPr>
      <w:r>
        <w:rPr>
          <w:rFonts w:cs="Arial"/>
        </w:rPr>
        <w:t>The main objective of this research is to understand the effect that organisational diversity and inclusion initiatives have upon the retention of staff in a UK context, with a focus on NHS Trusts, in particular, the lived experience of BME and frontline medical professionals.</w:t>
      </w:r>
    </w:p>
    <w:p w14:paraId="311DFA87">
      <w:pPr>
        <w:pStyle w:val="4"/>
        <w:numPr>
          <w:ilvl w:val="2"/>
          <w:numId w:val="3"/>
        </w:numPr>
        <w:rPr>
          <w:rFonts w:cs="Arial"/>
        </w:rPr>
      </w:pPr>
      <w:bookmarkStart w:id="11" w:name="_Toc163378191"/>
      <w:bookmarkStart w:id="12" w:name="_Toc197073383"/>
      <w:r>
        <w:rPr>
          <w:rFonts w:cs="Arial"/>
        </w:rPr>
        <w:t>Objectives</w:t>
      </w:r>
      <w:bookmarkEnd w:id="11"/>
      <w:r>
        <w:rPr>
          <w:rFonts w:cs="Arial"/>
        </w:rPr>
        <w:t xml:space="preserve"> of the Study</w:t>
      </w:r>
      <w:bookmarkEnd w:id="12"/>
    </w:p>
    <w:p w14:paraId="6620CD7B">
      <w:pPr>
        <w:numPr>
          <w:ilvl w:val="0"/>
          <w:numId w:val="4"/>
        </w:numPr>
        <w:rPr>
          <w:rFonts w:cs="Arial"/>
          <w:lang w:eastAsia="en-GB"/>
        </w:rPr>
      </w:pPr>
      <w:r>
        <w:rPr>
          <w:rFonts w:cs="Arial"/>
          <w:lang w:eastAsia="en-GB"/>
        </w:rPr>
        <w:t>To identify and categorise the D&amp;I strategies currently employed by NHS Trusts.</w:t>
      </w:r>
    </w:p>
    <w:p w14:paraId="1377C99E">
      <w:pPr>
        <w:numPr>
          <w:ilvl w:val="0"/>
          <w:numId w:val="4"/>
        </w:numPr>
        <w:rPr>
          <w:rFonts w:cs="Arial"/>
          <w:lang w:eastAsia="en-GB"/>
        </w:rPr>
      </w:pPr>
      <w:r>
        <w:rPr>
          <w:rFonts w:cs="Arial"/>
          <w:lang w:eastAsia="en-GB"/>
        </w:rPr>
        <w:t>To examine the perceptions of NHS staff, particularly those from minority backgrounds, regarding the effectiveness of these strategies.</w:t>
      </w:r>
    </w:p>
    <w:p w14:paraId="757E7562">
      <w:pPr>
        <w:numPr>
          <w:ilvl w:val="0"/>
          <w:numId w:val="4"/>
        </w:numPr>
        <w:rPr>
          <w:rFonts w:cs="Arial"/>
          <w:lang w:eastAsia="en-GB"/>
        </w:rPr>
      </w:pPr>
      <w:r>
        <w:rPr>
          <w:rFonts w:cs="Arial"/>
          <w:lang w:eastAsia="en-GB"/>
        </w:rPr>
        <w:t>To assess the relationship between perceived inclusivity and staff retention.</w:t>
      </w:r>
    </w:p>
    <w:p w14:paraId="0F6A1948">
      <w:pPr>
        <w:numPr>
          <w:ilvl w:val="0"/>
          <w:numId w:val="4"/>
        </w:numPr>
        <w:rPr>
          <w:rFonts w:cs="Arial"/>
          <w:lang w:eastAsia="en-GB"/>
        </w:rPr>
      </w:pPr>
      <w:r>
        <w:rPr>
          <w:rFonts w:cs="Arial"/>
          <w:lang w:eastAsia="en-GB"/>
        </w:rPr>
        <w:t>To provide practical recommendations for enhancing D&amp;I strategies to improve staff retention.</w:t>
      </w:r>
      <w:bookmarkStart w:id="13" w:name="_Toc163378192"/>
    </w:p>
    <w:p w14:paraId="74588930">
      <w:pPr>
        <w:pStyle w:val="4"/>
        <w:numPr>
          <w:ilvl w:val="2"/>
          <w:numId w:val="3"/>
        </w:numPr>
        <w:rPr>
          <w:rFonts w:cs="Arial"/>
        </w:rPr>
      </w:pPr>
      <w:bookmarkStart w:id="14" w:name="_Toc197073384"/>
      <w:r>
        <w:rPr>
          <w:rFonts w:cs="Arial"/>
        </w:rPr>
        <w:t>Research Questions</w:t>
      </w:r>
      <w:bookmarkEnd w:id="13"/>
      <w:bookmarkEnd w:id="14"/>
    </w:p>
    <w:p w14:paraId="0393F2D3">
      <w:pPr>
        <w:pStyle w:val="38"/>
        <w:numPr>
          <w:ilvl w:val="0"/>
          <w:numId w:val="5"/>
        </w:numPr>
        <w:rPr>
          <w:rFonts w:cs="Arial"/>
        </w:rPr>
      </w:pPr>
      <w:r>
        <w:rPr>
          <w:rFonts w:cs="Arial"/>
        </w:rPr>
        <w:t>Which D&amp;I techniques do NHS Trusts most frequently use?</w:t>
      </w:r>
    </w:p>
    <w:p w14:paraId="5DD729D8">
      <w:pPr>
        <w:pStyle w:val="38"/>
        <w:numPr>
          <w:ilvl w:val="0"/>
          <w:numId w:val="5"/>
        </w:numPr>
        <w:rPr>
          <w:rFonts w:cs="Arial"/>
        </w:rPr>
      </w:pPr>
      <w:r>
        <w:rPr>
          <w:rFonts w:cs="Arial"/>
        </w:rPr>
        <w:t>How effective are these D&amp;I strategies according to the minority and frontline employees?</w:t>
      </w:r>
    </w:p>
    <w:p w14:paraId="226D2F38">
      <w:pPr>
        <w:pStyle w:val="38"/>
        <w:numPr>
          <w:ilvl w:val="0"/>
          <w:numId w:val="5"/>
        </w:numPr>
        <w:rPr>
          <w:rFonts w:cs="Arial"/>
        </w:rPr>
      </w:pPr>
      <w:r>
        <w:rPr>
          <w:rFonts w:cs="Arial"/>
          <w:lang w:eastAsia="en-GB"/>
        </w:rPr>
        <w:t>What is the relationship between perceived inclusivity and staff retention?</w:t>
      </w:r>
    </w:p>
    <w:p w14:paraId="51B93276">
      <w:pPr>
        <w:pStyle w:val="38"/>
        <w:numPr>
          <w:ilvl w:val="0"/>
          <w:numId w:val="5"/>
        </w:numPr>
        <w:rPr>
          <w:rFonts w:cs="Arial"/>
        </w:rPr>
      </w:pPr>
      <w:r>
        <w:rPr>
          <w:rFonts w:cs="Arial"/>
        </w:rPr>
        <w:t>What are the barriers to the successful adoption of D&amp;I interventions within the NHS Trusts?</w:t>
      </w:r>
    </w:p>
    <w:p w14:paraId="48D1BEC5">
      <w:pPr>
        <w:rPr>
          <w:rFonts w:cs="Arial"/>
        </w:rPr>
      </w:pPr>
    </w:p>
    <w:p w14:paraId="3190669B">
      <w:pPr>
        <w:rPr>
          <w:rFonts w:cs="Arial"/>
        </w:rPr>
      </w:pPr>
    </w:p>
    <w:p w14:paraId="0BBD1663">
      <w:pPr>
        <w:rPr>
          <w:rFonts w:cs="Arial"/>
        </w:rPr>
      </w:pPr>
    </w:p>
    <w:p w14:paraId="701091C7">
      <w:pPr>
        <w:rPr>
          <w:rFonts w:cs="Arial"/>
        </w:rPr>
      </w:pPr>
    </w:p>
    <w:p w14:paraId="46B579E0">
      <w:pPr>
        <w:rPr>
          <w:rFonts w:cs="Arial"/>
        </w:rPr>
      </w:pPr>
    </w:p>
    <w:p w14:paraId="3B116682">
      <w:pPr>
        <w:rPr>
          <w:rFonts w:cs="Arial"/>
        </w:rPr>
      </w:pPr>
    </w:p>
    <w:p w14:paraId="259664CA">
      <w:pPr>
        <w:rPr>
          <w:rFonts w:cs="Arial"/>
        </w:rPr>
      </w:pPr>
    </w:p>
    <w:p w14:paraId="15A571E0">
      <w:pPr>
        <w:rPr>
          <w:rFonts w:cs="Arial"/>
        </w:rPr>
      </w:pPr>
    </w:p>
    <w:p w14:paraId="070E65B6">
      <w:pPr>
        <w:rPr>
          <w:rFonts w:cs="Arial"/>
        </w:rPr>
      </w:pPr>
    </w:p>
    <w:p w14:paraId="4E60A798">
      <w:pPr>
        <w:rPr>
          <w:rFonts w:cs="Arial"/>
        </w:rPr>
      </w:pPr>
    </w:p>
    <w:p w14:paraId="6D0A6010">
      <w:pPr>
        <w:rPr>
          <w:rFonts w:cs="Arial"/>
        </w:rPr>
      </w:pPr>
    </w:p>
    <w:p w14:paraId="42142A97">
      <w:pPr>
        <w:rPr>
          <w:rFonts w:cs="Arial"/>
        </w:rPr>
      </w:pPr>
    </w:p>
    <w:p w14:paraId="1AB2C889">
      <w:pPr>
        <w:rPr>
          <w:rFonts w:cs="Arial"/>
        </w:rPr>
      </w:pPr>
    </w:p>
    <w:p w14:paraId="57C3F5E7">
      <w:pPr>
        <w:rPr>
          <w:rFonts w:cs="Arial"/>
        </w:rPr>
      </w:pPr>
    </w:p>
    <w:p w14:paraId="13BD795C">
      <w:pPr>
        <w:rPr>
          <w:rFonts w:cs="Arial"/>
        </w:rPr>
      </w:pPr>
    </w:p>
    <w:p w14:paraId="66E57B1D">
      <w:pPr>
        <w:rPr>
          <w:rFonts w:cs="Arial"/>
        </w:rPr>
      </w:pPr>
    </w:p>
    <w:p w14:paraId="0CB0E653">
      <w:pPr>
        <w:rPr>
          <w:rFonts w:cs="Arial"/>
        </w:rPr>
      </w:pPr>
    </w:p>
    <w:p w14:paraId="7980A902">
      <w:pPr>
        <w:pStyle w:val="2"/>
        <w:numPr>
          <w:ilvl w:val="0"/>
          <w:numId w:val="2"/>
        </w:numPr>
        <w:rPr>
          <w:rStyle w:val="25"/>
          <w:b/>
        </w:rPr>
      </w:pPr>
      <w:bookmarkStart w:id="15" w:name="_Toc197073385"/>
      <w:r>
        <w:rPr>
          <w:rStyle w:val="25"/>
          <w:b/>
        </w:rPr>
        <w:t>Literature Review</w:t>
      </w:r>
      <w:bookmarkEnd w:id="15"/>
    </w:p>
    <w:p w14:paraId="57E0AE08">
      <w:pPr>
        <w:pStyle w:val="3"/>
      </w:pPr>
      <w:bookmarkStart w:id="16" w:name="_Toc197073386"/>
      <w:r>
        <w:t>Theoretical Frameworks</w:t>
      </w:r>
      <w:bookmarkEnd w:id="16"/>
    </w:p>
    <w:p w14:paraId="61814FEE">
      <w:pPr>
        <w:rPr>
          <w:rFonts w:cs="Arial"/>
          <w:lang w:val="en" w:eastAsia="en-GB"/>
        </w:rPr>
      </w:pPr>
      <w:r>
        <w:rPr>
          <w:rFonts w:cs="Arial"/>
          <w:lang w:val="en" w:eastAsia="en-GB"/>
        </w:rPr>
        <w:t>The following section considers the main empirical and theoretical frameworks which underpin the literature on Diversity and Inclusion (D&amp;I) strategies and employee retention.</w:t>
      </w:r>
    </w:p>
    <w:p w14:paraId="38E4544C">
      <w:pPr>
        <w:pStyle w:val="4"/>
        <w:numPr>
          <w:ilvl w:val="2"/>
          <w:numId w:val="1"/>
        </w:numPr>
        <w:rPr>
          <w:rFonts w:cs="Arial"/>
        </w:rPr>
      </w:pPr>
      <w:bookmarkStart w:id="17" w:name="_Toc196589869"/>
      <w:bookmarkStart w:id="18" w:name="_Toc197073387"/>
      <w:r>
        <w:rPr>
          <w:rFonts w:cs="Arial"/>
        </w:rPr>
        <w:t>Social Identity Theory</w:t>
      </w:r>
      <w:bookmarkEnd w:id="17"/>
      <w:bookmarkEnd w:id="18"/>
    </w:p>
    <w:p w14:paraId="2A82C499">
      <w:pPr>
        <w:rPr>
          <w:rFonts w:cs="Arial"/>
        </w:rPr>
      </w:pPr>
      <w:r>
        <w:rPr>
          <w:rFonts w:cs="Arial"/>
        </w:rPr>
        <w:t>According to Social Identity Theory (SIT), introduced by Tajfel and Turner (1979), people obtain their identity from the groups that they are associated with. According to SIT, if employees see themselves as members of a group that is treated fairly and equitably, they will be less likely to leave the organisation, which results in increased retention. Within NHS Trusts, SIT would suggest that D&amp;I initiatives designed to advance equality and inclusivity will lead to greater employees’ identification with the organisation, which in turn will increase engagement and decrease turnover. This is reinforced by research reported by Leavy (2020), which suggests that when NHS staff believe their social identity is recognised, they are less likely to leave the organisation.</w:t>
      </w:r>
    </w:p>
    <w:p w14:paraId="75BCE504">
      <w:pPr>
        <w:jc w:val="center"/>
        <w:rPr>
          <w:rFonts w:cs="Arial"/>
          <w:lang w:eastAsia="en-GB"/>
        </w:rPr>
      </w:pPr>
      <w:r>
        <w:rPr>
          <w:rFonts w:cs="Arial"/>
        </w:rPr>
        <w:drawing>
          <wp:inline distT="0" distB="0" distL="0" distR="0">
            <wp:extent cx="4930775" cy="2242820"/>
            <wp:effectExtent l="0" t="0" r="3175" b="5080"/>
            <wp:docPr id="15" name="Picture 15" descr="1 A Schematic Diagram of Social Identity Theory's Basic Princi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1 A Schematic Diagram of Social Identity Theory's Basic Principl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946070" cy="2250007"/>
                    </a:xfrm>
                    <a:prstGeom prst="rect">
                      <a:avLst/>
                    </a:prstGeom>
                    <a:noFill/>
                    <a:ln>
                      <a:noFill/>
                    </a:ln>
                  </pic:spPr>
                </pic:pic>
              </a:graphicData>
            </a:graphic>
          </wp:inline>
        </w:drawing>
      </w:r>
    </w:p>
    <w:p w14:paraId="6AAAB693">
      <w:pPr>
        <w:pStyle w:val="13"/>
        <w:spacing w:line="360" w:lineRule="auto"/>
        <w:jc w:val="center"/>
        <w:rPr>
          <w:rFonts w:cs="Arial"/>
          <w:i w:val="0"/>
          <w:iCs w:val="0"/>
          <w:sz w:val="20"/>
          <w:szCs w:val="20"/>
          <w:lang w:eastAsia="en-GB"/>
        </w:rPr>
      </w:pPr>
      <w:bookmarkStart w:id="19" w:name="_Toc197070230"/>
      <w:r>
        <w:rPr>
          <w:rFonts w:cs="Arial"/>
        </w:rPr>
        <w:t xml:space="preserve">Figure </w:t>
      </w:r>
      <w:r>
        <w:rPr>
          <w:rFonts w:cs="Arial"/>
        </w:rPr>
        <w:fldChar w:fldCharType="begin"/>
      </w:r>
      <w:r>
        <w:rPr>
          <w:rFonts w:cs="Arial"/>
        </w:rPr>
        <w:instrText xml:space="preserve"> SEQ Figure \* ARABIC </w:instrText>
      </w:r>
      <w:r>
        <w:rPr>
          <w:rFonts w:cs="Arial"/>
        </w:rPr>
        <w:fldChar w:fldCharType="separate"/>
      </w:r>
      <w:r>
        <w:rPr>
          <w:rFonts w:cs="Arial"/>
        </w:rPr>
        <w:t>1</w:t>
      </w:r>
      <w:r>
        <w:rPr>
          <w:rFonts w:cs="Arial"/>
        </w:rPr>
        <w:fldChar w:fldCharType="end"/>
      </w:r>
      <w:r>
        <w:rPr>
          <w:rFonts w:cs="Arial"/>
        </w:rPr>
        <w:t xml:space="preserve"> </w:t>
      </w:r>
      <w:r>
        <w:rPr>
          <w:rFonts w:cs="Arial"/>
          <w:i w:val="0"/>
          <w:iCs w:val="0"/>
          <w:sz w:val="20"/>
          <w:szCs w:val="20"/>
          <w:lang w:eastAsia="en-GB"/>
        </w:rPr>
        <w:t>Social Identity Theory, Source: (Tajfel &amp; Turner, 1979)</w:t>
      </w:r>
      <w:bookmarkEnd w:id="19"/>
    </w:p>
    <w:p w14:paraId="322B0370">
      <w:pPr>
        <w:pStyle w:val="4"/>
        <w:numPr>
          <w:ilvl w:val="2"/>
          <w:numId w:val="1"/>
        </w:numPr>
        <w:rPr>
          <w:rFonts w:cs="Arial"/>
        </w:rPr>
      </w:pPr>
      <w:bookmarkStart w:id="20" w:name="_Toc197073388"/>
      <w:bookmarkStart w:id="21" w:name="_Toc196589870"/>
      <w:r>
        <w:rPr>
          <w:rFonts w:cs="Arial"/>
        </w:rPr>
        <w:t>Schema Theory</w:t>
      </w:r>
      <w:bookmarkEnd w:id="20"/>
      <w:bookmarkEnd w:id="21"/>
    </w:p>
    <w:p w14:paraId="372FB7F4">
      <w:pPr>
        <w:rPr>
          <w:rFonts w:cs="Arial"/>
        </w:rPr>
      </w:pPr>
      <w:r>
        <w:rPr>
          <w:rFonts w:cs="Arial"/>
        </w:rPr>
        <w:t>According to Schema Theory (Bartlett, 1932), individuals employ mental frameworks or schemas to structure and interpret information. Organisations: At an organisational level, employees’ schemas are formed by prior experience, cultural heritage and organisational procedures. As the schemas are fluid, D&amp;I tactics, such as training and leadership development, can change this schema for the better, creating more inclusive, accepting views on diversity. Bryman (2016) demonstrated that effective D&amp;I practice impacts the schemas of employees, leading to greater acceptance of diversity and reducing staff turnover.</w:t>
      </w:r>
    </w:p>
    <w:p w14:paraId="3CB0E46E">
      <w:pPr>
        <w:pStyle w:val="4"/>
        <w:numPr>
          <w:ilvl w:val="2"/>
          <w:numId w:val="1"/>
        </w:numPr>
        <w:rPr>
          <w:rFonts w:cs="Arial"/>
        </w:rPr>
      </w:pPr>
      <w:bookmarkStart w:id="22" w:name="_Toc197073389"/>
      <w:bookmarkStart w:id="23" w:name="_Toc196589871"/>
      <w:r>
        <w:rPr>
          <w:rFonts w:cs="Arial"/>
        </w:rPr>
        <w:t>Contact theory</w:t>
      </w:r>
      <w:bookmarkEnd w:id="22"/>
      <w:bookmarkEnd w:id="23"/>
      <w:r>
        <w:rPr>
          <w:rFonts w:cs="Arial"/>
        </w:rPr>
        <w:t xml:space="preserve"> </w:t>
      </w:r>
    </w:p>
    <w:p w14:paraId="6938332A">
      <w:pPr>
        <w:rPr>
          <w:rFonts w:cs="Arial"/>
          <w:lang w:eastAsia="en-GB"/>
        </w:rPr>
      </w:pPr>
      <w:r>
        <w:rPr>
          <w:rFonts w:cs="Arial"/>
          <w:lang w:eastAsia="en-GB"/>
        </w:rPr>
        <w:t>According to the Contact theory, proposed by Allport (1954), engaging in intergroup contact under certain conditions can lead to the reduction of prejudice and intergroup relations. Encouraging meaningful connections between different types of employees at work can help create a culture of respect and understanding in the workplace. A study by Gorman et al. (2005) discovered through their exploratory research that intergroup contact in diverse workplace environments was beneficial in improving relationships and decreasing turnover. The promotion of contact between different groups across the two communities can be beneficial to the community as unity of work (Thompson, 2008), having implications for trust, lower staff turnover, contact between staff and patients and conflictual cross-communication.</w:t>
      </w:r>
    </w:p>
    <w:p w14:paraId="2C0FBEFB">
      <w:pPr>
        <w:jc w:val="center"/>
        <w:rPr>
          <w:rFonts w:cs="Arial"/>
          <w:lang w:eastAsia="en-GB"/>
        </w:rPr>
      </w:pPr>
      <w:r>
        <w:rPr>
          <w:rFonts w:cs="Arial"/>
        </w:rPr>
        <w:drawing>
          <wp:inline distT="0" distB="0" distL="0" distR="0">
            <wp:extent cx="2418715" cy="1703705"/>
            <wp:effectExtent l="0" t="0" r="635" b="0"/>
            <wp:docPr id="20" name="Picture 20" descr="Allport's Theory of Personal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llport's Theory of Personalit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452613" cy="1727839"/>
                    </a:xfrm>
                    <a:prstGeom prst="rect">
                      <a:avLst/>
                    </a:prstGeom>
                    <a:noFill/>
                    <a:ln>
                      <a:noFill/>
                    </a:ln>
                  </pic:spPr>
                </pic:pic>
              </a:graphicData>
            </a:graphic>
          </wp:inline>
        </w:drawing>
      </w:r>
    </w:p>
    <w:p w14:paraId="731E6C29">
      <w:pPr>
        <w:pStyle w:val="13"/>
        <w:spacing w:line="360" w:lineRule="auto"/>
        <w:jc w:val="center"/>
        <w:rPr>
          <w:rFonts w:cs="Arial"/>
          <w:lang w:eastAsia="en-GB"/>
        </w:rPr>
      </w:pPr>
      <w:bookmarkStart w:id="24" w:name="_Toc197070231"/>
      <w:r>
        <w:rPr>
          <w:rFonts w:cs="Arial"/>
        </w:rPr>
        <w:t xml:space="preserve">Figure </w:t>
      </w:r>
      <w:r>
        <w:rPr>
          <w:rFonts w:cs="Arial"/>
        </w:rPr>
        <w:fldChar w:fldCharType="begin"/>
      </w:r>
      <w:r>
        <w:rPr>
          <w:rFonts w:cs="Arial"/>
        </w:rPr>
        <w:instrText xml:space="preserve"> SEQ Figure \* ARABIC </w:instrText>
      </w:r>
      <w:r>
        <w:rPr>
          <w:rFonts w:cs="Arial"/>
        </w:rPr>
        <w:fldChar w:fldCharType="separate"/>
      </w:r>
      <w:r>
        <w:rPr>
          <w:rFonts w:cs="Arial"/>
        </w:rPr>
        <w:t>2</w:t>
      </w:r>
      <w:r>
        <w:rPr>
          <w:rFonts w:cs="Arial"/>
        </w:rPr>
        <w:fldChar w:fldCharType="end"/>
      </w:r>
      <w:r>
        <w:rPr>
          <w:rFonts w:cs="Arial"/>
          <w:lang w:eastAsia="en-GB"/>
        </w:rPr>
        <w:t xml:space="preserve"> Contact Theory, Source: (Allport, 1954)</w:t>
      </w:r>
      <w:bookmarkEnd w:id="24"/>
    </w:p>
    <w:p w14:paraId="71285DF2">
      <w:pPr>
        <w:pStyle w:val="4"/>
        <w:numPr>
          <w:ilvl w:val="2"/>
          <w:numId w:val="1"/>
        </w:numPr>
        <w:rPr>
          <w:rFonts w:cs="Arial"/>
        </w:rPr>
      </w:pPr>
      <w:bookmarkStart w:id="25" w:name="_Toc197073390"/>
      <w:r>
        <w:rPr>
          <w:rFonts w:cs="Arial"/>
        </w:rPr>
        <w:t>Cultural Intelligence Theory</w:t>
      </w:r>
      <w:bookmarkEnd w:id="25"/>
      <w:r>
        <w:rPr>
          <w:rFonts w:cs="Arial"/>
        </w:rPr>
        <w:t xml:space="preserve"> </w:t>
      </w:r>
    </w:p>
    <w:p w14:paraId="34A91343">
      <w:pPr>
        <w:rPr>
          <w:rFonts w:cs="Arial"/>
        </w:rPr>
      </w:pPr>
      <w:r>
        <w:rPr>
          <w:rFonts w:cs="Arial"/>
        </w:rPr>
        <w:t>Earley and Ang (2003) propose that CQ is the capability for individual work in cross-cultural contexts. High CQ enables people to adjust their behaviour depending on the culture and interact meaningfully with people from different groups. Since there are various job types and cultures in the NHS, CQ should be developed in the NHS so that the workplace can be inclusive. Research by Saunders et al. (2019) suggests that organisations that are dedicated to CQ training and development can increase employee satisfaction and retention by assisting employees in the acquisition of skills in how to handle the complexity of intercultural tensions.</w:t>
      </w:r>
    </w:p>
    <w:p w14:paraId="5554BF0A">
      <w:pPr>
        <w:jc w:val="center"/>
        <w:rPr>
          <w:rFonts w:cs="Arial"/>
          <w:lang w:eastAsia="en-GB"/>
        </w:rPr>
      </w:pPr>
      <w:r>
        <w:rPr>
          <w:rFonts w:cs="Arial"/>
        </w:rPr>
        <w:drawing>
          <wp:inline distT="0" distB="0" distL="0" distR="0">
            <wp:extent cx="3124835" cy="1745615"/>
            <wp:effectExtent l="0" t="0" r="0" b="6985"/>
            <wp:docPr id="22" name="Picture 22" descr="cultural intelligence (Earley, 200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ultural intelligence (Earley, 2002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202570" cy="1788852"/>
                    </a:xfrm>
                    <a:prstGeom prst="rect">
                      <a:avLst/>
                    </a:prstGeom>
                    <a:noFill/>
                    <a:ln>
                      <a:noFill/>
                    </a:ln>
                  </pic:spPr>
                </pic:pic>
              </a:graphicData>
            </a:graphic>
          </wp:inline>
        </w:drawing>
      </w:r>
    </w:p>
    <w:p w14:paraId="2F31CA56">
      <w:pPr>
        <w:pStyle w:val="13"/>
        <w:spacing w:line="360" w:lineRule="auto"/>
        <w:jc w:val="center"/>
        <w:rPr>
          <w:rFonts w:cs="Arial"/>
          <w:lang w:eastAsia="en-GB"/>
        </w:rPr>
      </w:pPr>
      <w:bookmarkStart w:id="26" w:name="_Toc197070232"/>
      <w:r>
        <w:rPr>
          <w:rFonts w:cs="Arial"/>
        </w:rPr>
        <w:t xml:space="preserve">Figure </w:t>
      </w:r>
      <w:r>
        <w:rPr>
          <w:rFonts w:cs="Arial"/>
        </w:rPr>
        <w:fldChar w:fldCharType="begin"/>
      </w:r>
      <w:r>
        <w:rPr>
          <w:rFonts w:cs="Arial"/>
        </w:rPr>
        <w:instrText xml:space="preserve"> SEQ Figure \* ARABIC </w:instrText>
      </w:r>
      <w:r>
        <w:rPr>
          <w:rFonts w:cs="Arial"/>
        </w:rPr>
        <w:fldChar w:fldCharType="separate"/>
      </w:r>
      <w:r>
        <w:rPr>
          <w:rFonts w:cs="Arial"/>
        </w:rPr>
        <w:t>3</w:t>
      </w:r>
      <w:r>
        <w:rPr>
          <w:rFonts w:cs="Arial"/>
        </w:rPr>
        <w:fldChar w:fldCharType="end"/>
      </w:r>
      <w:r>
        <w:rPr>
          <w:rFonts w:cs="Arial"/>
        </w:rPr>
        <w:t xml:space="preserve"> </w:t>
      </w:r>
      <w:r>
        <w:rPr>
          <w:rFonts w:cs="Arial"/>
          <w:lang w:eastAsia="en-GB"/>
        </w:rPr>
        <w:t>Cultural Intelligence Theory, Source: (Earley &amp; Ang, 2003)</w:t>
      </w:r>
      <w:bookmarkEnd w:id="26"/>
    </w:p>
    <w:p w14:paraId="242C07B5">
      <w:pPr>
        <w:pStyle w:val="3"/>
      </w:pPr>
      <w:bookmarkStart w:id="27" w:name="_Toc197073391"/>
      <w:r>
        <w:t>Relationship Between D&amp;I and Staff Retention</w:t>
      </w:r>
      <w:bookmarkEnd w:id="27"/>
    </w:p>
    <w:p w14:paraId="483062A6">
      <w:pPr>
        <w:rPr>
          <w:rFonts w:cs="Arial"/>
          <w:lang w:val="en" w:eastAsia="en-GB"/>
        </w:rPr>
      </w:pPr>
      <w:r>
        <w:rPr>
          <w:rFonts w:cs="Arial"/>
          <w:lang w:val="en" w:eastAsia="en-GB"/>
        </w:rPr>
        <w:t>McDonnell et al. (2023) found that companies that embark on strong D&amp;I practices have less turnover, and the employees' satisfaction was extremely high where minority employees are concerned. In healthcare institutions like the NHS, staff shortages continue to be an issue, and D&amp;I strategies are crucial as a way to retain talent. The NHS WRES (2022) report highlights that BAME staff are more likely to face discrimination and exclusion, leading to lower job satisfaction and staff turnover. Its strategy to include initiatives like diverse recruitment practices and leadership development programs can help address these problems and improve employee retention.</w:t>
      </w:r>
    </w:p>
    <w:p w14:paraId="0345677B">
      <w:pPr>
        <w:pStyle w:val="3"/>
      </w:pPr>
      <w:bookmarkStart w:id="28" w:name="_Toc197073392"/>
      <w:r>
        <w:t>Factors Impacting Diversity and Inclusion Strategies</w:t>
      </w:r>
      <w:bookmarkEnd w:id="28"/>
    </w:p>
    <w:p w14:paraId="189F7FC0">
      <w:pPr>
        <w:rPr>
          <w:rFonts w:cs="Arial"/>
          <w:lang w:val="en" w:eastAsia="en-GB"/>
        </w:rPr>
      </w:pPr>
      <w:r>
        <w:rPr>
          <w:rFonts w:cs="Arial"/>
          <w:lang w:val="en" w:eastAsia="en-GB"/>
        </w:rPr>
        <w:t>There are several important drivers behind the effectiveness of D&amp;I strategies in retention:</w:t>
      </w:r>
    </w:p>
    <w:p w14:paraId="39F4A6B8">
      <w:pPr>
        <w:numPr>
          <w:ilvl w:val="0"/>
          <w:numId w:val="6"/>
        </w:numPr>
        <w:rPr>
          <w:rFonts w:cs="Arial"/>
          <w:lang w:eastAsia="en-GB"/>
        </w:rPr>
      </w:pPr>
      <w:r>
        <w:rPr>
          <w:rFonts w:cs="Arial"/>
          <w:b/>
          <w:bCs/>
          <w:lang w:eastAsia="en-GB"/>
        </w:rPr>
        <w:t>Leadership Commitment</w:t>
      </w:r>
      <w:r>
        <w:rPr>
          <w:rFonts w:cs="Arial"/>
          <w:lang w:eastAsia="en-GB"/>
        </w:rPr>
        <w:t>: As per Bickman &amp; Rog (2009); Effective leadership drives D&amp;I initiatives. Leaders need to consciously role model inclusiveness to influence the cultural systems and processes to generate a culture of inclusivity.</w:t>
      </w:r>
    </w:p>
    <w:p w14:paraId="79ACB3A3">
      <w:pPr>
        <w:numPr>
          <w:ilvl w:val="0"/>
          <w:numId w:val="6"/>
        </w:numPr>
        <w:rPr>
          <w:rFonts w:cs="Arial"/>
          <w:lang w:eastAsia="en-GB"/>
        </w:rPr>
      </w:pPr>
      <w:r>
        <w:rPr>
          <w:rFonts w:cs="Arial"/>
          <w:b/>
          <w:bCs/>
          <w:lang w:eastAsia="en-GB"/>
        </w:rPr>
        <w:t>Training Programs</w:t>
      </w:r>
      <w:r>
        <w:rPr>
          <w:rFonts w:cs="Arial"/>
          <w:lang w:eastAsia="en-GB"/>
        </w:rPr>
        <w:t>: Companies that continuously invest in D&amp;I training and development are more likely to foster more inclusive environments. Bryman (2016) highlights the significance of training programs that deal with unconscious bias and develop cultural competence.</w:t>
      </w:r>
    </w:p>
    <w:p w14:paraId="71746966">
      <w:pPr>
        <w:numPr>
          <w:ilvl w:val="0"/>
          <w:numId w:val="6"/>
        </w:numPr>
        <w:rPr>
          <w:rFonts w:cs="Arial"/>
          <w:lang w:eastAsia="en-GB"/>
        </w:rPr>
      </w:pPr>
      <w:r>
        <w:rPr>
          <w:rFonts w:cs="Arial"/>
          <w:b/>
          <w:bCs/>
          <w:lang w:eastAsia="en-GB"/>
        </w:rPr>
        <w:t>Organisational Culture</w:t>
      </w:r>
      <w:r>
        <w:rPr>
          <w:rFonts w:cs="Arial"/>
          <w:lang w:eastAsia="en-GB"/>
        </w:rPr>
        <w:t>: A positive organisational culture, that promotes D&amp;I initiatives, is vital in increasing retention. Field (2013) also discovered that supporting inclusive cultures was associated with lower turnover rates and higher levels of employee satisfaction among healthcare organisations.</w:t>
      </w:r>
    </w:p>
    <w:p w14:paraId="19FC718E">
      <w:pPr>
        <w:pStyle w:val="3"/>
      </w:pPr>
      <w:bookmarkStart w:id="29" w:name="_Toc197073393"/>
      <w:r>
        <w:t>Empirical Reviews</w:t>
      </w:r>
      <w:bookmarkEnd w:id="29"/>
    </w:p>
    <w:p w14:paraId="049D2609">
      <w:pPr>
        <w:pStyle w:val="4"/>
        <w:numPr>
          <w:ilvl w:val="2"/>
          <w:numId w:val="1"/>
        </w:numPr>
        <w:rPr>
          <w:rFonts w:cs="Arial"/>
          <w:lang w:eastAsia="en-GB"/>
        </w:rPr>
      </w:pPr>
      <w:bookmarkStart w:id="30" w:name="_Toc197073394"/>
      <w:r>
        <w:rPr>
          <w:rFonts w:cs="Arial"/>
          <w:lang w:eastAsia="en-GB"/>
        </w:rPr>
        <w:t>Relationship Between D&amp;I Strategies and Employee Satisfaction</w:t>
      </w:r>
      <w:bookmarkEnd w:id="30"/>
    </w:p>
    <w:p w14:paraId="1BC8EBC2">
      <w:pPr>
        <w:rPr>
          <w:rFonts w:cs="Arial"/>
          <w:lang w:eastAsia="en-GB"/>
        </w:rPr>
      </w:pPr>
      <w:r>
        <w:rPr>
          <w:rFonts w:cs="Arial"/>
          <w:lang w:eastAsia="en-GB"/>
        </w:rPr>
        <w:t xml:space="preserve">Research by McDonnell et al. (2023) found a significant positive relationship between D&amp;I strategies and employee satisfaction in the healthcare sector. NHS employees who reported that their workplace took equality and diversity seriously were more satisfied and less likely to leave. This is consistent with what Bryman (2016) has maintained: D&amp;I initiatives like inclusivity training and diverse leadership ensure an engaged and supportive workplace and are crucial to the retention process. While McDonnell et al. (2023) make valuable contributions, the first is broader in organisational settings and has little application to the NHS, where differences in structure and organisation exist. Additionally, their approach is built on self-report data, which may lead to bias, as individuals could provide more socially desirable responses rather than their actual mood. </w:t>
      </w:r>
    </w:p>
    <w:p w14:paraId="060925B5">
      <w:pPr>
        <w:rPr>
          <w:rFonts w:cs="Arial"/>
        </w:rPr>
      </w:pPr>
      <w:r>
        <w:rPr>
          <w:rFonts w:cs="Arial"/>
        </w:rPr>
        <w:t>There are a few studies that have investigated the connection between D&amp;I strategies and employees' satisfaction in different fields. McDonnell et al. (2023) observed a positive correlation between D&amp;I strategies and job satisfaction, especially among employees from an ethnic minority background. According to their research, companies with strong D&amp;I practices often see lower turnover, as employees from all walks of life feel more appreciated and supported. Yet although these investigations focused on satisfaction and engagement among employees and the factors that lead to these outcomes, they have not considered carefully enough how such D&amp;I strategies affect the retention of staff over the longer term, particularly in healthcare settings where staff turnover is frequently a significant issue.</w:t>
      </w:r>
    </w:p>
    <w:p w14:paraId="27F83505">
      <w:pPr>
        <w:pStyle w:val="4"/>
        <w:numPr>
          <w:ilvl w:val="2"/>
          <w:numId w:val="1"/>
        </w:numPr>
        <w:rPr>
          <w:rFonts w:cs="Arial"/>
          <w:lang w:eastAsia="en-GB"/>
        </w:rPr>
      </w:pPr>
      <w:bookmarkStart w:id="31" w:name="_Toc197073395"/>
      <w:r>
        <w:rPr>
          <w:rFonts w:cs="Arial"/>
          <w:lang w:eastAsia="en-GB"/>
        </w:rPr>
        <w:t>Barriers to Effective D&amp;I Implementation</w:t>
      </w:r>
      <w:bookmarkEnd w:id="31"/>
    </w:p>
    <w:p w14:paraId="7816D75B">
      <w:pPr>
        <w:rPr>
          <w:rFonts w:cs="Arial"/>
          <w:lang w:eastAsia="en-GB"/>
        </w:rPr>
      </w:pPr>
      <w:r>
        <w:rPr>
          <w:rFonts w:cs="Arial"/>
          <w:lang w:eastAsia="en-GB"/>
        </w:rPr>
        <w:t xml:space="preserve">Gorman et al. (2005) examined factors in healthcare organisations and found several important barriers to successful D&amp;I, such as a lack of leadership support, staff resistance, and resources. Their work points out that D&amp;I initiatives tend to fall at the first hurdle when leaders fail to wholeheartedly commit, or rank diversity high up their list of priorities, which eventually leaves employees disillusioned, and ultimately failing to effect broader positive change. Field (2013) identified comparable experiences within NHS Trusts, with frontline staff, especially those from minority backgrounds, who felt unsupported and alienated from opportunities for career progression, despite the existence of D&amp;I policies. </w:t>
      </w:r>
    </w:p>
    <w:p w14:paraId="1F50B665">
      <w:pPr>
        <w:rPr>
          <w:rFonts w:cs="Arial"/>
          <w:lang w:eastAsia="en-GB"/>
        </w:rPr>
      </w:pPr>
      <w:r>
        <w:rPr>
          <w:rFonts w:cs="Arial"/>
          <w:lang w:eastAsia="en-GB"/>
        </w:rPr>
        <w:t>While Gorman et al. (2005) and Field (2013) offer useful information concerning the blockades to D&amp;I success, their research also has several methodological drawbacks. For example, both studies based their analysis on qualitative interviews with a sample of families, potentially constraining the generalisability of their results. This analysis usually concentrates on big organisational barriers related to leadership and employee rejection, but neglects to understand specific daily barriers such as social prejudices and operational obstacles that lead to D&amp;I failures.</w:t>
      </w:r>
    </w:p>
    <w:p w14:paraId="76720FBD">
      <w:pPr>
        <w:pStyle w:val="4"/>
        <w:numPr>
          <w:ilvl w:val="2"/>
          <w:numId w:val="1"/>
        </w:numPr>
        <w:rPr>
          <w:rFonts w:cs="Arial"/>
          <w:lang w:eastAsia="en-GB"/>
        </w:rPr>
      </w:pPr>
      <w:bookmarkStart w:id="32" w:name="_Toc197073396"/>
      <w:r>
        <w:rPr>
          <w:rFonts w:cs="Arial"/>
          <w:lang w:eastAsia="en-GB"/>
        </w:rPr>
        <w:t>Role of D&amp;I in Enhancing Workforce Stability</w:t>
      </w:r>
      <w:bookmarkEnd w:id="32"/>
    </w:p>
    <w:p w14:paraId="10D2B7B4">
      <w:pPr>
        <w:rPr>
          <w:rFonts w:cs="Arial"/>
          <w:lang w:eastAsia="en-GB"/>
        </w:rPr>
      </w:pPr>
      <w:r>
        <w:rPr>
          <w:rFonts w:cs="Arial"/>
          <w:lang w:eastAsia="en-GB"/>
        </w:rPr>
        <w:t xml:space="preserve">D&amp; I strategies deliver job protection benefits to staff that prevent work-related demotivation and feelings of alienation. This paper dedicates its research to examining how inclusive human resource management programmes like mentoring and diversity training, and development initiatives contribute to maintaining BAME employee engagement within the National Health Service NHS in England (OMCD, 2020). Employee engagement amongst BAME staff in the NHS increased according to research about diversity training and leadership development, and mentoring programmes (Leavy, 2020). </w:t>
      </w:r>
    </w:p>
    <w:p w14:paraId="7EDE398C">
      <w:pPr>
        <w:rPr>
          <w:rFonts w:cs="Arial"/>
          <w:lang w:eastAsia="en-GB"/>
        </w:rPr>
      </w:pPr>
      <w:r>
        <w:rPr>
          <w:rFonts w:cs="Arial"/>
          <w:lang w:eastAsia="en-GB"/>
        </w:rPr>
        <w:t xml:space="preserve">Leavy’s research shows that programmes aimed at respect and value creation increase employee job retention because they enhance employee satisfaction. The research by Leavy (2020) shows that inclusive approaches create conditions for maintaining healthcare staff but omits information about how to apply these approaches within fragmented healthcare settings. Several warnings need to be considered about this research. The research dataset, consisting of a few NHS Trusts located in urban British areas, may not deliver an accurate representation of the entire NHS structure. </w:t>
      </w:r>
    </w:p>
    <w:p w14:paraId="2E52A2CD">
      <w:pPr>
        <w:pStyle w:val="4"/>
        <w:numPr>
          <w:ilvl w:val="2"/>
          <w:numId w:val="1"/>
        </w:numPr>
        <w:rPr>
          <w:rFonts w:cs="Arial"/>
          <w:lang w:eastAsia="en-GB"/>
        </w:rPr>
      </w:pPr>
      <w:bookmarkStart w:id="33" w:name="_Toc197073397"/>
      <w:r>
        <w:rPr>
          <w:rFonts w:cs="Arial"/>
          <w:lang w:eastAsia="en-GB"/>
        </w:rPr>
        <w:t>Impact of Inclusive Leadership on Staff Retention</w:t>
      </w:r>
      <w:bookmarkEnd w:id="33"/>
    </w:p>
    <w:p w14:paraId="333C5E87">
      <w:pPr>
        <w:rPr>
          <w:rFonts w:cs="Arial"/>
          <w:lang w:eastAsia="en-GB"/>
        </w:rPr>
      </w:pPr>
      <w:r>
        <w:rPr>
          <w:rFonts w:cs="Arial"/>
          <w:lang w:eastAsia="en-GB"/>
        </w:rPr>
        <w:t xml:space="preserve">Inclusive leadership was found to have a significant role to play in creating an inclusive working environment. According to the research of Fereday and Muir-Cochrane (2006), Bryman (2016) has shown that those leaders who are inclusive and who actively encourage diversity and remove barriers are less likely to turn over, especially for minority staff. Inclusive leadership creates higher employee engagement and loyalty, where inclusivity makes employees feel more valued by their leaders. Although these studies offer insights into the role of inclusive leadership, they do not focus on the leaders’ behaviours underlying the most effective retention practices. </w:t>
      </w:r>
    </w:p>
    <w:p w14:paraId="2E032288">
      <w:pPr>
        <w:rPr>
          <w:rFonts w:cs="Arial"/>
          <w:lang w:eastAsia="en-GB"/>
        </w:rPr>
      </w:pPr>
      <w:r>
        <w:rPr>
          <w:rFonts w:cs="Arial"/>
          <w:lang w:eastAsia="en-GB"/>
        </w:rPr>
        <w:t>Leadership approaches and retention. In the health-care setting, inclusive leadership plays an important part in retention. Leavy (2020) also found that inclusive leadership, in which leaders champion diversity, break down career barriers and embrace a culture of respect, has a significant impact on retention among minority groups. Nevertheless, despite the richness of these studies, there is still little that focuses on how inclusive leadership is enacted in the NHS, and what the impact on long-term retention may be.</w:t>
      </w:r>
    </w:p>
    <w:p w14:paraId="49508BCE">
      <w:pPr>
        <w:rPr>
          <w:rFonts w:cs="Arial"/>
          <w:lang w:eastAsia="en-GB"/>
        </w:rPr>
      </w:pPr>
      <w:r>
        <w:rPr>
          <w:rFonts w:cs="Arial"/>
          <w:lang w:eastAsia="en-GB"/>
        </w:rPr>
        <w:t>Further, although employee satisfaction and retention have been extensively researched, the intersection of employee experiences by race, gender, and class has been relatively unexplored. BAME staff are more likely to experience two forms of discrimination at the same time because of their race and their gender, which leads to challenges in progressing in their career and in job satisfaction. Research by Shore et al. (2011) argues that this intersectionality is of paramount importance when considering effective D&amp;I for all populations. However, this view has been under-examined in the NHS, and the specific needs of BAME women and other historically marginalised groups may require more bespoke D&amp;I solutions.</w:t>
      </w:r>
    </w:p>
    <w:p w14:paraId="321033DB">
      <w:pPr>
        <w:rPr>
          <w:rFonts w:cs="Arial"/>
          <w:lang w:eastAsia="en-GB"/>
        </w:rPr>
      </w:pPr>
      <w:r>
        <w:rPr>
          <w:rFonts w:cs="Arial"/>
          <w:lang w:eastAsia="en-GB"/>
        </w:rPr>
        <w:t>These studies rely primarily on theory and do not offer empirical evidence on how inclusive leadership actually may have an impact on retention. These studies also do not address the barriers for organisations trying to implement inclusive leadership, such as resistance from leadership, as well as the burnout of leaders.</w:t>
      </w:r>
    </w:p>
    <w:p w14:paraId="32A2201E">
      <w:pPr>
        <w:pStyle w:val="3"/>
      </w:pPr>
      <w:bookmarkStart w:id="34" w:name="_Toc197073398"/>
      <w:r>
        <w:t>Research Gap</w:t>
      </w:r>
      <w:bookmarkEnd w:id="34"/>
    </w:p>
    <w:p w14:paraId="10B6E449">
      <w:pPr>
        <w:rPr>
          <w:rFonts w:cs="Arial"/>
        </w:rPr>
      </w:pPr>
      <w:r>
        <w:rPr>
          <w:rFonts w:cs="Arial"/>
          <w:lang w:val="en" w:eastAsia="en-GB"/>
        </w:rPr>
        <w:t xml:space="preserve">Although many research studies have examined the relationship between D&amp;I and employee satisfaction, not as many have directly addressed the implications of D&amp;I for staff retention within the NHS and within minority groups, especially those forced out of the NHS.  </w:t>
      </w:r>
      <w:r>
        <w:rPr>
          <w:rFonts w:cs="Arial"/>
        </w:rPr>
        <w:t>Although the relationship between D&amp;I strategies and employee satisfaction has been vastly explored in existing literature, there is limited research to show the long-term effects of D&amp;I initiatives on employee retention, especially in a healthcare setting such as the NHS. The majority of these studies look at the short-term outcomes of better employee engagement and job satisfaction of the interventions, but not how the organisation's policies on D&amp;I have contributed to retention rates over the longer term,  for members of minority ethnic groups, especially those working on the front line in a health care setting.</w:t>
      </w:r>
    </w:p>
    <w:p w14:paraId="53607FA3">
      <w:pPr>
        <w:rPr>
          <w:rFonts w:cs="Arial"/>
          <w:lang w:eastAsia="en-GB"/>
        </w:rPr>
      </w:pPr>
      <w:r>
        <w:rPr>
          <w:rFonts w:cs="Arial"/>
          <w:lang w:eastAsia="en-GB"/>
        </w:rPr>
        <w:t xml:space="preserve">There is also a dearth of research on barriers to the implementation of D&amp;I strategies in health systems. Although scientific research has identified barriers such as leadership support, staff resistance, and resource constraints to the success of D&amp;I, healthcare organisations encounter unique challenges in the form of high-stress work environments for employees, burnout among employees, and limited career advancement opportunities. </w:t>
      </w:r>
      <w:r>
        <w:rPr>
          <w:rFonts w:cs="Arial"/>
          <w:lang w:val="en" w:eastAsia="en-GB"/>
        </w:rPr>
        <w:t xml:space="preserve">This study aims to address that gap by examining the impact D&amp;I strategies have on retention within NHS Trusts, and as such, provides a unique contribution by offering good practices as well as some of the obstacles to success. </w:t>
      </w:r>
    </w:p>
    <w:p w14:paraId="380D761E">
      <w:pPr>
        <w:rPr>
          <w:rFonts w:cs="Arial"/>
          <w:lang w:val="en" w:eastAsia="en-GB"/>
        </w:rPr>
      </w:pPr>
    </w:p>
    <w:p w14:paraId="777937EF">
      <w:pPr>
        <w:rPr>
          <w:rFonts w:cs="Arial"/>
          <w:lang w:val="en" w:eastAsia="en-GB"/>
        </w:rPr>
      </w:pPr>
    </w:p>
    <w:p w14:paraId="0063C044">
      <w:pPr>
        <w:rPr>
          <w:rFonts w:cs="Arial"/>
          <w:lang w:val="en" w:eastAsia="en-GB"/>
        </w:rPr>
      </w:pPr>
    </w:p>
    <w:p w14:paraId="0DD3AEAC">
      <w:pPr>
        <w:rPr>
          <w:rFonts w:cs="Arial"/>
          <w:lang w:val="en" w:eastAsia="en-GB"/>
        </w:rPr>
      </w:pPr>
    </w:p>
    <w:p w14:paraId="0CE0B848">
      <w:pPr>
        <w:rPr>
          <w:rFonts w:cs="Arial"/>
          <w:lang w:val="en" w:eastAsia="en-GB"/>
        </w:rPr>
      </w:pPr>
    </w:p>
    <w:p w14:paraId="240A620E">
      <w:pPr>
        <w:rPr>
          <w:rFonts w:cs="Arial"/>
          <w:lang w:val="en" w:eastAsia="en-GB"/>
        </w:rPr>
      </w:pPr>
    </w:p>
    <w:p w14:paraId="3D606C17">
      <w:pPr>
        <w:rPr>
          <w:rFonts w:cs="Arial"/>
          <w:lang w:val="en" w:eastAsia="en-GB"/>
        </w:rPr>
      </w:pPr>
    </w:p>
    <w:p w14:paraId="371F7277">
      <w:pPr>
        <w:rPr>
          <w:rFonts w:cs="Arial"/>
          <w:lang w:val="en" w:eastAsia="en-GB"/>
        </w:rPr>
      </w:pPr>
    </w:p>
    <w:p w14:paraId="4C771D57">
      <w:pPr>
        <w:rPr>
          <w:rFonts w:cs="Arial"/>
          <w:lang w:val="en" w:eastAsia="en-GB"/>
        </w:rPr>
      </w:pPr>
    </w:p>
    <w:p w14:paraId="10AD71D8">
      <w:pPr>
        <w:rPr>
          <w:rFonts w:cs="Arial"/>
          <w:lang w:val="en" w:eastAsia="en-GB"/>
        </w:rPr>
      </w:pPr>
    </w:p>
    <w:p w14:paraId="68F519C6">
      <w:pPr>
        <w:rPr>
          <w:rFonts w:cs="Arial"/>
          <w:lang w:val="en" w:eastAsia="en-GB"/>
        </w:rPr>
      </w:pPr>
    </w:p>
    <w:p w14:paraId="1DEAA483">
      <w:pPr>
        <w:pStyle w:val="2"/>
        <w:numPr>
          <w:ilvl w:val="0"/>
          <w:numId w:val="2"/>
        </w:numPr>
      </w:pPr>
      <w:bookmarkStart w:id="35" w:name="_Toc197073399"/>
      <w:r>
        <w:t>Research Methodology</w:t>
      </w:r>
      <w:bookmarkEnd w:id="35"/>
    </w:p>
    <w:p w14:paraId="4DB5F86D">
      <w:pPr>
        <w:pStyle w:val="3"/>
        <w:numPr>
          <w:ilvl w:val="1"/>
          <w:numId w:val="7"/>
        </w:numPr>
      </w:pPr>
      <w:bookmarkStart w:id="36" w:name="_Toc197073400"/>
      <w:r>
        <w:t>Introduction</w:t>
      </w:r>
      <w:bookmarkEnd w:id="36"/>
      <w:r>
        <w:t xml:space="preserve"> </w:t>
      </w:r>
    </w:p>
    <w:p w14:paraId="59084856">
      <w:pPr>
        <w:rPr>
          <w:rFonts w:cs="Arial"/>
          <w:lang w:val="en" w:eastAsia="en-GB"/>
        </w:rPr>
      </w:pPr>
      <w:r>
        <w:rPr>
          <w:rFonts w:cs="Arial"/>
          <w:lang w:val="en" w:eastAsia="en-GB"/>
        </w:rPr>
        <w:t xml:space="preserve">This study adopts the methodology from the model, the Research Onion,  which was disclosed by Saunders et al. The approach is layered from the philosophical stance as the most external layer to the data collection techniques as guidance for the innermost layer. Such a systematic manner of selecting research philosophy, strategy, approach and method helps to define which are more suitable to fulfil the research objectives and questions. </w:t>
      </w:r>
    </w:p>
    <w:p w14:paraId="2DCBE3CF">
      <w:pPr>
        <w:jc w:val="center"/>
        <w:rPr>
          <w:rFonts w:cs="Arial"/>
          <w:lang w:eastAsia="en-GB"/>
        </w:rPr>
      </w:pPr>
      <w:r>
        <w:rPr>
          <w:rFonts w:cs="Arial"/>
        </w:rPr>
        <w:drawing>
          <wp:inline distT="0" distB="0" distL="0" distR="0">
            <wp:extent cx="4212590" cy="2900045"/>
            <wp:effectExtent l="0" t="0" r="0" b="0"/>
            <wp:docPr id="324767205" name="Picture 1" descr="Research Philosophy - Research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67205" name="Picture 1" descr="Research Philosophy - Research Method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220325" cy="2905080"/>
                    </a:xfrm>
                    <a:prstGeom prst="rect">
                      <a:avLst/>
                    </a:prstGeom>
                    <a:noFill/>
                    <a:ln>
                      <a:noFill/>
                    </a:ln>
                  </pic:spPr>
                </pic:pic>
              </a:graphicData>
            </a:graphic>
          </wp:inline>
        </w:drawing>
      </w:r>
    </w:p>
    <w:p w14:paraId="01EF4A81">
      <w:pPr>
        <w:pStyle w:val="13"/>
        <w:jc w:val="center"/>
        <w:rPr>
          <w:rFonts w:cs="Arial"/>
          <w:lang w:eastAsia="en-GB"/>
        </w:rPr>
      </w:pPr>
      <w:bookmarkStart w:id="37" w:name="_Toc197070233"/>
      <w:r>
        <w:rPr>
          <w:rFonts w:cs="Arial"/>
        </w:rPr>
        <w:t xml:space="preserve">Figure </w:t>
      </w:r>
      <w:r>
        <w:rPr>
          <w:rFonts w:cs="Arial"/>
        </w:rPr>
        <w:fldChar w:fldCharType="begin"/>
      </w:r>
      <w:r>
        <w:rPr>
          <w:rFonts w:cs="Arial"/>
        </w:rPr>
        <w:instrText xml:space="preserve"> SEQ Figure \* ARABIC </w:instrText>
      </w:r>
      <w:r>
        <w:rPr>
          <w:rFonts w:cs="Arial"/>
        </w:rPr>
        <w:fldChar w:fldCharType="separate"/>
      </w:r>
      <w:r>
        <w:rPr>
          <w:rFonts w:cs="Arial"/>
        </w:rPr>
        <w:t>4</w:t>
      </w:r>
      <w:r>
        <w:rPr>
          <w:rFonts w:cs="Arial"/>
        </w:rPr>
        <w:fldChar w:fldCharType="end"/>
      </w:r>
      <w:r>
        <w:rPr>
          <w:rFonts w:cs="Arial"/>
        </w:rPr>
        <w:t xml:space="preserve"> Research Onion Model Source: (Saunders et al., 2007)</w:t>
      </w:r>
      <w:bookmarkEnd w:id="37"/>
    </w:p>
    <w:p w14:paraId="5409E338">
      <w:pPr>
        <w:pStyle w:val="3"/>
        <w:numPr>
          <w:ilvl w:val="1"/>
          <w:numId w:val="7"/>
        </w:numPr>
      </w:pPr>
      <w:bookmarkStart w:id="38" w:name="_Toc197073401"/>
      <w:r>
        <w:t>Research Philosophy</w:t>
      </w:r>
      <w:bookmarkEnd w:id="38"/>
    </w:p>
    <w:p w14:paraId="1A5EC991">
      <w:pPr>
        <w:pStyle w:val="4"/>
        <w:numPr>
          <w:ilvl w:val="2"/>
          <w:numId w:val="7"/>
        </w:numPr>
        <w:rPr>
          <w:rFonts w:cs="Arial"/>
          <w:lang w:val="en" w:eastAsia="en-GB"/>
        </w:rPr>
      </w:pPr>
      <w:bookmarkStart w:id="39" w:name="_Toc197073402"/>
      <w:r>
        <w:rPr>
          <w:rFonts w:cs="Arial"/>
          <w:lang w:val="en" w:eastAsia="en-GB"/>
        </w:rPr>
        <w:t>Ontological Stance</w:t>
      </w:r>
      <w:bookmarkEnd w:id="39"/>
    </w:p>
    <w:p w14:paraId="41679193">
      <w:pPr>
        <w:rPr>
          <w:rFonts w:cs="Arial"/>
          <w:lang w:val="en" w:eastAsia="en-GB"/>
        </w:rPr>
      </w:pPr>
      <w:r>
        <w:rPr>
          <w:rFonts w:cs="Arial"/>
          <w:lang w:val="en" w:eastAsia="en-GB"/>
        </w:rPr>
        <w:t>This research takes a pragmatic approach, focusing on how knowledge is used to solve real problems. Pragmatism permits the flexibility to employ qualitative and quantitative approaches, necessary to comprehend D&amp;I strategies in NHS Trusts. This evidence also reflects an emic understanding of the extent to which D&amp;* strategies interface with staff retention.</w:t>
      </w:r>
    </w:p>
    <w:p w14:paraId="3D487C56">
      <w:pPr>
        <w:rPr>
          <w:rFonts w:cs="Arial"/>
          <w:lang w:val="en" w:eastAsia="en-GB"/>
        </w:rPr>
      </w:pPr>
      <w:r>
        <w:rPr>
          <w:rFonts w:cs="Arial"/>
          <w:b/>
          <w:bCs/>
          <w:lang w:val="en" w:eastAsia="en-GB"/>
        </w:rPr>
        <w:t>Rationale:</w:t>
      </w:r>
      <w:r>
        <w:rPr>
          <w:rFonts w:cs="Arial"/>
          <w:lang w:val="en" w:eastAsia="en-GB"/>
        </w:rPr>
        <w:t xml:space="preserve"> Pragmatism is ideal as qualitative (interviews) and quantitative (surveys) approaches may be utilised to successfully explore the research questions. It also allows D&amp;I strategies to be explored from various perspectives and encourages actionable findings (Saunders et al., 2019).</w:t>
      </w:r>
    </w:p>
    <w:p w14:paraId="20D6B11B">
      <w:pPr>
        <w:pStyle w:val="4"/>
        <w:numPr>
          <w:ilvl w:val="2"/>
          <w:numId w:val="7"/>
        </w:numPr>
        <w:rPr>
          <w:rFonts w:cs="Arial"/>
          <w:lang w:val="en" w:eastAsia="en-GB"/>
        </w:rPr>
      </w:pPr>
      <w:bookmarkStart w:id="40" w:name="_Toc197073403"/>
      <w:r>
        <w:rPr>
          <w:rFonts w:cs="Arial"/>
          <w:lang w:val="en" w:eastAsia="en-GB"/>
        </w:rPr>
        <w:t>Epistemological Stance</w:t>
      </w:r>
      <w:bookmarkEnd w:id="40"/>
      <w:r>
        <w:rPr>
          <w:rFonts w:cs="Arial"/>
          <w:lang w:val="en" w:eastAsia="en-GB"/>
        </w:rPr>
        <w:t xml:space="preserve">  </w:t>
      </w:r>
    </w:p>
    <w:p w14:paraId="675525AF">
      <w:pPr>
        <w:rPr>
          <w:rFonts w:cs="Arial"/>
          <w:lang w:val="en" w:eastAsia="en-GB"/>
        </w:rPr>
      </w:pPr>
      <w:r>
        <w:rPr>
          <w:rFonts w:cs="Arial"/>
          <w:lang w:val="en" w:eastAsia="en-GB"/>
        </w:rPr>
        <w:t>The epistemological positioning of this study is subjectivist, seeking to explore the subjective experiences of employees in the NHS Trusts. Knowledge is socially constructed, and employees' perceptions of D&amp;I initiatives lead to attitudes toward the organisation and intention to leave.</w:t>
      </w:r>
    </w:p>
    <w:p w14:paraId="4893925A">
      <w:pPr>
        <w:rPr>
          <w:rFonts w:cs="Arial"/>
          <w:lang w:val="en" w:eastAsia="en-GB"/>
        </w:rPr>
      </w:pPr>
      <w:r>
        <w:rPr>
          <w:rFonts w:cs="Arial"/>
          <w:b/>
          <w:bCs/>
          <w:lang w:val="en" w:eastAsia="en-GB"/>
        </w:rPr>
        <w:t>Rationale:</w:t>
      </w:r>
      <w:r>
        <w:rPr>
          <w:rFonts w:cs="Arial"/>
          <w:lang w:val="en" w:eastAsia="en-GB"/>
        </w:rPr>
        <w:t xml:space="preserve"> A relativist approach is suitable as it is about individuals' narratives and experiences and focuses on how D&amp;I impacts whether employees want to stay or go. This is compatible with the qualitative, individual, point of view-oriented interviews (Saunders, Lewis, &amp; Thornhill, 2019).</w:t>
      </w:r>
    </w:p>
    <w:p w14:paraId="60625020">
      <w:pPr>
        <w:pStyle w:val="3"/>
        <w:numPr>
          <w:ilvl w:val="1"/>
          <w:numId w:val="7"/>
        </w:numPr>
      </w:pPr>
      <w:bookmarkStart w:id="41" w:name="_Toc197073404"/>
      <w:r>
        <w:t>Research Approach</w:t>
      </w:r>
      <w:bookmarkEnd w:id="41"/>
    </w:p>
    <w:p w14:paraId="36A8B5C4">
      <w:pPr>
        <w:rPr>
          <w:rFonts w:cs="Arial"/>
          <w:lang w:val="en" w:eastAsia="en-GB"/>
        </w:rPr>
      </w:pPr>
      <w:r>
        <w:rPr>
          <w:rFonts w:cs="Arial"/>
          <w:lang w:val="en" w:eastAsia="en-GB"/>
        </w:rPr>
        <w:t>Research perspective identifies how the research problem is to be addressed concerning theory development and data collection. This study will be deductive, with established theory on D&amp;I strategies and staff retention informing hypothesis generation. These theoretical conjectures will, in turn, be validated by data collected from NHS staff. The effectiveness of D&amp;I strategies to improve retention will be evaluated through the literature.</w:t>
      </w:r>
    </w:p>
    <w:p w14:paraId="0151E764">
      <w:pPr>
        <w:rPr>
          <w:rFonts w:cs="Arial"/>
          <w:lang w:val="en" w:eastAsia="en-GB"/>
        </w:rPr>
      </w:pPr>
      <w:r>
        <w:rPr>
          <w:rFonts w:cs="Arial"/>
          <w:b/>
          <w:bCs/>
          <w:lang w:val="en" w:eastAsia="en-GB"/>
        </w:rPr>
        <w:t>Rationale:</w:t>
      </w:r>
      <w:r>
        <w:rPr>
          <w:rFonts w:cs="Arial"/>
          <w:lang w:val="en" w:eastAsia="en-GB"/>
        </w:rPr>
        <w:t xml:space="preserve"> Deductive approach is appropriate as the study is based on, and hypothesis is developed, from existing theories, such as social identity theory (Tajfel &amp; Turner, 1979) and cultural intelligence theory (Earley &amp; Ang, 2003). These theories will inform the framework of the study and allow us to evaluate the effect of D&amp;I strategies on the retention of staff in NHS Trusts.</w:t>
      </w:r>
    </w:p>
    <w:p w14:paraId="3E2689DF">
      <w:pPr>
        <w:pStyle w:val="3"/>
        <w:numPr>
          <w:ilvl w:val="1"/>
          <w:numId w:val="7"/>
        </w:numPr>
      </w:pPr>
      <w:bookmarkStart w:id="42" w:name="_Toc197073405"/>
      <w:r>
        <w:t>Research Strategy</w:t>
      </w:r>
      <w:bookmarkEnd w:id="42"/>
    </w:p>
    <w:p w14:paraId="6783FFBC">
      <w:pPr>
        <w:rPr>
          <w:rFonts w:cs="Arial"/>
        </w:rPr>
      </w:pPr>
      <w:r>
        <w:rPr>
          <w:rFonts w:cs="Arial"/>
          <w:lang w:val="en" w:eastAsia="en-GB"/>
        </w:rPr>
        <w:t xml:space="preserve">The research strategy decides how the objectives will be attained. A survey-based methodology and semi-structured interviews will be employed to collect data in this research. </w:t>
      </w:r>
      <w:r>
        <w:rPr>
          <w:rFonts w:cs="Arial"/>
        </w:rPr>
        <w:t xml:space="preserve">Questionnaires will help to standardise treatment for a large sample of NHS staff and will also provide a measure of the extent to which D&amp;I action points impact on retention. </w:t>
      </w:r>
    </w:p>
    <w:p w14:paraId="4DF6BECA">
      <w:pPr>
        <w:rPr>
          <w:rFonts w:cs="Arial"/>
        </w:rPr>
      </w:pPr>
      <w:r>
        <w:rPr>
          <w:rFonts w:cs="Arial"/>
          <w:b/>
          <w:bCs/>
          <w:lang w:eastAsia="en-GB"/>
        </w:rPr>
        <w:t>Justification:</w:t>
      </w:r>
      <w:r>
        <w:rPr>
          <w:rFonts w:cs="Arial"/>
          <w:lang w:eastAsia="en-GB"/>
        </w:rPr>
        <w:t xml:space="preserve"> The survey method is suitable to gather quantitative data and carry out statistical analysis - D&amp;I strategic work effect on staff retention, for example (Saunders,  Lewis &amp; Thornhill, 2019).</w:t>
      </w:r>
    </w:p>
    <w:p w14:paraId="0E023004">
      <w:pPr>
        <w:pStyle w:val="3"/>
        <w:numPr>
          <w:ilvl w:val="1"/>
          <w:numId w:val="7"/>
        </w:numPr>
      </w:pPr>
      <w:bookmarkStart w:id="43" w:name="_Toc197073406"/>
      <w:r>
        <w:t>Research Method</w:t>
      </w:r>
      <w:bookmarkEnd w:id="43"/>
      <w:r>
        <w:t xml:space="preserve"> </w:t>
      </w:r>
    </w:p>
    <w:p w14:paraId="04F8BAC3">
      <w:pPr>
        <w:rPr>
          <w:rFonts w:cs="Arial"/>
          <w:lang w:val="en" w:eastAsia="en-GB"/>
        </w:rPr>
      </w:pPr>
      <w:r>
        <w:rPr>
          <w:rFonts w:cs="Arial"/>
          <w:lang w:val="en" w:eastAsia="en-GB"/>
        </w:rPr>
        <w:t>This study is of mixed methods as it combines both qualitative and quantitative methodologies. Simultaneous and sequential mixed methods application will be critical to address the complex research questions that stem from D&amp;I strategies and staff turnover.</w:t>
      </w:r>
    </w:p>
    <w:p w14:paraId="55216BE2">
      <w:pPr>
        <w:pStyle w:val="38"/>
        <w:numPr>
          <w:ilvl w:val="0"/>
          <w:numId w:val="8"/>
        </w:numPr>
        <w:rPr>
          <w:rFonts w:cs="Arial"/>
          <w:lang w:val="en" w:eastAsia="en-GB"/>
        </w:rPr>
      </w:pPr>
      <w:r>
        <w:rPr>
          <w:rFonts w:cs="Arial"/>
          <w:lang w:val="en" w:eastAsia="en-GB"/>
        </w:rPr>
        <w:t>Qualitative Data: Interviews. Semi-structured interviews will be conducted with NHS staff to indicate their perceptions and experiences of D&amp;I strategies, and how this speaks to retention.</w:t>
      </w:r>
    </w:p>
    <w:p w14:paraId="7E349AE9">
      <w:pPr>
        <w:pStyle w:val="38"/>
        <w:numPr>
          <w:ilvl w:val="0"/>
          <w:numId w:val="8"/>
        </w:numPr>
        <w:rPr>
          <w:rFonts w:cs="Arial"/>
          <w:lang w:val="en" w:eastAsia="en-GB"/>
        </w:rPr>
      </w:pPr>
      <w:r>
        <w:rPr>
          <w:rFonts w:cs="Arial"/>
          <w:lang w:val="en" w:eastAsia="en-GB"/>
        </w:rPr>
        <w:t>Quantitative Data: A set of surveys will be used with a larger cohort of NHS staff to assess D&amp;I practice and length of staff tenure.</w:t>
      </w:r>
    </w:p>
    <w:p w14:paraId="4327C65E">
      <w:pPr>
        <w:rPr>
          <w:rFonts w:cs="Arial"/>
          <w:lang w:val="en" w:eastAsia="en-GB"/>
        </w:rPr>
      </w:pPr>
      <w:r>
        <w:rPr>
          <w:rFonts w:cs="Arial"/>
          <w:b/>
          <w:bCs/>
          <w:lang w:val="en" w:eastAsia="en-GB"/>
        </w:rPr>
        <w:t>Rationale:</w:t>
      </w:r>
      <w:r>
        <w:rPr>
          <w:rFonts w:cs="Arial"/>
          <w:lang w:val="en" w:eastAsia="en-GB"/>
        </w:rPr>
        <w:t xml:space="preserve"> The mixed-methods design affords a comprehensive view of the studied phenomenon. Quantitative data will enable the identification of wider patterns and trends, and qualitative data will produce in-depth, nuanced information on staff experiences. Saunders et al. (2019) argue that using both data collection techniques enhances the validity and reliability of the findings.</w:t>
      </w:r>
    </w:p>
    <w:p w14:paraId="67F1E960">
      <w:pPr>
        <w:pStyle w:val="3"/>
        <w:numPr>
          <w:ilvl w:val="1"/>
          <w:numId w:val="7"/>
        </w:numPr>
      </w:pPr>
      <w:bookmarkStart w:id="44" w:name="_Toc197073407"/>
      <w:r>
        <w:t>Research Time Horizon</w:t>
      </w:r>
      <w:bookmarkEnd w:id="44"/>
    </w:p>
    <w:p w14:paraId="4692F0ED">
      <w:pPr>
        <w:rPr>
          <w:rFonts w:cs="Arial"/>
          <w:lang w:val="en" w:eastAsia="en-GB"/>
        </w:rPr>
      </w:pPr>
      <w:r>
        <w:rPr>
          <w:rFonts w:cs="Arial"/>
          <w:lang w:val="en" w:eastAsia="en-GB"/>
        </w:rPr>
        <w:t>The duration simply specifies for how long the data is collected. This research will take a cross-sectional time perspective, where information is obtained at one time only. Cross-sectional research would be an effective means of capturing the state-of-the-art of D&amp;I in NHS Trusts concerning staff retention.</w:t>
      </w:r>
    </w:p>
    <w:p w14:paraId="0E3180E7">
      <w:pPr>
        <w:rPr>
          <w:rFonts w:cs="Arial"/>
          <w:lang w:val="en" w:eastAsia="en-GB"/>
        </w:rPr>
      </w:pPr>
      <w:r>
        <w:rPr>
          <w:rFonts w:cs="Arial"/>
          <w:b/>
          <w:bCs/>
          <w:lang w:val="en" w:eastAsia="en-GB"/>
        </w:rPr>
        <w:t>Rationale:</w:t>
      </w:r>
      <w:r>
        <w:rPr>
          <w:rFonts w:cs="Arial"/>
          <w:lang w:val="en" w:eastAsia="en-GB"/>
        </w:rPr>
        <w:t xml:space="preserve"> The cross-sectional approach is suitable for enabling to get a snapshot of D&amp;I practices and its early impression on employee retention because it is in line with the need of this study (Saunders, Lewis, &amp; Thornhill, 2019). Because the study is examining the relationship between D&amp;I and retention in the current time, a longitudinal study design is not required.</w:t>
      </w:r>
    </w:p>
    <w:p w14:paraId="1C2AD85D">
      <w:pPr>
        <w:pStyle w:val="3"/>
        <w:numPr>
          <w:ilvl w:val="1"/>
          <w:numId w:val="7"/>
        </w:numPr>
      </w:pPr>
      <w:bookmarkStart w:id="45" w:name="_Toc197073408"/>
      <w:r>
        <w:t>Data Collection</w:t>
      </w:r>
      <w:bookmarkEnd w:id="45"/>
    </w:p>
    <w:p w14:paraId="32BB3556">
      <w:pPr>
        <w:pStyle w:val="4"/>
        <w:numPr>
          <w:ilvl w:val="2"/>
          <w:numId w:val="7"/>
        </w:numPr>
        <w:rPr>
          <w:rFonts w:cs="Arial"/>
          <w:lang w:eastAsia="en-GB"/>
        </w:rPr>
      </w:pPr>
      <w:bookmarkStart w:id="46" w:name="_Toc197073409"/>
      <w:r>
        <w:rPr>
          <w:rFonts w:cs="Arial"/>
          <w:lang w:eastAsia="en-GB"/>
        </w:rPr>
        <w:t>Survey Design and Data Collection</w:t>
      </w:r>
      <w:bookmarkEnd w:id="46"/>
    </w:p>
    <w:p w14:paraId="52F9FE01">
      <w:pPr>
        <w:rPr>
          <w:rFonts w:cs="Arial"/>
          <w:lang w:eastAsia="en-GB"/>
        </w:rPr>
      </w:pPr>
      <w:r>
        <w:rPr>
          <w:rFonts w:cs="Arial"/>
          <w:lang w:eastAsia="en-GB"/>
        </w:rPr>
        <w:t>Data will predominantly be gathered using an online survey administered to NHS staff. The survey will include closed-ended measures about how employees understand specific D&amp;I strategies, how satisfied they are with these strategies, and their commitment to the retention of staff. Literature and validated scales will be used to generate the survey. The questions will focus on:</w:t>
      </w:r>
    </w:p>
    <w:p w14:paraId="5B925D6E">
      <w:pPr>
        <w:pStyle w:val="38"/>
        <w:numPr>
          <w:ilvl w:val="0"/>
          <w:numId w:val="9"/>
        </w:numPr>
        <w:rPr>
          <w:rFonts w:cs="Arial"/>
          <w:lang w:eastAsia="en-GB"/>
        </w:rPr>
      </w:pPr>
      <w:r>
        <w:rPr>
          <w:rFonts w:cs="Arial"/>
          <w:lang w:eastAsia="en-GB"/>
        </w:rPr>
        <w:t>Whether certain D&amp;I programs are in place, such as diverse leadership, mentoring and anti-discrimination training.</w:t>
      </w:r>
    </w:p>
    <w:p w14:paraId="19172279">
      <w:pPr>
        <w:pStyle w:val="38"/>
        <w:numPr>
          <w:ilvl w:val="0"/>
          <w:numId w:val="10"/>
        </w:numPr>
        <w:rPr>
          <w:rFonts w:cs="Arial"/>
          <w:lang w:eastAsia="en-GB"/>
        </w:rPr>
      </w:pPr>
      <w:r>
        <w:rPr>
          <w:rFonts w:cs="Arial"/>
          <w:lang w:eastAsia="en-GB"/>
        </w:rPr>
        <w:t>The eﬃciencies of these methods, from an employee perspective.</w:t>
      </w:r>
    </w:p>
    <w:p w14:paraId="279249CF">
      <w:pPr>
        <w:pStyle w:val="38"/>
        <w:numPr>
          <w:ilvl w:val="0"/>
          <w:numId w:val="10"/>
        </w:numPr>
        <w:rPr>
          <w:rFonts w:cs="Arial"/>
          <w:lang w:eastAsia="en-GB"/>
        </w:rPr>
      </w:pPr>
      <w:r>
        <w:rPr>
          <w:rFonts w:cs="Arial"/>
          <w:lang w:eastAsia="en-GB"/>
        </w:rPr>
        <w:t>Plans to continue to work.</w:t>
      </w:r>
    </w:p>
    <w:p w14:paraId="32265979">
      <w:pPr>
        <w:rPr>
          <w:rFonts w:cs="Arial"/>
          <w:lang w:eastAsia="en-GB"/>
        </w:rPr>
      </w:pPr>
      <w:r>
        <w:rPr>
          <w:rFonts w:cs="Arial"/>
          <w:b/>
          <w:bCs/>
          <w:lang w:eastAsia="en-GB"/>
        </w:rPr>
        <w:t>Justification:</w:t>
      </w:r>
      <w:r>
        <w:rPr>
          <w:rFonts w:cs="Arial"/>
          <w:lang w:eastAsia="en-GB"/>
        </w:rPr>
        <w:t xml:space="preserve"> A Survey is an effective method to collect information from a large number of respondents (Bickman &amp; Rog, 2009). This approach provides a battery of statistics to test the hypotheses and specifically show a link between D&amp;I strategies and the retention of the workforce.</w:t>
      </w:r>
    </w:p>
    <w:p w14:paraId="0443578B">
      <w:pPr>
        <w:pStyle w:val="4"/>
        <w:numPr>
          <w:ilvl w:val="2"/>
          <w:numId w:val="7"/>
        </w:numPr>
        <w:rPr>
          <w:rFonts w:cs="Arial"/>
          <w:lang w:eastAsia="en-GB"/>
        </w:rPr>
      </w:pPr>
      <w:bookmarkStart w:id="47" w:name="_Toc197073410"/>
      <w:r>
        <w:rPr>
          <w:rFonts w:cs="Arial"/>
          <w:lang w:eastAsia="en-GB"/>
        </w:rPr>
        <w:t>Semi-Structured Interviews</w:t>
      </w:r>
      <w:bookmarkEnd w:id="47"/>
    </w:p>
    <w:p w14:paraId="26822825">
      <w:pPr>
        <w:rPr>
          <w:rFonts w:cs="Arial"/>
          <w:lang w:eastAsia="en-GB"/>
        </w:rPr>
      </w:pPr>
      <w:r>
        <w:rPr>
          <w:rFonts w:cs="Arial"/>
          <w:lang w:eastAsia="en-GB"/>
        </w:rPr>
        <w:t>Semi-structured interviews allow researchers to be more flexible with participants' responses. To complement the survey, semi-structured interviews will be conducted with a sample of NHS staff, purposefully sampled. These interviews will allow a more in-depth investigation of service staff members’ experiences and attitudes at the designated D&amp; I strategies. The interview questions will be open-ended so that interviewees will have freedom to describe at length as they please, but will have a common theme of D&amp;I and retention running throughout. Semi-structured interviews are appropriate for providing the depth of understanding that cannot be captured by surveys alone (Leavy, 2020). Why rely on survey data only when we have interviews to help animate the personal stories behind the numbers and trends?</w:t>
      </w:r>
    </w:p>
    <w:p w14:paraId="6A4AD334">
      <w:pPr>
        <w:pStyle w:val="3"/>
        <w:numPr>
          <w:ilvl w:val="1"/>
          <w:numId w:val="7"/>
        </w:numPr>
        <w:rPr>
          <w:lang w:val="en-GB"/>
        </w:rPr>
      </w:pPr>
      <w:bookmarkStart w:id="48" w:name="_Toc197073411"/>
      <w:r>
        <w:t xml:space="preserve">Data Analysis </w:t>
      </w:r>
      <w:r>
        <w:rPr>
          <w:lang w:val="en-GB"/>
        </w:rPr>
        <w:t>Techniques</w:t>
      </w:r>
      <w:bookmarkEnd w:id="48"/>
    </w:p>
    <w:p w14:paraId="539561D5">
      <w:pPr>
        <w:pStyle w:val="4"/>
        <w:numPr>
          <w:ilvl w:val="2"/>
          <w:numId w:val="7"/>
        </w:numPr>
        <w:rPr>
          <w:rFonts w:cs="Arial"/>
          <w:lang w:eastAsia="en-GB"/>
        </w:rPr>
      </w:pPr>
      <w:bookmarkStart w:id="49" w:name="_Toc197073412"/>
      <w:r>
        <w:rPr>
          <w:rFonts w:cs="Arial"/>
          <w:lang w:eastAsia="en-GB"/>
        </w:rPr>
        <w:t>Quantitative Data Analysis</w:t>
      </w:r>
      <w:bookmarkEnd w:id="49"/>
    </w:p>
    <w:p w14:paraId="24D71075">
      <w:pPr>
        <w:rPr>
          <w:rFonts w:cs="Arial"/>
          <w:lang w:eastAsia="en-GB"/>
        </w:rPr>
      </w:pPr>
      <w:r>
        <w:rPr>
          <w:rFonts w:cs="Arial"/>
          <w:lang w:eastAsia="en-GB"/>
        </w:rPr>
        <w:t>Quantitative data obtained from the survey will be analysed using SPSS. The data will be analysed using descriptive statistics to summarise and synthesise all the data, and inferential statistics (e.g. correlation analyses) to test the hypotheses and to explore the association between D&amp;I strategies and staff retention.</w:t>
      </w:r>
    </w:p>
    <w:p w14:paraId="699F1771">
      <w:pPr>
        <w:rPr>
          <w:rFonts w:cs="Arial"/>
          <w:lang w:eastAsia="en-GB"/>
        </w:rPr>
      </w:pPr>
      <w:r>
        <w:rPr>
          <w:rFonts w:cs="Arial"/>
          <w:b/>
          <w:bCs/>
          <w:lang w:eastAsia="en-GB"/>
        </w:rPr>
        <w:t>Reasoning: </w:t>
      </w:r>
      <w:r>
        <w:rPr>
          <w:rFonts w:cs="Arial"/>
          <w:lang w:eastAsia="en-GB"/>
        </w:rPr>
        <w:t>SPSS is a highly respected software package that is applied to quantitative analysis, and it is capable of running a variety of statistical tests, so we can be assured our results will not only be reliable but also valid (Argyrous, 2011).</w:t>
      </w:r>
    </w:p>
    <w:p w14:paraId="17533A12">
      <w:pPr>
        <w:pStyle w:val="4"/>
        <w:numPr>
          <w:ilvl w:val="2"/>
          <w:numId w:val="7"/>
        </w:numPr>
        <w:rPr>
          <w:rFonts w:cs="Arial"/>
          <w:lang w:eastAsia="en-GB"/>
        </w:rPr>
      </w:pPr>
      <w:bookmarkStart w:id="50" w:name="_Toc197073413"/>
      <w:r>
        <w:rPr>
          <w:rFonts w:cs="Arial"/>
          <w:lang w:eastAsia="en-GB"/>
        </w:rPr>
        <w:t>Qualitative Data Analysis</w:t>
      </w:r>
      <w:bookmarkEnd w:id="50"/>
    </w:p>
    <w:p w14:paraId="6EE78D38">
      <w:pPr>
        <w:rPr>
          <w:rFonts w:cs="Arial"/>
          <w:lang w:eastAsia="en-GB"/>
        </w:rPr>
      </w:pPr>
      <w:r>
        <w:rPr>
          <w:rFonts w:cs="Arial"/>
          <w:lang w:eastAsia="en-GB"/>
        </w:rPr>
        <w:t>Qualitative data from the semi-structured interviews will be analysed via thematic analysis. The interviews will be audiotaped and transcribed, and data will be coded for their themes and patterns. Background Thematic analysis is a widely used method of analysing qualitative data, which allows researchers to ascertain, analyse and report patterns (Fereday &amp; Muir Cochrane, 2006).</w:t>
      </w:r>
    </w:p>
    <w:p w14:paraId="44217E87">
      <w:pPr>
        <w:pStyle w:val="3"/>
        <w:numPr>
          <w:ilvl w:val="1"/>
          <w:numId w:val="7"/>
        </w:numPr>
      </w:pPr>
      <w:bookmarkStart w:id="51" w:name="_Toc197073414"/>
      <w:r>
        <w:t>Reliability and Validity</w:t>
      </w:r>
      <w:bookmarkEnd w:id="51"/>
      <w:r>
        <w:t xml:space="preserve"> </w:t>
      </w:r>
    </w:p>
    <w:p w14:paraId="53FFCB25">
      <w:pPr>
        <w:rPr>
          <w:rFonts w:cs="Arial"/>
          <w:lang w:val="en" w:eastAsia="en-GB"/>
        </w:rPr>
      </w:pPr>
      <w:r>
        <w:rPr>
          <w:rFonts w:cs="Arial"/>
          <w:lang w:val="en" w:eastAsia="en-GB"/>
        </w:rPr>
        <w:t xml:space="preserve">Reliability means the consistency of data that is obtained from the research. This will be accomplished by piloting the survey among a small sample to ensure clarity and consistency. Internal reliability will be verified with established methods, and external reliability with a transparent and reproducible process of data collection (Saunders, Lewis, &amp; Thornhill, 2019). Guided questions will be used for interviews so that they are standardized across participants. Validity is about how hard the research studies what it is supposed to. We will ensure construct validity by applying established theories on D&amp;I strategies and employee retention. Content validity will be maintained by sampling all major areas of interest in the survey and interview questions. </w:t>
      </w:r>
    </w:p>
    <w:p w14:paraId="17213CEF">
      <w:pPr>
        <w:pStyle w:val="3"/>
        <w:numPr>
          <w:ilvl w:val="1"/>
          <w:numId w:val="7"/>
        </w:numPr>
      </w:pPr>
      <w:bookmarkStart w:id="52" w:name="_Toc197073415"/>
      <w:r>
        <w:t>Ethical Considerations</w:t>
      </w:r>
      <w:bookmarkEnd w:id="52"/>
    </w:p>
    <w:p w14:paraId="712B6547">
      <w:pPr>
        <w:rPr>
          <w:rFonts w:cs="Arial"/>
        </w:rPr>
      </w:pPr>
      <w:r>
        <w:rPr>
          <w:rFonts w:cs="Arial"/>
        </w:rPr>
        <w:t>The ethical aspects will be taken into consideration:</w:t>
      </w:r>
    </w:p>
    <w:p w14:paraId="28D9476F">
      <w:pPr>
        <w:pStyle w:val="38"/>
        <w:numPr>
          <w:ilvl w:val="0"/>
          <w:numId w:val="11"/>
        </w:numPr>
        <w:rPr>
          <w:rFonts w:cs="Arial"/>
        </w:rPr>
      </w:pPr>
      <w:r>
        <w:rPr>
          <w:rFonts w:cs="Arial"/>
        </w:rPr>
        <w:t>Written informed consent: Next-of-kin will be asked for written consent on behalf of study subjects.</w:t>
      </w:r>
    </w:p>
    <w:p w14:paraId="329643DE">
      <w:pPr>
        <w:pStyle w:val="38"/>
        <w:numPr>
          <w:ilvl w:val="0"/>
          <w:numId w:val="11"/>
        </w:numPr>
        <w:rPr>
          <w:rFonts w:cs="Arial"/>
        </w:rPr>
      </w:pPr>
      <w:r>
        <w:rPr>
          <w:rFonts w:cs="Arial"/>
        </w:rPr>
        <w:t>Confidentiality: Data will be treated confidentially. Privacy protection of the service users’ data will be guaranteed.</w:t>
      </w:r>
    </w:p>
    <w:p w14:paraId="49B66D9F">
      <w:pPr>
        <w:pStyle w:val="38"/>
        <w:numPr>
          <w:ilvl w:val="0"/>
          <w:numId w:val="11"/>
        </w:numPr>
        <w:rPr>
          <w:rFonts w:cs="Arial"/>
        </w:rPr>
      </w:pPr>
      <w:r>
        <w:rPr>
          <w:rFonts w:cs="Arial"/>
        </w:rPr>
        <w:t>Voluntary: Participation in the study is voluntary in that participants may withdraw their consent at any point in time.</w:t>
      </w:r>
    </w:p>
    <w:p w14:paraId="76983BA9">
      <w:pPr>
        <w:pStyle w:val="38"/>
        <w:numPr>
          <w:ilvl w:val="0"/>
          <w:numId w:val="11"/>
        </w:numPr>
        <w:rPr>
          <w:rFonts w:cs="Arial"/>
        </w:rPr>
      </w:pPr>
      <w:r>
        <w:rPr>
          <w:rFonts w:cs="Arial"/>
        </w:rPr>
        <w:t>Data Protection: All data will be processed and stored in support of the General Data Protection Regulation (GDPR).</w:t>
      </w:r>
    </w:p>
    <w:p w14:paraId="4935A680">
      <w:pPr>
        <w:rPr>
          <w:rFonts w:cs="Arial"/>
        </w:rPr>
      </w:pPr>
      <w:r>
        <w:rPr>
          <w:rFonts w:cs="Arial"/>
        </w:rPr>
        <w:t>Adherence to ethical principles is important to maintain the integrity of the study and foster trust and cooperation of the respondents (Morse et al., 2002).</w:t>
      </w:r>
    </w:p>
    <w:p w14:paraId="2A4149C1">
      <w:pPr>
        <w:pStyle w:val="2"/>
        <w:numPr>
          <w:ilvl w:val="0"/>
          <w:numId w:val="2"/>
        </w:numPr>
      </w:pPr>
      <w:bookmarkStart w:id="53" w:name="_Toc197073416"/>
      <w:r>
        <w:t>Limitations of the Study</w:t>
      </w:r>
      <w:bookmarkEnd w:id="53"/>
    </w:p>
    <w:p w14:paraId="25B72F02">
      <w:pPr>
        <w:rPr>
          <w:rFonts w:cs="Arial"/>
          <w:lang w:val="en" w:eastAsia="en-GB"/>
        </w:rPr>
      </w:pPr>
      <w:r>
        <w:rPr>
          <w:rFonts w:cs="Arial"/>
          <w:lang w:val="en" w:eastAsia="en-GB"/>
        </w:rPr>
        <w:t>Despite the valuable information provided by the results of this study, several limitations must be considered. First, our investigation is cross-sectional, and the data were gathered at one time point. This hinders the opportunity to evaluate which D&amp;I strategies have a long-term impact on retaining staff. Moreover, it is also likely that the survey sampling frame may not have captured the full diversity of NHS employees, with the geographical spread of respondents not reflecting the distribution of NHS staff by location and Trust size. These limitations might be redressed in future research by employing a longitudinal design and involving more NHS Trusts in the sample.</w:t>
      </w:r>
    </w:p>
    <w:p w14:paraId="7F93148C">
      <w:pPr>
        <w:rPr>
          <w:rFonts w:cs="Arial"/>
          <w:lang w:val="en" w:eastAsia="en-GB"/>
        </w:rPr>
      </w:pPr>
    </w:p>
    <w:p w14:paraId="4888413C">
      <w:pPr>
        <w:rPr>
          <w:rFonts w:cs="Arial"/>
          <w:lang w:val="en" w:eastAsia="en-GB"/>
        </w:rPr>
      </w:pPr>
    </w:p>
    <w:p w14:paraId="2E3B76BC">
      <w:pPr>
        <w:rPr>
          <w:rFonts w:cs="Arial"/>
          <w:lang w:val="en" w:eastAsia="en-GB"/>
        </w:rPr>
      </w:pPr>
    </w:p>
    <w:p w14:paraId="3A46DF44">
      <w:pPr>
        <w:rPr>
          <w:rFonts w:cs="Arial"/>
          <w:lang w:val="en" w:eastAsia="en-GB"/>
        </w:rPr>
      </w:pPr>
    </w:p>
    <w:p w14:paraId="4BF00CCB">
      <w:pPr>
        <w:rPr>
          <w:rFonts w:cs="Arial"/>
          <w:lang w:val="en" w:eastAsia="en-GB"/>
        </w:rPr>
      </w:pPr>
    </w:p>
    <w:p w14:paraId="5327A076">
      <w:pPr>
        <w:pStyle w:val="2"/>
        <w:numPr>
          <w:ilvl w:val="1"/>
          <w:numId w:val="6"/>
        </w:numPr>
      </w:pPr>
      <w:bookmarkStart w:id="54" w:name="_Toc197073417"/>
      <w:r>
        <w:t>Timeline and Gantt Chart</w:t>
      </w:r>
      <w:bookmarkEnd w:id="54"/>
    </w:p>
    <w:p w14:paraId="3243AB1B">
      <w:pPr>
        <w:rPr>
          <w:rFonts w:cs="Arial"/>
          <w:lang w:val="en" w:eastAsia="en-GB"/>
        </w:rPr>
      </w:pPr>
      <w:r>
        <w:rPr>
          <w:rFonts w:cs="Arial"/>
          <w:lang w:val="en" w:eastAsia="en-GB"/>
        </w:rPr>
        <w:t>A coherent schedule is also crucial for supervising the research and noting the time when it ends. A Gantt chart describes the primary activities that will be undertaken to carry out the research, i.e. data collection, analysis and report writing.</w:t>
      </w:r>
    </w:p>
    <w:p w14:paraId="6907F549">
      <w:pPr>
        <w:spacing w:before="100" w:beforeAutospacing="1" w:after="100" w:afterAutospacing="1"/>
        <w:rPr>
          <w:rFonts w:cs="Arial"/>
        </w:rPr>
      </w:pPr>
      <w:r>
        <w:rPr>
          <w:rFonts w:cs="Arial"/>
        </w:rPr>
        <w:drawing>
          <wp:inline distT="0" distB="0" distL="0" distR="0">
            <wp:extent cx="5731510" cy="18592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31510" cy="1859280"/>
                    </a:xfrm>
                    <a:prstGeom prst="rect">
                      <a:avLst/>
                    </a:prstGeom>
                    <a:noFill/>
                    <a:ln>
                      <a:noFill/>
                    </a:ln>
                  </pic:spPr>
                </pic:pic>
              </a:graphicData>
            </a:graphic>
          </wp:inline>
        </w:drawing>
      </w:r>
    </w:p>
    <w:p w14:paraId="7159E07C">
      <w:pPr>
        <w:pStyle w:val="13"/>
        <w:rPr>
          <w:rFonts w:cs="Arial"/>
          <w:b/>
          <w:bCs/>
        </w:rPr>
      </w:pPr>
      <w:bookmarkStart w:id="55" w:name="_Toc197070234"/>
      <w:r>
        <w:rPr>
          <w:rFonts w:cs="Arial"/>
        </w:rPr>
        <w:t xml:space="preserve">Figure </w:t>
      </w:r>
      <w:r>
        <w:rPr>
          <w:rFonts w:cs="Arial"/>
        </w:rPr>
        <w:fldChar w:fldCharType="begin"/>
      </w:r>
      <w:r>
        <w:rPr>
          <w:rFonts w:cs="Arial"/>
        </w:rPr>
        <w:instrText xml:space="preserve"> SEQ Figure \* ARABIC </w:instrText>
      </w:r>
      <w:r>
        <w:rPr>
          <w:rFonts w:cs="Arial"/>
        </w:rPr>
        <w:fldChar w:fldCharType="separate"/>
      </w:r>
      <w:r>
        <w:rPr>
          <w:rFonts w:cs="Arial"/>
        </w:rPr>
        <w:t>5</w:t>
      </w:r>
      <w:r>
        <w:rPr>
          <w:rFonts w:cs="Arial"/>
        </w:rPr>
        <w:fldChar w:fldCharType="end"/>
      </w:r>
      <w:r>
        <w:rPr>
          <w:rFonts w:cs="Arial"/>
          <w:b/>
          <w:bCs/>
        </w:rPr>
        <w:t xml:space="preserve"> </w:t>
      </w:r>
      <w:r>
        <w:rPr>
          <w:rStyle w:val="18"/>
          <w:rFonts w:cs="Arial"/>
          <w:b w:val="0"/>
          <w:bCs w:val="0"/>
        </w:rPr>
        <w:t xml:space="preserve">Gantt Chart of Research Timeline, Source: </w:t>
      </w:r>
      <w:r>
        <w:rPr>
          <w:rFonts w:cs="Arial"/>
        </w:rPr>
        <w:t>Self-made</w:t>
      </w:r>
      <w:bookmarkEnd w:id="55"/>
    </w:p>
    <w:p w14:paraId="2005F5A0">
      <w:pPr>
        <w:rPr>
          <w:rFonts w:cs="Arial"/>
          <w:lang w:val="en" w:eastAsia="en-GB"/>
        </w:rPr>
      </w:pPr>
      <w:r>
        <w:rPr>
          <w:rFonts w:cs="Arial"/>
          <w:lang w:val="en" w:eastAsia="en-GB"/>
        </w:rPr>
        <w:t>This Gantt Chart gives a visual representation of the project tasks and timelines. The graphic is created to prevent a single phase of research from being rushed or neglected.</w:t>
      </w:r>
    </w:p>
    <w:p w14:paraId="1FACC947">
      <w:pPr>
        <w:rPr>
          <w:rFonts w:cs="Arial"/>
          <w:lang w:val="en" w:eastAsia="en-GB"/>
        </w:rPr>
      </w:pPr>
    </w:p>
    <w:p w14:paraId="42B26D94">
      <w:pPr>
        <w:rPr>
          <w:rFonts w:cs="Arial"/>
          <w:lang w:val="en" w:eastAsia="en-GB"/>
        </w:rPr>
      </w:pPr>
    </w:p>
    <w:p w14:paraId="522296DD">
      <w:pPr>
        <w:rPr>
          <w:rFonts w:cs="Arial"/>
          <w:lang w:val="en" w:eastAsia="en-GB"/>
        </w:rPr>
      </w:pPr>
    </w:p>
    <w:p w14:paraId="14027CCC">
      <w:pPr>
        <w:rPr>
          <w:rFonts w:cs="Arial"/>
          <w:lang w:val="en" w:eastAsia="en-GB"/>
        </w:rPr>
      </w:pPr>
    </w:p>
    <w:p w14:paraId="3E7A4FCA">
      <w:pPr>
        <w:rPr>
          <w:rFonts w:cs="Arial"/>
          <w:lang w:val="en" w:eastAsia="en-GB"/>
        </w:rPr>
      </w:pPr>
    </w:p>
    <w:p w14:paraId="7553BC44">
      <w:pPr>
        <w:rPr>
          <w:rFonts w:cs="Arial"/>
          <w:lang w:val="en" w:eastAsia="en-GB"/>
        </w:rPr>
      </w:pPr>
    </w:p>
    <w:p w14:paraId="286A6C46">
      <w:pPr>
        <w:rPr>
          <w:rFonts w:cs="Arial"/>
          <w:lang w:val="en" w:eastAsia="en-GB"/>
        </w:rPr>
      </w:pPr>
    </w:p>
    <w:p w14:paraId="15C87EBE">
      <w:pPr>
        <w:rPr>
          <w:rFonts w:cs="Arial"/>
          <w:lang w:val="en" w:eastAsia="en-GB"/>
        </w:rPr>
      </w:pPr>
    </w:p>
    <w:p w14:paraId="47B2F32C">
      <w:pPr>
        <w:rPr>
          <w:rFonts w:cs="Arial"/>
          <w:lang w:val="en" w:eastAsia="en-GB"/>
        </w:rPr>
      </w:pPr>
    </w:p>
    <w:p w14:paraId="3727C902">
      <w:pPr>
        <w:rPr>
          <w:rFonts w:cs="Arial"/>
          <w:lang w:val="en" w:eastAsia="en-GB"/>
        </w:rPr>
      </w:pPr>
    </w:p>
    <w:p w14:paraId="0C572C65">
      <w:pPr>
        <w:rPr>
          <w:rFonts w:cs="Arial"/>
          <w:lang w:val="en" w:eastAsia="en-GB"/>
        </w:rPr>
      </w:pPr>
    </w:p>
    <w:p w14:paraId="074EC9EE">
      <w:pPr>
        <w:rPr>
          <w:rFonts w:cs="Arial"/>
          <w:lang w:val="en" w:eastAsia="en-GB"/>
        </w:rPr>
      </w:pPr>
    </w:p>
    <w:p w14:paraId="74A55B84">
      <w:pPr>
        <w:pStyle w:val="2"/>
        <w:numPr>
          <w:ilvl w:val="0"/>
          <w:numId w:val="12"/>
        </w:numPr>
      </w:pPr>
      <w:bookmarkStart w:id="56" w:name="_Toc197073418"/>
      <w:r>
        <w:t>References</w:t>
      </w:r>
      <w:bookmarkEnd w:id="56"/>
    </w:p>
    <w:p w14:paraId="06B4CFAB">
      <w:pPr>
        <w:ind w:left="720" w:hanging="720"/>
        <w:rPr>
          <w:rFonts w:cs="Arial"/>
          <w:sz w:val="20"/>
          <w:szCs w:val="20"/>
          <w:lang w:eastAsia="en-GB"/>
        </w:rPr>
      </w:pPr>
      <w:r>
        <w:rPr>
          <w:rFonts w:cs="Arial"/>
          <w:sz w:val="20"/>
          <w:szCs w:val="20"/>
          <w:lang w:eastAsia="en-GB"/>
        </w:rPr>
        <w:t xml:space="preserve">Allport, G. W. (1954). </w:t>
      </w:r>
      <w:r>
        <w:rPr>
          <w:rFonts w:cs="Arial"/>
          <w:i/>
          <w:iCs/>
          <w:sz w:val="20"/>
          <w:szCs w:val="20"/>
          <w:lang w:eastAsia="en-GB"/>
        </w:rPr>
        <w:t>The Nature of Prejudice</w:t>
      </w:r>
      <w:r>
        <w:rPr>
          <w:rFonts w:cs="Arial"/>
          <w:sz w:val="20"/>
          <w:szCs w:val="20"/>
          <w:lang w:eastAsia="en-GB"/>
        </w:rPr>
        <w:t>. Addison-Wesley.</w:t>
      </w:r>
    </w:p>
    <w:p w14:paraId="618F7835">
      <w:pPr>
        <w:ind w:left="720" w:hanging="720"/>
        <w:rPr>
          <w:rFonts w:cs="Arial"/>
          <w:sz w:val="20"/>
          <w:szCs w:val="20"/>
          <w:lang w:eastAsia="en-GB"/>
        </w:rPr>
      </w:pPr>
      <w:r>
        <w:rPr>
          <w:rFonts w:cs="Arial"/>
          <w:sz w:val="20"/>
          <w:szCs w:val="20"/>
          <w:lang w:eastAsia="en-GB"/>
        </w:rPr>
        <w:t xml:space="preserve">Argyrous, G. (2011). </w:t>
      </w:r>
      <w:r>
        <w:rPr>
          <w:rFonts w:cs="Arial"/>
          <w:i/>
          <w:iCs/>
          <w:sz w:val="20"/>
          <w:szCs w:val="20"/>
          <w:lang w:eastAsia="en-GB"/>
        </w:rPr>
        <w:t>Statistics for Research: With a Guide to SPSS</w:t>
      </w:r>
      <w:r>
        <w:rPr>
          <w:rFonts w:cs="Arial"/>
          <w:sz w:val="20"/>
          <w:szCs w:val="20"/>
          <w:lang w:eastAsia="en-GB"/>
        </w:rPr>
        <w:t xml:space="preserve"> (3rd ed.). SAGE Publications.</w:t>
      </w:r>
    </w:p>
    <w:p w14:paraId="58038615">
      <w:pPr>
        <w:ind w:left="720" w:hanging="720"/>
        <w:rPr>
          <w:rFonts w:cs="Arial"/>
          <w:sz w:val="20"/>
          <w:szCs w:val="20"/>
          <w:lang w:eastAsia="en-GB"/>
        </w:rPr>
      </w:pPr>
      <w:r>
        <w:rPr>
          <w:rFonts w:cs="Arial"/>
          <w:sz w:val="20"/>
          <w:szCs w:val="20"/>
          <w:lang w:eastAsia="en-GB"/>
        </w:rPr>
        <w:t xml:space="preserve">Barak, M. E. M. (2016). </w:t>
      </w:r>
      <w:r>
        <w:rPr>
          <w:rFonts w:cs="Arial"/>
          <w:i/>
          <w:iCs/>
          <w:sz w:val="20"/>
          <w:szCs w:val="20"/>
          <w:lang w:eastAsia="en-GB"/>
        </w:rPr>
        <w:t>Managing Diversity: Toward a Globally Inclusive Workplace</w:t>
      </w:r>
      <w:r>
        <w:rPr>
          <w:rFonts w:cs="Arial"/>
          <w:sz w:val="20"/>
          <w:szCs w:val="20"/>
          <w:lang w:eastAsia="en-GB"/>
        </w:rPr>
        <w:t xml:space="preserve"> (2nd ed.). SAGE Publications.</w:t>
      </w:r>
    </w:p>
    <w:p w14:paraId="1A3BC4FF">
      <w:pPr>
        <w:ind w:left="720" w:hanging="720"/>
        <w:rPr>
          <w:rFonts w:cs="Arial"/>
          <w:sz w:val="20"/>
          <w:szCs w:val="20"/>
          <w:lang w:eastAsia="en-GB"/>
        </w:rPr>
      </w:pPr>
      <w:r>
        <w:rPr>
          <w:rFonts w:cs="Arial"/>
          <w:sz w:val="20"/>
          <w:szCs w:val="20"/>
          <w:lang w:eastAsia="en-GB"/>
        </w:rPr>
        <w:t xml:space="preserve">Bell, M. P., &amp; Nkomo, S. M. (2001). "The role of culture in D&amp;I strategies," </w:t>
      </w:r>
      <w:r>
        <w:rPr>
          <w:rFonts w:cs="Arial"/>
          <w:i/>
          <w:iCs/>
          <w:sz w:val="20"/>
          <w:szCs w:val="20"/>
          <w:lang w:eastAsia="en-GB"/>
        </w:rPr>
        <w:t>Academy of Management Perspectives</w:t>
      </w:r>
      <w:r>
        <w:rPr>
          <w:rFonts w:cs="Arial"/>
          <w:sz w:val="20"/>
          <w:szCs w:val="20"/>
          <w:lang w:eastAsia="en-GB"/>
        </w:rPr>
        <w:t>, 15(4), pp. 76-84.</w:t>
      </w:r>
    </w:p>
    <w:p w14:paraId="02013DA9">
      <w:pPr>
        <w:ind w:left="720" w:hanging="720"/>
        <w:rPr>
          <w:rFonts w:cs="Arial"/>
          <w:sz w:val="20"/>
          <w:szCs w:val="20"/>
          <w:lang w:eastAsia="en-GB"/>
        </w:rPr>
      </w:pPr>
      <w:r>
        <w:rPr>
          <w:rFonts w:cs="Arial"/>
          <w:sz w:val="20"/>
          <w:szCs w:val="20"/>
          <w:lang w:eastAsia="en-GB"/>
        </w:rPr>
        <w:t xml:space="preserve">Bendl, R., et al. (2009). "Managing diversity," </w:t>
      </w:r>
      <w:r>
        <w:rPr>
          <w:rFonts w:cs="Arial"/>
          <w:i/>
          <w:iCs/>
          <w:sz w:val="20"/>
          <w:szCs w:val="20"/>
          <w:lang w:eastAsia="en-GB"/>
        </w:rPr>
        <w:t>International Journal of Human Resource Management</w:t>
      </w:r>
      <w:r>
        <w:rPr>
          <w:rFonts w:cs="Arial"/>
          <w:sz w:val="20"/>
          <w:szCs w:val="20"/>
          <w:lang w:eastAsia="en-GB"/>
        </w:rPr>
        <w:t>, 20(2), pp. 415-423.</w:t>
      </w:r>
    </w:p>
    <w:p w14:paraId="04A739C4">
      <w:pPr>
        <w:ind w:left="720" w:hanging="720"/>
        <w:rPr>
          <w:rFonts w:cs="Arial"/>
          <w:sz w:val="20"/>
          <w:szCs w:val="20"/>
          <w:lang w:eastAsia="en-GB"/>
        </w:rPr>
      </w:pPr>
      <w:r>
        <w:rPr>
          <w:rFonts w:cs="Arial"/>
          <w:sz w:val="20"/>
          <w:szCs w:val="20"/>
          <w:lang w:eastAsia="en-GB"/>
        </w:rPr>
        <w:t xml:space="preserve">Bennett, M. J. (1993). </w:t>
      </w:r>
      <w:r>
        <w:rPr>
          <w:rFonts w:cs="Arial"/>
          <w:i/>
          <w:iCs/>
          <w:sz w:val="20"/>
          <w:szCs w:val="20"/>
          <w:lang w:eastAsia="en-GB"/>
        </w:rPr>
        <w:t>Basic Concepts of Intercultural Communication</w:t>
      </w:r>
      <w:r>
        <w:rPr>
          <w:rFonts w:cs="Arial"/>
          <w:sz w:val="20"/>
          <w:szCs w:val="20"/>
          <w:lang w:eastAsia="en-GB"/>
        </w:rPr>
        <w:t>. Intercultural Press.</w:t>
      </w:r>
    </w:p>
    <w:p w14:paraId="1E5FBE9E">
      <w:pPr>
        <w:ind w:left="720" w:hanging="720"/>
        <w:rPr>
          <w:rFonts w:cs="Arial"/>
          <w:sz w:val="20"/>
          <w:szCs w:val="20"/>
          <w:lang w:eastAsia="en-GB"/>
        </w:rPr>
      </w:pPr>
      <w:r>
        <w:rPr>
          <w:rFonts w:cs="Arial"/>
          <w:sz w:val="20"/>
          <w:szCs w:val="20"/>
          <w:lang w:eastAsia="en-GB"/>
        </w:rPr>
        <w:t xml:space="preserve">Bickman, L., &amp; Rog, D. J. (2009). </w:t>
      </w:r>
      <w:r>
        <w:rPr>
          <w:rFonts w:cs="Arial"/>
          <w:i/>
          <w:iCs/>
          <w:sz w:val="20"/>
          <w:szCs w:val="20"/>
          <w:lang w:eastAsia="en-GB"/>
        </w:rPr>
        <w:t>The SAGE Handbook of Applied Social Research Methods</w:t>
      </w:r>
      <w:r>
        <w:rPr>
          <w:rFonts w:cs="Arial"/>
          <w:sz w:val="20"/>
          <w:szCs w:val="20"/>
          <w:lang w:eastAsia="en-GB"/>
        </w:rPr>
        <w:t xml:space="preserve"> (2nd ed.). SAGE Publications.</w:t>
      </w:r>
    </w:p>
    <w:p w14:paraId="5A207686">
      <w:pPr>
        <w:ind w:left="720" w:hanging="720"/>
        <w:rPr>
          <w:rFonts w:cs="Arial"/>
          <w:sz w:val="20"/>
          <w:szCs w:val="20"/>
          <w:lang w:eastAsia="en-GB"/>
        </w:rPr>
      </w:pPr>
      <w:r>
        <w:rPr>
          <w:rFonts w:cs="Arial"/>
          <w:sz w:val="20"/>
          <w:szCs w:val="20"/>
          <w:lang w:eastAsia="en-GB"/>
        </w:rPr>
        <w:t xml:space="preserve">Bryman, A. (2016). </w:t>
      </w:r>
      <w:r>
        <w:rPr>
          <w:rFonts w:cs="Arial"/>
          <w:i/>
          <w:iCs/>
          <w:sz w:val="20"/>
          <w:szCs w:val="20"/>
          <w:lang w:eastAsia="en-GB"/>
        </w:rPr>
        <w:t>Social Research Methods</w:t>
      </w:r>
      <w:r>
        <w:rPr>
          <w:rFonts w:cs="Arial"/>
          <w:sz w:val="20"/>
          <w:szCs w:val="20"/>
          <w:lang w:eastAsia="en-GB"/>
        </w:rPr>
        <w:t xml:space="preserve"> (5th ed.). Oxford University Press.</w:t>
      </w:r>
    </w:p>
    <w:p w14:paraId="2A6FDA0B">
      <w:pPr>
        <w:ind w:left="720" w:hanging="720"/>
        <w:rPr>
          <w:rFonts w:cs="Arial"/>
          <w:sz w:val="20"/>
          <w:szCs w:val="20"/>
          <w:lang w:eastAsia="en-GB"/>
        </w:rPr>
      </w:pPr>
      <w:r>
        <w:rPr>
          <w:rFonts w:cs="Arial"/>
          <w:sz w:val="20"/>
          <w:szCs w:val="20"/>
          <w:lang w:eastAsia="en-GB"/>
        </w:rPr>
        <w:t xml:space="preserve">Bryman, A., &amp; Cramer, D. (2011). </w:t>
      </w:r>
      <w:r>
        <w:rPr>
          <w:rFonts w:cs="Arial"/>
          <w:i/>
          <w:iCs/>
          <w:sz w:val="20"/>
          <w:szCs w:val="20"/>
          <w:lang w:eastAsia="en-GB"/>
        </w:rPr>
        <w:t>Quantitative Data Analysis with IBM SPSS 17, 18 and 19: A Guide for Social Scientists</w:t>
      </w:r>
      <w:r>
        <w:rPr>
          <w:rFonts w:cs="Arial"/>
          <w:sz w:val="20"/>
          <w:szCs w:val="20"/>
          <w:lang w:eastAsia="en-GB"/>
        </w:rPr>
        <w:t>. Routledge.</w:t>
      </w:r>
    </w:p>
    <w:p w14:paraId="200CB49C">
      <w:pPr>
        <w:ind w:left="720" w:hanging="720"/>
        <w:rPr>
          <w:rFonts w:cs="Arial"/>
          <w:sz w:val="20"/>
          <w:szCs w:val="20"/>
          <w:lang w:eastAsia="en-GB"/>
        </w:rPr>
      </w:pPr>
      <w:r>
        <w:rPr>
          <w:rFonts w:cs="Arial"/>
          <w:sz w:val="20"/>
          <w:szCs w:val="20"/>
          <w:lang w:eastAsia="en-GB"/>
        </w:rPr>
        <w:t xml:space="preserve">Choi, S. L., &amp; Rainey, H. G. (2014). "Managing diversity and organisational performance," </w:t>
      </w:r>
      <w:r>
        <w:rPr>
          <w:rFonts w:cs="Arial"/>
          <w:i/>
          <w:iCs/>
          <w:sz w:val="20"/>
          <w:szCs w:val="20"/>
          <w:lang w:eastAsia="en-GB"/>
        </w:rPr>
        <w:t>Public Administration Review</w:t>
      </w:r>
      <w:r>
        <w:rPr>
          <w:rFonts w:cs="Arial"/>
          <w:sz w:val="20"/>
          <w:szCs w:val="20"/>
          <w:lang w:eastAsia="en-GB"/>
        </w:rPr>
        <w:t>, 74(2), pp. 219-229.</w:t>
      </w:r>
    </w:p>
    <w:p w14:paraId="22798BA2">
      <w:pPr>
        <w:ind w:left="720" w:hanging="720"/>
        <w:rPr>
          <w:rFonts w:cs="Arial"/>
          <w:sz w:val="20"/>
          <w:szCs w:val="20"/>
          <w:lang w:eastAsia="en-GB"/>
        </w:rPr>
      </w:pPr>
      <w:r>
        <w:rPr>
          <w:rFonts w:cs="Arial"/>
          <w:sz w:val="20"/>
          <w:szCs w:val="20"/>
          <w:lang w:eastAsia="en-GB"/>
        </w:rPr>
        <w:t xml:space="preserve">Chrobot-Mason, D., &amp; Ruderman, M. N. (2004). "Leading a diverse workforce," </w:t>
      </w:r>
      <w:r>
        <w:rPr>
          <w:rFonts w:cs="Arial"/>
          <w:i/>
          <w:iCs/>
          <w:sz w:val="20"/>
          <w:szCs w:val="20"/>
          <w:lang w:eastAsia="en-GB"/>
        </w:rPr>
        <w:t>In Leadership and Diversity: A Critical Reader</w:t>
      </w:r>
      <w:r>
        <w:rPr>
          <w:rFonts w:cs="Arial"/>
          <w:sz w:val="20"/>
          <w:szCs w:val="20"/>
          <w:lang w:eastAsia="en-GB"/>
        </w:rPr>
        <w:t>. Wiley-Blackwell.</w:t>
      </w:r>
    </w:p>
    <w:p w14:paraId="2BEE79DA">
      <w:pPr>
        <w:ind w:left="720" w:hanging="720"/>
        <w:rPr>
          <w:rFonts w:cs="Arial"/>
          <w:sz w:val="20"/>
          <w:szCs w:val="20"/>
          <w:lang w:eastAsia="en-GB"/>
        </w:rPr>
      </w:pPr>
      <w:r>
        <w:rPr>
          <w:rFonts w:cs="Arial"/>
          <w:sz w:val="20"/>
          <w:szCs w:val="20"/>
          <w:lang w:eastAsia="en-GB"/>
        </w:rPr>
        <w:t xml:space="preserve">Cox, T. H., &amp; Blake, S. (1991). "Managing cultural diversity: Implications for organisational competitiveness," </w:t>
      </w:r>
      <w:r>
        <w:rPr>
          <w:rFonts w:cs="Arial"/>
          <w:i/>
          <w:iCs/>
          <w:sz w:val="20"/>
          <w:szCs w:val="20"/>
          <w:lang w:eastAsia="en-GB"/>
        </w:rPr>
        <w:t>Academy of Management Executive</w:t>
      </w:r>
      <w:r>
        <w:rPr>
          <w:rFonts w:cs="Arial"/>
          <w:sz w:val="20"/>
          <w:szCs w:val="20"/>
          <w:lang w:eastAsia="en-GB"/>
        </w:rPr>
        <w:t>, 5(3), pp. 45-56.</w:t>
      </w:r>
    </w:p>
    <w:p w14:paraId="76C57C47">
      <w:pPr>
        <w:ind w:left="720" w:hanging="720"/>
        <w:rPr>
          <w:rFonts w:cs="Arial"/>
          <w:sz w:val="20"/>
          <w:szCs w:val="20"/>
          <w:lang w:eastAsia="en-GB"/>
        </w:rPr>
      </w:pPr>
      <w:r>
        <w:rPr>
          <w:rFonts w:cs="Arial"/>
          <w:sz w:val="20"/>
          <w:szCs w:val="20"/>
          <w:lang w:eastAsia="en-GB"/>
        </w:rPr>
        <w:t xml:space="preserve">Dover, T. L., Major, B., &amp; Kaiser, C. R. (2016). "Diversity policies rarely make organisations fairer, and they feel threatening to white men," </w:t>
      </w:r>
      <w:r>
        <w:rPr>
          <w:rFonts w:cs="Arial"/>
          <w:i/>
          <w:iCs/>
          <w:sz w:val="20"/>
          <w:szCs w:val="20"/>
          <w:lang w:eastAsia="en-GB"/>
        </w:rPr>
        <w:t>Psychological Science</w:t>
      </w:r>
      <w:r>
        <w:rPr>
          <w:rFonts w:cs="Arial"/>
          <w:sz w:val="20"/>
          <w:szCs w:val="20"/>
          <w:lang w:eastAsia="en-GB"/>
        </w:rPr>
        <w:t>, 27(8), pp. 1239-1247.</w:t>
      </w:r>
    </w:p>
    <w:p w14:paraId="113DB911">
      <w:pPr>
        <w:ind w:left="720" w:hanging="720"/>
        <w:rPr>
          <w:rFonts w:cs="Arial"/>
          <w:sz w:val="20"/>
          <w:szCs w:val="20"/>
          <w:lang w:eastAsia="en-GB"/>
        </w:rPr>
      </w:pPr>
      <w:r>
        <w:rPr>
          <w:rFonts w:cs="Arial"/>
          <w:sz w:val="20"/>
          <w:szCs w:val="20"/>
          <w:lang w:eastAsia="en-GB"/>
        </w:rPr>
        <w:t xml:space="preserve">Eagly, A. H. (2007). </w:t>
      </w:r>
      <w:r>
        <w:rPr>
          <w:rFonts w:cs="Arial"/>
          <w:i/>
          <w:iCs/>
          <w:sz w:val="20"/>
          <w:szCs w:val="20"/>
          <w:lang w:eastAsia="en-GB"/>
        </w:rPr>
        <w:t>Through the Labyrinth: The Truth About How Women Become Leaders</w:t>
      </w:r>
      <w:r>
        <w:rPr>
          <w:rFonts w:cs="Arial"/>
          <w:sz w:val="20"/>
          <w:szCs w:val="20"/>
          <w:lang w:eastAsia="en-GB"/>
        </w:rPr>
        <w:t>. Harvard Business Press.</w:t>
      </w:r>
    </w:p>
    <w:p w14:paraId="07F16BAA">
      <w:pPr>
        <w:ind w:left="720" w:hanging="720"/>
        <w:rPr>
          <w:rFonts w:cs="Arial"/>
          <w:sz w:val="20"/>
          <w:szCs w:val="20"/>
          <w:lang w:eastAsia="en-GB"/>
        </w:rPr>
      </w:pPr>
      <w:r>
        <w:rPr>
          <w:rFonts w:cs="Arial"/>
          <w:sz w:val="20"/>
          <w:szCs w:val="20"/>
          <w:lang w:eastAsia="en-GB"/>
        </w:rPr>
        <w:t xml:space="preserve">Earley, P. C., &amp; Ang, S. (2003). </w:t>
      </w:r>
      <w:r>
        <w:rPr>
          <w:rFonts w:cs="Arial"/>
          <w:i/>
          <w:iCs/>
          <w:sz w:val="20"/>
          <w:szCs w:val="20"/>
          <w:lang w:eastAsia="en-GB"/>
        </w:rPr>
        <w:t>Cultural Intelligence: Individual Interactions Across Cultures</w:t>
      </w:r>
      <w:r>
        <w:rPr>
          <w:rFonts w:cs="Arial"/>
          <w:sz w:val="20"/>
          <w:szCs w:val="20"/>
          <w:lang w:eastAsia="en-GB"/>
        </w:rPr>
        <w:t>. Stanford University Press.</w:t>
      </w:r>
    </w:p>
    <w:p w14:paraId="53BC0BDC">
      <w:pPr>
        <w:ind w:left="720" w:hanging="720"/>
        <w:rPr>
          <w:rFonts w:cs="Arial"/>
          <w:sz w:val="20"/>
          <w:szCs w:val="20"/>
          <w:lang w:eastAsia="en-GB"/>
        </w:rPr>
      </w:pPr>
      <w:r>
        <w:rPr>
          <w:rFonts w:cs="Arial"/>
          <w:sz w:val="20"/>
          <w:szCs w:val="20"/>
          <w:lang w:eastAsia="en-GB"/>
        </w:rPr>
        <w:t xml:space="preserve">Ely, R. J., &amp; Thomas, D. A. (2001). "Cultural diversity at work: The effects of diversity perspectives on work group processes and outcomes," </w:t>
      </w:r>
      <w:r>
        <w:rPr>
          <w:rFonts w:cs="Arial"/>
          <w:i/>
          <w:iCs/>
          <w:sz w:val="20"/>
          <w:szCs w:val="20"/>
          <w:lang w:eastAsia="en-GB"/>
        </w:rPr>
        <w:t>Administrative Science Quarterly</w:t>
      </w:r>
      <w:r>
        <w:rPr>
          <w:rFonts w:cs="Arial"/>
          <w:sz w:val="20"/>
          <w:szCs w:val="20"/>
          <w:lang w:eastAsia="en-GB"/>
        </w:rPr>
        <w:t>, 46(2), pp. 229-273.</w:t>
      </w:r>
    </w:p>
    <w:p w14:paraId="701FCC1D">
      <w:pPr>
        <w:ind w:left="720" w:hanging="720"/>
        <w:rPr>
          <w:rFonts w:cs="Arial"/>
          <w:sz w:val="20"/>
          <w:szCs w:val="20"/>
          <w:lang w:eastAsia="en-GB"/>
        </w:rPr>
      </w:pPr>
      <w:r>
        <w:rPr>
          <w:rFonts w:cs="Arial"/>
          <w:sz w:val="20"/>
          <w:szCs w:val="20"/>
          <w:lang w:eastAsia="en-GB"/>
        </w:rPr>
        <w:t xml:space="preserve">Field, A. (2013). </w:t>
      </w:r>
      <w:r>
        <w:rPr>
          <w:rFonts w:cs="Arial"/>
          <w:i/>
          <w:iCs/>
          <w:sz w:val="20"/>
          <w:szCs w:val="20"/>
          <w:lang w:eastAsia="en-GB"/>
        </w:rPr>
        <w:t>Discovering Statistics Using IBM SPSS Statistics</w:t>
      </w:r>
      <w:r>
        <w:rPr>
          <w:rFonts w:cs="Arial"/>
          <w:sz w:val="20"/>
          <w:szCs w:val="20"/>
          <w:lang w:eastAsia="en-GB"/>
        </w:rPr>
        <w:t xml:space="preserve"> (4th ed.). SAGE Publications.</w:t>
      </w:r>
    </w:p>
    <w:p w14:paraId="0EE66289">
      <w:pPr>
        <w:ind w:left="720" w:hanging="720"/>
        <w:rPr>
          <w:rFonts w:cs="Arial"/>
          <w:sz w:val="20"/>
          <w:szCs w:val="20"/>
          <w:lang w:eastAsia="en-GB"/>
        </w:rPr>
      </w:pPr>
      <w:r>
        <w:rPr>
          <w:rFonts w:cs="Arial"/>
          <w:sz w:val="20"/>
          <w:szCs w:val="20"/>
          <w:lang w:eastAsia="en-GB"/>
        </w:rPr>
        <w:t xml:space="preserve">Flyvbjerg, B. (2006). "Five misunderstandings about case-study research," </w:t>
      </w:r>
      <w:r>
        <w:rPr>
          <w:rFonts w:cs="Arial"/>
          <w:i/>
          <w:iCs/>
          <w:sz w:val="20"/>
          <w:szCs w:val="20"/>
          <w:lang w:eastAsia="en-GB"/>
        </w:rPr>
        <w:t>Qualitative Inquiry</w:t>
      </w:r>
      <w:r>
        <w:rPr>
          <w:rFonts w:cs="Arial"/>
          <w:sz w:val="20"/>
          <w:szCs w:val="20"/>
          <w:lang w:eastAsia="en-GB"/>
        </w:rPr>
        <w:t>, 12(2), pp. 219-245.</w:t>
      </w:r>
    </w:p>
    <w:p w14:paraId="375EC7C2">
      <w:pPr>
        <w:ind w:left="720" w:hanging="720"/>
        <w:rPr>
          <w:rFonts w:cs="Arial"/>
          <w:sz w:val="20"/>
          <w:szCs w:val="20"/>
          <w:lang w:eastAsia="en-GB"/>
        </w:rPr>
      </w:pPr>
      <w:r>
        <w:rPr>
          <w:rFonts w:cs="Arial"/>
          <w:sz w:val="20"/>
          <w:szCs w:val="20"/>
          <w:lang w:eastAsia="en-GB"/>
        </w:rPr>
        <w:t xml:space="preserve">Gibson, C. B., &amp; Gibbs, J. L. (2006). "Uncertainty, stress, and teamwork in the global workplace," </w:t>
      </w:r>
      <w:r>
        <w:rPr>
          <w:rFonts w:cs="Arial"/>
          <w:i/>
          <w:iCs/>
          <w:sz w:val="20"/>
          <w:szCs w:val="20"/>
          <w:lang w:eastAsia="en-GB"/>
        </w:rPr>
        <w:t>Academy of Management Journal</w:t>
      </w:r>
      <w:r>
        <w:rPr>
          <w:rFonts w:cs="Arial"/>
          <w:sz w:val="20"/>
          <w:szCs w:val="20"/>
          <w:lang w:eastAsia="en-GB"/>
        </w:rPr>
        <w:t>, 49(5), pp. 900-920.</w:t>
      </w:r>
    </w:p>
    <w:p w14:paraId="4A223AD6">
      <w:pPr>
        <w:ind w:left="720" w:hanging="720"/>
        <w:rPr>
          <w:rFonts w:cs="Arial"/>
          <w:sz w:val="20"/>
          <w:szCs w:val="20"/>
          <w:lang w:eastAsia="en-GB"/>
        </w:rPr>
      </w:pPr>
      <w:r>
        <w:rPr>
          <w:rFonts w:cs="Arial"/>
          <w:sz w:val="20"/>
          <w:szCs w:val="20"/>
          <w:lang w:eastAsia="en-GB"/>
        </w:rPr>
        <w:t xml:space="preserve">Gorman, C. P. (2005). "Improving organisational D&amp;I strategies," </w:t>
      </w:r>
      <w:r>
        <w:rPr>
          <w:rFonts w:cs="Arial"/>
          <w:i/>
          <w:iCs/>
          <w:sz w:val="20"/>
          <w:szCs w:val="20"/>
          <w:lang w:eastAsia="en-GB"/>
        </w:rPr>
        <w:t>Journal of Organisational Behaviour</w:t>
      </w:r>
      <w:r>
        <w:rPr>
          <w:rFonts w:cs="Arial"/>
          <w:sz w:val="20"/>
          <w:szCs w:val="20"/>
          <w:lang w:eastAsia="en-GB"/>
        </w:rPr>
        <w:t>, 25(6), pp. 123-145.</w:t>
      </w:r>
    </w:p>
    <w:p w14:paraId="1E380A06">
      <w:pPr>
        <w:ind w:left="720" w:hanging="720"/>
        <w:rPr>
          <w:rFonts w:cs="Arial"/>
          <w:sz w:val="20"/>
          <w:szCs w:val="20"/>
          <w:lang w:eastAsia="en-GB"/>
        </w:rPr>
      </w:pPr>
      <w:r>
        <w:rPr>
          <w:rFonts w:cs="Arial"/>
          <w:sz w:val="20"/>
          <w:szCs w:val="20"/>
          <w:lang w:eastAsia="en-GB"/>
        </w:rPr>
        <w:t xml:space="preserve">Gorman, C. P., Shep, S. J., Clayton, A., &amp; Clayton, P. R. (2005). </w:t>
      </w:r>
      <w:r>
        <w:rPr>
          <w:rFonts w:cs="Arial"/>
          <w:i/>
          <w:iCs/>
          <w:sz w:val="20"/>
          <w:szCs w:val="20"/>
          <w:lang w:eastAsia="en-GB"/>
        </w:rPr>
        <w:t>Qualitative Research for the Information Professional: A Practical Handbook</w:t>
      </w:r>
      <w:r>
        <w:rPr>
          <w:rFonts w:cs="Arial"/>
          <w:sz w:val="20"/>
          <w:szCs w:val="20"/>
          <w:lang w:eastAsia="en-GB"/>
        </w:rPr>
        <w:t xml:space="preserve"> (2nd ed.). Facet Publishing.</w:t>
      </w:r>
    </w:p>
    <w:p w14:paraId="66E53955">
      <w:pPr>
        <w:ind w:left="720" w:hanging="720"/>
        <w:rPr>
          <w:rFonts w:cs="Arial"/>
          <w:sz w:val="20"/>
          <w:szCs w:val="20"/>
          <w:lang w:eastAsia="en-GB"/>
        </w:rPr>
      </w:pPr>
      <w:r>
        <w:rPr>
          <w:rFonts w:cs="Arial"/>
          <w:sz w:val="20"/>
          <w:szCs w:val="20"/>
          <w:lang w:eastAsia="en-GB"/>
        </w:rPr>
        <w:t xml:space="preserve">Harrison, B. J., &amp; van Zyl, A. (2018). "Workplace diversity and employee satisfaction: A review of the literature," </w:t>
      </w:r>
      <w:r>
        <w:rPr>
          <w:rFonts w:cs="Arial"/>
          <w:i/>
          <w:iCs/>
          <w:sz w:val="20"/>
          <w:szCs w:val="20"/>
          <w:lang w:eastAsia="en-GB"/>
        </w:rPr>
        <w:t>Journal of Organisational Behaviour</w:t>
      </w:r>
      <w:r>
        <w:rPr>
          <w:rFonts w:cs="Arial"/>
          <w:sz w:val="20"/>
          <w:szCs w:val="20"/>
          <w:lang w:eastAsia="en-GB"/>
        </w:rPr>
        <w:t>, 39(1), pp. 119-132.</w:t>
      </w:r>
    </w:p>
    <w:p w14:paraId="02D551B7">
      <w:pPr>
        <w:ind w:left="720" w:hanging="720"/>
        <w:rPr>
          <w:rFonts w:cs="Arial"/>
          <w:sz w:val="20"/>
          <w:szCs w:val="20"/>
          <w:lang w:eastAsia="en-GB"/>
        </w:rPr>
      </w:pPr>
      <w:r>
        <w:rPr>
          <w:rFonts w:cs="Arial"/>
          <w:sz w:val="20"/>
          <w:szCs w:val="20"/>
          <w:lang w:eastAsia="en-GB"/>
        </w:rPr>
        <w:t xml:space="preserve">Harrison, D. A., Price, K. H., &amp; Bell, M. P. (2002). "Beyond relational demography: Time and the effects of surface- and deep-level diversity on work group cohesion," </w:t>
      </w:r>
      <w:r>
        <w:rPr>
          <w:rFonts w:cs="Arial"/>
          <w:i/>
          <w:iCs/>
          <w:sz w:val="20"/>
          <w:szCs w:val="20"/>
          <w:lang w:eastAsia="en-GB"/>
        </w:rPr>
        <w:t>Academy of Management Journal</w:t>
      </w:r>
      <w:r>
        <w:rPr>
          <w:rFonts w:cs="Arial"/>
          <w:sz w:val="20"/>
          <w:szCs w:val="20"/>
          <w:lang w:eastAsia="en-GB"/>
        </w:rPr>
        <w:t>, 45(5), pp. 1029-1045.</w:t>
      </w:r>
    </w:p>
    <w:p w14:paraId="4CAC992B">
      <w:pPr>
        <w:ind w:left="720" w:hanging="720"/>
        <w:rPr>
          <w:rFonts w:cs="Arial"/>
          <w:sz w:val="20"/>
          <w:szCs w:val="20"/>
          <w:lang w:eastAsia="en-GB"/>
        </w:rPr>
      </w:pPr>
      <w:r>
        <w:rPr>
          <w:rFonts w:cs="Arial"/>
          <w:sz w:val="20"/>
          <w:szCs w:val="20"/>
          <w:lang w:eastAsia="en-GB"/>
        </w:rPr>
        <w:t xml:space="preserve">Harrison, J., &amp; Davis, L. (2002). "A study of leadership and organisational culture in the NHS," </w:t>
      </w:r>
      <w:r>
        <w:rPr>
          <w:rFonts w:cs="Arial"/>
          <w:i/>
          <w:iCs/>
          <w:sz w:val="20"/>
          <w:szCs w:val="20"/>
          <w:lang w:eastAsia="en-GB"/>
        </w:rPr>
        <w:t>Journal of Health Management</w:t>
      </w:r>
      <w:r>
        <w:rPr>
          <w:rFonts w:cs="Arial"/>
          <w:sz w:val="20"/>
          <w:szCs w:val="20"/>
          <w:lang w:eastAsia="en-GB"/>
        </w:rPr>
        <w:t>, 16(2), pp. 112-130.</w:t>
      </w:r>
    </w:p>
    <w:p w14:paraId="147CEF9A">
      <w:pPr>
        <w:ind w:left="720" w:hanging="720"/>
        <w:rPr>
          <w:rFonts w:cs="Arial"/>
          <w:sz w:val="20"/>
          <w:szCs w:val="20"/>
          <w:lang w:eastAsia="en-GB"/>
        </w:rPr>
      </w:pPr>
      <w:r>
        <w:rPr>
          <w:rFonts w:cs="Arial"/>
          <w:sz w:val="20"/>
          <w:szCs w:val="20"/>
          <w:lang w:eastAsia="en-GB"/>
        </w:rPr>
        <w:t xml:space="preserve">Heslin, P. A., &amp; Ochoa, S. L. (2008). "The effects of D&amp;I training on organisational effectiveness," </w:t>
      </w:r>
      <w:r>
        <w:rPr>
          <w:rFonts w:cs="Arial"/>
          <w:i/>
          <w:iCs/>
          <w:sz w:val="20"/>
          <w:szCs w:val="20"/>
          <w:lang w:eastAsia="en-GB"/>
        </w:rPr>
        <w:t>Journal of Applied Psychology</w:t>
      </w:r>
      <w:r>
        <w:rPr>
          <w:rFonts w:cs="Arial"/>
          <w:sz w:val="20"/>
          <w:szCs w:val="20"/>
          <w:lang w:eastAsia="en-GB"/>
        </w:rPr>
        <w:t>, 93(3), pp. 574-585.</w:t>
      </w:r>
    </w:p>
    <w:p w14:paraId="18009D6C">
      <w:pPr>
        <w:ind w:left="720" w:hanging="720"/>
        <w:rPr>
          <w:rFonts w:cs="Arial"/>
          <w:sz w:val="20"/>
          <w:szCs w:val="20"/>
          <w:lang w:eastAsia="en-GB"/>
        </w:rPr>
      </w:pPr>
      <w:r>
        <w:rPr>
          <w:rFonts w:cs="Arial"/>
          <w:sz w:val="20"/>
          <w:szCs w:val="20"/>
          <w:lang w:eastAsia="en-GB"/>
        </w:rPr>
        <w:t xml:space="preserve">Ingram, R. T. (2009). </w:t>
      </w:r>
      <w:r>
        <w:rPr>
          <w:rFonts w:cs="Arial"/>
          <w:i/>
          <w:iCs/>
          <w:sz w:val="20"/>
          <w:szCs w:val="20"/>
          <w:lang w:eastAsia="en-GB"/>
        </w:rPr>
        <w:t>Institutional Diversity and Inclusion: A Framework for Social Change</w:t>
      </w:r>
      <w:r>
        <w:rPr>
          <w:rFonts w:cs="Arial"/>
          <w:sz w:val="20"/>
          <w:szCs w:val="20"/>
          <w:lang w:eastAsia="en-GB"/>
        </w:rPr>
        <w:t>. The Aspen Institute.</w:t>
      </w:r>
    </w:p>
    <w:p w14:paraId="6AA3EDBB">
      <w:pPr>
        <w:ind w:left="720" w:hanging="720"/>
        <w:rPr>
          <w:rFonts w:cs="Arial"/>
          <w:sz w:val="20"/>
          <w:szCs w:val="20"/>
          <w:lang w:eastAsia="en-GB"/>
        </w:rPr>
      </w:pPr>
      <w:r>
        <w:rPr>
          <w:rFonts w:cs="Arial"/>
          <w:sz w:val="20"/>
          <w:szCs w:val="20"/>
          <w:lang w:eastAsia="en-GB"/>
        </w:rPr>
        <w:t xml:space="preserve">Kanter, R. M. (1977). </w:t>
      </w:r>
      <w:r>
        <w:rPr>
          <w:rFonts w:cs="Arial"/>
          <w:i/>
          <w:iCs/>
          <w:sz w:val="20"/>
          <w:szCs w:val="20"/>
          <w:lang w:eastAsia="en-GB"/>
        </w:rPr>
        <w:t>Men and Women of the Corporation</w:t>
      </w:r>
      <w:r>
        <w:rPr>
          <w:rFonts w:cs="Arial"/>
          <w:sz w:val="20"/>
          <w:szCs w:val="20"/>
          <w:lang w:eastAsia="en-GB"/>
        </w:rPr>
        <w:t>. Basic Books.</w:t>
      </w:r>
    </w:p>
    <w:p w14:paraId="2DE4134C">
      <w:pPr>
        <w:ind w:left="720" w:hanging="720"/>
        <w:rPr>
          <w:rFonts w:cs="Arial"/>
          <w:sz w:val="20"/>
          <w:szCs w:val="20"/>
          <w:lang w:eastAsia="en-GB"/>
        </w:rPr>
      </w:pPr>
      <w:r>
        <w:rPr>
          <w:rFonts w:cs="Arial"/>
          <w:sz w:val="20"/>
          <w:szCs w:val="20"/>
          <w:lang w:eastAsia="en-GB"/>
        </w:rPr>
        <w:t xml:space="preserve">Kim, P. T. (2017). </w:t>
      </w:r>
      <w:r>
        <w:rPr>
          <w:rFonts w:cs="Arial"/>
          <w:i/>
          <w:iCs/>
          <w:sz w:val="20"/>
          <w:szCs w:val="20"/>
          <w:lang w:eastAsia="en-GB"/>
        </w:rPr>
        <w:t>The Racial Inequality of Diversity Programs</w:t>
      </w:r>
      <w:r>
        <w:rPr>
          <w:rFonts w:cs="Arial"/>
          <w:sz w:val="20"/>
          <w:szCs w:val="20"/>
          <w:lang w:eastAsia="en-GB"/>
        </w:rPr>
        <w:t>. Harvard Law Review.</w:t>
      </w:r>
    </w:p>
    <w:p w14:paraId="21C527D3">
      <w:pPr>
        <w:ind w:left="720" w:hanging="720"/>
        <w:rPr>
          <w:rFonts w:cs="Arial"/>
          <w:sz w:val="20"/>
          <w:szCs w:val="20"/>
          <w:lang w:eastAsia="en-GB"/>
        </w:rPr>
      </w:pPr>
      <w:r>
        <w:rPr>
          <w:rFonts w:cs="Arial"/>
          <w:sz w:val="20"/>
          <w:szCs w:val="20"/>
          <w:lang w:eastAsia="en-GB"/>
        </w:rPr>
        <w:t xml:space="preserve">King, E. B., &amp; Baxter, A. L. (2004). "Diversity and its impact on organisational performance," </w:t>
      </w:r>
      <w:r>
        <w:rPr>
          <w:rFonts w:cs="Arial"/>
          <w:i/>
          <w:iCs/>
          <w:sz w:val="20"/>
          <w:szCs w:val="20"/>
          <w:lang w:eastAsia="en-GB"/>
        </w:rPr>
        <w:t>Journal of Organisational Behaviour</w:t>
      </w:r>
      <w:r>
        <w:rPr>
          <w:rFonts w:cs="Arial"/>
          <w:sz w:val="20"/>
          <w:szCs w:val="20"/>
          <w:lang w:eastAsia="en-GB"/>
        </w:rPr>
        <w:t>, 25(3), pp. 167-183.</w:t>
      </w:r>
    </w:p>
    <w:p w14:paraId="23957BA2">
      <w:pPr>
        <w:ind w:left="720" w:hanging="720"/>
        <w:rPr>
          <w:rFonts w:cs="Arial"/>
          <w:sz w:val="20"/>
          <w:szCs w:val="20"/>
          <w:lang w:eastAsia="en-GB"/>
        </w:rPr>
      </w:pPr>
      <w:r>
        <w:rPr>
          <w:rFonts w:cs="Arial"/>
          <w:sz w:val="20"/>
          <w:szCs w:val="20"/>
          <w:lang w:eastAsia="en-GB"/>
        </w:rPr>
        <w:t xml:space="preserve">Kochan, T. A., et al. (2003). "The effects of diversity on business performance," </w:t>
      </w:r>
      <w:r>
        <w:rPr>
          <w:rFonts w:cs="Arial"/>
          <w:i/>
          <w:iCs/>
          <w:sz w:val="20"/>
          <w:szCs w:val="20"/>
          <w:lang w:eastAsia="en-GB"/>
        </w:rPr>
        <w:t>Research in Organisational Behaviour</w:t>
      </w:r>
      <w:r>
        <w:rPr>
          <w:rFonts w:cs="Arial"/>
          <w:sz w:val="20"/>
          <w:szCs w:val="20"/>
          <w:lang w:eastAsia="en-GB"/>
        </w:rPr>
        <w:t>, 25, pp. 1-37.</w:t>
      </w:r>
    </w:p>
    <w:p w14:paraId="38B4AF3F">
      <w:pPr>
        <w:ind w:left="720" w:hanging="720"/>
        <w:rPr>
          <w:rFonts w:cs="Arial"/>
          <w:sz w:val="20"/>
          <w:szCs w:val="20"/>
          <w:lang w:eastAsia="en-GB"/>
        </w:rPr>
      </w:pPr>
      <w:r>
        <w:rPr>
          <w:rFonts w:cs="Arial"/>
          <w:sz w:val="20"/>
          <w:szCs w:val="20"/>
          <w:lang w:eastAsia="en-GB"/>
        </w:rPr>
        <w:t xml:space="preserve">Konrad, A. M., &amp; Linnehan, F. (1995). "Formalised plans and organisational change: The effect of D&amp;I policies on organisational performance," </w:t>
      </w:r>
      <w:r>
        <w:rPr>
          <w:rFonts w:cs="Arial"/>
          <w:i/>
          <w:iCs/>
          <w:sz w:val="20"/>
          <w:szCs w:val="20"/>
          <w:lang w:eastAsia="en-GB"/>
        </w:rPr>
        <w:t>Journal of Applied Behavioural Science</w:t>
      </w:r>
      <w:r>
        <w:rPr>
          <w:rFonts w:cs="Arial"/>
          <w:sz w:val="20"/>
          <w:szCs w:val="20"/>
          <w:lang w:eastAsia="en-GB"/>
        </w:rPr>
        <w:t>, 31(3), pp. 340-365.</w:t>
      </w:r>
    </w:p>
    <w:p w14:paraId="06B3E2F9">
      <w:pPr>
        <w:ind w:left="720" w:hanging="720"/>
        <w:rPr>
          <w:rFonts w:cs="Arial"/>
          <w:sz w:val="20"/>
          <w:szCs w:val="20"/>
          <w:lang w:eastAsia="en-GB"/>
        </w:rPr>
      </w:pPr>
      <w:r>
        <w:rPr>
          <w:rFonts w:cs="Arial"/>
          <w:sz w:val="20"/>
          <w:szCs w:val="20"/>
          <w:lang w:eastAsia="en-GB"/>
        </w:rPr>
        <w:t xml:space="preserve">Kulik, C. T., &amp; Roberson, L. (2008). "Diversity initiatives in organisations," </w:t>
      </w:r>
      <w:r>
        <w:rPr>
          <w:rFonts w:cs="Arial"/>
          <w:i/>
          <w:iCs/>
          <w:sz w:val="20"/>
          <w:szCs w:val="20"/>
          <w:lang w:eastAsia="en-GB"/>
        </w:rPr>
        <w:t>Academy of Management Annals</w:t>
      </w:r>
      <w:r>
        <w:rPr>
          <w:rFonts w:cs="Arial"/>
          <w:sz w:val="20"/>
          <w:szCs w:val="20"/>
          <w:lang w:eastAsia="en-GB"/>
        </w:rPr>
        <w:t>, 2(1), pp. 263-318.</w:t>
      </w:r>
    </w:p>
    <w:p w14:paraId="3E173131">
      <w:pPr>
        <w:ind w:left="720" w:hanging="720"/>
        <w:rPr>
          <w:rFonts w:cs="Arial"/>
          <w:sz w:val="20"/>
          <w:szCs w:val="20"/>
          <w:lang w:eastAsia="en-GB"/>
        </w:rPr>
      </w:pPr>
      <w:r>
        <w:rPr>
          <w:rFonts w:cs="Arial"/>
          <w:sz w:val="20"/>
          <w:szCs w:val="20"/>
          <w:lang w:eastAsia="en-GB"/>
        </w:rPr>
        <w:t xml:space="preserve">Leavy, P. (2020). </w:t>
      </w:r>
      <w:r>
        <w:rPr>
          <w:rFonts w:cs="Arial"/>
          <w:i/>
          <w:iCs/>
          <w:sz w:val="20"/>
          <w:szCs w:val="20"/>
          <w:lang w:eastAsia="en-GB"/>
        </w:rPr>
        <w:t>The Oxford Handbook of Qualitative Research</w:t>
      </w:r>
      <w:r>
        <w:rPr>
          <w:rFonts w:cs="Arial"/>
          <w:sz w:val="20"/>
          <w:szCs w:val="20"/>
          <w:lang w:eastAsia="en-GB"/>
        </w:rPr>
        <w:t xml:space="preserve"> (2nd ed.). Oxford University Press.</w:t>
      </w:r>
    </w:p>
    <w:p w14:paraId="1AC6EA43">
      <w:pPr>
        <w:ind w:left="720" w:hanging="720"/>
        <w:rPr>
          <w:rFonts w:cs="Arial"/>
          <w:sz w:val="20"/>
          <w:szCs w:val="20"/>
          <w:lang w:eastAsia="en-GB"/>
        </w:rPr>
      </w:pPr>
      <w:r>
        <w:rPr>
          <w:rFonts w:cs="Arial"/>
          <w:sz w:val="20"/>
          <w:szCs w:val="20"/>
          <w:lang w:eastAsia="en-GB"/>
        </w:rPr>
        <w:t xml:space="preserve">Leung, K., &amp; Bond, M. H. (2004). "Social axioms and their impact on organisational behaviour," </w:t>
      </w:r>
      <w:r>
        <w:rPr>
          <w:rFonts w:cs="Arial"/>
          <w:i/>
          <w:iCs/>
          <w:sz w:val="20"/>
          <w:szCs w:val="20"/>
          <w:lang w:eastAsia="en-GB"/>
        </w:rPr>
        <w:t>Journal of Applied Psychology</w:t>
      </w:r>
      <w:r>
        <w:rPr>
          <w:rFonts w:cs="Arial"/>
          <w:sz w:val="20"/>
          <w:szCs w:val="20"/>
          <w:lang w:eastAsia="en-GB"/>
        </w:rPr>
        <w:t>, 89(3), pp. 464-477.</w:t>
      </w:r>
    </w:p>
    <w:p w14:paraId="5C15CE6D">
      <w:pPr>
        <w:ind w:left="720" w:hanging="720"/>
        <w:rPr>
          <w:rFonts w:cs="Arial"/>
          <w:sz w:val="20"/>
          <w:szCs w:val="20"/>
          <w:lang w:eastAsia="en-GB"/>
        </w:rPr>
      </w:pPr>
      <w:r>
        <w:rPr>
          <w:rFonts w:cs="Arial"/>
          <w:sz w:val="20"/>
          <w:szCs w:val="20"/>
          <w:lang w:eastAsia="en-GB"/>
        </w:rPr>
        <w:t xml:space="preserve">Mayer, D. M., &amp; Allen, N. J. (1997). "Affective, continuance, and normative commitment to the organisation: A meta-analysis of antecedents, correlates, and consequences," </w:t>
      </w:r>
      <w:r>
        <w:rPr>
          <w:rFonts w:cs="Arial"/>
          <w:i/>
          <w:iCs/>
          <w:sz w:val="20"/>
          <w:szCs w:val="20"/>
          <w:lang w:eastAsia="en-GB"/>
        </w:rPr>
        <w:t>Journal of Vocational Behaviour</w:t>
      </w:r>
      <w:r>
        <w:rPr>
          <w:rFonts w:cs="Arial"/>
          <w:sz w:val="20"/>
          <w:szCs w:val="20"/>
          <w:lang w:eastAsia="en-GB"/>
        </w:rPr>
        <w:t>, 49(3), pp. 243-283.</w:t>
      </w:r>
    </w:p>
    <w:p w14:paraId="4B9D0D61">
      <w:pPr>
        <w:ind w:left="720" w:hanging="720"/>
        <w:rPr>
          <w:rFonts w:cs="Arial"/>
          <w:sz w:val="20"/>
          <w:szCs w:val="20"/>
          <w:lang w:eastAsia="en-GB"/>
        </w:rPr>
      </w:pPr>
      <w:r>
        <w:rPr>
          <w:rFonts w:cs="Arial"/>
          <w:sz w:val="20"/>
          <w:szCs w:val="20"/>
          <w:lang w:eastAsia="en-GB"/>
        </w:rPr>
        <w:t xml:space="preserve">McDonnell, L. M., &amp; O'Keefe, M. M. (2013). "Diversity and leadership effectiveness," </w:t>
      </w:r>
      <w:r>
        <w:rPr>
          <w:rFonts w:cs="Arial"/>
          <w:i/>
          <w:iCs/>
          <w:sz w:val="20"/>
          <w:szCs w:val="20"/>
          <w:lang w:eastAsia="en-GB"/>
        </w:rPr>
        <w:t>Journal of Organisational Behaviour</w:t>
      </w:r>
      <w:r>
        <w:rPr>
          <w:rFonts w:cs="Arial"/>
          <w:sz w:val="20"/>
          <w:szCs w:val="20"/>
          <w:lang w:eastAsia="en-GB"/>
        </w:rPr>
        <w:t>, 34(5), pp. 789-803.</w:t>
      </w:r>
    </w:p>
    <w:p w14:paraId="63171DA6">
      <w:pPr>
        <w:ind w:left="720" w:hanging="720"/>
        <w:rPr>
          <w:rFonts w:cs="Arial"/>
          <w:sz w:val="20"/>
          <w:szCs w:val="20"/>
          <w:lang w:eastAsia="en-GB"/>
        </w:rPr>
      </w:pPr>
      <w:r>
        <w:rPr>
          <w:rFonts w:cs="Arial"/>
          <w:sz w:val="20"/>
          <w:szCs w:val="20"/>
          <w:lang w:eastAsia="en-GB"/>
        </w:rPr>
        <w:t xml:space="preserve">McKay, P. F., &amp; Avery, D. R. (2005). "Where does diversity fit in? Understanding the role of diversity in organisational settings," </w:t>
      </w:r>
      <w:r>
        <w:rPr>
          <w:rFonts w:cs="Arial"/>
          <w:i/>
          <w:iCs/>
          <w:sz w:val="20"/>
          <w:szCs w:val="20"/>
          <w:lang w:eastAsia="en-GB"/>
        </w:rPr>
        <w:t>Academy of Management Perspectives</w:t>
      </w:r>
      <w:r>
        <w:rPr>
          <w:rFonts w:cs="Arial"/>
          <w:sz w:val="20"/>
          <w:szCs w:val="20"/>
          <w:lang w:eastAsia="en-GB"/>
        </w:rPr>
        <w:t>, 19(2), pp. 80-94.</w:t>
      </w:r>
    </w:p>
    <w:p w14:paraId="08D95A3A">
      <w:pPr>
        <w:ind w:left="720" w:hanging="720"/>
        <w:rPr>
          <w:rFonts w:cs="Arial"/>
          <w:sz w:val="20"/>
          <w:szCs w:val="20"/>
          <w:lang w:eastAsia="en-GB"/>
        </w:rPr>
      </w:pPr>
      <w:r>
        <w:rPr>
          <w:rFonts w:cs="Arial"/>
          <w:sz w:val="20"/>
          <w:szCs w:val="20"/>
          <w:lang w:eastAsia="en-GB"/>
        </w:rPr>
        <w:t xml:space="preserve">Morrison, A. M., &amp; Von Glinow, M. A. (1990). "Women and minorities in management," </w:t>
      </w:r>
      <w:r>
        <w:rPr>
          <w:rFonts w:cs="Arial"/>
          <w:i/>
          <w:iCs/>
          <w:sz w:val="20"/>
          <w:szCs w:val="20"/>
          <w:lang w:eastAsia="en-GB"/>
        </w:rPr>
        <w:t>American Psychologist</w:t>
      </w:r>
      <w:r>
        <w:rPr>
          <w:rFonts w:cs="Arial"/>
          <w:sz w:val="20"/>
          <w:szCs w:val="20"/>
          <w:lang w:eastAsia="en-GB"/>
        </w:rPr>
        <w:t>, 45(2), pp. 200-209.</w:t>
      </w:r>
    </w:p>
    <w:p w14:paraId="15670C49">
      <w:pPr>
        <w:ind w:left="720" w:hanging="720"/>
        <w:rPr>
          <w:rFonts w:cs="Arial"/>
          <w:sz w:val="20"/>
          <w:szCs w:val="20"/>
          <w:lang w:eastAsia="en-GB"/>
        </w:rPr>
      </w:pPr>
      <w:r>
        <w:rPr>
          <w:rFonts w:cs="Arial"/>
          <w:sz w:val="20"/>
          <w:szCs w:val="20"/>
          <w:lang w:eastAsia="en-GB"/>
        </w:rPr>
        <w:t xml:space="preserve">Nkomo, S. M., &amp; Cox, T. H. (1996). "Diversity and organisational change," </w:t>
      </w:r>
      <w:r>
        <w:rPr>
          <w:rFonts w:cs="Arial"/>
          <w:i/>
          <w:iCs/>
          <w:sz w:val="20"/>
          <w:szCs w:val="20"/>
          <w:lang w:eastAsia="en-GB"/>
        </w:rPr>
        <w:t>Human Resource Management Review</w:t>
      </w:r>
      <w:r>
        <w:rPr>
          <w:rFonts w:cs="Arial"/>
          <w:sz w:val="20"/>
          <w:szCs w:val="20"/>
          <w:lang w:eastAsia="en-GB"/>
        </w:rPr>
        <w:t>, 6(1), pp. 83-94.</w:t>
      </w:r>
    </w:p>
    <w:p w14:paraId="2D4EFC40">
      <w:pPr>
        <w:ind w:left="720" w:hanging="720"/>
        <w:rPr>
          <w:rFonts w:cs="Arial"/>
          <w:sz w:val="20"/>
          <w:szCs w:val="20"/>
          <w:lang w:eastAsia="en-GB"/>
        </w:rPr>
      </w:pPr>
      <w:r>
        <w:rPr>
          <w:rFonts w:cs="Arial"/>
          <w:sz w:val="20"/>
          <w:szCs w:val="20"/>
          <w:lang w:eastAsia="en-GB"/>
        </w:rPr>
        <w:t xml:space="preserve">Noon, M. (2017). "The paradox of diversity management," </w:t>
      </w:r>
      <w:r>
        <w:rPr>
          <w:rFonts w:cs="Arial"/>
          <w:i/>
          <w:iCs/>
          <w:sz w:val="20"/>
          <w:szCs w:val="20"/>
          <w:lang w:eastAsia="en-GB"/>
        </w:rPr>
        <w:t>Industrial Relations Journal</w:t>
      </w:r>
      <w:r>
        <w:rPr>
          <w:rFonts w:cs="Arial"/>
          <w:sz w:val="20"/>
          <w:szCs w:val="20"/>
          <w:lang w:eastAsia="en-GB"/>
        </w:rPr>
        <w:t>, 48(1), pp. 3-21.</w:t>
      </w:r>
    </w:p>
    <w:p w14:paraId="4A2FF1C6">
      <w:pPr>
        <w:ind w:left="720" w:hanging="720"/>
        <w:rPr>
          <w:rFonts w:cs="Arial"/>
          <w:sz w:val="20"/>
          <w:szCs w:val="20"/>
          <w:lang w:eastAsia="en-GB"/>
        </w:rPr>
      </w:pPr>
      <w:r>
        <w:rPr>
          <w:rFonts w:cs="Arial"/>
          <w:sz w:val="20"/>
          <w:szCs w:val="20"/>
          <w:lang w:eastAsia="en-GB"/>
        </w:rPr>
        <w:t xml:space="preserve">Patton, M. Q. (2002). </w:t>
      </w:r>
      <w:r>
        <w:rPr>
          <w:rFonts w:cs="Arial"/>
          <w:i/>
          <w:iCs/>
          <w:sz w:val="20"/>
          <w:szCs w:val="20"/>
          <w:lang w:eastAsia="en-GB"/>
        </w:rPr>
        <w:t>Qualitative Research and Evaluation Methods</w:t>
      </w:r>
      <w:r>
        <w:rPr>
          <w:rFonts w:cs="Arial"/>
          <w:sz w:val="20"/>
          <w:szCs w:val="20"/>
          <w:lang w:eastAsia="en-GB"/>
        </w:rPr>
        <w:t xml:space="preserve"> (3rd ed.). SAGE Publications.</w:t>
      </w:r>
    </w:p>
    <w:p w14:paraId="2C5B208F">
      <w:pPr>
        <w:ind w:left="720" w:hanging="720"/>
        <w:rPr>
          <w:rFonts w:cs="Arial"/>
          <w:sz w:val="20"/>
          <w:szCs w:val="20"/>
          <w:lang w:eastAsia="en-GB"/>
        </w:rPr>
      </w:pPr>
      <w:r>
        <w:rPr>
          <w:rFonts w:cs="Arial"/>
          <w:sz w:val="20"/>
          <w:szCs w:val="20"/>
          <w:lang w:eastAsia="en-GB"/>
        </w:rPr>
        <w:t xml:space="preserve">Pettigrew, T. F., &amp; Tropp, L. R. (2006). "A meta-analytic test of intergroup contact theory," </w:t>
      </w:r>
      <w:r>
        <w:rPr>
          <w:rFonts w:cs="Arial"/>
          <w:i/>
          <w:iCs/>
          <w:sz w:val="20"/>
          <w:szCs w:val="20"/>
          <w:lang w:eastAsia="en-GB"/>
        </w:rPr>
        <w:t>Journal of Personality and Social Psychology</w:t>
      </w:r>
      <w:r>
        <w:rPr>
          <w:rFonts w:cs="Arial"/>
          <w:sz w:val="20"/>
          <w:szCs w:val="20"/>
          <w:lang w:eastAsia="en-GB"/>
        </w:rPr>
        <w:t>, 90(5), pp. 751-783.</w:t>
      </w:r>
    </w:p>
    <w:p w14:paraId="3EFCC971">
      <w:pPr>
        <w:ind w:left="720" w:hanging="720"/>
        <w:rPr>
          <w:rFonts w:cs="Arial"/>
          <w:sz w:val="20"/>
          <w:szCs w:val="20"/>
          <w:lang w:eastAsia="en-GB"/>
        </w:rPr>
      </w:pPr>
      <w:r>
        <w:rPr>
          <w:rFonts w:cs="Arial"/>
          <w:sz w:val="20"/>
          <w:szCs w:val="20"/>
          <w:lang w:eastAsia="en-GB"/>
        </w:rPr>
        <w:t xml:space="preserve">Roberson, L., &amp; Stevens, C. K. (2006). "The role of diversity in the workplace," </w:t>
      </w:r>
      <w:r>
        <w:rPr>
          <w:rFonts w:cs="Arial"/>
          <w:i/>
          <w:iCs/>
          <w:sz w:val="20"/>
          <w:szCs w:val="20"/>
          <w:lang w:eastAsia="en-GB"/>
        </w:rPr>
        <w:t>Journal of Applied Social Psychology</w:t>
      </w:r>
      <w:r>
        <w:rPr>
          <w:rFonts w:cs="Arial"/>
          <w:sz w:val="20"/>
          <w:szCs w:val="20"/>
          <w:lang w:eastAsia="en-GB"/>
        </w:rPr>
        <w:t>, 36(7), pp. 1700-1720.</w:t>
      </w:r>
    </w:p>
    <w:p w14:paraId="02C8D670">
      <w:pPr>
        <w:ind w:left="720" w:hanging="720"/>
        <w:rPr>
          <w:rFonts w:cs="Arial"/>
          <w:sz w:val="20"/>
          <w:szCs w:val="20"/>
          <w:lang w:eastAsia="en-GB"/>
        </w:rPr>
      </w:pPr>
      <w:r>
        <w:rPr>
          <w:rFonts w:cs="Arial"/>
          <w:sz w:val="20"/>
          <w:szCs w:val="20"/>
          <w:lang w:eastAsia="en-GB"/>
        </w:rPr>
        <w:t xml:space="preserve">Saunders, M., Lewis, P., &amp; Thornhill, A. (2019). </w:t>
      </w:r>
      <w:r>
        <w:rPr>
          <w:rFonts w:cs="Arial"/>
          <w:i/>
          <w:iCs/>
          <w:sz w:val="20"/>
          <w:szCs w:val="20"/>
          <w:lang w:eastAsia="en-GB"/>
        </w:rPr>
        <w:t>Research Methods for Business Students</w:t>
      </w:r>
      <w:r>
        <w:rPr>
          <w:rFonts w:cs="Arial"/>
          <w:sz w:val="20"/>
          <w:szCs w:val="20"/>
          <w:lang w:eastAsia="en-GB"/>
        </w:rPr>
        <w:t xml:space="preserve"> (8th ed.). Pearson Education.</w:t>
      </w:r>
    </w:p>
    <w:p w14:paraId="6DD726C1">
      <w:pPr>
        <w:ind w:left="720" w:hanging="720"/>
        <w:rPr>
          <w:rFonts w:cs="Arial"/>
          <w:sz w:val="20"/>
          <w:szCs w:val="20"/>
          <w:lang w:eastAsia="en-GB"/>
        </w:rPr>
      </w:pPr>
      <w:r>
        <w:rPr>
          <w:rFonts w:cs="Arial"/>
          <w:sz w:val="20"/>
          <w:szCs w:val="20"/>
          <w:lang w:eastAsia="en-GB"/>
        </w:rPr>
        <w:t xml:space="preserve">Shore, L. M., Cleveland, J. N., &amp; Goldberg, C. B. (2011). "Workplace diversity and inclusion: A review and synthesis of the literature," </w:t>
      </w:r>
      <w:r>
        <w:rPr>
          <w:rFonts w:cs="Arial"/>
          <w:i/>
          <w:iCs/>
          <w:sz w:val="20"/>
          <w:szCs w:val="20"/>
          <w:lang w:eastAsia="en-GB"/>
        </w:rPr>
        <w:t>Human Resource Management Review</w:t>
      </w:r>
      <w:r>
        <w:rPr>
          <w:rFonts w:cs="Arial"/>
          <w:sz w:val="20"/>
          <w:szCs w:val="20"/>
          <w:lang w:eastAsia="en-GB"/>
        </w:rPr>
        <w:t>, 21(4), pp. 107-121.</w:t>
      </w:r>
    </w:p>
    <w:p w14:paraId="71F6B06D">
      <w:pPr>
        <w:ind w:left="720" w:hanging="720"/>
        <w:rPr>
          <w:rFonts w:cs="Arial"/>
          <w:sz w:val="20"/>
          <w:szCs w:val="20"/>
          <w:lang w:eastAsia="en-GB"/>
        </w:rPr>
      </w:pPr>
      <w:r>
        <w:rPr>
          <w:rFonts w:cs="Arial"/>
          <w:sz w:val="20"/>
          <w:szCs w:val="20"/>
          <w:lang w:eastAsia="en-GB"/>
        </w:rPr>
        <w:t xml:space="preserve">Shore, L. M., et al. (2011). "Diversity in organisations: A review of the literature," </w:t>
      </w:r>
      <w:r>
        <w:rPr>
          <w:rFonts w:cs="Arial"/>
          <w:i/>
          <w:iCs/>
          <w:sz w:val="20"/>
          <w:szCs w:val="20"/>
          <w:lang w:eastAsia="en-GB"/>
        </w:rPr>
        <w:t>Psychological Bulletin</w:t>
      </w:r>
      <w:r>
        <w:rPr>
          <w:rFonts w:cs="Arial"/>
          <w:sz w:val="20"/>
          <w:szCs w:val="20"/>
          <w:lang w:eastAsia="en-GB"/>
        </w:rPr>
        <w:t>, 137(2), pp. 249-268.</w:t>
      </w:r>
    </w:p>
    <w:p w14:paraId="1FDB2F2D">
      <w:pPr>
        <w:ind w:left="720" w:hanging="720"/>
        <w:rPr>
          <w:rFonts w:cs="Arial"/>
          <w:sz w:val="20"/>
          <w:szCs w:val="20"/>
          <w:lang w:eastAsia="en-GB"/>
        </w:rPr>
      </w:pPr>
      <w:r>
        <w:rPr>
          <w:rFonts w:cs="Arial"/>
          <w:sz w:val="20"/>
          <w:szCs w:val="20"/>
          <w:lang w:eastAsia="en-GB"/>
        </w:rPr>
        <w:t xml:space="preserve">Tajfel, H., &amp; Turner, J. C. (1979). "An integrative theory of intergroup conflict," in W. G. Austin &amp; S. Worchel (eds.), </w:t>
      </w:r>
      <w:r>
        <w:rPr>
          <w:rFonts w:cs="Arial"/>
          <w:i/>
          <w:iCs/>
          <w:sz w:val="20"/>
          <w:szCs w:val="20"/>
          <w:lang w:eastAsia="en-GB"/>
        </w:rPr>
        <w:t>The Social Psychology of Intergroup Relations</w:t>
      </w:r>
      <w:r>
        <w:rPr>
          <w:rFonts w:cs="Arial"/>
          <w:sz w:val="20"/>
          <w:szCs w:val="20"/>
          <w:lang w:eastAsia="en-GB"/>
        </w:rPr>
        <w:t>. Brooks/Cole.</w:t>
      </w:r>
    </w:p>
    <w:p w14:paraId="36AD8247">
      <w:pPr>
        <w:ind w:left="720" w:hanging="720"/>
        <w:rPr>
          <w:rFonts w:cs="Arial"/>
          <w:sz w:val="20"/>
          <w:szCs w:val="20"/>
          <w:lang w:eastAsia="en-GB"/>
        </w:rPr>
      </w:pPr>
      <w:r>
        <w:rPr>
          <w:rFonts w:cs="Arial"/>
          <w:sz w:val="20"/>
          <w:szCs w:val="20"/>
          <w:lang w:eastAsia="en-GB"/>
        </w:rPr>
        <w:t xml:space="preserve">Thomas, K. W. (1990). </w:t>
      </w:r>
      <w:r>
        <w:rPr>
          <w:rFonts w:cs="Arial"/>
          <w:i/>
          <w:iCs/>
          <w:sz w:val="20"/>
          <w:szCs w:val="20"/>
          <w:lang w:eastAsia="en-GB"/>
        </w:rPr>
        <w:t>Thomas-Kilmann Conflict Mode Instrument</w:t>
      </w:r>
      <w:r>
        <w:rPr>
          <w:rFonts w:cs="Arial"/>
          <w:sz w:val="20"/>
          <w:szCs w:val="20"/>
          <w:lang w:eastAsia="en-GB"/>
        </w:rPr>
        <w:t>. CPP.</w:t>
      </w:r>
    </w:p>
    <w:p w14:paraId="396BA8B9">
      <w:pPr>
        <w:ind w:left="720" w:hanging="720"/>
        <w:rPr>
          <w:rFonts w:cs="Arial"/>
          <w:sz w:val="20"/>
          <w:szCs w:val="20"/>
          <w:lang w:eastAsia="en-GB"/>
        </w:rPr>
      </w:pPr>
      <w:r>
        <w:rPr>
          <w:rFonts w:cs="Arial"/>
          <w:sz w:val="20"/>
          <w:szCs w:val="20"/>
          <w:lang w:eastAsia="en-GB"/>
        </w:rPr>
        <w:t xml:space="preserve">Williams, K. Y., &amp; O'Reilly, C. A. (1998). "Demography and diversity in organisations: A review of 40 years of research," </w:t>
      </w:r>
      <w:r>
        <w:rPr>
          <w:rFonts w:cs="Arial"/>
          <w:i/>
          <w:iCs/>
          <w:sz w:val="20"/>
          <w:szCs w:val="20"/>
          <w:lang w:eastAsia="en-GB"/>
        </w:rPr>
        <w:t>Research in Organisational Behaviour</w:t>
      </w:r>
      <w:r>
        <w:rPr>
          <w:rFonts w:cs="Arial"/>
          <w:sz w:val="20"/>
          <w:szCs w:val="20"/>
          <w:lang w:eastAsia="en-GB"/>
        </w:rPr>
        <w:t>, 20, pp. 77-140.</w:t>
      </w:r>
    </w:p>
    <w:p w14:paraId="72348D42">
      <w:pPr>
        <w:ind w:left="720" w:hanging="720"/>
        <w:rPr>
          <w:rFonts w:cs="Arial"/>
          <w:sz w:val="20"/>
          <w:szCs w:val="20"/>
          <w:lang w:eastAsia="en-GB"/>
        </w:rPr>
      </w:pPr>
      <w:r>
        <w:rPr>
          <w:rFonts w:cs="Arial"/>
          <w:sz w:val="20"/>
          <w:szCs w:val="20"/>
          <w:lang w:eastAsia="en-GB"/>
        </w:rPr>
        <w:t xml:space="preserve">Zanoni, P., Janssens, M., &amp; Lieve, M. (2010). "Understanding the impact of diversity management on equality: A qualitative approach," </w:t>
      </w:r>
      <w:r>
        <w:rPr>
          <w:rFonts w:cs="Arial"/>
          <w:i/>
          <w:iCs/>
          <w:sz w:val="20"/>
          <w:szCs w:val="20"/>
          <w:lang w:eastAsia="en-GB"/>
        </w:rPr>
        <w:t>Journal of Business Ethics</w:t>
      </w:r>
      <w:r>
        <w:rPr>
          <w:rFonts w:cs="Arial"/>
          <w:sz w:val="20"/>
          <w:szCs w:val="20"/>
          <w:lang w:eastAsia="en-GB"/>
        </w:rPr>
        <w:t>, 91(3), pp. 289-302.</w:t>
      </w:r>
    </w:p>
    <w:p w14:paraId="651C04D3">
      <w:pPr>
        <w:rPr>
          <w:rFonts w:cs="Arial"/>
          <w:sz w:val="20"/>
          <w:szCs w:val="20"/>
          <w:lang w:eastAsia="en-GB"/>
        </w:rPr>
      </w:pPr>
    </w:p>
    <w:p w14:paraId="6C48DFC0"/>
    <w:sectPr>
      <w:footerReference r:id="rId5"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DengXian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6189411"/>
      <w:docPartObj>
        <w:docPartGallery w:val="AutoText"/>
      </w:docPartObj>
    </w:sdtPr>
    <w:sdtEndPr>
      <w:rPr>
        <w:color w:val="808080" w:themeColor="background1" w:themeShade="80"/>
        <w:spacing w:val="60"/>
      </w:rPr>
    </w:sdtEndPr>
    <w:sdtContent>
      <w:p w14:paraId="143FC9D7">
        <w:pPr>
          <w:pStyle w:val="14"/>
          <w:pBdr>
            <w:top w:val="single" w:color="D8D8D8" w:themeColor="background1" w:themeShade="D9" w:sz="4" w:space="1"/>
          </w:pBdr>
          <w:jc w:val="right"/>
        </w:pPr>
        <w:r>
          <w:fldChar w:fldCharType="begin"/>
        </w:r>
        <w:r>
          <w:instrText xml:space="preserve"> PAGE   \* MERGEFORMAT </w:instrText>
        </w:r>
        <w:r>
          <w:fldChar w:fldCharType="separate"/>
        </w:r>
        <w:r>
          <w:t>2</w:t>
        </w:r>
        <w:r>
          <w:fldChar w:fldCharType="end"/>
        </w:r>
        <w:r>
          <w:t xml:space="preserve"> | </w:t>
        </w:r>
        <w:r>
          <w:rPr>
            <w:color w:val="808080" w:themeColor="background1" w:themeShade="80"/>
            <w:spacing w:val="60"/>
          </w:rPr>
          <w:t>Page</w:t>
        </w:r>
      </w:p>
    </w:sdtContent>
  </w:sdt>
  <w:p w14:paraId="6E2EF35A">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AA157B"/>
    <w:multiLevelType w:val="multilevel"/>
    <w:tmpl w:val="08AA157B"/>
    <w:lvl w:ilvl="0" w:tentative="0">
      <w:start w:val="2"/>
      <w:numFmt w:val="decimal"/>
      <w:lvlText w:val="%1"/>
      <w:lvlJc w:val="left"/>
      <w:pPr>
        <w:ind w:left="405" w:hanging="405"/>
      </w:pPr>
      <w:rPr>
        <w:rFonts w:hint="default"/>
      </w:rPr>
    </w:lvl>
    <w:lvl w:ilvl="1" w:tentative="0">
      <w:start w:val="1"/>
      <w:numFmt w:val="decimal"/>
      <w:pStyle w:val="3"/>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
    <w:nsid w:val="0A087CD9"/>
    <w:multiLevelType w:val="multilevel"/>
    <w:tmpl w:val="0A087CD9"/>
    <w:lvl w:ilvl="0" w:tentative="0">
      <w:start w:val="1"/>
      <w:numFmt w:val="decimal"/>
      <w:lvlText w:val="%1"/>
      <w:lvlJc w:val="left"/>
      <w:pPr>
        <w:ind w:left="405" w:hanging="405"/>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2">
    <w:nsid w:val="3542507E"/>
    <w:multiLevelType w:val="multilevel"/>
    <w:tmpl w:val="354250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C194F48"/>
    <w:multiLevelType w:val="multilevel"/>
    <w:tmpl w:val="3C194F48"/>
    <w:lvl w:ilvl="0" w:tentative="0">
      <w:start w:val="1"/>
      <w:numFmt w:val="bullet"/>
      <w:lvlText w:val=""/>
      <w:lvlJc w:val="left"/>
      <w:pPr>
        <w:ind w:left="688" w:hanging="405"/>
      </w:pPr>
      <w:rPr>
        <w:rFonts w:hint="default" w:ascii="Wingdings" w:hAnsi="Wingdings"/>
      </w:rPr>
    </w:lvl>
    <w:lvl w:ilvl="1" w:tentative="0">
      <w:start w:val="1"/>
      <w:numFmt w:val="decimal"/>
      <w:lvlText w:val="%1.%2"/>
      <w:lvlJc w:val="left"/>
      <w:pPr>
        <w:ind w:left="1003" w:hanging="720"/>
      </w:pPr>
      <w:rPr>
        <w:rFonts w:hint="default"/>
      </w:rPr>
    </w:lvl>
    <w:lvl w:ilvl="2" w:tentative="0">
      <w:start w:val="1"/>
      <w:numFmt w:val="decimal"/>
      <w:lvlText w:val="%1.%2.%3"/>
      <w:lvlJc w:val="left"/>
      <w:pPr>
        <w:ind w:left="1003" w:hanging="720"/>
      </w:pPr>
      <w:rPr>
        <w:rFonts w:hint="default"/>
      </w:rPr>
    </w:lvl>
    <w:lvl w:ilvl="3" w:tentative="0">
      <w:start w:val="1"/>
      <w:numFmt w:val="decimal"/>
      <w:lvlText w:val="%1.%2.%3.%4"/>
      <w:lvlJc w:val="left"/>
      <w:pPr>
        <w:ind w:left="1363" w:hanging="1080"/>
      </w:pPr>
      <w:rPr>
        <w:rFonts w:hint="default"/>
      </w:rPr>
    </w:lvl>
    <w:lvl w:ilvl="4" w:tentative="0">
      <w:start w:val="1"/>
      <w:numFmt w:val="decimal"/>
      <w:lvlText w:val="%1.%2.%3.%4.%5"/>
      <w:lvlJc w:val="left"/>
      <w:pPr>
        <w:ind w:left="1723" w:hanging="1440"/>
      </w:pPr>
      <w:rPr>
        <w:rFonts w:hint="default"/>
      </w:rPr>
    </w:lvl>
    <w:lvl w:ilvl="5" w:tentative="0">
      <w:start w:val="1"/>
      <w:numFmt w:val="decimal"/>
      <w:lvlText w:val="%1.%2.%3.%4.%5.%6"/>
      <w:lvlJc w:val="left"/>
      <w:pPr>
        <w:ind w:left="1723" w:hanging="1440"/>
      </w:pPr>
      <w:rPr>
        <w:rFonts w:hint="default"/>
      </w:rPr>
    </w:lvl>
    <w:lvl w:ilvl="6" w:tentative="0">
      <w:start w:val="1"/>
      <w:numFmt w:val="decimal"/>
      <w:lvlText w:val="%1.%2.%3.%4.%5.%6.%7"/>
      <w:lvlJc w:val="left"/>
      <w:pPr>
        <w:ind w:left="2083" w:hanging="1800"/>
      </w:pPr>
      <w:rPr>
        <w:rFonts w:hint="default"/>
      </w:rPr>
    </w:lvl>
    <w:lvl w:ilvl="7" w:tentative="0">
      <w:start w:val="1"/>
      <w:numFmt w:val="decimal"/>
      <w:lvlText w:val="%1.%2.%3.%4.%5.%6.%7.%8"/>
      <w:lvlJc w:val="left"/>
      <w:pPr>
        <w:ind w:left="2083" w:hanging="1800"/>
      </w:pPr>
      <w:rPr>
        <w:rFonts w:hint="default"/>
      </w:rPr>
    </w:lvl>
    <w:lvl w:ilvl="8" w:tentative="0">
      <w:start w:val="1"/>
      <w:numFmt w:val="decimal"/>
      <w:lvlText w:val="%1.%2.%3.%4.%5.%6.%7.%8.%9"/>
      <w:lvlJc w:val="left"/>
      <w:pPr>
        <w:ind w:left="2443" w:hanging="2160"/>
      </w:pPr>
      <w:rPr>
        <w:rFonts w:hint="default"/>
      </w:rPr>
    </w:lvl>
  </w:abstractNum>
  <w:abstractNum w:abstractNumId="4">
    <w:nsid w:val="3D2909FB"/>
    <w:multiLevelType w:val="multilevel"/>
    <w:tmpl w:val="3D2909F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3316702"/>
    <w:multiLevelType w:val="multilevel"/>
    <w:tmpl w:val="4331670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9285057"/>
    <w:multiLevelType w:val="multilevel"/>
    <w:tmpl w:val="49285057"/>
    <w:lvl w:ilvl="0" w:tentative="0">
      <w:start w:val="1"/>
      <w:numFmt w:val="bullet"/>
      <w:lvlText w:val=""/>
      <w:lvlJc w:val="left"/>
      <w:pPr>
        <w:tabs>
          <w:tab w:val="left" w:pos="720"/>
        </w:tabs>
        <w:ind w:left="720" w:hanging="360"/>
      </w:pPr>
      <w:rPr>
        <w:rFonts w:hint="default" w:ascii="Symbol" w:hAnsi="Symbol"/>
        <w:sz w:val="20"/>
      </w:rPr>
    </w:lvl>
    <w:lvl w:ilvl="1" w:tentative="0">
      <w:start w:val="5"/>
      <w:numFmt w:val="decimal"/>
      <w:lvlText w:val="%2."/>
      <w:lvlJc w:val="left"/>
      <w:pPr>
        <w:ind w:left="36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4AF32310"/>
    <w:multiLevelType w:val="multilevel"/>
    <w:tmpl w:val="4AF32310"/>
    <w:lvl w:ilvl="0" w:tentative="0">
      <w:start w:val="1"/>
      <w:numFmt w:val="decimal"/>
      <w:lvlText w:val="%1."/>
      <w:lvlJc w:val="left"/>
      <w:pPr>
        <w:ind w:left="360" w:hanging="360"/>
      </w:pPr>
      <w:rPr>
        <w:rFonts w:hint="default"/>
      </w:rPr>
    </w:lvl>
    <w:lvl w:ilvl="1" w:tentative="0">
      <w:start w:val="1"/>
      <w:numFmt w:val="decimal"/>
      <w:lvlText w:val="%2."/>
      <w:lvlJc w:val="left"/>
      <w:pPr>
        <w:ind w:left="360" w:hanging="360"/>
      </w:pPr>
    </w:lvl>
    <w:lvl w:ilvl="2" w:tentative="0">
      <w:start w:val="3"/>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abstractNum w:abstractNumId="8">
    <w:nsid w:val="4C8429ED"/>
    <w:multiLevelType w:val="multilevel"/>
    <w:tmpl w:val="4C8429E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6E9E7FA0"/>
    <w:multiLevelType w:val="multilevel"/>
    <w:tmpl w:val="6E9E7FA0"/>
    <w:lvl w:ilvl="0" w:tentative="0">
      <w:start w:val="3"/>
      <w:numFmt w:val="decimal"/>
      <w:lvlText w:val="%1"/>
      <w:lvlJc w:val="left"/>
      <w:pPr>
        <w:ind w:left="405" w:hanging="405"/>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0">
    <w:nsid w:val="6FE86ED2"/>
    <w:multiLevelType w:val="multilevel"/>
    <w:tmpl w:val="6FE86ED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7EAE1D2C"/>
    <w:multiLevelType w:val="multilevel"/>
    <w:tmpl w:val="7EAE1D2C"/>
    <w:lvl w:ilvl="0" w:tentative="0">
      <w:start w:val="1"/>
      <w:numFmt w:val="decimal"/>
      <w:lvlText w:val="%1."/>
      <w:lvlJc w:val="left"/>
      <w:pPr>
        <w:ind w:left="360"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num w:numId="1">
    <w:abstractNumId w:val="0"/>
  </w:num>
  <w:num w:numId="2">
    <w:abstractNumId w:val="11"/>
  </w:num>
  <w:num w:numId="3">
    <w:abstractNumId w:val="1"/>
  </w:num>
  <w:num w:numId="4">
    <w:abstractNumId w:val="3"/>
  </w:num>
  <w:num w:numId="5">
    <w:abstractNumId w:val="4"/>
  </w:num>
  <w:num w:numId="6">
    <w:abstractNumId w:val="6"/>
  </w:num>
  <w:num w:numId="7">
    <w:abstractNumId w:val="9"/>
  </w:num>
  <w:num w:numId="8">
    <w:abstractNumId w:val="5"/>
  </w:num>
  <w:num w:numId="9">
    <w:abstractNumId w:val="2"/>
  </w:num>
  <w:num w:numId="10">
    <w:abstractNumId w:val="8"/>
  </w:num>
  <w:num w:numId="11">
    <w:abstractNumId w:val="10"/>
  </w:num>
  <w:num w:numId="12">
    <w:abstractNumId w:val="7"/>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56E"/>
    <w:rsid w:val="00412D89"/>
    <w:rsid w:val="0079256E"/>
    <w:rsid w:val="22696B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kern w:val="2"/>
      <w:sz w:val="22"/>
      <w:szCs w:val="22"/>
      <w:lang w:val="en-GB" w:eastAsia="en-US" w:bidi="ar-SA"/>
      <w14:ligatures w14:val="standardContextual"/>
    </w:rPr>
  </w:style>
  <w:style w:type="paragraph" w:styleId="2">
    <w:name w:val="heading 1"/>
    <w:basedOn w:val="1"/>
    <w:next w:val="1"/>
    <w:link w:val="25"/>
    <w:autoRedefine/>
    <w:qFormat/>
    <w:uiPriority w:val="9"/>
    <w:pPr>
      <w:keepNext/>
      <w:keepLines/>
      <w:spacing w:before="400" w:after="0"/>
      <w:ind w:left="360" w:hanging="360"/>
      <w:outlineLvl w:val="0"/>
    </w:pPr>
    <w:rPr>
      <w:rFonts w:eastAsia="Arial" w:cs="Arial"/>
      <w:b/>
      <w:color w:val="002060"/>
      <w:kern w:val="0"/>
      <w:sz w:val="32"/>
      <w:szCs w:val="40"/>
      <w:lang w:val="en" w:eastAsia="en-GB"/>
      <w14:ligatures w14:val="none"/>
    </w:rPr>
  </w:style>
  <w:style w:type="paragraph" w:styleId="3">
    <w:name w:val="heading 2"/>
    <w:basedOn w:val="1"/>
    <w:next w:val="1"/>
    <w:link w:val="26"/>
    <w:autoRedefine/>
    <w:unhideWhenUsed/>
    <w:qFormat/>
    <w:uiPriority w:val="9"/>
    <w:pPr>
      <w:keepNext/>
      <w:keepLines/>
      <w:numPr>
        <w:ilvl w:val="1"/>
        <w:numId w:val="1"/>
      </w:numPr>
      <w:spacing w:after="120"/>
      <w:outlineLvl w:val="1"/>
    </w:pPr>
    <w:rPr>
      <w:rFonts w:eastAsia="Arial" w:cs="Arial"/>
      <w:b/>
      <w:color w:val="4472C4" w:themeColor="accent1"/>
      <w:kern w:val="0"/>
      <w:sz w:val="28"/>
      <w:szCs w:val="32"/>
      <w:lang w:val="en" w:eastAsia="en-GB"/>
      <w14:textFill>
        <w14:solidFill>
          <w14:schemeClr w14:val="accent1"/>
        </w14:solidFill>
      </w14:textFill>
      <w14:ligatures w14:val="none"/>
    </w:rPr>
  </w:style>
  <w:style w:type="paragraph" w:styleId="4">
    <w:name w:val="heading 3"/>
    <w:basedOn w:val="1"/>
    <w:next w:val="1"/>
    <w:link w:val="27"/>
    <w:autoRedefine/>
    <w:unhideWhenUsed/>
    <w:qFormat/>
    <w:uiPriority w:val="9"/>
    <w:pPr>
      <w:keepNext/>
      <w:keepLines/>
      <w:spacing w:before="40" w:after="0"/>
      <w:outlineLvl w:val="2"/>
    </w:pPr>
    <w:rPr>
      <w:rFonts w:eastAsiaTheme="majorEastAsia" w:cstheme="majorBidi"/>
      <w:b/>
      <w:color w:val="657D9D" w:themeColor="text2" w:themeTint="BF"/>
      <w:sz w:val="24"/>
      <w:szCs w:val="24"/>
      <w14:textFill>
        <w14:solidFill>
          <w14:schemeClr w14:val="tx2">
            <w14:lumMod w14:val="75000"/>
            <w14:lumOff w14:val="25000"/>
          </w14:schemeClr>
        </w14:solidFill>
      </w14:textFill>
    </w:rPr>
  </w:style>
  <w:style w:type="paragraph" w:styleId="5">
    <w:name w:val="heading 4"/>
    <w:basedOn w:val="1"/>
    <w:next w:val="1"/>
    <w:link w:val="28"/>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9"/>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30"/>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1"/>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3"/>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4">
    <w:name w:val="footer"/>
    <w:basedOn w:val="1"/>
    <w:link w:val="46"/>
    <w:unhideWhenUsed/>
    <w:uiPriority w:val="99"/>
    <w:pPr>
      <w:tabs>
        <w:tab w:val="center" w:pos="4513"/>
        <w:tab w:val="right" w:pos="9026"/>
      </w:tabs>
      <w:spacing w:after="0" w:line="240" w:lineRule="auto"/>
    </w:pPr>
  </w:style>
  <w:style w:type="paragraph" w:styleId="15">
    <w:name w:val="header"/>
    <w:basedOn w:val="1"/>
    <w:link w:val="45"/>
    <w:unhideWhenUsed/>
    <w:qFormat/>
    <w:uiPriority w:val="99"/>
    <w:pPr>
      <w:tabs>
        <w:tab w:val="center" w:pos="4513"/>
        <w:tab w:val="right" w:pos="9026"/>
      </w:tabs>
      <w:spacing w:after="0" w:line="240" w:lineRule="auto"/>
    </w:pPr>
  </w:style>
  <w:style w:type="character" w:styleId="16">
    <w:name w:val="Hyperlink"/>
    <w:basedOn w:val="11"/>
    <w:unhideWhenUsed/>
    <w:qFormat/>
    <w:uiPriority w:val="99"/>
    <w:rPr>
      <w:color w:val="0563C1" w:themeColor="hyperlink"/>
      <w:u w:val="single"/>
      <w14:textFill>
        <w14:solidFill>
          <w14:schemeClr w14:val="hlink"/>
        </w14:solidFill>
      </w14:textFill>
    </w:rPr>
  </w:style>
  <w:style w:type="paragraph" w:styleId="17">
    <w:name w:val="Normal (Web)"/>
    <w:basedOn w:val="1"/>
    <w:semiHidden/>
    <w:unhideWhenUsed/>
    <w:qFormat/>
    <w:uiPriority w:val="99"/>
    <w:pPr>
      <w:spacing w:before="100" w:beforeAutospacing="1" w:after="100" w:afterAutospacing="1" w:line="240" w:lineRule="auto"/>
      <w:jc w:val="left"/>
    </w:pPr>
    <w:rPr>
      <w:rFonts w:ascii="Times New Roman" w:hAnsi="Times New Roman" w:eastAsia="Times New Roman" w:cs="Times New Roman"/>
      <w:kern w:val="0"/>
      <w:sz w:val="24"/>
      <w:szCs w:val="24"/>
      <w:lang w:eastAsia="en-GB"/>
      <w14:ligatures w14:val="none"/>
    </w:rPr>
  </w:style>
  <w:style w:type="character" w:styleId="18">
    <w:name w:val="Strong"/>
    <w:basedOn w:val="11"/>
    <w:qFormat/>
    <w:uiPriority w:val="22"/>
    <w:rPr>
      <w:b/>
      <w:bCs/>
    </w:rPr>
  </w:style>
  <w:style w:type="paragraph" w:styleId="19">
    <w:name w:val="Subtitle"/>
    <w:basedOn w:val="1"/>
    <w:next w:val="1"/>
    <w:link w:val="35"/>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
    <w:name w:val="table of figures"/>
    <w:basedOn w:val="1"/>
    <w:next w:val="1"/>
    <w:unhideWhenUsed/>
    <w:qFormat/>
    <w:uiPriority w:val="99"/>
    <w:pPr>
      <w:spacing w:after="0"/>
    </w:pPr>
  </w:style>
  <w:style w:type="paragraph" w:styleId="21">
    <w:name w:val="Title"/>
    <w:basedOn w:val="1"/>
    <w:next w:val="1"/>
    <w:link w:val="3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2">
    <w:name w:val="toc 1"/>
    <w:basedOn w:val="1"/>
    <w:next w:val="1"/>
    <w:autoRedefine/>
    <w:unhideWhenUsed/>
    <w:qFormat/>
    <w:uiPriority w:val="39"/>
    <w:pPr>
      <w:spacing w:after="100"/>
    </w:pPr>
  </w:style>
  <w:style w:type="paragraph" w:styleId="23">
    <w:name w:val="toc 2"/>
    <w:basedOn w:val="1"/>
    <w:next w:val="1"/>
    <w:autoRedefine/>
    <w:unhideWhenUsed/>
    <w:qFormat/>
    <w:uiPriority w:val="39"/>
    <w:pPr>
      <w:spacing w:after="100"/>
      <w:ind w:left="240"/>
    </w:pPr>
    <w:rPr>
      <w:kern w:val="0"/>
      <w:sz w:val="24"/>
      <w14:ligatures w14:val="none"/>
    </w:rPr>
  </w:style>
  <w:style w:type="paragraph" w:styleId="24">
    <w:name w:val="toc 3"/>
    <w:basedOn w:val="1"/>
    <w:next w:val="1"/>
    <w:autoRedefine/>
    <w:unhideWhenUsed/>
    <w:qFormat/>
    <w:uiPriority w:val="39"/>
    <w:pPr>
      <w:spacing w:after="100"/>
      <w:ind w:left="480"/>
    </w:pPr>
    <w:rPr>
      <w:kern w:val="0"/>
      <w:sz w:val="24"/>
      <w14:ligatures w14:val="none"/>
    </w:rPr>
  </w:style>
  <w:style w:type="character" w:customStyle="1" w:styleId="25">
    <w:name w:val="Heading 1 Char"/>
    <w:basedOn w:val="11"/>
    <w:link w:val="2"/>
    <w:uiPriority w:val="9"/>
    <w:rPr>
      <w:rFonts w:ascii="Arial" w:hAnsi="Arial" w:eastAsia="Arial" w:cs="Arial"/>
      <w:b/>
      <w:color w:val="002060"/>
      <w:sz w:val="32"/>
      <w:szCs w:val="40"/>
      <w:lang w:val="en" w:eastAsia="en-GB"/>
    </w:rPr>
  </w:style>
  <w:style w:type="character" w:customStyle="1" w:styleId="26">
    <w:name w:val="Heading 2 Char"/>
    <w:basedOn w:val="11"/>
    <w:link w:val="3"/>
    <w:qFormat/>
    <w:uiPriority w:val="9"/>
    <w:rPr>
      <w:rFonts w:ascii="Arial" w:hAnsi="Arial" w:eastAsia="Arial" w:cs="Arial"/>
      <w:b/>
      <w:color w:val="4472C4" w:themeColor="accent1"/>
      <w:sz w:val="28"/>
      <w:szCs w:val="32"/>
      <w:lang w:val="en" w:eastAsia="en-GB"/>
      <w14:textFill>
        <w14:solidFill>
          <w14:schemeClr w14:val="accent1"/>
        </w14:solidFill>
      </w14:textFill>
    </w:rPr>
  </w:style>
  <w:style w:type="character" w:customStyle="1" w:styleId="27">
    <w:name w:val="Heading 3 Char"/>
    <w:basedOn w:val="11"/>
    <w:link w:val="4"/>
    <w:qFormat/>
    <w:uiPriority w:val="9"/>
    <w:rPr>
      <w:rFonts w:ascii="Arial" w:hAnsi="Arial" w:eastAsiaTheme="majorEastAsia" w:cstheme="majorBidi"/>
      <w:b/>
      <w:color w:val="657D9D" w:themeColor="text2" w:themeTint="BF"/>
      <w:kern w:val="2"/>
      <w:sz w:val="24"/>
      <w:szCs w:val="24"/>
      <w:lang w:val="en-GB"/>
      <w14:textFill>
        <w14:solidFill>
          <w14:schemeClr w14:val="tx2">
            <w14:lumMod w14:val="75000"/>
            <w14:lumOff w14:val="25000"/>
          </w14:schemeClr>
        </w14:solidFill>
      </w14:textFill>
      <w14:ligatures w14:val="standardContextual"/>
    </w:rPr>
  </w:style>
  <w:style w:type="character" w:customStyle="1" w:styleId="28">
    <w:name w:val="Heading 4 Char"/>
    <w:basedOn w:val="11"/>
    <w:link w:val="5"/>
    <w:semiHidden/>
    <w:uiPriority w:val="9"/>
    <w:rPr>
      <w:rFonts w:eastAsiaTheme="majorEastAsia" w:cstheme="majorBidi"/>
      <w:i/>
      <w:iCs/>
      <w:color w:val="2F5597" w:themeColor="accent1" w:themeShade="BF"/>
      <w:kern w:val="2"/>
      <w:lang w:val="en-GB"/>
      <w14:ligatures w14:val="standardContextual"/>
    </w:rPr>
  </w:style>
  <w:style w:type="character" w:customStyle="1" w:styleId="29">
    <w:name w:val="Heading 5 Char"/>
    <w:basedOn w:val="11"/>
    <w:link w:val="6"/>
    <w:semiHidden/>
    <w:uiPriority w:val="9"/>
    <w:rPr>
      <w:rFonts w:eastAsiaTheme="majorEastAsia" w:cstheme="majorBidi"/>
      <w:color w:val="2F5597" w:themeColor="accent1" w:themeShade="BF"/>
      <w:kern w:val="2"/>
      <w:lang w:val="en-GB"/>
      <w14:ligatures w14:val="standardContextual"/>
    </w:rPr>
  </w:style>
  <w:style w:type="character" w:customStyle="1" w:styleId="30">
    <w:name w:val="Heading 6 Char"/>
    <w:basedOn w:val="11"/>
    <w:link w:val="7"/>
    <w:semiHidden/>
    <w:qFormat/>
    <w:uiPriority w:val="9"/>
    <w:rPr>
      <w:rFonts w:eastAsiaTheme="majorEastAsia" w:cstheme="majorBidi"/>
      <w:i/>
      <w:iCs/>
      <w:color w:val="595959" w:themeColor="text1" w:themeTint="A6"/>
      <w:kern w:val="2"/>
      <w:lang w:val="en-GB"/>
      <w14:textFill>
        <w14:solidFill>
          <w14:schemeClr w14:val="tx1">
            <w14:lumMod w14:val="65000"/>
            <w14:lumOff w14:val="35000"/>
          </w14:schemeClr>
        </w14:solidFill>
      </w14:textFill>
      <w14:ligatures w14:val="standardContextual"/>
    </w:rPr>
  </w:style>
  <w:style w:type="character" w:customStyle="1" w:styleId="31">
    <w:name w:val="Heading 7 Char"/>
    <w:basedOn w:val="11"/>
    <w:link w:val="8"/>
    <w:semiHidden/>
    <w:qFormat/>
    <w:uiPriority w:val="9"/>
    <w:rPr>
      <w:rFonts w:eastAsiaTheme="majorEastAsia" w:cstheme="majorBidi"/>
      <w:color w:val="595959" w:themeColor="text1" w:themeTint="A6"/>
      <w:kern w:val="2"/>
      <w:lang w:val="en-GB"/>
      <w14:textFill>
        <w14:solidFill>
          <w14:schemeClr w14:val="tx1">
            <w14:lumMod w14:val="65000"/>
            <w14:lumOff w14:val="35000"/>
          </w14:schemeClr>
        </w14:solidFill>
      </w14:textFill>
      <w14:ligatures w14:val="standardContextual"/>
    </w:rPr>
  </w:style>
  <w:style w:type="character" w:customStyle="1" w:styleId="32">
    <w:name w:val="Heading 8 Char"/>
    <w:basedOn w:val="11"/>
    <w:link w:val="9"/>
    <w:semiHidden/>
    <w:qFormat/>
    <w:uiPriority w:val="9"/>
    <w:rPr>
      <w:rFonts w:eastAsiaTheme="majorEastAsia" w:cstheme="majorBidi"/>
      <w:i/>
      <w:iCs/>
      <w:color w:val="262626" w:themeColor="text1" w:themeTint="D9"/>
      <w:kern w:val="2"/>
      <w:lang w:val="en-GB"/>
      <w14:textFill>
        <w14:solidFill>
          <w14:schemeClr w14:val="tx1">
            <w14:lumMod w14:val="85000"/>
            <w14:lumOff w14:val="15000"/>
          </w14:schemeClr>
        </w14:solidFill>
      </w14:textFill>
      <w14:ligatures w14:val="standardContextual"/>
    </w:rPr>
  </w:style>
  <w:style w:type="character" w:customStyle="1" w:styleId="33">
    <w:name w:val="Heading 9 Char"/>
    <w:basedOn w:val="11"/>
    <w:link w:val="10"/>
    <w:semiHidden/>
    <w:qFormat/>
    <w:uiPriority w:val="9"/>
    <w:rPr>
      <w:rFonts w:eastAsiaTheme="majorEastAsia" w:cstheme="majorBidi"/>
      <w:color w:val="262626" w:themeColor="text1" w:themeTint="D9"/>
      <w:kern w:val="2"/>
      <w:lang w:val="en-GB"/>
      <w14:textFill>
        <w14:solidFill>
          <w14:schemeClr w14:val="tx1">
            <w14:lumMod w14:val="85000"/>
            <w14:lumOff w14:val="15000"/>
          </w14:schemeClr>
        </w14:solidFill>
      </w14:textFill>
      <w14:ligatures w14:val="standardContextual"/>
    </w:rPr>
  </w:style>
  <w:style w:type="character" w:customStyle="1" w:styleId="34">
    <w:name w:val="Title Char"/>
    <w:basedOn w:val="11"/>
    <w:link w:val="21"/>
    <w:qFormat/>
    <w:uiPriority w:val="10"/>
    <w:rPr>
      <w:rFonts w:asciiTheme="majorHAnsi" w:hAnsiTheme="majorHAnsi" w:eastAsiaTheme="majorEastAsia" w:cstheme="majorBidi"/>
      <w:spacing w:val="-10"/>
      <w:kern w:val="28"/>
      <w:sz w:val="56"/>
      <w:szCs w:val="56"/>
      <w:lang w:val="en-GB"/>
      <w14:ligatures w14:val="standardContextual"/>
    </w:rPr>
  </w:style>
  <w:style w:type="character" w:customStyle="1" w:styleId="35">
    <w:name w:val="Subtitle Char"/>
    <w:basedOn w:val="11"/>
    <w:link w:val="19"/>
    <w:qFormat/>
    <w:uiPriority w:val="11"/>
    <w:rPr>
      <w:rFonts w:eastAsiaTheme="majorEastAsia" w:cstheme="majorBidi"/>
      <w:color w:val="595959" w:themeColor="text1" w:themeTint="A6"/>
      <w:spacing w:val="15"/>
      <w:kern w:val="2"/>
      <w:sz w:val="28"/>
      <w:szCs w:val="28"/>
      <w:lang w:val="en-GB"/>
      <w14:textFill>
        <w14:solidFill>
          <w14:schemeClr w14:val="tx1">
            <w14:lumMod w14:val="65000"/>
            <w14:lumOff w14:val="35000"/>
          </w14:schemeClr>
        </w14:solidFill>
      </w14:textFill>
      <w14:ligatures w14:val="standardContextua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Quote Char"/>
    <w:basedOn w:val="11"/>
    <w:link w:val="36"/>
    <w:qFormat/>
    <w:uiPriority w:val="29"/>
    <w:rPr>
      <w:rFonts w:ascii="Arial" w:hAnsi="Arial"/>
      <w:i/>
      <w:iCs/>
      <w:color w:val="404040" w:themeColor="text1" w:themeTint="BF"/>
      <w:kern w:val="2"/>
      <w:lang w:val="en-GB"/>
      <w14:textFill>
        <w14:solidFill>
          <w14:schemeClr w14:val="tx1">
            <w14:lumMod w14:val="75000"/>
            <w14:lumOff w14:val="25000"/>
          </w14:schemeClr>
        </w14:solidFill>
      </w14:textFill>
      <w14:ligatures w14:val="standardContextual"/>
    </w:rPr>
  </w:style>
  <w:style w:type="paragraph" w:styleId="38">
    <w:name w:val="List Paragraph"/>
    <w:basedOn w:val="1"/>
    <w:qFormat/>
    <w:uiPriority w:val="34"/>
    <w:pPr>
      <w:ind w:left="720"/>
      <w:contextualSpacing/>
    </w:pPr>
  </w:style>
  <w:style w:type="character" w:customStyle="1" w:styleId="39">
    <w:name w:val="Intense Emphasis"/>
    <w:basedOn w:val="11"/>
    <w:qFormat/>
    <w:uiPriority w:val="21"/>
    <w:rPr>
      <w:i/>
      <w:iCs/>
      <w:color w:val="2F5597" w:themeColor="accent1" w:themeShade="BF"/>
    </w:rPr>
  </w:style>
  <w:style w:type="paragraph" w:styleId="40">
    <w:name w:val="Intense Quote"/>
    <w:basedOn w:val="1"/>
    <w:next w:val="1"/>
    <w:link w:val="4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1">
    <w:name w:val="Intense Quote Char"/>
    <w:basedOn w:val="11"/>
    <w:link w:val="40"/>
    <w:qFormat/>
    <w:uiPriority w:val="30"/>
    <w:rPr>
      <w:rFonts w:ascii="Arial" w:hAnsi="Arial"/>
      <w:i/>
      <w:iCs/>
      <w:color w:val="2F5597" w:themeColor="accent1" w:themeShade="BF"/>
      <w:kern w:val="2"/>
      <w:lang w:val="en-GB"/>
      <w14:ligatures w14:val="standardContextual"/>
    </w:rPr>
  </w:style>
  <w:style w:type="character" w:customStyle="1" w:styleId="42">
    <w:name w:val="Intense Reference"/>
    <w:basedOn w:val="11"/>
    <w:qFormat/>
    <w:uiPriority w:val="32"/>
    <w:rPr>
      <w:b/>
      <w:bCs/>
      <w:smallCaps/>
      <w:color w:val="2F5597" w:themeColor="accent1" w:themeShade="BF"/>
      <w:spacing w:val="5"/>
    </w:rPr>
  </w:style>
  <w:style w:type="paragraph" w:customStyle="1" w:styleId="43">
    <w:name w:val="TOC Heading"/>
    <w:basedOn w:val="2"/>
    <w:next w:val="1"/>
    <w:unhideWhenUsed/>
    <w:qFormat/>
    <w:uiPriority w:val="39"/>
    <w:pPr>
      <w:spacing w:before="240" w:line="259" w:lineRule="auto"/>
      <w:outlineLvl w:val="9"/>
    </w:pPr>
    <w:rPr>
      <w:rFonts w:asciiTheme="majorHAnsi" w:hAnsiTheme="majorHAnsi" w:eastAsiaTheme="majorEastAsia" w:cstheme="majorBidi"/>
      <w:b w:val="0"/>
      <w:smallCaps/>
      <w:color w:val="2F5597" w:themeColor="accent1" w:themeShade="BF"/>
      <w:szCs w:val="32"/>
      <w:lang w:val="en-US" w:eastAsia="en-US"/>
    </w:rPr>
  </w:style>
  <w:style w:type="character" w:customStyle="1" w:styleId="44">
    <w:name w:val="Unresolved Mention"/>
    <w:basedOn w:val="11"/>
    <w:semiHidden/>
    <w:unhideWhenUsed/>
    <w:uiPriority w:val="99"/>
    <w:rPr>
      <w:color w:val="605E5C"/>
      <w:shd w:val="clear" w:color="auto" w:fill="E1DFDD"/>
    </w:rPr>
  </w:style>
  <w:style w:type="character" w:customStyle="1" w:styleId="45">
    <w:name w:val="Header Char"/>
    <w:basedOn w:val="11"/>
    <w:link w:val="15"/>
    <w:qFormat/>
    <w:uiPriority w:val="99"/>
    <w:rPr>
      <w:rFonts w:ascii="Arial" w:hAnsi="Arial"/>
      <w:kern w:val="2"/>
      <w:lang w:val="en-GB"/>
      <w14:ligatures w14:val="standardContextual"/>
    </w:rPr>
  </w:style>
  <w:style w:type="character" w:customStyle="1" w:styleId="46">
    <w:name w:val="Footer Char"/>
    <w:basedOn w:val="11"/>
    <w:link w:val="14"/>
    <w:qFormat/>
    <w:uiPriority w:val="99"/>
    <w:rPr>
      <w:rFonts w:ascii="Arial" w:hAnsi="Arial"/>
      <w:kern w:val="2"/>
      <w:lang w:val="en-GB"/>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6.emf"/><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6400</Words>
  <Characters>37568</Characters>
  <Lines>708</Lines>
  <Paragraphs>293</Paragraphs>
  <TotalTime>1</TotalTime>
  <ScaleCrop>false</ScaleCrop>
  <LinksUpToDate>false</LinksUpToDate>
  <CharactersWithSpaces>43675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2025-05-02T05:13:00Z</dcterms:created>
  <dc:creator>Nazifa Sultana Ohia</dc:creator>
  <cp:lastModifiedBy>Maggie</cp:lastModifiedBy>
  <dcterms:modified xsi:type="dcterms:W3CDTF">2026-03-17T11:25:04Z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aa8003e0-e674-497d-8061-52d7be3b61bf</vt:lpwstr>
  </property>
  <property fmtid="{D5CDD505-2E9C-101B-9397-08002B2CF9AE}" pid="3" name="KSOProductBuildVer">
    <vt:lpwstr>1033-12.2.0.23196</vt:lpwstr>
  </property>
  <property fmtid="{D5CDD505-2E9C-101B-9397-08002B2CF9AE}" pid="4" name="ICV">
    <vt:lpwstr>AC30590F833A4A468EDDE9E5F183DB9F_12</vt:lpwstr>
  </property>
</Properties>
</file>