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FCC84A" w14:textId="7FC83CA2" w:rsidR="00032656" w:rsidRPr="00032656" w:rsidRDefault="00032656" w:rsidP="00843725">
      <w:pPr>
        <w:jc w:val="center"/>
        <w:rPr>
          <w:b/>
          <w:bCs/>
        </w:rPr>
      </w:pPr>
      <w:r>
        <w:rPr>
          <w:b/>
          <w:bCs/>
        </w:rPr>
        <w:t>Discuss the issue of authenticity in relation to battlefield/military memorials.</w:t>
      </w:r>
    </w:p>
    <w:p w14:paraId="1F0D3D65" w14:textId="77777777" w:rsidR="00032656" w:rsidRDefault="00032656" w:rsidP="00325450">
      <w:pPr>
        <w:ind w:firstLine="720"/>
      </w:pPr>
    </w:p>
    <w:p w14:paraId="08CD797A" w14:textId="70C70B66" w:rsidR="00325450" w:rsidRDefault="00325450" w:rsidP="00325450">
      <w:pPr>
        <w:ind w:firstLine="720"/>
      </w:pPr>
      <w:r>
        <w:t xml:space="preserve">The concept of authenticity is one hotly debated yet central to heritage studies. The feeling of the ‘real thing’ has the power to give meaning and tangibility to sites and objects that no other concept can bring. The battlefield and its memorial </w:t>
      </w:r>
      <w:r w:rsidR="00E3118F">
        <w:t>are</w:t>
      </w:r>
      <w:r>
        <w:t xml:space="preserve"> no different. Authenticity permeates the way that we </w:t>
      </w:r>
      <w:proofErr w:type="gramStart"/>
      <w:r w:rsidR="00E3118F">
        <w:t>view</w:t>
      </w:r>
      <w:proofErr w:type="gramEnd"/>
      <w:r>
        <w:t xml:space="preserve"> and experience past conflicts and monuments and memorials imbued with this authenticity are tools for memory and narrative creation. This essay will attempt to unravel the concept of authenticity </w:t>
      </w:r>
      <w:r w:rsidR="00B54EB5">
        <w:t>with</w:t>
      </w:r>
      <w:r>
        <w:t xml:space="preserve"> </w:t>
      </w:r>
      <w:r w:rsidR="00B559DB">
        <w:t>its</w:t>
      </w:r>
      <w:r>
        <w:t xml:space="preserve"> many facets and interpretations before assessing its relevance and importance </w:t>
      </w:r>
      <w:r w:rsidR="00BD1EDD">
        <w:t xml:space="preserve">within </w:t>
      </w:r>
      <w:r>
        <w:t xml:space="preserve">battlefield tourism and military memorials. </w:t>
      </w:r>
      <w:r w:rsidR="00B559DB">
        <w:t>War memorials offer a tool for exploring how people and the material world are mutually constitutive, both anchoring pre-established memories, and promoting their own societal remembrances.</w:t>
      </w:r>
      <w:r w:rsidR="00B559DB">
        <w:rPr>
          <w:rStyle w:val="FootnoteReference"/>
        </w:rPr>
        <w:footnoteReference w:id="1"/>
      </w:r>
      <w:r w:rsidR="00B559DB">
        <w:t xml:space="preserve"> </w:t>
      </w:r>
      <w:r w:rsidR="00E3118F">
        <w:t>It is important to establish the role authenticity has in this process</w:t>
      </w:r>
      <w:r w:rsidR="00C052F5">
        <w:t xml:space="preserve">; </w:t>
      </w:r>
      <w:proofErr w:type="gramStart"/>
      <w:r w:rsidR="00C052F5">
        <w:t>w</w:t>
      </w:r>
      <w:r w:rsidR="00E3118F">
        <w:t>hether or not</w:t>
      </w:r>
      <w:proofErr w:type="gramEnd"/>
      <w:r w:rsidR="00E3118F">
        <w:t xml:space="preserve"> authenticity in the heritage sector is contingent on originality like Walter Benjamin first proposed, or whether more complex modern constructivist theories apply. This essay will cross reference theory with </w:t>
      </w:r>
      <w:proofErr w:type="gramStart"/>
      <w:r w:rsidR="00E3118F">
        <w:t>a number of</w:t>
      </w:r>
      <w:proofErr w:type="gramEnd"/>
      <w:r w:rsidR="00E3118F">
        <w:t xml:space="preserve"> battlefield sites and their respective memorials before drawing to a positive conclusion</w:t>
      </w:r>
      <w:r w:rsidR="00C052F5">
        <w:t xml:space="preserve"> about the issue of authenticity </w:t>
      </w:r>
      <w:r w:rsidR="00532943">
        <w:t>in relation to battlefield and military memorials</w:t>
      </w:r>
      <w:r w:rsidR="00E3118F">
        <w:t>.</w:t>
      </w:r>
    </w:p>
    <w:p w14:paraId="237706F8" w14:textId="77777777" w:rsidR="00E3118F" w:rsidRDefault="00E3118F" w:rsidP="00E3118F"/>
    <w:p w14:paraId="7705DAB2" w14:textId="29292932" w:rsidR="009E65ED" w:rsidRDefault="00E3118F" w:rsidP="00E3118F">
      <w:r>
        <w:tab/>
        <w:t>In any discussion about authenticity, it is first paramount to discuss the term itself. In his seminal essay on the subject, philosopher Walter Benjamin defined authenticity a</w:t>
      </w:r>
      <w:r w:rsidR="00C32564">
        <w:t>s</w:t>
      </w:r>
      <w:r>
        <w:t xml:space="preserve"> the unique presence of the original</w:t>
      </w:r>
      <w:r w:rsidR="00C32564">
        <w:t xml:space="preserve">, </w:t>
      </w:r>
      <w:r>
        <w:t>describ</w:t>
      </w:r>
      <w:r w:rsidR="00C32564">
        <w:t xml:space="preserve">ing </w:t>
      </w:r>
      <w:r>
        <w:t>the original as a prerequisite for authenticity.</w:t>
      </w:r>
      <w:r>
        <w:rPr>
          <w:rStyle w:val="FootnoteReference"/>
        </w:rPr>
        <w:footnoteReference w:id="2"/>
      </w:r>
      <w:r w:rsidR="00244079">
        <w:t xml:space="preserve"> He goes on to note that mechanical reproduction not only can not possess this quality but </w:t>
      </w:r>
      <w:r w:rsidR="00C32564">
        <w:t xml:space="preserve">that its existence </w:t>
      </w:r>
      <w:r w:rsidR="00244079">
        <w:t>devalues the authentic ‘aura’ of the original itself.</w:t>
      </w:r>
      <w:r w:rsidR="00244079">
        <w:rPr>
          <w:rStyle w:val="FootnoteReference"/>
        </w:rPr>
        <w:footnoteReference w:id="3"/>
      </w:r>
      <w:r w:rsidR="00244079">
        <w:t xml:space="preserve"> Within the field of heritage this theory is problematic for </w:t>
      </w:r>
      <w:proofErr w:type="gramStart"/>
      <w:r w:rsidR="00244079">
        <w:t>a number of</w:t>
      </w:r>
      <w:proofErr w:type="gramEnd"/>
      <w:r w:rsidR="00244079">
        <w:t xml:space="preserve"> reasons. Historical ‘accuracy’ is an unattainable goal for the academic, and especially so</w:t>
      </w:r>
      <w:r w:rsidR="00C32564">
        <w:t xml:space="preserve"> within</w:t>
      </w:r>
      <w:r w:rsidR="00244079">
        <w:t xml:space="preserve"> the presentation of popular history.</w:t>
      </w:r>
      <w:r w:rsidR="00244079">
        <w:rPr>
          <w:rStyle w:val="FootnoteReference"/>
        </w:rPr>
        <w:footnoteReference w:id="4"/>
      </w:r>
      <w:r w:rsidR="0019696D">
        <w:t xml:space="preserve"> </w:t>
      </w:r>
      <w:r w:rsidR="00244079">
        <w:t>What is ‘authenticity’ when it comes to battlefield sites? Is it possible for a memorial, constructed by necessity after the battle has ceased, to be imbued with the potency of an authentic aura?</w:t>
      </w:r>
      <w:r w:rsidR="0019696D">
        <w:t xml:space="preserve"> The quandary the authenticity debate raises for heritage is considerabl</w:t>
      </w:r>
      <w:r w:rsidR="00C32564">
        <w:t>e</w:t>
      </w:r>
      <w:r w:rsidR="0019696D">
        <w:t xml:space="preserve">. Heritage sites must engage in forms of mechanical reproduction </w:t>
      </w:r>
      <w:proofErr w:type="gramStart"/>
      <w:r w:rsidR="0019696D">
        <w:t>in order to</w:t>
      </w:r>
      <w:proofErr w:type="gramEnd"/>
      <w:r w:rsidR="0019696D">
        <w:t xml:space="preserve"> promote themselves, however according to Benjamin’s thesis they lose their own potency through this reproduction.</w:t>
      </w:r>
      <w:r w:rsidR="0019696D">
        <w:rPr>
          <w:rStyle w:val="FootnoteReference"/>
        </w:rPr>
        <w:footnoteReference w:id="5"/>
      </w:r>
      <w:r w:rsidR="0019696D">
        <w:t xml:space="preserve"> </w:t>
      </w:r>
    </w:p>
    <w:p w14:paraId="4661F3C8" w14:textId="77777777" w:rsidR="009E65ED" w:rsidRDefault="009E65ED" w:rsidP="00E3118F"/>
    <w:p w14:paraId="393E4D7E" w14:textId="6E228306" w:rsidR="00ED1FE0" w:rsidRDefault="009E65ED" w:rsidP="00E3118F">
      <w:r>
        <w:t xml:space="preserve">This inconsistency has fuelled an academic debate </w:t>
      </w:r>
      <w:r w:rsidR="00ED1FE0">
        <w:t>between constructivist and materialist perspectives.</w:t>
      </w:r>
      <w:r w:rsidR="00ED1FE0">
        <w:rPr>
          <w:rStyle w:val="FootnoteReference"/>
        </w:rPr>
        <w:footnoteReference w:id="6"/>
      </w:r>
      <w:r w:rsidR="00352EC5">
        <w:t xml:space="preserve"> Conventional materialist approaches, following Benjamin, argue that there is a discernible basis for authenticity that rests on the objects material substance; that an objects quality of being of </w:t>
      </w:r>
      <w:r w:rsidR="00D150B9">
        <w:t xml:space="preserve">the past is contained in its construction and </w:t>
      </w:r>
      <w:r w:rsidR="005F210B">
        <w:t xml:space="preserve">is </w:t>
      </w:r>
      <w:r w:rsidR="00D150B9">
        <w:t>an inalienable condition of it.</w:t>
      </w:r>
      <w:r w:rsidR="00D150B9">
        <w:rPr>
          <w:rStyle w:val="FootnoteReference"/>
        </w:rPr>
        <w:footnoteReference w:id="7"/>
      </w:r>
      <w:r w:rsidR="00D150B9">
        <w:t xml:space="preserve"> </w:t>
      </w:r>
      <w:r w:rsidR="00B45758">
        <w:t xml:space="preserve">This does apply to battlefield sites, </w:t>
      </w:r>
      <w:r w:rsidR="005F210B">
        <w:t>especially</w:t>
      </w:r>
      <w:r w:rsidR="00B45758">
        <w:t xml:space="preserve"> those associated with a particular landscape. The cratered </w:t>
      </w:r>
      <w:r w:rsidR="005F210B">
        <w:t>fields</w:t>
      </w:r>
      <w:r w:rsidR="00B45758">
        <w:t xml:space="preserve"> of </w:t>
      </w:r>
      <w:r w:rsidR="00C25ABC">
        <w:t xml:space="preserve">France and Belgium left by the First World War continue to inspire </w:t>
      </w:r>
      <w:r w:rsidR="00C25ABC">
        <w:lastRenderedPageBreak/>
        <w:t>memory through their very existence. The forests of Verdun, kept as they are by the ‘zone rouge’</w:t>
      </w:r>
      <w:r w:rsidR="00D90379">
        <w:t>, are imbued with a special potency</w:t>
      </w:r>
      <w:r w:rsidR="00FB25FB">
        <w:t>. Echoes of the past keep alive the memories of conflict like living monuments.</w:t>
      </w:r>
      <w:r w:rsidR="00FB25FB">
        <w:rPr>
          <w:rStyle w:val="FootnoteReference"/>
        </w:rPr>
        <w:footnoteReference w:id="8"/>
      </w:r>
      <w:r w:rsidR="00FB25FB">
        <w:t xml:space="preserve"> For intentiona</w:t>
      </w:r>
      <w:r w:rsidR="00437177">
        <w:t>l</w:t>
      </w:r>
      <w:r w:rsidR="00FB25FB">
        <w:t>l</w:t>
      </w:r>
      <w:r w:rsidR="00437177">
        <w:t>y constructed</w:t>
      </w:r>
      <w:r w:rsidR="00FB25FB">
        <w:t xml:space="preserve"> monuments </w:t>
      </w:r>
      <w:r w:rsidR="00237690">
        <w:t>though</w:t>
      </w:r>
      <w:r w:rsidR="00FB25FB">
        <w:t xml:space="preserve">, this interpretation of authenticity has less to offer. </w:t>
      </w:r>
    </w:p>
    <w:p w14:paraId="32176257" w14:textId="77777777" w:rsidR="00437177" w:rsidRDefault="00437177" w:rsidP="00E3118F"/>
    <w:p w14:paraId="003B181C" w14:textId="76423057" w:rsidR="00437177" w:rsidRDefault="00437177" w:rsidP="00E3118F">
      <w:r>
        <w:tab/>
        <w:t xml:space="preserve">It is arguable however that this </w:t>
      </w:r>
      <w:r w:rsidR="00D07165">
        <w:t xml:space="preserve">materialist </w:t>
      </w:r>
      <w:r>
        <w:t>perspective is self-defeating. Benjamin himself states that the uniqueness of a work of art is inseparable from it being embedded in the fabric of tradition.</w:t>
      </w:r>
      <w:r>
        <w:rPr>
          <w:rStyle w:val="FootnoteReference"/>
        </w:rPr>
        <w:footnoteReference w:id="9"/>
      </w:r>
      <w:r>
        <w:t xml:space="preserve"> </w:t>
      </w:r>
      <w:r w:rsidR="007863BF">
        <w:t xml:space="preserve">Boris </w:t>
      </w:r>
      <w:proofErr w:type="spellStart"/>
      <w:r w:rsidR="007863BF">
        <w:t>Groys</w:t>
      </w:r>
      <w:proofErr w:type="spellEnd"/>
      <w:r w:rsidR="007863BF">
        <w:t xml:space="preserve"> goes further</w:t>
      </w:r>
      <w:r w:rsidR="00CA443A">
        <w:t>, arguing that the object removed from its material flow becomes a copy of itself, losing its aura of originality that is its original place in space and time.</w:t>
      </w:r>
      <w:r w:rsidR="00CA443A">
        <w:rPr>
          <w:rStyle w:val="FootnoteReference"/>
        </w:rPr>
        <w:footnoteReference w:id="10"/>
      </w:r>
      <w:r w:rsidR="00CA443A">
        <w:t xml:space="preserve"> Battlefield sites by their very nature</w:t>
      </w:r>
      <w:r w:rsidR="0047156E">
        <w:t xml:space="preserve"> as the site of an event</w:t>
      </w:r>
      <w:r w:rsidR="00CA443A">
        <w:t xml:space="preserve"> are immediately removed from their material flow. Despite this, the authentic power of the site ‘where it happened’, is undeniable. Thus, within the context of battlefield sites and monuments, </w:t>
      </w:r>
      <w:r w:rsidR="00C45F0A">
        <w:t>a constructivist position is necessary to take</w:t>
      </w:r>
      <w:r w:rsidR="00CA443A">
        <w:t>.</w:t>
      </w:r>
    </w:p>
    <w:p w14:paraId="1510D0F7" w14:textId="77777777" w:rsidR="00FB25FB" w:rsidRDefault="00FB25FB" w:rsidP="00E3118F"/>
    <w:p w14:paraId="03B50F8A" w14:textId="75047B7A" w:rsidR="00FB25FB" w:rsidRDefault="00CA443A" w:rsidP="00FB25FB">
      <w:pPr>
        <w:ind w:firstLine="720"/>
      </w:pPr>
      <w:r>
        <w:t>More r</w:t>
      </w:r>
      <w:r w:rsidR="00FB25FB">
        <w:t>ecent scholarship relating to authenticity ha</w:t>
      </w:r>
      <w:r w:rsidR="00237690">
        <w:t>s</w:t>
      </w:r>
      <w:r>
        <w:t xml:space="preserve"> </w:t>
      </w:r>
      <w:r w:rsidR="00FB25FB">
        <w:t xml:space="preserve">approached from </w:t>
      </w:r>
      <w:r>
        <w:t>the</w:t>
      </w:r>
      <w:r w:rsidR="00FB25FB">
        <w:t xml:space="preserve"> constructivist perspective; here authenticity is not considered inherent to the object but comes to life through specific interactions between people and material things.</w:t>
      </w:r>
      <w:r w:rsidR="00FB25FB">
        <w:rPr>
          <w:rStyle w:val="FootnoteReference"/>
        </w:rPr>
        <w:footnoteReference w:id="11"/>
      </w:r>
      <w:r w:rsidR="00694789">
        <w:t xml:space="preserve"> According to the constructivist point of view, authenticity is variable, negotiable, and relative to cultural and social contexts.</w:t>
      </w:r>
      <w:r w:rsidR="00694789">
        <w:rPr>
          <w:rStyle w:val="FootnoteReference"/>
        </w:rPr>
        <w:footnoteReference w:id="12"/>
      </w:r>
      <w:r w:rsidR="00437177">
        <w:t xml:space="preserve"> Through this interpretation</w:t>
      </w:r>
      <w:r w:rsidR="0098425D">
        <w:t xml:space="preserve"> a more nuanced approach is possible. Latour and Lowe critique Benjamin’s theory that </w:t>
      </w:r>
      <w:r w:rsidR="00AD2EFD">
        <w:t xml:space="preserve">original </w:t>
      </w:r>
      <w:r w:rsidR="0098425D">
        <w:t>aura is diminished by a plurality of facsimiles.</w:t>
      </w:r>
      <w:r w:rsidR="0098425D">
        <w:rPr>
          <w:rStyle w:val="FootnoteReference"/>
        </w:rPr>
        <w:footnoteReference w:id="13"/>
      </w:r>
      <w:r w:rsidR="0098425D">
        <w:t xml:space="preserve"> They argue instead that aura </w:t>
      </w:r>
      <w:r w:rsidR="007B0502">
        <w:t>‘</w:t>
      </w:r>
      <w:r w:rsidR="0098425D">
        <w:t>migrates</w:t>
      </w:r>
      <w:r w:rsidR="007B0502">
        <w:t>’</w:t>
      </w:r>
      <w:r w:rsidR="00AD2EFD">
        <w:t xml:space="preserve"> and that</w:t>
      </w:r>
      <w:r w:rsidR="0098425D">
        <w:t xml:space="preserve"> mechanical reproduction </w:t>
      </w:r>
      <w:r w:rsidR="007B0502">
        <w:t>enhances the authenticity of the object.</w:t>
      </w:r>
      <w:r w:rsidR="007B0502">
        <w:rPr>
          <w:rStyle w:val="FootnoteReference"/>
        </w:rPr>
        <w:footnoteReference w:id="14"/>
      </w:r>
      <w:r w:rsidR="007B0502">
        <w:t xml:space="preserve"> T</w:t>
      </w:r>
      <w:r w:rsidR="001C7BF2">
        <w:t xml:space="preserve">hey liken the object to a river and its tributaries; the object has a ‘trajectory’ through which </w:t>
      </w:r>
      <w:r w:rsidR="00C846CD">
        <w:t>its</w:t>
      </w:r>
      <w:r w:rsidR="001C7BF2">
        <w:t xml:space="preserve"> aura migrates.</w:t>
      </w:r>
      <w:r w:rsidR="001C7BF2">
        <w:rPr>
          <w:rStyle w:val="FootnoteReference"/>
        </w:rPr>
        <w:footnoteReference w:id="15"/>
      </w:r>
      <w:r w:rsidR="001C7BF2">
        <w:t xml:space="preserve"> Good reproductions are vessels in which original aura can be preserved. This concept of the migration of aura is paramount when it comes to the battlefield site and even more so for monuments.</w:t>
      </w:r>
      <w:r w:rsidR="00D13CC0">
        <w:t xml:space="preserve"> </w:t>
      </w:r>
      <w:r w:rsidR="001C7BF2">
        <w:t>A powerful monument</w:t>
      </w:r>
      <w:r w:rsidR="00D13CC0">
        <w:t xml:space="preserve"> provides a focal point for memory and enhances the aura of the site by providing a more tangible link.</w:t>
      </w:r>
      <w:r w:rsidR="00F94DD3">
        <w:t xml:space="preserve"> The Bosworth Battlefield Centre, despite no longer even standing on the agreed battlefield site, continues to host an annual commemoration led by the Richard III society.</w:t>
      </w:r>
      <w:r w:rsidR="00F94DD3">
        <w:rPr>
          <w:rStyle w:val="FootnoteReference"/>
        </w:rPr>
        <w:footnoteReference w:id="16"/>
      </w:r>
    </w:p>
    <w:p w14:paraId="4F21E5B3" w14:textId="77777777" w:rsidR="00D13CC0" w:rsidRDefault="00D13CC0" w:rsidP="00FB25FB">
      <w:pPr>
        <w:ind w:firstLine="720"/>
      </w:pPr>
    </w:p>
    <w:p w14:paraId="25999AB4" w14:textId="374077C8" w:rsidR="00D13CC0" w:rsidRDefault="00D13CC0" w:rsidP="00D13CC0">
      <w:pPr>
        <w:ind w:firstLine="720"/>
      </w:pPr>
      <w:r>
        <w:t>In his discussion on numinous objects, Latham references the importance of the object link in its tangible, physical, and symbolic form.</w:t>
      </w:r>
      <w:r>
        <w:rPr>
          <w:rStyle w:val="FootnoteReference"/>
        </w:rPr>
        <w:footnoteReference w:id="17"/>
      </w:r>
      <w:r>
        <w:t xml:space="preserve"> The object link acts as a trigger, sparking perceptions, thoughts, and feelings, connecting the visitor to the past.</w:t>
      </w:r>
      <w:r w:rsidR="00D1246C">
        <w:rPr>
          <w:rStyle w:val="FootnoteReference"/>
        </w:rPr>
        <w:footnoteReference w:id="18"/>
      </w:r>
      <w:r>
        <w:t xml:space="preserve"> </w:t>
      </w:r>
      <w:r>
        <w:t>One of the issues with battle sites is that, unlike a ruin, no obvious material clues remain.</w:t>
      </w:r>
      <w:r>
        <w:t xml:space="preserve"> </w:t>
      </w:r>
      <w:r w:rsidR="00F94DD3">
        <w:t xml:space="preserve">Cornelius </w:t>
      </w:r>
      <w:proofErr w:type="spellStart"/>
      <w:r w:rsidR="00F94DD3">
        <w:t>Holtorf</w:t>
      </w:r>
      <w:proofErr w:type="spellEnd"/>
      <w:r w:rsidR="00D1246C">
        <w:t>, in an attempt to marry the constructivist and materialist perspectives,</w:t>
      </w:r>
      <w:r w:rsidR="00F679DE">
        <w:t xml:space="preserve"> </w:t>
      </w:r>
      <w:r w:rsidR="00D1246C">
        <w:t xml:space="preserve">argues that, rather than </w:t>
      </w:r>
      <w:r w:rsidR="00D1246C">
        <w:lastRenderedPageBreak/>
        <w:t>residing in the object itself, authenticity resides in an objects ‘pastness.’</w:t>
      </w:r>
      <w:r w:rsidR="00D1246C">
        <w:rPr>
          <w:rStyle w:val="FootnoteReference"/>
        </w:rPr>
        <w:footnoteReference w:id="19"/>
      </w:r>
      <w:r w:rsidR="00D1246C">
        <w:t xml:space="preserve"> </w:t>
      </w:r>
      <w:r w:rsidR="007D5AFB">
        <w:t>Thi</w:t>
      </w:r>
      <w:r w:rsidR="00D1246C">
        <w:t>s is a combination of material clues, correspondence with audience expectations, and a plausible narrative, that convey on the object the quality of being ‘of the past</w:t>
      </w:r>
      <w:r w:rsidR="005D4E1F">
        <w:t>.</w:t>
      </w:r>
      <w:r w:rsidR="00D1246C">
        <w:t>’</w:t>
      </w:r>
      <w:r w:rsidR="00D1246C">
        <w:rPr>
          <w:rStyle w:val="FootnoteReference"/>
        </w:rPr>
        <w:footnoteReference w:id="20"/>
      </w:r>
      <w:r w:rsidR="00D1246C">
        <w:t xml:space="preserve"> </w:t>
      </w:r>
      <w:r w:rsidR="00AF3265">
        <w:t xml:space="preserve">Through these clues </w:t>
      </w:r>
      <w:proofErr w:type="spellStart"/>
      <w:r w:rsidR="00AF3265">
        <w:t>Holtorf</w:t>
      </w:r>
      <w:proofErr w:type="spellEnd"/>
      <w:r w:rsidR="00AF3265">
        <w:t xml:space="preserve"> argues that a sense of pastness and therefore authenticity can be mechanically created.</w:t>
      </w:r>
      <w:r w:rsidR="00AF3265">
        <w:rPr>
          <w:rStyle w:val="FootnoteReference"/>
        </w:rPr>
        <w:footnoteReference w:id="21"/>
      </w:r>
      <w:r w:rsidR="00AF3265">
        <w:t xml:space="preserve"> This is also the case for a memorial. With the lack of material clues</w:t>
      </w:r>
      <w:r w:rsidR="006733BF">
        <w:t xml:space="preserve">, narrative, or </w:t>
      </w:r>
      <w:proofErr w:type="gramStart"/>
      <w:r w:rsidR="006733BF">
        <w:t>a</w:t>
      </w:r>
      <w:proofErr w:type="gramEnd"/>
      <w:r w:rsidR="006733BF">
        <w:t xml:space="preserve"> correspondence with audience expectations, that is the case with most battlefield sites, the monument or memorial can be used to satisfy all of these in one. Thus, a sense of authenticity is placed onto the site without it necessarily having to be from the era itself and Latham’s ‘object link’ is created.</w:t>
      </w:r>
    </w:p>
    <w:p w14:paraId="7E5676ED" w14:textId="77777777" w:rsidR="006733BF" w:rsidRDefault="006733BF" w:rsidP="00D13CC0">
      <w:pPr>
        <w:ind w:firstLine="720"/>
      </w:pPr>
    </w:p>
    <w:p w14:paraId="035E5409" w14:textId="59C833D9" w:rsidR="00DB29CE" w:rsidRDefault="006733BF" w:rsidP="00D13CC0">
      <w:pPr>
        <w:ind w:firstLine="720"/>
      </w:pPr>
      <w:r>
        <w:t xml:space="preserve">Cameron and Gatewood describe people’s motivations for visiting heritage sites as </w:t>
      </w:r>
      <w:r w:rsidR="00B85B68">
        <w:t xml:space="preserve">being </w:t>
      </w:r>
      <w:r>
        <w:t xml:space="preserve">partly driven by a desire to seek a deeper and more meaningful connection with a place or </w:t>
      </w:r>
      <w:proofErr w:type="gramStart"/>
      <w:r>
        <w:t>time period</w:t>
      </w:r>
      <w:proofErr w:type="gramEnd"/>
      <w:r w:rsidR="00B85B68">
        <w:t xml:space="preserve">; </w:t>
      </w:r>
      <w:r>
        <w:t xml:space="preserve">they use the Latin term </w:t>
      </w:r>
      <w:r>
        <w:rPr>
          <w:i/>
          <w:iCs/>
        </w:rPr>
        <w:t>numen</w:t>
      </w:r>
      <w:r>
        <w:t xml:space="preserve"> to describe this.</w:t>
      </w:r>
      <w:r>
        <w:rPr>
          <w:rStyle w:val="FootnoteReference"/>
        </w:rPr>
        <w:footnoteReference w:id="22"/>
      </w:r>
      <w:r w:rsidR="00E415A5">
        <w:t xml:space="preserve"> There </w:t>
      </w:r>
      <w:r w:rsidR="002B245A">
        <w:t>are perhaps few</w:t>
      </w:r>
      <w:r w:rsidR="00B71DD9">
        <w:t xml:space="preserve"> greater site</w:t>
      </w:r>
      <w:r w:rsidR="002B245A">
        <w:t>s</w:t>
      </w:r>
      <w:r w:rsidR="00B71DD9">
        <w:t xml:space="preserve"> for numinous </w:t>
      </w:r>
      <w:r w:rsidR="002B245A">
        <w:t>experiences</w:t>
      </w:r>
      <w:r w:rsidR="00B71DD9">
        <w:t xml:space="preserve"> than th</w:t>
      </w:r>
      <w:r w:rsidR="002B245A">
        <w:t>ose</w:t>
      </w:r>
      <w:r w:rsidR="00B71DD9">
        <w:t xml:space="preserve"> of military memorial</w:t>
      </w:r>
      <w:r w:rsidR="002B245A">
        <w:t>s</w:t>
      </w:r>
      <w:r w:rsidR="00B71DD9">
        <w:t xml:space="preserve">. Visiting a memorial </w:t>
      </w:r>
      <w:r w:rsidR="00885833">
        <w:t>entails a visceral and sensuous experience, an experience that good memorials deliberately cultivate.</w:t>
      </w:r>
      <w:r w:rsidR="00885833">
        <w:rPr>
          <w:rStyle w:val="FootnoteReference"/>
        </w:rPr>
        <w:footnoteReference w:id="23"/>
      </w:r>
      <w:r w:rsidR="003E1AA2">
        <w:t xml:space="preserve"> </w:t>
      </w:r>
      <w:r w:rsidR="009D65D4">
        <w:t>The physical construction and modification of the landscape</w:t>
      </w:r>
      <w:r w:rsidR="009351BF">
        <w:t>, enables the escalation of feeling and can be intertwined with socially guided suggestions related to the event.</w:t>
      </w:r>
      <w:r w:rsidR="009351BF">
        <w:rPr>
          <w:rStyle w:val="FootnoteReference"/>
        </w:rPr>
        <w:footnoteReference w:id="24"/>
      </w:r>
      <w:r w:rsidR="00C36163">
        <w:t xml:space="preserve"> </w:t>
      </w:r>
      <w:r w:rsidR="00C7633F">
        <w:t xml:space="preserve">This is particularly the case for monuments that commemorate events within the recent cultural memory. </w:t>
      </w:r>
      <w:r w:rsidR="006C0847">
        <w:t xml:space="preserve">Memorials relating to the second world war </w:t>
      </w:r>
      <w:r w:rsidR="004A7C96">
        <w:t xml:space="preserve">and the holocaust </w:t>
      </w:r>
      <w:r w:rsidR="006C0847">
        <w:t>are particularly</w:t>
      </w:r>
      <w:r w:rsidR="0019243A">
        <w:t xml:space="preserve"> potent at evoking emotive reactions</w:t>
      </w:r>
      <w:r w:rsidR="004A7C96">
        <w:t>. For older monuments however this is less the case.</w:t>
      </w:r>
      <w:r w:rsidR="003831AB">
        <w:t xml:space="preserve"> In an </w:t>
      </w:r>
      <w:r w:rsidR="00463A99">
        <w:t>interview-based</w:t>
      </w:r>
      <w:r w:rsidR="003831AB">
        <w:t xml:space="preserve"> study focussing on battlefield tourism to the sites of Waterloo, Hastings, Culloden moor, Bannockburn, and Bosworth, the deep feeling of </w:t>
      </w:r>
      <w:r w:rsidR="003831AB">
        <w:rPr>
          <w:i/>
          <w:iCs/>
        </w:rPr>
        <w:t>numen</w:t>
      </w:r>
      <w:r w:rsidR="003831AB">
        <w:t xml:space="preserve"> w</w:t>
      </w:r>
      <w:r w:rsidR="00BE5F48">
        <w:t>as not a widely held experience</w:t>
      </w:r>
      <w:r w:rsidR="00C87CCB">
        <w:t xml:space="preserve"> or draw</w:t>
      </w:r>
      <w:r w:rsidR="00BE5F48">
        <w:t>.</w:t>
      </w:r>
      <w:r w:rsidR="00463A99">
        <w:rPr>
          <w:rStyle w:val="FootnoteReference"/>
        </w:rPr>
        <w:footnoteReference w:id="25"/>
      </w:r>
      <w:r w:rsidR="00463A99">
        <w:t xml:space="preserve"> </w:t>
      </w:r>
      <w:r w:rsidR="0098026A">
        <w:t>The reason the study suggests for this however is tourism itself</w:t>
      </w:r>
      <w:r w:rsidR="001E55D4">
        <w:t xml:space="preserve"> and overcrowding at the sites</w:t>
      </w:r>
      <w:r w:rsidR="00EE4CA3">
        <w:t xml:space="preserve"> leading to a loss of ambience</w:t>
      </w:r>
      <w:r w:rsidR="001E55D4">
        <w:t>.</w:t>
      </w:r>
      <w:r w:rsidR="00EE4CA3">
        <w:rPr>
          <w:rStyle w:val="FootnoteReference"/>
        </w:rPr>
        <w:footnoteReference w:id="26"/>
      </w:r>
      <w:r w:rsidR="00463A99">
        <w:t xml:space="preserve"> </w:t>
      </w:r>
      <w:r w:rsidR="005378E6">
        <w:t>The emotions produced by a site are on</w:t>
      </w:r>
      <w:r w:rsidR="002A06FB">
        <w:t xml:space="preserve">ly one function of affect; they must be informed by, and supportive of, the tactile </w:t>
      </w:r>
      <w:r w:rsidR="00CF0B3D">
        <w:t>experience of a site</w:t>
      </w:r>
      <w:r w:rsidR="00B10666">
        <w:t xml:space="preserve"> </w:t>
      </w:r>
      <w:r w:rsidR="005104F9">
        <w:t>as it effects historical understanding.</w:t>
      </w:r>
      <w:r w:rsidR="005104F9">
        <w:rPr>
          <w:rStyle w:val="FootnoteReference"/>
        </w:rPr>
        <w:footnoteReference w:id="27"/>
      </w:r>
      <w:r w:rsidR="00445271">
        <w:t xml:space="preserve"> </w:t>
      </w:r>
      <w:r w:rsidR="00702011">
        <w:t>When the tactile environment</w:t>
      </w:r>
      <w:r w:rsidR="00ED4D6F">
        <w:t xml:space="preserve"> is that of a tourist space, the contemplative </w:t>
      </w:r>
      <w:r w:rsidR="002C683E">
        <w:t>and ‘authentic’ connection to the past is lost.</w:t>
      </w:r>
      <w:r w:rsidR="00A76460">
        <w:t xml:space="preserve"> </w:t>
      </w:r>
    </w:p>
    <w:p w14:paraId="7C8CA51F" w14:textId="77777777" w:rsidR="00DB29CE" w:rsidRDefault="00DB29CE" w:rsidP="00D13CC0">
      <w:pPr>
        <w:ind w:firstLine="720"/>
      </w:pPr>
    </w:p>
    <w:p w14:paraId="55880B73" w14:textId="513E95C6" w:rsidR="00F4267B" w:rsidRDefault="00DB29CE" w:rsidP="00D13CC0">
      <w:pPr>
        <w:ind w:firstLine="720"/>
      </w:pPr>
      <w:r>
        <w:t>This again places</w:t>
      </w:r>
      <w:r w:rsidR="008B2F61">
        <w:t xml:space="preserve"> the military monument in a difficult position as a victim of its own eventual success</w:t>
      </w:r>
      <w:r w:rsidR="00DD4C62">
        <w:t xml:space="preserve">. </w:t>
      </w:r>
      <w:r w:rsidR="001C729C">
        <w:t xml:space="preserve">For visitors concerned with </w:t>
      </w:r>
      <w:r w:rsidR="001C729C" w:rsidRPr="001C729C">
        <w:rPr>
          <w:i/>
          <w:iCs/>
        </w:rPr>
        <w:t>numen</w:t>
      </w:r>
      <w:r w:rsidR="00957D7F">
        <w:t xml:space="preserve"> a silent ambience was essential to their reflection; however, </w:t>
      </w:r>
      <w:r w:rsidR="00707658">
        <w:t>at least for</w:t>
      </w:r>
      <w:r w:rsidR="00957D7F">
        <w:t xml:space="preserve"> </w:t>
      </w:r>
      <w:r w:rsidR="00707658">
        <w:t xml:space="preserve">T. Miles’s study, these visitors only </w:t>
      </w:r>
      <w:r w:rsidR="00F27DDC">
        <w:t xml:space="preserve">comprised 2.7% of the total. </w:t>
      </w:r>
      <w:r w:rsidR="00394179">
        <w:t xml:space="preserve">Battlefield sites are necessarily contemplative, but they are also </w:t>
      </w:r>
      <w:r w:rsidR="003C395B">
        <w:t xml:space="preserve">more generally </w:t>
      </w:r>
      <w:r w:rsidR="00394179">
        <w:t>heritage sites</w:t>
      </w:r>
      <w:r w:rsidR="003C395B">
        <w:t xml:space="preserve">. </w:t>
      </w:r>
      <w:r w:rsidR="00F359B2">
        <w:t>T</w:t>
      </w:r>
      <w:r w:rsidR="007664F2">
        <w:t xml:space="preserve">his lack of </w:t>
      </w:r>
      <w:proofErr w:type="gramStart"/>
      <w:r w:rsidR="007664F2">
        <w:t>contemplation</w:t>
      </w:r>
      <w:proofErr w:type="gramEnd"/>
      <w:r w:rsidR="00F359B2">
        <w:t xml:space="preserve"> however,</w:t>
      </w:r>
      <w:r w:rsidR="007664F2">
        <w:t xml:space="preserve"> does not necessarily account for a </w:t>
      </w:r>
      <w:r w:rsidR="005206D5">
        <w:t xml:space="preserve">lack of </w:t>
      </w:r>
      <w:r w:rsidR="005119C9">
        <w:t>authenticity</w:t>
      </w:r>
      <w:r w:rsidR="00A22320">
        <w:t>, and there are other approaches that enable a connection to the past without requiring a sacred</w:t>
      </w:r>
      <w:r w:rsidR="003F6728">
        <w:t>, numinous experience</w:t>
      </w:r>
      <w:r w:rsidR="007F6DB7">
        <w:t xml:space="preserve">. </w:t>
      </w:r>
    </w:p>
    <w:p w14:paraId="059F6637" w14:textId="77777777" w:rsidR="0018795B" w:rsidRDefault="0018795B" w:rsidP="00D13CC0">
      <w:pPr>
        <w:ind w:firstLine="720"/>
      </w:pPr>
    </w:p>
    <w:p w14:paraId="4923B766" w14:textId="018B0FF8" w:rsidR="00445271" w:rsidRDefault="00FB0D0F" w:rsidP="00EB278D">
      <w:pPr>
        <w:ind w:firstLine="720"/>
      </w:pPr>
      <w:r>
        <w:lastRenderedPageBreak/>
        <w:t>For battlefield sites, a degree of prior knowledge is a key variable in the achievement of a learning outcome</w:t>
      </w:r>
      <w:r w:rsidR="00B21346">
        <w:t>.</w:t>
      </w:r>
      <w:r w:rsidR="00B21346">
        <w:rPr>
          <w:rStyle w:val="FootnoteReference"/>
        </w:rPr>
        <w:footnoteReference w:id="28"/>
      </w:r>
      <w:r w:rsidR="00B21346">
        <w:t xml:space="preserve"> </w:t>
      </w:r>
      <w:r w:rsidR="0044068D">
        <w:t xml:space="preserve">However, as </w:t>
      </w:r>
      <w:r w:rsidR="00C61FD8">
        <w:t>Cameron and Gatewood point out</w:t>
      </w:r>
      <w:r w:rsidR="0044068D">
        <w:t xml:space="preserve">: </w:t>
      </w:r>
      <w:r w:rsidR="002A663B">
        <w:t>visitors interest in history is rarely equalled by their knowledge of it</w:t>
      </w:r>
      <w:r w:rsidR="00255E41">
        <w:t>.</w:t>
      </w:r>
      <w:r w:rsidR="00255E41">
        <w:rPr>
          <w:rStyle w:val="FootnoteReference"/>
        </w:rPr>
        <w:footnoteReference w:id="29"/>
      </w:r>
      <w:r w:rsidR="004D03C4">
        <w:t xml:space="preserve"> </w:t>
      </w:r>
      <w:r w:rsidR="0076278E">
        <w:t xml:space="preserve">Turning the draw of the </w:t>
      </w:r>
      <w:r w:rsidR="004374E4">
        <w:t xml:space="preserve">authentic </w:t>
      </w:r>
      <w:r w:rsidR="000C1070">
        <w:t xml:space="preserve">into an educational </w:t>
      </w:r>
      <w:proofErr w:type="gramStart"/>
      <w:r w:rsidR="000C1070">
        <w:t>experience</w:t>
      </w:r>
      <w:proofErr w:type="gramEnd"/>
      <w:r w:rsidR="000C1070">
        <w:t xml:space="preserve"> </w:t>
      </w:r>
      <w:r w:rsidR="003671EF">
        <w:t>however</w:t>
      </w:r>
      <w:r w:rsidR="009C643B">
        <w:t>,</w:t>
      </w:r>
      <w:r w:rsidR="003671EF">
        <w:t xml:space="preserve"> is difficult</w:t>
      </w:r>
      <w:r w:rsidR="00703457">
        <w:t xml:space="preserve">. Overloading the site with information can have a counterproductive effect and distance the viewer from </w:t>
      </w:r>
      <w:r w:rsidR="00291E8D">
        <w:t>their connection with the past.</w:t>
      </w:r>
      <w:r w:rsidR="0053650C">
        <w:t xml:space="preserve"> There is a danger of </w:t>
      </w:r>
      <w:r w:rsidR="00983C0E">
        <w:t xml:space="preserve">losing the aura </w:t>
      </w:r>
      <w:r w:rsidR="004C155A">
        <w:t xml:space="preserve">with the </w:t>
      </w:r>
      <w:r w:rsidR="00983C0E">
        <w:t>reduction of knowledge to information</w:t>
      </w:r>
      <w:r w:rsidR="00A37A0B">
        <w:t>.</w:t>
      </w:r>
      <w:r w:rsidR="00A37A0B">
        <w:rPr>
          <w:rStyle w:val="FootnoteReference"/>
        </w:rPr>
        <w:footnoteReference w:id="30"/>
      </w:r>
      <w:r w:rsidR="00A37A0B">
        <w:t xml:space="preserve"> </w:t>
      </w:r>
      <w:r w:rsidR="00291E8D">
        <w:t>This is where the importance of the monument comes in</w:t>
      </w:r>
      <w:r w:rsidR="00037C36">
        <w:t xml:space="preserve"> at conveying a base</w:t>
      </w:r>
      <w:r w:rsidR="00181B83">
        <w:t xml:space="preserve"> level of</w:t>
      </w:r>
      <w:r w:rsidR="002F7745">
        <w:t xml:space="preserve"> knowledge without overloading the viewer. </w:t>
      </w:r>
      <w:r w:rsidR="00C81865">
        <w:t>Physical m</w:t>
      </w:r>
      <w:r w:rsidR="00FA559E">
        <w:t>onuments, as the conduit for authenticity at a battlefield site</w:t>
      </w:r>
      <w:r w:rsidR="00C81865">
        <w:t xml:space="preserve">, can be used to </w:t>
      </w:r>
      <w:r w:rsidR="00436227">
        <w:t xml:space="preserve">convey to the public a message about the site which will inform their </w:t>
      </w:r>
      <w:r w:rsidR="005B13CF">
        <w:t>learning and their emotive response.</w:t>
      </w:r>
    </w:p>
    <w:p w14:paraId="35D242FD" w14:textId="77777777" w:rsidR="005B13CF" w:rsidRDefault="005B13CF" w:rsidP="00EB278D">
      <w:pPr>
        <w:ind w:firstLine="720"/>
      </w:pPr>
    </w:p>
    <w:p w14:paraId="607A3674" w14:textId="13B391B5" w:rsidR="00F22F68" w:rsidRDefault="005B13CF" w:rsidP="00D13CC0">
      <w:pPr>
        <w:ind w:firstLine="720"/>
      </w:pPr>
      <w:r>
        <w:t xml:space="preserve">This leads to the monument’s importance </w:t>
      </w:r>
      <w:r w:rsidR="005167E1">
        <w:t>in the preserving of memory and the creation of narrative.</w:t>
      </w:r>
      <w:r w:rsidR="00D94A61">
        <w:t xml:space="preserve"> </w:t>
      </w:r>
      <w:r w:rsidR="008360D7">
        <w:t xml:space="preserve">A </w:t>
      </w:r>
      <w:r w:rsidR="00467924">
        <w:t>significant portion of</w:t>
      </w:r>
      <w:r w:rsidR="008E378C">
        <w:t xml:space="preserve"> military</w:t>
      </w:r>
      <w:r w:rsidR="00467924">
        <w:t xml:space="preserve"> memorials date from near the time of the </w:t>
      </w:r>
      <w:r w:rsidR="008E378C">
        <w:t xml:space="preserve">battles they represent. </w:t>
      </w:r>
      <w:r w:rsidR="008D3F3C">
        <w:t xml:space="preserve">These monuments act as capsules of authenticity in preserving the folk memory of a conflict. Perhaps one of the most interesting examples of this is that of the medieval stone crosses </w:t>
      </w:r>
      <w:r w:rsidR="00177FFB">
        <w:t xml:space="preserve">on Gotland. </w:t>
      </w:r>
      <w:r w:rsidR="0015566B">
        <w:t xml:space="preserve">The most famous of these is of course the Korsbetningen cross which memorialises the </w:t>
      </w:r>
      <w:r w:rsidR="00E36B5D">
        <w:t>battle of Visby c.1361. Raised about 1370-1380</w:t>
      </w:r>
      <w:r w:rsidR="00DC13A7">
        <w:t xml:space="preserve"> </w:t>
      </w:r>
      <w:r w:rsidR="003A4547">
        <w:t>and marking the site of the burials</w:t>
      </w:r>
      <w:r w:rsidR="00C905AD">
        <w:t xml:space="preserve">, a reflection of </w:t>
      </w:r>
      <w:r w:rsidR="00F51349">
        <w:t>its</w:t>
      </w:r>
      <w:r w:rsidR="00C905AD">
        <w:t xml:space="preserve"> impact upon </w:t>
      </w:r>
      <w:r w:rsidR="00FB53AB">
        <w:t xml:space="preserve">folk memory is the name itself which translates to </w:t>
      </w:r>
      <w:r w:rsidR="001443F7">
        <w:t>‘the pasture by the cross</w:t>
      </w:r>
      <w:r w:rsidR="008A6792">
        <w:t>.’</w:t>
      </w:r>
      <w:r w:rsidR="000512C7">
        <w:rPr>
          <w:rStyle w:val="FootnoteReference"/>
        </w:rPr>
        <w:footnoteReference w:id="31"/>
      </w:r>
      <w:r w:rsidR="0082009C">
        <w:t xml:space="preserve"> </w:t>
      </w:r>
      <w:r w:rsidR="00C905AD">
        <w:t xml:space="preserve">Korsbetningen </w:t>
      </w:r>
      <w:r w:rsidR="00C905AD">
        <w:t>is one of many such memorial crosses on the island preserving the memory of the Danish invasion</w:t>
      </w:r>
      <w:r w:rsidR="001A5496">
        <w:t>. A</w:t>
      </w:r>
      <w:r w:rsidR="0082009C">
        <w:t xml:space="preserve">ll in </w:t>
      </w:r>
      <w:r w:rsidR="00F51349">
        <w:t>all,</w:t>
      </w:r>
      <w:r w:rsidR="0082009C">
        <w:t xml:space="preserve"> there are abou</w:t>
      </w:r>
      <w:r w:rsidR="00766BF1">
        <w:t xml:space="preserve">t </w:t>
      </w:r>
      <w:r w:rsidR="008E6028">
        <w:t>thirteen</w:t>
      </w:r>
      <w:r w:rsidR="00766BF1">
        <w:t xml:space="preserve"> memorial crosses across Gotland</w:t>
      </w:r>
      <w:r w:rsidR="008E6028">
        <w:t>, four of these relate to the 1361 invasion</w:t>
      </w:r>
      <w:r w:rsidR="0049506A">
        <w:t xml:space="preserve">, </w:t>
      </w:r>
      <w:r w:rsidR="00A2380B">
        <w:t xml:space="preserve">two </w:t>
      </w:r>
      <w:r w:rsidR="009260C7">
        <w:t>of these do not have inscription</w:t>
      </w:r>
      <w:r w:rsidR="008A6144">
        <w:t xml:space="preserve"> yet all have been kept alive through folk memory.</w:t>
      </w:r>
      <w:r w:rsidR="008A6144">
        <w:rPr>
          <w:rStyle w:val="FootnoteReference"/>
        </w:rPr>
        <w:footnoteReference w:id="32"/>
      </w:r>
      <w:r w:rsidR="008A6144">
        <w:t xml:space="preserve"> </w:t>
      </w:r>
      <w:r w:rsidR="00610134">
        <w:t xml:space="preserve">What is particularly fascinating </w:t>
      </w:r>
      <w:r w:rsidR="000D3C61">
        <w:t xml:space="preserve">is that the Grens cross, associated </w:t>
      </w:r>
      <w:r w:rsidR="00157C62">
        <w:t xml:space="preserve">in </w:t>
      </w:r>
      <w:r w:rsidR="004F4F8C">
        <w:t>oral tradition</w:t>
      </w:r>
      <w:r w:rsidR="00157C62">
        <w:t xml:space="preserve"> with the battle of Fjäle Marsh, </w:t>
      </w:r>
      <w:r w:rsidR="00104706">
        <w:t>was</w:t>
      </w:r>
      <w:r w:rsidR="00DE3C0A">
        <w:t xml:space="preserve"> archaeologically verified</w:t>
      </w:r>
      <w:r w:rsidR="00104706">
        <w:t xml:space="preserve"> in 2006</w:t>
      </w:r>
      <w:r w:rsidR="00BD7E38">
        <w:t>.</w:t>
      </w:r>
      <w:r w:rsidR="00BD7E38">
        <w:rPr>
          <w:rStyle w:val="FootnoteReference"/>
        </w:rPr>
        <w:footnoteReference w:id="33"/>
      </w:r>
      <w:r w:rsidR="003D4A4E">
        <w:t xml:space="preserve"> </w:t>
      </w:r>
      <w:r w:rsidR="00376669">
        <w:t>The oral tra</w:t>
      </w:r>
      <w:r w:rsidR="00F4346E">
        <w:t xml:space="preserve">dition </w:t>
      </w:r>
      <w:r w:rsidR="00552435">
        <w:t xml:space="preserve">which </w:t>
      </w:r>
      <w:r w:rsidR="006F372F">
        <w:t xml:space="preserve">preserved the memory of the </w:t>
      </w:r>
      <w:r w:rsidR="00F51349">
        <w:t>battle,</w:t>
      </w:r>
      <w:r w:rsidR="006F372F">
        <w:t xml:space="preserve"> centred on the memorial</w:t>
      </w:r>
      <w:r w:rsidR="00C114F4">
        <w:t xml:space="preserve">; Grens cross is a fantastic example of power monuments have to preserve the memory of </w:t>
      </w:r>
      <w:r w:rsidR="008F67D7">
        <w:t>conflict</w:t>
      </w:r>
      <w:r w:rsidR="0082524F">
        <w:t xml:space="preserve"> by allowing it to reside </w:t>
      </w:r>
      <w:r w:rsidR="006C7511">
        <w:t xml:space="preserve">in </w:t>
      </w:r>
      <w:r w:rsidR="00F51349">
        <w:t xml:space="preserve">a </w:t>
      </w:r>
      <w:r w:rsidR="006C7511">
        <w:t>physical space</w:t>
      </w:r>
      <w:r w:rsidR="008F67D7">
        <w:t>.</w:t>
      </w:r>
      <w:r w:rsidR="006C7511">
        <w:rPr>
          <w:rStyle w:val="FootnoteReference"/>
        </w:rPr>
        <w:footnoteReference w:id="34"/>
      </w:r>
      <w:r w:rsidR="008F67D7">
        <w:t xml:space="preserve"> </w:t>
      </w:r>
      <w:r w:rsidR="004E2862">
        <w:t xml:space="preserve">Memory is not only </w:t>
      </w:r>
      <w:r w:rsidR="00C87FF6">
        <w:t>‘</w:t>
      </w:r>
      <w:r w:rsidR="004E2862">
        <w:t xml:space="preserve">stored in </w:t>
      </w:r>
      <w:r w:rsidR="000D11EF">
        <w:t>brains’ but</w:t>
      </w:r>
      <w:r w:rsidR="00C87FF6">
        <w:t xml:space="preserve"> is distributed through social artefacts and cultural tool</w:t>
      </w:r>
      <w:r w:rsidR="000D11EF">
        <w:t>s</w:t>
      </w:r>
      <w:r w:rsidR="00347522">
        <w:t>; war memorials are examples of this memory through materiality.</w:t>
      </w:r>
      <w:r w:rsidR="00347522">
        <w:rPr>
          <w:rStyle w:val="FootnoteReference"/>
        </w:rPr>
        <w:footnoteReference w:id="35"/>
      </w:r>
    </w:p>
    <w:p w14:paraId="1395E40E" w14:textId="77777777" w:rsidR="008F67D7" w:rsidRDefault="008F67D7" w:rsidP="00D13CC0">
      <w:pPr>
        <w:ind w:firstLine="720"/>
      </w:pPr>
    </w:p>
    <w:p w14:paraId="43C58DB0" w14:textId="77777777" w:rsidR="000764A7" w:rsidRDefault="008F67D7" w:rsidP="00D13CC0">
      <w:pPr>
        <w:ind w:firstLine="720"/>
      </w:pPr>
      <w:r>
        <w:t xml:space="preserve">The reverse of this positive effect however can be seen in the </w:t>
      </w:r>
      <w:r w:rsidR="00413209">
        <w:t>power monuments have to memorialise offensive memory.</w:t>
      </w:r>
      <w:r w:rsidR="00C20846">
        <w:t xml:space="preserve"> </w:t>
      </w:r>
      <w:r w:rsidR="00D227DA">
        <w:t>In the wake of Charlottesville in the United States</w:t>
      </w:r>
      <w:r w:rsidR="003574FD">
        <w:t xml:space="preserve"> in 2017, several calls were made for the removal of monuments associated with the memory of </w:t>
      </w:r>
      <w:r w:rsidR="001C35AC">
        <w:t xml:space="preserve">the confederacy. </w:t>
      </w:r>
      <w:r w:rsidR="000364D7">
        <w:t xml:space="preserve">In this case, </w:t>
      </w:r>
      <w:r w:rsidR="000F7F77">
        <w:t xml:space="preserve">the preservation of memory </w:t>
      </w:r>
      <w:r w:rsidR="00B65C51">
        <w:t xml:space="preserve">and learning of the South’s past </w:t>
      </w:r>
      <w:r w:rsidR="000F7F77">
        <w:t xml:space="preserve">was used as an argument to prevent the </w:t>
      </w:r>
      <w:r w:rsidR="000A3022">
        <w:t>removal of confederate memorials.</w:t>
      </w:r>
      <w:r w:rsidR="000A3022">
        <w:rPr>
          <w:rStyle w:val="FootnoteReference"/>
        </w:rPr>
        <w:footnoteReference w:id="36"/>
      </w:r>
      <w:r w:rsidR="00DF50BD">
        <w:t xml:space="preserve"> This however ignore</w:t>
      </w:r>
      <w:r w:rsidR="007550F3">
        <w:t xml:space="preserve">s the </w:t>
      </w:r>
      <w:r w:rsidR="00586BCB">
        <w:t xml:space="preserve">negative </w:t>
      </w:r>
      <w:r w:rsidR="007550F3">
        <w:t xml:space="preserve">cultural memory the monuments </w:t>
      </w:r>
      <w:r w:rsidR="00586BCB">
        <w:t xml:space="preserve">preserve. </w:t>
      </w:r>
      <w:r w:rsidR="00286ABC">
        <w:t xml:space="preserve">Framing them merely as </w:t>
      </w:r>
      <w:r w:rsidR="00286ABC">
        <w:lastRenderedPageBreak/>
        <w:t xml:space="preserve">funeral tributes to southern soldiers ignores </w:t>
      </w:r>
      <w:r w:rsidR="00BC37B4">
        <w:t>the fac</w:t>
      </w:r>
      <w:r w:rsidR="00A82A82">
        <w:t xml:space="preserve">t that </w:t>
      </w:r>
      <w:r w:rsidR="00A56693">
        <w:t>most of</w:t>
      </w:r>
      <w:r w:rsidR="00A82A82">
        <w:t xml:space="preserve"> these memorials were erected during Jim Crow</w:t>
      </w:r>
      <w:r w:rsidR="00EA3ABC">
        <w:t xml:space="preserve"> and the Civil Rights era</w:t>
      </w:r>
      <w:r w:rsidR="00A56693">
        <w:t>.</w:t>
      </w:r>
      <w:r w:rsidR="00A56693">
        <w:rPr>
          <w:rStyle w:val="FootnoteReference"/>
        </w:rPr>
        <w:footnoteReference w:id="37"/>
      </w:r>
      <w:r w:rsidR="00A56693">
        <w:t xml:space="preserve"> Whether or not they </w:t>
      </w:r>
      <w:r w:rsidR="00084CCD">
        <w:t xml:space="preserve">pay tribute to the Confederacy’s dead, the narrative that the monuments are intended to convey is </w:t>
      </w:r>
      <w:r w:rsidR="00323721">
        <w:t>that of white supremacy.</w:t>
      </w:r>
      <w:r w:rsidR="00323721">
        <w:rPr>
          <w:rStyle w:val="FootnoteReference"/>
        </w:rPr>
        <w:footnoteReference w:id="38"/>
      </w:r>
      <w:r w:rsidR="00415A83">
        <w:t xml:space="preserve"> </w:t>
      </w:r>
    </w:p>
    <w:p w14:paraId="0D378C6B" w14:textId="77777777" w:rsidR="000764A7" w:rsidRDefault="000764A7" w:rsidP="00D13CC0">
      <w:pPr>
        <w:ind w:firstLine="720"/>
      </w:pPr>
    </w:p>
    <w:p w14:paraId="01285464" w14:textId="6C5ADCC8" w:rsidR="004D6352" w:rsidRDefault="009228AE" w:rsidP="00D13CC0">
      <w:pPr>
        <w:ind w:firstLine="720"/>
      </w:pPr>
      <w:r>
        <w:t>There is a general hesitancy or perhaps even naivety when it comes to addressing the narrative</w:t>
      </w:r>
      <w:r w:rsidR="00A85A30">
        <w:t xml:space="preserve"> embedded in all monuments</w:t>
      </w:r>
      <w:r w:rsidR="000764A7">
        <w:t>.</w:t>
      </w:r>
      <w:r w:rsidR="00342305">
        <w:t xml:space="preserve"> Narratives of nationalism, colonialism, and imperialism are often explained away as ‘historical accuracy’, or ‘authenticity’</w:t>
      </w:r>
      <w:r w:rsidR="00AF05B4">
        <w:t>.</w:t>
      </w:r>
      <w:r w:rsidR="00BA58CC">
        <w:rPr>
          <w:rStyle w:val="FootnoteReference"/>
        </w:rPr>
        <w:footnoteReference w:id="39"/>
      </w:r>
      <w:r w:rsidR="00AF05B4">
        <w:t xml:space="preserve"> </w:t>
      </w:r>
      <w:r w:rsidR="009A5A03">
        <w:t>Military</w:t>
      </w:r>
      <w:r w:rsidR="00AF05B4">
        <w:t xml:space="preserve"> memorials however</w:t>
      </w:r>
      <w:r w:rsidR="00513A9E">
        <w:t>, especially those that reside in town centres rather than upon fields of conflict,</w:t>
      </w:r>
      <w:r w:rsidR="00AF05B4">
        <w:t xml:space="preserve"> </w:t>
      </w:r>
      <w:r w:rsidR="00D77272">
        <w:t xml:space="preserve">are </w:t>
      </w:r>
      <w:r w:rsidR="00EE035D">
        <w:t xml:space="preserve">almost by necessity built to construct </w:t>
      </w:r>
      <w:r w:rsidR="00362A6D">
        <w:t>a narrative, often of nationalistic pride</w:t>
      </w:r>
      <w:r w:rsidR="00E127C2">
        <w:t>,</w:t>
      </w:r>
      <w:r w:rsidR="00362A6D">
        <w:t xml:space="preserve"> or to inspire awe at the power of the victor.</w:t>
      </w:r>
      <w:r w:rsidR="00362A6D">
        <w:rPr>
          <w:rStyle w:val="FootnoteReference"/>
        </w:rPr>
        <w:footnoteReference w:id="40"/>
      </w:r>
      <w:r w:rsidR="00EE035D">
        <w:t xml:space="preserve"> </w:t>
      </w:r>
      <w:r w:rsidR="00F60776">
        <w:t xml:space="preserve">It is the perceived authenticity of these memorials </w:t>
      </w:r>
      <w:r w:rsidR="009F1482">
        <w:t xml:space="preserve">as objects of reverence </w:t>
      </w:r>
      <w:r w:rsidR="00F60776">
        <w:t xml:space="preserve">that distracts the public from </w:t>
      </w:r>
      <w:r w:rsidR="009F1482">
        <w:t xml:space="preserve">the narratives they contain. </w:t>
      </w:r>
      <w:r w:rsidR="003C61E4">
        <w:t xml:space="preserve">As both architecture and </w:t>
      </w:r>
      <w:r w:rsidR="002B1B5D">
        <w:t xml:space="preserve">individual works of </w:t>
      </w:r>
      <w:r w:rsidR="003C61E4">
        <w:t>art, monument</w:t>
      </w:r>
      <w:r w:rsidR="002B1B5D">
        <w:t>s</w:t>
      </w:r>
      <w:r w:rsidR="003C61E4">
        <w:t xml:space="preserve"> occ</w:t>
      </w:r>
      <w:r w:rsidR="002B1B5D">
        <w:t>upy</w:t>
      </w:r>
      <w:r w:rsidR="003C61E4">
        <w:t xml:space="preserve"> a particular place in the </w:t>
      </w:r>
      <w:r w:rsidR="002B1B5D">
        <w:t>mind of the consumer</w:t>
      </w:r>
      <w:r w:rsidR="00832877">
        <w:t xml:space="preserve">. </w:t>
      </w:r>
      <w:r w:rsidR="00F15546">
        <w:t xml:space="preserve">As objects they are viewed with a particular reverence however as </w:t>
      </w:r>
      <w:r w:rsidR="00D2100D">
        <w:t xml:space="preserve">pieces of town </w:t>
      </w:r>
      <w:r w:rsidR="00556BB5">
        <w:t>architecture,</w:t>
      </w:r>
      <w:r w:rsidR="00F15546">
        <w:t xml:space="preserve"> they are consumed by </w:t>
      </w:r>
      <w:r w:rsidR="00403E8F">
        <w:t>the masses in a state of distraction</w:t>
      </w:r>
      <w:r w:rsidR="00556BB5">
        <w:t>.</w:t>
      </w:r>
      <w:r w:rsidR="00403E8F">
        <w:rPr>
          <w:rStyle w:val="FootnoteReference"/>
        </w:rPr>
        <w:footnoteReference w:id="41"/>
      </w:r>
      <w:r w:rsidR="00556BB5">
        <w:t xml:space="preserve"> </w:t>
      </w:r>
      <w:r w:rsidR="00400074">
        <w:t xml:space="preserve">This distraction </w:t>
      </w:r>
      <w:r w:rsidR="008F2C3B">
        <w:t xml:space="preserve">encases the monument with an authenticity </w:t>
      </w:r>
      <w:proofErr w:type="gramStart"/>
      <w:r w:rsidR="008F2C3B">
        <w:t>similar to</w:t>
      </w:r>
      <w:proofErr w:type="gramEnd"/>
      <w:r w:rsidR="008F2C3B">
        <w:t xml:space="preserve"> that described by </w:t>
      </w:r>
      <w:proofErr w:type="spellStart"/>
      <w:r w:rsidR="008F2C3B">
        <w:t>Groys</w:t>
      </w:r>
      <w:proofErr w:type="spellEnd"/>
      <w:r w:rsidR="008F2C3B">
        <w:t>, they are current objects</w:t>
      </w:r>
      <w:r w:rsidR="00206253">
        <w:t>, a part of the current material flow.</w:t>
      </w:r>
      <w:r w:rsidR="00206253">
        <w:rPr>
          <w:rStyle w:val="FootnoteReference"/>
        </w:rPr>
        <w:footnoteReference w:id="42"/>
      </w:r>
      <w:r w:rsidR="0099546B">
        <w:t xml:space="preserve"> Thus, it is</w:t>
      </w:r>
      <w:r w:rsidR="00003E97">
        <w:t>,</w:t>
      </w:r>
      <w:r w:rsidR="0099546B">
        <w:t xml:space="preserve"> in a way</w:t>
      </w:r>
      <w:r w:rsidR="00003E97">
        <w:t>,</w:t>
      </w:r>
      <w:r w:rsidR="0099546B">
        <w:t xml:space="preserve"> these objects very authenticity that makes them so effectual in </w:t>
      </w:r>
      <w:r w:rsidR="002079D2">
        <w:t>creating narrative.</w:t>
      </w:r>
    </w:p>
    <w:p w14:paraId="0B11E3DA" w14:textId="77777777" w:rsidR="002079D2" w:rsidRDefault="002079D2" w:rsidP="00D13CC0">
      <w:pPr>
        <w:ind w:firstLine="720"/>
      </w:pPr>
    </w:p>
    <w:p w14:paraId="7AD5E688" w14:textId="4FA6678B" w:rsidR="002079D2" w:rsidRDefault="002079D2" w:rsidP="00D13CC0">
      <w:pPr>
        <w:ind w:firstLine="720"/>
      </w:pPr>
      <w:r>
        <w:t xml:space="preserve">This has always been the way of </w:t>
      </w:r>
      <w:r w:rsidR="00200171">
        <w:t xml:space="preserve">battlefield </w:t>
      </w:r>
      <w:r>
        <w:t>memorials</w:t>
      </w:r>
      <w:r w:rsidR="00200171">
        <w:t xml:space="preserve"> which are themselves a form of mechanical reproduction. </w:t>
      </w:r>
      <w:r w:rsidR="001F3050">
        <w:t>The abbey built at the site of Hastings</w:t>
      </w:r>
      <w:r w:rsidR="0084044A">
        <w:t xml:space="preserve"> in 1070</w:t>
      </w:r>
      <w:r w:rsidR="001F3050">
        <w:t xml:space="preserve"> by William the Conqueror, aptly named ‘Battle Abbey’, </w:t>
      </w:r>
      <w:r w:rsidR="0067218A">
        <w:t xml:space="preserve">was </w:t>
      </w:r>
      <w:r w:rsidR="008725B1">
        <w:t>a deliberate and clear stamp of dominance and victory</w:t>
      </w:r>
      <w:r w:rsidR="007F3CF6">
        <w:t>, legitimising the Norman conquest</w:t>
      </w:r>
      <w:r w:rsidR="001342F6">
        <w:t>.</w:t>
      </w:r>
      <w:r w:rsidR="001342F6">
        <w:rPr>
          <w:rStyle w:val="FootnoteReference"/>
        </w:rPr>
        <w:footnoteReference w:id="43"/>
      </w:r>
      <w:r w:rsidR="00AF624F">
        <w:t xml:space="preserve"> This narrative however is not immovable, it changes with the cultural </w:t>
      </w:r>
      <w:r w:rsidR="006B6D57">
        <w:t xml:space="preserve">psyche. A reflection of how </w:t>
      </w:r>
      <w:r w:rsidR="00CE76D6">
        <w:t xml:space="preserve">narratives change can be seen </w:t>
      </w:r>
      <w:r w:rsidR="0011297C">
        <w:t>in the temporary monuments to be found at numerous battle sites, that of the battle reenactment</w:t>
      </w:r>
      <w:r w:rsidR="004F0040">
        <w:t xml:space="preserve">. </w:t>
      </w:r>
    </w:p>
    <w:p w14:paraId="17D449E5" w14:textId="77777777" w:rsidR="003964A2" w:rsidRDefault="003964A2" w:rsidP="00D13CC0">
      <w:pPr>
        <w:ind w:firstLine="720"/>
      </w:pPr>
    </w:p>
    <w:p w14:paraId="67976785" w14:textId="075295A9" w:rsidR="00B272AE" w:rsidRDefault="003964A2" w:rsidP="00D13CC0">
      <w:pPr>
        <w:ind w:firstLine="720"/>
      </w:pPr>
      <w:r>
        <w:t>For reenactors themselves</w:t>
      </w:r>
      <w:r w:rsidR="004E08D1">
        <w:t>, authe</w:t>
      </w:r>
      <w:r w:rsidR="009F4B1E">
        <w:t xml:space="preserve">nticity is something of the ‘holy grail’, a lofty goal, </w:t>
      </w:r>
      <w:r w:rsidR="00482F68">
        <w:t>unachievable</w:t>
      </w:r>
      <w:r w:rsidR="009F4B1E">
        <w:t xml:space="preserve"> in some cases, but worth striving for.</w:t>
      </w:r>
      <w:r w:rsidR="009F4B1E">
        <w:rPr>
          <w:rStyle w:val="FootnoteReference"/>
        </w:rPr>
        <w:footnoteReference w:id="44"/>
      </w:r>
      <w:r w:rsidR="00793F9C">
        <w:t xml:space="preserve"> </w:t>
      </w:r>
      <w:r w:rsidR="00F45080">
        <w:t xml:space="preserve">As public spectacles </w:t>
      </w:r>
      <w:r w:rsidR="00794956">
        <w:t>however, designed</w:t>
      </w:r>
      <w:r w:rsidR="00AA28E6">
        <w:t xml:space="preserve"> to commemorate events, they are </w:t>
      </w:r>
      <w:r w:rsidR="00AA48DC">
        <w:t>charged with the same principles of authenticity that appl</w:t>
      </w:r>
      <w:r w:rsidR="00F602E1">
        <w:t xml:space="preserve">ies </w:t>
      </w:r>
      <w:r w:rsidR="00AA48DC">
        <w:t xml:space="preserve">to </w:t>
      </w:r>
      <w:r w:rsidR="00794956">
        <w:t>other heritage memorials</w:t>
      </w:r>
      <w:r w:rsidR="00F602E1">
        <w:t xml:space="preserve">, except that they are not consumed </w:t>
      </w:r>
      <w:r w:rsidR="00DD4ED5">
        <w:t xml:space="preserve">with </w:t>
      </w:r>
      <w:proofErr w:type="gramStart"/>
      <w:r w:rsidR="00046F93">
        <w:t>n</w:t>
      </w:r>
      <w:r w:rsidR="00DD4ED5">
        <w:t>either</w:t>
      </w:r>
      <w:proofErr w:type="gramEnd"/>
      <w:r w:rsidR="00DD4ED5">
        <w:t xml:space="preserve"> reverence or distraction</w:t>
      </w:r>
      <w:r w:rsidR="008F24CF">
        <w:t>,</w:t>
      </w:r>
      <w:r w:rsidR="00DD4ED5">
        <w:t xml:space="preserve"> but as spectacles.</w:t>
      </w:r>
      <w:r w:rsidR="00B85CC5">
        <w:t xml:space="preserve"> </w:t>
      </w:r>
      <w:r w:rsidR="0037761C">
        <w:t xml:space="preserve">It is easy to be dismissive of these </w:t>
      </w:r>
      <w:r w:rsidR="006250EE">
        <w:t>events,</w:t>
      </w:r>
      <w:r w:rsidR="00C203BD">
        <w:t xml:space="preserve"> but it is the case that activities attract more people than artefacts</w:t>
      </w:r>
      <w:r w:rsidR="006250EE">
        <w:t>, and they reach an audience that may other</w:t>
      </w:r>
      <w:r w:rsidR="00046F93">
        <w:t>wise</w:t>
      </w:r>
      <w:r w:rsidR="006250EE">
        <w:t xml:space="preserve"> be closed to an appreciation of history.</w:t>
      </w:r>
      <w:r w:rsidR="006250EE">
        <w:rPr>
          <w:rStyle w:val="FootnoteReference"/>
        </w:rPr>
        <w:footnoteReference w:id="45"/>
      </w:r>
      <w:r w:rsidR="009201B1">
        <w:t xml:space="preserve"> In the case of Hastings, the narrative presented at the </w:t>
      </w:r>
      <w:r w:rsidR="00150033">
        <w:t xml:space="preserve">reenactment battle is almost a total reversal of that which inspired </w:t>
      </w:r>
      <w:r w:rsidR="008E3B45">
        <w:t>Battle Abbey, it is now the tragic last stand of the English that receives the commentators attention</w:t>
      </w:r>
      <w:r w:rsidR="004D07A4">
        <w:t xml:space="preserve">. Audiences </w:t>
      </w:r>
      <w:r w:rsidR="00E36D33">
        <w:t xml:space="preserve">are </w:t>
      </w:r>
      <w:r w:rsidR="00956BDB">
        <w:t xml:space="preserve">asked to </w:t>
      </w:r>
      <w:r w:rsidR="00734493">
        <w:t>‘</w:t>
      </w:r>
      <w:r w:rsidR="00956BDB">
        <w:t>cheer for Harold</w:t>
      </w:r>
      <w:r w:rsidR="00044786">
        <w:t xml:space="preserve">’, </w:t>
      </w:r>
      <w:r w:rsidR="008F24CF">
        <w:t xml:space="preserve">and </w:t>
      </w:r>
      <w:r w:rsidR="00044786">
        <w:t>William plays the part of the pantomime villain.</w:t>
      </w:r>
      <w:r w:rsidR="00C419C5">
        <w:rPr>
          <w:rStyle w:val="FootnoteReference"/>
        </w:rPr>
        <w:footnoteReference w:id="46"/>
      </w:r>
      <w:r w:rsidR="00C419C5">
        <w:t xml:space="preserve"> </w:t>
      </w:r>
      <w:r w:rsidR="006747E7">
        <w:t>The</w:t>
      </w:r>
      <w:r w:rsidR="00C366A2">
        <w:t xml:space="preserve"> successful</w:t>
      </w:r>
      <w:r w:rsidR="006747E7">
        <w:t xml:space="preserve"> reception of </w:t>
      </w:r>
      <w:r w:rsidR="00D07CC0">
        <w:t xml:space="preserve">reenactment </w:t>
      </w:r>
      <w:r w:rsidR="00A74BD1">
        <w:t xml:space="preserve">depends </w:t>
      </w:r>
      <w:r w:rsidR="00AE75FA">
        <w:t>on whe</w:t>
      </w:r>
      <w:r w:rsidR="00A74BD1">
        <w:t>ther it matches or ignites the public memory</w:t>
      </w:r>
      <w:r w:rsidR="00242A67">
        <w:t>.</w:t>
      </w:r>
      <w:r w:rsidR="00242A67">
        <w:rPr>
          <w:rStyle w:val="FootnoteReference"/>
        </w:rPr>
        <w:footnoteReference w:id="47"/>
      </w:r>
      <w:r w:rsidR="001E6DF1">
        <w:t xml:space="preserve"> In order to create narrative, trust must be cultivated by the </w:t>
      </w:r>
      <w:r w:rsidR="000E2250">
        <w:t xml:space="preserve">interpreters by applying </w:t>
      </w:r>
      <w:r w:rsidR="00890C5C">
        <w:t xml:space="preserve">a veneer of </w:t>
      </w:r>
      <w:r w:rsidR="000E2250">
        <w:t xml:space="preserve">pastness much in the way </w:t>
      </w:r>
      <w:proofErr w:type="spellStart"/>
      <w:r w:rsidR="000E2250">
        <w:t>Holtorf</w:t>
      </w:r>
      <w:proofErr w:type="spellEnd"/>
      <w:r w:rsidR="000E2250">
        <w:t xml:space="preserve"> describes</w:t>
      </w:r>
      <w:r w:rsidR="00853427">
        <w:t>,</w:t>
      </w:r>
      <w:r w:rsidR="00405AF0">
        <w:t xml:space="preserve"> </w:t>
      </w:r>
      <w:r w:rsidR="00890C5C">
        <w:t>and</w:t>
      </w:r>
      <w:r w:rsidR="00405AF0">
        <w:t xml:space="preserve"> appealing to a public perception of the </w:t>
      </w:r>
      <w:r w:rsidR="00405AF0">
        <w:lastRenderedPageBreak/>
        <w:t>past</w:t>
      </w:r>
      <w:r w:rsidR="000E2250">
        <w:t>.</w:t>
      </w:r>
      <w:r w:rsidR="00890C5C">
        <w:rPr>
          <w:rStyle w:val="FootnoteReference"/>
        </w:rPr>
        <w:footnoteReference w:id="48"/>
      </w:r>
      <w:r w:rsidR="00242A67">
        <w:t xml:space="preserve"> </w:t>
      </w:r>
      <w:r w:rsidR="00890C5C">
        <w:t xml:space="preserve">In most cases, the authority of the event itself is enough to </w:t>
      </w:r>
      <w:r w:rsidR="00B272AE">
        <w:t>secure this ‘pastness’ and thus enough to curate the narrative.</w:t>
      </w:r>
    </w:p>
    <w:p w14:paraId="49CCF4BF" w14:textId="77777777" w:rsidR="00B272AE" w:rsidRDefault="00B272AE" w:rsidP="00D13CC0">
      <w:pPr>
        <w:ind w:firstLine="720"/>
      </w:pPr>
    </w:p>
    <w:p w14:paraId="5FCC2F9B" w14:textId="594E5A6A" w:rsidR="003964A2" w:rsidRDefault="00B272AE" w:rsidP="00D13CC0">
      <w:pPr>
        <w:ind w:firstLine="720"/>
      </w:pPr>
      <w:r>
        <w:t xml:space="preserve"> </w:t>
      </w:r>
      <w:r w:rsidR="003F29A8">
        <w:t xml:space="preserve">Like </w:t>
      </w:r>
      <w:r>
        <w:t xml:space="preserve">with </w:t>
      </w:r>
      <w:r w:rsidR="003F29A8">
        <w:t xml:space="preserve">monuments, the public </w:t>
      </w:r>
      <w:r w:rsidR="005D13F9">
        <w:t>invest a surprising amount of trust in the authenticity of reenactment</w:t>
      </w:r>
      <w:r>
        <w:t xml:space="preserve"> events</w:t>
      </w:r>
      <w:r w:rsidR="0061698C">
        <w:t>.</w:t>
      </w:r>
      <w:r w:rsidR="0061698C">
        <w:rPr>
          <w:rStyle w:val="FootnoteReference"/>
        </w:rPr>
        <w:footnoteReference w:id="49"/>
      </w:r>
      <w:r w:rsidR="0061698C">
        <w:t xml:space="preserve"> For the larger scale </w:t>
      </w:r>
      <w:r w:rsidR="00A84135">
        <w:t xml:space="preserve">events like Hastings or Evesham </w:t>
      </w:r>
      <w:r w:rsidR="00E55EFA">
        <w:t xml:space="preserve">this </w:t>
      </w:r>
      <w:r w:rsidR="00144AFB">
        <w:t>is an issue, as the way battles are represented is often trivialised</w:t>
      </w:r>
      <w:r w:rsidR="00DC32A4">
        <w:t xml:space="preserve">. </w:t>
      </w:r>
      <w:r>
        <w:t>However,</w:t>
      </w:r>
      <w:r w:rsidR="00DC32A4">
        <w:t xml:space="preserve"> at a smaller scale, theatrical performance in heritage has been shown to be an effective </w:t>
      </w:r>
      <w:r w:rsidR="00AD5177">
        <w:t>educational tool in connecting people to the past.</w:t>
      </w:r>
      <w:r>
        <w:t xml:space="preserve"> Jackson and Leahy</w:t>
      </w:r>
      <w:r w:rsidR="001F5147">
        <w:t xml:space="preserve">’s experiment showed that theatrical performance in museums </w:t>
      </w:r>
      <w:r w:rsidR="007C0B69">
        <w:t xml:space="preserve">allowed children to empathise with the past to a far greater extent than </w:t>
      </w:r>
      <w:r w:rsidR="0015177A">
        <w:t>traditional learning methods.</w:t>
      </w:r>
      <w:r w:rsidR="0015177A">
        <w:rPr>
          <w:rStyle w:val="FootnoteReference"/>
        </w:rPr>
        <w:footnoteReference w:id="50"/>
      </w:r>
      <w:r w:rsidR="00E8631C">
        <w:t xml:space="preserve"> This came </w:t>
      </w:r>
      <w:r w:rsidR="001A712B">
        <w:t xml:space="preserve">at the expense of </w:t>
      </w:r>
      <w:r w:rsidR="00E96638">
        <w:t>the more ‘fact and figure’ portion of knowledge</w:t>
      </w:r>
      <w:r w:rsidR="007A35E5">
        <w:t xml:space="preserve">, however it arguably </w:t>
      </w:r>
      <w:r w:rsidR="003A554A">
        <w:t xml:space="preserve">gave the past a greater feeling of authenticity by allowing the public to imagine </w:t>
      </w:r>
      <w:r w:rsidR="00B9219A">
        <w:t>it within a personal narrative</w:t>
      </w:r>
      <w:r w:rsidR="006D18AF">
        <w:t>, not dissimilar to being</w:t>
      </w:r>
      <w:r w:rsidR="00B9219A">
        <w:t xml:space="preserve"> within </w:t>
      </w:r>
      <w:proofErr w:type="spellStart"/>
      <w:r w:rsidR="00B9219A">
        <w:t>Groys’s</w:t>
      </w:r>
      <w:proofErr w:type="spellEnd"/>
      <w:r w:rsidR="00B9219A">
        <w:t xml:space="preserve"> material flow.</w:t>
      </w:r>
      <w:r w:rsidR="00603413">
        <w:rPr>
          <w:rStyle w:val="FootnoteReference"/>
        </w:rPr>
        <w:footnoteReference w:id="51"/>
      </w:r>
      <w:r w:rsidR="003D3B0D">
        <w:t xml:space="preserve"> </w:t>
      </w:r>
      <w:r w:rsidR="00564371">
        <w:t xml:space="preserve">In the words of </w:t>
      </w:r>
      <w:r w:rsidR="009C20AB">
        <w:t xml:space="preserve">Cornelius </w:t>
      </w:r>
      <w:proofErr w:type="spellStart"/>
      <w:r w:rsidR="009C20AB">
        <w:t>Holtorf</w:t>
      </w:r>
      <w:proofErr w:type="spellEnd"/>
      <w:r w:rsidR="004D0F7D">
        <w:t xml:space="preserve">, pastness emancipates </w:t>
      </w:r>
      <w:r w:rsidR="00DA4768">
        <w:t xml:space="preserve">archaeological authenticity </w:t>
      </w:r>
      <w:r w:rsidR="00BB4D59">
        <w:t>from the object; however, personal narratives to an extent emancipate</w:t>
      </w:r>
      <w:r w:rsidR="00ED6411">
        <w:t xml:space="preserve"> </w:t>
      </w:r>
      <w:r w:rsidR="00BB4D59">
        <w:t>authenticity from pastness</w:t>
      </w:r>
      <w:r w:rsidR="00AF726A">
        <w:t>.</w:t>
      </w:r>
      <w:r w:rsidR="00AF726A">
        <w:rPr>
          <w:rStyle w:val="FootnoteReference"/>
        </w:rPr>
        <w:footnoteReference w:id="52"/>
      </w:r>
      <w:r w:rsidR="00AF726A">
        <w:t xml:space="preserve"> Reenactment allows the past to be, as is it</w:t>
      </w:r>
      <w:r w:rsidR="00540113">
        <w:t xml:space="preserve"> wants to be,</w:t>
      </w:r>
      <w:r w:rsidR="00AF726A">
        <w:t xml:space="preserve"> </w:t>
      </w:r>
      <w:r w:rsidR="00540113">
        <w:t>un</w:t>
      </w:r>
      <w:r w:rsidR="00564371">
        <w:t>finished business</w:t>
      </w:r>
      <w:r w:rsidR="00540113">
        <w:t>.</w:t>
      </w:r>
      <w:r w:rsidR="00025FC4">
        <w:rPr>
          <w:rStyle w:val="FootnoteReference"/>
        </w:rPr>
        <w:footnoteReference w:id="53"/>
      </w:r>
    </w:p>
    <w:p w14:paraId="63388B1B" w14:textId="77777777" w:rsidR="004D6352" w:rsidRDefault="004D6352" w:rsidP="00D13CC0">
      <w:pPr>
        <w:ind w:firstLine="720"/>
      </w:pPr>
    </w:p>
    <w:p w14:paraId="638D1833" w14:textId="77777777" w:rsidR="00B0795F" w:rsidRDefault="001F2C92" w:rsidP="00025FC4">
      <w:r>
        <w:tab/>
        <w:t>Battlefields and military monuments hold a unique place in</w:t>
      </w:r>
      <w:r w:rsidR="0030704A">
        <w:t xml:space="preserve"> discussions around authenticity. </w:t>
      </w:r>
      <w:r w:rsidR="00790683">
        <w:t xml:space="preserve">Memorials </w:t>
      </w:r>
      <w:r w:rsidR="00263723">
        <w:t>serve</w:t>
      </w:r>
      <w:r w:rsidR="00E07561">
        <w:t xml:space="preserve"> social and public functions, </w:t>
      </w:r>
      <w:r w:rsidR="00D2005F">
        <w:t>fostering</w:t>
      </w:r>
      <w:r w:rsidR="002C3FF8">
        <w:t xml:space="preserve"> the</w:t>
      </w:r>
      <w:r w:rsidR="00D2005F">
        <w:t xml:space="preserve"> healing</w:t>
      </w:r>
      <w:r w:rsidR="002C3FF8">
        <w:t xml:space="preserve"> of the collective and personal trauma of war.</w:t>
      </w:r>
      <w:r w:rsidR="002C3FF8">
        <w:rPr>
          <w:rStyle w:val="FootnoteReference"/>
        </w:rPr>
        <w:footnoteReference w:id="54"/>
      </w:r>
      <w:r w:rsidR="009919B5">
        <w:t xml:space="preserve"> </w:t>
      </w:r>
      <w:r w:rsidR="0013765C">
        <w:t xml:space="preserve">They serve as a physical object </w:t>
      </w:r>
      <w:r w:rsidR="007C1168">
        <w:t>o</w:t>
      </w:r>
      <w:r w:rsidR="0013765C">
        <w:t xml:space="preserve">nto which cultural </w:t>
      </w:r>
      <w:r w:rsidR="0065205C">
        <w:t xml:space="preserve">folk </w:t>
      </w:r>
      <w:r w:rsidR="0013765C">
        <w:t>memory is anchored</w:t>
      </w:r>
      <w:r w:rsidR="007C1168">
        <w:t xml:space="preserve"> </w:t>
      </w:r>
      <w:r w:rsidR="0065205C">
        <w:t xml:space="preserve">yet they are also tools for the engineering </w:t>
      </w:r>
      <w:r w:rsidR="009F29A1">
        <w:t>both historical</w:t>
      </w:r>
      <w:r w:rsidR="0065205C">
        <w:t xml:space="preserve"> </w:t>
      </w:r>
      <w:r w:rsidR="00D21B09">
        <w:t>and political narratives</w:t>
      </w:r>
      <w:r w:rsidR="001F3B73">
        <w:t>.</w:t>
      </w:r>
      <w:r w:rsidR="005A0C87">
        <w:t xml:space="preserve"> </w:t>
      </w:r>
      <w:r w:rsidR="009919B5">
        <w:t xml:space="preserve">They </w:t>
      </w:r>
      <w:r w:rsidR="00300145">
        <w:t>are not silent objects but ones that educate</w:t>
      </w:r>
      <w:r w:rsidR="00964010">
        <w:t xml:space="preserve"> and inspire </w:t>
      </w:r>
      <w:r w:rsidR="00C626E4">
        <w:t>profound reaction</w:t>
      </w:r>
      <w:r w:rsidR="00D21B09">
        <w:t>s</w:t>
      </w:r>
      <w:r w:rsidR="00C626E4">
        <w:t xml:space="preserve">. </w:t>
      </w:r>
      <w:proofErr w:type="gramStart"/>
      <w:r w:rsidR="00C626E4">
        <w:t>All of</w:t>
      </w:r>
      <w:proofErr w:type="gramEnd"/>
      <w:r w:rsidR="00C626E4">
        <w:t xml:space="preserve"> th</w:t>
      </w:r>
      <w:r w:rsidR="00D21B09">
        <w:t xml:space="preserve">ese qualities are </w:t>
      </w:r>
      <w:r w:rsidR="00D12E2B">
        <w:t>dependent</w:t>
      </w:r>
      <w:r w:rsidR="00C626E4">
        <w:t xml:space="preserve"> on the authenticity that monuments</w:t>
      </w:r>
      <w:r w:rsidR="00D12E2B">
        <w:t xml:space="preserve"> tap into but also radiate.</w:t>
      </w:r>
      <w:r w:rsidR="00E74A7E">
        <w:t xml:space="preserve"> Battlefield tourism</w:t>
      </w:r>
      <w:r w:rsidR="004E69D4">
        <w:t xml:space="preserve"> </w:t>
      </w:r>
      <w:r w:rsidR="00E02E66">
        <w:t xml:space="preserve">is a growing </w:t>
      </w:r>
      <w:r w:rsidR="0052533A">
        <w:t>sector and</w:t>
      </w:r>
      <w:r w:rsidR="00E02E66">
        <w:t xml:space="preserve"> has been from the last quarter of the 20th century; </w:t>
      </w:r>
      <w:r w:rsidR="00F64F46">
        <w:t>battles themselves, like monuments</w:t>
      </w:r>
      <w:r w:rsidR="0023757E">
        <w:t xml:space="preserve">, can be viewed as symbolic time markers </w:t>
      </w:r>
      <w:r w:rsidR="00534333">
        <w:t>of the seismic events that shape a nation.</w:t>
      </w:r>
      <w:r w:rsidR="00534333">
        <w:rPr>
          <w:rStyle w:val="FootnoteReference"/>
        </w:rPr>
        <w:footnoteReference w:id="55"/>
      </w:r>
      <w:r w:rsidR="00C4078F">
        <w:t xml:space="preserve"> </w:t>
      </w:r>
      <w:r w:rsidR="00860D08">
        <w:t xml:space="preserve">The lack of trace left </w:t>
      </w:r>
      <w:r w:rsidR="00F87059">
        <w:t>on</w:t>
      </w:r>
      <w:r w:rsidR="00860D08">
        <w:t xml:space="preserve"> most battlefield sites necessitates the creation of monuments</w:t>
      </w:r>
      <w:r w:rsidR="00F87059">
        <w:t xml:space="preserve"> because without a monument there is no vessel to contain the authenticity</w:t>
      </w:r>
      <w:r w:rsidR="005F0619">
        <w:t>, no object link to create the numinous reverence w</w:t>
      </w:r>
      <w:r w:rsidR="009F29A1">
        <w:t xml:space="preserve">hich we expect to feel in the presence of history. </w:t>
      </w:r>
      <w:r w:rsidR="00BD1EDD">
        <w:t>T</w:t>
      </w:r>
      <w:r w:rsidR="009A3418">
        <w:t xml:space="preserve">o conclude this discussion, military memorials and </w:t>
      </w:r>
      <w:r w:rsidR="00AE5098">
        <w:t xml:space="preserve">battlefields </w:t>
      </w:r>
      <w:r w:rsidR="001176D4">
        <w:t xml:space="preserve">convey powerful expressions of authenticity yet by their nature lack </w:t>
      </w:r>
      <w:r w:rsidR="009277D0">
        <w:t xml:space="preserve">the </w:t>
      </w:r>
      <w:r w:rsidR="00076DAC">
        <w:t xml:space="preserve">physical properties of </w:t>
      </w:r>
      <w:r w:rsidR="00B61E6E">
        <w:t xml:space="preserve">traditional authentic objects. </w:t>
      </w:r>
      <w:r w:rsidR="004B6AF7">
        <w:t xml:space="preserve">Their authenticity is by necessity constructed from the cultural psyche </w:t>
      </w:r>
      <w:r w:rsidR="00751801">
        <w:t>and their existence fuels and captures the cultural memory</w:t>
      </w:r>
      <w:r w:rsidR="00754142">
        <w:t xml:space="preserve"> into tangible objects.</w:t>
      </w:r>
    </w:p>
    <w:p w14:paraId="1AD00425" w14:textId="77777777" w:rsidR="00B0795F" w:rsidRDefault="00B0795F" w:rsidP="00025FC4"/>
    <w:p w14:paraId="5AB2D3D0" w14:textId="77777777" w:rsidR="00E210A0" w:rsidRDefault="00E210A0" w:rsidP="00025FC4"/>
    <w:p w14:paraId="2FB8728B" w14:textId="77777777" w:rsidR="00E210A0" w:rsidRDefault="00E210A0" w:rsidP="00025FC4"/>
    <w:p w14:paraId="4595ED27" w14:textId="77777777" w:rsidR="00B0795F" w:rsidRDefault="00B0795F" w:rsidP="00025FC4"/>
    <w:p w14:paraId="5A281D99" w14:textId="77777777" w:rsidR="00B0795F" w:rsidRDefault="00B0795F" w:rsidP="00025FC4"/>
    <w:p w14:paraId="54C9C026" w14:textId="77777777" w:rsidR="00B0795F" w:rsidRPr="003831AB" w:rsidRDefault="00B0795F" w:rsidP="00025FC4"/>
    <w:sdt>
      <w:sdtPr>
        <w:id w:val="-140975738"/>
        <w:docPartObj>
          <w:docPartGallery w:val="Bibliographies"/>
          <w:docPartUnique/>
        </w:docPartObj>
      </w:sdtPr>
      <w:sdtEndPr>
        <w:rPr>
          <w:rFonts w:ascii="Times New Roman" w:eastAsia="Times New Roman" w:hAnsi="Times New Roman" w:cs="Times New Roman"/>
          <w:color w:val="auto"/>
          <w:sz w:val="20"/>
          <w:szCs w:val="20"/>
        </w:rPr>
      </w:sdtEndPr>
      <w:sdtContent>
        <w:p w14:paraId="36E63F22" w14:textId="2909E615" w:rsidR="00B0795F" w:rsidRDefault="00B0795F">
          <w:pPr>
            <w:pStyle w:val="Heading1"/>
          </w:pPr>
          <w:r>
            <w:t>Bibliography</w:t>
          </w:r>
        </w:p>
        <w:sdt>
          <w:sdtPr>
            <w:id w:val="111145805"/>
            <w:bibliography/>
          </w:sdtPr>
          <w:sdtEndPr>
            <w:rPr>
              <w:sz w:val="20"/>
              <w:szCs w:val="20"/>
            </w:rPr>
          </w:sdtEndPr>
          <w:sdtContent>
            <w:p w14:paraId="506A40B7" w14:textId="0B79443D" w:rsidR="00B0795F" w:rsidRDefault="003B47BB">
              <w:pPr>
                <w:rPr>
                  <w:b/>
                  <w:bCs/>
                </w:rPr>
              </w:pPr>
              <w:r>
                <w:tab/>
              </w:r>
              <w:r>
                <w:rPr>
                  <w:b/>
                  <w:bCs/>
                </w:rPr>
                <w:t xml:space="preserve">Secondary Sources </w:t>
              </w:r>
            </w:p>
            <w:p w14:paraId="7399F2B5" w14:textId="77777777" w:rsidR="003B47BB" w:rsidRPr="003B47BB" w:rsidRDefault="003B47BB">
              <w:pPr>
                <w:rPr>
                  <w:b/>
                  <w:bCs/>
                </w:rPr>
              </w:pPr>
            </w:p>
            <w:p w14:paraId="0E415F30" w14:textId="74B28E02" w:rsidR="00D03AC3" w:rsidRPr="00D03AC3" w:rsidRDefault="00D03AC3" w:rsidP="00D03AC3">
              <w:pPr>
                <w:pStyle w:val="ListParagraph"/>
                <w:numPr>
                  <w:ilvl w:val="0"/>
                  <w:numId w:val="2"/>
                </w:numPr>
                <w:rPr>
                  <w:b/>
                  <w:bCs/>
                </w:rPr>
              </w:pPr>
              <w:proofErr w:type="spellStart"/>
              <w:r w:rsidRPr="00F730D6">
                <w:t>Alvesad</w:t>
              </w:r>
              <w:proofErr w:type="spellEnd"/>
              <w:r w:rsidRPr="00F730D6">
                <w:t xml:space="preserve">, Karl C., &amp; Houghton, Robert, </w:t>
              </w:r>
              <w:r w:rsidRPr="00F730D6">
                <w:rPr>
                  <w:i/>
                  <w:iCs/>
                </w:rPr>
                <w:t>The Middle Ages in Modern Culture : History and Authenticity in Contemporary Medievalism</w:t>
              </w:r>
              <w:r w:rsidRPr="00F730D6">
                <w:t xml:space="preserve"> (Bloomsbury Academic, 2021).</w:t>
              </w:r>
            </w:p>
            <w:p w14:paraId="3D08730A" w14:textId="77777777" w:rsidR="00D03AC3" w:rsidRDefault="00D03AC3" w:rsidP="00D03AC3">
              <w:pPr>
                <w:pStyle w:val="ListParagraph"/>
              </w:pPr>
            </w:p>
            <w:p w14:paraId="2C9996AA" w14:textId="7CED7758" w:rsidR="00550AE4" w:rsidRDefault="009A3EDD" w:rsidP="00B0795F">
              <w:pPr>
                <w:pStyle w:val="ListParagraph"/>
                <w:numPr>
                  <w:ilvl w:val="0"/>
                  <w:numId w:val="2"/>
                </w:numPr>
              </w:pPr>
              <w:proofErr w:type="spellStart"/>
              <w:r w:rsidRPr="00B559DB">
                <w:t>Beckstead</w:t>
              </w:r>
              <w:proofErr w:type="spellEnd"/>
              <w:r w:rsidRPr="00B559DB">
                <w:t>, Zachary</w:t>
              </w:r>
              <w:r>
                <w:t xml:space="preserve">; </w:t>
              </w:r>
              <w:proofErr w:type="spellStart"/>
              <w:r w:rsidRPr="00B559DB">
                <w:t>Twose</w:t>
              </w:r>
              <w:proofErr w:type="spellEnd"/>
              <w:r w:rsidRPr="00B559DB">
                <w:t>, Gabriel</w:t>
              </w:r>
              <w:r>
                <w:t xml:space="preserve">; </w:t>
              </w:r>
              <w:r w:rsidRPr="00B559DB">
                <w:t>Levesque-Gottlieb</w:t>
              </w:r>
              <w:r>
                <w:t>,</w:t>
              </w:r>
              <w:r>
                <w:t xml:space="preserve"> </w:t>
              </w:r>
              <w:r w:rsidRPr="00B559DB">
                <w:t>Emily</w:t>
              </w:r>
              <w:r>
                <w:t>;</w:t>
              </w:r>
              <w:r>
                <w:t xml:space="preserve"> </w:t>
              </w:r>
              <w:r w:rsidRPr="00B559DB">
                <w:t>and Rizzo</w:t>
              </w:r>
              <w:r>
                <w:t xml:space="preserve">, </w:t>
              </w:r>
              <w:r w:rsidRPr="00B559DB">
                <w:t>Julia</w:t>
              </w:r>
              <w:r>
                <w:t xml:space="preserve">, </w:t>
              </w:r>
              <w:r>
                <w:t>‘</w:t>
              </w:r>
              <w:r w:rsidRPr="00B559DB">
                <w:t>Collective</w:t>
              </w:r>
              <w:r>
                <w:t xml:space="preserve"> </w:t>
              </w:r>
              <w:r w:rsidRPr="00B559DB">
                <w:t>remembering</w:t>
              </w:r>
              <w:r>
                <w:t xml:space="preserve"> </w:t>
              </w:r>
              <w:r w:rsidRPr="00B559DB">
                <w:t>through the materiality and</w:t>
              </w:r>
              <w:r>
                <w:t xml:space="preserve"> </w:t>
              </w:r>
              <w:r w:rsidRPr="00B559DB">
                <w:t>organization of war memorials</w:t>
              </w:r>
              <w:r>
                <w:t>’</w:t>
              </w:r>
              <w:r w:rsidRPr="00B559DB">
                <w:rPr>
                  <w:i/>
                  <w:iCs/>
                </w:rPr>
                <w:t>, Journal of Material Culture</w:t>
              </w:r>
              <w:r>
                <w:t>, 16.</w:t>
              </w:r>
              <w:r w:rsidRPr="00B559DB">
                <w:t>2</w:t>
              </w:r>
              <w:r>
                <w:t xml:space="preserve"> (2012)</w:t>
              </w:r>
              <w:r w:rsidRPr="00B559DB">
                <w:t xml:space="preserve"> 193–213</w:t>
              </w:r>
              <w:r>
                <w:t>.</w:t>
              </w:r>
            </w:p>
            <w:p w14:paraId="6CD27C72" w14:textId="77777777" w:rsidR="00550AE4" w:rsidRDefault="00550AE4" w:rsidP="00550AE4"/>
            <w:p w14:paraId="4F603445" w14:textId="77777777" w:rsidR="00550AE4" w:rsidRDefault="00550AE4" w:rsidP="00550AE4">
              <w:pPr>
                <w:pStyle w:val="FootnoteText"/>
                <w:numPr>
                  <w:ilvl w:val="0"/>
                  <w:numId w:val="2"/>
                </w:numPr>
                <w:rPr>
                  <w:sz w:val="24"/>
                  <w:szCs w:val="24"/>
                </w:rPr>
              </w:pPr>
              <w:r w:rsidRPr="00F730D6">
                <w:rPr>
                  <w:sz w:val="24"/>
                  <w:szCs w:val="24"/>
                </w:rPr>
                <w:t xml:space="preserve">Benjamin, Walter, ‘The Work of Art in the Age of Mechanical Reproduction’, in </w:t>
              </w:r>
              <w:r w:rsidRPr="00F730D6">
                <w:rPr>
                  <w:i/>
                  <w:iCs/>
                  <w:sz w:val="24"/>
                  <w:szCs w:val="24"/>
                </w:rPr>
                <w:t xml:space="preserve">Illuminations, </w:t>
              </w:r>
              <w:r w:rsidRPr="00F730D6">
                <w:rPr>
                  <w:sz w:val="24"/>
                  <w:szCs w:val="24"/>
                </w:rPr>
                <w:t xml:space="preserve">ed. Hannah Arendt, trans. Harry Zohn (New York: </w:t>
              </w:r>
              <w:proofErr w:type="spellStart"/>
              <w:r w:rsidRPr="00F730D6">
                <w:rPr>
                  <w:sz w:val="24"/>
                  <w:szCs w:val="24"/>
                </w:rPr>
                <w:t>Schocken</w:t>
              </w:r>
              <w:proofErr w:type="spellEnd"/>
              <w:r w:rsidRPr="00F730D6">
                <w:rPr>
                  <w:sz w:val="24"/>
                  <w:szCs w:val="24"/>
                </w:rPr>
                <w:t xml:space="preserve"> Books, 1969).</w:t>
              </w:r>
            </w:p>
            <w:p w14:paraId="30B33872" w14:textId="77777777" w:rsidR="00E42457" w:rsidRDefault="00E42457" w:rsidP="00E42457">
              <w:pPr>
                <w:pStyle w:val="ListParagraph"/>
              </w:pPr>
            </w:p>
            <w:p w14:paraId="5B3C3B13" w14:textId="7566594B" w:rsidR="00E42457" w:rsidRDefault="00E42457" w:rsidP="00E42457">
              <w:pPr>
                <w:pStyle w:val="FootnoteText"/>
                <w:numPr>
                  <w:ilvl w:val="0"/>
                  <w:numId w:val="2"/>
                </w:numPr>
                <w:rPr>
                  <w:sz w:val="24"/>
                  <w:szCs w:val="24"/>
                </w:rPr>
              </w:pPr>
              <w:r w:rsidRPr="00F730D6">
                <w:rPr>
                  <w:sz w:val="24"/>
                  <w:szCs w:val="24"/>
                </w:rPr>
                <w:t xml:space="preserve">Cameron, Catherine M., &amp; Gatewood, John B., ‘Excursions into the Un-Remembered Past: What People Want from Visits to Historical Sites’, </w:t>
              </w:r>
              <w:r w:rsidRPr="00F730D6">
                <w:rPr>
                  <w:i/>
                  <w:iCs/>
                  <w:sz w:val="24"/>
                  <w:szCs w:val="24"/>
                </w:rPr>
                <w:t>The Public Historian</w:t>
              </w:r>
              <w:r w:rsidRPr="00F730D6">
                <w:rPr>
                  <w:sz w:val="24"/>
                  <w:szCs w:val="24"/>
                </w:rPr>
                <w:t>, 22.3 (2000), pp. 107-127.</w:t>
              </w:r>
            </w:p>
            <w:p w14:paraId="72EC7985" w14:textId="77777777" w:rsidR="00C16A1D" w:rsidRDefault="00C16A1D" w:rsidP="00C16A1D">
              <w:pPr>
                <w:pStyle w:val="ListParagraph"/>
              </w:pPr>
            </w:p>
            <w:p w14:paraId="049F6B85" w14:textId="4B281E1D" w:rsidR="00C16A1D" w:rsidRDefault="00C16A1D" w:rsidP="00E42457">
              <w:pPr>
                <w:pStyle w:val="FootnoteText"/>
                <w:numPr>
                  <w:ilvl w:val="0"/>
                  <w:numId w:val="2"/>
                </w:numPr>
                <w:rPr>
                  <w:sz w:val="24"/>
                  <w:szCs w:val="24"/>
                </w:rPr>
              </w:pPr>
              <w:r w:rsidRPr="00C16A1D">
                <w:rPr>
                  <w:sz w:val="24"/>
                  <w:szCs w:val="24"/>
                </w:rPr>
                <w:t xml:space="preserve">Doss, </w:t>
              </w:r>
              <w:r>
                <w:rPr>
                  <w:sz w:val="24"/>
                  <w:szCs w:val="24"/>
                </w:rPr>
                <w:t xml:space="preserve">Erika, </w:t>
              </w:r>
              <w:r w:rsidRPr="00C16A1D">
                <w:rPr>
                  <w:sz w:val="24"/>
                  <w:szCs w:val="24"/>
                </w:rPr>
                <w:t xml:space="preserve">‘Authenticity, Memory, and Materiality: Disgraced Memorials and Issues of Permanence’, </w:t>
              </w:r>
              <w:r w:rsidRPr="00C16A1D">
                <w:rPr>
                  <w:i/>
                  <w:iCs/>
                  <w:sz w:val="24"/>
                  <w:szCs w:val="24"/>
                </w:rPr>
                <w:t>American Quarterly</w:t>
              </w:r>
              <w:r w:rsidRPr="00C16A1D">
                <w:rPr>
                  <w:sz w:val="24"/>
                  <w:szCs w:val="24"/>
                </w:rPr>
                <w:t>, 73.1 (2021) 135-139</w:t>
              </w:r>
            </w:p>
            <w:p w14:paraId="47A34896" w14:textId="77777777" w:rsidR="009B78D9" w:rsidRDefault="009B78D9" w:rsidP="009B78D9">
              <w:pPr>
                <w:pStyle w:val="ListParagraph"/>
              </w:pPr>
            </w:p>
            <w:p w14:paraId="154D0AC8" w14:textId="001B854C" w:rsidR="009B78D9" w:rsidRPr="00E42457" w:rsidRDefault="009B78D9" w:rsidP="00E42457">
              <w:pPr>
                <w:pStyle w:val="FootnoteText"/>
                <w:numPr>
                  <w:ilvl w:val="0"/>
                  <w:numId w:val="2"/>
                </w:numPr>
                <w:rPr>
                  <w:sz w:val="24"/>
                  <w:szCs w:val="24"/>
                </w:rPr>
              </w:pPr>
              <w:proofErr w:type="spellStart"/>
              <w:r w:rsidRPr="009B78D9">
                <w:rPr>
                  <w:sz w:val="24"/>
                  <w:szCs w:val="24"/>
                </w:rPr>
                <w:t>Gapps</w:t>
              </w:r>
              <w:proofErr w:type="spellEnd"/>
              <w:r w:rsidRPr="009B78D9">
                <w:rPr>
                  <w:sz w:val="24"/>
                  <w:szCs w:val="24"/>
                </w:rPr>
                <w:t>, Stephen</w:t>
              </w:r>
              <w:r>
                <w:rPr>
                  <w:sz w:val="24"/>
                  <w:szCs w:val="24"/>
                </w:rPr>
                <w:t xml:space="preserve">, </w:t>
              </w:r>
              <w:r w:rsidRPr="009B78D9">
                <w:rPr>
                  <w:sz w:val="24"/>
                  <w:szCs w:val="24"/>
                </w:rPr>
                <w:t xml:space="preserve">‘Mobile monuments: A view of historical reenactment and authenticity from inside the costume cupboard of history’ </w:t>
              </w:r>
              <w:r w:rsidRPr="009B78D9">
                <w:rPr>
                  <w:i/>
                  <w:iCs/>
                  <w:sz w:val="24"/>
                  <w:szCs w:val="24"/>
                </w:rPr>
                <w:t>Rethinking History</w:t>
              </w:r>
              <w:r w:rsidRPr="009B78D9">
                <w:rPr>
                  <w:sz w:val="24"/>
                  <w:szCs w:val="24"/>
                </w:rPr>
                <w:t>, 13.3 (2009) 395-409</w:t>
              </w:r>
              <w:r>
                <w:rPr>
                  <w:sz w:val="24"/>
                  <w:szCs w:val="24"/>
                </w:rPr>
                <w:t>.</w:t>
              </w:r>
            </w:p>
            <w:p w14:paraId="323B7FD7" w14:textId="77777777" w:rsidR="00737922" w:rsidRDefault="00737922" w:rsidP="00737922">
              <w:pPr>
                <w:pStyle w:val="ListParagraph"/>
              </w:pPr>
            </w:p>
            <w:p w14:paraId="1A510BB9" w14:textId="0A680780" w:rsidR="00737922" w:rsidRPr="00737922" w:rsidRDefault="00737922" w:rsidP="00737922">
              <w:pPr>
                <w:pStyle w:val="FootnoteText"/>
                <w:numPr>
                  <w:ilvl w:val="0"/>
                  <w:numId w:val="2"/>
                </w:numPr>
                <w:rPr>
                  <w:sz w:val="24"/>
                  <w:szCs w:val="24"/>
                </w:rPr>
              </w:pPr>
              <w:proofErr w:type="spellStart"/>
              <w:r w:rsidRPr="00F730D6">
                <w:rPr>
                  <w:sz w:val="24"/>
                  <w:szCs w:val="24"/>
                </w:rPr>
                <w:t>Groys</w:t>
              </w:r>
              <w:proofErr w:type="spellEnd"/>
              <w:r w:rsidRPr="00F730D6">
                <w:rPr>
                  <w:sz w:val="24"/>
                  <w:szCs w:val="24"/>
                </w:rPr>
                <w:t xml:space="preserve">, Boris, </w:t>
              </w:r>
              <w:r w:rsidRPr="00F730D6">
                <w:rPr>
                  <w:i/>
                  <w:iCs/>
                  <w:sz w:val="24"/>
                  <w:szCs w:val="24"/>
                </w:rPr>
                <w:t>In the Flow</w:t>
              </w:r>
              <w:r w:rsidRPr="00F730D6">
                <w:rPr>
                  <w:sz w:val="24"/>
                  <w:szCs w:val="24"/>
                </w:rPr>
                <w:t xml:space="preserve"> (London: Verso, 2016).</w:t>
              </w:r>
            </w:p>
            <w:p w14:paraId="77AB9661" w14:textId="77777777" w:rsidR="00AF0E27" w:rsidRDefault="00AF0E27" w:rsidP="00AF0E27">
              <w:pPr>
                <w:pStyle w:val="ListParagraph"/>
              </w:pPr>
            </w:p>
            <w:p w14:paraId="7C417ED4" w14:textId="6BFB1AFF" w:rsidR="00AF0E27" w:rsidRDefault="00AF0E27" w:rsidP="00AF0E27">
              <w:pPr>
                <w:pStyle w:val="FootnoteText"/>
                <w:numPr>
                  <w:ilvl w:val="0"/>
                  <w:numId w:val="2"/>
                </w:numPr>
                <w:rPr>
                  <w:sz w:val="24"/>
                  <w:szCs w:val="24"/>
                </w:rPr>
              </w:pPr>
              <w:proofErr w:type="spellStart"/>
              <w:r w:rsidRPr="00F730D6">
                <w:rPr>
                  <w:sz w:val="24"/>
                  <w:szCs w:val="24"/>
                </w:rPr>
                <w:t>Holtorf</w:t>
              </w:r>
              <w:proofErr w:type="spellEnd"/>
              <w:r w:rsidRPr="00F730D6">
                <w:rPr>
                  <w:sz w:val="24"/>
                  <w:szCs w:val="24"/>
                </w:rPr>
                <w:t xml:space="preserve">, Cornelius, ‘On Pastness: A reconsideration of Materiality in Archaeological Object Authenticity’, </w:t>
              </w:r>
              <w:r w:rsidRPr="00F730D6">
                <w:rPr>
                  <w:i/>
                  <w:iCs/>
                  <w:sz w:val="24"/>
                  <w:szCs w:val="24"/>
                </w:rPr>
                <w:t xml:space="preserve">Anthropological Quarterly , </w:t>
              </w:r>
              <w:r w:rsidRPr="00F730D6">
                <w:rPr>
                  <w:sz w:val="24"/>
                  <w:szCs w:val="24"/>
                </w:rPr>
                <w:t>86.2 (2013) pp. 427-443.</w:t>
              </w:r>
            </w:p>
            <w:p w14:paraId="548A2FFA" w14:textId="77777777" w:rsidR="003B47BB" w:rsidRDefault="003B47BB" w:rsidP="003B47BB">
              <w:pPr>
                <w:pStyle w:val="ListParagraph"/>
              </w:pPr>
            </w:p>
            <w:p w14:paraId="756F93E8" w14:textId="2E90C5EA" w:rsidR="003B47BB" w:rsidRPr="003B47BB" w:rsidRDefault="003B47BB" w:rsidP="003B47BB">
              <w:pPr>
                <w:pStyle w:val="FootnoteText"/>
                <w:numPr>
                  <w:ilvl w:val="0"/>
                  <w:numId w:val="2"/>
                </w:numPr>
                <w:rPr>
                  <w:sz w:val="24"/>
                  <w:szCs w:val="24"/>
                </w:rPr>
              </w:pPr>
              <w:r w:rsidRPr="00F730D6">
                <w:rPr>
                  <w:sz w:val="24"/>
                  <w:szCs w:val="24"/>
                </w:rPr>
                <w:t xml:space="preserve">Jackson, Anthony, &amp; Leahy, Helen Rees, ‘Seeing it for Real…? – Authenticity, Theatre, and Learning in Museums’, </w:t>
              </w:r>
              <w:r w:rsidRPr="00F730D6">
                <w:rPr>
                  <w:i/>
                  <w:iCs/>
                  <w:sz w:val="24"/>
                  <w:szCs w:val="24"/>
                </w:rPr>
                <w:t xml:space="preserve">Research in Drama Education: The Journal of Applied Theatre and Performance, </w:t>
              </w:r>
              <w:r w:rsidRPr="00F730D6">
                <w:rPr>
                  <w:sz w:val="24"/>
                  <w:szCs w:val="24"/>
                </w:rPr>
                <w:t>10.3 (2005) pp. 303-325</w:t>
              </w:r>
              <w:r>
                <w:rPr>
                  <w:sz w:val="24"/>
                  <w:szCs w:val="24"/>
                </w:rPr>
                <w:t>.</w:t>
              </w:r>
            </w:p>
            <w:p w14:paraId="6040D3A3" w14:textId="77777777" w:rsidR="00550AE4" w:rsidRDefault="00550AE4" w:rsidP="00550AE4"/>
            <w:p w14:paraId="349E3FBA" w14:textId="77777777" w:rsidR="00E5262C" w:rsidRDefault="00E5262C" w:rsidP="00E5262C">
              <w:pPr>
                <w:pStyle w:val="FootnoteText"/>
                <w:numPr>
                  <w:ilvl w:val="0"/>
                  <w:numId w:val="2"/>
                </w:numPr>
                <w:rPr>
                  <w:sz w:val="24"/>
                  <w:szCs w:val="24"/>
                </w:rPr>
              </w:pPr>
              <w:proofErr w:type="spellStart"/>
              <w:r w:rsidRPr="00F730D6">
                <w:rPr>
                  <w:sz w:val="24"/>
                  <w:szCs w:val="24"/>
                </w:rPr>
                <w:t>Kenderdine</w:t>
              </w:r>
              <w:proofErr w:type="spellEnd"/>
              <w:r w:rsidRPr="00F730D6">
                <w:rPr>
                  <w:sz w:val="24"/>
                  <w:szCs w:val="24"/>
                </w:rPr>
                <w:t xml:space="preserve">, Sarah, &amp; Yip, Andrew, ‘The Proliferation of Aura: Facsimiles, Authenticity, and Digital Objects’, in </w:t>
              </w:r>
              <w:r w:rsidRPr="00F730D6">
                <w:rPr>
                  <w:i/>
                  <w:iCs/>
                  <w:sz w:val="24"/>
                  <w:szCs w:val="24"/>
                </w:rPr>
                <w:t xml:space="preserve">The Routledge Handbook of Museums, Media, and Communication, </w:t>
              </w:r>
              <w:r w:rsidRPr="00F730D6">
                <w:rPr>
                  <w:sz w:val="24"/>
                  <w:szCs w:val="24"/>
                </w:rPr>
                <w:t xml:space="preserve">ed. Kirsten </w:t>
              </w:r>
              <w:proofErr w:type="spellStart"/>
              <w:r w:rsidRPr="00F730D6">
                <w:rPr>
                  <w:sz w:val="24"/>
                  <w:szCs w:val="24"/>
                </w:rPr>
                <w:t>Drotner</w:t>
              </w:r>
              <w:proofErr w:type="spellEnd"/>
              <w:r w:rsidRPr="00F730D6">
                <w:rPr>
                  <w:sz w:val="24"/>
                  <w:szCs w:val="24"/>
                </w:rPr>
                <w:t xml:space="preserve">, Vince </w:t>
              </w:r>
              <w:proofErr w:type="spellStart"/>
              <w:r w:rsidRPr="00F730D6">
                <w:rPr>
                  <w:sz w:val="24"/>
                  <w:szCs w:val="24"/>
                </w:rPr>
                <w:t>Dziekan</w:t>
              </w:r>
              <w:proofErr w:type="spellEnd"/>
              <w:r w:rsidRPr="00F730D6">
                <w:rPr>
                  <w:sz w:val="24"/>
                  <w:szCs w:val="24"/>
                </w:rPr>
                <w:t xml:space="preserve">, Ross Parry, Kim Christian </w:t>
              </w:r>
              <w:proofErr w:type="spellStart"/>
              <w:r w:rsidRPr="00F730D6">
                <w:rPr>
                  <w:sz w:val="24"/>
                  <w:szCs w:val="24"/>
                </w:rPr>
                <w:t>Schrøder</w:t>
              </w:r>
              <w:proofErr w:type="spellEnd"/>
              <w:r w:rsidRPr="00F730D6">
                <w:rPr>
                  <w:sz w:val="24"/>
                  <w:szCs w:val="24"/>
                </w:rPr>
                <w:t xml:space="preserve"> (London: Routledge, 2018) pp. 274-289.</w:t>
              </w:r>
            </w:p>
            <w:p w14:paraId="0C647C75" w14:textId="77777777" w:rsidR="0099698C" w:rsidRDefault="0099698C" w:rsidP="0099698C">
              <w:pPr>
                <w:pStyle w:val="ListParagraph"/>
              </w:pPr>
            </w:p>
            <w:p w14:paraId="18EE634F" w14:textId="3AE0517E" w:rsidR="0099698C" w:rsidRDefault="0099698C" w:rsidP="00E5262C">
              <w:pPr>
                <w:pStyle w:val="FootnoteText"/>
                <w:numPr>
                  <w:ilvl w:val="0"/>
                  <w:numId w:val="2"/>
                </w:numPr>
                <w:rPr>
                  <w:sz w:val="24"/>
                  <w:szCs w:val="24"/>
                </w:rPr>
              </w:pPr>
              <w:r w:rsidRPr="0099698C">
                <w:rPr>
                  <w:sz w:val="24"/>
                  <w:szCs w:val="24"/>
                </w:rPr>
                <w:t>Latham, Kiersten F.</w:t>
              </w:r>
              <w:r>
                <w:rPr>
                  <w:sz w:val="24"/>
                  <w:szCs w:val="24"/>
                </w:rPr>
                <w:t xml:space="preserve">, </w:t>
              </w:r>
              <w:r w:rsidRPr="0099698C">
                <w:rPr>
                  <w:sz w:val="24"/>
                  <w:szCs w:val="24"/>
                </w:rPr>
                <w:t xml:space="preserve">‘Numinous Experiences with Museum Objects.’, </w:t>
              </w:r>
              <w:r w:rsidRPr="0099698C">
                <w:rPr>
                  <w:i/>
                  <w:iCs/>
                  <w:sz w:val="24"/>
                  <w:szCs w:val="24"/>
                </w:rPr>
                <w:t>Visitor Studies</w:t>
              </w:r>
              <w:r w:rsidRPr="0099698C">
                <w:rPr>
                  <w:sz w:val="24"/>
                  <w:szCs w:val="24"/>
                </w:rPr>
                <w:t>, 16.1 (2013) pp. 3-20</w:t>
              </w:r>
            </w:p>
            <w:p w14:paraId="1AA0A449" w14:textId="77777777" w:rsidR="00752A15" w:rsidRDefault="00752A15" w:rsidP="00752A15">
              <w:pPr>
                <w:pStyle w:val="ListParagraph"/>
              </w:pPr>
            </w:p>
            <w:p w14:paraId="5BCE7663" w14:textId="2177FBE1" w:rsidR="00752A15" w:rsidRDefault="00752A15" w:rsidP="00752A15">
              <w:pPr>
                <w:pStyle w:val="FootnoteText"/>
                <w:numPr>
                  <w:ilvl w:val="0"/>
                  <w:numId w:val="2"/>
                </w:numPr>
                <w:rPr>
                  <w:sz w:val="24"/>
                  <w:szCs w:val="24"/>
                </w:rPr>
              </w:pPr>
              <w:r w:rsidRPr="00F730D6">
                <w:rPr>
                  <w:sz w:val="24"/>
                  <w:szCs w:val="24"/>
                </w:rPr>
                <w:t xml:space="preserve">Latour, Bruno, &amp; Lowe, Adam, ‘The Migration of the Aura or How to Explore the Original Through It’s Facsimiles’, in </w:t>
              </w:r>
              <w:r w:rsidRPr="00F730D6">
                <w:rPr>
                  <w:i/>
                  <w:iCs/>
                  <w:sz w:val="24"/>
                  <w:szCs w:val="24"/>
                </w:rPr>
                <w:t>Switching Codes: Thinking Through Digital Technology in the Humanities and the Arts</w:t>
              </w:r>
              <w:r w:rsidRPr="00F730D6">
                <w:rPr>
                  <w:sz w:val="24"/>
                  <w:szCs w:val="24"/>
                </w:rPr>
                <w:t xml:space="preserve">, ed. Thomas </w:t>
              </w:r>
              <w:proofErr w:type="spellStart"/>
              <w:r w:rsidRPr="00F730D6">
                <w:rPr>
                  <w:sz w:val="24"/>
                  <w:szCs w:val="24"/>
                </w:rPr>
                <w:t>Bartscherer</w:t>
              </w:r>
              <w:proofErr w:type="spellEnd"/>
              <w:r w:rsidRPr="00F730D6">
                <w:rPr>
                  <w:sz w:val="24"/>
                  <w:szCs w:val="24"/>
                </w:rPr>
                <w:t xml:space="preserve">, &amp; Roderick </w:t>
              </w:r>
              <w:proofErr w:type="spellStart"/>
              <w:r w:rsidRPr="00F730D6">
                <w:rPr>
                  <w:sz w:val="24"/>
                  <w:szCs w:val="24"/>
                </w:rPr>
                <w:t>Coover</w:t>
              </w:r>
              <w:proofErr w:type="spellEnd"/>
              <w:r w:rsidRPr="00F730D6">
                <w:rPr>
                  <w:sz w:val="24"/>
                  <w:szCs w:val="24"/>
                </w:rPr>
                <w:t xml:space="preserve"> (Chicago: University of Chicago Press, 2010).</w:t>
              </w:r>
            </w:p>
            <w:p w14:paraId="40C29996" w14:textId="77777777" w:rsidR="000F5B9E" w:rsidRDefault="000F5B9E" w:rsidP="000F5B9E">
              <w:pPr>
                <w:pStyle w:val="ListParagraph"/>
              </w:pPr>
            </w:p>
            <w:p w14:paraId="4C591CAD" w14:textId="3A4B7102" w:rsidR="00E42457" w:rsidRDefault="000F5B9E" w:rsidP="000F5B9E">
              <w:pPr>
                <w:pStyle w:val="ListParagraph"/>
                <w:numPr>
                  <w:ilvl w:val="0"/>
                  <w:numId w:val="2"/>
                </w:numPr>
              </w:pPr>
              <w:r w:rsidRPr="000F5B9E">
                <w:lastRenderedPageBreak/>
                <w:t xml:space="preserve">Maria, </w:t>
              </w:r>
              <w:r w:rsidR="009B78D9" w:rsidRPr="000F5B9E">
                <w:t xml:space="preserve">Lingström, </w:t>
              </w:r>
              <w:r w:rsidRPr="000F5B9E">
                <w:t>&amp; Sutherland, Tim, ‘A new interpretation of the partial inscription on the memorial cross at Grens, Mästerby parish, Gotland’, Fornvännen: Journal of Swedish Antiquarian Research, 116 (2021), 38-53</w:t>
              </w:r>
            </w:p>
            <w:p w14:paraId="7C262228" w14:textId="77777777" w:rsidR="000F5B9E" w:rsidRDefault="000F5B9E" w:rsidP="00E42457">
              <w:pPr>
                <w:pStyle w:val="ListParagraph"/>
              </w:pPr>
            </w:p>
            <w:p w14:paraId="3E6F3BE2" w14:textId="43C369A6" w:rsidR="00E42457" w:rsidRDefault="00E42457" w:rsidP="00752A15">
              <w:pPr>
                <w:pStyle w:val="FootnoteText"/>
                <w:numPr>
                  <w:ilvl w:val="0"/>
                  <w:numId w:val="2"/>
                </w:numPr>
                <w:rPr>
                  <w:sz w:val="24"/>
                  <w:szCs w:val="24"/>
                </w:rPr>
              </w:pPr>
              <w:r w:rsidRPr="00E42457">
                <w:rPr>
                  <w:sz w:val="24"/>
                  <w:szCs w:val="24"/>
                </w:rPr>
                <w:t xml:space="preserve">Neijman, </w:t>
              </w:r>
              <w:r>
                <w:rPr>
                  <w:sz w:val="24"/>
                  <w:szCs w:val="24"/>
                </w:rPr>
                <w:t xml:space="preserve">Thomas, </w:t>
              </w:r>
              <w:r w:rsidRPr="00E42457">
                <w:rPr>
                  <w:i/>
                  <w:iCs/>
                  <w:sz w:val="24"/>
                  <w:szCs w:val="24"/>
                </w:rPr>
                <w:t>The Gotlandic rural militia: A study of the invasion of Gotland 1361 In response to a modern narrative</w:t>
              </w:r>
              <w:r w:rsidRPr="00E42457">
                <w:rPr>
                  <w:sz w:val="24"/>
                  <w:szCs w:val="24"/>
                </w:rPr>
                <w:t xml:space="preserve"> (</w:t>
              </w:r>
              <w:proofErr w:type="spellStart"/>
              <w:proofErr w:type="gramStart"/>
              <w:r w:rsidRPr="00E42457">
                <w:rPr>
                  <w:sz w:val="24"/>
                  <w:szCs w:val="24"/>
                </w:rPr>
                <w:t>Masters</w:t>
              </w:r>
              <w:proofErr w:type="spellEnd"/>
              <w:proofErr w:type="gramEnd"/>
              <w:r w:rsidRPr="00E42457">
                <w:rPr>
                  <w:sz w:val="24"/>
                  <w:szCs w:val="24"/>
                </w:rPr>
                <w:t xml:space="preserve"> Thesis, Stockholm University, 2017)</w:t>
              </w:r>
              <w:r>
                <w:rPr>
                  <w:sz w:val="24"/>
                  <w:szCs w:val="24"/>
                </w:rPr>
                <w:t>.</w:t>
              </w:r>
            </w:p>
            <w:p w14:paraId="7ACFC3FF" w14:textId="77777777" w:rsidR="00752A15" w:rsidRDefault="00752A15" w:rsidP="00752A15">
              <w:pPr>
                <w:pStyle w:val="ListParagraph"/>
              </w:pPr>
            </w:p>
            <w:p w14:paraId="75724E56" w14:textId="3ED5135A" w:rsidR="00467249" w:rsidRPr="00003DDD" w:rsidRDefault="00467249" w:rsidP="00003DDD">
              <w:pPr>
                <w:pStyle w:val="FootnoteText"/>
                <w:numPr>
                  <w:ilvl w:val="0"/>
                  <w:numId w:val="2"/>
                </w:numPr>
                <w:rPr>
                  <w:sz w:val="24"/>
                  <w:szCs w:val="24"/>
                </w:rPr>
              </w:pPr>
              <w:r w:rsidRPr="00271996">
                <w:rPr>
                  <w:sz w:val="24"/>
                  <w:szCs w:val="24"/>
                </w:rPr>
                <w:t>Thomas Miles,</w:t>
              </w:r>
              <w:r>
                <w:rPr>
                  <w:sz w:val="24"/>
                  <w:szCs w:val="24"/>
                </w:rPr>
                <w:t xml:space="preserve"> </w:t>
              </w:r>
              <w:r w:rsidRPr="00271996">
                <w:rPr>
                  <w:sz w:val="24"/>
                  <w:szCs w:val="24"/>
                </w:rPr>
                <w:t>Stephen</w:t>
              </w:r>
              <w:r>
                <w:rPr>
                  <w:sz w:val="24"/>
                  <w:szCs w:val="24"/>
                </w:rPr>
                <w:t>,</w:t>
              </w:r>
              <w:r w:rsidRPr="00271996">
                <w:rPr>
                  <w:sz w:val="24"/>
                  <w:szCs w:val="24"/>
                </w:rPr>
                <w:t xml:space="preserve"> </w:t>
              </w:r>
              <w:r w:rsidRPr="00271996">
                <w:rPr>
                  <w:i/>
                  <w:iCs/>
                  <w:sz w:val="24"/>
                  <w:szCs w:val="24"/>
                </w:rPr>
                <w:t>Battlefield tourism: meanings and interpretations</w:t>
              </w:r>
              <w:r w:rsidRPr="00271996">
                <w:rPr>
                  <w:sz w:val="24"/>
                  <w:szCs w:val="24"/>
                </w:rPr>
                <w:t xml:space="preserve"> (PhD thesis, University of Glasgow, 2012)</w:t>
              </w:r>
            </w:p>
            <w:p w14:paraId="35FF8CD3" w14:textId="77777777" w:rsidR="00E5262C" w:rsidRDefault="00E5262C" w:rsidP="00E5262C">
              <w:pPr>
                <w:pStyle w:val="ListParagraph"/>
              </w:pPr>
            </w:p>
            <w:p w14:paraId="023ED473" w14:textId="77777777" w:rsidR="00AF0E27" w:rsidRDefault="00AF0E27" w:rsidP="00AF0E27">
              <w:pPr>
                <w:pStyle w:val="FootnoteText"/>
                <w:rPr>
                  <w:sz w:val="24"/>
                  <w:szCs w:val="24"/>
                </w:rPr>
              </w:pPr>
            </w:p>
            <w:p w14:paraId="10DB6785" w14:textId="5F956525" w:rsidR="00AF0E27" w:rsidRPr="00AF0E27" w:rsidRDefault="00AF0E27" w:rsidP="00AF0E27">
              <w:pPr>
                <w:pStyle w:val="FootnoteText"/>
                <w:ind w:left="360"/>
                <w:rPr>
                  <w:b/>
                  <w:bCs/>
                  <w:sz w:val="24"/>
                  <w:szCs w:val="24"/>
                </w:rPr>
              </w:pPr>
              <w:r>
                <w:rPr>
                  <w:b/>
                  <w:bCs/>
                  <w:sz w:val="24"/>
                  <w:szCs w:val="24"/>
                </w:rPr>
                <w:t>Internet Sources</w:t>
              </w:r>
            </w:p>
            <w:p w14:paraId="74DECF8D" w14:textId="77777777" w:rsidR="00AF0E27" w:rsidRDefault="00AF0E27" w:rsidP="00AF0E27">
              <w:pPr>
                <w:pStyle w:val="FootnoteText"/>
                <w:rPr>
                  <w:sz w:val="24"/>
                  <w:szCs w:val="24"/>
                </w:rPr>
              </w:pPr>
            </w:p>
            <w:p w14:paraId="3A10D6B1" w14:textId="320A918C" w:rsidR="00B0795F" w:rsidRPr="00E5262C" w:rsidRDefault="00AF0E27" w:rsidP="00AF0E27">
              <w:pPr>
                <w:pStyle w:val="FootnoteText"/>
                <w:numPr>
                  <w:ilvl w:val="0"/>
                  <w:numId w:val="2"/>
                </w:numPr>
                <w:rPr>
                  <w:sz w:val="24"/>
                  <w:szCs w:val="24"/>
                </w:rPr>
              </w:pPr>
              <w:proofErr w:type="spellStart"/>
              <w:r w:rsidRPr="00AF0E27">
                <w:rPr>
                  <w:sz w:val="24"/>
                  <w:szCs w:val="24"/>
                </w:rPr>
                <w:t>Atamen</w:t>
              </w:r>
              <w:proofErr w:type="spellEnd"/>
              <w:r w:rsidRPr="00AF0E27">
                <w:rPr>
                  <w:sz w:val="24"/>
                  <w:szCs w:val="24"/>
                </w:rPr>
                <w:t>,</w:t>
              </w:r>
              <w:r>
                <w:rPr>
                  <w:sz w:val="24"/>
                  <w:szCs w:val="24"/>
                </w:rPr>
                <w:t xml:space="preserve"> </w:t>
              </w:r>
              <w:r w:rsidRPr="00AF0E27">
                <w:rPr>
                  <w:sz w:val="24"/>
                  <w:szCs w:val="24"/>
                </w:rPr>
                <w:t>Joseph</w:t>
              </w:r>
              <w:r>
                <w:rPr>
                  <w:sz w:val="24"/>
                  <w:szCs w:val="24"/>
                </w:rPr>
                <w:t>,</w:t>
              </w:r>
              <w:r w:rsidRPr="00AF0E27">
                <w:rPr>
                  <w:sz w:val="24"/>
                  <w:szCs w:val="24"/>
                </w:rPr>
                <w:t xml:space="preserve"> ‘A poisoned memorial to World War I: The forests of Verdun’, CNN, 10th November 2018, https://edition.cnn.com/2018/11/10/europe/verdun-world-war-1-centenary-intl [accessed: 21st February 2026].</w:t>
              </w:r>
            </w:p>
          </w:sdtContent>
        </w:sdt>
      </w:sdtContent>
    </w:sdt>
    <w:p w14:paraId="41CD4591" w14:textId="4673CD05" w:rsidR="00810E0A" w:rsidRPr="003831AB" w:rsidRDefault="00810E0A" w:rsidP="00025FC4"/>
    <w:sectPr w:rsidR="00810E0A" w:rsidRPr="003831A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95F73E" w14:textId="77777777" w:rsidR="00222391" w:rsidRDefault="00222391" w:rsidP="00B559DB">
      <w:r>
        <w:separator/>
      </w:r>
    </w:p>
  </w:endnote>
  <w:endnote w:type="continuationSeparator" w:id="0">
    <w:p w14:paraId="4E78A869" w14:textId="77777777" w:rsidR="00222391" w:rsidRDefault="00222391" w:rsidP="00B559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213602" w14:textId="1A553EA7" w:rsidR="00843725" w:rsidRDefault="00CD27CE">
    <w:pPr>
      <w:pStyle w:val="Footer"/>
    </w:pPr>
    <w:r>
      <w:t xml:space="preserve">Caradoc Ewing </w:t>
    </w:r>
    <w:r w:rsidR="00843725">
      <w:t>(2305893)</w:t>
    </w:r>
  </w:p>
  <w:p w14:paraId="5B8D39AA" w14:textId="77777777" w:rsidR="00CD27CE" w:rsidRDefault="00CD2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857C0D" w14:textId="77777777" w:rsidR="00222391" w:rsidRDefault="00222391" w:rsidP="00B559DB">
      <w:r>
        <w:separator/>
      </w:r>
    </w:p>
  </w:footnote>
  <w:footnote w:type="continuationSeparator" w:id="0">
    <w:p w14:paraId="471FF7CB" w14:textId="77777777" w:rsidR="00222391" w:rsidRDefault="00222391" w:rsidP="00B559DB">
      <w:r>
        <w:continuationSeparator/>
      </w:r>
    </w:p>
  </w:footnote>
  <w:footnote w:id="1">
    <w:p w14:paraId="68FBD7A3" w14:textId="41584D7A" w:rsidR="00B559DB" w:rsidRDefault="00B559DB">
      <w:pPr>
        <w:pStyle w:val="FootnoteText"/>
      </w:pPr>
      <w:r>
        <w:rPr>
          <w:rStyle w:val="FootnoteReference"/>
        </w:rPr>
        <w:footnoteRef/>
      </w:r>
      <w:r>
        <w:t xml:space="preserve"> </w:t>
      </w:r>
      <w:r w:rsidRPr="00B559DB">
        <w:t xml:space="preserve">Zachary </w:t>
      </w:r>
      <w:proofErr w:type="spellStart"/>
      <w:r w:rsidRPr="00B559DB">
        <w:t>Beckstead</w:t>
      </w:r>
      <w:proofErr w:type="spellEnd"/>
      <w:r w:rsidRPr="00B559DB">
        <w:t xml:space="preserve">, Gabriel </w:t>
      </w:r>
      <w:proofErr w:type="spellStart"/>
      <w:r w:rsidRPr="00B559DB">
        <w:t>Twose</w:t>
      </w:r>
      <w:proofErr w:type="spellEnd"/>
      <w:r w:rsidRPr="00B559DB">
        <w:t>, Emily</w:t>
      </w:r>
      <w:r>
        <w:t xml:space="preserve"> </w:t>
      </w:r>
      <w:r w:rsidRPr="00B559DB">
        <w:t>Levesque-Gottlieb</w:t>
      </w:r>
      <w:r>
        <w:t>,</w:t>
      </w:r>
      <w:r w:rsidRPr="00B559DB">
        <w:t xml:space="preserve"> and Julia Rizzo</w:t>
      </w:r>
      <w:r>
        <w:t>, ‘</w:t>
      </w:r>
      <w:r w:rsidRPr="00B559DB">
        <w:t>Collective</w:t>
      </w:r>
      <w:r>
        <w:t xml:space="preserve"> </w:t>
      </w:r>
      <w:r w:rsidRPr="00B559DB">
        <w:t>remembering</w:t>
      </w:r>
      <w:r>
        <w:t xml:space="preserve"> </w:t>
      </w:r>
      <w:r w:rsidRPr="00B559DB">
        <w:t>through the materiality and</w:t>
      </w:r>
      <w:r>
        <w:t xml:space="preserve"> </w:t>
      </w:r>
      <w:r w:rsidRPr="00B559DB">
        <w:t>organization of war memorials</w:t>
      </w:r>
      <w:r>
        <w:t>’</w:t>
      </w:r>
      <w:r w:rsidRPr="00B559DB">
        <w:rPr>
          <w:i/>
          <w:iCs/>
        </w:rPr>
        <w:t xml:space="preserve">, </w:t>
      </w:r>
      <w:r w:rsidRPr="00B559DB">
        <w:rPr>
          <w:i/>
          <w:iCs/>
        </w:rPr>
        <w:t>Journal of Material Culture</w:t>
      </w:r>
      <w:r>
        <w:t>, 16.</w:t>
      </w:r>
      <w:r w:rsidRPr="00B559DB">
        <w:t>2</w:t>
      </w:r>
      <w:r>
        <w:t xml:space="preserve"> (2012)</w:t>
      </w:r>
      <w:r w:rsidRPr="00B559DB">
        <w:t xml:space="preserve"> 193–213</w:t>
      </w:r>
      <w:r>
        <w:t xml:space="preserve"> (p.194).</w:t>
      </w:r>
    </w:p>
  </w:footnote>
  <w:footnote w:id="2">
    <w:p w14:paraId="4FF7190E" w14:textId="548744E7" w:rsidR="00E3118F" w:rsidRDefault="00E3118F">
      <w:pPr>
        <w:pStyle w:val="FootnoteText"/>
      </w:pPr>
      <w:r>
        <w:rPr>
          <w:rStyle w:val="FootnoteReference"/>
        </w:rPr>
        <w:footnoteRef/>
      </w:r>
      <w:r>
        <w:t xml:space="preserve"> </w:t>
      </w:r>
      <w:r w:rsidRPr="00BF4A7A">
        <w:t xml:space="preserve">Walter Benjamin, ‘The Work of Art in the Age of Mechanical Reproduction’, in </w:t>
      </w:r>
      <w:r w:rsidRPr="00BF4A7A">
        <w:rPr>
          <w:i/>
          <w:iCs/>
        </w:rPr>
        <w:t xml:space="preserve">Illuminations, </w:t>
      </w:r>
      <w:r w:rsidRPr="00BF4A7A">
        <w:t xml:space="preserve">ed. Hannah Arendt, trans. Harry Zohn (New York: </w:t>
      </w:r>
      <w:proofErr w:type="spellStart"/>
      <w:r w:rsidRPr="00BF4A7A">
        <w:t>Schocken</w:t>
      </w:r>
      <w:proofErr w:type="spellEnd"/>
      <w:r w:rsidRPr="00BF4A7A">
        <w:t xml:space="preserve"> Books, 1969)</w:t>
      </w:r>
      <w:r>
        <w:t xml:space="preserve"> p. 3.</w:t>
      </w:r>
    </w:p>
  </w:footnote>
  <w:footnote w:id="3">
    <w:p w14:paraId="36BAB4E3" w14:textId="2FD07C2B" w:rsidR="00244079" w:rsidRDefault="00244079">
      <w:pPr>
        <w:pStyle w:val="FootnoteText"/>
      </w:pPr>
      <w:r>
        <w:rPr>
          <w:rStyle w:val="FootnoteReference"/>
        </w:rPr>
        <w:footnoteRef/>
      </w:r>
      <w:r>
        <w:t xml:space="preserve"> Ibid., p.4</w:t>
      </w:r>
    </w:p>
  </w:footnote>
  <w:footnote w:id="4">
    <w:p w14:paraId="37E11619" w14:textId="47B6D408" w:rsidR="00244079" w:rsidRDefault="00244079">
      <w:pPr>
        <w:pStyle w:val="FootnoteText"/>
      </w:pPr>
      <w:r>
        <w:rPr>
          <w:rStyle w:val="FootnoteReference"/>
        </w:rPr>
        <w:footnoteRef/>
      </w:r>
      <w:r>
        <w:t xml:space="preserve"> </w:t>
      </w:r>
      <w:r>
        <w:t xml:space="preserve">Karl C. </w:t>
      </w:r>
      <w:proofErr w:type="spellStart"/>
      <w:r>
        <w:t>Alvesad</w:t>
      </w:r>
      <w:proofErr w:type="spellEnd"/>
      <w:r>
        <w:t xml:space="preserve"> &amp; Robert Houghton, </w:t>
      </w:r>
      <w:r w:rsidRPr="00055AF0">
        <w:rPr>
          <w:i/>
          <w:iCs/>
        </w:rPr>
        <w:t>The Middle Ages in Modern Culture:</w:t>
      </w:r>
      <w:r>
        <w:rPr>
          <w:i/>
          <w:iCs/>
        </w:rPr>
        <w:t xml:space="preserve"> </w:t>
      </w:r>
      <w:r w:rsidRPr="00055AF0">
        <w:rPr>
          <w:i/>
          <w:iCs/>
        </w:rPr>
        <w:t>History and Authenticity in Contemporary Medievalism</w:t>
      </w:r>
      <w:r w:rsidRPr="00055AF0">
        <w:t xml:space="preserve"> (Bloomsbury Academic, 2021)</w:t>
      </w:r>
      <w:r>
        <w:t xml:space="preserve"> p. 3.</w:t>
      </w:r>
    </w:p>
  </w:footnote>
  <w:footnote w:id="5">
    <w:p w14:paraId="24FFFC22" w14:textId="0DBAF846" w:rsidR="0019696D" w:rsidRDefault="0019696D">
      <w:pPr>
        <w:pStyle w:val="FootnoteText"/>
      </w:pPr>
      <w:r>
        <w:rPr>
          <w:rStyle w:val="FootnoteReference"/>
        </w:rPr>
        <w:footnoteRef/>
      </w:r>
      <w:r>
        <w:t xml:space="preserve"> </w:t>
      </w:r>
      <w:r>
        <w:t xml:space="preserve">Sarah </w:t>
      </w:r>
      <w:proofErr w:type="spellStart"/>
      <w:r>
        <w:t>Kenderdine</w:t>
      </w:r>
      <w:proofErr w:type="spellEnd"/>
      <w:r>
        <w:t xml:space="preserve">, &amp; Andrew Yip, ‘The Proliferation of Aura: Facsimiles, Authenticity, and Digital Objects’, in </w:t>
      </w:r>
      <w:r>
        <w:rPr>
          <w:i/>
          <w:iCs/>
        </w:rPr>
        <w:t xml:space="preserve">The Routledge Handbook of Museums, Media, and Communication, </w:t>
      </w:r>
      <w:r>
        <w:t xml:space="preserve">ed. Kirsten </w:t>
      </w:r>
      <w:proofErr w:type="spellStart"/>
      <w:r>
        <w:t>Drotner</w:t>
      </w:r>
      <w:proofErr w:type="spellEnd"/>
      <w:r>
        <w:t xml:space="preserve">, Vince </w:t>
      </w:r>
      <w:proofErr w:type="spellStart"/>
      <w:r>
        <w:t>Dziekan</w:t>
      </w:r>
      <w:proofErr w:type="spellEnd"/>
      <w:r>
        <w:t xml:space="preserve">, Ross Parry, Kim Christian </w:t>
      </w:r>
      <w:proofErr w:type="spellStart"/>
      <w:r>
        <w:t>Schrøder</w:t>
      </w:r>
      <w:proofErr w:type="spellEnd"/>
      <w:r>
        <w:t xml:space="preserve"> (London: Routledge, 2018) pp. 274-289, p. 275.</w:t>
      </w:r>
    </w:p>
  </w:footnote>
  <w:footnote w:id="6">
    <w:p w14:paraId="0790F63B" w14:textId="75F062E7" w:rsidR="00ED1FE0" w:rsidRDefault="00ED1FE0">
      <w:pPr>
        <w:pStyle w:val="FootnoteText"/>
      </w:pPr>
      <w:r>
        <w:rPr>
          <w:rStyle w:val="FootnoteReference"/>
        </w:rPr>
        <w:footnoteRef/>
      </w:r>
      <w:r>
        <w:t xml:space="preserve"> </w:t>
      </w:r>
      <w:r w:rsidR="00352EC5">
        <w:t xml:space="preserve">Cornelius </w:t>
      </w:r>
      <w:proofErr w:type="spellStart"/>
      <w:r w:rsidR="00352EC5">
        <w:t>Holtorf</w:t>
      </w:r>
      <w:proofErr w:type="spellEnd"/>
      <w:r w:rsidR="00352EC5">
        <w:t xml:space="preserve">, ‘On Pastness: A reconsideration of Materiality in Archaeological Object Authenticity’, </w:t>
      </w:r>
      <w:r w:rsidR="00352EC5">
        <w:rPr>
          <w:i/>
          <w:iCs/>
        </w:rPr>
        <w:t xml:space="preserve">Anthropological Quarterly , </w:t>
      </w:r>
      <w:r w:rsidR="00352EC5">
        <w:t>86.2 (2013) pp. 427-443 (p. 428).</w:t>
      </w:r>
    </w:p>
  </w:footnote>
  <w:footnote w:id="7">
    <w:p w14:paraId="5638660F" w14:textId="7315369F" w:rsidR="00D150B9" w:rsidRDefault="00D150B9">
      <w:pPr>
        <w:pStyle w:val="FootnoteText"/>
      </w:pPr>
      <w:r>
        <w:rPr>
          <w:rStyle w:val="FootnoteReference"/>
        </w:rPr>
        <w:footnoteRef/>
      </w:r>
      <w:r>
        <w:t xml:space="preserve"> Ibid., p.430.</w:t>
      </w:r>
    </w:p>
  </w:footnote>
  <w:footnote w:id="8">
    <w:p w14:paraId="37866942" w14:textId="553B6A43" w:rsidR="00FB25FB" w:rsidRPr="00FB25FB" w:rsidRDefault="00FB25FB">
      <w:pPr>
        <w:pStyle w:val="FootnoteText"/>
      </w:pPr>
      <w:r>
        <w:rPr>
          <w:rStyle w:val="FootnoteReference"/>
        </w:rPr>
        <w:footnoteRef/>
      </w:r>
      <w:r>
        <w:t xml:space="preserve"> Joseph </w:t>
      </w:r>
      <w:proofErr w:type="spellStart"/>
      <w:r>
        <w:t>Atamen</w:t>
      </w:r>
      <w:proofErr w:type="spellEnd"/>
      <w:r>
        <w:t>, ‘</w:t>
      </w:r>
      <w:r w:rsidRPr="00FB25FB">
        <w:t>A poisoned memorial to World War I: The forests of Verdun</w:t>
      </w:r>
      <w:r>
        <w:t xml:space="preserve">’, </w:t>
      </w:r>
      <w:r w:rsidRPr="00FB25FB">
        <w:rPr>
          <w:i/>
          <w:iCs/>
        </w:rPr>
        <w:t>CNN</w:t>
      </w:r>
      <w:r>
        <w:t>, 10</w:t>
      </w:r>
      <w:r w:rsidRPr="00FB25FB">
        <w:rPr>
          <w:vertAlign w:val="superscript"/>
        </w:rPr>
        <w:t>th</w:t>
      </w:r>
      <w:r>
        <w:t xml:space="preserve"> November 2018, </w:t>
      </w:r>
      <w:hyperlink r:id="rId1" w:history="1">
        <w:r w:rsidRPr="00724785">
          <w:rPr>
            <w:rStyle w:val="Hyperlink"/>
          </w:rPr>
          <w:t>https://edition.cnn.com/2018/11/10/europe/verdun-world-war-1-centenary-intl</w:t>
        </w:r>
      </w:hyperlink>
      <w:r>
        <w:t xml:space="preserve"> [accessed: 21</w:t>
      </w:r>
      <w:r w:rsidRPr="00FB25FB">
        <w:rPr>
          <w:vertAlign w:val="superscript"/>
        </w:rPr>
        <w:t>st</w:t>
      </w:r>
      <w:r>
        <w:t xml:space="preserve"> February 2026].</w:t>
      </w:r>
    </w:p>
  </w:footnote>
  <w:footnote w:id="9">
    <w:p w14:paraId="63708820" w14:textId="7E5A05AB" w:rsidR="00437177" w:rsidRDefault="00437177">
      <w:pPr>
        <w:pStyle w:val="FootnoteText"/>
      </w:pPr>
      <w:r>
        <w:rPr>
          <w:rStyle w:val="FootnoteReference"/>
        </w:rPr>
        <w:footnoteRef/>
      </w:r>
      <w:r>
        <w:t xml:space="preserve"> </w:t>
      </w:r>
      <w:r w:rsidRPr="00BF4A7A">
        <w:t>Benjamin, ‘The Work of Art in the Age of Mechanical Reproduction’</w:t>
      </w:r>
      <w:r>
        <w:t>, p.6.</w:t>
      </w:r>
    </w:p>
  </w:footnote>
  <w:footnote w:id="10">
    <w:p w14:paraId="0C879B03" w14:textId="2E733B69" w:rsidR="00CA443A" w:rsidRDefault="00CA443A">
      <w:pPr>
        <w:pStyle w:val="FootnoteText"/>
      </w:pPr>
      <w:r>
        <w:rPr>
          <w:rStyle w:val="FootnoteReference"/>
        </w:rPr>
        <w:footnoteRef/>
      </w:r>
      <w:r>
        <w:t xml:space="preserve"> </w:t>
      </w:r>
      <w:r>
        <w:t xml:space="preserve">Boris </w:t>
      </w:r>
      <w:proofErr w:type="spellStart"/>
      <w:r>
        <w:t>Groys</w:t>
      </w:r>
      <w:proofErr w:type="spellEnd"/>
      <w:r>
        <w:t xml:space="preserve">, </w:t>
      </w:r>
      <w:r>
        <w:rPr>
          <w:i/>
          <w:iCs/>
        </w:rPr>
        <w:t>In the Flow</w:t>
      </w:r>
      <w:r>
        <w:t xml:space="preserve"> (London: Verso, 2016) p. 11.</w:t>
      </w:r>
    </w:p>
  </w:footnote>
  <w:footnote w:id="11">
    <w:p w14:paraId="666C959B" w14:textId="02763F1B" w:rsidR="00FB25FB" w:rsidRDefault="00FB25FB">
      <w:pPr>
        <w:pStyle w:val="FootnoteText"/>
      </w:pPr>
      <w:r>
        <w:rPr>
          <w:rStyle w:val="FootnoteReference"/>
        </w:rPr>
        <w:footnoteRef/>
      </w:r>
      <w:r>
        <w:t xml:space="preserve"> </w:t>
      </w:r>
      <w:proofErr w:type="spellStart"/>
      <w:r w:rsidR="00694789">
        <w:t>Constanze</w:t>
      </w:r>
      <w:proofErr w:type="spellEnd"/>
      <w:r w:rsidR="00694789">
        <w:t xml:space="preserve"> </w:t>
      </w:r>
      <w:proofErr w:type="spellStart"/>
      <w:r w:rsidR="00694789">
        <w:t>Hampp</w:t>
      </w:r>
      <w:proofErr w:type="spellEnd"/>
      <w:r w:rsidR="00694789">
        <w:t xml:space="preserve">, &amp; Stephan Schwan, ‘Perception and Evaluation of Authentic Objects: Findings from a Visitor Study’, </w:t>
      </w:r>
      <w:r w:rsidR="00694789">
        <w:rPr>
          <w:i/>
          <w:iCs/>
        </w:rPr>
        <w:t>Museum Management and Curatorship</w:t>
      </w:r>
      <w:r w:rsidR="00694789">
        <w:t>, 29.4 (2014) pp. 349-367 (p. 350-351).</w:t>
      </w:r>
    </w:p>
  </w:footnote>
  <w:footnote w:id="12">
    <w:p w14:paraId="2B9772BB" w14:textId="2F560313" w:rsidR="00694789" w:rsidRDefault="00694789">
      <w:pPr>
        <w:pStyle w:val="FootnoteText"/>
      </w:pPr>
      <w:r>
        <w:rPr>
          <w:rStyle w:val="FootnoteReference"/>
        </w:rPr>
        <w:footnoteRef/>
      </w:r>
      <w:r>
        <w:t xml:space="preserve"> </w:t>
      </w:r>
      <w:proofErr w:type="spellStart"/>
      <w:r>
        <w:t>Holtorf</w:t>
      </w:r>
      <w:proofErr w:type="spellEnd"/>
      <w:r>
        <w:t>, ‘On Pastness</w:t>
      </w:r>
      <w:r>
        <w:t>’, p. 428.</w:t>
      </w:r>
    </w:p>
  </w:footnote>
  <w:footnote w:id="13">
    <w:p w14:paraId="00F40789" w14:textId="30158505" w:rsidR="0098425D" w:rsidRDefault="0098425D">
      <w:pPr>
        <w:pStyle w:val="FootnoteText"/>
      </w:pPr>
      <w:r>
        <w:rPr>
          <w:rStyle w:val="FootnoteReference"/>
        </w:rPr>
        <w:footnoteRef/>
      </w:r>
      <w:r>
        <w:t xml:space="preserve"> </w:t>
      </w:r>
      <w:r w:rsidRPr="00BF4A7A">
        <w:t>Benjamin, ‘The Work of Art in the Age of Mechanical Reproduction’</w:t>
      </w:r>
      <w:r>
        <w:t>, p.</w:t>
      </w:r>
      <w:r>
        <w:t xml:space="preserve"> 5.</w:t>
      </w:r>
    </w:p>
  </w:footnote>
  <w:footnote w:id="14">
    <w:p w14:paraId="4902FF61" w14:textId="734E7637" w:rsidR="007B0502" w:rsidRDefault="007B0502">
      <w:pPr>
        <w:pStyle w:val="FootnoteText"/>
      </w:pPr>
      <w:r>
        <w:rPr>
          <w:rStyle w:val="FootnoteReference"/>
        </w:rPr>
        <w:footnoteRef/>
      </w:r>
      <w:r>
        <w:t xml:space="preserve"> </w:t>
      </w:r>
      <w:r>
        <w:t xml:space="preserve">Bruno Latour &amp; Adam Lowe, ‘The Migration of the Aura or How to Explore the Original Through It’s Facsimiles’, in </w:t>
      </w:r>
      <w:r>
        <w:rPr>
          <w:i/>
          <w:iCs/>
        </w:rPr>
        <w:t>Switching Codes: Thinking Through Digital Technology in the Humanities and the Arts</w:t>
      </w:r>
      <w:r>
        <w:t xml:space="preserve">, ed. Thomas </w:t>
      </w:r>
      <w:proofErr w:type="spellStart"/>
      <w:r>
        <w:t>Bartscherer</w:t>
      </w:r>
      <w:proofErr w:type="spellEnd"/>
      <w:r>
        <w:t xml:space="preserve">, &amp; Roderick </w:t>
      </w:r>
      <w:proofErr w:type="spellStart"/>
      <w:r>
        <w:t>Coover</w:t>
      </w:r>
      <w:proofErr w:type="spellEnd"/>
      <w:r>
        <w:t xml:space="preserve"> (Chicago: University of Chicago Press, 2010) p.4.</w:t>
      </w:r>
    </w:p>
  </w:footnote>
  <w:footnote w:id="15">
    <w:p w14:paraId="757DB658" w14:textId="7EBF04D2" w:rsidR="001C7BF2" w:rsidRDefault="001C7BF2">
      <w:pPr>
        <w:pStyle w:val="FootnoteText"/>
      </w:pPr>
      <w:r>
        <w:rPr>
          <w:rStyle w:val="FootnoteReference"/>
        </w:rPr>
        <w:footnoteRef/>
      </w:r>
      <w:r>
        <w:t xml:space="preserve"> Ibid.</w:t>
      </w:r>
    </w:p>
  </w:footnote>
  <w:footnote w:id="16">
    <w:p w14:paraId="62FC3C0C" w14:textId="67727FE1" w:rsidR="00F94DD3" w:rsidRDefault="00F94DD3">
      <w:pPr>
        <w:pStyle w:val="FootnoteText"/>
      </w:pPr>
      <w:r>
        <w:rPr>
          <w:rStyle w:val="FootnoteReference"/>
        </w:rPr>
        <w:footnoteRef/>
      </w:r>
      <w:r>
        <w:t xml:space="preserve"> </w:t>
      </w:r>
      <w:r>
        <w:t xml:space="preserve">Stephen Thomas </w:t>
      </w:r>
      <w:r>
        <w:t xml:space="preserve">Miles, </w:t>
      </w:r>
      <w:r w:rsidRPr="00F94DD3">
        <w:rPr>
          <w:i/>
          <w:iCs/>
        </w:rPr>
        <w:t>Battlefield tourism: meanings and interpretations</w:t>
      </w:r>
      <w:r>
        <w:t xml:space="preserve"> </w:t>
      </w:r>
      <w:r w:rsidR="00F679DE">
        <w:t>(</w:t>
      </w:r>
      <w:r>
        <w:t>PhD thesis</w:t>
      </w:r>
      <w:r w:rsidR="00F679DE">
        <w:t>, University of Glasgow, 2012) p. 85.</w:t>
      </w:r>
    </w:p>
  </w:footnote>
  <w:footnote w:id="17">
    <w:p w14:paraId="7AD5F410" w14:textId="4922CD73" w:rsidR="00D13CC0" w:rsidRDefault="00D13CC0">
      <w:pPr>
        <w:pStyle w:val="FootnoteText"/>
      </w:pPr>
      <w:r>
        <w:rPr>
          <w:rStyle w:val="FootnoteReference"/>
        </w:rPr>
        <w:footnoteRef/>
      </w:r>
      <w:r>
        <w:t xml:space="preserve"> </w:t>
      </w:r>
      <w:r>
        <w:t xml:space="preserve">Kiersten F. Latham, ‘Numinous Experiences with Museum Objects.’, </w:t>
      </w:r>
      <w:r>
        <w:rPr>
          <w:i/>
          <w:iCs/>
        </w:rPr>
        <w:t xml:space="preserve">Visitor Studies, </w:t>
      </w:r>
      <w:r>
        <w:t xml:space="preserve">16.1 (2013) pp. 3-20 (p. </w:t>
      </w:r>
      <w:r>
        <w:t>4</w:t>
      </w:r>
      <w:r>
        <w:t>).</w:t>
      </w:r>
    </w:p>
  </w:footnote>
  <w:footnote w:id="18">
    <w:p w14:paraId="46CAA4D9" w14:textId="52CFF898" w:rsidR="00D1246C" w:rsidRDefault="00D1246C">
      <w:pPr>
        <w:pStyle w:val="FootnoteText"/>
      </w:pPr>
      <w:r>
        <w:rPr>
          <w:rStyle w:val="FootnoteReference"/>
        </w:rPr>
        <w:footnoteRef/>
      </w:r>
      <w:r>
        <w:t xml:space="preserve"> Ibid. </w:t>
      </w:r>
    </w:p>
  </w:footnote>
  <w:footnote w:id="19">
    <w:p w14:paraId="1F33A308" w14:textId="0A3DA0AB" w:rsidR="00D1246C" w:rsidRDefault="00D1246C">
      <w:pPr>
        <w:pStyle w:val="FootnoteText"/>
      </w:pPr>
      <w:r>
        <w:rPr>
          <w:rStyle w:val="FootnoteReference"/>
        </w:rPr>
        <w:footnoteRef/>
      </w:r>
      <w:r>
        <w:t xml:space="preserve"> </w:t>
      </w:r>
      <w:proofErr w:type="spellStart"/>
      <w:r>
        <w:t>Holtorf</w:t>
      </w:r>
      <w:proofErr w:type="spellEnd"/>
      <w:r>
        <w:t>, ‘On Pastness’, p. 4</w:t>
      </w:r>
      <w:r>
        <w:t>31.</w:t>
      </w:r>
    </w:p>
  </w:footnote>
  <w:footnote w:id="20">
    <w:p w14:paraId="69E4DCD6" w14:textId="4C2ED2DF" w:rsidR="00D1246C" w:rsidRDefault="00D1246C">
      <w:pPr>
        <w:pStyle w:val="FootnoteText"/>
      </w:pPr>
      <w:r>
        <w:rPr>
          <w:rStyle w:val="FootnoteReference"/>
        </w:rPr>
        <w:footnoteRef/>
      </w:r>
      <w:r>
        <w:t xml:space="preserve"> </w:t>
      </w:r>
      <w:proofErr w:type="spellStart"/>
      <w:r>
        <w:t>Holtorf</w:t>
      </w:r>
      <w:proofErr w:type="spellEnd"/>
      <w:r>
        <w:t xml:space="preserve">, ‘On Pastness’, p. </w:t>
      </w:r>
      <w:r>
        <w:t>433-434.</w:t>
      </w:r>
    </w:p>
  </w:footnote>
  <w:footnote w:id="21">
    <w:p w14:paraId="311FF2D3" w14:textId="306A327B" w:rsidR="00AF3265" w:rsidRDefault="00AF3265">
      <w:pPr>
        <w:pStyle w:val="FootnoteText"/>
      </w:pPr>
      <w:r>
        <w:rPr>
          <w:rStyle w:val="FootnoteReference"/>
        </w:rPr>
        <w:footnoteRef/>
      </w:r>
      <w:r>
        <w:t xml:space="preserve"> Ibid., p.</w:t>
      </w:r>
      <w:r w:rsidR="00EE4CA3">
        <w:t xml:space="preserve"> </w:t>
      </w:r>
      <w:r>
        <w:t>437.</w:t>
      </w:r>
    </w:p>
  </w:footnote>
  <w:footnote w:id="22">
    <w:p w14:paraId="6B77B694" w14:textId="65B664FF" w:rsidR="006733BF" w:rsidRDefault="006733BF">
      <w:pPr>
        <w:pStyle w:val="FootnoteText"/>
      </w:pPr>
      <w:r>
        <w:rPr>
          <w:rStyle w:val="FootnoteReference"/>
        </w:rPr>
        <w:footnoteRef/>
      </w:r>
      <w:r>
        <w:t xml:space="preserve"> </w:t>
      </w:r>
      <w:r>
        <w:t xml:space="preserve">Catherine M. Cameron, &amp; John B. Gatewood, ‘Excursions into the Un-Remembered Past: What People Want from Visits to Historical Sites’, </w:t>
      </w:r>
      <w:r>
        <w:rPr>
          <w:i/>
          <w:iCs/>
        </w:rPr>
        <w:t>The Public Historian</w:t>
      </w:r>
      <w:r>
        <w:t>, 22.3 (2000), pp. 107-127 (p. 109).</w:t>
      </w:r>
    </w:p>
  </w:footnote>
  <w:footnote w:id="23">
    <w:p w14:paraId="637C5FDC" w14:textId="340586DC" w:rsidR="00885833" w:rsidRPr="003C028A" w:rsidRDefault="00885833">
      <w:pPr>
        <w:pStyle w:val="FootnoteText"/>
      </w:pPr>
      <w:r>
        <w:rPr>
          <w:rStyle w:val="FootnoteReference"/>
        </w:rPr>
        <w:footnoteRef/>
      </w:r>
      <w:r>
        <w:t xml:space="preserve"> </w:t>
      </w:r>
      <w:proofErr w:type="spellStart"/>
      <w:r w:rsidR="003C028A">
        <w:t>Beckstead</w:t>
      </w:r>
      <w:proofErr w:type="spellEnd"/>
      <w:r w:rsidR="003C028A">
        <w:t xml:space="preserve">, </w:t>
      </w:r>
      <w:r w:rsidR="003C028A">
        <w:rPr>
          <w:i/>
          <w:iCs/>
        </w:rPr>
        <w:t>et al.</w:t>
      </w:r>
      <w:r w:rsidR="003C028A">
        <w:t>, ‘</w:t>
      </w:r>
      <w:r w:rsidR="003C028A" w:rsidRPr="00B559DB">
        <w:t>Collective</w:t>
      </w:r>
      <w:r w:rsidR="003C028A">
        <w:t xml:space="preserve"> </w:t>
      </w:r>
      <w:r w:rsidR="003C028A" w:rsidRPr="00B559DB">
        <w:t>remembering</w:t>
      </w:r>
      <w:r w:rsidR="003C028A">
        <w:t xml:space="preserve"> </w:t>
      </w:r>
      <w:r w:rsidR="003C028A" w:rsidRPr="00B559DB">
        <w:t>through the materiality and</w:t>
      </w:r>
      <w:r w:rsidR="003C028A">
        <w:t xml:space="preserve"> </w:t>
      </w:r>
      <w:r w:rsidR="003C028A" w:rsidRPr="00B559DB">
        <w:t>organization of war memorials</w:t>
      </w:r>
      <w:r w:rsidR="003C028A">
        <w:t>’</w:t>
      </w:r>
      <w:r w:rsidR="003C028A">
        <w:t>, p. 199.</w:t>
      </w:r>
    </w:p>
  </w:footnote>
  <w:footnote w:id="24">
    <w:p w14:paraId="4147E966" w14:textId="3912B992" w:rsidR="009351BF" w:rsidRDefault="009351BF">
      <w:pPr>
        <w:pStyle w:val="FootnoteText"/>
      </w:pPr>
      <w:r>
        <w:rPr>
          <w:rStyle w:val="FootnoteReference"/>
        </w:rPr>
        <w:footnoteRef/>
      </w:r>
      <w:r>
        <w:t xml:space="preserve"> Ibid.</w:t>
      </w:r>
    </w:p>
  </w:footnote>
  <w:footnote w:id="25">
    <w:p w14:paraId="4B98218C" w14:textId="63C5A57A" w:rsidR="00463A99" w:rsidRPr="00463A99" w:rsidRDefault="00463A99">
      <w:pPr>
        <w:pStyle w:val="FootnoteText"/>
      </w:pPr>
      <w:r>
        <w:rPr>
          <w:rStyle w:val="FootnoteReference"/>
        </w:rPr>
        <w:footnoteRef/>
      </w:r>
      <w:r>
        <w:t xml:space="preserve"> </w:t>
      </w:r>
      <w:r>
        <w:t xml:space="preserve">Miles, </w:t>
      </w:r>
      <w:r w:rsidRPr="00F94DD3">
        <w:rPr>
          <w:i/>
          <w:iCs/>
        </w:rPr>
        <w:t>Battlefield tourism: meanings and interpretations</w:t>
      </w:r>
      <w:r>
        <w:rPr>
          <w:i/>
          <w:iCs/>
        </w:rPr>
        <w:t xml:space="preserve">, </w:t>
      </w:r>
      <w:r>
        <w:t>p.</w:t>
      </w:r>
      <w:r w:rsidR="00EE4CA3">
        <w:t xml:space="preserve"> </w:t>
      </w:r>
      <w:r>
        <w:t>24</w:t>
      </w:r>
      <w:r w:rsidR="00EE4CA3">
        <w:t>2</w:t>
      </w:r>
      <w:r>
        <w:t>.</w:t>
      </w:r>
    </w:p>
  </w:footnote>
  <w:footnote w:id="26">
    <w:p w14:paraId="794519E2" w14:textId="574095F4" w:rsidR="00EE4CA3" w:rsidRDefault="00EE4CA3">
      <w:pPr>
        <w:pStyle w:val="FootnoteText"/>
      </w:pPr>
      <w:r>
        <w:rPr>
          <w:rStyle w:val="FootnoteReference"/>
        </w:rPr>
        <w:footnoteRef/>
      </w:r>
      <w:r>
        <w:t xml:space="preserve"> Ibid., p. 243.</w:t>
      </w:r>
    </w:p>
  </w:footnote>
  <w:footnote w:id="27">
    <w:p w14:paraId="3F89052B" w14:textId="0108A41E" w:rsidR="005104F9" w:rsidRDefault="005104F9">
      <w:pPr>
        <w:pStyle w:val="FootnoteText"/>
      </w:pPr>
      <w:r>
        <w:rPr>
          <w:rStyle w:val="FootnoteReference"/>
        </w:rPr>
        <w:footnoteRef/>
      </w:r>
      <w:r>
        <w:t xml:space="preserve"> </w:t>
      </w:r>
      <w:r w:rsidR="00445271">
        <w:t xml:space="preserve">Catherine </w:t>
      </w:r>
      <w:proofErr w:type="spellStart"/>
      <w:r w:rsidR="00445271">
        <w:t>Woltz</w:t>
      </w:r>
      <w:proofErr w:type="spellEnd"/>
      <w:r w:rsidR="00445271">
        <w:t>, ‘</w:t>
      </w:r>
      <w:r w:rsidR="00445271" w:rsidRPr="00F772A5">
        <w:t>Ruin and Reconstruction: Understanding the Constructed past</w:t>
      </w:r>
      <w:r w:rsidR="00445271">
        <w:t xml:space="preserve">’, </w:t>
      </w:r>
      <w:proofErr w:type="spellStart"/>
      <w:r w:rsidR="00445271">
        <w:rPr>
          <w:i/>
          <w:iCs/>
        </w:rPr>
        <w:t>Muséologies</w:t>
      </w:r>
      <w:proofErr w:type="spellEnd"/>
      <w:r w:rsidR="00445271">
        <w:rPr>
          <w:i/>
          <w:iCs/>
        </w:rPr>
        <w:t xml:space="preserve">, </w:t>
      </w:r>
      <w:r w:rsidR="00445271">
        <w:t>4.2 (2010) pp.112-131 (p.11</w:t>
      </w:r>
      <w:r w:rsidR="00445271">
        <w:t>8).</w:t>
      </w:r>
    </w:p>
  </w:footnote>
  <w:footnote w:id="28">
    <w:p w14:paraId="7B5F2842" w14:textId="4D8DF719" w:rsidR="00B21346" w:rsidRDefault="00B21346">
      <w:pPr>
        <w:pStyle w:val="FootnoteText"/>
      </w:pPr>
      <w:r>
        <w:rPr>
          <w:rStyle w:val="FootnoteReference"/>
        </w:rPr>
        <w:footnoteRef/>
      </w:r>
      <w:r>
        <w:t xml:space="preserve"> </w:t>
      </w:r>
      <w:r>
        <w:t xml:space="preserve">Miles, </w:t>
      </w:r>
      <w:r w:rsidRPr="00F94DD3">
        <w:rPr>
          <w:i/>
          <w:iCs/>
        </w:rPr>
        <w:t>Battlefield tourism: meanings and interpretations</w:t>
      </w:r>
      <w:r>
        <w:rPr>
          <w:i/>
          <w:iCs/>
        </w:rPr>
        <w:t xml:space="preserve">, </w:t>
      </w:r>
      <w:r>
        <w:t>p.</w:t>
      </w:r>
      <w:r>
        <w:t xml:space="preserve"> 188.</w:t>
      </w:r>
    </w:p>
  </w:footnote>
  <w:footnote w:id="29">
    <w:p w14:paraId="1C8B805B" w14:textId="16BDD843" w:rsidR="00255E41" w:rsidRDefault="00255E41">
      <w:pPr>
        <w:pStyle w:val="FootnoteText"/>
      </w:pPr>
      <w:r>
        <w:rPr>
          <w:rStyle w:val="FootnoteReference"/>
        </w:rPr>
        <w:footnoteRef/>
      </w:r>
      <w:r>
        <w:t xml:space="preserve"> Cameron </w:t>
      </w:r>
      <w:r w:rsidR="00FA6A83">
        <w:t xml:space="preserve">&amp; Gatewood, </w:t>
      </w:r>
      <w:r w:rsidR="00FA6A83">
        <w:t>‘Excursions into the Un-Remembered Past</w:t>
      </w:r>
      <w:r w:rsidR="00FA6A83">
        <w:t>’</w:t>
      </w:r>
    </w:p>
  </w:footnote>
  <w:footnote w:id="30">
    <w:p w14:paraId="727F1FAA" w14:textId="400537AD" w:rsidR="00A37A0B" w:rsidRDefault="00A37A0B">
      <w:pPr>
        <w:pStyle w:val="FootnoteText"/>
      </w:pPr>
      <w:r>
        <w:rPr>
          <w:rStyle w:val="FootnoteReference"/>
        </w:rPr>
        <w:footnoteRef/>
      </w:r>
      <w:r>
        <w:t xml:space="preserve"> </w:t>
      </w:r>
      <w:r w:rsidR="001A20F8">
        <w:t xml:space="preserve">Sarah </w:t>
      </w:r>
      <w:proofErr w:type="spellStart"/>
      <w:r w:rsidR="001A20F8">
        <w:t>Kenderdine</w:t>
      </w:r>
      <w:proofErr w:type="spellEnd"/>
      <w:r w:rsidR="001A20F8">
        <w:t xml:space="preserve">, &amp; Andrew Yip, ‘The Proliferation of Aura: Facsimiles, Authenticity, and Digital Objects’, in </w:t>
      </w:r>
      <w:r w:rsidR="001A20F8">
        <w:rPr>
          <w:i/>
          <w:iCs/>
        </w:rPr>
        <w:t xml:space="preserve">The Routledge Handbook of Museums, Media, and Communication, </w:t>
      </w:r>
      <w:r w:rsidR="001A20F8">
        <w:t xml:space="preserve">ed. Kirsten </w:t>
      </w:r>
      <w:proofErr w:type="spellStart"/>
      <w:r w:rsidR="001A20F8">
        <w:t>Drotner</w:t>
      </w:r>
      <w:proofErr w:type="spellEnd"/>
      <w:r w:rsidR="001A20F8">
        <w:t xml:space="preserve">, Vince </w:t>
      </w:r>
      <w:proofErr w:type="spellStart"/>
      <w:r w:rsidR="001A20F8">
        <w:t>Dziekan</w:t>
      </w:r>
      <w:proofErr w:type="spellEnd"/>
      <w:r w:rsidR="001A20F8">
        <w:t xml:space="preserve">, Ross Parry, Kim Christian </w:t>
      </w:r>
      <w:proofErr w:type="spellStart"/>
      <w:r w:rsidR="001A20F8">
        <w:t>Schrøder</w:t>
      </w:r>
      <w:proofErr w:type="spellEnd"/>
      <w:r w:rsidR="001A20F8">
        <w:t xml:space="preserve"> (London: Routledge, 2018) pp. 274-289, p. 275.</w:t>
      </w:r>
    </w:p>
  </w:footnote>
  <w:footnote w:id="31">
    <w:p w14:paraId="5D97226C" w14:textId="078C1813" w:rsidR="000512C7" w:rsidRDefault="000512C7">
      <w:pPr>
        <w:pStyle w:val="FootnoteText"/>
      </w:pPr>
      <w:r>
        <w:rPr>
          <w:rStyle w:val="FootnoteReference"/>
        </w:rPr>
        <w:footnoteRef/>
      </w:r>
      <w:r>
        <w:t xml:space="preserve"> </w:t>
      </w:r>
      <w:r w:rsidR="00FA5C87" w:rsidRPr="00F51F00">
        <w:t xml:space="preserve">Thomas Neijman, </w:t>
      </w:r>
      <w:r w:rsidR="00FA5C87" w:rsidRPr="00F51F00">
        <w:rPr>
          <w:i/>
          <w:iCs/>
        </w:rPr>
        <w:t>The Gotlandic rural militia: A study of the invasion of Gotland 1361 In response to a modern narrative</w:t>
      </w:r>
      <w:r w:rsidR="00FA5C87" w:rsidRPr="00F51F00">
        <w:t xml:space="preserve"> (</w:t>
      </w:r>
      <w:proofErr w:type="spellStart"/>
      <w:proofErr w:type="gramStart"/>
      <w:r w:rsidR="00FA5C87" w:rsidRPr="00F51F00">
        <w:t>Masters</w:t>
      </w:r>
      <w:proofErr w:type="spellEnd"/>
      <w:proofErr w:type="gramEnd"/>
      <w:r w:rsidR="00FA5C87" w:rsidRPr="00F51F00">
        <w:t xml:space="preserve"> Thesis, Stockholm University, 2017), p.</w:t>
      </w:r>
      <w:r w:rsidR="00FA5C87">
        <w:t xml:space="preserve"> 8. </w:t>
      </w:r>
    </w:p>
  </w:footnote>
  <w:footnote w:id="32">
    <w:p w14:paraId="67C1CBB9" w14:textId="61C4AB5A" w:rsidR="008A6144" w:rsidRDefault="008A6144">
      <w:pPr>
        <w:pStyle w:val="FootnoteText"/>
      </w:pPr>
      <w:r>
        <w:rPr>
          <w:rStyle w:val="FootnoteReference"/>
        </w:rPr>
        <w:footnoteRef/>
      </w:r>
      <w:r>
        <w:t xml:space="preserve"> </w:t>
      </w:r>
      <w:r w:rsidR="00E064BE" w:rsidRPr="00CC3F76">
        <w:t>Lingström, Maria, &amp; Sutherland, Tim, ‘A new interpretation of the partial inscription on the memorial cross at Grens, Mästerby parish, Gotland’</w:t>
      </w:r>
      <w:r w:rsidR="00E064BE" w:rsidRPr="00CC3F76">
        <w:rPr>
          <w:i/>
          <w:iCs/>
        </w:rPr>
        <w:t>, Fornvännen: Journal of Swedish Antiquarian Research</w:t>
      </w:r>
      <w:r w:rsidR="00E064BE" w:rsidRPr="00CC3F76">
        <w:t>, 116 (2021), 38-53</w:t>
      </w:r>
      <w:r w:rsidR="00E064BE">
        <w:t xml:space="preserve"> (p.</w:t>
      </w:r>
      <w:r w:rsidR="0038055E">
        <w:t>39</w:t>
      </w:r>
      <w:r w:rsidR="00E064BE">
        <w:t>).</w:t>
      </w:r>
    </w:p>
  </w:footnote>
  <w:footnote w:id="33">
    <w:p w14:paraId="2640DA4A" w14:textId="2FA5AA73" w:rsidR="00BD7E38" w:rsidRPr="00D30AC3" w:rsidRDefault="00BD7E38">
      <w:pPr>
        <w:pStyle w:val="FootnoteText"/>
      </w:pPr>
      <w:r>
        <w:rPr>
          <w:rStyle w:val="FootnoteReference"/>
        </w:rPr>
        <w:footnoteRef/>
      </w:r>
      <w:r>
        <w:t xml:space="preserve"> </w:t>
      </w:r>
      <w:r w:rsidR="00D30AC3">
        <w:t xml:space="preserve">Neijman, </w:t>
      </w:r>
      <w:r w:rsidR="00D30AC3">
        <w:rPr>
          <w:i/>
          <w:iCs/>
        </w:rPr>
        <w:t>The Gotlandic rural militia</w:t>
      </w:r>
      <w:r w:rsidR="00D30AC3">
        <w:t>, p. 9.</w:t>
      </w:r>
    </w:p>
  </w:footnote>
  <w:footnote w:id="34">
    <w:p w14:paraId="5319B30D" w14:textId="3EFCFF80" w:rsidR="006C7511" w:rsidRDefault="006C7511">
      <w:pPr>
        <w:pStyle w:val="FootnoteText"/>
      </w:pPr>
      <w:r>
        <w:rPr>
          <w:rStyle w:val="FootnoteReference"/>
        </w:rPr>
        <w:footnoteRef/>
      </w:r>
      <w:r>
        <w:t xml:space="preserve"> </w:t>
      </w:r>
      <w:r w:rsidR="005E11AA" w:rsidRPr="005E11AA">
        <w:t>Stephen</w:t>
      </w:r>
      <w:r w:rsidR="005E11AA">
        <w:t xml:space="preserve"> </w:t>
      </w:r>
      <w:proofErr w:type="spellStart"/>
      <w:r w:rsidR="005E11AA">
        <w:t>Gapps</w:t>
      </w:r>
      <w:proofErr w:type="spellEnd"/>
      <w:r w:rsidR="005E11AA">
        <w:t>, ‘</w:t>
      </w:r>
      <w:r w:rsidR="005E11AA" w:rsidRPr="005E11AA">
        <w:t>Mobile monuments: A view of historical reenactment and authenticity from inside the</w:t>
      </w:r>
      <w:r w:rsidR="005E11AA">
        <w:t xml:space="preserve"> </w:t>
      </w:r>
      <w:r w:rsidR="005E11AA" w:rsidRPr="005E11AA">
        <w:t>costume cupboard of history</w:t>
      </w:r>
      <w:r w:rsidR="005E11AA">
        <w:t>’</w:t>
      </w:r>
      <w:r w:rsidR="005E11AA" w:rsidRPr="005E11AA">
        <w:t xml:space="preserve"> </w:t>
      </w:r>
      <w:r w:rsidR="005E11AA" w:rsidRPr="005E11AA">
        <w:rPr>
          <w:i/>
          <w:iCs/>
        </w:rPr>
        <w:t>Rethinking History</w:t>
      </w:r>
      <w:r w:rsidR="005E11AA">
        <w:rPr>
          <w:i/>
          <w:iCs/>
        </w:rPr>
        <w:t>,</w:t>
      </w:r>
      <w:r w:rsidR="005E11AA" w:rsidRPr="005E11AA">
        <w:t xml:space="preserve"> 13.3 (2009) 395-409</w:t>
      </w:r>
      <w:r w:rsidR="00B60B00">
        <w:t xml:space="preserve"> (p. 406-407).</w:t>
      </w:r>
    </w:p>
  </w:footnote>
  <w:footnote w:id="35">
    <w:p w14:paraId="2F502F4F" w14:textId="39AC1F84" w:rsidR="00347522" w:rsidRDefault="00347522">
      <w:pPr>
        <w:pStyle w:val="FootnoteText"/>
      </w:pPr>
      <w:r>
        <w:rPr>
          <w:rStyle w:val="FootnoteReference"/>
        </w:rPr>
        <w:footnoteRef/>
      </w:r>
      <w:r>
        <w:t xml:space="preserve"> </w:t>
      </w:r>
      <w:proofErr w:type="spellStart"/>
      <w:r>
        <w:t>Beckstead</w:t>
      </w:r>
      <w:proofErr w:type="spellEnd"/>
      <w:r>
        <w:t xml:space="preserve">, </w:t>
      </w:r>
      <w:r>
        <w:rPr>
          <w:i/>
          <w:iCs/>
        </w:rPr>
        <w:t>et al.</w:t>
      </w:r>
      <w:r>
        <w:t>, ‘</w:t>
      </w:r>
      <w:r w:rsidRPr="00B559DB">
        <w:t>Collective</w:t>
      </w:r>
      <w:r>
        <w:t xml:space="preserve"> </w:t>
      </w:r>
      <w:r w:rsidRPr="00B559DB">
        <w:t>remembering</w:t>
      </w:r>
      <w:r>
        <w:t xml:space="preserve"> </w:t>
      </w:r>
      <w:r w:rsidRPr="00B559DB">
        <w:t>through the materiality and</w:t>
      </w:r>
      <w:r>
        <w:t xml:space="preserve"> </w:t>
      </w:r>
      <w:r w:rsidRPr="00B559DB">
        <w:t>organization of war memorials</w:t>
      </w:r>
      <w:r>
        <w:t>’, p. 19</w:t>
      </w:r>
      <w:r>
        <w:t>5.</w:t>
      </w:r>
    </w:p>
  </w:footnote>
  <w:footnote w:id="36">
    <w:p w14:paraId="53B1DB15" w14:textId="4E5CE4D6" w:rsidR="000A3022" w:rsidRDefault="000A3022">
      <w:pPr>
        <w:pStyle w:val="FootnoteText"/>
      </w:pPr>
      <w:r>
        <w:rPr>
          <w:rStyle w:val="FootnoteReference"/>
        </w:rPr>
        <w:footnoteRef/>
      </w:r>
      <w:r>
        <w:t xml:space="preserve"> </w:t>
      </w:r>
      <w:r w:rsidR="00855CF2" w:rsidRPr="00855CF2">
        <w:t>Erika</w:t>
      </w:r>
      <w:r w:rsidR="00855CF2">
        <w:t xml:space="preserve"> Doss,</w:t>
      </w:r>
      <w:r w:rsidR="00855CF2" w:rsidRPr="00855CF2">
        <w:t xml:space="preserve"> </w:t>
      </w:r>
      <w:r w:rsidR="00855CF2">
        <w:t>‘</w:t>
      </w:r>
      <w:r w:rsidR="00855CF2" w:rsidRPr="00855CF2">
        <w:t>Authenticity, Memory, and Materiality: Disgraced Memorials and Issues of Permanence</w:t>
      </w:r>
      <w:r w:rsidR="00855CF2">
        <w:t>’,</w:t>
      </w:r>
      <w:r w:rsidR="00855CF2" w:rsidRPr="00855CF2">
        <w:t xml:space="preserve"> </w:t>
      </w:r>
      <w:r w:rsidR="00855CF2" w:rsidRPr="00855CF2">
        <w:rPr>
          <w:i/>
          <w:iCs/>
        </w:rPr>
        <w:t>American Quarterly</w:t>
      </w:r>
      <w:r w:rsidR="00855CF2">
        <w:t>,</w:t>
      </w:r>
      <w:r w:rsidR="00855CF2" w:rsidRPr="00855CF2">
        <w:t xml:space="preserve"> 73.1 (2021) 135-139</w:t>
      </w:r>
      <w:r w:rsidR="00855CF2">
        <w:t xml:space="preserve"> (p</w:t>
      </w:r>
      <w:r w:rsidR="00B65C51">
        <w:t xml:space="preserve"> 136).</w:t>
      </w:r>
    </w:p>
  </w:footnote>
  <w:footnote w:id="37">
    <w:p w14:paraId="328D53A9" w14:textId="6C673F8D" w:rsidR="00A56693" w:rsidRDefault="00A56693">
      <w:pPr>
        <w:pStyle w:val="FootnoteText"/>
      </w:pPr>
      <w:r>
        <w:rPr>
          <w:rStyle w:val="FootnoteReference"/>
        </w:rPr>
        <w:footnoteRef/>
      </w:r>
      <w:r>
        <w:t xml:space="preserve"> Ibid.</w:t>
      </w:r>
    </w:p>
  </w:footnote>
  <w:footnote w:id="38">
    <w:p w14:paraId="556AB54D" w14:textId="6DDEA6A1" w:rsidR="00323721" w:rsidRDefault="00323721">
      <w:pPr>
        <w:pStyle w:val="FootnoteText"/>
      </w:pPr>
      <w:r>
        <w:rPr>
          <w:rStyle w:val="FootnoteReference"/>
        </w:rPr>
        <w:footnoteRef/>
      </w:r>
      <w:r>
        <w:t xml:space="preserve"> Ibid.</w:t>
      </w:r>
    </w:p>
  </w:footnote>
  <w:footnote w:id="39">
    <w:p w14:paraId="5D7FFCAD" w14:textId="6A55C0DC" w:rsidR="00BA58CC" w:rsidRPr="00BA58CC" w:rsidRDefault="00BA58CC">
      <w:pPr>
        <w:pStyle w:val="FootnoteText"/>
      </w:pPr>
      <w:r>
        <w:rPr>
          <w:rStyle w:val="FootnoteReference"/>
        </w:rPr>
        <w:footnoteRef/>
      </w:r>
      <w:r>
        <w:t xml:space="preserve"> </w:t>
      </w:r>
      <w:proofErr w:type="spellStart"/>
      <w:r>
        <w:t>Alvesad</w:t>
      </w:r>
      <w:proofErr w:type="spellEnd"/>
      <w:r>
        <w:t>,</w:t>
      </w:r>
      <w:r>
        <w:t xml:space="preserve"> &amp;</w:t>
      </w:r>
      <w:r>
        <w:t xml:space="preserve"> </w:t>
      </w:r>
      <w:r>
        <w:t xml:space="preserve">Houghton, </w:t>
      </w:r>
      <w:r w:rsidRPr="00055AF0">
        <w:rPr>
          <w:i/>
          <w:iCs/>
        </w:rPr>
        <w:t>The Middle Ages in Modern Culture</w:t>
      </w:r>
      <w:r>
        <w:rPr>
          <w:i/>
          <w:iCs/>
        </w:rPr>
        <w:t>,</w:t>
      </w:r>
      <w:r>
        <w:t xml:space="preserve"> p.4.</w:t>
      </w:r>
    </w:p>
  </w:footnote>
  <w:footnote w:id="40">
    <w:p w14:paraId="4B5AD721" w14:textId="3762138F" w:rsidR="00362A6D" w:rsidRDefault="00362A6D">
      <w:pPr>
        <w:pStyle w:val="FootnoteText"/>
      </w:pPr>
      <w:r>
        <w:rPr>
          <w:rStyle w:val="FootnoteReference"/>
        </w:rPr>
        <w:footnoteRef/>
      </w:r>
      <w:r>
        <w:t xml:space="preserve"> </w:t>
      </w:r>
      <w:proofErr w:type="spellStart"/>
      <w:r>
        <w:t>Beckstead</w:t>
      </w:r>
      <w:proofErr w:type="spellEnd"/>
      <w:r>
        <w:t xml:space="preserve">, </w:t>
      </w:r>
      <w:r>
        <w:rPr>
          <w:i/>
          <w:iCs/>
        </w:rPr>
        <w:t>et al.</w:t>
      </w:r>
      <w:r>
        <w:t>, ‘</w:t>
      </w:r>
      <w:r w:rsidRPr="00B559DB">
        <w:t>Collective</w:t>
      </w:r>
      <w:r>
        <w:t xml:space="preserve"> </w:t>
      </w:r>
      <w:r w:rsidRPr="00B559DB">
        <w:t>remembering</w:t>
      </w:r>
      <w:r>
        <w:t xml:space="preserve"> </w:t>
      </w:r>
      <w:r w:rsidRPr="00B559DB">
        <w:t>through the materiality and</w:t>
      </w:r>
      <w:r>
        <w:t xml:space="preserve"> </w:t>
      </w:r>
      <w:r w:rsidRPr="00B559DB">
        <w:t>organization of war memorials</w:t>
      </w:r>
      <w:r>
        <w:t>’, p. 19</w:t>
      </w:r>
      <w:r>
        <w:t>6.</w:t>
      </w:r>
    </w:p>
  </w:footnote>
  <w:footnote w:id="41">
    <w:p w14:paraId="040F2A99" w14:textId="4F1ADD10" w:rsidR="00403E8F" w:rsidRDefault="00403E8F">
      <w:pPr>
        <w:pStyle w:val="FootnoteText"/>
      </w:pPr>
      <w:r>
        <w:rPr>
          <w:rStyle w:val="FootnoteReference"/>
        </w:rPr>
        <w:footnoteRef/>
      </w:r>
      <w:r>
        <w:t xml:space="preserve"> </w:t>
      </w:r>
      <w:r w:rsidR="00556BB5" w:rsidRPr="00BF4A7A">
        <w:t>Benjamin, ‘The Work of Art in the Age of Mechanical Reproduction’</w:t>
      </w:r>
      <w:r w:rsidR="00556BB5">
        <w:t>, p.</w:t>
      </w:r>
      <w:r w:rsidR="00556BB5">
        <w:t xml:space="preserve"> 18.</w:t>
      </w:r>
    </w:p>
  </w:footnote>
  <w:footnote w:id="42">
    <w:p w14:paraId="45466FB5" w14:textId="049735D1" w:rsidR="00206253" w:rsidRPr="008972FA" w:rsidRDefault="00206253">
      <w:pPr>
        <w:pStyle w:val="FootnoteText"/>
      </w:pPr>
      <w:r>
        <w:rPr>
          <w:rStyle w:val="FootnoteReference"/>
        </w:rPr>
        <w:footnoteRef/>
      </w:r>
      <w:r>
        <w:t xml:space="preserve"> </w:t>
      </w:r>
      <w:proofErr w:type="spellStart"/>
      <w:r w:rsidR="008972FA">
        <w:t>Groys</w:t>
      </w:r>
      <w:proofErr w:type="spellEnd"/>
      <w:r w:rsidR="008972FA">
        <w:t xml:space="preserve">, </w:t>
      </w:r>
      <w:r w:rsidR="008972FA">
        <w:rPr>
          <w:i/>
          <w:iCs/>
        </w:rPr>
        <w:t>In the Flow</w:t>
      </w:r>
      <w:r w:rsidR="008972FA">
        <w:t>, p. 11.</w:t>
      </w:r>
    </w:p>
  </w:footnote>
  <w:footnote w:id="43">
    <w:p w14:paraId="7B724839" w14:textId="411C8E0D" w:rsidR="001342F6" w:rsidRDefault="001342F6">
      <w:pPr>
        <w:pStyle w:val="FootnoteText"/>
      </w:pPr>
      <w:r>
        <w:rPr>
          <w:rStyle w:val="FootnoteReference"/>
        </w:rPr>
        <w:footnoteRef/>
      </w:r>
      <w:r>
        <w:t xml:space="preserve"> </w:t>
      </w:r>
      <w:r w:rsidR="00FD156C">
        <w:t xml:space="preserve">Miles, </w:t>
      </w:r>
      <w:r w:rsidR="00FD156C" w:rsidRPr="00F94DD3">
        <w:rPr>
          <w:i/>
          <w:iCs/>
        </w:rPr>
        <w:t>Battlefield tourism: meanings and interpretations</w:t>
      </w:r>
      <w:r w:rsidR="00FD156C">
        <w:rPr>
          <w:i/>
          <w:iCs/>
        </w:rPr>
        <w:t xml:space="preserve">, </w:t>
      </w:r>
      <w:r w:rsidR="00FD156C">
        <w:t>p.</w:t>
      </w:r>
      <w:r w:rsidR="00FD156C">
        <w:t xml:space="preserve"> 70.</w:t>
      </w:r>
    </w:p>
  </w:footnote>
  <w:footnote w:id="44">
    <w:p w14:paraId="2CE5C6A2" w14:textId="24C83646" w:rsidR="009F4B1E" w:rsidRDefault="009F4B1E">
      <w:pPr>
        <w:pStyle w:val="FootnoteText"/>
      </w:pPr>
      <w:r>
        <w:rPr>
          <w:rStyle w:val="FootnoteReference"/>
        </w:rPr>
        <w:footnoteRef/>
      </w:r>
      <w:r>
        <w:t xml:space="preserve"> </w:t>
      </w:r>
      <w:proofErr w:type="spellStart"/>
      <w:r w:rsidR="00482F68">
        <w:t>Gapps</w:t>
      </w:r>
      <w:proofErr w:type="spellEnd"/>
      <w:r w:rsidR="00482F68">
        <w:t>, ‘</w:t>
      </w:r>
      <w:r w:rsidR="00482F68" w:rsidRPr="005E11AA">
        <w:t>Mobile monuments</w:t>
      </w:r>
      <w:r w:rsidR="003308F0">
        <w:t>’, p.</w:t>
      </w:r>
      <w:r w:rsidR="008B7AC0">
        <w:t xml:space="preserve"> 397.</w:t>
      </w:r>
    </w:p>
  </w:footnote>
  <w:footnote w:id="45">
    <w:p w14:paraId="0831F570" w14:textId="05F13059" w:rsidR="006250EE" w:rsidRDefault="006250EE">
      <w:pPr>
        <w:pStyle w:val="FootnoteText"/>
      </w:pPr>
      <w:r>
        <w:rPr>
          <w:rStyle w:val="FootnoteReference"/>
        </w:rPr>
        <w:footnoteRef/>
      </w:r>
      <w:r>
        <w:t xml:space="preserve"> </w:t>
      </w:r>
      <w:r w:rsidR="009201B1">
        <w:t xml:space="preserve">Miles, </w:t>
      </w:r>
      <w:r w:rsidR="009201B1" w:rsidRPr="00F94DD3">
        <w:rPr>
          <w:i/>
          <w:iCs/>
        </w:rPr>
        <w:t>Battlefield tourism: meanings and interpretations</w:t>
      </w:r>
      <w:r w:rsidR="009201B1">
        <w:rPr>
          <w:i/>
          <w:iCs/>
        </w:rPr>
        <w:t xml:space="preserve">, </w:t>
      </w:r>
      <w:r w:rsidR="009201B1">
        <w:t>p.</w:t>
      </w:r>
      <w:r w:rsidR="009201B1">
        <w:t xml:space="preserve"> 213.</w:t>
      </w:r>
    </w:p>
  </w:footnote>
  <w:footnote w:id="46">
    <w:p w14:paraId="3F03B235" w14:textId="12307E05" w:rsidR="00C419C5" w:rsidRDefault="00C419C5">
      <w:pPr>
        <w:pStyle w:val="FootnoteText"/>
      </w:pPr>
      <w:r>
        <w:rPr>
          <w:rStyle w:val="FootnoteReference"/>
        </w:rPr>
        <w:footnoteRef/>
      </w:r>
      <w:r>
        <w:t xml:space="preserve"> Ibid., p. 214.</w:t>
      </w:r>
    </w:p>
  </w:footnote>
  <w:footnote w:id="47">
    <w:p w14:paraId="5A630CE6" w14:textId="74F82406" w:rsidR="00242A67" w:rsidRDefault="00242A67">
      <w:pPr>
        <w:pStyle w:val="FootnoteText"/>
      </w:pPr>
      <w:r>
        <w:rPr>
          <w:rStyle w:val="FootnoteReference"/>
        </w:rPr>
        <w:footnoteRef/>
      </w:r>
      <w:r>
        <w:t xml:space="preserve"> </w:t>
      </w:r>
      <w:proofErr w:type="spellStart"/>
      <w:r>
        <w:t>Gapps</w:t>
      </w:r>
      <w:proofErr w:type="spellEnd"/>
      <w:r>
        <w:t>, ‘</w:t>
      </w:r>
      <w:r w:rsidRPr="005E11AA">
        <w:t>Mobile monuments</w:t>
      </w:r>
      <w:r>
        <w:t>’, p.</w:t>
      </w:r>
      <w:r>
        <w:t xml:space="preserve"> 406.</w:t>
      </w:r>
    </w:p>
  </w:footnote>
  <w:footnote w:id="48">
    <w:p w14:paraId="71633C65" w14:textId="6590D3CC" w:rsidR="00890C5C" w:rsidRDefault="00890C5C">
      <w:pPr>
        <w:pStyle w:val="FootnoteText"/>
      </w:pPr>
      <w:r>
        <w:rPr>
          <w:rStyle w:val="FootnoteReference"/>
        </w:rPr>
        <w:footnoteRef/>
      </w:r>
      <w:r>
        <w:t xml:space="preserve"> </w:t>
      </w:r>
      <w:proofErr w:type="spellStart"/>
      <w:r>
        <w:t>Holtorf</w:t>
      </w:r>
      <w:proofErr w:type="spellEnd"/>
      <w:r>
        <w:t>, ‘On Pastness’, p. 43</w:t>
      </w:r>
      <w:r>
        <w:t>4.</w:t>
      </w:r>
    </w:p>
  </w:footnote>
  <w:footnote w:id="49">
    <w:p w14:paraId="003234CB" w14:textId="35EA25C5" w:rsidR="0061698C" w:rsidRDefault="0061698C">
      <w:pPr>
        <w:pStyle w:val="FootnoteText"/>
      </w:pPr>
      <w:r>
        <w:rPr>
          <w:rStyle w:val="FootnoteReference"/>
        </w:rPr>
        <w:footnoteRef/>
      </w:r>
      <w:r>
        <w:t xml:space="preserve"> </w:t>
      </w:r>
      <w:r w:rsidR="00AB0877">
        <w:t xml:space="preserve">Miles, </w:t>
      </w:r>
      <w:r w:rsidR="00AB0877" w:rsidRPr="00F94DD3">
        <w:rPr>
          <w:i/>
          <w:iCs/>
        </w:rPr>
        <w:t>Battlefield tourism: meanings and interpretations</w:t>
      </w:r>
      <w:r w:rsidR="00AB0877">
        <w:rPr>
          <w:i/>
          <w:iCs/>
        </w:rPr>
        <w:t xml:space="preserve">, </w:t>
      </w:r>
      <w:r w:rsidR="00AB0877">
        <w:t>p.</w:t>
      </w:r>
      <w:r w:rsidR="00AB0877">
        <w:t xml:space="preserve"> 242.</w:t>
      </w:r>
    </w:p>
  </w:footnote>
  <w:footnote w:id="50">
    <w:p w14:paraId="2CC47048" w14:textId="3A8A6D58" w:rsidR="0015177A" w:rsidRDefault="0015177A">
      <w:pPr>
        <w:pStyle w:val="FootnoteText"/>
      </w:pPr>
      <w:r>
        <w:rPr>
          <w:rStyle w:val="FootnoteReference"/>
        </w:rPr>
        <w:footnoteRef/>
      </w:r>
      <w:r>
        <w:t xml:space="preserve"> </w:t>
      </w:r>
      <w:r w:rsidR="00513F04">
        <w:t xml:space="preserve">Anthony Jackson, &amp; Helen Rees Leahy, ‘Seeing it for Real…? – Authenticity, Theatre, and Learning in Museums’, </w:t>
      </w:r>
      <w:r w:rsidR="00513F04">
        <w:rPr>
          <w:i/>
          <w:iCs/>
        </w:rPr>
        <w:t xml:space="preserve">Research in Drama Education: The Journal of Applied Theatre and Performance, </w:t>
      </w:r>
      <w:r w:rsidR="00513F04">
        <w:t>10.3 (2005) pp. 303-325 (p. 31</w:t>
      </w:r>
      <w:r w:rsidR="00513F04">
        <w:t xml:space="preserve">5). </w:t>
      </w:r>
    </w:p>
  </w:footnote>
  <w:footnote w:id="51">
    <w:p w14:paraId="01E85970" w14:textId="27CA53EC" w:rsidR="00603413" w:rsidRDefault="00603413">
      <w:pPr>
        <w:pStyle w:val="FootnoteText"/>
      </w:pPr>
      <w:r>
        <w:rPr>
          <w:rStyle w:val="FootnoteReference"/>
        </w:rPr>
        <w:footnoteRef/>
      </w:r>
      <w:proofErr w:type="spellStart"/>
      <w:r>
        <w:t>Groys</w:t>
      </w:r>
      <w:proofErr w:type="spellEnd"/>
      <w:r>
        <w:t xml:space="preserve">, </w:t>
      </w:r>
      <w:r>
        <w:rPr>
          <w:i/>
          <w:iCs/>
        </w:rPr>
        <w:t>In the Flow</w:t>
      </w:r>
      <w:r>
        <w:t>, p. 11.</w:t>
      </w:r>
    </w:p>
  </w:footnote>
  <w:footnote w:id="52">
    <w:p w14:paraId="0C429648" w14:textId="158DA56A" w:rsidR="00AF726A" w:rsidRDefault="00AF726A">
      <w:pPr>
        <w:pStyle w:val="FootnoteText"/>
      </w:pPr>
      <w:r>
        <w:rPr>
          <w:rStyle w:val="FootnoteReference"/>
        </w:rPr>
        <w:footnoteRef/>
      </w:r>
      <w:r>
        <w:t xml:space="preserve"> </w:t>
      </w:r>
      <w:proofErr w:type="spellStart"/>
      <w:r>
        <w:t>Holtorf</w:t>
      </w:r>
      <w:proofErr w:type="spellEnd"/>
      <w:r>
        <w:t>, ‘On Pastness’, p. 43</w:t>
      </w:r>
      <w:r>
        <w:t>1.</w:t>
      </w:r>
    </w:p>
  </w:footnote>
  <w:footnote w:id="53">
    <w:p w14:paraId="691999BD" w14:textId="6B33DA30" w:rsidR="00025FC4" w:rsidRDefault="00025FC4">
      <w:pPr>
        <w:pStyle w:val="FootnoteText"/>
      </w:pPr>
      <w:r>
        <w:rPr>
          <w:rStyle w:val="FootnoteReference"/>
        </w:rPr>
        <w:footnoteRef/>
      </w:r>
      <w:r>
        <w:t xml:space="preserve"> </w:t>
      </w:r>
      <w:proofErr w:type="spellStart"/>
      <w:r>
        <w:t>Gapps</w:t>
      </w:r>
      <w:proofErr w:type="spellEnd"/>
      <w:r>
        <w:t>, ‘</w:t>
      </w:r>
      <w:r w:rsidRPr="005E11AA">
        <w:t>Mobile monuments</w:t>
      </w:r>
      <w:r>
        <w:t>’, p. 406</w:t>
      </w:r>
      <w:r>
        <w:t>-407.</w:t>
      </w:r>
    </w:p>
  </w:footnote>
  <w:footnote w:id="54">
    <w:p w14:paraId="3FA27C9C" w14:textId="28A742F9" w:rsidR="002C3FF8" w:rsidRDefault="002C3FF8">
      <w:pPr>
        <w:pStyle w:val="FootnoteText"/>
      </w:pPr>
      <w:r>
        <w:rPr>
          <w:rStyle w:val="FootnoteReference"/>
        </w:rPr>
        <w:footnoteRef/>
      </w:r>
      <w:r>
        <w:t xml:space="preserve"> </w:t>
      </w:r>
      <w:r w:rsidR="009F1CB5">
        <w:rPr>
          <w:rStyle w:val="FootnoteReference"/>
        </w:rPr>
        <w:footnoteRef/>
      </w:r>
      <w:r w:rsidR="009F1CB5">
        <w:t xml:space="preserve"> </w:t>
      </w:r>
      <w:proofErr w:type="spellStart"/>
      <w:r w:rsidR="009F1CB5">
        <w:t>Beckstead</w:t>
      </w:r>
      <w:proofErr w:type="spellEnd"/>
      <w:r w:rsidR="009F1CB5">
        <w:t xml:space="preserve">, </w:t>
      </w:r>
      <w:r w:rsidR="009F1CB5">
        <w:rPr>
          <w:i/>
          <w:iCs/>
        </w:rPr>
        <w:t>et al.</w:t>
      </w:r>
      <w:r w:rsidR="009F1CB5">
        <w:t>, ‘</w:t>
      </w:r>
      <w:r w:rsidR="009F1CB5" w:rsidRPr="00B559DB">
        <w:t>Collective</w:t>
      </w:r>
      <w:r w:rsidR="009F1CB5">
        <w:t xml:space="preserve"> </w:t>
      </w:r>
      <w:r w:rsidR="009F1CB5" w:rsidRPr="00B559DB">
        <w:t>remembering</w:t>
      </w:r>
      <w:r w:rsidR="009F1CB5">
        <w:t xml:space="preserve"> </w:t>
      </w:r>
      <w:r w:rsidR="009F1CB5" w:rsidRPr="00B559DB">
        <w:t>through the materiality and</w:t>
      </w:r>
      <w:r w:rsidR="009F1CB5">
        <w:t xml:space="preserve"> </w:t>
      </w:r>
      <w:r w:rsidR="009F1CB5" w:rsidRPr="00B559DB">
        <w:t>organization of war memorials</w:t>
      </w:r>
      <w:r w:rsidR="009F1CB5">
        <w:t>’, p. 19</w:t>
      </w:r>
      <w:r w:rsidR="009F1CB5">
        <w:t>6.</w:t>
      </w:r>
    </w:p>
  </w:footnote>
  <w:footnote w:id="55">
    <w:p w14:paraId="335582BB" w14:textId="3B534B65" w:rsidR="00534333" w:rsidRDefault="00534333">
      <w:pPr>
        <w:pStyle w:val="FootnoteText"/>
      </w:pPr>
      <w:r>
        <w:rPr>
          <w:rStyle w:val="FootnoteReference"/>
        </w:rPr>
        <w:footnoteRef/>
      </w:r>
      <w:r>
        <w:t xml:space="preserve"> </w:t>
      </w:r>
      <w:r>
        <w:t xml:space="preserve">Miles, </w:t>
      </w:r>
      <w:r w:rsidRPr="00F94DD3">
        <w:rPr>
          <w:i/>
          <w:iCs/>
        </w:rPr>
        <w:t>Battlefield tourism: meanings and interpretations</w:t>
      </w:r>
      <w:r>
        <w:rPr>
          <w:i/>
          <w:iCs/>
        </w:rPr>
        <w:t xml:space="preserve">, </w:t>
      </w:r>
      <w:r>
        <w:t>p. 2</w:t>
      </w:r>
      <w:r>
        <w:t>-4.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9F252E" w14:textId="2B6B8D6D" w:rsidR="004F5AB8" w:rsidRDefault="00AF67E7">
    <w:pPr>
      <w:pStyle w:val="Header"/>
    </w:pPr>
    <w:r>
      <w:t>HPHE6003</w:t>
    </w:r>
    <w:r w:rsidR="004F5AB8">
      <w:ptab w:relativeTo="margin" w:alignment="center" w:leader="none"/>
    </w:r>
    <w:r w:rsidR="00E97757">
      <w:t>Essay</w:t>
    </w:r>
    <w:r w:rsidR="004F5AB8">
      <w:ptab w:relativeTo="margin" w:alignment="right" w:leader="none"/>
    </w:r>
    <w:r w:rsidR="00032656">
      <w:t>22</w:t>
    </w:r>
    <w:r w:rsidR="00032656" w:rsidRPr="00032656">
      <w:rPr>
        <w:vertAlign w:val="superscript"/>
      </w:rPr>
      <w:t>nd</w:t>
    </w:r>
    <w:r w:rsidR="00032656">
      <w:t xml:space="preserve">  February 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DA3921"/>
    <w:multiLevelType w:val="hybridMultilevel"/>
    <w:tmpl w:val="74C888CC"/>
    <w:lvl w:ilvl="0" w:tplc="424A93BE">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2" w15:restartNumberingAfterBreak="0">
    <w:nsid w:val="526E7C89"/>
    <w:multiLevelType w:val="hybridMultilevel"/>
    <w:tmpl w:val="FF0E604C"/>
    <w:lvl w:ilvl="0" w:tplc="9E6E64BC">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821910">
    <w:abstractNumId w:val="1"/>
  </w:num>
  <w:num w:numId="2" w16cid:durableId="933056885">
    <w:abstractNumId w:val="2"/>
  </w:num>
  <w:num w:numId="3" w16cid:durableId="204393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5C1"/>
    <w:rsid w:val="00003DDD"/>
    <w:rsid w:val="00003E97"/>
    <w:rsid w:val="00025FC4"/>
    <w:rsid w:val="00032656"/>
    <w:rsid w:val="000364D7"/>
    <w:rsid w:val="00037C36"/>
    <w:rsid w:val="00044786"/>
    <w:rsid w:val="00046F93"/>
    <w:rsid w:val="000512C7"/>
    <w:rsid w:val="00072A1C"/>
    <w:rsid w:val="000764A7"/>
    <w:rsid w:val="00076DAC"/>
    <w:rsid w:val="00084CCD"/>
    <w:rsid w:val="00097D38"/>
    <w:rsid w:val="000A3022"/>
    <w:rsid w:val="000C1070"/>
    <w:rsid w:val="000D11EF"/>
    <w:rsid w:val="000D3C61"/>
    <w:rsid w:val="000D6B05"/>
    <w:rsid w:val="000E2250"/>
    <w:rsid w:val="000E296D"/>
    <w:rsid w:val="000E3B86"/>
    <w:rsid w:val="000F2A3D"/>
    <w:rsid w:val="000F5B9E"/>
    <w:rsid w:val="000F7F77"/>
    <w:rsid w:val="00104706"/>
    <w:rsid w:val="0011297C"/>
    <w:rsid w:val="001176D4"/>
    <w:rsid w:val="00123ADD"/>
    <w:rsid w:val="001342F6"/>
    <w:rsid w:val="0013765C"/>
    <w:rsid w:val="001443F7"/>
    <w:rsid w:val="00144AFB"/>
    <w:rsid w:val="00147A29"/>
    <w:rsid w:val="00150033"/>
    <w:rsid w:val="0015177A"/>
    <w:rsid w:val="0015566B"/>
    <w:rsid w:val="00157C62"/>
    <w:rsid w:val="00177FFB"/>
    <w:rsid w:val="00181B83"/>
    <w:rsid w:val="0018795B"/>
    <w:rsid w:val="0019243A"/>
    <w:rsid w:val="0019696D"/>
    <w:rsid w:val="001A20F8"/>
    <w:rsid w:val="001A5496"/>
    <w:rsid w:val="001A712B"/>
    <w:rsid w:val="001C35AC"/>
    <w:rsid w:val="001C729C"/>
    <w:rsid w:val="001C7BF2"/>
    <w:rsid w:val="001E55D4"/>
    <w:rsid w:val="001E6DF1"/>
    <w:rsid w:val="001F2C92"/>
    <w:rsid w:val="001F3050"/>
    <w:rsid w:val="001F3B73"/>
    <w:rsid w:val="001F5147"/>
    <w:rsid w:val="00200171"/>
    <w:rsid w:val="00206253"/>
    <w:rsid w:val="002079D2"/>
    <w:rsid w:val="00222391"/>
    <w:rsid w:val="0023757E"/>
    <w:rsid w:val="00237690"/>
    <w:rsid w:val="00242A67"/>
    <w:rsid w:val="00244079"/>
    <w:rsid w:val="002445DD"/>
    <w:rsid w:val="00255E41"/>
    <w:rsid w:val="00263723"/>
    <w:rsid w:val="00286ABC"/>
    <w:rsid w:val="00291E8D"/>
    <w:rsid w:val="002A06FB"/>
    <w:rsid w:val="002A663B"/>
    <w:rsid w:val="002B1B5D"/>
    <w:rsid w:val="002B245A"/>
    <w:rsid w:val="002C3FF8"/>
    <w:rsid w:val="002C683E"/>
    <w:rsid w:val="002F7745"/>
    <w:rsid w:val="00300145"/>
    <w:rsid w:val="0030704A"/>
    <w:rsid w:val="00314793"/>
    <w:rsid w:val="0032306F"/>
    <w:rsid w:val="00323721"/>
    <w:rsid w:val="00325450"/>
    <w:rsid w:val="003308F0"/>
    <w:rsid w:val="00342305"/>
    <w:rsid w:val="00347522"/>
    <w:rsid w:val="00352EC5"/>
    <w:rsid w:val="003574FD"/>
    <w:rsid w:val="00362A6D"/>
    <w:rsid w:val="003671EF"/>
    <w:rsid w:val="00371A5F"/>
    <w:rsid w:val="00376669"/>
    <w:rsid w:val="0037761C"/>
    <w:rsid w:val="0038055E"/>
    <w:rsid w:val="003831AB"/>
    <w:rsid w:val="00393DA3"/>
    <w:rsid w:val="00394179"/>
    <w:rsid w:val="003964A2"/>
    <w:rsid w:val="003A4547"/>
    <w:rsid w:val="003A554A"/>
    <w:rsid w:val="003B47BB"/>
    <w:rsid w:val="003C028A"/>
    <w:rsid w:val="003C395B"/>
    <w:rsid w:val="003C61E4"/>
    <w:rsid w:val="003D3B0D"/>
    <w:rsid w:val="003D4A4E"/>
    <w:rsid w:val="003E1AA2"/>
    <w:rsid w:val="003E2FF2"/>
    <w:rsid w:val="003E592A"/>
    <w:rsid w:val="003E7FA8"/>
    <w:rsid w:val="003F29A8"/>
    <w:rsid w:val="003F5A98"/>
    <w:rsid w:val="003F6728"/>
    <w:rsid w:val="00400074"/>
    <w:rsid w:val="00403E8F"/>
    <w:rsid w:val="00405AF0"/>
    <w:rsid w:val="00413209"/>
    <w:rsid w:val="00415A83"/>
    <w:rsid w:val="004226D1"/>
    <w:rsid w:val="00436227"/>
    <w:rsid w:val="00437143"/>
    <w:rsid w:val="00437177"/>
    <w:rsid w:val="004374E4"/>
    <w:rsid w:val="0044068D"/>
    <w:rsid w:val="00441ADB"/>
    <w:rsid w:val="00445271"/>
    <w:rsid w:val="00463A99"/>
    <w:rsid w:val="00467249"/>
    <w:rsid w:val="00467924"/>
    <w:rsid w:val="0047156E"/>
    <w:rsid w:val="00482F68"/>
    <w:rsid w:val="0049506A"/>
    <w:rsid w:val="004A7C96"/>
    <w:rsid w:val="004B6AF7"/>
    <w:rsid w:val="004C155A"/>
    <w:rsid w:val="004D03C4"/>
    <w:rsid w:val="004D07A4"/>
    <w:rsid w:val="004D0F7D"/>
    <w:rsid w:val="004D6352"/>
    <w:rsid w:val="004E08D1"/>
    <w:rsid w:val="004E2862"/>
    <w:rsid w:val="004E69D4"/>
    <w:rsid w:val="004F0040"/>
    <w:rsid w:val="004F4F8C"/>
    <w:rsid w:val="004F5AB8"/>
    <w:rsid w:val="005104F9"/>
    <w:rsid w:val="005119C9"/>
    <w:rsid w:val="00513A9E"/>
    <w:rsid w:val="00513F04"/>
    <w:rsid w:val="005167E1"/>
    <w:rsid w:val="005206D5"/>
    <w:rsid w:val="0052533A"/>
    <w:rsid w:val="00526031"/>
    <w:rsid w:val="00527424"/>
    <w:rsid w:val="00532943"/>
    <w:rsid w:val="00534333"/>
    <w:rsid w:val="0053650C"/>
    <w:rsid w:val="005378E6"/>
    <w:rsid w:val="00540113"/>
    <w:rsid w:val="00550AE4"/>
    <w:rsid w:val="00552435"/>
    <w:rsid w:val="005555C0"/>
    <w:rsid w:val="00556BB5"/>
    <w:rsid w:val="00564371"/>
    <w:rsid w:val="00586BCB"/>
    <w:rsid w:val="00590069"/>
    <w:rsid w:val="005A0C87"/>
    <w:rsid w:val="005B13CF"/>
    <w:rsid w:val="005B4EF8"/>
    <w:rsid w:val="005C4064"/>
    <w:rsid w:val="005D13F9"/>
    <w:rsid w:val="005D4E1F"/>
    <w:rsid w:val="005E11AA"/>
    <w:rsid w:val="005F0619"/>
    <w:rsid w:val="005F210B"/>
    <w:rsid w:val="00603413"/>
    <w:rsid w:val="00610134"/>
    <w:rsid w:val="0061698C"/>
    <w:rsid w:val="006250EE"/>
    <w:rsid w:val="0065205C"/>
    <w:rsid w:val="0067218A"/>
    <w:rsid w:val="006733BF"/>
    <w:rsid w:val="006747E7"/>
    <w:rsid w:val="00683EAF"/>
    <w:rsid w:val="00694789"/>
    <w:rsid w:val="006975C1"/>
    <w:rsid w:val="006B2BD2"/>
    <w:rsid w:val="006B6D57"/>
    <w:rsid w:val="006C0847"/>
    <w:rsid w:val="006C7511"/>
    <w:rsid w:val="006D18AF"/>
    <w:rsid w:val="006F372F"/>
    <w:rsid w:val="00702011"/>
    <w:rsid w:val="00703457"/>
    <w:rsid w:val="00707658"/>
    <w:rsid w:val="00720EB0"/>
    <w:rsid w:val="00734493"/>
    <w:rsid w:val="00737922"/>
    <w:rsid w:val="00751801"/>
    <w:rsid w:val="00752A15"/>
    <w:rsid w:val="00754142"/>
    <w:rsid w:val="007550F3"/>
    <w:rsid w:val="00760FD6"/>
    <w:rsid w:val="0076278E"/>
    <w:rsid w:val="007664F2"/>
    <w:rsid w:val="00766BF1"/>
    <w:rsid w:val="007727CB"/>
    <w:rsid w:val="007863BF"/>
    <w:rsid w:val="00790683"/>
    <w:rsid w:val="00793F9C"/>
    <w:rsid w:val="00794956"/>
    <w:rsid w:val="007A35E5"/>
    <w:rsid w:val="007B0502"/>
    <w:rsid w:val="007C0B69"/>
    <w:rsid w:val="007C1168"/>
    <w:rsid w:val="007D5AFB"/>
    <w:rsid w:val="007F3CF6"/>
    <w:rsid w:val="007F6DB7"/>
    <w:rsid w:val="00810E0A"/>
    <w:rsid w:val="0082009C"/>
    <w:rsid w:val="00824448"/>
    <w:rsid w:val="0082524F"/>
    <w:rsid w:val="008278ED"/>
    <w:rsid w:val="00832877"/>
    <w:rsid w:val="008360D7"/>
    <w:rsid w:val="0084044A"/>
    <w:rsid w:val="00843725"/>
    <w:rsid w:val="00844865"/>
    <w:rsid w:val="00853427"/>
    <w:rsid w:val="00855CF2"/>
    <w:rsid w:val="00860D08"/>
    <w:rsid w:val="008725B1"/>
    <w:rsid w:val="00885833"/>
    <w:rsid w:val="00890C5C"/>
    <w:rsid w:val="008972FA"/>
    <w:rsid w:val="008A6144"/>
    <w:rsid w:val="008A6792"/>
    <w:rsid w:val="008B2F61"/>
    <w:rsid w:val="008B7AC0"/>
    <w:rsid w:val="008D3EFF"/>
    <w:rsid w:val="008D3F3C"/>
    <w:rsid w:val="008E378C"/>
    <w:rsid w:val="008E3B45"/>
    <w:rsid w:val="008E6028"/>
    <w:rsid w:val="008F24CF"/>
    <w:rsid w:val="008F2C3B"/>
    <w:rsid w:val="008F67D7"/>
    <w:rsid w:val="009201B1"/>
    <w:rsid w:val="009228AE"/>
    <w:rsid w:val="009260C7"/>
    <w:rsid w:val="009277D0"/>
    <w:rsid w:val="009351BF"/>
    <w:rsid w:val="00956BDB"/>
    <w:rsid w:val="00957D7F"/>
    <w:rsid w:val="00961D72"/>
    <w:rsid w:val="009629BB"/>
    <w:rsid w:val="00964010"/>
    <w:rsid w:val="00974FF4"/>
    <w:rsid w:val="0098026A"/>
    <w:rsid w:val="00983C0E"/>
    <w:rsid w:val="0098425D"/>
    <w:rsid w:val="009919B5"/>
    <w:rsid w:val="0099546B"/>
    <w:rsid w:val="0099698C"/>
    <w:rsid w:val="009A3418"/>
    <w:rsid w:val="009A3EDD"/>
    <w:rsid w:val="009A5A03"/>
    <w:rsid w:val="009B78D9"/>
    <w:rsid w:val="009C20AB"/>
    <w:rsid w:val="009C5F33"/>
    <w:rsid w:val="009C643B"/>
    <w:rsid w:val="009C6BCA"/>
    <w:rsid w:val="009D65D4"/>
    <w:rsid w:val="009E65ED"/>
    <w:rsid w:val="009F1482"/>
    <w:rsid w:val="009F1CB5"/>
    <w:rsid w:val="009F29A1"/>
    <w:rsid w:val="009F4B1E"/>
    <w:rsid w:val="00A22320"/>
    <w:rsid w:val="00A2380B"/>
    <w:rsid w:val="00A37A0B"/>
    <w:rsid w:val="00A56693"/>
    <w:rsid w:val="00A73FF7"/>
    <w:rsid w:val="00A74BD1"/>
    <w:rsid w:val="00A76460"/>
    <w:rsid w:val="00A82A82"/>
    <w:rsid w:val="00A84135"/>
    <w:rsid w:val="00A85A30"/>
    <w:rsid w:val="00A9708F"/>
    <w:rsid w:val="00AA28E6"/>
    <w:rsid w:val="00AA48DC"/>
    <w:rsid w:val="00AB0877"/>
    <w:rsid w:val="00AD2EFD"/>
    <w:rsid w:val="00AD5177"/>
    <w:rsid w:val="00AE5098"/>
    <w:rsid w:val="00AE75FA"/>
    <w:rsid w:val="00AF05B4"/>
    <w:rsid w:val="00AF0E27"/>
    <w:rsid w:val="00AF3265"/>
    <w:rsid w:val="00AF624F"/>
    <w:rsid w:val="00AF67E7"/>
    <w:rsid w:val="00AF726A"/>
    <w:rsid w:val="00B0795F"/>
    <w:rsid w:val="00B10666"/>
    <w:rsid w:val="00B21346"/>
    <w:rsid w:val="00B272AE"/>
    <w:rsid w:val="00B45758"/>
    <w:rsid w:val="00B54EB5"/>
    <w:rsid w:val="00B559DB"/>
    <w:rsid w:val="00B60B00"/>
    <w:rsid w:val="00B61E6E"/>
    <w:rsid w:val="00B65C51"/>
    <w:rsid w:val="00B71DD9"/>
    <w:rsid w:val="00B85B68"/>
    <w:rsid w:val="00B85CC5"/>
    <w:rsid w:val="00B9219A"/>
    <w:rsid w:val="00B93102"/>
    <w:rsid w:val="00B93C7C"/>
    <w:rsid w:val="00BA58CC"/>
    <w:rsid w:val="00BB4D59"/>
    <w:rsid w:val="00BC37B4"/>
    <w:rsid w:val="00BC5F0B"/>
    <w:rsid w:val="00BD1EDD"/>
    <w:rsid w:val="00BD7E38"/>
    <w:rsid w:val="00BE0E3F"/>
    <w:rsid w:val="00BE5F48"/>
    <w:rsid w:val="00C052F5"/>
    <w:rsid w:val="00C114F4"/>
    <w:rsid w:val="00C14817"/>
    <w:rsid w:val="00C16A1D"/>
    <w:rsid w:val="00C203BD"/>
    <w:rsid w:val="00C20846"/>
    <w:rsid w:val="00C25ABC"/>
    <w:rsid w:val="00C32564"/>
    <w:rsid w:val="00C36163"/>
    <w:rsid w:val="00C366A2"/>
    <w:rsid w:val="00C4078F"/>
    <w:rsid w:val="00C419C5"/>
    <w:rsid w:val="00C45F0A"/>
    <w:rsid w:val="00C61FD8"/>
    <w:rsid w:val="00C6202F"/>
    <w:rsid w:val="00C626E4"/>
    <w:rsid w:val="00C7633F"/>
    <w:rsid w:val="00C81865"/>
    <w:rsid w:val="00C846CD"/>
    <w:rsid w:val="00C87CCB"/>
    <w:rsid w:val="00C87FF6"/>
    <w:rsid w:val="00C905AD"/>
    <w:rsid w:val="00CA443A"/>
    <w:rsid w:val="00CD27CE"/>
    <w:rsid w:val="00CE76D6"/>
    <w:rsid w:val="00CF0B3D"/>
    <w:rsid w:val="00D03AC3"/>
    <w:rsid w:val="00D07165"/>
    <w:rsid w:val="00D07CC0"/>
    <w:rsid w:val="00D1246C"/>
    <w:rsid w:val="00D12E2B"/>
    <w:rsid w:val="00D13CC0"/>
    <w:rsid w:val="00D150B9"/>
    <w:rsid w:val="00D2005F"/>
    <w:rsid w:val="00D2100D"/>
    <w:rsid w:val="00D21B09"/>
    <w:rsid w:val="00D227DA"/>
    <w:rsid w:val="00D30AC3"/>
    <w:rsid w:val="00D45A7D"/>
    <w:rsid w:val="00D77272"/>
    <w:rsid w:val="00D90379"/>
    <w:rsid w:val="00D94A61"/>
    <w:rsid w:val="00DA4768"/>
    <w:rsid w:val="00DB29CE"/>
    <w:rsid w:val="00DC13A7"/>
    <w:rsid w:val="00DC32A4"/>
    <w:rsid w:val="00DD4C62"/>
    <w:rsid w:val="00DD4ED5"/>
    <w:rsid w:val="00DE3C0A"/>
    <w:rsid w:val="00DF50BD"/>
    <w:rsid w:val="00E023BC"/>
    <w:rsid w:val="00E02E66"/>
    <w:rsid w:val="00E064BE"/>
    <w:rsid w:val="00E07561"/>
    <w:rsid w:val="00E127C2"/>
    <w:rsid w:val="00E15F66"/>
    <w:rsid w:val="00E210A0"/>
    <w:rsid w:val="00E3118F"/>
    <w:rsid w:val="00E36B5D"/>
    <w:rsid w:val="00E36D33"/>
    <w:rsid w:val="00E415A5"/>
    <w:rsid w:val="00E42457"/>
    <w:rsid w:val="00E44F4A"/>
    <w:rsid w:val="00E46936"/>
    <w:rsid w:val="00E5262C"/>
    <w:rsid w:val="00E55EFA"/>
    <w:rsid w:val="00E74A7E"/>
    <w:rsid w:val="00E8631C"/>
    <w:rsid w:val="00E96638"/>
    <w:rsid w:val="00E97757"/>
    <w:rsid w:val="00EA3ABC"/>
    <w:rsid w:val="00EB278D"/>
    <w:rsid w:val="00ED1FE0"/>
    <w:rsid w:val="00ED4D6F"/>
    <w:rsid w:val="00ED6411"/>
    <w:rsid w:val="00EE035D"/>
    <w:rsid w:val="00EE4CA3"/>
    <w:rsid w:val="00EE5425"/>
    <w:rsid w:val="00F15546"/>
    <w:rsid w:val="00F22F68"/>
    <w:rsid w:val="00F27DDC"/>
    <w:rsid w:val="00F359B2"/>
    <w:rsid w:val="00F4267B"/>
    <w:rsid w:val="00F4346E"/>
    <w:rsid w:val="00F45080"/>
    <w:rsid w:val="00F51349"/>
    <w:rsid w:val="00F602E1"/>
    <w:rsid w:val="00F60776"/>
    <w:rsid w:val="00F64F46"/>
    <w:rsid w:val="00F679DE"/>
    <w:rsid w:val="00F87059"/>
    <w:rsid w:val="00F94DD3"/>
    <w:rsid w:val="00FA559E"/>
    <w:rsid w:val="00FA5C87"/>
    <w:rsid w:val="00FA6A83"/>
    <w:rsid w:val="00FB0D0F"/>
    <w:rsid w:val="00FB25FB"/>
    <w:rsid w:val="00FB53AB"/>
    <w:rsid w:val="00FD156C"/>
    <w:rsid w:val="00FE0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8275EA8"/>
  <w15:chartTrackingRefBased/>
  <w15:docId w15:val="{6D74CF38-645E-AF4F-B6D0-40E2EA603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5C1"/>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6975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75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975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975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75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75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5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5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5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5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75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975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975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75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75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5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5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5C1"/>
    <w:rPr>
      <w:rFonts w:eastAsiaTheme="majorEastAsia" w:cstheme="majorBidi"/>
      <w:color w:val="272727" w:themeColor="text1" w:themeTint="D8"/>
    </w:rPr>
  </w:style>
  <w:style w:type="paragraph" w:styleId="Title">
    <w:name w:val="Title"/>
    <w:basedOn w:val="Normal"/>
    <w:next w:val="Normal"/>
    <w:link w:val="TitleChar"/>
    <w:uiPriority w:val="10"/>
    <w:qFormat/>
    <w:rsid w:val="006975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5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5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5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5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75C1"/>
    <w:rPr>
      <w:i/>
      <w:iCs/>
      <w:color w:val="404040" w:themeColor="text1" w:themeTint="BF"/>
    </w:rPr>
  </w:style>
  <w:style w:type="paragraph" w:styleId="ListParagraph">
    <w:name w:val="List Paragraph"/>
    <w:basedOn w:val="Normal"/>
    <w:uiPriority w:val="34"/>
    <w:qFormat/>
    <w:rsid w:val="006975C1"/>
    <w:pPr>
      <w:ind w:left="720"/>
      <w:contextualSpacing/>
    </w:pPr>
  </w:style>
  <w:style w:type="character" w:styleId="IntenseEmphasis">
    <w:name w:val="Intense Emphasis"/>
    <w:basedOn w:val="DefaultParagraphFont"/>
    <w:uiPriority w:val="21"/>
    <w:qFormat/>
    <w:rsid w:val="006975C1"/>
    <w:rPr>
      <w:i/>
      <w:iCs/>
      <w:color w:val="2F5496" w:themeColor="accent1" w:themeShade="BF"/>
    </w:rPr>
  </w:style>
  <w:style w:type="paragraph" w:styleId="IntenseQuote">
    <w:name w:val="Intense Quote"/>
    <w:basedOn w:val="Normal"/>
    <w:next w:val="Normal"/>
    <w:link w:val="IntenseQuoteChar"/>
    <w:uiPriority w:val="30"/>
    <w:qFormat/>
    <w:rsid w:val="006975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75C1"/>
    <w:rPr>
      <w:i/>
      <w:iCs/>
      <w:color w:val="2F5496" w:themeColor="accent1" w:themeShade="BF"/>
    </w:rPr>
  </w:style>
  <w:style w:type="character" w:styleId="IntenseReference">
    <w:name w:val="Intense Reference"/>
    <w:basedOn w:val="DefaultParagraphFont"/>
    <w:uiPriority w:val="32"/>
    <w:qFormat/>
    <w:rsid w:val="006975C1"/>
    <w:rPr>
      <w:b/>
      <w:bCs/>
      <w:smallCaps/>
      <w:color w:val="2F5496" w:themeColor="accent1" w:themeShade="BF"/>
      <w:spacing w:val="5"/>
    </w:rPr>
  </w:style>
  <w:style w:type="paragraph" w:styleId="FootnoteText">
    <w:name w:val="footnote text"/>
    <w:basedOn w:val="Normal"/>
    <w:link w:val="FootnoteTextChar"/>
    <w:uiPriority w:val="99"/>
    <w:unhideWhenUsed/>
    <w:rsid w:val="00B559DB"/>
    <w:rPr>
      <w:sz w:val="20"/>
      <w:szCs w:val="20"/>
    </w:rPr>
  </w:style>
  <w:style w:type="character" w:customStyle="1" w:styleId="FootnoteTextChar">
    <w:name w:val="Footnote Text Char"/>
    <w:basedOn w:val="DefaultParagraphFont"/>
    <w:link w:val="FootnoteText"/>
    <w:uiPriority w:val="99"/>
    <w:rsid w:val="00B559DB"/>
    <w:rPr>
      <w:rFonts w:ascii="Times New Roman" w:eastAsia="Times New Roman" w:hAnsi="Times New Roman" w:cs="Times New Roman"/>
      <w:kern w:val="0"/>
      <w:sz w:val="20"/>
      <w:szCs w:val="20"/>
      <w14:ligatures w14:val="none"/>
    </w:rPr>
  </w:style>
  <w:style w:type="character" w:styleId="FootnoteReference">
    <w:name w:val="footnote reference"/>
    <w:basedOn w:val="DefaultParagraphFont"/>
    <w:uiPriority w:val="99"/>
    <w:semiHidden/>
    <w:unhideWhenUsed/>
    <w:rsid w:val="00B559DB"/>
    <w:rPr>
      <w:vertAlign w:val="superscript"/>
    </w:rPr>
  </w:style>
  <w:style w:type="character" w:styleId="Hyperlink">
    <w:name w:val="Hyperlink"/>
    <w:basedOn w:val="DefaultParagraphFont"/>
    <w:uiPriority w:val="99"/>
    <w:unhideWhenUsed/>
    <w:rsid w:val="00FB25FB"/>
    <w:rPr>
      <w:color w:val="0563C1" w:themeColor="hyperlink"/>
      <w:u w:val="single"/>
    </w:rPr>
  </w:style>
  <w:style w:type="character" w:styleId="UnresolvedMention">
    <w:name w:val="Unresolved Mention"/>
    <w:basedOn w:val="DefaultParagraphFont"/>
    <w:uiPriority w:val="99"/>
    <w:semiHidden/>
    <w:unhideWhenUsed/>
    <w:rsid w:val="00FB25FB"/>
    <w:rPr>
      <w:color w:val="605E5C"/>
      <w:shd w:val="clear" w:color="auto" w:fill="E1DFDD"/>
    </w:rPr>
  </w:style>
  <w:style w:type="paragraph" w:styleId="Header">
    <w:name w:val="header"/>
    <w:basedOn w:val="Normal"/>
    <w:link w:val="HeaderChar"/>
    <w:uiPriority w:val="99"/>
    <w:unhideWhenUsed/>
    <w:rsid w:val="004F5AB8"/>
    <w:pPr>
      <w:tabs>
        <w:tab w:val="center" w:pos="4513"/>
        <w:tab w:val="right" w:pos="9026"/>
      </w:tabs>
    </w:pPr>
  </w:style>
  <w:style w:type="character" w:customStyle="1" w:styleId="HeaderChar">
    <w:name w:val="Header Char"/>
    <w:basedOn w:val="DefaultParagraphFont"/>
    <w:link w:val="Header"/>
    <w:uiPriority w:val="99"/>
    <w:rsid w:val="004F5AB8"/>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4F5AB8"/>
    <w:pPr>
      <w:tabs>
        <w:tab w:val="center" w:pos="4513"/>
        <w:tab w:val="right" w:pos="9026"/>
      </w:tabs>
    </w:pPr>
  </w:style>
  <w:style w:type="character" w:customStyle="1" w:styleId="FooterChar">
    <w:name w:val="Footer Char"/>
    <w:basedOn w:val="DefaultParagraphFont"/>
    <w:link w:val="Footer"/>
    <w:uiPriority w:val="99"/>
    <w:rsid w:val="004F5AB8"/>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0299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edition.cnn.com/2018/11/10/europe/verdun-world-war-1-centenary-int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CF91D-1E6B-784F-BC59-1070BF19A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736</TotalTime>
  <Pages>8</Pages>
  <Words>3207</Words>
  <Characters>17161</Characters>
  <Application>Microsoft Office Word</Application>
  <DocSecurity>0</DocSecurity>
  <Lines>256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387</cp:revision>
  <dcterms:created xsi:type="dcterms:W3CDTF">2026-02-21T16:34:00Z</dcterms:created>
  <dcterms:modified xsi:type="dcterms:W3CDTF">2026-02-22T21:41:00Z</dcterms:modified>
</cp:coreProperties>
</file>