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color w:val="00B0F0"/>
              <w:sz w:val="40"/>
              <w:szCs w:val="40"/>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14F2F2DB" w14:textId="24ABB263" w:rsidR="007D1947" w:rsidRPr="007057F0" w:rsidRDefault="00321523">
              <w:pPr>
                <w:pStyle w:val="NoSpacing"/>
                <w:pBdr>
                  <w:top w:val="single" w:sz="6" w:space="6" w:color="5B9BD5" w:themeColor="accent1"/>
                  <w:bottom w:val="single" w:sz="6" w:space="6" w:color="5B9BD5" w:themeColor="accent1"/>
                </w:pBdr>
                <w:spacing w:after="240"/>
                <w:jc w:val="center"/>
                <w:rPr>
                  <w:color w:val="00B0F0"/>
                  <w:sz w:val="40"/>
                  <w:szCs w:val="40"/>
                </w:rPr>
              </w:pPr>
              <w:r w:rsidRPr="007057F0">
                <w:rPr>
                  <w:color w:val="00B0F0"/>
                  <w:sz w:val="40"/>
                  <w:szCs w:val="40"/>
                </w:rPr>
                <w:t>Budgeting Principles and Approaches – Edwards</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475B7674" w14:textId="1E121C63" w:rsidR="007D1947" w:rsidRDefault="00321523">
              <w:pPr>
                <w:pStyle w:val="NoSpacing"/>
                <w:jc w:val="center"/>
                <w:rPr>
                  <w:color w:val="5B9BD5" w:themeColor="accent1"/>
                  <w:sz w:val="28"/>
                  <w:szCs w:val="28"/>
                </w:rPr>
              </w:pPr>
              <w:r>
                <w:rPr>
                  <w:color w:val="5B9BD5" w:themeColor="accent1"/>
                  <w:sz w:val="28"/>
                  <w:szCs w:val="28"/>
                </w:rPr>
                <w:t xml:space="preserve">     </w:t>
              </w:r>
              <w:r w:rsidRPr="00321523">
                <w:rPr>
                  <w:rFonts w:ascii="Arial" w:eastAsia="Times New Roman" w:hAnsi="Arial" w:cs="Arial"/>
                  <w:b/>
                  <w:lang w:val="en-GB" w:eastAsia="en-GB"/>
                </w:rPr>
                <w:t xml:space="preserve"> </w:t>
              </w:r>
              <w:r w:rsidRPr="00321523">
                <w:rPr>
                  <w:b/>
                  <w:color w:val="5B9BD5" w:themeColor="accent1"/>
                  <w:sz w:val="28"/>
                  <w:szCs w:val="28"/>
                  <w:lang w:val="en-GB"/>
                </w:rPr>
                <w:t>Principles and Concepts of Finance</w:t>
              </w:r>
            </w:p>
          </w:sdtContent>
        </w:sdt>
        <w:p w14:paraId="1ADC1124" w14:textId="5D4F5794"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4157B111" wp14:editId="2B40CFB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BD243BA" w14:textId="77777777" w:rsidR="007057F0" w:rsidRDefault="00321523" w:rsidP="007D1947">
          <w:pPr>
            <w:pStyle w:val="Heading1"/>
          </w:pPr>
          <w:bookmarkStart w:id="0" w:name="_Toc163441419"/>
          <w:bookmarkStart w:id="1" w:name="_Toc163441540"/>
          <w:bookmarkStart w:id="2" w:name="_Toc163441559"/>
          <w:bookmarkStart w:id="3" w:name="_Toc164022647"/>
          <w:bookmarkStart w:id="4" w:name="_Toc164027116"/>
          <w:r>
            <w:rPr>
              <w:noProof/>
              <w:color w:val="5B9BD5" w:themeColor="accent1"/>
              <w:lang w:eastAsia="en-GB"/>
            </w:rPr>
            <mc:AlternateContent>
              <mc:Choice Requires="wps">
                <w:drawing>
                  <wp:anchor distT="0" distB="0" distL="114300" distR="114300" simplePos="0" relativeHeight="251659776" behindDoc="0" locked="0" layoutInCell="1" allowOverlap="1" wp14:anchorId="4A6131BB" wp14:editId="6AD255F1">
                    <wp:simplePos x="0" y="0"/>
                    <wp:positionH relativeFrom="margin">
                      <wp:align>right</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118110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5731510" cy="1181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EndPr/>
                                <w:sdtContent>
                                  <w:p w14:paraId="52BAF8D9" w14:textId="437DF9D1" w:rsidR="007D1947" w:rsidRDefault="00321523" w:rsidP="007057F0">
                                    <w:pPr>
                                      <w:pStyle w:val="NoSpacing"/>
                                      <w:spacing w:after="40"/>
                                      <w:jc w:val="right"/>
                                      <w:rPr>
                                        <w:caps/>
                                        <w:color w:val="5B9BD5" w:themeColor="accent1"/>
                                        <w:sz w:val="28"/>
                                        <w:szCs w:val="28"/>
                                      </w:rPr>
                                    </w:pPr>
                                    <w:r>
                                      <w:rPr>
                                        <w:caps/>
                                        <w:color w:val="5B9BD5" w:themeColor="accent1"/>
                                        <w:sz w:val="28"/>
                                        <w:szCs w:val="28"/>
                                      </w:rPr>
                                      <w:t>April 15, 2024</w:t>
                                    </w:r>
                                  </w:p>
                                </w:sdtContent>
                              </w:sdt>
                              <w:p w14:paraId="69E98CB3" w14:textId="1B40C853" w:rsidR="007D1947" w:rsidRDefault="00D856C1" w:rsidP="007057F0">
                                <w:pPr>
                                  <w:pStyle w:val="NoSpacing"/>
                                  <w:jc w:val="right"/>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3456B">
                                      <w:rPr>
                                        <w:caps/>
                                        <w:color w:val="5B9BD5" w:themeColor="accent1"/>
                                      </w:rPr>
                                      <w:t>University of Wales Trinity Saint David</w:t>
                                    </w:r>
                                  </w:sdtContent>
                                </w:sdt>
                              </w:p>
                              <w:p w14:paraId="3FC79022" w14:textId="438CD76D" w:rsidR="007D1947" w:rsidRDefault="00D856C1" w:rsidP="007057F0">
                                <w:pPr>
                                  <w:pStyle w:val="NoSpacing"/>
                                  <w:jc w:val="right"/>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321523">
                                  <w:rPr>
                                    <w:color w:val="5B9BD5" w:themeColor="accent1"/>
                                  </w:rPr>
                                  <w:t xml:space="preserve">Student name: Flavius-Florin Filimon </w:t>
                                </w:r>
                              </w:p>
                              <w:p w14:paraId="3643C4E5" w14:textId="24E62305" w:rsidR="00321523" w:rsidRDefault="00321523" w:rsidP="007057F0">
                                <w:pPr>
                                  <w:pStyle w:val="NoSpacing"/>
                                  <w:jc w:val="right"/>
                                  <w:rPr>
                                    <w:color w:val="5B9BD5" w:themeColor="accent1"/>
                                  </w:rPr>
                                </w:pPr>
                                <w:r>
                                  <w:rPr>
                                    <w:color w:val="5B9BD5" w:themeColor="accent1"/>
                                  </w:rPr>
                                  <w:t>Student number: 2208335</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margin-left:400.1pt;margin-top:0;width:451.3pt;height:93pt;z-index:251659776;visibility:visible;mso-wrap-style:square;mso-width-percent:1000;mso-height-percent:0;mso-top-percent:850;mso-wrap-distance-left:9pt;mso-wrap-distance-top:0;mso-wrap-distance-right:9pt;mso-wrap-distance-bottom:0;mso-position-horizontal:right;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5T00:00:00Z">
                              <w:dateFormat w:val="MMMM d, yyyy"/>
                              <w:lid w:val="en-US"/>
                              <w:storeMappedDataAs w:val="dateTime"/>
                              <w:calendar w:val="gregorian"/>
                            </w:date>
                          </w:sdtPr>
                          <w:sdtEndPr/>
                          <w:sdtContent>
                            <w:p w14:paraId="52BAF8D9" w14:textId="437DF9D1" w:rsidR="007D1947" w:rsidRDefault="00321523" w:rsidP="007057F0">
                              <w:pPr>
                                <w:pStyle w:val="NoSpacing"/>
                                <w:spacing w:after="40"/>
                                <w:jc w:val="right"/>
                                <w:rPr>
                                  <w:caps/>
                                  <w:color w:val="5B9BD5" w:themeColor="accent1"/>
                                  <w:sz w:val="28"/>
                                  <w:szCs w:val="28"/>
                                </w:rPr>
                              </w:pPr>
                              <w:r>
                                <w:rPr>
                                  <w:caps/>
                                  <w:color w:val="5B9BD5" w:themeColor="accent1"/>
                                  <w:sz w:val="28"/>
                                  <w:szCs w:val="28"/>
                                </w:rPr>
                                <w:t>April 15, 2024</w:t>
                              </w:r>
                            </w:p>
                          </w:sdtContent>
                        </w:sdt>
                        <w:p w14:paraId="69E98CB3" w14:textId="1B40C853" w:rsidR="007D1947" w:rsidRDefault="00D856C1" w:rsidP="007057F0">
                          <w:pPr>
                            <w:pStyle w:val="NoSpacing"/>
                            <w:jc w:val="right"/>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D3456B">
                                <w:rPr>
                                  <w:caps/>
                                  <w:color w:val="5B9BD5" w:themeColor="accent1"/>
                                </w:rPr>
                                <w:t>University of Wales Trinity Saint David</w:t>
                              </w:r>
                            </w:sdtContent>
                          </w:sdt>
                        </w:p>
                        <w:p w14:paraId="3FC79022" w14:textId="438CD76D" w:rsidR="007D1947" w:rsidRDefault="00D856C1" w:rsidP="007057F0">
                          <w:pPr>
                            <w:pStyle w:val="NoSpacing"/>
                            <w:jc w:val="right"/>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r w:rsidR="00321523">
                            <w:rPr>
                              <w:color w:val="5B9BD5" w:themeColor="accent1"/>
                            </w:rPr>
                            <w:t xml:space="preserve">Student name: Flavius-Florin Filimon </w:t>
                          </w:r>
                        </w:p>
                        <w:p w14:paraId="3643C4E5" w14:textId="24E62305" w:rsidR="00321523" w:rsidRDefault="00321523" w:rsidP="007057F0">
                          <w:pPr>
                            <w:pStyle w:val="NoSpacing"/>
                            <w:jc w:val="right"/>
                            <w:rPr>
                              <w:color w:val="5B9BD5" w:themeColor="accent1"/>
                            </w:rPr>
                          </w:pPr>
                          <w:r>
                            <w:rPr>
                              <w:color w:val="5B9BD5" w:themeColor="accent1"/>
                            </w:rPr>
                            <w:t>Student number: 2208335</w:t>
                          </w:r>
                        </w:p>
                      </w:txbxContent>
                    </v:textbox>
                    <w10:wrap anchorx="margin" anchory="page"/>
                  </v:shape>
                </w:pict>
              </mc:Fallback>
            </mc:AlternateContent>
          </w:r>
          <w:bookmarkEnd w:id="0"/>
          <w:bookmarkEnd w:id="1"/>
          <w:bookmarkEnd w:id="2"/>
          <w:bookmarkEnd w:id="3"/>
          <w:bookmarkEnd w:id="4"/>
          <w:r w:rsidR="007D1947">
            <w:br w:type="page"/>
          </w:r>
        </w:p>
        <w:p w14:paraId="7D79938E" w14:textId="77777777" w:rsidR="007057F0" w:rsidRDefault="007057F0" w:rsidP="007D1947">
          <w:pPr>
            <w:pStyle w:val="Heading1"/>
          </w:pPr>
        </w:p>
        <w:p w14:paraId="078A531F" w14:textId="1C7CDEBC" w:rsidR="007D1947" w:rsidRDefault="007D1947" w:rsidP="007D1947">
          <w:pPr>
            <w:pStyle w:val="Heading1"/>
          </w:pPr>
          <w:bookmarkStart w:id="5" w:name="_Toc164027117"/>
          <w:r>
            <w:t>Executive Summary</w:t>
          </w:r>
          <w:bookmarkEnd w:id="5"/>
        </w:p>
        <w:p w14:paraId="6846CF66" w14:textId="150442C2" w:rsidR="007D1947" w:rsidRDefault="006153A7">
          <w:r>
            <w:t xml:space="preserve"> </w:t>
          </w:r>
        </w:p>
        <w:p w14:paraId="132E9CF7" w14:textId="77777777" w:rsidR="006153A7" w:rsidRDefault="006153A7"/>
        <w:p w14:paraId="7FB6D403" w14:textId="77777777" w:rsidR="00FC2458" w:rsidRDefault="00FC2458" w:rsidP="00FC2458"/>
        <w:p w14:paraId="6670ACFB" w14:textId="52C8E71D" w:rsidR="00FC2458" w:rsidRDefault="00FC2458" w:rsidP="00FC2458">
          <w:pPr>
            <w:rPr>
              <w:rFonts w:ascii="Arial" w:hAnsi="Arial" w:cs="Arial"/>
              <w:sz w:val="24"/>
              <w:szCs w:val="24"/>
            </w:rPr>
          </w:pPr>
          <w:r w:rsidRPr="00FC2458">
            <w:rPr>
              <w:rFonts w:ascii="Arial" w:hAnsi="Arial" w:cs="Arial"/>
              <w:sz w:val="24"/>
              <w:szCs w:val="24"/>
            </w:rPr>
            <w:t xml:space="preserve">This </w:t>
          </w:r>
          <w:r>
            <w:rPr>
              <w:rFonts w:ascii="Arial" w:hAnsi="Arial" w:cs="Arial"/>
              <w:sz w:val="24"/>
              <w:szCs w:val="24"/>
            </w:rPr>
            <w:t>purpose of this report is to</w:t>
          </w:r>
          <w:r w:rsidRPr="00FC2458">
            <w:rPr>
              <w:rFonts w:ascii="Arial" w:hAnsi="Arial" w:cs="Arial"/>
              <w:sz w:val="24"/>
              <w:szCs w:val="24"/>
            </w:rPr>
            <w:t xml:space="preserve"> critically evaluate </w:t>
          </w:r>
          <w:r w:rsidR="00CD2503">
            <w:rPr>
              <w:rFonts w:ascii="Arial" w:hAnsi="Arial" w:cs="Arial"/>
              <w:sz w:val="24"/>
              <w:szCs w:val="24"/>
            </w:rPr>
            <w:t xml:space="preserve">the </w:t>
          </w:r>
          <w:r w:rsidR="004E6A5E" w:rsidRPr="00FC2458">
            <w:rPr>
              <w:rFonts w:ascii="Arial" w:hAnsi="Arial" w:cs="Arial"/>
              <w:sz w:val="24"/>
              <w:szCs w:val="24"/>
            </w:rPr>
            <w:t>management informational</w:t>
          </w:r>
          <w:r w:rsidRPr="00FC2458">
            <w:rPr>
              <w:rFonts w:ascii="Arial" w:hAnsi="Arial" w:cs="Arial"/>
              <w:sz w:val="24"/>
              <w:szCs w:val="24"/>
            </w:rPr>
            <w:t xml:space="preserve"> needs, particularly concerning revenue, cost, and financial criteria decisions, while demonstrating proficiency in monitoring and assessing financial performance methods. </w:t>
          </w:r>
        </w:p>
        <w:p w14:paraId="7922C664" w14:textId="77777777" w:rsidR="001B009E" w:rsidRDefault="00FC2458" w:rsidP="00FC2458">
          <w:pPr>
            <w:rPr>
              <w:rFonts w:ascii="Arial" w:hAnsi="Arial" w:cs="Arial"/>
              <w:sz w:val="24"/>
              <w:szCs w:val="24"/>
            </w:rPr>
          </w:pPr>
          <w:r w:rsidRPr="00FC2458">
            <w:rPr>
              <w:rFonts w:ascii="Arial" w:hAnsi="Arial" w:cs="Arial"/>
              <w:sz w:val="24"/>
              <w:szCs w:val="24"/>
            </w:rPr>
            <w:t xml:space="preserve">Analysis of Edwards Limited's financial performance reveals insights into its stock and cash budgets, along with the budgeted Profit &amp; Loss Account. Notably, fluctuations in stock purchases and cost of goods sold reflect sales performance and inventory management variations, while challenges in managing cash flows are apparent in the cash budget analysis. Edwards Limited faces a challenging financial situation, with significant store refurbishment costs impacting stability. To address this, management actions such as cost control and inventory optimization are recommended. Traditional budgeting approaches are scrutinized for their limitations, highlighting the importance of clear objectives, strong leadership, and flexibility for success. The Beyond Budgeting model is proposed as an alternative, emphasizing decentralization, transparency, and adaptive planning. </w:t>
          </w:r>
        </w:p>
        <w:p w14:paraId="7F8F78F5" w14:textId="5D14919B" w:rsidR="007D1947" w:rsidRPr="00FC2458" w:rsidRDefault="00FC2458" w:rsidP="00FC2458">
          <w:pPr>
            <w:rPr>
              <w:rFonts w:ascii="Arial" w:hAnsi="Arial" w:cs="Arial"/>
              <w:sz w:val="24"/>
              <w:szCs w:val="24"/>
            </w:rPr>
          </w:pPr>
          <w:r w:rsidRPr="00FC2458">
            <w:rPr>
              <w:rFonts w:ascii="Arial" w:hAnsi="Arial" w:cs="Arial"/>
              <w:sz w:val="24"/>
              <w:szCs w:val="24"/>
            </w:rPr>
            <w:t>By adopting flexible budgeting approaches and integrating principles from the Beyond Budgeting model, Edwards Limited can enhance financial management practices, foster innovation, and ensure long-term sustainability.</w:t>
          </w:r>
        </w:p>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4D92A1E2" w14:textId="21795F34" w:rsidR="00A33F58"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p>
            <w:p w14:paraId="0D5928BB" w14:textId="63BB3C60" w:rsidR="00A33F58" w:rsidRDefault="00A33F58">
              <w:pPr>
                <w:pStyle w:val="TOC1"/>
                <w:tabs>
                  <w:tab w:val="right" w:leader="dot" w:pos="9016"/>
                </w:tabs>
                <w:rPr>
                  <w:rFonts w:eastAsiaTheme="minorEastAsia"/>
                  <w:noProof/>
                  <w:kern w:val="2"/>
                  <w:sz w:val="24"/>
                  <w:szCs w:val="24"/>
                  <w:lang w:eastAsia="en-GB"/>
                  <w14:ligatures w14:val="standardContextual"/>
                </w:rPr>
              </w:pPr>
              <w:hyperlink w:anchor="_Toc164027117" w:history="1">
                <w:r w:rsidRPr="008B1778">
                  <w:rPr>
                    <w:rStyle w:val="Hyperlink"/>
                    <w:noProof/>
                  </w:rPr>
                  <w:t>Executive Summary</w:t>
                </w:r>
                <w:r>
                  <w:rPr>
                    <w:noProof/>
                    <w:webHidden/>
                  </w:rPr>
                  <w:tab/>
                </w:r>
                <w:r>
                  <w:rPr>
                    <w:noProof/>
                    <w:webHidden/>
                  </w:rPr>
                  <w:fldChar w:fldCharType="begin"/>
                </w:r>
                <w:r>
                  <w:rPr>
                    <w:noProof/>
                    <w:webHidden/>
                  </w:rPr>
                  <w:instrText xml:space="preserve"> PAGEREF _Toc164027117 \h </w:instrText>
                </w:r>
                <w:r>
                  <w:rPr>
                    <w:noProof/>
                    <w:webHidden/>
                  </w:rPr>
                </w:r>
                <w:r>
                  <w:rPr>
                    <w:noProof/>
                    <w:webHidden/>
                  </w:rPr>
                  <w:fldChar w:fldCharType="separate"/>
                </w:r>
                <w:r>
                  <w:rPr>
                    <w:noProof/>
                    <w:webHidden/>
                  </w:rPr>
                  <w:t>1</w:t>
                </w:r>
                <w:r>
                  <w:rPr>
                    <w:noProof/>
                    <w:webHidden/>
                  </w:rPr>
                  <w:fldChar w:fldCharType="end"/>
                </w:r>
              </w:hyperlink>
            </w:p>
            <w:p w14:paraId="307C484E" w14:textId="075442F4" w:rsidR="00A33F58" w:rsidRDefault="00A33F58">
              <w:pPr>
                <w:pStyle w:val="TOC1"/>
                <w:tabs>
                  <w:tab w:val="right" w:leader="dot" w:pos="9016"/>
                </w:tabs>
                <w:rPr>
                  <w:rFonts w:eastAsiaTheme="minorEastAsia"/>
                  <w:noProof/>
                  <w:kern w:val="2"/>
                  <w:sz w:val="24"/>
                  <w:szCs w:val="24"/>
                  <w:lang w:eastAsia="en-GB"/>
                  <w14:ligatures w14:val="standardContextual"/>
                </w:rPr>
              </w:pPr>
              <w:hyperlink w:anchor="_Toc164027118" w:history="1">
                <w:r w:rsidRPr="008B1778">
                  <w:rPr>
                    <w:rStyle w:val="Hyperlink"/>
                    <w:noProof/>
                  </w:rPr>
                  <w:t>Introduction</w:t>
                </w:r>
                <w:r>
                  <w:rPr>
                    <w:noProof/>
                    <w:webHidden/>
                  </w:rPr>
                  <w:tab/>
                </w:r>
                <w:r>
                  <w:rPr>
                    <w:noProof/>
                    <w:webHidden/>
                  </w:rPr>
                  <w:fldChar w:fldCharType="begin"/>
                </w:r>
                <w:r>
                  <w:rPr>
                    <w:noProof/>
                    <w:webHidden/>
                  </w:rPr>
                  <w:instrText xml:space="preserve"> PAGEREF _Toc164027118 \h </w:instrText>
                </w:r>
                <w:r>
                  <w:rPr>
                    <w:noProof/>
                    <w:webHidden/>
                  </w:rPr>
                </w:r>
                <w:r>
                  <w:rPr>
                    <w:noProof/>
                    <w:webHidden/>
                  </w:rPr>
                  <w:fldChar w:fldCharType="separate"/>
                </w:r>
                <w:r>
                  <w:rPr>
                    <w:noProof/>
                    <w:webHidden/>
                  </w:rPr>
                  <w:t>3</w:t>
                </w:r>
                <w:r>
                  <w:rPr>
                    <w:noProof/>
                    <w:webHidden/>
                  </w:rPr>
                  <w:fldChar w:fldCharType="end"/>
                </w:r>
              </w:hyperlink>
            </w:p>
            <w:p w14:paraId="2AEE9EEC" w14:textId="1E8F0C41" w:rsidR="00A33F58" w:rsidRDefault="00A33F58">
              <w:pPr>
                <w:pStyle w:val="TOC1"/>
                <w:tabs>
                  <w:tab w:val="right" w:leader="dot" w:pos="9016"/>
                </w:tabs>
                <w:rPr>
                  <w:rFonts w:eastAsiaTheme="minorEastAsia"/>
                  <w:noProof/>
                  <w:kern w:val="2"/>
                  <w:sz w:val="24"/>
                  <w:szCs w:val="24"/>
                  <w:lang w:eastAsia="en-GB"/>
                  <w14:ligatures w14:val="standardContextual"/>
                </w:rPr>
              </w:pPr>
              <w:hyperlink w:anchor="_Toc164027119" w:history="1">
                <w:r w:rsidRPr="008B1778">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_Toc164027119 \h </w:instrText>
                </w:r>
                <w:r>
                  <w:rPr>
                    <w:noProof/>
                    <w:webHidden/>
                  </w:rPr>
                </w:r>
                <w:r>
                  <w:rPr>
                    <w:noProof/>
                    <w:webHidden/>
                  </w:rPr>
                  <w:fldChar w:fldCharType="separate"/>
                </w:r>
                <w:r>
                  <w:rPr>
                    <w:noProof/>
                    <w:webHidden/>
                  </w:rPr>
                  <w:t>4</w:t>
                </w:r>
                <w:r>
                  <w:rPr>
                    <w:noProof/>
                    <w:webHidden/>
                  </w:rPr>
                  <w:fldChar w:fldCharType="end"/>
                </w:r>
              </w:hyperlink>
            </w:p>
            <w:p w14:paraId="1F537B42" w14:textId="5CACB8F5" w:rsidR="00A33F58" w:rsidRDefault="00A33F58">
              <w:pPr>
                <w:pStyle w:val="TOC2"/>
                <w:tabs>
                  <w:tab w:val="right" w:leader="dot" w:pos="9016"/>
                </w:tabs>
                <w:rPr>
                  <w:rFonts w:eastAsiaTheme="minorEastAsia"/>
                  <w:noProof/>
                  <w:kern w:val="2"/>
                  <w:sz w:val="24"/>
                  <w:szCs w:val="24"/>
                  <w:lang w:eastAsia="en-GB"/>
                  <w14:ligatures w14:val="standardContextual"/>
                </w:rPr>
              </w:pPr>
              <w:hyperlink w:anchor="_Toc164027120" w:history="1">
                <w:r w:rsidRPr="008B1778">
                  <w:rPr>
                    <w:rStyle w:val="Hyperlink"/>
                    <w:noProof/>
                  </w:rPr>
                  <w:t>Analysis of Edwards Limited</w:t>
                </w:r>
                <w:r>
                  <w:rPr>
                    <w:noProof/>
                    <w:webHidden/>
                  </w:rPr>
                  <w:tab/>
                </w:r>
                <w:r>
                  <w:rPr>
                    <w:noProof/>
                    <w:webHidden/>
                  </w:rPr>
                  <w:fldChar w:fldCharType="begin"/>
                </w:r>
                <w:r>
                  <w:rPr>
                    <w:noProof/>
                    <w:webHidden/>
                  </w:rPr>
                  <w:instrText xml:space="preserve"> PAGEREF _Toc164027120 \h </w:instrText>
                </w:r>
                <w:r>
                  <w:rPr>
                    <w:noProof/>
                    <w:webHidden/>
                  </w:rPr>
                </w:r>
                <w:r>
                  <w:rPr>
                    <w:noProof/>
                    <w:webHidden/>
                  </w:rPr>
                  <w:fldChar w:fldCharType="separate"/>
                </w:r>
                <w:r>
                  <w:rPr>
                    <w:noProof/>
                    <w:webHidden/>
                  </w:rPr>
                  <w:t>5</w:t>
                </w:r>
                <w:r>
                  <w:rPr>
                    <w:noProof/>
                    <w:webHidden/>
                  </w:rPr>
                  <w:fldChar w:fldCharType="end"/>
                </w:r>
              </w:hyperlink>
            </w:p>
            <w:p w14:paraId="60AC5D4E" w14:textId="6F80FA76" w:rsidR="00A33F58" w:rsidRDefault="00A33F58">
              <w:pPr>
                <w:pStyle w:val="TOC2"/>
                <w:tabs>
                  <w:tab w:val="right" w:leader="dot" w:pos="9016"/>
                </w:tabs>
                <w:rPr>
                  <w:rFonts w:eastAsiaTheme="minorEastAsia"/>
                  <w:noProof/>
                  <w:kern w:val="2"/>
                  <w:sz w:val="24"/>
                  <w:szCs w:val="24"/>
                  <w:lang w:eastAsia="en-GB"/>
                  <w14:ligatures w14:val="standardContextual"/>
                </w:rPr>
              </w:pPr>
              <w:hyperlink w:anchor="_Toc164027121" w:history="1">
                <w:r w:rsidRPr="008B1778">
                  <w:rPr>
                    <w:rStyle w:val="Hyperlink"/>
                    <w:rFonts w:cstheme="majorHAnsi"/>
                    <w:noProof/>
                  </w:rPr>
                  <w:t>Analysis and Management Actions</w:t>
                </w:r>
                <w:r>
                  <w:rPr>
                    <w:noProof/>
                    <w:webHidden/>
                  </w:rPr>
                  <w:tab/>
                </w:r>
                <w:r>
                  <w:rPr>
                    <w:noProof/>
                    <w:webHidden/>
                  </w:rPr>
                  <w:fldChar w:fldCharType="begin"/>
                </w:r>
                <w:r>
                  <w:rPr>
                    <w:noProof/>
                    <w:webHidden/>
                  </w:rPr>
                  <w:instrText xml:space="preserve"> PAGEREF _Toc164027121 \h </w:instrText>
                </w:r>
                <w:r>
                  <w:rPr>
                    <w:noProof/>
                    <w:webHidden/>
                  </w:rPr>
                </w:r>
                <w:r>
                  <w:rPr>
                    <w:noProof/>
                    <w:webHidden/>
                  </w:rPr>
                  <w:fldChar w:fldCharType="separate"/>
                </w:r>
                <w:r>
                  <w:rPr>
                    <w:noProof/>
                    <w:webHidden/>
                  </w:rPr>
                  <w:t>7</w:t>
                </w:r>
                <w:r>
                  <w:rPr>
                    <w:noProof/>
                    <w:webHidden/>
                  </w:rPr>
                  <w:fldChar w:fldCharType="end"/>
                </w:r>
              </w:hyperlink>
            </w:p>
            <w:p w14:paraId="4F845A5E" w14:textId="2A09CCC0" w:rsidR="00A33F58" w:rsidRDefault="00A33F58">
              <w:pPr>
                <w:pStyle w:val="TOC2"/>
                <w:tabs>
                  <w:tab w:val="right" w:leader="dot" w:pos="9016"/>
                </w:tabs>
                <w:rPr>
                  <w:rFonts w:eastAsiaTheme="minorEastAsia"/>
                  <w:noProof/>
                  <w:kern w:val="2"/>
                  <w:sz w:val="24"/>
                  <w:szCs w:val="24"/>
                  <w:lang w:eastAsia="en-GB"/>
                  <w14:ligatures w14:val="standardContextual"/>
                </w:rPr>
              </w:pPr>
              <w:hyperlink w:anchor="_Toc164027122" w:history="1">
                <w:r w:rsidRPr="008B1778">
                  <w:rPr>
                    <w:rStyle w:val="Hyperlink"/>
                    <w:noProof/>
                  </w:rPr>
                  <w:t>Budgetary Control Systems</w:t>
                </w:r>
                <w:r>
                  <w:rPr>
                    <w:noProof/>
                    <w:webHidden/>
                  </w:rPr>
                  <w:tab/>
                </w:r>
                <w:r>
                  <w:rPr>
                    <w:noProof/>
                    <w:webHidden/>
                  </w:rPr>
                  <w:fldChar w:fldCharType="begin"/>
                </w:r>
                <w:r>
                  <w:rPr>
                    <w:noProof/>
                    <w:webHidden/>
                  </w:rPr>
                  <w:instrText xml:space="preserve"> PAGEREF _Toc164027122 \h </w:instrText>
                </w:r>
                <w:r>
                  <w:rPr>
                    <w:noProof/>
                    <w:webHidden/>
                  </w:rPr>
                </w:r>
                <w:r>
                  <w:rPr>
                    <w:noProof/>
                    <w:webHidden/>
                  </w:rPr>
                  <w:fldChar w:fldCharType="separate"/>
                </w:r>
                <w:r>
                  <w:rPr>
                    <w:noProof/>
                    <w:webHidden/>
                  </w:rPr>
                  <w:t>8</w:t>
                </w:r>
                <w:r>
                  <w:rPr>
                    <w:noProof/>
                    <w:webHidden/>
                  </w:rPr>
                  <w:fldChar w:fldCharType="end"/>
                </w:r>
              </w:hyperlink>
            </w:p>
            <w:p w14:paraId="238BAA9B" w14:textId="3296F6C3" w:rsidR="00A33F58" w:rsidRDefault="00A33F58">
              <w:pPr>
                <w:pStyle w:val="TOC2"/>
                <w:tabs>
                  <w:tab w:val="right" w:leader="dot" w:pos="9016"/>
                </w:tabs>
                <w:rPr>
                  <w:rFonts w:eastAsiaTheme="minorEastAsia"/>
                  <w:noProof/>
                  <w:kern w:val="2"/>
                  <w:sz w:val="24"/>
                  <w:szCs w:val="24"/>
                  <w:lang w:eastAsia="en-GB"/>
                  <w14:ligatures w14:val="standardContextual"/>
                </w:rPr>
              </w:pPr>
              <w:hyperlink w:anchor="_Toc164027123" w:history="1">
                <w:r w:rsidRPr="008B1778">
                  <w:rPr>
                    <w:rStyle w:val="Hyperlink"/>
                    <w:noProof/>
                  </w:rPr>
                  <w:t>Traditional Budgeting Approaches</w:t>
                </w:r>
                <w:r>
                  <w:rPr>
                    <w:noProof/>
                    <w:webHidden/>
                  </w:rPr>
                  <w:tab/>
                </w:r>
                <w:r>
                  <w:rPr>
                    <w:noProof/>
                    <w:webHidden/>
                  </w:rPr>
                  <w:fldChar w:fldCharType="begin"/>
                </w:r>
                <w:r>
                  <w:rPr>
                    <w:noProof/>
                    <w:webHidden/>
                  </w:rPr>
                  <w:instrText xml:space="preserve"> PAGEREF _Toc164027123 \h </w:instrText>
                </w:r>
                <w:r>
                  <w:rPr>
                    <w:noProof/>
                    <w:webHidden/>
                  </w:rPr>
                </w:r>
                <w:r>
                  <w:rPr>
                    <w:noProof/>
                    <w:webHidden/>
                  </w:rPr>
                  <w:fldChar w:fldCharType="separate"/>
                </w:r>
                <w:r>
                  <w:rPr>
                    <w:noProof/>
                    <w:webHidden/>
                  </w:rPr>
                  <w:t>11</w:t>
                </w:r>
                <w:r>
                  <w:rPr>
                    <w:noProof/>
                    <w:webHidden/>
                  </w:rPr>
                  <w:fldChar w:fldCharType="end"/>
                </w:r>
              </w:hyperlink>
            </w:p>
            <w:p w14:paraId="401CC9B6" w14:textId="096FB92B" w:rsidR="00A33F58" w:rsidRDefault="00A33F58">
              <w:pPr>
                <w:pStyle w:val="TOC2"/>
                <w:tabs>
                  <w:tab w:val="right" w:leader="dot" w:pos="9016"/>
                </w:tabs>
                <w:rPr>
                  <w:rFonts w:eastAsiaTheme="minorEastAsia"/>
                  <w:noProof/>
                  <w:kern w:val="2"/>
                  <w:sz w:val="24"/>
                  <w:szCs w:val="24"/>
                  <w:lang w:eastAsia="en-GB"/>
                  <w14:ligatures w14:val="standardContextual"/>
                </w:rPr>
              </w:pPr>
              <w:hyperlink w:anchor="_Toc164027124" w:history="1">
                <w:r w:rsidRPr="008B1778">
                  <w:rPr>
                    <w:rStyle w:val="Hyperlink"/>
                    <w:noProof/>
                  </w:rPr>
                  <w:t>Beyond Budgeting Model</w:t>
                </w:r>
                <w:r>
                  <w:rPr>
                    <w:noProof/>
                    <w:webHidden/>
                  </w:rPr>
                  <w:tab/>
                </w:r>
                <w:r>
                  <w:rPr>
                    <w:noProof/>
                    <w:webHidden/>
                  </w:rPr>
                  <w:fldChar w:fldCharType="begin"/>
                </w:r>
                <w:r>
                  <w:rPr>
                    <w:noProof/>
                    <w:webHidden/>
                  </w:rPr>
                  <w:instrText xml:space="preserve"> PAGEREF _Toc164027124 \h </w:instrText>
                </w:r>
                <w:r>
                  <w:rPr>
                    <w:noProof/>
                    <w:webHidden/>
                  </w:rPr>
                </w:r>
                <w:r>
                  <w:rPr>
                    <w:noProof/>
                    <w:webHidden/>
                  </w:rPr>
                  <w:fldChar w:fldCharType="separate"/>
                </w:r>
                <w:r>
                  <w:rPr>
                    <w:noProof/>
                    <w:webHidden/>
                  </w:rPr>
                  <w:t>12</w:t>
                </w:r>
                <w:r>
                  <w:rPr>
                    <w:noProof/>
                    <w:webHidden/>
                  </w:rPr>
                  <w:fldChar w:fldCharType="end"/>
                </w:r>
              </w:hyperlink>
            </w:p>
            <w:p w14:paraId="2B7316F2" w14:textId="091BD6D0" w:rsidR="00A33F58" w:rsidRDefault="00A33F58">
              <w:pPr>
                <w:pStyle w:val="TOC1"/>
                <w:tabs>
                  <w:tab w:val="right" w:leader="dot" w:pos="9016"/>
                </w:tabs>
                <w:rPr>
                  <w:rFonts w:eastAsiaTheme="minorEastAsia"/>
                  <w:noProof/>
                  <w:kern w:val="2"/>
                  <w:sz w:val="24"/>
                  <w:szCs w:val="24"/>
                  <w:lang w:eastAsia="en-GB"/>
                  <w14:ligatures w14:val="standardContextual"/>
                </w:rPr>
              </w:pPr>
              <w:hyperlink w:anchor="_Toc164027125" w:history="1">
                <w:r w:rsidRPr="008B1778">
                  <w:rPr>
                    <w:rStyle w:val="Hyperlink"/>
                    <w:noProof/>
                  </w:rPr>
                  <w:t>Conclusion</w:t>
                </w:r>
                <w:r>
                  <w:rPr>
                    <w:noProof/>
                    <w:webHidden/>
                  </w:rPr>
                  <w:tab/>
                </w:r>
                <w:r>
                  <w:rPr>
                    <w:noProof/>
                    <w:webHidden/>
                  </w:rPr>
                  <w:fldChar w:fldCharType="begin"/>
                </w:r>
                <w:r>
                  <w:rPr>
                    <w:noProof/>
                    <w:webHidden/>
                  </w:rPr>
                  <w:instrText xml:space="preserve"> PAGEREF _Toc164027125 \h </w:instrText>
                </w:r>
                <w:r>
                  <w:rPr>
                    <w:noProof/>
                    <w:webHidden/>
                  </w:rPr>
                </w:r>
                <w:r>
                  <w:rPr>
                    <w:noProof/>
                    <w:webHidden/>
                  </w:rPr>
                  <w:fldChar w:fldCharType="separate"/>
                </w:r>
                <w:r>
                  <w:rPr>
                    <w:noProof/>
                    <w:webHidden/>
                  </w:rPr>
                  <w:t>16</w:t>
                </w:r>
                <w:r>
                  <w:rPr>
                    <w:noProof/>
                    <w:webHidden/>
                  </w:rPr>
                  <w:fldChar w:fldCharType="end"/>
                </w:r>
              </w:hyperlink>
            </w:p>
            <w:p w14:paraId="794414DB" w14:textId="449E233F" w:rsidR="00A33F58" w:rsidRDefault="00A33F58">
              <w:pPr>
                <w:pStyle w:val="TOC1"/>
                <w:tabs>
                  <w:tab w:val="right" w:leader="dot" w:pos="9016"/>
                </w:tabs>
                <w:rPr>
                  <w:rFonts w:eastAsiaTheme="minorEastAsia"/>
                  <w:noProof/>
                  <w:kern w:val="2"/>
                  <w:sz w:val="24"/>
                  <w:szCs w:val="24"/>
                  <w:lang w:eastAsia="en-GB"/>
                  <w14:ligatures w14:val="standardContextual"/>
                </w:rPr>
              </w:pPr>
              <w:hyperlink w:anchor="_Toc164027126" w:history="1">
                <w:r w:rsidRPr="008B1778">
                  <w:rPr>
                    <w:rStyle w:val="Hyperlink"/>
                    <w:noProof/>
                  </w:rPr>
                  <w:t>References</w:t>
                </w:r>
                <w:r>
                  <w:rPr>
                    <w:noProof/>
                    <w:webHidden/>
                  </w:rPr>
                  <w:tab/>
                </w:r>
                <w:r>
                  <w:rPr>
                    <w:noProof/>
                    <w:webHidden/>
                  </w:rPr>
                  <w:fldChar w:fldCharType="begin"/>
                </w:r>
                <w:r>
                  <w:rPr>
                    <w:noProof/>
                    <w:webHidden/>
                  </w:rPr>
                  <w:instrText xml:space="preserve"> PAGEREF _Toc164027126 \h </w:instrText>
                </w:r>
                <w:r>
                  <w:rPr>
                    <w:noProof/>
                    <w:webHidden/>
                  </w:rPr>
                </w:r>
                <w:r>
                  <w:rPr>
                    <w:noProof/>
                    <w:webHidden/>
                  </w:rPr>
                  <w:fldChar w:fldCharType="separate"/>
                </w:r>
                <w:r>
                  <w:rPr>
                    <w:noProof/>
                    <w:webHidden/>
                  </w:rPr>
                  <w:t>17</w:t>
                </w:r>
                <w:r>
                  <w:rPr>
                    <w:noProof/>
                    <w:webHidden/>
                  </w:rPr>
                  <w:fldChar w:fldCharType="end"/>
                </w:r>
              </w:hyperlink>
            </w:p>
            <w:p w14:paraId="43E118AF" w14:textId="5AAADA74" w:rsidR="00A33F58" w:rsidRDefault="00A33F58">
              <w:pPr>
                <w:pStyle w:val="TOC1"/>
                <w:tabs>
                  <w:tab w:val="right" w:leader="dot" w:pos="9016"/>
                </w:tabs>
                <w:rPr>
                  <w:rFonts w:eastAsiaTheme="minorEastAsia"/>
                  <w:noProof/>
                  <w:kern w:val="2"/>
                  <w:sz w:val="24"/>
                  <w:szCs w:val="24"/>
                  <w:lang w:eastAsia="en-GB"/>
                  <w14:ligatures w14:val="standardContextual"/>
                </w:rPr>
              </w:pPr>
              <w:hyperlink w:anchor="_Toc164027127" w:history="1">
                <w:r w:rsidRPr="008B1778">
                  <w:rPr>
                    <w:rStyle w:val="Hyperlink"/>
                    <w:noProof/>
                  </w:rPr>
                  <w:t>Appendices</w:t>
                </w:r>
                <w:r>
                  <w:rPr>
                    <w:noProof/>
                    <w:webHidden/>
                  </w:rPr>
                  <w:tab/>
                </w:r>
                <w:r>
                  <w:rPr>
                    <w:noProof/>
                    <w:webHidden/>
                  </w:rPr>
                  <w:fldChar w:fldCharType="begin"/>
                </w:r>
                <w:r>
                  <w:rPr>
                    <w:noProof/>
                    <w:webHidden/>
                  </w:rPr>
                  <w:instrText xml:space="preserve"> PAGEREF _Toc164027127 \h </w:instrText>
                </w:r>
                <w:r>
                  <w:rPr>
                    <w:noProof/>
                    <w:webHidden/>
                  </w:rPr>
                </w:r>
                <w:r>
                  <w:rPr>
                    <w:noProof/>
                    <w:webHidden/>
                  </w:rPr>
                  <w:fldChar w:fldCharType="separate"/>
                </w:r>
                <w:r>
                  <w:rPr>
                    <w:noProof/>
                    <w:webHidden/>
                  </w:rPr>
                  <w:t>21</w:t>
                </w:r>
                <w:r>
                  <w:rPr>
                    <w:noProof/>
                    <w:webHidden/>
                  </w:rPr>
                  <w:fldChar w:fldCharType="end"/>
                </w:r>
              </w:hyperlink>
            </w:p>
            <w:p w14:paraId="5C1F16A2" w14:textId="2D7CC69F" w:rsidR="007057F0" w:rsidRDefault="007D1947">
              <w:r>
                <w:rPr>
                  <w:b/>
                  <w:bCs/>
                  <w:noProof/>
                </w:rPr>
                <w:fldChar w:fldCharType="end"/>
              </w:r>
            </w:p>
            <w:p w14:paraId="2D940C42" w14:textId="77777777" w:rsidR="007057F0" w:rsidRDefault="007057F0"/>
            <w:p w14:paraId="586608D6" w14:textId="77777777" w:rsidR="007057F0" w:rsidRDefault="007057F0"/>
            <w:p w14:paraId="26EE9C53" w14:textId="23A6FDDF" w:rsidR="007D1947" w:rsidRDefault="00D856C1"/>
          </w:sdtContent>
        </w:sdt>
        <w:p w14:paraId="21D0F861" w14:textId="77777777" w:rsidR="007D1947" w:rsidRDefault="007D1947"/>
        <w:p w14:paraId="655F29CA" w14:textId="77777777" w:rsidR="007D1947" w:rsidRDefault="007D1947"/>
        <w:p w14:paraId="59AE290D" w14:textId="77777777" w:rsidR="007057F0" w:rsidRDefault="007057F0"/>
        <w:p w14:paraId="3612DB64" w14:textId="77777777" w:rsidR="007057F0" w:rsidRDefault="007057F0"/>
        <w:p w14:paraId="36F59545" w14:textId="77777777" w:rsidR="007057F0" w:rsidRDefault="007057F0"/>
        <w:p w14:paraId="5AB45E8B" w14:textId="77777777" w:rsidR="007057F0" w:rsidRDefault="007057F0"/>
        <w:p w14:paraId="429243C1" w14:textId="77777777" w:rsidR="007057F0" w:rsidRDefault="007057F0"/>
        <w:p w14:paraId="51F8DC70" w14:textId="77777777" w:rsidR="007057F0" w:rsidRDefault="007057F0"/>
        <w:p w14:paraId="6A8B41F2" w14:textId="77777777" w:rsidR="007057F0" w:rsidRDefault="007057F0"/>
        <w:p w14:paraId="7CB6A3BE" w14:textId="77777777" w:rsidR="007057F0" w:rsidRDefault="007057F0"/>
        <w:p w14:paraId="4558D520" w14:textId="77777777" w:rsidR="007057F0" w:rsidRDefault="007057F0"/>
        <w:p w14:paraId="215B5C8C" w14:textId="77777777" w:rsidR="00F55CB0" w:rsidRDefault="00F55CB0"/>
        <w:p w14:paraId="3FF34E58" w14:textId="77777777" w:rsidR="00F55CB0" w:rsidRDefault="00F55CB0"/>
        <w:p w14:paraId="6E46EBC5" w14:textId="77777777" w:rsidR="00F55CB0" w:rsidRDefault="00F55CB0"/>
        <w:p w14:paraId="5DBAD65B" w14:textId="2D1F408B" w:rsidR="004A11F6" w:rsidRDefault="007D1947" w:rsidP="006153A7">
          <w:pPr>
            <w:pStyle w:val="Heading1"/>
          </w:pPr>
          <w:bookmarkStart w:id="6" w:name="_Toc164027118"/>
          <w:r>
            <w:t>Introduction</w:t>
          </w:r>
          <w:bookmarkEnd w:id="6"/>
          <w:r w:rsidR="00480872">
            <w:t xml:space="preserve"> </w:t>
          </w:r>
        </w:p>
        <w:p w14:paraId="1F7420E1" w14:textId="77777777" w:rsidR="008B17C6" w:rsidRPr="008B17C6" w:rsidRDefault="008B17C6" w:rsidP="008B17C6">
          <w:pPr>
            <w:rPr>
              <w:rFonts w:ascii="Arial" w:hAnsi="Arial" w:cs="Arial"/>
              <w:sz w:val="24"/>
              <w:szCs w:val="24"/>
            </w:rPr>
          </w:pPr>
        </w:p>
        <w:p w14:paraId="288172A3" w14:textId="6D591CA3" w:rsidR="006A1893" w:rsidRDefault="006A1893" w:rsidP="009F15D8">
          <w:pPr>
            <w:rPr>
              <w:rFonts w:ascii="Arial" w:hAnsi="Arial" w:cs="Arial"/>
              <w:sz w:val="24"/>
              <w:szCs w:val="24"/>
            </w:rPr>
          </w:pPr>
          <w:r w:rsidRPr="006A1893">
            <w:rPr>
              <w:rFonts w:ascii="Arial" w:hAnsi="Arial" w:cs="Arial"/>
              <w:sz w:val="24"/>
              <w:szCs w:val="24"/>
            </w:rPr>
            <w:t>This report offers an examination of Edwards</w:t>
          </w:r>
          <w:r w:rsidR="00D6101F">
            <w:rPr>
              <w:rFonts w:ascii="Arial" w:hAnsi="Arial" w:cs="Arial"/>
              <w:sz w:val="24"/>
              <w:szCs w:val="24"/>
            </w:rPr>
            <w:t xml:space="preserve"> </w:t>
          </w:r>
          <w:r w:rsidRPr="006A1893">
            <w:rPr>
              <w:rFonts w:ascii="Arial" w:hAnsi="Arial" w:cs="Arial"/>
              <w:sz w:val="24"/>
              <w:szCs w:val="24"/>
            </w:rPr>
            <w:t xml:space="preserve">financial status, with a specific focus on budgetary principles and strategies. Edwards, operating as a franchise with 15 </w:t>
          </w:r>
          <w:r w:rsidR="00435683">
            <w:rPr>
              <w:rFonts w:ascii="Arial" w:hAnsi="Arial" w:cs="Arial"/>
              <w:sz w:val="24"/>
              <w:szCs w:val="24"/>
            </w:rPr>
            <w:t>C</w:t>
          </w:r>
          <w:r w:rsidRPr="006A1893">
            <w:rPr>
              <w:rFonts w:ascii="Arial" w:hAnsi="Arial" w:cs="Arial"/>
              <w:sz w:val="24"/>
              <w:szCs w:val="24"/>
            </w:rPr>
            <w:t xml:space="preserve">amping </w:t>
          </w:r>
          <w:r w:rsidR="00435683">
            <w:rPr>
              <w:rFonts w:ascii="Arial" w:hAnsi="Arial" w:cs="Arial"/>
              <w:sz w:val="24"/>
              <w:szCs w:val="24"/>
            </w:rPr>
            <w:t>G</w:t>
          </w:r>
          <w:r w:rsidRPr="006A1893">
            <w:rPr>
              <w:rFonts w:ascii="Arial" w:hAnsi="Arial" w:cs="Arial"/>
              <w:sz w:val="24"/>
              <w:szCs w:val="24"/>
            </w:rPr>
            <w:t xml:space="preserve">ear stores, confronts the task of resolving a £25,000 overdraft by the </w:t>
          </w:r>
          <w:r w:rsidR="00E00837">
            <w:rPr>
              <w:rFonts w:ascii="Arial" w:hAnsi="Arial" w:cs="Arial"/>
              <w:sz w:val="24"/>
              <w:szCs w:val="24"/>
            </w:rPr>
            <w:t>end</w:t>
          </w:r>
          <w:r w:rsidRPr="006A1893">
            <w:rPr>
              <w:rFonts w:ascii="Arial" w:hAnsi="Arial" w:cs="Arial"/>
              <w:sz w:val="24"/>
              <w:szCs w:val="24"/>
            </w:rPr>
            <w:t xml:space="preserve"> of November.</w:t>
          </w:r>
          <w:r w:rsidRPr="006A1893">
            <w:rPr>
              <w:rFonts w:ascii="Arial" w:hAnsi="Arial" w:cs="Arial"/>
              <w:sz w:val="24"/>
              <w:szCs w:val="24"/>
            </w:rPr>
            <w:t xml:space="preserve"> </w:t>
          </w:r>
        </w:p>
        <w:p w14:paraId="55F3D8D5" w14:textId="128C395D" w:rsidR="009F15D8" w:rsidRPr="009F15D8" w:rsidRDefault="009F15D8" w:rsidP="009F15D8">
          <w:pPr>
            <w:rPr>
              <w:rFonts w:ascii="Arial" w:hAnsi="Arial" w:cs="Arial"/>
              <w:sz w:val="24"/>
              <w:szCs w:val="24"/>
            </w:rPr>
          </w:pPr>
          <w:r w:rsidRPr="009F15D8">
            <w:rPr>
              <w:rFonts w:ascii="Arial" w:hAnsi="Arial" w:cs="Arial"/>
              <w:sz w:val="24"/>
              <w:szCs w:val="24"/>
            </w:rPr>
            <w:t>Budgeting, a cornerstone of financial planning and control, has undergone significant transformation over the years to adapt to the complexities of today's business environment. Traditional budgeting methods, including incremental budgeting and zero-based budgeting, have long been employed by organizations to plan, monitor, and control their financial activities (Bergmann et al., 2020). Incremental budgeting relies on historical data and incremental adjustments for future projections, while zero-based budgeting requires justification for every expense, starting from a "zero base" each budget cycle (</w:t>
          </w:r>
          <w:proofErr w:type="spellStart"/>
          <w:r w:rsidRPr="009F15D8">
            <w:rPr>
              <w:rFonts w:ascii="Arial" w:hAnsi="Arial" w:cs="Arial"/>
              <w:sz w:val="24"/>
              <w:szCs w:val="24"/>
            </w:rPr>
            <w:t>Dokulil</w:t>
          </w:r>
          <w:proofErr w:type="spellEnd"/>
          <w:r w:rsidRPr="009F15D8">
            <w:rPr>
              <w:rFonts w:ascii="Arial" w:hAnsi="Arial" w:cs="Arial"/>
              <w:sz w:val="24"/>
              <w:szCs w:val="24"/>
            </w:rPr>
            <w:t xml:space="preserve"> et al., 2020).</w:t>
          </w:r>
        </w:p>
        <w:p w14:paraId="4D775D01" w14:textId="77777777" w:rsidR="009F15D8" w:rsidRPr="009F15D8" w:rsidRDefault="009F15D8" w:rsidP="009F15D8">
          <w:pPr>
            <w:rPr>
              <w:rFonts w:ascii="Arial" w:hAnsi="Arial" w:cs="Arial"/>
              <w:sz w:val="24"/>
              <w:szCs w:val="24"/>
            </w:rPr>
          </w:pPr>
          <w:r w:rsidRPr="009F15D8">
            <w:rPr>
              <w:rFonts w:ascii="Arial" w:hAnsi="Arial" w:cs="Arial"/>
              <w:sz w:val="24"/>
              <w:szCs w:val="24"/>
            </w:rPr>
            <w:t>However, the limitations of traditional budgeting approaches have become increasingly apparent in the face of rapid technological advancements, regulatory changes, and shifting consumer preferences. These conventional methods often fail to accommodate the dynamic nature of modern business environments, leading to inertia, missed opportunities, and suboptimal resource allocation (Schmidt, 2024). In response, organizations are exploring alternative approaches to budgeting that emphasize flexibility, agility, and alignment with strategic objectives.</w:t>
          </w:r>
        </w:p>
        <w:p w14:paraId="30AA9306" w14:textId="77777777" w:rsidR="009F15D8" w:rsidRPr="009F15D8" w:rsidRDefault="009F15D8" w:rsidP="009F15D8">
          <w:pPr>
            <w:rPr>
              <w:rFonts w:ascii="Arial" w:hAnsi="Arial" w:cs="Arial"/>
              <w:sz w:val="24"/>
              <w:szCs w:val="24"/>
            </w:rPr>
          </w:pPr>
          <w:r w:rsidRPr="009F15D8">
            <w:rPr>
              <w:rFonts w:ascii="Arial" w:hAnsi="Arial" w:cs="Arial"/>
              <w:sz w:val="24"/>
              <w:szCs w:val="24"/>
            </w:rPr>
            <w:t>One such alternative approach is the "Beyond Budgeting" model, which challenges the traditional notions of budgeting and advocates for a more decentralized, transparent, and adaptive management philosophy (Hope &amp; Fraser, 2003). The Beyond Budgeting model proposes principles such as purpose-driven leadership, values-based decision-making, and agile management practices to guide organizations towards improved performance and resilience in the face of uncertainty (Ahmed Mohamed Ghandour, 2021).</w:t>
          </w:r>
        </w:p>
        <w:p w14:paraId="28E78B75" w14:textId="354F4950" w:rsidR="005D3B58" w:rsidRDefault="009F15D8" w:rsidP="009F15D8">
          <w:pPr>
            <w:rPr>
              <w:rFonts w:ascii="Arial" w:hAnsi="Arial" w:cs="Arial"/>
              <w:sz w:val="24"/>
              <w:szCs w:val="24"/>
            </w:rPr>
          </w:pPr>
          <w:r w:rsidRPr="009F15D8">
            <w:rPr>
              <w:rFonts w:ascii="Arial" w:hAnsi="Arial" w:cs="Arial"/>
              <w:sz w:val="24"/>
              <w:szCs w:val="24"/>
            </w:rPr>
            <w:t xml:space="preserve">As the analysis of </w:t>
          </w:r>
          <w:r w:rsidR="00F5575D">
            <w:rPr>
              <w:rFonts w:ascii="Arial" w:hAnsi="Arial" w:cs="Arial"/>
              <w:sz w:val="24"/>
              <w:szCs w:val="24"/>
            </w:rPr>
            <w:t xml:space="preserve">the </w:t>
          </w:r>
          <w:r w:rsidRPr="009F15D8">
            <w:rPr>
              <w:rFonts w:ascii="Arial" w:hAnsi="Arial" w:cs="Arial"/>
              <w:sz w:val="24"/>
              <w:szCs w:val="24"/>
            </w:rPr>
            <w:t>Edwards Limited</w:t>
          </w:r>
          <w:r w:rsidR="00F5575D">
            <w:rPr>
              <w:rFonts w:ascii="Arial" w:hAnsi="Arial" w:cs="Arial"/>
              <w:sz w:val="24"/>
              <w:szCs w:val="24"/>
            </w:rPr>
            <w:t xml:space="preserve"> </w:t>
          </w:r>
          <w:r w:rsidRPr="009F15D8">
            <w:rPr>
              <w:rFonts w:ascii="Arial" w:hAnsi="Arial" w:cs="Arial"/>
              <w:sz w:val="24"/>
              <w:szCs w:val="24"/>
            </w:rPr>
            <w:t>financial performance and management actions unfolds, exploring the evolution of budgeting from traditional methods to the Beyond Budgeting model will provide insights into the effectiveness of financial management strategies and their implications for organizational sustainability and success. Through this exploration, valuable insights into the complexities of financial management in today</w:t>
          </w:r>
          <w:r w:rsidR="007B4953">
            <w:rPr>
              <w:rFonts w:ascii="Arial" w:hAnsi="Arial" w:cs="Arial"/>
              <w:sz w:val="24"/>
              <w:szCs w:val="24"/>
            </w:rPr>
            <w:t xml:space="preserve"> </w:t>
          </w:r>
          <w:r w:rsidRPr="009F15D8">
            <w:rPr>
              <w:rFonts w:ascii="Arial" w:hAnsi="Arial" w:cs="Arial"/>
              <w:sz w:val="24"/>
              <w:szCs w:val="24"/>
            </w:rPr>
            <w:t>dynamic business environment will be uncovered, identifying opportunities for improvement and innovation.</w:t>
          </w:r>
        </w:p>
        <w:p w14:paraId="42E4CEB7" w14:textId="77777777" w:rsidR="005D3B58" w:rsidRDefault="005D3B58" w:rsidP="004D519C">
          <w:pPr>
            <w:rPr>
              <w:rFonts w:ascii="Arial" w:hAnsi="Arial" w:cs="Arial"/>
              <w:sz w:val="24"/>
              <w:szCs w:val="24"/>
            </w:rPr>
          </w:pPr>
        </w:p>
        <w:p w14:paraId="594E10A9" w14:textId="77777777" w:rsidR="002A0FF2" w:rsidRDefault="002A0FF2" w:rsidP="004D519C">
          <w:pPr>
            <w:rPr>
              <w:rFonts w:ascii="Arial" w:hAnsi="Arial" w:cs="Arial"/>
              <w:sz w:val="24"/>
              <w:szCs w:val="24"/>
            </w:rPr>
          </w:pPr>
        </w:p>
        <w:p w14:paraId="53357309" w14:textId="77777777" w:rsidR="002A0FF2" w:rsidRDefault="002A0FF2" w:rsidP="004D519C">
          <w:pPr>
            <w:rPr>
              <w:rFonts w:ascii="Arial" w:hAnsi="Arial" w:cs="Arial"/>
              <w:sz w:val="24"/>
              <w:szCs w:val="24"/>
            </w:rPr>
          </w:pPr>
        </w:p>
        <w:p w14:paraId="2567364A" w14:textId="77777777" w:rsidR="002A0FF2" w:rsidRDefault="002A0FF2" w:rsidP="004D519C">
          <w:pPr>
            <w:rPr>
              <w:rFonts w:ascii="Arial" w:hAnsi="Arial" w:cs="Arial"/>
              <w:sz w:val="24"/>
              <w:szCs w:val="24"/>
            </w:rPr>
          </w:pPr>
        </w:p>
        <w:p w14:paraId="5A1A6F9F" w14:textId="77777777" w:rsidR="002A0FF2" w:rsidRDefault="002A0FF2" w:rsidP="004D519C">
          <w:pPr>
            <w:rPr>
              <w:rFonts w:ascii="Arial" w:hAnsi="Arial" w:cs="Arial"/>
              <w:sz w:val="24"/>
              <w:szCs w:val="24"/>
            </w:rPr>
          </w:pPr>
        </w:p>
        <w:p w14:paraId="5E423E87" w14:textId="77777777" w:rsidR="005D3B58" w:rsidRPr="00EE31DC" w:rsidRDefault="005D3B58" w:rsidP="004D519C">
          <w:pPr>
            <w:rPr>
              <w:rFonts w:ascii="Arial" w:hAnsi="Arial" w:cs="Arial"/>
              <w:sz w:val="24"/>
              <w:szCs w:val="24"/>
            </w:rPr>
          </w:pPr>
        </w:p>
        <w:p w14:paraId="2E293EB9" w14:textId="13D59F1B" w:rsidR="00480872" w:rsidRPr="007057F0" w:rsidRDefault="00480872" w:rsidP="00AA2A91">
          <w:pPr>
            <w:pStyle w:val="Heading1"/>
            <w:rPr>
              <w:rFonts w:ascii="Arial" w:hAnsi="Arial" w:cs="Arial"/>
              <w:sz w:val="28"/>
              <w:szCs w:val="28"/>
            </w:rPr>
          </w:pPr>
          <w:bookmarkStart w:id="7" w:name="_Toc164027119"/>
          <w:r w:rsidRPr="007057F0">
            <w:rPr>
              <w:rFonts w:ascii="Arial" w:hAnsi="Arial" w:cs="Arial"/>
              <w:sz w:val="28"/>
              <w:szCs w:val="28"/>
            </w:rPr>
            <w:t>Main Findings</w:t>
          </w:r>
          <w:bookmarkEnd w:id="7"/>
        </w:p>
        <w:p w14:paraId="054598CE" w14:textId="77777777" w:rsidR="008F4B79" w:rsidRPr="00EE31DC" w:rsidRDefault="008F4B79" w:rsidP="008F4B79">
          <w:pPr>
            <w:rPr>
              <w:rFonts w:ascii="Arial" w:hAnsi="Arial" w:cs="Arial"/>
              <w:sz w:val="24"/>
              <w:szCs w:val="24"/>
            </w:rPr>
          </w:pPr>
        </w:p>
        <w:p w14:paraId="7EE4B013" w14:textId="77777777" w:rsidR="008F4B79" w:rsidRPr="00EE31DC" w:rsidRDefault="008F4B79" w:rsidP="008F4B79">
          <w:pPr>
            <w:pStyle w:val="ListParagraph"/>
            <w:numPr>
              <w:ilvl w:val="0"/>
              <w:numId w:val="1"/>
            </w:numPr>
            <w:ind w:left="851"/>
            <w:jc w:val="both"/>
            <w:rPr>
              <w:rFonts w:ascii="Arial" w:hAnsi="Arial" w:cs="Arial"/>
              <w:sz w:val="24"/>
              <w:szCs w:val="24"/>
            </w:rPr>
          </w:pPr>
          <w:r w:rsidRPr="00EE31DC">
            <w:rPr>
              <w:rFonts w:ascii="Arial" w:hAnsi="Arial" w:cs="Arial"/>
              <w:sz w:val="24"/>
              <w:szCs w:val="24"/>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rsidRPr="00EE31DC" w14:paraId="154D928D" w14:textId="77777777" w:rsidTr="00803516">
            <w:tc>
              <w:tcPr>
                <w:tcW w:w="2551" w:type="dxa"/>
              </w:tcPr>
              <w:p w14:paraId="2643CF53" w14:textId="77777777" w:rsidR="008F4B79" w:rsidRPr="00EE31DC" w:rsidRDefault="008F4B79" w:rsidP="00803516">
                <w:pPr>
                  <w:jc w:val="center"/>
                  <w:rPr>
                    <w:rFonts w:ascii="Arial" w:hAnsi="Arial" w:cs="Arial"/>
                    <w:sz w:val="24"/>
                    <w:szCs w:val="24"/>
                  </w:rPr>
                </w:pPr>
              </w:p>
            </w:tc>
            <w:tc>
              <w:tcPr>
                <w:tcW w:w="992" w:type="dxa"/>
              </w:tcPr>
              <w:p w14:paraId="127577E6" w14:textId="77777777" w:rsidR="008F4B79" w:rsidRPr="00EE31DC" w:rsidRDefault="008F4B79" w:rsidP="00803516">
                <w:pPr>
                  <w:jc w:val="right"/>
                  <w:rPr>
                    <w:rFonts w:ascii="Arial" w:hAnsi="Arial" w:cs="Arial"/>
                    <w:b/>
                    <w:sz w:val="24"/>
                    <w:szCs w:val="24"/>
                  </w:rPr>
                </w:pPr>
                <w:r w:rsidRPr="00EE31DC">
                  <w:rPr>
                    <w:rFonts w:ascii="Arial" w:hAnsi="Arial" w:cs="Arial"/>
                    <w:b/>
                    <w:sz w:val="24"/>
                    <w:szCs w:val="24"/>
                  </w:rPr>
                  <w:t>June</w:t>
                </w:r>
              </w:p>
            </w:tc>
            <w:tc>
              <w:tcPr>
                <w:tcW w:w="992" w:type="dxa"/>
              </w:tcPr>
              <w:p w14:paraId="3F8576BD" w14:textId="77777777" w:rsidR="008F4B79" w:rsidRPr="00EE31DC" w:rsidRDefault="008F4B79" w:rsidP="00803516">
                <w:pPr>
                  <w:jc w:val="right"/>
                  <w:rPr>
                    <w:rFonts w:ascii="Arial" w:hAnsi="Arial" w:cs="Arial"/>
                    <w:b/>
                    <w:sz w:val="24"/>
                    <w:szCs w:val="24"/>
                  </w:rPr>
                </w:pPr>
                <w:r w:rsidRPr="00EE31DC">
                  <w:rPr>
                    <w:rFonts w:ascii="Arial" w:hAnsi="Arial" w:cs="Arial"/>
                    <w:b/>
                    <w:sz w:val="24"/>
                    <w:szCs w:val="24"/>
                  </w:rPr>
                  <w:t>July</w:t>
                </w:r>
              </w:p>
            </w:tc>
            <w:tc>
              <w:tcPr>
                <w:tcW w:w="964" w:type="dxa"/>
              </w:tcPr>
              <w:p w14:paraId="7E2915BC" w14:textId="77777777" w:rsidR="008F4B79" w:rsidRPr="00EE31DC" w:rsidRDefault="008F4B79" w:rsidP="00803516">
                <w:pPr>
                  <w:jc w:val="right"/>
                  <w:rPr>
                    <w:rFonts w:ascii="Arial" w:hAnsi="Arial" w:cs="Arial"/>
                    <w:b/>
                    <w:sz w:val="24"/>
                    <w:szCs w:val="24"/>
                  </w:rPr>
                </w:pPr>
                <w:r w:rsidRPr="00EE31DC">
                  <w:rPr>
                    <w:rFonts w:ascii="Arial" w:hAnsi="Arial" w:cs="Arial"/>
                    <w:b/>
                    <w:sz w:val="24"/>
                    <w:szCs w:val="24"/>
                  </w:rPr>
                  <w:t>Aug</w:t>
                </w:r>
              </w:p>
            </w:tc>
            <w:tc>
              <w:tcPr>
                <w:tcW w:w="993" w:type="dxa"/>
              </w:tcPr>
              <w:p w14:paraId="0933CEC7" w14:textId="77777777" w:rsidR="008F4B79" w:rsidRPr="00EE31DC" w:rsidRDefault="008F4B79" w:rsidP="00803516">
                <w:pPr>
                  <w:jc w:val="right"/>
                  <w:rPr>
                    <w:rFonts w:ascii="Arial" w:hAnsi="Arial" w:cs="Arial"/>
                    <w:b/>
                    <w:sz w:val="24"/>
                    <w:szCs w:val="24"/>
                  </w:rPr>
                </w:pPr>
                <w:r w:rsidRPr="00EE31DC">
                  <w:rPr>
                    <w:rFonts w:ascii="Arial" w:hAnsi="Arial" w:cs="Arial"/>
                    <w:b/>
                    <w:sz w:val="24"/>
                    <w:szCs w:val="24"/>
                  </w:rPr>
                  <w:t>Sept</w:t>
                </w:r>
              </w:p>
            </w:tc>
            <w:tc>
              <w:tcPr>
                <w:tcW w:w="992" w:type="dxa"/>
              </w:tcPr>
              <w:p w14:paraId="239056FA" w14:textId="77777777" w:rsidR="008F4B79" w:rsidRPr="00EE31DC" w:rsidRDefault="008F4B79" w:rsidP="00803516">
                <w:pPr>
                  <w:jc w:val="right"/>
                  <w:rPr>
                    <w:rFonts w:ascii="Arial" w:hAnsi="Arial" w:cs="Arial"/>
                    <w:b/>
                    <w:sz w:val="24"/>
                    <w:szCs w:val="24"/>
                  </w:rPr>
                </w:pPr>
                <w:r w:rsidRPr="00EE31DC">
                  <w:rPr>
                    <w:rFonts w:ascii="Arial" w:hAnsi="Arial" w:cs="Arial"/>
                    <w:b/>
                    <w:sz w:val="24"/>
                    <w:szCs w:val="24"/>
                  </w:rPr>
                  <w:t>Oct</w:t>
                </w:r>
              </w:p>
            </w:tc>
            <w:tc>
              <w:tcPr>
                <w:tcW w:w="992" w:type="dxa"/>
              </w:tcPr>
              <w:p w14:paraId="73656E83" w14:textId="77777777" w:rsidR="008F4B79" w:rsidRPr="00EE31DC" w:rsidRDefault="008F4B79" w:rsidP="00803516">
                <w:pPr>
                  <w:jc w:val="right"/>
                  <w:rPr>
                    <w:rFonts w:ascii="Arial" w:hAnsi="Arial" w:cs="Arial"/>
                    <w:b/>
                    <w:sz w:val="24"/>
                    <w:szCs w:val="24"/>
                  </w:rPr>
                </w:pPr>
                <w:r w:rsidRPr="00EE31DC">
                  <w:rPr>
                    <w:rFonts w:ascii="Arial" w:hAnsi="Arial" w:cs="Arial"/>
                    <w:b/>
                    <w:sz w:val="24"/>
                    <w:szCs w:val="24"/>
                  </w:rPr>
                  <w:t>Nov</w:t>
                </w:r>
              </w:p>
            </w:tc>
          </w:tr>
          <w:tr w:rsidR="008F4B79" w:rsidRPr="00EE31DC" w14:paraId="48267129" w14:textId="77777777" w:rsidTr="00803516">
            <w:trPr>
              <w:trHeight w:val="281"/>
            </w:trPr>
            <w:tc>
              <w:tcPr>
                <w:tcW w:w="2551" w:type="dxa"/>
              </w:tcPr>
              <w:p w14:paraId="5BFBE18B" w14:textId="77777777" w:rsidR="008F4B79" w:rsidRPr="00EE31DC" w:rsidRDefault="008F4B79" w:rsidP="00803516">
                <w:pPr>
                  <w:rPr>
                    <w:rFonts w:ascii="Arial" w:hAnsi="Arial" w:cs="Arial"/>
                    <w:sz w:val="24"/>
                    <w:szCs w:val="24"/>
                  </w:rPr>
                </w:pPr>
              </w:p>
            </w:tc>
            <w:tc>
              <w:tcPr>
                <w:tcW w:w="992" w:type="dxa"/>
              </w:tcPr>
              <w:p w14:paraId="690885C8"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£000</w:t>
                </w:r>
              </w:p>
            </w:tc>
            <w:tc>
              <w:tcPr>
                <w:tcW w:w="992" w:type="dxa"/>
              </w:tcPr>
              <w:p w14:paraId="07014644"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£000</w:t>
                </w:r>
              </w:p>
            </w:tc>
            <w:tc>
              <w:tcPr>
                <w:tcW w:w="964" w:type="dxa"/>
              </w:tcPr>
              <w:p w14:paraId="56F154CD"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£000</w:t>
                </w:r>
              </w:p>
            </w:tc>
            <w:tc>
              <w:tcPr>
                <w:tcW w:w="993" w:type="dxa"/>
              </w:tcPr>
              <w:p w14:paraId="034F1BDC"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£000</w:t>
                </w:r>
              </w:p>
            </w:tc>
            <w:tc>
              <w:tcPr>
                <w:tcW w:w="992" w:type="dxa"/>
              </w:tcPr>
              <w:p w14:paraId="0CEC832B"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£000</w:t>
                </w:r>
              </w:p>
            </w:tc>
            <w:tc>
              <w:tcPr>
                <w:tcW w:w="992" w:type="dxa"/>
              </w:tcPr>
              <w:p w14:paraId="6870BD98"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£000</w:t>
                </w:r>
              </w:p>
            </w:tc>
          </w:tr>
          <w:tr w:rsidR="008F4B79" w:rsidRPr="00EE31DC" w14:paraId="4B0E14E7" w14:textId="77777777" w:rsidTr="00803516">
            <w:tc>
              <w:tcPr>
                <w:tcW w:w="2551" w:type="dxa"/>
              </w:tcPr>
              <w:p w14:paraId="05D0139B" w14:textId="77777777" w:rsidR="008F4B79" w:rsidRPr="00EE31DC" w:rsidRDefault="008F4B79" w:rsidP="00803516">
                <w:pPr>
                  <w:rPr>
                    <w:rFonts w:ascii="Arial" w:hAnsi="Arial" w:cs="Arial"/>
                    <w:sz w:val="24"/>
                    <w:szCs w:val="24"/>
                  </w:rPr>
                </w:pPr>
                <w:r w:rsidRPr="00EE31DC">
                  <w:rPr>
                    <w:rFonts w:ascii="Arial" w:hAnsi="Arial" w:cs="Arial"/>
                    <w:sz w:val="24"/>
                    <w:szCs w:val="24"/>
                  </w:rPr>
                  <w:t>Opening balance</w:t>
                </w:r>
              </w:p>
            </w:tc>
            <w:tc>
              <w:tcPr>
                <w:tcW w:w="992" w:type="dxa"/>
              </w:tcPr>
              <w:p w14:paraId="1A8CCF64" w14:textId="6C9BD959" w:rsidR="008F4B79" w:rsidRPr="00EE31DC" w:rsidRDefault="008F4B79" w:rsidP="00803516">
                <w:pPr>
                  <w:jc w:val="right"/>
                  <w:rPr>
                    <w:rFonts w:ascii="Arial" w:hAnsi="Arial" w:cs="Arial"/>
                    <w:sz w:val="24"/>
                    <w:szCs w:val="24"/>
                  </w:rPr>
                </w:pPr>
                <w:r w:rsidRPr="00EE31DC">
                  <w:rPr>
                    <w:rFonts w:ascii="Arial" w:hAnsi="Arial" w:cs="Arial"/>
                    <w:color w:val="FF0000"/>
                    <w:sz w:val="24"/>
                    <w:szCs w:val="24"/>
                  </w:rPr>
                  <w:t xml:space="preserve"> </w:t>
                </w:r>
              </w:p>
            </w:tc>
            <w:tc>
              <w:tcPr>
                <w:tcW w:w="992" w:type="dxa"/>
              </w:tcPr>
              <w:p w14:paraId="26FCFE01"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64" w:type="dxa"/>
              </w:tcPr>
              <w:p w14:paraId="52A93B90"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93" w:type="dxa"/>
              </w:tcPr>
              <w:p w14:paraId="415EDCED"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92" w:type="dxa"/>
              </w:tcPr>
              <w:p w14:paraId="6F4E533A"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92" w:type="dxa"/>
              </w:tcPr>
              <w:p w14:paraId="2ADBBDD3"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r>
          <w:tr w:rsidR="008F4B79" w:rsidRPr="00EE31DC" w14:paraId="2EB4036E" w14:textId="77777777" w:rsidTr="00803516">
            <w:tc>
              <w:tcPr>
                <w:tcW w:w="2551" w:type="dxa"/>
              </w:tcPr>
              <w:p w14:paraId="7644C62B" w14:textId="77777777" w:rsidR="008F4B79" w:rsidRPr="00EE31DC" w:rsidRDefault="008F4B79" w:rsidP="00803516">
                <w:pPr>
                  <w:ind w:left="-675" w:firstLine="675"/>
                  <w:rPr>
                    <w:rFonts w:ascii="Arial" w:hAnsi="Arial" w:cs="Arial"/>
                    <w:sz w:val="24"/>
                    <w:szCs w:val="24"/>
                  </w:rPr>
                </w:pPr>
                <w:r w:rsidRPr="00EE31DC">
                  <w:rPr>
                    <w:rFonts w:ascii="Arial" w:hAnsi="Arial" w:cs="Arial"/>
                    <w:sz w:val="24"/>
                    <w:szCs w:val="24"/>
                  </w:rPr>
                  <w:t>Stock purchased</w:t>
                </w:r>
              </w:p>
            </w:tc>
            <w:tc>
              <w:tcPr>
                <w:tcW w:w="992" w:type="dxa"/>
              </w:tcPr>
              <w:p w14:paraId="2C9C2CAE"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125</w:t>
                </w:r>
              </w:p>
              <w:p w14:paraId="647941B0"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180</w:t>
                </w:r>
              </w:p>
              <w:p w14:paraId="4773612C" w14:textId="7834E9A9" w:rsidR="008F4B79" w:rsidRPr="00EE31DC" w:rsidRDefault="00D677BA" w:rsidP="00803516">
                <w:pPr>
                  <w:jc w:val="right"/>
                  <w:rPr>
                    <w:rFonts w:ascii="Arial" w:hAnsi="Arial" w:cs="Arial"/>
                    <w:sz w:val="24"/>
                    <w:szCs w:val="24"/>
                    <w:u w:val="single"/>
                  </w:rPr>
                </w:pPr>
                <w:r w:rsidRPr="00EE31DC">
                  <w:rPr>
                    <w:rFonts w:ascii="Arial" w:hAnsi="Arial" w:cs="Arial"/>
                    <w:sz w:val="24"/>
                    <w:szCs w:val="24"/>
                    <w:u w:val="single"/>
                  </w:rPr>
                  <w:t>305</w:t>
                </w:r>
                <w:r w:rsidR="008F4B79" w:rsidRPr="00EE31DC">
                  <w:rPr>
                    <w:rFonts w:ascii="Arial" w:hAnsi="Arial" w:cs="Arial"/>
                    <w:sz w:val="24"/>
                    <w:szCs w:val="24"/>
                    <w:u w:val="single"/>
                  </w:rPr>
                  <w:t xml:space="preserve"> </w:t>
                </w:r>
              </w:p>
            </w:tc>
            <w:tc>
              <w:tcPr>
                <w:tcW w:w="992" w:type="dxa"/>
              </w:tcPr>
              <w:p w14:paraId="35ED95E4"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`123</w:t>
                </w:r>
              </w:p>
              <w:p w14:paraId="3139214E"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170</w:t>
                </w:r>
              </w:p>
              <w:p w14:paraId="3063B113" w14:textId="054F95A6" w:rsidR="008F4B79" w:rsidRPr="00EE31DC" w:rsidRDefault="00D677BA" w:rsidP="00803516">
                <w:pPr>
                  <w:jc w:val="right"/>
                  <w:rPr>
                    <w:rFonts w:ascii="Arial" w:hAnsi="Arial" w:cs="Arial"/>
                    <w:sz w:val="24"/>
                    <w:szCs w:val="24"/>
                    <w:u w:val="single"/>
                  </w:rPr>
                </w:pPr>
                <w:r w:rsidRPr="00EE31DC">
                  <w:rPr>
                    <w:rFonts w:ascii="Arial" w:hAnsi="Arial" w:cs="Arial"/>
                    <w:sz w:val="24"/>
                    <w:szCs w:val="24"/>
                    <w:u w:val="single"/>
                  </w:rPr>
                  <w:t>293</w:t>
                </w:r>
                <w:r w:rsidR="008F4B79" w:rsidRPr="00EE31DC">
                  <w:rPr>
                    <w:rFonts w:ascii="Arial" w:hAnsi="Arial" w:cs="Arial"/>
                    <w:sz w:val="24"/>
                    <w:szCs w:val="24"/>
                    <w:u w:val="single"/>
                  </w:rPr>
                  <w:t xml:space="preserve">  </w:t>
                </w:r>
              </w:p>
            </w:tc>
            <w:tc>
              <w:tcPr>
                <w:tcW w:w="964" w:type="dxa"/>
              </w:tcPr>
              <w:p w14:paraId="3ADB272F"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104</w:t>
                </w:r>
              </w:p>
              <w:p w14:paraId="02FF357D"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203</w:t>
                </w:r>
              </w:p>
              <w:p w14:paraId="7B8CE271" w14:textId="005CD2EA" w:rsidR="008F4B79" w:rsidRPr="00EE31DC" w:rsidRDefault="00D677BA" w:rsidP="00803516">
                <w:pPr>
                  <w:jc w:val="right"/>
                  <w:rPr>
                    <w:rFonts w:ascii="Arial" w:hAnsi="Arial" w:cs="Arial"/>
                    <w:sz w:val="24"/>
                    <w:szCs w:val="24"/>
                    <w:u w:val="single"/>
                  </w:rPr>
                </w:pPr>
                <w:r w:rsidRPr="00EE31DC">
                  <w:rPr>
                    <w:rFonts w:ascii="Arial" w:hAnsi="Arial" w:cs="Arial"/>
                    <w:sz w:val="24"/>
                    <w:szCs w:val="24"/>
                    <w:u w:val="single"/>
                  </w:rPr>
                  <w:t>307</w:t>
                </w:r>
                <w:r w:rsidR="008F4B79" w:rsidRPr="00EE31DC">
                  <w:rPr>
                    <w:rFonts w:ascii="Arial" w:hAnsi="Arial" w:cs="Arial"/>
                    <w:sz w:val="24"/>
                    <w:szCs w:val="24"/>
                    <w:u w:val="single"/>
                  </w:rPr>
                  <w:t xml:space="preserve"> </w:t>
                </w:r>
              </w:p>
            </w:tc>
            <w:tc>
              <w:tcPr>
                <w:tcW w:w="993" w:type="dxa"/>
              </w:tcPr>
              <w:p w14:paraId="06D206A8"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118</w:t>
                </w:r>
              </w:p>
              <w:p w14:paraId="2A6A169E"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200</w:t>
                </w:r>
              </w:p>
              <w:p w14:paraId="66D80042" w14:textId="3234F1B2" w:rsidR="008F4B79" w:rsidRPr="00EE31DC" w:rsidRDefault="00D677BA" w:rsidP="00803516">
                <w:pPr>
                  <w:jc w:val="right"/>
                  <w:rPr>
                    <w:rFonts w:ascii="Arial" w:hAnsi="Arial" w:cs="Arial"/>
                    <w:sz w:val="24"/>
                    <w:szCs w:val="24"/>
                    <w:u w:val="single"/>
                  </w:rPr>
                </w:pPr>
                <w:r w:rsidRPr="00EE31DC">
                  <w:rPr>
                    <w:rFonts w:ascii="Arial" w:hAnsi="Arial" w:cs="Arial"/>
                    <w:sz w:val="24"/>
                    <w:szCs w:val="24"/>
                    <w:u w:val="single"/>
                  </w:rPr>
                  <w:t>318</w:t>
                </w:r>
                <w:r w:rsidR="008F4B79" w:rsidRPr="00EE31DC">
                  <w:rPr>
                    <w:rFonts w:ascii="Arial" w:hAnsi="Arial" w:cs="Arial"/>
                    <w:sz w:val="24"/>
                    <w:szCs w:val="24"/>
                    <w:u w:val="single"/>
                  </w:rPr>
                  <w:t xml:space="preserve"> </w:t>
                </w:r>
              </w:p>
            </w:tc>
            <w:tc>
              <w:tcPr>
                <w:tcW w:w="992" w:type="dxa"/>
              </w:tcPr>
              <w:p w14:paraId="30A675C9"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164</w:t>
                </w:r>
              </w:p>
              <w:p w14:paraId="330594C2"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180</w:t>
                </w:r>
              </w:p>
              <w:p w14:paraId="078EE3E2" w14:textId="14BFAC7F" w:rsidR="008F4B79" w:rsidRPr="00EE31DC" w:rsidRDefault="00D677BA" w:rsidP="00803516">
                <w:pPr>
                  <w:jc w:val="right"/>
                  <w:rPr>
                    <w:rFonts w:ascii="Arial" w:hAnsi="Arial" w:cs="Arial"/>
                    <w:sz w:val="24"/>
                    <w:szCs w:val="24"/>
                    <w:u w:val="single"/>
                  </w:rPr>
                </w:pPr>
                <w:r w:rsidRPr="00EE31DC">
                  <w:rPr>
                    <w:rFonts w:ascii="Arial" w:hAnsi="Arial" w:cs="Arial"/>
                    <w:sz w:val="24"/>
                    <w:szCs w:val="24"/>
                    <w:u w:val="single"/>
                  </w:rPr>
                  <w:t>344</w:t>
                </w:r>
                <w:r w:rsidR="008F4B79" w:rsidRPr="00EE31DC">
                  <w:rPr>
                    <w:rFonts w:ascii="Arial" w:hAnsi="Arial" w:cs="Arial"/>
                    <w:sz w:val="24"/>
                    <w:szCs w:val="24"/>
                    <w:u w:val="single"/>
                  </w:rPr>
                  <w:t xml:space="preserve"> </w:t>
                </w:r>
              </w:p>
            </w:tc>
            <w:tc>
              <w:tcPr>
                <w:tcW w:w="992" w:type="dxa"/>
              </w:tcPr>
              <w:p w14:paraId="3B1832E0"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197</w:t>
                </w:r>
              </w:p>
              <w:p w14:paraId="42F3F11C" w14:textId="77777777" w:rsidR="00D677BA" w:rsidRPr="00EE31DC" w:rsidRDefault="00D677BA" w:rsidP="00803516">
                <w:pPr>
                  <w:jc w:val="right"/>
                  <w:rPr>
                    <w:rFonts w:ascii="Arial" w:hAnsi="Arial" w:cs="Arial"/>
                    <w:sz w:val="24"/>
                    <w:szCs w:val="24"/>
                    <w:u w:val="single"/>
                  </w:rPr>
                </w:pPr>
                <w:r w:rsidRPr="00EE31DC">
                  <w:rPr>
                    <w:rFonts w:ascii="Arial" w:hAnsi="Arial" w:cs="Arial"/>
                    <w:sz w:val="24"/>
                    <w:szCs w:val="24"/>
                    <w:u w:val="single"/>
                  </w:rPr>
                  <w:t>195</w:t>
                </w:r>
              </w:p>
              <w:p w14:paraId="0FC90AE7" w14:textId="379C2172" w:rsidR="008F4B79" w:rsidRPr="00EE31DC" w:rsidRDefault="00D677BA" w:rsidP="00803516">
                <w:pPr>
                  <w:jc w:val="right"/>
                  <w:rPr>
                    <w:rFonts w:ascii="Arial" w:hAnsi="Arial" w:cs="Arial"/>
                    <w:sz w:val="24"/>
                    <w:szCs w:val="24"/>
                    <w:u w:val="single"/>
                  </w:rPr>
                </w:pPr>
                <w:r w:rsidRPr="00EE31DC">
                  <w:rPr>
                    <w:rFonts w:ascii="Arial" w:hAnsi="Arial" w:cs="Arial"/>
                    <w:sz w:val="24"/>
                    <w:szCs w:val="24"/>
                    <w:u w:val="single"/>
                  </w:rPr>
                  <w:t>392</w:t>
                </w:r>
                <w:r w:rsidR="008F4B79" w:rsidRPr="00EE31DC">
                  <w:rPr>
                    <w:rFonts w:ascii="Arial" w:hAnsi="Arial" w:cs="Arial"/>
                    <w:sz w:val="24"/>
                    <w:szCs w:val="24"/>
                    <w:u w:val="single"/>
                  </w:rPr>
                  <w:t xml:space="preserve"> </w:t>
                </w:r>
              </w:p>
            </w:tc>
          </w:tr>
          <w:tr w:rsidR="008F4B79" w:rsidRPr="00EE31DC" w14:paraId="5CA577E1" w14:textId="77777777" w:rsidTr="00803516">
            <w:tc>
              <w:tcPr>
                <w:tcW w:w="2551" w:type="dxa"/>
              </w:tcPr>
              <w:p w14:paraId="4AF45FB0" w14:textId="77777777" w:rsidR="008F4B79" w:rsidRPr="00EE31DC" w:rsidRDefault="008F4B79" w:rsidP="00803516">
                <w:pPr>
                  <w:rPr>
                    <w:rFonts w:ascii="Arial" w:hAnsi="Arial" w:cs="Arial"/>
                    <w:sz w:val="24"/>
                    <w:szCs w:val="24"/>
                  </w:rPr>
                </w:pPr>
              </w:p>
            </w:tc>
            <w:tc>
              <w:tcPr>
                <w:tcW w:w="992" w:type="dxa"/>
              </w:tcPr>
              <w:p w14:paraId="1C07BCC7"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92" w:type="dxa"/>
              </w:tcPr>
              <w:p w14:paraId="6FE1EFF6"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64" w:type="dxa"/>
              </w:tcPr>
              <w:p w14:paraId="49BFB01F"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93" w:type="dxa"/>
              </w:tcPr>
              <w:p w14:paraId="59D4638F"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92" w:type="dxa"/>
              </w:tcPr>
              <w:p w14:paraId="43FC5E09"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c>
              <w:tcPr>
                <w:tcW w:w="992" w:type="dxa"/>
              </w:tcPr>
              <w:p w14:paraId="43B04720" w14:textId="77777777" w:rsidR="008F4B79" w:rsidRPr="00EE31DC" w:rsidRDefault="008F4B79" w:rsidP="00803516">
                <w:pPr>
                  <w:jc w:val="right"/>
                  <w:rPr>
                    <w:rFonts w:ascii="Arial" w:hAnsi="Arial" w:cs="Arial"/>
                    <w:sz w:val="24"/>
                    <w:szCs w:val="24"/>
                  </w:rPr>
                </w:pPr>
                <w:r w:rsidRPr="00EE31DC">
                  <w:rPr>
                    <w:rFonts w:ascii="Arial" w:hAnsi="Arial" w:cs="Arial"/>
                    <w:sz w:val="24"/>
                    <w:szCs w:val="24"/>
                  </w:rPr>
                  <w:t xml:space="preserve"> </w:t>
                </w:r>
              </w:p>
            </w:tc>
          </w:tr>
          <w:tr w:rsidR="008F4B79" w:rsidRPr="00EE31DC" w14:paraId="3DDF65BB" w14:textId="77777777" w:rsidTr="00803516">
            <w:tc>
              <w:tcPr>
                <w:tcW w:w="2551" w:type="dxa"/>
              </w:tcPr>
              <w:p w14:paraId="52F4EA19" w14:textId="77777777" w:rsidR="008F4B79" w:rsidRPr="00EE31DC" w:rsidRDefault="008F4B79" w:rsidP="00803516">
                <w:pPr>
                  <w:rPr>
                    <w:rFonts w:ascii="Arial" w:hAnsi="Arial" w:cs="Arial"/>
                    <w:sz w:val="24"/>
                    <w:szCs w:val="24"/>
                  </w:rPr>
                </w:pPr>
                <w:r w:rsidRPr="00EE31DC">
                  <w:rPr>
                    <w:rFonts w:ascii="Arial" w:hAnsi="Arial" w:cs="Arial"/>
                    <w:sz w:val="24"/>
                    <w:szCs w:val="24"/>
                  </w:rPr>
                  <w:t>Cost of Stock sold</w:t>
                </w:r>
              </w:p>
            </w:tc>
            <w:tc>
              <w:tcPr>
                <w:tcW w:w="992" w:type="dxa"/>
              </w:tcPr>
              <w:p w14:paraId="18C5A87C" w14:textId="77777777" w:rsidR="008F4B79" w:rsidRPr="00EE31DC" w:rsidRDefault="008F4B79" w:rsidP="00803516">
                <w:pPr>
                  <w:jc w:val="right"/>
                  <w:rPr>
                    <w:rFonts w:ascii="Arial" w:hAnsi="Arial" w:cs="Arial"/>
                    <w:sz w:val="24"/>
                    <w:szCs w:val="24"/>
                  </w:rPr>
                </w:pPr>
              </w:p>
            </w:tc>
            <w:tc>
              <w:tcPr>
                <w:tcW w:w="992" w:type="dxa"/>
              </w:tcPr>
              <w:p w14:paraId="71DD69FF" w14:textId="77777777" w:rsidR="008F4B79" w:rsidRPr="00EE31DC" w:rsidRDefault="008F4B79" w:rsidP="00803516">
                <w:pPr>
                  <w:jc w:val="right"/>
                  <w:rPr>
                    <w:rFonts w:ascii="Arial" w:hAnsi="Arial" w:cs="Arial"/>
                    <w:sz w:val="24"/>
                    <w:szCs w:val="24"/>
                  </w:rPr>
                </w:pPr>
              </w:p>
            </w:tc>
            <w:tc>
              <w:tcPr>
                <w:tcW w:w="964" w:type="dxa"/>
              </w:tcPr>
              <w:p w14:paraId="56384A61" w14:textId="77777777" w:rsidR="008F4B79" w:rsidRPr="00EE31DC" w:rsidRDefault="008F4B79" w:rsidP="00803516">
                <w:pPr>
                  <w:jc w:val="right"/>
                  <w:rPr>
                    <w:rFonts w:ascii="Arial" w:hAnsi="Arial" w:cs="Arial"/>
                    <w:sz w:val="24"/>
                    <w:szCs w:val="24"/>
                  </w:rPr>
                </w:pPr>
              </w:p>
            </w:tc>
            <w:tc>
              <w:tcPr>
                <w:tcW w:w="993" w:type="dxa"/>
              </w:tcPr>
              <w:p w14:paraId="488A570F" w14:textId="77777777" w:rsidR="008F4B79" w:rsidRPr="00EE31DC" w:rsidRDefault="008F4B79" w:rsidP="00803516">
                <w:pPr>
                  <w:jc w:val="right"/>
                  <w:rPr>
                    <w:rFonts w:ascii="Arial" w:hAnsi="Arial" w:cs="Arial"/>
                    <w:sz w:val="24"/>
                    <w:szCs w:val="24"/>
                  </w:rPr>
                </w:pPr>
              </w:p>
            </w:tc>
            <w:tc>
              <w:tcPr>
                <w:tcW w:w="992" w:type="dxa"/>
              </w:tcPr>
              <w:p w14:paraId="7E3AC2E5" w14:textId="77777777" w:rsidR="008F4B79" w:rsidRPr="00EE31DC" w:rsidRDefault="008F4B79" w:rsidP="00803516">
                <w:pPr>
                  <w:jc w:val="right"/>
                  <w:rPr>
                    <w:rFonts w:ascii="Arial" w:hAnsi="Arial" w:cs="Arial"/>
                    <w:sz w:val="24"/>
                    <w:szCs w:val="24"/>
                  </w:rPr>
                </w:pPr>
              </w:p>
            </w:tc>
            <w:tc>
              <w:tcPr>
                <w:tcW w:w="992" w:type="dxa"/>
              </w:tcPr>
              <w:p w14:paraId="2F53D356" w14:textId="77777777" w:rsidR="008F4B79" w:rsidRPr="00EE31DC" w:rsidRDefault="008F4B79" w:rsidP="00803516">
                <w:pPr>
                  <w:jc w:val="right"/>
                  <w:rPr>
                    <w:rFonts w:ascii="Arial" w:hAnsi="Arial" w:cs="Arial"/>
                    <w:sz w:val="24"/>
                    <w:szCs w:val="24"/>
                  </w:rPr>
                </w:pPr>
              </w:p>
            </w:tc>
          </w:tr>
          <w:tr w:rsidR="008F4B79" w:rsidRPr="00EE31DC" w14:paraId="42432D2F" w14:textId="77777777" w:rsidTr="00803516">
            <w:tc>
              <w:tcPr>
                <w:tcW w:w="2551" w:type="dxa"/>
              </w:tcPr>
              <w:p w14:paraId="3E4E8875" w14:textId="5B04111D" w:rsidR="008F4B79" w:rsidRPr="00EE31DC" w:rsidRDefault="008F4B79" w:rsidP="00803516">
                <w:pPr>
                  <w:rPr>
                    <w:rFonts w:ascii="Arial" w:hAnsi="Arial" w:cs="Arial"/>
                    <w:sz w:val="24"/>
                    <w:szCs w:val="24"/>
                  </w:rPr>
                </w:pPr>
                <w:r w:rsidRPr="00EE31DC">
                  <w:rPr>
                    <w:rFonts w:ascii="Arial" w:hAnsi="Arial" w:cs="Arial"/>
                    <w:sz w:val="24"/>
                    <w:szCs w:val="24"/>
                  </w:rPr>
                  <w:t>(</w:t>
                </w:r>
                <w:r w:rsidR="00D677BA" w:rsidRPr="00EE31DC">
                  <w:rPr>
                    <w:rFonts w:ascii="Arial" w:hAnsi="Arial" w:cs="Arial"/>
                    <w:sz w:val="24"/>
                    <w:szCs w:val="24"/>
                  </w:rPr>
                  <w:t>7</w:t>
                </w:r>
                <w:r w:rsidRPr="00EE31DC">
                  <w:rPr>
                    <w:rFonts w:ascii="Arial" w:hAnsi="Arial" w:cs="Arial"/>
                    <w:sz w:val="24"/>
                    <w:szCs w:val="24"/>
                  </w:rPr>
                  <w:t>0% of sales)</w:t>
                </w:r>
              </w:p>
            </w:tc>
            <w:tc>
              <w:tcPr>
                <w:tcW w:w="992" w:type="dxa"/>
              </w:tcPr>
              <w:p w14:paraId="65D5BBF4" w14:textId="7FCDF4AF"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w:t>
                </w:r>
                <w:r w:rsidR="00D677BA" w:rsidRPr="00EE31DC">
                  <w:rPr>
                    <w:rFonts w:ascii="Arial" w:hAnsi="Arial" w:cs="Arial"/>
                    <w:sz w:val="24"/>
                    <w:szCs w:val="24"/>
                    <w:u w:val="single"/>
                  </w:rPr>
                  <w:t>123</w:t>
                </w:r>
                <w:r w:rsidRPr="00EE31DC">
                  <w:rPr>
                    <w:rFonts w:ascii="Arial" w:hAnsi="Arial" w:cs="Arial"/>
                    <w:sz w:val="24"/>
                    <w:szCs w:val="24"/>
                    <w:u w:val="single"/>
                  </w:rPr>
                  <w:t>)</w:t>
                </w:r>
              </w:p>
            </w:tc>
            <w:tc>
              <w:tcPr>
                <w:tcW w:w="992" w:type="dxa"/>
              </w:tcPr>
              <w:p w14:paraId="53987C78" w14:textId="1434411B"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w:t>
                </w:r>
                <w:r w:rsidR="00D677BA" w:rsidRPr="00EE31DC">
                  <w:rPr>
                    <w:rFonts w:ascii="Arial" w:hAnsi="Arial" w:cs="Arial"/>
                    <w:sz w:val="24"/>
                    <w:szCs w:val="24"/>
                    <w:u w:val="single"/>
                  </w:rPr>
                  <w:t>104</w:t>
                </w:r>
                <w:r w:rsidRPr="00EE31DC">
                  <w:rPr>
                    <w:rFonts w:ascii="Arial" w:hAnsi="Arial" w:cs="Arial"/>
                    <w:sz w:val="24"/>
                    <w:szCs w:val="24"/>
                    <w:u w:val="single"/>
                  </w:rPr>
                  <w:t>)</w:t>
                </w:r>
              </w:p>
            </w:tc>
            <w:tc>
              <w:tcPr>
                <w:tcW w:w="964" w:type="dxa"/>
              </w:tcPr>
              <w:p w14:paraId="1BEBF8F6" w14:textId="16102653"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w:t>
                </w:r>
                <w:r w:rsidR="00D677BA" w:rsidRPr="00EE31DC">
                  <w:rPr>
                    <w:rFonts w:ascii="Arial" w:hAnsi="Arial" w:cs="Arial"/>
                    <w:sz w:val="24"/>
                    <w:szCs w:val="24"/>
                    <w:u w:val="single"/>
                  </w:rPr>
                  <w:t>118</w:t>
                </w:r>
                <w:r w:rsidRPr="00EE31DC">
                  <w:rPr>
                    <w:rFonts w:ascii="Arial" w:hAnsi="Arial" w:cs="Arial"/>
                    <w:sz w:val="24"/>
                    <w:szCs w:val="24"/>
                    <w:u w:val="single"/>
                  </w:rPr>
                  <w:t>)</w:t>
                </w:r>
              </w:p>
            </w:tc>
            <w:tc>
              <w:tcPr>
                <w:tcW w:w="993" w:type="dxa"/>
              </w:tcPr>
              <w:p w14:paraId="46BAC863" w14:textId="2AA64A77"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w:t>
                </w:r>
                <w:r w:rsidR="00D677BA" w:rsidRPr="00EE31DC">
                  <w:rPr>
                    <w:rFonts w:ascii="Arial" w:hAnsi="Arial" w:cs="Arial"/>
                    <w:sz w:val="24"/>
                    <w:szCs w:val="24"/>
                    <w:u w:val="single"/>
                  </w:rPr>
                  <w:t>164</w:t>
                </w:r>
                <w:r w:rsidRPr="00EE31DC">
                  <w:rPr>
                    <w:rFonts w:ascii="Arial" w:hAnsi="Arial" w:cs="Arial"/>
                    <w:sz w:val="24"/>
                    <w:szCs w:val="24"/>
                    <w:u w:val="single"/>
                  </w:rPr>
                  <w:t>)</w:t>
                </w:r>
              </w:p>
            </w:tc>
            <w:tc>
              <w:tcPr>
                <w:tcW w:w="992" w:type="dxa"/>
              </w:tcPr>
              <w:p w14:paraId="06A661B3" w14:textId="4B1E6FB1"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w:t>
                </w:r>
                <w:r w:rsidR="00D677BA" w:rsidRPr="00EE31DC">
                  <w:rPr>
                    <w:rFonts w:ascii="Arial" w:hAnsi="Arial" w:cs="Arial"/>
                    <w:sz w:val="24"/>
                    <w:szCs w:val="24"/>
                    <w:u w:val="single"/>
                  </w:rPr>
                  <w:t>197</w:t>
                </w:r>
                <w:r w:rsidRPr="00EE31DC">
                  <w:rPr>
                    <w:rFonts w:ascii="Arial" w:hAnsi="Arial" w:cs="Arial"/>
                    <w:sz w:val="24"/>
                    <w:szCs w:val="24"/>
                    <w:u w:val="single"/>
                  </w:rPr>
                  <w:t>)</w:t>
                </w:r>
              </w:p>
            </w:tc>
            <w:tc>
              <w:tcPr>
                <w:tcW w:w="992" w:type="dxa"/>
              </w:tcPr>
              <w:p w14:paraId="37FEBA70" w14:textId="1E95D423"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w:t>
                </w:r>
                <w:r w:rsidR="00D677BA" w:rsidRPr="00EE31DC">
                  <w:rPr>
                    <w:rFonts w:ascii="Arial" w:hAnsi="Arial" w:cs="Arial"/>
                    <w:sz w:val="24"/>
                    <w:szCs w:val="24"/>
                    <w:u w:val="single"/>
                  </w:rPr>
                  <w:t>259</w:t>
                </w:r>
                <w:r w:rsidRPr="00EE31DC">
                  <w:rPr>
                    <w:rFonts w:ascii="Arial" w:hAnsi="Arial" w:cs="Arial"/>
                    <w:sz w:val="24"/>
                    <w:szCs w:val="24"/>
                    <w:u w:val="single"/>
                  </w:rPr>
                  <w:t>)</w:t>
                </w:r>
              </w:p>
            </w:tc>
          </w:tr>
          <w:tr w:rsidR="008F4B79" w:rsidRPr="00EE31DC" w14:paraId="1A4C0D6B" w14:textId="77777777" w:rsidTr="00803516">
            <w:tc>
              <w:tcPr>
                <w:tcW w:w="2551" w:type="dxa"/>
              </w:tcPr>
              <w:p w14:paraId="26293D64" w14:textId="3AF8C13A" w:rsidR="008F4B79" w:rsidRPr="00EE31DC" w:rsidRDefault="00D677BA" w:rsidP="00803516">
                <w:pPr>
                  <w:rPr>
                    <w:rFonts w:ascii="Arial" w:hAnsi="Arial" w:cs="Arial"/>
                    <w:sz w:val="24"/>
                    <w:szCs w:val="24"/>
                  </w:rPr>
                </w:pPr>
                <w:r w:rsidRPr="00EE31DC">
                  <w:rPr>
                    <w:rFonts w:ascii="Arial" w:hAnsi="Arial" w:cs="Arial"/>
                    <w:sz w:val="24"/>
                    <w:szCs w:val="24"/>
                  </w:rPr>
                  <w:t>Therefore,</w:t>
                </w:r>
                <w:r w:rsidR="008F4B79" w:rsidRPr="00EE31DC">
                  <w:rPr>
                    <w:rFonts w:ascii="Arial" w:hAnsi="Arial" w:cs="Arial"/>
                    <w:sz w:val="24"/>
                    <w:szCs w:val="24"/>
                  </w:rPr>
                  <w:t xml:space="preserve"> Closing stock</w:t>
                </w:r>
              </w:p>
            </w:tc>
            <w:tc>
              <w:tcPr>
                <w:tcW w:w="992" w:type="dxa"/>
              </w:tcPr>
              <w:p w14:paraId="1724EC96" w14:textId="77777777"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 xml:space="preserve">   </w:t>
                </w:r>
              </w:p>
            </w:tc>
            <w:tc>
              <w:tcPr>
                <w:tcW w:w="992" w:type="dxa"/>
              </w:tcPr>
              <w:p w14:paraId="7E95065D" w14:textId="77777777"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 xml:space="preserve">   </w:t>
                </w:r>
              </w:p>
            </w:tc>
            <w:tc>
              <w:tcPr>
                <w:tcW w:w="964" w:type="dxa"/>
              </w:tcPr>
              <w:p w14:paraId="36220FC1" w14:textId="77777777"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 xml:space="preserve">     </w:t>
                </w:r>
              </w:p>
            </w:tc>
            <w:tc>
              <w:tcPr>
                <w:tcW w:w="993" w:type="dxa"/>
              </w:tcPr>
              <w:p w14:paraId="53C31D3A" w14:textId="77777777"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 xml:space="preserve"> </w:t>
                </w:r>
              </w:p>
            </w:tc>
            <w:tc>
              <w:tcPr>
                <w:tcW w:w="992" w:type="dxa"/>
              </w:tcPr>
              <w:p w14:paraId="7F452A29" w14:textId="77777777"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 xml:space="preserve"> </w:t>
                </w:r>
              </w:p>
            </w:tc>
            <w:tc>
              <w:tcPr>
                <w:tcW w:w="992" w:type="dxa"/>
              </w:tcPr>
              <w:p w14:paraId="1B6F5CE9" w14:textId="77777777"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 xml:space="preserve"> </w:t>
                </w:r>
              </w:p>
            </w:tc>
          </w:tr>
        </w:tbl>
        <w:p w14:paraId="72AB933E" w14:textId="77777777" w:rsidR="008F4B79" w:rsidRPr="00EE31DC" w:rsidRDefault="008F4B79" w:rsidP="008F4B79">
          <w:pPr>
            <w:spacing w:line="240" w:lineRule="auto"/>
            <w:ind w:left="360" w:firstLine="360"/>
            <w:rPr>
              <w:rFonts w:ascii="Arial" w:hAnsi="Arial" w:cs="Arial"/>
              <w:sz w:val="24"/>
              <w:szCs w:val="24"/>
            </w:rPr>
          </w:pPr>
        </w:p>
        <w:p w14:paraId="3B3C9567" w14:textId="77777777" w:rsidR="008F4B79" w:rsidRPr="00EE31DC" w:rsidRDefault="008F4B79" w:rsidP="008F4B79">
          <w:pPr>
            <w:pStyle w:val="ListParagraph"/>
            <w:numPr>
              <w:ilvl w:val="0"/>
              <w:numId w:val="1"/>
            </w:numPr>
            <w:ind w:left="851"/>
            <w:jc w:val="both"/>
            <w:rPr>
              <w:rFonts w:ascii="Arial" w:hAnsi="Arial" w:cs="Arial"/>
              <w:sz w:val="24"/>
              <w:szCs w:val="24"/>
            </w:rPr>
          </w:pPr>
          <w:r w:rsidRPr="00EE31DC">
            <w:rPr>
              <w:rFonts w:ascii="Arial" w:hAnsi="Arial" w:cs="Arial"/>
              <w:sz w:val="24"/>
              <w:szCs w:val="24"/>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rsidRPr="00EE31DC" w14:paraId="06B9D7C0" w14:textId="77777777" w:rsidTr="00803516">
            <w:tc>
              <w:tcPr>
                <w:tcW w:w="3260" w:type="dxa"/>
              </w:tcPr>
              <w:p w14:paraId="1E3C6F34" w14:textId="77777777" w:rsidR="008F4B79" w:rsidRPr="00EE31DC" w:rsidRDefault="008F4B79" w:rsidP="00803516">
                <w:pPr>
                  <w:jc w:val="center"/>
                  <w:rPr>
                    <w:rFonts w:ascii="Arial" w:hAnsi="Arial" w:cs="Arial"/>
                    <w:sz w:val="24"/>
                    <w:szCs w:val="24"/>
                  </w:rPr>
                </w:pPr>
              </w:p>
            </w:tc>
            <w:tc>
              <w:tcPr>
                <w:tcW w:w="992" w:type="dxa"/>
              </w:tcPr>
              <w:p w14:paraId="0F82EF1E" w14:textId="77777777" w:rsidR="008F4B79" w:rsidRPr="00EE31DC" w:rsidRDefault="008F4B79" w:rsidP="00803516">
                <w:pPr>
                  <w:jc w:val="center"/>
                  <w:rPr>
                    <w:rFonts w:ascii="Arial" w:hAnsi="Arial" w:cs="Arial"/>
                    <w:b/>
                    <w:sz w:val="24"/>
                    <w:szCs w:val="24"/>
                  </w:rPr>
                </w:pPr>
                <w:r w:rsidRPr="00EE31DC">
                  <w:rPr>
                    <w:rFonts w:ascii="Arial" w:hAnsi="Arial" w:cs="Arial"/>
                    <w:b/>
                    <w:sz w:val="24"/>
                    <w:szCs w:val="24"/>
                  </w:rPr>
                  <w:t>June</w:t>
                </w:r>
              </w:p>
            </w:tc>
            <w:tc>
              <w:tcPr>
                <w:tcW w:w="992" w:type="dxa"/>
              </w:tcPr>
              <w:p w14:paraId="2D1C017B" w14:textId="77777777" w:rsidR="008F4B79" w:rsidRPr="00EE31DC" w:rsidRDefault="008F4B79" w:rsidP="00803516">
                <w:pPr>
                  <w:jc w:val="center"/>
                  <w:rPr>
                    <w:rFonts w:ascii="Arial" w:hAnsi="Arial" w:cs="Arial"/>
                    <w:b/>
                    <w:sz w:val="24"/>
                    <w:szCs w:val="24"/>
                  </w:rPr>
                </w:pPr>
                <w:r w:rsidRPr="00EE31DC">
                  <w:rPr>
                    <w:rFonts w:ascii="Arial" w:hAnsi="Arial" w:cs="Arial"/>
                    <w:b/>
                    <w:sz w:val="24"/>
                    <w:szCs w:val="24"/>
                  </w:rPr>
                  <w:t>July</w:t>
                </w:r>
              </w:p>
            </w:tc>
            <w:tc>
              <w:tcPr>
                <w:tcW w:w="993" w:type="dxa"/>
              </w:tcPr>
              <w:p w14:paraId="26718C46" w14:textId="77777777" w:rsidR="008F4B79" w:rsidRPr="00EE31DC" w:rsidRDefault="008F4B79" w:rsidP="00803516">
                <w:pPr>
                  <w:jc w:val="center"/>
                  <w:rPr>
                    <w:rFonts w:ascii="Arial" w:hAnsi="Arial" w:cs="Arial"/>
                    <w:b/>
                    <w:sz w:val="24"/>
                    <w:szCs w:val="24"/>
                  </w:rPr>
                </w:pPr>
                <w:r w:rsidRPr="00EE31DC">
                  <w:rPr>
                    <w:rFonts w:ascii="Arial" w:hAnsi="Arial" w:cs="Arial"/>
                    <w:b/>
                    <w:sz w:val="24"/>
                    <w:szCs w:val="24"/>
                  </w:rPr>
                  <w:t>Aug</w:t>
                </w:r>
              </w:p>
            </w:tc>
            <w:tc>
              <w:tcPr>
                <w:tcW w:w="992" w:type="dxa"/>
              </w:tcPr>
              <w:p w14:paraId="6D1F22EF" w14:textId="77777777" w:rsidR="008F4B79" w:rsidRPr="00EE31DC" w:rsidRDefault="008F4B79" w:rsidP="00803516">
                <w:pPr>
                  <w:jc w:val="center"/>
                  <w:rPr>
                    <w:rFonts w:ascii="Arial" w:hAnsi="Arial" w:cs="Arial"/>
                    <w:b/>
                    <w:sz w:val="24"/>
                    <w:szCs w:val="24"/>
                  </w:rPr>
                </w:pPr>
                <w:r w:rsidRPr="00EE31DC">
                  <w:rPr>
                    <w:rFonts w:ascii="Arial" w:hAnsi="Arial" w:cs="Arial"/>
                    <w:b/>
                    <w:sz w:val="24"/>
                    <w:szCs w:val="24"/>
                  </w:rPr>
                  <w:t>Sept</w:t>
                </w:r>
              </w:p>
            </w:tc>
            <w:tc>
              <w:tcPr>
                <w:tcW w:w="992" w:type="dxa"/>
              </w:tcPr>
              <w:p w14:paraId="5E8C0BEE" w14:textId="77777777" w:rsidR="008F4B79" w:rsidRPr="00EE31DC" w:rsidRDefault="008F4B79" w:rsidP="00803516">
                <w:pPr>
                  <w:jc w:val="center"/>
                  <w:rPr>
                    <w:rFonts w:ascii="Arial" w:hAnsi="Arial" w:cs="Arial"/>
                    <w:b/>
                    <w:sz w:val="24"/>
                    <w:szCs w:val="24"/>
                  </w:rPr>
                </w:pPr>
                <w:r w:rsidRPr="00EE31DC">
                  <w:rPr>
                    <w:rFonts w:ascii="Arial" w:hAnsi="Arial" w:cs="Arial"/>
                    <w:b/>
                    <w:sz w:val="24"/>
                    <w:szCs w:val="24"/>
                  </w:rPr>
                  <w:t>Oct</w:t>
                </w:r>
              </w:p>
            </w:tc>
            <w:tc>
              <w:tcPr>
                <w:tcW w:w="992" w:type="dxa"/>
              </w:tcPr>
              <w:p w14:paraId="3DB292E3" w14:textId="77777777" w:rsidR="008F4B79" w:rsidRPr="00EE31DC" w:rsidRDefault="008F4B79" w:rsidP="00803516">
                <w:pPr>
                  <w:jc w:val="center"/>
                  <w:rPr>
                    <w:rFonts w:ascii="Arial" w:hAnsi="Arial" w:cs="Arial"/>
                    <w:b/>
                    <w:sz w:val="24"/>
                    <w:szCs w:val="24"/>
                  </w:rPr>
                </w:pPr>
                <w:r w:rsidRPr="00EE31DC">
                  <w:rPr>
                    <w:rFonts w:ascii="Arial" w:hAnsi="Arial" w:cs="Arial"/>
                    <w:b/>
                    <w:sz w:val="24"/>
                    <w:szCs w:val="24"/>
                  </w:rPr>
                  <w:t>Nov</w:t>
                </w:r>
              </w:p>
            </w:tc>
          </w:tr>
          <w:tr w:rsidR="008F4B79" w:rsidRPr="00EE31DC" w14:paraId="387BECA4" w14:textId="77777777" w:rsidTr="00803516">
            <w:tc>
              <w:tcPr>
                <w:tcW w:w="3260" w:type="dxa"/>
              </w:tcPr>
              <w:p w14:paraId="22968697" w14:textId="77777777" w:rsidR="008F4B79" w:rsidRPr="00EE31DC" w:rsidRDefault="008F4B79" w:rsidP="00803516">
                <w:pPr>
                  <w:rPr>
                    <w:rFonts w:ascii="Arial" w:hAnsi="Arial" w:cs="Arial"/>
                    <w:sz w:val="24"/>
                    <w:szCs w:val="24"/>
                  </w:rPr>
                </w:pPr>
              </w:p>
            </w:tc>
            <w:tc>
              <w:tcPr>
                <w:tcW w:w="992" w:type="dxa"/>
              </w:tcPr>
              <w:p w14:paraId="03B61E49"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£000</w:t>
                </w:r>
              </w:p>
            </w:tc>
            <w:tc>
              <w:tcPr>
                <w:tcW w:w="992" w:type="dxa"/>
              </w:tcPr>
              <w:p w14:paraId="7CB4784F"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£000</w:t>
                </w:r>
              </w:p>
            </w:tc>
            <w:tc>
              <w:tcPr>
                <w:tcW w:w="993" w:type="dxa"/>
              </w:tcPr>
              <w:p w14:paraId="32786BD5"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£000</w:t>
                </w:r>
              </w:p>
            </w:tc>
            <w:tc>
              <w:tcPr>
                <w:tcW w:w="992" w:type="dxa"/>
              </w:tcPr>
              <w:p w14:paraId="50CD8B0B"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£000</w:t>
                </w:r>
              </w:p>
            </w:tc>
            <w:tc>
              <w:tcPr>
                <w:tcW w:w="992" w:type="dxa"/>
              </w:tcPr>
              <w:p w14:paraId="785BF577"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£000</w:t>
                </w:r>
              </w:p>
            </w:tc>
            <w:tc>
              <w:tcPr>
                <w:tcW w:w="992" w:type="dxa"/>
              </w:tcPr>
              <w:p w14:paraId="7AE4D994"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£000</w:t>
                </w:r>
              </w:p>
            </w:tc>
          </w:tr>
          <w:tr w:rsidR="008F4B79" w:rsidRPr="00EE31DC" w14:paraId="7E9282B2" w14:textId="77777777" w:rsidTr="00803516">
            <w:tc>
              <w:tcPr>
                <w:tcW w:w="3260" w:type="dxa"/>
              </w:tcPr>
              <w:p w14:paraId="05321C62" w14:textId="77777777" w:rsidR="008F4B79" w:rsidRPr="00EE31DC" w:rsidRDefault="008F4B79" w:rsidP="00803516">
                <w:pPr>
                  <w:rPr>
                    <w:rFonts w:ascii="Arial" w:hAnsi="Arial" w:cs="Arial"/>
                    <w:b/>
                    <w:sz w:val="24"/>
                    <w:szCs w:val="24"/>
                  </w:rPr>
                </w:pPr>
                <w:r w:rsidRPr="00EE31DC">
                  <w:rPr>
                    <w:rFonts w:ascii="Arial" w:hAnsi="Arial" w:cs="Arial"/>
                    <w:b/>
                    <w:sz w:val="24"/>
                    <w:szCs w:val="24"/>
                  </w:rPr>
                  <w:t xml:space="preserve">Cash </w:t>
                </w:r>
                <w:proofErr w:type="gramStart"/>
                <w:r w:rsidRPr="00EE31DC">
                  <w:rPr>
                    <w:rFonts w:ascii="Arial" w:hAnsi="Arial" w:cs="Arial"/>
                    <w:b/>
                    <w:sz w:val="24"/>
                    <w:szCs w:val="24"/>
                  </w:rPr>
                  <w:t>receipts</w:t>
                </w:r>
                <w:proofErr w:type="gramEnd"/>
                <w:r w:rsidRPr="00EE31DC">
                  <w:rPr>
                    <w:rFonts w:ascii="Arial" w:hAnsi="Arial" w:cs="Arial"/>
                    <w:b/>
                    <w:sz w:val="24"/>
                    <w:szCs w:val="24"/>
                  </w:rPr>
                  <w:t xml:space="preserve"> </w:t>
                </w:r>
              </w:p>
              <w:p w14:paraId="6E77960B" w14:textId="678E6E04" w:rsidR="008F4B79" w:rsidRPr="00EE31DC" w:rsidRDefault="008F4B79" w:rsidP="00803516">
                <w:pPr>
                  <w:rPr>
                    <w:rFonts w:ascii="Arial" w:hAnsi="Arial" w:cs="Arial"/>
                    <w:sz w:val="24"/>
                    <w:szCs w:val="24"/>
                  </w:rPr>
                </w:pPr>
                <w:r w:rsidRPr="00EE31DC">
                  <w:rPr>
                    <w:rFonts w:ascii="Arial" w:hAnsi="Arial" w:cs="Arial"/>
                    <w:sz w:val="24"/>
                    <w:szCs w:val="24"/>
                  </w:rPr>
                  <w:t xml:space="preserve">Sales net of  </w:t>
                </w:r>
              </w:p>
            </w:tc>
            <w:tc>
              <w:tcPr>
                <w:tcW w:w="992" w:type="dxa"/>
              </w:tcPr>
              <w:p w14:paraId="7CC417E8" w14:textId="77777777" w:rsidR="008F4B79" w:rsidRPr="00EE31DC" w:rsidRDefault="008F4B79" w:rsidP="00803516">
                <w:pPr>
                  <w:jc w:val="center"/>
                  <w:rPr>
                    <w:rFonts w:ascii="Arial" w:hAnsi="Arial" w:cs="Arial"/>
                    <w:sz w:val="24"/>
                    <w:szCs w:val="24"/>
                  </w:rPr>
                </w:pPr>
              </w:p>
              <w:p w14:paraId="09D61F7D" w14:textId="15A57182" w:rsidR="008F4B79" w:rsidRPr="00EE31DC" w:rsidRDefault="008F4B79" w:rsidP="00803516">
                <w:pPr>
                  <w:jc w:val="center"/>
                  <w:rPr>
                    <w:rFonts w:ascii="Arial" w:hAnsi="Arial" w:cs="Arial"/>
                    <w:sz w:val="24"/>
                    <w:szCs w:val="24"/>
                  </w:rPr>
                </w:pPr>
                <w:r w:rsidRPr="00EE31DC">
                  <w:rPr>
                    <w:rFonts w:ascii="Arial" w:hAnsi="Arial" w:cs="Arial"/>
                    <w:sz w:val="24"/>
                    <w:szCs w:val="24"/>
                  </w:rPr>
                  <w:t xml:space="preserve"> </w:t>
                </w:r>
                <w:r w:rsidR="00D677BA" w:rsidRPr="00EE31DC">
                  <w:rPr>
                    <w:rFonts w:ascii="Arial" w:hAnsi="Arial" w:cs="Arial"/>
                    <w:sz w:val="24"/>
                    <w:szCs w:val="24"/>
                  </w:rPr>
                  <w:t>255</w:t>
                </w:r>
              </w:p>
            </w:tc>
            <w:tc>
              <w:tcPr>
                <w:tcW w:w="992" w:type="dxa"/>
              </w:tcPr>
              <w:p w14:paraId="7682A9CA" w14:textId="77777777" w:rsidR="008F4B79" w:rsidRPr="00EE31DC" w:rsidRDefault="008F4B79" w:rsidP="00803516">
                <w:pPr>
                  <w:jc w:val="center"/>
                  <w:rPr>
                    <w:rFonts w:ascii="Arial" w:hAnsi="Arial" w:cs="Arial"/>
                    <w:sz w:val="24"/>
                    <w:szCs w:val="24"/>
                  </w:rPr>
                </w:pPr>
              </w:p>
              <w:p w14:paraId="0DB8B11B" w14:textId="18F1CABF" w:rsidR="008F4B79" w:rsidRPr="00EE31DC" w:rsidRDefault="006A64AD" w:rsidP="00803516">
                <w:pPr>
                  <w:jc w:val="center"/>
                  <w:rPr>
                    <w:rFonts w:ascii="Arial" w:hAnsi="Arial" w:cs="Arial"/>
                    <w:sz w:val="24"/>
                    <w:szCs w:val="24"/>
                  </w:rPr>
                </w:pPr>
                <w:r w:rsidRPr="00EE31DC">
                  <w:rPr>
                    <w:rFonts w:ascii="Arial" w:hAnsi="Arial" w:cs="Arial"/>
                    <w:sz w:val="24"/>
                    <w:szCs w:val="24"/>
                  </w:rPr>
                  <w:t>265</w:t>
                </w:r>
                <w:r w:rsidR="008F4B79" w:rsidRPr="00EE31DC">
                  <w:rPr>
                    <w:rFonts w:ascii="Arial" w:hAnsi="Arial" w:cs="Arial"/>
                    <w:sz w:val="24"/>
                    <w:szCs w:val="24"/>
                  </w:rPr>
                  <w:t xml:space="preserve"> </w:t>
                </w:r>
              </w:p>
            </w:tc>
            <w:tc>
              <w:tcPr>
                <w:tcW w:w="993" w:type="dxa"/>
              </w:tcPr>
              <w:p w14:paraId="016F2311" w14:textId="77777777" w:rsidR="008F4B79" w:rsidRPr="00EE31DC" w:rsidRDefault="008F4B79" w:rsidP="00803516">
                <w:pPr>
                  <w:jc w:val="center"/>
                  <w:rPr>
                    <w:rFonts w:ascii="Arial" w:hAnsi="Arial" w:cs="Arial"/>
                    <w:sz w:val="24"/>
                    <w:szCs w:val="24"/>
                  </w:rPr>
                </w:pPr>
              </w:p>
              <w:p w14:paraId="1FA0F6E1" w14:textId="01D210E6" w:rsidR="008F4B79" w:rsidRPr="00EE31DC" w:rsidRDefault="008F4B79" w:rsidP="00803516">
                <w:pPr>
                  <w:jc w:val="center"/>
                  <w:rPr>
                    <w:rFonts w:ascii="Arial" w:hAnsi="Arial" w:cs="Arial"/>
                    <w:sz w:val="24"/>
                    <w:szCs w:val="24"/>
                  </w:rPr>
                </w:pPr>
                <w:r w:rsidRPr="00EE31DC">
                  <w:rPr>
                    <w:rFonts w:ascii="Arial" w:hAnsi="Arial" w:cs="Arial"/>
                    <w:sz w:val="24"/>
                    <w:szCs w:val="24"/>
                  </w:rPr>
                  <w:t xml:space="preserve"> </w:t>
                </w:r>
                <w:r w:rsidR="006A64AD" w:rsidRPr="00EE31DC">
                  <w:rPr>
                    <w:rFonts w:ascii="Arial" w:hAnsi="Arial" w:cs="Arial"/>
                    <w:sz w:val="24"/>
                    <w:szCs w:val="24"/>
                  </w:rPr>
                  <w:t>265</w:t>
                </w:r>
              </w:p>
            </w:tc>
            <w:tc>
              <w:tcPr>
                <w:tcW w:w="992" w:type="dxa"/>
              </w:tcPr>
              <w:p w14:paraId="7D2BD5F3" w14:textId="77777777" w:rsidR="008F4B79" w:rsidRPr="00EE31DC" w:rsidRDefault="008F4B79" w:rsidP="00803516">
                <w:pPr>
                  <w:jc w:val="center"/>
                  <w:rPr>
                    <w:rFonts w:ascii="Arial" w:hAnsi="Arial" w:cs="Arial"/>
                    <w:sz w:val="24"/>
                    <w:szCs w:val="24"/>
                  </w:rPr>
                </w:pPr>
              </w:p>
              <w:p w14:paraId="15BBCA2C" w14:textId="3AFF279A" w:rsidR="008F4B79" w:rsidRPr="00EE31DC" w:rsidRDefault="008F4B79" w:rsidP="00803516">
                <w:pPr>
                  <w:jc w:val="center"/>
                  <w:rPr>
                    <w:rFonts w:ascii="Arial" w:hAnsi="Arial" w:cs="Arial"/>
                    <w:sz w:val="24"/>
                    <w:szCs w:val="24"/>
                  </w:rPr>
                </w:pPr>
                <w:r w:rsidRPr="00EE31DC">
                  <w:rPr>
                    <w:rFonts w:ascii="Arial" w:hAnsi="Arial" w:cs="Arial"/>
                    <w:sz w:val="24"/>
                    <w:szCs w:val="24"/>
                  </w:rPr>
                  <w:t xml:space="preserve"> </w:t>
                </w:r>
                <w:r w:rsidR="006A64AD" w:rsidRPr="00EE31DC">
                  <w:rPr>
                    <w:rFonts w:ascii="Arial" w:hAnsi="Arial" w:cs="Arial"/>
                    <w:sz w:val="24"/>
                    <w:szCs w:val="24"/>
                  </w:rPr>
                  <w:t>216</w:t>
                </w:r>
              </w:p>
            </w:tc>
            <w:tc>
              <w:tcPr>
                <w:tcW w:w="992" w:type="dxa"/>
              </w:tcPr>
              <w:p w14:paraId="6047B1A8" w14:textId="77777777" w:rsidR="008F4B79" w:rsidRPr="00EE31DC" w:rsidRDefault="008F4B79" w:rsidP="00803516">
                <w:pPr>
                  <w:jc w:val="center"/>
                  <w:rPr>
                    <w:rFonts w:ascii="Arial" w:hAnsi="Arial" w:cs="Arial"/>
                    <w:sz w:val="24"/>
                    <w:szCs w:val="24"/>
                  </w:rPr>
                </w:pPr>
              </w:p>
              <w:p w14:paraId="3977524C" w14:textId="008F3B7A" w:rsidR="008F4B79" w:rsidRPr="00EE31DC" w:rsidRDefault="006A64AD" w:rsidP="00803516">
                <w:pPr>
                  <w:jc w:val="center"/>
                  <w:rPr>
                    <w:rFonts w:ascii="Arial" w:hAnsi="Arial" w:cs="Arial"/>
                    <w:sz w:val="24"/>
                    <w:szCs w:val="24"/>
                  </w:rPr>
                </w:pPr>
                <w:r w:rsidRPr="00EE31DC">
                  <w:rPr>
                    <w:rFonts w:ascii="Arial" w:hAnsi="Arial" w:cs="Arial"/>
                    <w:sz w:val="24"/>
                    <w:szCs w:val="24"/>
                  </w:rPr>
                  <w:t>206</w:t>
                </w:r>
                <w:r w:rsidR="008F4B79" w:rsidRPr="00EE31DC">
                  <w:rPr>
                    <w:rFonts w:ascii="Arial" w:hAnsi="Arial" w:cs="Arial"/>
                    <w:sz w:val="24"/>
                    <w:szCs w:val="24"/>
                  </w:rPr>
                  <w:t xml:space="preserve"> </w:t>
                </w:r>
              </w:p>
            </w:tc>
            <w:tc>
              <w:tcPr>
                <w:tcW w:w="992" w:type="dxa"/>
              </w:tcPr>
              <w:p w14:paraId="319D0667" w14:textId="77777777" w:rsidR="008F4B79" w:rsidRPr="00EE31DC" w:rsidRDefault="008F4B79" w:rsidP="00803516">
                <w:pPr>
                  <w:jc w:val="center"/>
                  <w:rPr>
                    <w:rFonts w:ascii="Arial" w:hAnsi="Arial" w:cs="Arial"/>
                    <w:sz w:val="24"/>
                    <w:szCs w:val="24"/>
                  </w:rPr>
                </w:pPr>
              </w:p>
              <w:p w14:paraId="700B5A42" w14:textId="6E441466" w:rsidR="008F4B79" w:rsidRPr="00EE31DC" w:rsidRDefault="006A64AD" w:rsidP="00803516">
                <w:pPr>
                  <w:jc w:val="center"/>
                  <w:rPr>
                    <w:rFonts w:ascii="Arial" w:hAnsi="Arial" w:cs="Arial"/>
                    <w:sz w:val="24"/>
                    <w:szCs w:val="24"/>
                  </w:rPr>
                </w:pPr>
                <w:r w:rsidRPr="00EE31DC">
                  <w:rPr>
                    <w:rFonts w:ascii="Arial" w:hAnsi="Arial" w:cs="Arial"/>
                    <w:sz w:val="24"/>
                    <w:szCs w:val="24"/>
                  </w:rPr>
                  <w:t>187</w:t>
                </w:r>
                <w:r w:rsidR="008F4B79" w:rsidRPr="00EE31DC">
                  <w:rPr>
                    <w:rFonts w:ascii="Arial" w:hAnsi="Arial" w:cs="Arial"/>
                    <w:sz w:val="24"/>
                    <w:szCs w:val="24"/>
                  </w:rPr>
                  <w:t xml:space="preserve"> </w:t>
                </w:r>
              </w:p>
            </w:tc>
          </w:tr>
          <w:tr w:rsidR="008F4B79" w:rsidRPr="00EE31DC" w14:paraId="3FCE4A4B" w14:textId="77777777" w:rsidTr="00803516">
            <w:tc>
              <w:tcPr>
                <w:tcW w:w="3260" w:type="dxa"/>
              </w:tcPr>
              <w:p w14:paraId="55ACD615" w14:textId="77777777" w:rsidR="008F4B79" w:rsidRPr="00EE31DC" w:rsidRDefault="008F4B79" w:rsidP="00803516">
                <w:pPr>
                  <w:rPr>
                    <w:rFonts w:ascii="Arial" w:hAnsi="Arial" w:cs="Arial"/>
                    <w:b/>
                    <w:sz w:val="24"/>
                    <w:szCs w:val="24"/>
                  </w:rPr>
                </w:pPr>
                <w:r w:rsidRPr="00EE31DC">
                  <w:rPr>
                    <w:rFonts w:ascii="Arial" w:hAnsi="Arial" w:cs="Arial"/>
                    <w:b/>
                    <w:sz w:val="24"/>
                    <w:szCs w:val="24"/>
                  </w:rPr>
                  <w:t xml:space="preserve">Cash </w:t>
                </w:r>
                <w:proofErr w:type="gramStart"/>
                <w:r w:rsidRPr="00EE31DC">
                  <w:rPr>
                    <w:rFonts w:ascii="Arial" w:hAnsi="Arial" w:cs="Arial"/>
                    <w:b/>
                    <w:sz w:val="24"/>
                    <w:szCs w:val="24"/>
                  </w:rPr>
                  <w:t>payments</w:t>
                </w:r>
                <w:proofErr w:type="gramEnd"/>
              </w:p>
              <w:p w14:paraId="629DC15D" w14:textId="7B8C3510" w:rsidR="008F4B79" w:rsidRPr="00EE31DC" w:rsidRDefault="008F4B79" w:rsidP="00803516">
                <w:pPr>
                  <w:rPr>
                    <w:rFonts w:ascii="Arial" w:hAnsi="Arial" w:cs="Arial"/>
                    <w:sz w:val="24"/>
                    <w:szCs w:val="24"/>
                  </w:rPr>
                </w:pPr>
                <w:r w:rsidRPr="00EE31DC">
                  <w:rPr>
                    <w:rFonts w:ascii="Arial" w:hAnsi="Arial" w:cs="Arial"/>
                    <w:sz w:val="24"/>
                    <w:szCs w:val="24"/>
                  </w:rPr>
                  <w:t xml:space="preserve">Administration  </w:t>
                </w:r>
              </w:p>
            </w:tc>
            <w:tc>
              <w:tcPr>
                <w:tcW w:w="992" w:type="dxa"/>
                <w:vAlign w:val="center"/>
              </w:tcPr>
              <w:p w14:paraId="590FEF8A" w14:textId="005C54B7"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D677BA" w:rsidRPr="00EE31DC">
                  <w:rPr>
                    <w:rFonts w:ascii="Arial" w:hAnsi="Arial" w:cs="Arial"/>
                    <w:sz w:val="24"/>
                    <w:szCs w:val="24"/>
                  </w:rPr>
                  <w:t>21</w:t>
                </w:r>
                <w:r w:rsidRPr="00EE31DC">
                  <w:rPr>
                    <w:rFonts w:ascii="Arial" w:hAnsi="Arial" w:cs="Arial"/>
                    <w:sz w:val="24"/>
                    <w:szCs w:val="24"/>
                  </w:rPr>
                  <w:t>)</w:t>
                </w:r>
              </w:p>
            </w:tc>
            <w:tc>
              <w:tcPr>
                <w:tcW w:w="992" w:type="dxa"/>
                <w:vAlign w:val="center"/>
              </w:tcPr>
              <w:p w14:paraId="53656A68" w14:textId="0CD61A99"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20</w:t>
                </w:r>
                <w:r w:rsidRPr="00EE31DC">
                  <w:rPr>
                    <w:rFonts w:ascii="Arial" w:hAnsi="Arial" w:cs="Arial"/>
                    <w:sz w:val="24"/>
                    <w:szCs w:val="24"/>
                  </w:rPr>
                  <w:t>)</w:t>
                </w:r>
              </w:p>
            </w:tc>
            <w:tc>
              <w:tcPr>
                <w:tcW w:w="993" w:type="dxa"/>
                <w:vAlign w:val="center"/>
              </w:tcPr>
              <w:p w14:paraId="74AFF97C" w14:textId="62E7DC31"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18</w:t>
                </w:r>
                <w:r w:rsidRPr="00EE31DC">
                  <w:rPr>
                    <w:rFonts w:ascii="Arial" w:hAnsi="Arial" w:cs="Arial"/>
                    <w:sz w:val="24"/>
                    <w:szCs w:val="24"/>
                  </w:rPr>
                  <w:t>)</w:t>
                </w:r>
              </w:p>
            </w:tc>
            <w:tc>
              <w:tcPr>
                <w:tcW w:w="992" w:type="dxa"/>
                <w:vAlign w:val="center"/>
              </w:tcPr>
              <w:p w14:paraId="1E0304DB" w14:textId="7831FA12"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19</w:t>
                </w:r>
                <w:r w:rsidRPr="00EE31DC">
                  <w:rPr>
                    <w:rFonts w:ascii="Arial" w:hAnsi="Arial" w:cs="Arial"/>
                    <w:sz w:val="24"/>
                    <w:szCs w:val="24"/>
                  </w:rPr>
                  <w:t>)</w:t>
                </w:r>
              </w:p>
            </w:tc>
            <w:tc>
              <w:tcPr>
                <w:tcW w:w="992" w:type="dxa"/>
                <w:vAlign w:val="center"/>
              </w:tcPr>
              <w:p w14:paraId="74DE144E" w14:textId="44739443"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19</w:t>
                </w:r>
                <w:r w:rsidRPr="00EE31DC">
                  <w:rPr>
                    <w:rFonts w:ascii="Arial" w:hAnsi="Arial" w:cs="Arial"/>
                    <w:sz w:val="24"/>
                    <w:szCs w:val="24"/>
                  </w:rPr>
                  <w:t>)</w:t>
                </w:r>
              </w:p>
            </w:tc>
            <w:tc>
              <w:tcPr>
                <w:tcW w:w="992" w:type="dxa"/>
                <w:vAlign w:val="center"/>
              </w:tcPr>
              <w:p w14:paraId="06BDF0DF" w14:textId="0DCDF0DF"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17</w:t>
                </w:r>
                <w:r w:rsidRPr="00EE31DC">
                  <w:rPr>
                    <w:rFonts w:ascii="Arial" w:hAnsi="Arial" w:cs="Arial"/>
                    <w:sz w:val="24"/>
                    <w:szCs w:val="24"/>
                  </w:rPr>
                  <w:t>)</w:t>
                </w:r>
              </w:p>
            </w:tc>
          </w:tr>
          <w:tr w:rsidR="008F4B79" w:rsidRPr="00EE31DC" w14:paraId="3926545C" w14:textId="77777777" w:rsidTr="00803516">
            <w:trPr>
              <w:trHeight w:val="400"/>
            </w:trPr>
            <w:tc>
              <w:tcPr>
                <w:tcW w:w="3260" w:type="dxa"/>
              </w:tcPr>
              <w:p w14:paraId="6804EA52" w14:textId="46BE24AF" w:rsidR="008F4B79" w:rsidRPr="00EE31DC" w:rsidRDefault="008F4B79" w:rsidP="00803516">
                <w:pPr>
                  <w:rPr>
                    <w:rFonts w:ascii="Arial" w:hAnsi="Arial" w:cs="Arial"/>
                    <w:sz w:val="24"/>
                    <w:szCs w:val="24"/>
                  </w:rPr>
                </w:pPr>
                <w:r w:rsidRPr="00EE31DC">
                  <w:rPr>
                    <w:rFonts w:ascii="Arial" w:hAnsi="Arial" w:cs="Arial"/>
                    <w:sz w:val="24"/>
                    <w:szCs w:val="24"/>
                  </w:rPr>
                  <w:t xml:space="preserve">Stock purchased  </w:t>
                </w:r>
              </w:p>
            </w:tc>
            <w:tc>
              <w:tcPr>
                <w:tcW w:w="992" w:type="dxa"/>
              </w:tcPr>
              <w:p w14:paraId="1F9E4C25" w14:textId="15617A99"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D677BA" w:rsidRPr="00EE31DC">
                  <w:rPr>
                    <w:rFonts w:ascii="Arial" w:hAnsi="Arial" w:cs="Arial"/>
                    <w:sz w:val="24"/>
                    <w:szCs w:val="24"/>
                  </w:rPr>
                  <w:t>205</w:t>
                </w:r>
                <w:r w:rsidRPr="00EE31DC">
                  <w:rPr>
                    <w:rFonts w:ascii="Arial" w:hAnsi="Arial" w:cs="Arial"/>
                    <w:sz w:val="24"/>
                    <w:szCs w:val="24"/>
                  </w:rPr>
                  <w:t>)</w:t>
                </w:r>
              </w:p>
            </w:tc>
            <w:tc>
              <w:tcPr>
                <w:tcW w:w="992" w:type="dxa"/>
              </w:tcPr>
              <w:p w14:paraId="16DBE0B1" w14:textId="492DA128"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180</w:t>
                </w:r>
                <w:r w:rsidRPr="00EE31DC">
                  <w:rPr>
                    <w:rFonts w:ascii="Arial" w:hAnsi="Arial" w:cs="Arial"/>
                    <w:sz w:val="24"/>
                    <w:szCs w:val="24"/>
                  </w:rPr>
                  <w:t>)</w:t>
                </w:r>
              </w:p>
            </w:tc>
            <w:tc>
              <w:tcPr>
                <w:tcW w:w="993" w:type="dxa"/>
              </w:tcPr>
              <w:p w14:paraId="0C479117" w14:textId="532D3E0A"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170</w:t>
                </w:r>
                <w:r w:rsidRPr="00EE31DC">
                  <w:rPr>
                    <w:rFonts w:ascii="Arial" w:hAnsi="Arial" w:cs="Arial"/>
                    <w:sz w:val="24"/>
                    <w:szCs w:val="24"/>
                  </w:rPr>
                  <w:t>)</w:t>
                </w:r>
              </w:p>
            </w:tc>
            <w:tc>
              <w:tcPr>
                <w:tcW w:w="992" w:type="dxa"/>
              </w:tcPr>
              <w:p w14:paraId="3095C7F8" w14:textId="34A00D24"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203</w:t>
                </w:r>
                <w:r w:rsidRPr="00EE31DC">
                  <w:rPr>
                    <w:rFonts w:ascii="Arial" w:hAnsi="Arial" w:cs="Arial"/>
                    <w:sz w:val="24"/>
                    <w:szCs w:val="24"/>
                  </w:rPr>
                  <w:t>)</w:t>
                </w:r>
              </w:p>
            </w:tc>
            <w:tc>
              <w:tcPr>
                <w:tcW w:w="992" w:type="dxa"/>
              </w:tcPr>
              <w:p w14:paraId="7D2539CD" w14:textId="1C915398"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200</w:t>
                </w:r>
                <w:r w:rsidRPr="00EE31DC">
                  <w:rPr>
                    <w:rFonts w:ascii="Arial" w:hAnsi="Arial" w:cs="Arial"/>
                    <w:sz w:val="24"/>
                    <w:szCs w:val="24"/>
                  </w:rPr>
                  <w:t>)</w:t>
                </w:r>
              </w:p>
            </w:tc>
            <w:tc>
              <w:tcPr>
                <w:tcW w:w="992" w:type="dxa"/>
              </w:tcPr>
              <w:p w14:paraId="18275CF8" w14:textId="2B684D58"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180</w:t>
                </w:r>
                <w:r w:rsidRPr="00EE31DC">
                  <w:rPr>
                    <w:rFonts w:ascii="Arial" w:hAnsi="Arial" w:cs="Arial"/>
                    <w:sz w:val="24"/>
                    <w:szCs w:val="24"/>
                  </w:rPr>
                  <w:t>)</w:t>
                </w:r>
              </w:p>
            </w:tc>
          </w:tr>
          <w:tr w:rsidR="008F4B79" w:rsidRPr="00EE31DC" w14:paraId="23357C22" w14:textId="77777777" w:rsidTr="00803516">
            <w:trPr>
              <w:trHeight w:val="421"/>
            </w:trPr>
            <w:tc>
              <w:tcPr>
                <w:tcW w:w="3260" w:type="dxa"/>
              </w:tcPr>
              <w:p w14:paraId="0E7F2517" w14:textId="0E26F1DD" w:rsidR="008F4B79" w:rsidRPr="00EE31DC" w:rsidRDefault="008F4B79" w:rsidP="00803516">
                <w:pPr>
                  <w:rPr>
                    <w:rFonts w:ascii="Arial" w:hAnsi="Arial" w:cs="Arial"/>
                    <w:sz w:val="24"/>
                    <w:szCs w:val="24"/>
                  </w:rPr>
                </w:pPr>
                <w:r w:rsidRPr="00EE31DC">
                  <w:rPr>
                    <w:rFonts w:ascii="Arial" w:hAnsi="Arial" w:cs="Arial"/>
                    <w:sz w:val="24"/>
                    <w:szCs w:val="24"/>
                  </w:rPr>
                  <w:t xml:space="preserve">Repayments of loan  </w:t>
                </w:r>
              </w:p>
            </w:tc>
            <w:tc>
              <w:tcPr>
                <w:tcW w:w="992" w:type="dxa"/>
              </w:tcPr>
              <w:p w14:paraId="3EBEAAC3" w14:textId="2E1D3484"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D677BA" w:rsidRPr="00EE31DC">
                  <w:rPr>
                    <w:rFonts w:ascii="Arial" w:hAnsi="Arial" w:cs="Arial"/>
                    <w:sz w:val="24"/>
                    <w:szCs w:val="24"/>
                  </w:rPr>
                  <w:t>7</w:t>
                </w:r>
                <w:r w:rsidRPr="00EE31DC">
                  <w:rPr>
                    <w:rFonts w:ascii="Arial" w:hAnsi="Arial" w:cs="Arial"/>
                    <w:sz w:val="24"/>
                    <w:szCs w:val="24"/>
                  </w:rPr>
                  <w:t>)</w:t>
                </w:r>
              </w:p>
            </w:tc>
            <w:tc>
              <w:tcPr>
                <w:tcW w:w="992" w:type="dxa"/>
              </w:tcPr>
              <w:p w14:paraId="33A9D8A7" w14:textId="26DAEF87"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7</w:t>
                </w:r>
                <w:r w:rsidRPr="00EE31DC">
                  <w:rPr>
                    <w:rFonts w:ascii="Arial" w:hAnsi="Arial" w:cs="Arial"/>
                    <w:sz w:val="24"/>
                    <w:szCs w:val="24"/>
                  </w:rPr>
                  <w:t>)</w:t>
                </w:r>
              </w:p>
            </w:tc>
            <w:tc>
              <w:tcPr>
                <w:tcW w:w="993" w:type="dxa"/>
              </w:tcPr>
              <w:p w14:paraId="15E94208" w14:textId="6B8D220B"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7</w:t>
                </w:r>
                <w:r w:rsidRPr="00EE31DC">
                  <w:rPr>
                    <w:rFonts w:ascii="Arial" w:hAnsi="Arial" w:cs="Arial"/>
                    <w:sz w:val="24"/>
                    <w:szCs w:val="24"/>
                  </w:rPr>
                  <w:t>)</w:t>
                </w:r>
              </w:p>
            </w:tc>
            <w:tc>
              <w:tcPr>
                <w:tcW w:w="992" w:type="dxa"/>
              </w:tcPr>
              <w:p w14:paraId="3096EBB3" w14:textId="54DE96C7"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7</w:t>
                </w:r>
                <w:r w:rsidRPr="00EE31DC">
                  <w:rPr>
                    <w:rFonts w:ascii="Arial" w:hAnsi="Arial" w:cs="Arial"/>
                    <w:sz w:val="24"/>
                    <w:szCs w:val="24"/>
                  </w:rPr>
                  <w:t>)</w:t>
                </w:r>
              </w:p>
            </w:tc>
            <w:tc>
              <w:tcPr>
                <w:tcW w:w="992" w:type="dxa"/>
              </w:tcPr>
              <w:p w14:paraId="28DCEDBF" w14:textId="2017BEDA"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F42424" w:rsidRPr="00EE31DC">
                  <w:rPr>
                    <w:rFonts w:ascii="Arial" w:hAnsi="Arial" w:cs="Arial"/>
                    <w:sz w:val="24"/>
                    <w:szCs w:val="24"/>
                  </w:rPr>
                  <w:t>7</w:t>
                </w:r>
                <w:r w:rsidRPr="00EE31DC">
                  <w:rPr>
                    <w:rFonts w:ascii="Arial" w:hAnsi="Arial" w:cs="Arial"/>
                    <w:sz w:val="24"/>
                    <w:szCs w:val="24"/>
                  </w:rPr>
                  <w:t>)</w:t>
                </w:r>
              </w:p>
            </w:tc>
            <w:tc>
              <w:tcPr>
                <w:tcW w:w="992" w:type="dxa"/>
              </w:tcPr>
              <w:p w14:paraId="3E99894F" w14:textId="54C233F4"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7</w:t>
                </w:r>
                <w:r w:rsidRPr="00EE31DC">
                  <w:rPr>
                    <w:rFonts w:ascii="Arial" w:hAnsi="Arial" w:cs="Arial"/>
                    <w:sz w:val="24"/>
                    <w:szCs w:val="24"/>
                  </w:rPr>
                  <w:t>)</w:t>
                </w:r>
              </w:p>
            </w:tc>
          </w:tr>
          <w:tr w:rsidR="008F4B79" w:rsidRPr="00EE31DC" w14:paraId="20BF1E6D" w14:textId="77777777" w:rsidTr="00803516">
            <w:trPr>
              <w:trHeight w:val="413"/>
            </w:trPr>
            <w:tc>
              <w:tcPr>
                <w:tcW w:w="3260" w:type="dxa"/>
              </w:tcPr>
              <w:p w14:paraId="55E7F56C" w14:textId="72E5158D" w:rsidR="008F4B79" w:rsidRPr="00EE31DC" w:rsidRDefault="008F4B79" w:rsidP="00803516">
                <w:pPr>
                  <w:rPr>
                    <w:rFonts w:ascii="Arial" w:hAnsi="Arial" w:cs="Arial"/>
                    <w:sz w:val="24"/>
                    <w:szCs w:val="24"/>
                  </w:rPr>
                </w:pPr>
                <w:r w:rsidRPr="00EE31DC">
                  <w:rPr>
                    <w:rFonts w:ascii="Arial" w:hAnsi="Arial" w:cs="Arial"/>
                    <w:sz w:val="24"/>
                    <w:szCs w:val="24"/>
                  </w:rPr>
                  <w:t xml:space="preserve">Selling expenses  </w:t>
                </w:r>
              </w:p>
            </w:tc>
            <w:tc>
              <w:tcPr>
                <w:tcW w:w="992" w:type="dxa"/>
              </w:tcPr>
              <w:p w14:paraId="3EBF1E9B" w14:textId="307E773E"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D677BA" w:rsidRPr="00EE31DC">
                  <w:rPr>
                    <w:rFonts w:ascii="Arial" w:hAnsi="Arial" w:cs="Arial"/>
                    <w:sz w:val="24"/>
                    <w:szCs w:val="24"/>
                  </w:rPr>
                  <w:t>9</w:t>
                </w:r>
                <w:r w:rsidRPr="00EE31DC">
                  <w:rPr>
                    <w:rFonts w:ascii="Arial" w:hAnsi="Arial" w:cs="Arial"/>
                    <w:sz w:val="24"/>
                    <w:szCs w:val="24"/>
                  </w:rPr>
                  <w:t>)</w:t>
                </w:r>
              </w:p>
            </w:tc>
            <w:tc>
              <w:tcPr>
                <w:tcW w:w="992" w:type="dxa"/>
              </w:tcPr>
              <w:p w14:paraId="4505E924" w14:textId="1C645A43"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8</w:t>
                </w:r>
                <w:r w:rsidRPr="00EE31DC">
                  <w:rPr>
                    <w:rFonts w:ascii="Arial" w:hAnsi="Arial" w:cs="Arial"/>
                    <w:sz w:val="24"/>
                    <w:szCs w:val="24"/>
                  </w:rPr>
                  <w:t>)</w:t>
                </w:r>
              </w:p>
            </w:tc>
            <w:tc>
              <w:tcPr>
                <w:tcW w:w="993" w:type="dxa"/>
              </w:tcPr>
              <w:p w14:paraId="0ECDD2D6" w14:textId="08752DA6"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8</w:t>
                </w:r>
                <w:r w:rsidRPr="00EE31DC">
                  <w:rPr>
                    <w:rFonts w:ascii="Arial" w:hAnsi="Arial" w:cs="Arial"/>
                    <w:sz w:val="24"/>
                    <w:szCs w:val="24"/>
                  </w:rPr>
                  <w:t>)</w:t>
                </w:r>
              </w:p>
            </w:tc>
            <w:tc>
              <w:tcPr>
                <w:tcW w:w="992" w:type="dxa"/>
              </w:tcPr>
              <w:p w14:paraId="091E1D88" w14:textId="70C7E06D"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7</w:t>
                </w:r>
                <w:r w:rsidRPr="00EE31DC">
                  <w:rPr>
                    <w:rFonts w:ascii="Arial" w:hAnsi="Arial" w:cs="Arial"/>
                    <w:sz w:val="24"/>
                    <w:szCs w:val="24"/>
                  </w:rPr>
                  <w:t>)</w:t>
                </w:r>
              </w:p>
            </w:tc>
            <w:tc>
              <w:tcPr>
                <w:tcW w:w="992" w:type="dxa"/>
              </w:tcPr>
              <w:p w14:paraId="635FB050" w14:textId="240DC805"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5</w:t>
                </w:r>
                <w:r w:rsidRPr="00EE31DC">
                  <w:rPr>
                    <w:rFonts w:ascii="Arial" w:hAnsi="Arial" w:cs="Arial"/>
                    <w:sz w:val="24"/>
                    <w:szCs w:val="24"/>
                  </w:rPr>
                  <w:t>)</w:t>
                </w:r>
              </w:p>
            </w:tc>
            <w:tc>
              <w:tcPr>
                <w:tcW w:w="992" w:type="dxa"/>
              </w:tcPr>
              <w:p w14:paraId="68FBD8F5" w14:textId="0394DA2C"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6</w:t>
                </w:r>
                <w:r w:rsidRPr="00EE31DC">
                  <w:rPr>
                    <w:rFonts w:ascii="Arial" w:hAnsi="Arial" w:cs="Arial"/>
                    <w:sz w:val="24"/>
                    <w:szCs w:val="24"/>
                  </w:rPr>
                  <w:t>)</w:t>
                </w:r>
              </w:p>
            </w:tc>
          </w:tr>
          <w:tr w:rsidR="008F4B79" w:rsidRPr="00EE31DC" w14:paraId="35CCEDD3" w14:textId="77777777" w:rsidTr="00803516">
            <w:trPr>
              <w:trHeight w:val="419"/>
            </w:trPr>
            <w:tc>
              <w:tcPr>
                <w:tcW w:w="3260" w:type="dxa"/>
              </w:tcPr>
              <w:p w14:paraId="5EFEF2E5" w14:textId="77777777" w:rsidR="008F4B79" w:rsidRPr="00EE31DC" w:rsidRDefault="008F4B79" w:rsidP="00803516">
                <w:pPr>
                  <w:rPr>
                    <w:rFonts w:ascii="Arial" w:hAnsi="Arial" w:cs="Arial"/>
                    <w:sz w:val="24"/>
                    <w:szCs w:val="24"/>
                  </w:rPr>
                </w:pPr>
                <w:r w:rsidRPr="00EE31DC">
                  <w:rPr>
                    <w:rFonts w:ascii="Arial" w:hAnsi="Arial" w:cs="Arial"/>
                    <w:sz w:val="24"/>
                    <w:szCs w:val="24"/>
                  </w:rPr>
                  <w:t>Taxation paid</w:t>
                </w:r>
              </w:p>
            </w:tc>
            <w:tc>
              <w:tcPr>
                <w:tcW w:w="992" w:type="dxa"/>
              </w:tcPr>
              <w:p w14:paraId="75B916FA"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w:t>
                </w:r>
              </w:p>
            </w:tc>
            <w:tc>
              <w:tcPr>
                <w:tcW w:w="992" w:type="dxa"/>
              </w:tcPr>
              <w:p w14:paraId="58B36237"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w:t>
                </w:r>
              </w:p>
            </w:tc>
            <w:tc>
              <w:tcPr>
                <w:tcW w:w="993" w:type="dxa"/>
              </w:tcPr>
              <w:p w14:paraId="74CBB94F" w14:textId="078AB771"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20</w:t>
                </w:r>
                <w:r w:rsidRPr="00EE31DC">
                  <w:rPr>
                    <w:rFonts w:ascii="Arial" w:hAnsi="Arial" w:cs="Arial"/>
                    <w:sz w:val="24"/>
                    <w:szCs w:val="24"/>
                  </w:rPr>
                  <w:t>)</w:t>
                </w:r>
              </w:p>
            </w:tc>
            <w:tc>
              <w:tcPr>
                <w:tcW w:w="992" w:type="dxa"/>
              </w:tcPr>
              <w:p w14:paraId="46910A07"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w:t>
                </w:r>
              </w:p>
            </w:tc>
            <w:tc>
              <w:tcPr>
                <w:tcW w:w="992" w:type="dxa"/>
              </w:tcPr>
              <w:p w14:paraId="453A91F9"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w:t>
                </w:r>
              </w:p>
            </w:tc>
            <w:tc>
              <w:tcPr>
                <w:tcW w:w="992" w:type="dxa"/>
              </w:tcPr>
              <w:p w14:paraId="72FED8B8" w14:textId="77777777" w:rsidR="008F4B79" w:rsidRPr="00EE31DC" w:rsidRDefault="008F4B79" w:rsidP="00803516">
                <w:pPr>
                  <w:jc w:val="center"/>
                  <w:rPr>
                    <w:rFonts w:ascii="Arial" w:hAnsi="Arial" w:cs="Arial"/>
                    <w:sz w:val="24"/>
                    <w:szCs w:val="24"/>
                  </w:rPr>
                </w:pPr>
                <w:r w:rsidRPr="00EE31DC">
                  <w:rPr>
                    <w:rFonts w:ascii="Arial" w:hAnsi="Arial" w:cs="Arial"/>
                    <w:sz w:val="24"/>
                    <w:szCs w:val="24"/>
                  </w:rPr>
                  <w:t>-</w:t>
                </w:r>
              </w:p>
            </w:tc>
          </w:tr>
          <w:tr w:rsidR="008F4B79" w:rsidRPr="00EE31DC" w14:paraId="213419E5" w14:textId="77777777" w:rsidTr="00803516">
            <w:trPr>
              <w:trHeight w:val="419"/>
            </w:trPr>
            <w:tc>
              <w:tcPr>
                <w:tcW w:w="3260" w:type="dxa"/>
              </w:tcPr>
              <w:p w14:paraId="11CC8F8C" w14:textId="77777777" w:rsidR="008F4B79" w:rsidRPr="00EE31DC" w:rsidRDefault="008F4B79" w:rsidP="00803516">
                <w:pPr>
                  <w:rPr>
                    <w:rFonts w:ascii="Arial" w:hAnsi="Arial" w:cs="Arial"/>
                    <w:sz w:val="24"/>
                    <w:szCs w:val="24"/>
                  </w:rPr>
                </w:pPr>
                <w:r w:rsidRPr="00EE31DC">
                  <w:rPr>
                    <w:rFonts w:ascii="Arial" w:hAnsi="Arial" w:cs="Arial"/>
                    <w:sz w:val="24"/>
                    <w:szCs w:val="24"/>
                  </w:rPr>
                  <w:t>Interest payments</w:t>
                </w:r>
              </w:p>
            </w:tc>
            <w:tc>
              <w:tcPr>
                <w:tcW w:w="992" w:type="dxa"/>
              </w:tcPr>
              <w:p w14:paraId="6FABA3CE" w14:textId="023C93A1"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D677BA" w:rsidRPr="00EE31DC">
                  <w:rPr>
                    <w:rFonts w:ascii="Arial" w:hAnsi="Arial" w:cs="Arial"/>
                    <w:sz w:val="24"/>
                    <w:szCs w:val="24"/>
                  </w:rPr>
                  <w:t>1</w:t>
                </w:r>
                <w:r w:rsidRPr="00EE31DC">
                  <w:rPr>
                    <w:rFonts w:ascii="Arial" w:hAnsi="Arial" w:cs="Arial"/>
                    <w:sz w:val="24"/>
                    <w:szCs w:val="24"/>
                  </w:rPr>
                  <w:t>)</w:t>
                </w:r>
              </w:p>
            </w:tc>
            <w:tc>
              <w:tcPr>
                <w:tcW w:w="992" w:type="dxa"/>
              </w:tcPr>
              <w:p w14:paraId="26B80DA6" w14:textId="78B74228"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w:t>
                </w:r>
                <w:r w:rsidRPr="00EE31DC">
                  <w:rPr>
                    <w:rFonts w:ascii="Arial" w:hAnsi="Arial" w:cs="Arial"/>
                    <w:sz w:val="24"/>
                    <w:szCs w:val="24"/>
                  </w:rPr>
                  <w:t>)</w:t>
                </w:r>
              </w:p>
            </w:tc>
            <w:tc>
              <w:tcPr>
                <w:tcW w:w="993" w:type="dxa"/>
              </w:tcPr>
              <w:p w14:paraId="7DF05DDC" w14:textId="53B623DC"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w:t>
                </w:r>
                <w:r w:rsidRPr="00EE31DC">
                  <w:rPr>
                    <w:rFonts w:ascii="Arial" w:hAnsi="Arial" w:cs="Arial"/>
                    <w:sz w:val="24"/>
                    <w:szCs w:val="24"/>
                  </w:rPr>
                  <w:t>)</w:t>
                </w:r>
              </w:p>
            </w:tc>
            <w:tc>
              <w:tcPr>
                <w:tcW w:w="992" w:type="dxa"/>
              </w:tcPr>
              <w:p w14:paraId="094DC8D8" w14:textId="45A19267"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F42424" w:rsidRPr="00EE31DC">
                  <w:rPr>
                    <w:rFonts w:ascii="Arial" w:hAnsi="Arial" w:cs="Arial"/>
                    <w:sz w:val="24"/>
                    <w:szCs w:val="24"/>
                  </w:rPr>
                  <w:t>1</w:t>
                </w:r>
                <w:r w:rsidRPr="00EE31DC">
                  <w:rPr>
                    <w:rFonts w:ascii="Arial" w:hAnsi="Arial" w:cs="Arial"/>
                    <w:sz w:val="24"/>
                    <w:szCs w:val="24"/>
                  </w:rPr>
                  <w:t>)</w:t>
                </w:r>
              </w:p>
            </w:tc>
            <w:tc>
              <w:tcPr>
                <w:tcW w:w="992" w:type="dxa"/>
              </w:tcPr>
              <w:p w14:paraId="081ECD21" w14:textId="424E07A7" w:rsidR="008F4B79" w:rsidRPr="00EE31DC" w:rsidRDefault="00F42424" w:rsidP="00803516">
                <w:pPr>
                  <w:jc w:val="center"/>
                  <w:rPr>
                    <w:rFonts w:ascii="Arial" w:hAnsi="Arial" w:cs="Arial"/>
                    <w:sz w:val="24"/>
                    <w:szCs w:val="24"/>
                  </w:rPr>
                </w:pPr>
                <w:r w:rsidRPr="00EE31DC">
                  <w:rPr>
                    <w:rFonts w:ascii="Arial" w:hAnsi="Arial" w:cs="Arial"/>
                    <w:sz w:val="24"/>
                    <w:szCs w:val="24"/>
                  </w:rPr>
                  <w:t>(1</w:t>
                </w:r>
                <w:r w:rsidR="008F4B79" w:rsidRPr="00EE31DC">
                  <w:rPr>
                    <w:rFonts w:ascii="Arial" w:hAnsi="Arial" w:cs="Arial"/>
                    <w:sz w:val="24"/>
                    <w:szCs w:val="24"/>
                  </w:rPr>
                  <w:t>)</w:t>
                </w:r>
              </w:p>
            </w:tc>
            <w:tc>
              <w:tcPr>
                <w:tcW w:w="992" w:type="dxa"/>
              </w:tcPr>
              <w:p w14:paraId="20B0297B" w14:textId="4DA9AF37" w:rsidR="008F4B79" w:rsidRPr="00EE31DC" w:rsidRDefault="008F4B79" w:rsidP="00803516">
                <w:pPr>
                  <w:jc w:val="center"/>
                  <w:rPr>
                    <w:rFonts w:ascii="Arial" w:hAnsi="Arial" w:cs="Arial"/>
                    <w:sz w:val="24"/>
                    <w:szCs w:val="24"/>
                  </w:rPr>
                </w:pPr>
                <w:r w:rsidRPr="00EE31DC">
                  <w:rPr>
                    <w:rFonts w:ascii="Arial" w:hAnsi="Arial" w:cs="Arial"/>
                    <w:sz w:val="24"/>
                    <w:szCs w:val="24"/>
                  </w:rPr>
                  <w:t>(</w:t>
                </w:r>
                <w:r w:rsidR="006A64AD" w:rsidRPr="00EE31DC">
                  <w:rPr>
                    <w:rFonts w:ascii="Arial" w:hAnsi="Arial" w:cs="Arial"/>
                    <w:sz w:val="24"/>
                    <w:szCs w:val="24"/>
                  </w:rPr>
                  <w:t>1</w:t>
                </w:r>
                <w:r w:rsidRPr="00EE31DC">
                  <w:rPr>
                    <w:rFonts w:ascii="Arial" w:hAnsi="Arial" w:cs="Arial"/>
                    <w:sz w:val="24"/>
                    <w:szCs w:val="24"/>
                  </w:rPr>
                  <w:t>)</w:t>
                </w:r>
              </w:p>
            </w:tc>
          </w:tr>
          <w:tr w:rsidR="008F4B79" w:rsidRPr="00EE31DC" w14:paraId="74C746AA" w14:textId="77777777" w:rsidTr="00803516">
            <w:trPr>
              <w:trHeight w:val="410"/>
            </w:trPr>
            <w:tc>
              <w:tcPr>
                <w:tcW w:w="3260" w:type="dxa"/>
              </w:tcPr>
              <w:p w14:paraId="66D2213C" w14:textId="77777777" w:rsidR="008F4B79" w:rsidRPr="00EE31DC" w:rsidRDefault="008F4B79" w:rsidP="00803516">
                <w:pPr>
                  <w:rPr>
                    <w:rFonts w:ascii="Arial" w:hAnsi="Arial" w:cs="Arial"/>
                    <w:sz w:val="24"/>
                    <w:szCs w:val="24"/>
                  </w:rPr>
                </w:pPr>
                <w:r w:rsidRPr="00EE31DC">
                  <w:rPr>
                    <w:rFonts w:ascii="Arial" w:hAnsi="Arial" w:cs="Arial"/>
                    <w:sz w:val="24"/>
                    <w:szCs w:val="24"/>
                  </w:rPr>
                  <w:t>Shop refurbishment</w:t>
                </w:r>
              </w:p>
            </w:tc>
            <w:tc>
              <w:tcPr>
                <w:tcW w:w="992" w:type="dxa"/>
              </w:tcPr>
              <w:p w14:paraId="2651D9BC" w14:textId="0BAFEB67"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D3456B">
                  <w:rPr>
                    <w:rFonts w:ascii="Arial" w:hAnsi="Arial" w:cs="Arial"/>
                    <w:sz w:val="24"/>
                    <w:szCs w:val="24"/>
                    <w:u w:val="single"/>
                  </w:rPr>
                  <w:t>(34)</w:t>
                </w:r>
                <w:r w:rsidRPr="00EE31DC">
                  <w:rPr>
                    <w:rFonts w:ascii="Arial" w:hAnsi="Arial" w:cs="Arial"/>
                    <w:sz w:val="24"/>
                    <w:szCs w:val="24"/>
                    <w:u w:val="single"/>
                  </w:rPr>
                  <w:t xml:space="preserve">      </w:t>
                </w:r>
              </w:p>
            </w:tc>
            <w:tc>
              <w:tcPr>
                <w:tcW w:w="992" w:type="dxa"/>
              </w:tcPr>
              <w:p w14:paraId="2D1ABA18" w14:textId="2215F584"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w:t>
                </w:r>
                <w:r w:rsidR="00D3456B">
                  <w:rPr>
                    <w:rFonts w:ascii="Arial" w:hAnsi="Arial" w:cs="Arial"/>
                    <w:sz w:val="24"/>
                    <w:szCs w:val="24"/>
                    <w:u w:val="single"/>
                  </w:rPr>
                  <w:t>26</w:t>
                </w:r>
                <w:r w:rsidRPr="00EE31DC">
                  <w:rPr>
                    <w:rFonts w:ascii="Arial" w:hAnsi="Arial" w:cs="Arial"/>
                    <w:sz w:val="24"/>
                    <w:szCs w:val="24"/>
                    <w:u w:val="single"/>
                  </w:rPr>
                  <w:t>)</w:t>
                </w:r>
              </w:p>
            </w:tc>
            <w:tc>
              <w:tcPr>
                <w:tcW w:w="993" w:type="dxa"/>
              </w:tcPr>
              <w:p w14:paraId="7561F86B" w14:textId="4AE5958D"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D3456B">
                  <w:rPr>
                    <w:rFonts w:ascii="Arial" w:hAnsi="Arial" w:cs="Arial"/>
                    <w:sz w:val="24"/>
                    <w:szCs w:val="24"/>
                    <w:u w:val="single"/>
                  </w:rPr>
                  <w:t>18</w:t>
                </w:r>
                <w:r w:rsidRPr="00EE31DC">
                  <w:rPr>
                    <w:rFonts w:ascii="Arial" w:hAnsi="Arial" w:cs="Arial"/>
                    <w:sz w:val="24"/>
                    <w:szCs w:val="24"/>
                    <w:u w:val="single"/>
                  </w:rPr>
                  <w:t>)</w:t>
                </w:r>
              </w:p>
            </w:tc>
            <w:tc>
              <w:tcPr>
                <w:tcW w:w="992" w:type="dxa"/>
              </w:tcPr>
              <w:p w14:paraId="4A840892" w14:textId="2EE2E34A"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D3456B">
                  <w:rPr>
                    <w:rFonts w:ascii="Arial" w:hAnsi="Arial" w:cs="Arial"/>
                    <w:sz w:val="24"/>
                    <w:szCs w:val="24"/>
                    <w:u w:val="single"/>
                  </w:rPr>
                  <w:t xml:space="preserve">     -</w:t>
                </w:r>
              </w:p>
            </w:tc>
            <w:tc>
              <w:tcPr>
                <w:tcW w:w="992" w:type="dxa"/>
              </w:tcPr>
              <w:p w14:paraId="4649B1DD" w14:textId="77777777"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p>
            </w:tc>
            <w:tc>
              <w:tcPr>
                <w:tcW w:w="992" w:type="dxa"/>
              </w:tcPr>
              <w:p w14:paraId="1439498C" w14:textId="77777777"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p>
            </w:tc>
          </w:tr>
          <w:tr w:rsidR="008F4B79" w:rsidRPr="00EE31DC" w14:paraId="432B1539" w14:textId="77777777" w:rsidTr="00803516">
            <w:trPr>
              <w:trHeight w:val="423"/>
            </w:trPr>
            <w:tc>
              <w:tcPr>
                <w:tcW w:w="3260" w:type="dxa"/>
              </w:tcPr>
              <w:p w14:paraId="1BEEDA8D" w14:textId="77777777" w:rsidR="008F4B79" w:rsidRPr="00EE31DC" w:rsidRDefault="008F4B79" w:rsidP="00803516">
                <w:pPr>
                  <w:rPr>
                    <w:rFonts w:ascii="Arial" w:hAnsi="Arial" w:cs="Arial"/>
                    <w:sz w:val="24"/>
                    <w:szCs w:val="24"/>
                  </w:rPr>
                </w:pPr>
                <w:r w:rsidRPr="00EE31DC">
                  <w:rPr>
                    <w:rFonts w:ascii="Arial" w:hAnsi="Arial" w:cs="Arial"/>
                    <w:sz w:val="24"/>
                    <w:szCs w:val="24"/>
                  </w:rPr>
                  <w:t>Cash surplus (deficit)</w:t>
                </w:r>
              </w:p>
            </w:tc>
            <w:tc>
              <w:tcPr>
                <w:tcW w:w="992" w:type="dxa"/>
              </w:tcPr>
              <w:p w14:paraId="35431130" w14:textId="0B979F0D" w:rsidR="008F4B79" w:rsidRPr="00EE31DC" w:rsidRDefault="00D3456B" w:rsidP="00803516">
                <w:pPr>
                  <w:jc w:val="center"/>
                  <w:rPr>
                    <w:rFonts w:ascii="Arial" w:hAnsi="Arial" w:cs="Arial"/>
                    <w:sz w:val="24"/>
                    <w:szCs w:val="24"/>
                  </w:rPr>
                </w:pPr>
                <w:r>
                  <w:rPr>
                    <w:rFonts w:ascii="Arial" w:hAnsi="Arial" w:cs="Arial"/>
                    <w:sz w:val="24"/>
                    <w:szCs w:val="24"/>
                  </w:rPr>
                  <w:t>(22)</w:t>
                </w:r>
                <w:r w:rsidR="008F4B79" w:rsidRPr="00EE31DC">
                  <w:rPr>
                    <w:rFonts w:ascii="Arial" w:hAnsi="Arial" w:cs="Arial"/>
                    <w:sz w:val="24"/>
                    <w:szCs w:val="24"/>
                  </w:rPr>
                  <w:t xml:space="preserve"> </w:t>
                </w:r>
              </w:p>
            </w:tc>
            <w:tc>
              <w:tcPr>
                <w:tcW w:w="992" w:type="dxa"/>
              </w:tcPr>
              <w:p w14:paraId="68F74097" w14:textId="0DA9857F" w:rsidR="008F4B79" w:rsidRPr="00EE31DC" w:rsidRDefault="00D3456B" w:rsidP="00803516">
                <w:pPr>
                  <w:jc w:val="center"/>
                  <w:rPr>
                    <w:rFonts w:ascii="Arial" w:hAnsi="Arial" w:cs="Arial"/>
                    <w:sz w:val="24"/>
                    <w:szCs w:val="24"/>
                  </w:rPr>
                </w:pPr>
                <w:r>
                  <w:rPr>
                    <w:rFonts w:ascii="Arial" w:hAnsi="Arial" w:cs="Arial"/>
                    <w:sz w:val="24"/>
                    <w:szCs w:val="24"/>
                  </w:rPr>
                  <w:t>23</w:t>
                </w:r>
              </w:p>
            </w:tc>
            <w:tc>
              <w:tcPr>
                <w:tcW w:w="993" w:type="dxa"/>
              </w:tcPr>
              <w:p w14:paraId="7075DF1B" w14:textId="4E530CAA" w:rsidR="008F4B79" w:rsidRPr="00EE31DC" w:rsidRDefault="008F4B79" w:rsidP="00803516">
                <w:pPr>
                  <w:jc w:val="center"/>
                  <w:rPr>
                    <w:rFonts w:ascii="Arial" w:hAnsi="Arial" w:cs="Arial"/>
                    <w:sz w:val="24"/>
                    <w:szCs w:val="24"/>
                  </w:rPr>
                </w:pPr>
                <w:r w:rsidRPr="00EE31DC">
                  <w:rPr>
                    <w:rFonts w:ascii="Arial" w:hAnsi="Arial" w:cs="Arial"/>
                    <w:sz w:val="24"/>
                    <w:szCs w:val="24"/>
                  </w:rPr>
                  <w:t xml:space="preserve"> </w:t>
                </w:r>
                <w:r w:rsidR="00A471CD">
                  <w:rPr>
                    <w:rFonts w:ascii="Arial" w:hAnsi="Arial" w:cs="Arial"/>
                    <w:sz w:val="24"/>
                    <w:szCs w:val="24"/>
                  </w:rPr>
                  <w:t>23</w:t>
                </w:r>
              </w:p>
            </w:tc>
            <w:tc>
              <w:tcPr>
                <w:tcW w:w="992" w:type="dxa"/>
              </w:tcPr>
              <w:p w14:paraId="74FD117B" w14:textId="0F19A21B" w:rsidR="008F4B79" w:rsidRPr="00EE31DC" w:rsidRDefault="006A64AD" w:rsidP="00803516">
                <w:pPr>
                  <w:jc w:val="center"/>
                  <w:rPr>
                    <w:rFonts w:ascii="Arial" w:hAnsi="Arial" w:cs="Arial"/>
                    <w:sz w:val="24"/>
                    <w:szCs w:val="24"/>
                  </w:rPr>
                </w:pPr>
                <w:r w:rsidRPr="00EE31DC">
                  <w:rPr>
                    <w:rFonts w:ascii="Arial" w:hAnsi="Arial" w:cs="Arial"/>
                    <w:sz w:val="24"/>
                    <w:szCs w:val="24"/>
                  </w:rPr>
                  <w:t>(</w:t>
                </w:r>
                <w:r w:rsidR="00A471CD">
                  <w:rPr>
                    <w:rFonts w:ascii="Arial" w:hAnsi="Arial" w:cs="Arial"/>
                    <w:sz w:val="24"/>
                    <w:szCs w:val="24"/>
                  </w:rPr>
                  <w:t>21</w:t>
                </w:r>
                <w:r w:rsidRPr="00EE31DC">
                  <w:rPr>
                    <w:rFonts w:ascii="Arial" w:hAnsi="Arial" w:cs="Arial"/>
                    <w:sz w:val="24"/>
                    <w:szCs w:val="24"/>
                  </w:rPr>
                  <w:t>)</w:t>
                </w:r>
                <w:r w:rsidR="008F4B79" w:rsidRPr="00EE31DC">
                  <w:rPr>
                    <w:rFonts w:ascii="Arial" w:hAnsi="Arial" w:cs="Arial"/>
                    <w:sz w:val="24"/>
                    <w:szCs w:val="24"/>
                  </w:rPr>
                  <w:t xml:space="preserve"> </w:t>
                </w:r>
              </w:p>
            </w:tc>
            <w:tc>
              <w:tcPr>
                <w:tcW w:w="992" w:type="dxa"/>
              </w:tcPr>
              <w:p w14:paraId="2B94937F" w14:textId="7A0F1A45" w:rsidR="008F4B79" w:rsidRPr="00EE31DC" w:rsidRDefault="008F4B79" w:rsidP="00803516">
                <w:pPr>
                  <w:jc w:val="center"/>
                  <w:rPr>
                    <w:rFonts w:ascii="Arial" w:hAnsi="Arial" w:cs="Arial"/>
                    <w:sz w:val="24"/>
                    <w:szCs w:val="24"/>
                  </w:rPr>
                </w:pPr>
                <w:r w:rsidRPr="00EE31DC">
                  <w:rPr>
                    <w:rFonts w:ascii="Arial" w:hAnsi="Arial" w:cs="Arial"/>
                    <w:sz w:val="24"/>
                    <w:szCs w:val="24"/>
                  </w:rPr>
                  <w:t xml:space="preserve"> </w:t>
                </w:r>
                <w:r w:rsidR="006A64AD" w:rsidRPr="00EE31DC">
                  <w:rPr>
                    <w:rFonts w:ascii="Arial" w:hAnsi="Arial" w:cs="Arial"/>
                    <w:sz w:val="24"/>
                    <w:szCs w:val="24"/>
                  </w:rPr>
                  <w:t>(27)</w:t>
                </w:r>
              </w:p>
            </w:tc>
            <w:tc>
              <w:tcPr>
                <w:tcW w:w="992" w:type="dxa"/>
              </w:tcPr>
              <w:p w14:paraId="7DEB33B1" w14:textId="28545DBA" w:rsidR="008F4B79" w:rsidRPr="00EE31DC" w:rsidRDefault="006A64AD" w:rsidP="006A64AD">
                <w:pPr>
                  <w:rPr>
                    <w:rFonts w:ascii="Arial" w:hAnsi="Arial" w:cs="Arial"/>
                    <w:sz w:val="24"/>
                    <w:szCs w:val="24"/>
                  </w:rPr>
                </w:pPr>
                <w:r w:rsidRPr="00EE31DC">
                  <w:rPr>
                    <w:rFonts w:ascii="Arial" w:hAnsi="Arial" w:cs="Arial"/>
                    <w:sz w:val="24"/>
                    <w:szCs w:val="24"/>
                  </w:rPr>
                  <w:t xml:space="preserve">   (24)</w:t>
                </w:r>
                <w:r w:rsidR="008F4B79" w:rsidRPr="00EE31DC">
                  <w:rPr>
                    <w:rFonts w:ascii="Arial" w:hAnsi="Arial" w:cs="Arial"/>
                    <w:sz w:val="24"/>
                    <w:szCs w:val="24"/>
                  </w:rPr>
                  <w:t xml:space="preserve"> </w:t>
                </w:r>
              </w:p>
            </w:tc>
          </w:tr>
          <w:tr w:rsidR="008F4B79" w:rsidRPr="00EE31DC" w14:paraId="374E61E0" w14:textId="77777777" w:rsidTr="00803516">
            <w:trPr>
              <w:trHeight w:val="407"/>
            </w:trPr>
            <w:tc>
              <w:tcPr>
                <w:tcW w:w="3260" w:type="dxa"/>
              </w:tcPr>
              <w:p w14:paraId="66D9F25D" w14:textId="77777777" w:rsidR="008F4B79" w:rsidRPr="00EE31DC" w:rsidRDefault="008F4B79" w:rsidP="00803516">
                <w:pPr>
                  <w:rPr>
                    <w:rFonts w:ascii="Arial" w:hAnsi="Arial" w:cs="Arial"/>
                    <w:sz w:val="24"/>
                    <w:szCs w:val="24"/>
                  </w:rPr>
                </w:pPr>
                <w:r w:rsidRPr="00EE31DC">
                  <w:rPr>
                    <w:rFonts w:ascii="Arial" w:hAnsi="Arial" w:cs="Arial"/>
                    <w:sz w:val="24"/>
                    <w:szCs w:val="24"/>
                  </w:rPr>
                  <w:t>Opening balance</w:t>
                </w:r>
              </w:p>
            </w:tc>
            <w:tc>
              <w:tcPr>
                <w:tcW w:w="992" w:type="dxa"/>
              </w:tcPr>
              <w:p w14:paraId="5233BEA3" w14:textId="2C52EFA7"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D677BA" w:rsidRPr="00EE31DC">
                  <w:rPr>
                    <w:rFonts w:ascii="Arial" w:hAnsi="Arial" w:cs="Arial"/>
                    <w:sz w:val="24"/>
                    <w:szCs w:val="24"/>
                    <w:u w:val="single"/>
                  </w:rPr>
                  <w:t>(25)</w:t>
                </w:r>
              </w:p>
            </w:tc>
            <w:tc>
              <w:tcPr>
                <w:tcW w:w="992" w:type="dxa"/>
              </w:tcPr>
              <w:p w14:paraId="26255FCA" w14:textId="0D4D6050"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6A64AD" w:rsidRPr="00EE31DC">
                  <w:rPr>
                    <w:rFonts w:ascii="Arial" w:hAnsi="Arial" w:cs="Arial"/>
                    <w:sz w:val="24"/>
                    <w:szCs w:val="24"/>
                    <w:u w:val="single"/>
                  </w:rPr>
                  <w:t>(</w:t>
                </w:r>
                <w:r w:rsidR="00D3456B">
                  <w:rPr>
                    <w:rFonts w:ascii="Arial" w:hAnsi="Arial" w:cs="Arial"/>
                    <w:sz w:val="24"/>
                    <w:szCs w:val="24"/>
                    <w:u w:val="single"/>
                  </w:rPr>
                  <w:t>47</w:t>
                </w:r>
                <w:r w:rsidR="006A64AD" w:rsidRPr="00EE31DC">
                  <w:rPr>
                    <w:rFonts w:ascii="Arial" w:hAnsi="Arial" w:cs="Arial"/>
                    <w:sz w:val="24"/>
                    <w:szCs w:val="24"/>
                    <w:u w:val="single"/>
                  </w:rPr>
                  <w:t>)</w:t>
                </w:r>
              </w:p>
            </w:tc>
            <w:tc>
              <w:tcPr>
                <w:tcW w:w="993" w:type="dxa"/>
              </w:tcPr>
              <w:p w14:paraId="02D8836E" w14:textId="7F5FAB6C"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A471CD">
                  <w:rPr>
                    <w:rFonts w:ascii="Arial" w:hAnsi="Arial" w:cs="Arial"/>
                    <w:sz w:val="24"/>
                    <w:szCs w:val="24"/>
                    <w:u w:val="single"/>
                  </w:rPr>
                  <w:t>(24)</w:t>
                </w:r>
              </w:p>
            </w:tc>
            <w:tc>
              <w:tcPr>
                <w:tcW w:w="992" w:type="dxa"/>
              </w:tcPr>
              <w:p w14:paraId="4736CB88" w14:textId="7F8B15E7"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A471CD">
                  <w:rPr>
                    <w:rFonts w:ascii="Arial" w:hAnsi="Arial" w:cs="Arial"/>
                    <w:sz w:val="24"/>
                    <w:szCs w:val="24"/>
                    <w:u w:val="single"/>
                  </w:rPr>
                  <w:t>(1)</w:t>
                </w:r>
              </w:p>
            </w:tc>
            <w:tc>
              <w:tcPr>
                <w:tcW w:w="992" w:type="dxa"/>
              </w:tcPr>
              <w:p w14:paraId="1C2AFF92" w14:textId="2FBEA76E" w:rsidR="008F4B79" w:rsidRPr="00EE31DC" w:rsidRDefault="006A64AD" w:rsidP="00803516">
                <w:pPr>
                  <w:jc w:val="center"/>
                  <w:rPr>
                    <w:rFonts w:ascii="Arial" w:hAnsi="Arial" w:cs="Arial"/>
                    <w:sz w:val="24"/>
                    <w:szCs w:val="24"/>
                    <w:u w:val="single"/>
                  </w:rPr>
                </w:pPr>
                <w:r w:rsidRPr="00EE31DC">
                  <w:rPr>
                    <w:rFonts w:ascii="Arial" w:hAnsi="Arial" w:cs="Arial"/>
                    <w:sz w:val="24"/>
                    <w:szCs w:val="24"/>
                    <w:u w:val="single"/>
                  </w:rPr>
                  <w:t>(2</w:t>
                </w:r>
                <w:r w:rsidR="00A471CD">
                  <w:rPr>
                    <w:rFonts w:ascii="Arial" w:hAnsi="Arial" w:cs="Arial"/>
                    <w:sz w:val="24"/>
                    <w:szCs w:val="24"/>
                    <w:u w:val="single"/>
                  </w:rPr>
                  <w:t>2</w:t>
                </w:r>
                <w:r w:rsidRPr="00EE31DC">
                  <w:rPr>
                    <w:rFonts w:ascii="Arial" w:hAnsi="Arial" w:cs="Arial"/>
                    <w:sz w:val="24"/>
                    <w:szCs w:val="24"/>
                    <w:u w:val="single"/>
                  </w:rPr>
                  <w:t>)</w:t>
                </w:r>
                <w:r w:rsidR="008F4B79" w:rsidRPr="00EE31DC">
                  <w:rPr>
                    <w:rFonts w:ascii="Arial" w:hAnsi="Arial" w:cs="Arial"/>
                    <w:sz w:val="24"/>
                    <w:szCs w:val="24"/>
                    <w:u w:val="single"/>
                  </w:rPr>
                  <w:t xml:space="preserve"> </w:t>
                </w:r>
              </w:p>
            </w:tc>
            <w:tc>
              <w:tcPr>
                <w:tcW w:w="992" w:type="dxa"/>
              </w:tcPr>
              <w:p w14:paraId="389B4261" w14:textId="0284A6C3" w:rsidR="008F4B79" w:rsidRPr="00EE31DC" w:rsidRDefault="008F4B79" w:rsidP="00803516">
                <w:pPr>
                  <w:jc w:val="center"/>
                  <w:rPr>
                    <w:rFonts w:ascii="Arial" w:hAnsi="Arial" w:cs="Arial"/>
                    <w:sz w:val="24"/>
                    <w:szCs w:val="24"/>
                    <w:u w:val="single"/>
                  </w:rPr>
                </w:pPr>
                <w:r w:rsidRPr="00EE31DC">
                  <w:rPr>
                    <w:rFonts w:ascii="Arial" w:hAnsi="Arial" w:cs="Arial"/>
                    <w:sz w:val="24"/>
                    <w:szCs w:val="24"/>
                    <w:u w:val="single"/>
                  </w:rPr>
                  <w:t xml:space="preserve"> </w:t>
                </w:r>
                <w:r w:rsidR="006A64AD" w:rsidRPr="00EE31DC">
                  <w:rPr>
                    <w:rFonts w:ascii="Arial" w:hAnsi="Arial" w:cs="Arial"/>
                    <w:sz w:val="24"/>
                    <w:szCs w:val="24"/>
                    <w:u w:val="single"/>
                  </w:rPr>
                  <w:t>(</w:t>
                </w:r>
                <w:r w:rsidR="00A471CD">
                  <w:rPr>
                    <w:rFonts w:ascii="Arial" w:hAnsi="Arial" w:cs="Arial"/>
                    <w:sz w:val="24"/>
                    <w:szCs w:val="24"/>
                    <w:u w:val="single"/>
                  </w:rPr>
                  <w:t>49</w:t>
                </w:r>
                <w:r w:rsidR="006A64AD" w:rsidRPr="00EE31DC">
                  <w:rPr>
                    <w:rFonts w:ascii="Arial" w:hAnsi="Arial" w:cs="Arial"/>
                    <w:sz w:val="24"/>
                    <w:szCs w:val="24"/>
                    <w:u w:val="single"/>
                  </w:rPr>
                  <w:t>)</w:t>
                </w:r>
              </w:p>
            </w:tc>
          </w:tr>
          <w:tr w:rsidR="008F4B79" w:rsidRPr="00EE31DC" w14:paraId="3409A111" w14:textId="77777777" w:rsidTr="00803516">
            <w:trPr>
              <w:trHeight w:val="426"/>
            </w:trPr>
            <w:tc>
              <w:tcPr>
                <w:tcW w:w="3260" w:type="dxa"/>
              </w:tcPr>
              <w:p w14:paraId="550D91A9" w14:textId="77777777" w:rsidR="008F4B79" w:rsidRPr="00EE31DC" w:rsidRDefault="008F4B79" w:rsidP="00803516">
                <w:pPr>
                  <w:rPr>
                    <w:rFonts w:ascii="Arial" w:hAnsi="Arial" w:cs="Arial"/>
                    <w:sz w:val="24"/>
                    <w:szCs w:val="24"/>
                  </w:rPr>
                </w:pPr>
                <w:r w:rsidRPr="00EE31DC">
                  <w:rPr>
                    <w:rFonts w:ascii="Arial" w:hAnsi="Arial" w:cs="Arial"/>
                    <w:sz w:val="24"/>
                    <w:szCs w:val="24"/>
                  </w:rPr>
                  <w:t>Closing balance</w:t>
                </w:r>
              </w:p>
            </w:tc>
            <w:tc>
              <w:tcPr>
                <w:tcW w:w="992" w:type="dxa"/>
              </w:tcPr>
              <w:p w14:paraId="0499DE95" w14:textId="50E875DF" w:rsidR="008F4B79" w:rsidRPr="00EE31DC" w:rsidRDefault="006A64AD" w:rsidP="00803516">
                <w:pPr>
                  <w:jc w:val="center"/>
                  <w:rPr>
                    <w:rFonts w:ascii="Arial" w:hAnsi="Arial" w:cs="Arial"/>
                    <w:sz w:val="24"/>
                    <w:szCs w:val="24"/>
                  </w:rPr>
                </w:pPr>
                <w:r w:rsidRPr="00EE31DC">
                  <w:rPr>
                    <w:rFonts w:ascii="Arial" w:hAnsi="Arial" w:cs="Arial"/>
                    <w:sz w:val="24"/>
                    <w:szCs w:val="24"/>
                  </w:rPr>
                  <w:t>(</w:t>
                </w:r>
                <w:r w:rsidR="00D3456B">
                  <w:rPr>
                    <w:rFonts w:ascii="Arial" w:hAnsi="Arial" w:cs="Arial"/>
                    <w:sz w:val="24"/>
                    <w:szCs w:val="24"/>
                  </w:rPr>
                  <w:t>47</w:t>
                </w:r>
                <w:r w:rsidRPr="00EE31DC">
                  <w:rPr>
                    <w:rFonts w:ascii="Arial" w:hAnsi="Arial" w:cs="Arial"/>
                    <w:sz w:val="24"/>
                    <w:szCs w:val="24"/>
                  </w:rPr>
                  <w:t>)</w:t>
                </w:r>
                <w:r w:rsidR="008F4B79" w:rsidRPr="00EE31DC">
                  <w:rPr>
                    <w:rFonts w:ascii="Arial" w:hAnsi="Arial" w:cs="Arial"/>
                    <w:sz w:val="24"/>
                    <w:szCs w:val="24"/>
                  </w:rPr>
                  <w:t xml:space="preserve"> </w:t>
                </w:r>
              </w:p>
            </w:tc>
            <w:tc>
              <w:tcPr>
                <w:tcW w:w="992" w:type="dxa"/>
              </w:tcPr>
              <w:p w14:paraId="1DFCB9F8" w14:textId="048575D5" w:rsidR="008F4B79" w:rsidRPr="00EE31DC" w:rsidRDefault="00D3456B" w:rsidP="00D3456B">
                <w:pPr>
                  <w:rPr>
                    <w:rFonts w:ascii="Arial" w:hAnsi="Arial" w:cs="Arial"/>
                    <w:sz w:val="24"/>
                    <w:szCs w:val="24"/>
                  </w:rPr>
                </w:pPr>
                <w:r>
                  <w:rPr>
                    <w:rFonts w:ascii="Arial" w:hAnsi="Arial" w:cs="Arial"/>
                    <w:sz w:val="24"/>
                    <w:szCs w:val="24"/>
                  </w:rPr>
                  <w:t xml:space="preserve">    (24)</w:t>
                </w:r>
              </w:p>
            </w:tc>
            <w:tc>
              <w:tcPr>
                <w:tcW w:w="993" w:type="dxa"/>
              </w:tcPr>
              <w:p w14:paraId="03772FA5" w14:textId="3DF35509" w:rsidR="008F4B79" w:rsidRPr="00EE31DC" w:rsidRDefault="00A471CD" w:rsidP="00803516">
                <w:pPr>
                  <w:jc w:val="center"/>
                  <w:rPr>
                    <w:rFonts w:ascii="Arial" w:hAnsi="Arial" w:cs="Arial"/>
                    <w:sz w:val="24"/>
                    <w:szCs w:val="24"/>
                  </w:rPr>
                </w:pPr>
                <w:r>
                  <w:rPr>
                    <w:rFonts w:ascii="Arial" w:hAnsi="Arial" w:cs="Arial"/>
                    <w:sz w:val="24"/>
                    <w:szCs w:val="24"/>
                  </w:rPr>
                  <w:t>(1)</w:t>
                </w:r>
              </w:p>
            </w:tc>
            <w:tc>
              <w:tcPr>
                <w:tcW w:w="992" w:type="dxa"/>
              </w:tcPr>
              <w:p w14:paraId="0E6B8A89" w14:textId="09E28175" w:rsidR="008F4B79" w:rsidRPr="00EE31DC" w:rsidRDefault="008F4B79" w:rsidP="00803516">
                <w:pPr>
                  <w:jc w:val="center"/>
                  <w:rPr>
                    <w:rFonts w:ascii="Arial" w:hAnsi="Arial" w:cs="Arial"/>
                    <w:sz w:val="24"/>
                    <w:szCs w:val="24"/>
                  </w:rPr>
                </w:pPr>
                <w:r w:rsidRPr="00EE31DC">
                  <w:rPr>
                    <w:rFonts w:ascii="Arial" w:hAnsi="Arial" w:cs="Arial"/>
                    <w:sz w:val="24"/>
                    <w:szCs w:val="24"/>
                  </w:rPr>
                  <w:t xml:space="preserve"> </w:t>
                </w:r>
                <w:r w:rsidR="006A64AD" w:rsidRPr="00EE31DC">
                  <w:rPr>
                    <w:rFonts w:ascii="Arial" w:hAnsi="Arial" w:cs="Arial"/>
                    <w:sz w:val="24"/>
                    <w:szCs w:val="24"/>
                  </w:rPr>
                  <w:t>(2</w:t>
                </w:r>
                <w:r w:rsidR="00A471CD">
                  <w:rPr>
                    <w:rFonts w:ascii="Arial" w:hAnsi="Arial" w:cs="Arial"/>
                    <w:sz w:val="24"/>
                    <w:szCs w:val="24"/>
                  </w:rPr>
                  <w:t>2</w:t>
                </w:r>
                <w:r w:rsidR="006A64AD" w:rsidRPr="00EE31DC">
                  <w:rPr>
                    <w:rFonts w:ascii="Arial" w:hAnsi="Arial" w:cs="Arial"/>
                    <w:sz w:val="24"/>
                    <w:szCs w:val="24"/>
                  </w:rPr>
                  <w:t>)</w:t>
                </w:r>
              </w:p>
            </w:tc>
            <w:tc>
              <w:tcPr>
                <w:tcW w:w="992" w:type="dxa"/>
              </w:tcPr>
              <w:p w14:paraId="4EAE6915" w14:textId="69FFEBA3" w:rsidR="008F4B79" w:rsidRPr="00EE31DC" w:rsidRDefault="006A64AD" w:rsidP="00803516">
                <w:pPr>
                  <w:jc w:val="center"/>
                  <w:rPr>
                    <w:rFonts w:ascii="Arial" w:hAnsi="Arial" w:cs="Arial"/>
                    <w:sz w:val="24"/>
                    <w:szCs w:val="24"/>
                  </w:rPr>
                </w:pPr>
                <w:r w:rsidRPr="00EE31DC">
                  <w:rPr>
                    <w:rFonts w:ascii="Arial" w:hAnsi="Arial" w:cs="Arial"/>
                    <w:sz w:val="24"/>
                    <w:szCs w:val="24"/>
                  </w:rPr>
                  <w:t>(</w:t>
                </w:r>
                <w:r w:rsidR="00A471CD">
                  <w:rPr>
                    <w:rFonts w:ascii="Arial" w:hAnsi="Arial" w:cs="Arial"/>
                    <w:sz w:val="24"/>
                    <w:szCs w:val="24"/>
                  </w:rPr>
                  <w:t>49</w:t>
                </w:r>
                <w:r w:rsidRPr="00EE31DC">
                  <w:rPr>
                    <w:rFonts w:ascii="Arial" w:hAnsi="Arial" w:cs="Arial"/>
                    <w:sz w:val="24"/>
                    <w:szCs w:val="24"/>
                  </w:rPr>
                  <w:t>)</w:t>
                </w:r>
                <w:r w:rsidR="008F4B79" w:rsidRPr="00EE31DC">
                  <w:rPr>
                    <w:rFonts w:ascii="Arial" w:hAnsi="Arial" w:cs="Arial"/>
                    <w:sz w:val="24"/>
                    <w:szCs w:val="24"/>
                  </w:rPr>
                  <w:t xml:space="preserve"> </w:t>
                </w:r>
              </w:p>
            </w:tc>
            <w:tc>
              <w:tcPr>
                <w:tcW w:w="992" w:type="dxa"/>
              </w:tcPr>
              <w:p w14:paraId="14023721" w14:textId="77043098" w:rsidR="008F4B79" w:rsidRPr="00EE31DC" w:rsidRDefault="008F4B79" w:rsidP="00803516">
                <w:pPr>
                  <w:jc w:val="center"/>
                  <w:rPr>
                    <w:rFonts w:ascii="Arial" w:hAnsi="Arial" w:cs="Arial"/>
                    <w:sz w:val="24"/>
                    <w:szCs w:val="24"/>
                  </w:rPr>
                </w:pPr>
                <w:r w:rsidRPr="00EE31DC">
                  <w:rPr>
                    <w:rFonts w:ascii="Arial" w:hAnsi="Arial" w:cs="Arial"/>
                    <w:sz w:val="24"/>
                    <w:szCs w:val="24"/>
                  </w:rPr>
                  <w:t xml:space="preserve"> </w:t>
                </w:r>
                <w:r w:rsidR="006A64AD" w:rsidRPr="00EE31DC">
                  <w:rPr>
                    <w:rFonts w:ascii="Arial" w:hAnsi="Arial" w:cs="Arial"/>
                    <w:sz w:val="24"/>
                    <w:szCs w:val="24"/>
                  </w:rPr>
                  <w:t>(7</w:t>
                </w:r>
                <w:r w:rsidR="00A471CD">
                  <w:rPr>
                    <w:rFonts w:ascii="Arial" w:hAnsi="Arial" w:cs="Arial"/>
                    <w:sz w:val="24"/>
                    <w:szCs w:val="24"/>
                  </w:rPr>
                  <w:t>3</w:t>
                </w:r>
                <w:r w:rsidR="006A64AD" w:rsidRPr="00EE31DC">
                  <w:rPr>
                    <w:rFonts w:ascii="Arial" w:hAnsi="Arial" w:cs="Arial"/>
                    <w:sz w:val="24"/>
                    <w:szCs w:val="24"/>
                  </w:rPr>
                  <w:t>)</w:t>
                </w:r>
              </w:p>
            </w:tc>
          </w:tr>
        </w:tbl>
        <w:p w14:paraId="7074C5DD" w14:textId="77777777" w:rsidR="008F4B79" w:rsidRPr="00EE31DC" w:rsidRDefault="008F4B79" w:rsidP="008F4B79">
          <w:pPr>
            <w:spacing w:line="240" w:lineRule="auto"/>
            <w:ind w:left="360" w:firstLine="360"/>
            <w:rPr>
              <w:rFonts w:ascii="Arial" w:hAnsi="Arial" w:cs="Arial"/>
              <w:sz w:val="24"/>
              <w:szCs w:val="24"/>
            </w:rPr>
          </w:pPr>
        </w:p>
        <w:p w14:paraId="4AD7B46F" w14:textId="77777777" w:rsidR="008F4B79" w:rsidRPr="00EE31DC" w:rsidRDefault="008F4B79" w:rsidP="008F4B79">
          <w:pPr>
            <w:pStyle w:val="ListParagraph"/>
            <w:numPr>
              <w:ilvl w:val="0"/>
              <w:numId w:val="1"/>
            </w:numPr>
            <w:ind w:left="851"/>
            <w:jc w:val="both"/>
            <w:rPr>
              <w:rFonts w:ascii="Arial" w:hAnsi="Arial" w:cs="Arial"/>
              <w:sz w:val="24"/>
              <w:szCs w:val="24"/>
            </w:rPr>
          </w:pPr>
          <w:bookmarkStart w:id="8" w:name="OLE_LINK1"/>
          <w:bookmarkStart w:id="9" w:name="OLE_LINK2"/>
          <w:r w:rsidRPr="00EE31DC">
            <w:rPr>
              <w:rFonts w:ascii="Arial" w:hAnsi="Arial" w:cs="Arial"/>
              <w:sz w:val="24"/>
              <w:szCs w:val="24"/>
            </w:rPr>
            <w:t>The (</w:t>
          </w:r>
          <w:r w:rsidRPr="00EE31DC">
            <w:rPr>
              <w:rFonts w:ascii="Arial" w:hAnsi="Arial" w:cs="Arial"/>
              <w:i/>
              <w:sz w:val="24"/>
              <w:szCs w:val="24"/>
            </w:rPr>
            <w:t>accruals-based)</w:t>
          </w:r>
          <w:r w:rsidRPr="00EE31DC">
            <w:rPr>
              <w:rFonts w:ascii="Arial" w:hAnsi="Arial" w:cs="Arial"/>
              <w:sz w:val="24"/>
              <w:szCs w:val="24"/>
            </w:rPr>
            <w:t xml:space="preserve"> budgeted Profit &amp; Loss Account for the six months ending 30 November is:</w:t>
          </w:r>
        </w:p>
        <w:bookmarkEnd w:id="8"/>
        <w:bookmarkEnd w:id="9"/>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rsidRPr="00EE31DC" w14:paraId="20E9B54F" w14:textId="77777777" w:rsidTr="00803516">
            <w:tc>
              <w:tcPr>
                <w:tcW w:w="2409" w:type="dxa"/>
              </w:tcPr>
              <w:p w14:paraId="5031D79F" w14:textId="77777777" w:rsidR="008F4B79" w:rsidRPr="00EE31DC" w:rsidRDefault="008F4B79" w:rsidP="00803516">
                <w:pPr>
                  <w:rPr>
                    <w:rFonts w:ascii="Arial" w:hAnsi="Arial" w:cs="Arial"/>
                    <w:sz w:val="24"/>
                    <w:szCs w:val="24"/>
                  </w:rPr>
                </w:pPr>
              </w:p>
            </w:tc>
            <w:tc>
              <w:tcPr>
                <w:tcW w:w="1134" w:type="dxa"/>
              </w:tcPr>
              <w:p w14:paraId="2329CBAD" w14:textId="77777777" w:rsidR="008F4B79" w:rsidRPr="00EE31DC" w:rsidRDefault="008F4B79" w:rsidP="00803516">
                <w:pPr>
                  <w:jc w:val="right"/>
                  <w:rPr>
                    <w:rFonts w:ascii="Arial" w:hAnsi="Arial" w:cs="Arial"/>
                    <w:b/>
                    <w:sz w:val="24"/>
                    <w:szCs w:val="24"/>
                  </w:rPr>
                </w:pPr>
                <w:r w:rsidRPr="00EE31DC">
                  <w:rPr>
                    <w:rFonts w:ascii="Arial" w:hAnsi="Arial" w:cs="Arial"/>
                    <w:b/>
                    <w:sz w:val="24"/>
                    <w:szCs w:val="24"/>
                  </w:rPr>
                  <w:t>£000</w:t>
                </w:r>
              </w:p>
            </w:tc>
            <w:tc>
              <w:tcPr>
                <w:tcW w:w="3544" w:type="dxa"/>
              </w:tcPr>
              <w:p w14:paraId="15776851" w14:textId="77777777" w:rsidR="008F4B79" w:rsidRPr="00EE31DC" w:rsidRDefault="008F4B79" w:rsidP="00803516">
                <w:pPr>
                  <w:rPr>
                    <w:rFonts w:ascii="Arial" w:hAnsi="Arial" w:cs="Arial"/>
                    <w:b/>
                    <w:sz w:val="24"/>
                    <w:szCs w:val="24"/>
                  </w:rPr>
                </w:pPr>
                <w:r w:rsidRPr="00EE31DC">
                  <w:rPr>
                    <w:rFonts w:ascii="Arial" w:hAnsi="Arial" w:cs="Arial"/>
                    <w:b/>
                    <w:sz w:val="24"/>
                    <w:szCs w:val="24"/>
                  </w:rPr>
                  <w:t>Calculation</w:t>
                </w:r>
              </w:p>
            </w:tc>
          </w:tr>
          <w:tr w:rsidR="008F4B79" w:rsidRPr="00EE31DC" w14:paraId="3439859E" w14:textId="77777777" w:rsidTr="00803516">
            <w:trPr>
              <w:trHeight w:val="439"/>
            </w:trPr>
            <w:tc>
              <w:tcPr>
                <w:tcW w:w="2409" w:type="dxa"/>
              </w:tcPr>
              <w:p w14:paraId="40DD4EEC" w14:textId="77777777" w:rsidR="008F4B79" w:rsidRPr="00EE31DC" w:rsidRDefault="008F4B79" w:rsidP="00803516">
                <w:pPr>
                  <w:rPr>
                    <w:rFonts w:ascii="Arial" w:hAnsi="Arial" w:cs="Arial"/>
                    <w:sz w:val="24"/>
                    <w:szCs w:val="24"/>
                  </w:rPr>
                </w:pPr>
                <w:r w:rsidRPr="00EE31DC">
                  <w:rPr>
                    <w:rFonts w:ascii="Arial" w:hAnsi="Arial" w:cs="Arial"/>
                    <w:sz w:val="24"/>
                    <w:szCs w:val="24"/>
                  </w:rPr>
                  <w:t xml:space="preserve">Sales </w:t>
                </w:r>
              </w:p>
            </w:tc>
            <w:tc>
              <w:tcPr>
                <w:tcW w:w="1134" w:type="dxa"/>
              </w:tcPr>
              <w:p w14:paraId="0529888F" w14:textId="60F7CEA3" w:rsidR="008F4B79" w:rsidRPr="00EE31DC" w:rsidRDefault="00F42424" w:rsidP="00803516">
                <w:pPr>
                  <w:jc w:val="right"/>
                  <w:rPr>
                    <w:rFonts w:ascii="Arial" w:hAnsi="Arial" w:cs="Arial"/>
                    <w:sz w:val="24"/>
                    <w:szCs w:val="24"/>
                  </w:rPr>
                </w:pPr>
                <w:r w:rsidRPr="00EE31DC">
                  <w:rPr>
                    <w:rFonts w:ascii="Arial" w:hAnsi="Arial" w:cs="Arial"/>
                    <w:sz w:val="24"/>
                    <w:szCs w:val="24"/>
                  </w:rPr>
                  <w:t>1,420</w:t>
                </w:r>
                <w:r w:rsidR="008F4B79" w:rsidRPr="00EE31DC">
                  <w:rPr>
                    <w:rFonts w:ascii="Arial" w:hAnsi="Arial" w:cs="Arial"/>
                    <w:sz w:val="24"/>
                    <w:szCs w:val="24"/>
                  </w:rPr>
                  <w:t xml:space="preserve"> </w:t>
                </w:r>
              </w:p>
            </w:tc>
            <w:tc>
              <w:tcPr>
                <w:tcW w:w="3544" w:type="dxa"/>
              </w:tcPr>
              <w:p w14:paraId="25687ABE" w14:textId="77777777" w:rsidR="008F4B79" w:rsidRPr="00EE31DC" w:rsidRDefault="008F4B79" w:rsidP="00803516">
                <w:pPr>
                  <w:rPr>
                    <w:rFonts w:ascii="Arial" w:hAnsi="Arial" w:cs="Arial"/>
                    <w:sz w:val="24"/>
                    <w:szCs w:val="24"/>
                  </w:rPr>
                </w:pPr>
                <w:r w:rsidRPr="00EE31DC">
                  <w:rPr>
                    <w:rFonts w:ascii="Arial" w:hAnsi="Arial" w:cs="Arial"/>
                    <w:sz w:val="24"/>
                    <w:szCs w:val="24"/>
                  </w:rPr>
                  <w:t xml:space="preserve"> </w:t>
                </w:r>
              </w:p>
            </w:tc>
          </w:tr>
          <w:tr w:rsidR="008F4B79" w:rsidRPr="00EE31DC" w14:paraId="6ADA0140" w14:textId="77777777" w:rsidTr="00803516">
            <w:trPr>
              <w:trHeight w:val="414"/>
            </w:trPr>
            <w:tc>
              <w:tcPr>
                <w:tcW w:w="2409" w:type="dxa"/>
              </w:tcPr>
              <w:p w14:paraId="1DC7D9E3" w14:textId="77777777" w:rsidR="008F4B79" w:rsidRPr="00EE31DC" w:rsidRDefault="008F4B79" w:rsidP="00803516">
                <w:pPr>
                  <w:rPr>
                    <w:rFonts w:ascii="Arial" w:hAnsi="Arial" w:cs="Arial"/>
                    <w:sz w:val="24"/>
                    <w:szCs w:val="24"/>
                  </w:rPr>
                </w:pPr>
                <w:r w:rsidRPr="00EE31DC">
                  <w:rPr>
                    <w:rFonts w:ascii="Arial" w:hAnsi="Arial" w:cs="Arial"/>
                    <w:sz w:val="24"/>
                    <w:szCs w:val="24"/>
                  </w:rPr>
                  <w:t>Cost of goods sold</w:t>
                </w:r>
              </w:p>
            </w:tc>
            <w:tc>
              <w:tcPr>
                <w:tcW w:w="1134" w:type="dxa"/>
              </w:tcPr>
              <w:p w14:paraId="16FEAAFD" w14:textId="4E72C5A4"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w:t>
                </w:r>
                <w:r w:rsidR="00F42424" w:rsidRPr="00EE31DC">
                  <w:rPr>
                    <w:rFonts w:ascii="Arial" w:hAnsi="Arial" w:cs="Arial"/>
                    <w:sz w:val="24"/>
                    <w:szCs w:val="24"/>
                    <w:u w:val="single"/>
                  </w:rPr>
                  <w:t>994</w:t>
                </w:r>
                <w:r w:rsidRPr="00EE31DC">
                  <w:rPr>
                    <w:rFonts w:ascii="Arial" w:hAnsi="Arial" w:cs="Arial"/>
                    <w:sz w:val="24"/>
                    <w:szCs w:val="24"/>
                    <w:u w:val="single"/>
                  </w:rPr>
                  <w:t>)</w:t>
                </w:r>
              </w:p>
            </w:tc>
            <w:tc>
              <w:tcPr>
                <w:tcW w:w="3544" w:type="dxa"/>
              </w:tcPr>
              <w:p w14:paraId="42F2775D" w14:textId="77777777" w:rsidR="008F4B79" w:rsidRPr="00EE31DC" w:rsidRDefault="008F4B79" w:rsidP="00803516">
                <w:pPr>
                  <w:rPr>
                    <w:rFonts w:ascii="Arial" w:hAnsi="Arial" w:cs="Arial"/>
                    <w:sz w:val="24"/>
                    <w:szCs w:val="24"/>
                  </w:rPr>
                </w:pPr>
                <w:r w:rsidRPr="00EE31DC">
                  <w:rPr>
                    <w:rFonts w:ascii="Arial" w:hAnsi="Arial" w:cs="Arial"/>
                    <w:sz w:val="24"/>
                    <w:szCs w:val="24"/>
                  </w:rPr>
                  <w:t xml:space="preserve">therefore  </w:t>
                </w:r>
              </w:p>
            </w:tc>
          </w:tr>
          <w:tr w:rsidR="008F4B79" w:rsidRPr="00EE31DC" w14:paraId="3C2F039C" w14:textId="77777777" w:rsidTr="00803516">
            <w:trPr>
              <w:trHeight w:val="407"/>
            </w:trPr>
            <w:tc>
              <w:tcPr>
                <w:tcW w:w="2409" w:type="dxa"/>
              </w:tcPr>
              <w:p w14:paraId="486EE59E" w14:textId="77777777" w:rsidR="008F4B79" w:rsidRPr="00EE31DC" w:rsidRDefault="008F4B79" w:rsidP="00803516">
                <w:pPr>
                  <w:rPr>
                    <w:rFonts w:ascii="Arial" w:hAnsi="Arial" w:cs="Arial"/>
                    <w:sz w:val="24"/>
                    <w:szCs w:val="24"/>
                  </w:rPr>
                </w:pPr>
                <w:r w:rsidRPr="00EE31DC">
                  <w:rPr>
                    <w:rFonts w:ascii="Arial" w:hAnsi="Arial" w:cs="Arial"/>
                    <w:sz w:val="24"/>
                    <w:szCs w:val="24"/>
                  </w:rPr>
                  <w:t>Gross profit</w:t>
                </w:r>
              </w:p>
            </w:tc>
            <w:tc>
              <w:tcPr>
                <w:tcW w:w="1134" w:type="dxa"/>
              </w:tcPr>
              <w:p w14:paraId="616BB17E" w14:textId="31E50356" w:rsidR="008F4B79" w:rsidRPr="00EE31DC" w:rsidRDefault="00F42424" w:rsidP="00803516">
                <w:pPr>
                  <w:jc w:val="right"/>
                  <w:rPr>
                    <w:rFonts w:ascii="Arial" w:hAnsi="Arial" w:cs="Arial"/>
                    <w:sz w:val="24"/>
                    <w:szCs w:val="24"/>
                  </w:rPr>
                </w:pPr>
                <w:r w:rsidRPr="00EE31DC">
                  <w:rPr>
                    <w:rFonts w:ascii="Arial" w:hAnsi="Arial" w:cs="Arial"/>
                    <w:sz w:val="24"/>
                    <w:szCs w:val="24"/>
                  </w:rPr>
                  <w:t>426</w:t>
                </w:r>
                <w:r w:rsidR="008F4B79" w:rsidRPr="00EE31DC">
                  <w:rPr>
                    <w:rFonts w:ascii="Arial" w:hAnsi="Arial" w:cs="Arial"/>
                    <w:sz w:val="24"/>
                    <w:szCs w:val="24"/>
                  </w:rPr>
                  <w:t xml:space="preserve"> </w:t>
                </w:r>
              </w:p>
            </w:tc>
            <w:tc>
              <w:tcPr>
                <w:tcW w:w="3544" w:type="dxa"/>
              </w:tcPr>
              <w:p w14:paraId="7B851978" w14:textId="09CD35A8" w:rsidR="008F4B79" w:rsidRPr="00EE31DC" w:rsidRDefault="008F4B79" w:rsidP="00803516">
                <w:pPr>
                  <w:rPr>
                    <w:rFonts w:ascii="Arial" w:hAnsi="Arial" w:cs="Arial"/>
                    <w:sz w:val="24"/>
                    <w:szCs w:val="24"/>
                  </w:rPr>
                </w:pPr>
                <w:r w:rsidRPr="00EE31DC">
                  <w:rPr>
                    <w:rFonts w:ascii="Arial" w:hAnsi="Arial" w:cs="Arial"/>
                    <w:sz w:val="24"/>
                    <w:szCs w:val="24"/>
                  </w:rPr>
                  <w:t xml:space="preserve">                                       </w:t>
                </w:r>
              </w:p>
            </w:tc>
          </w:tr>
          <w:tr w:rsidR="008F4B79" w:rsidRPr="00EE31DC" w14:paraId="46C1183F" w14:textId="77777777" w:rsidTr="00803516">
            <w:trPr>
              <w:trHeight w:val="413"/>
            </w:trPr>
            <w:tc>
              <w:tcPr>
                <w:tcW w:w="2409" w:type="dxa"/>
              </w:tcPr>
              <w:p w14:paraId="72AA4A9D" w14:textId="77777777" w:rsidR="008F4B79" w:rsidRPr="00EE31DC" w:rsidRDefault="008F4B79" w:rsidP="00803516">
                <w:pPr>
                  <w:rPr>
                    <w:rFonts w:ascii="Arial" w:hAnsi="Arial" w:cs="Arial"/>
                    <w:sz w:val="24"/>
                    <w:szCs w:val="24"/>
                  </w:rPr>
                </w:pPr>
                <w:r w:rsidRPr="00EE31DC">
                  <w:rPr>
                    <w:rFonts w:ascii="Arial" w:hAnsi="Arial" w:cs="Arial"/>
                    <w:sz w:val="24"/>
                    <w:szCs w:val="24"/>
                  </w:rPr>
                  <w:t>Selling expenses</w:t>
                </w:r>
              </w:p>
            </w:tc>
            <w:tc>
              <w:tcPr>
                <w:tcW w:w="1134" w:type="dxa"/>
              </w:tcPr>
              <w:p w14:paraId="09FD6C2A" w14:textId="1F643A13" w:rsidR="008F4B79" w:rsidRPr="00EE31DC" w:rsidRDefault="008F4B79" w:rsidP="00803516">
                <w:pPr>
                  <w:jc w:val="right"/>
                  <w:rPr>
                    <w:rFonts w:ascii="Arial" w:hAnsi="Arial" w:cs="Arial"/>
                    <w:sz w:val="24"/>
                    <w:szCs w:val="24"/>
                  </w:rPr>
                </w:pPr>
                <w:r w:rsidRPr="00EE31DC">
                  <w:rPr>
                    <w:rFonts w:ascii="Arial" w:hAnsi="Arial" w:cs="Arial"/>
                    <w:sz w:val="24"/>
                    <w:szCs w:val="24"/>
                  </w:rPr>
                  <w:t>(</w:t>
                </w:r>
                <w:r w:rsidR="00F42424" w:rsidRPr="00EE31DC">
                  <w:rPr>
                    <w:rFonts w:ascii="Arial" w:hAnsi="Arial" w:cs="Arial"/>
                    <w:sz w:val="24"/>
                    <w:szCs w:val="24"/>
                  </w:rPr>
                  <w:t>41</w:t>
                </w:r>
                <w:r w:rsidRPr="00EE31DC">
                  <w:rPr>
                    <w:rFonts w:ascii="Arial" w:hAnsi="Arial" w:cs="Arial"/>
                    <w:sz w:val="24"/>
                    <w:szCs w:val="24"/>
                  </w:rPr>
                  <w:t>)</w:t>
                </w:r>
              </w:p>
            </w:tc>
            <w:tc>
              <w:tcPr>
                <w:tcW w:w="3544" w:type="dxa"/>
              </w:tcPr>
              <w:p w14:paraId="5A2B35F0" w14:textId="77777777" w:rsidR="008F4B79" w:rsidRPr="00EE31DC" w:rsidRDefault="008F4B79" w:rsidP="00803516">
                <w:pPr>
                  <w:rPr>
                    <w:rFonts w:ascii="Arial" w:hAnsi="Arial" w:cs="Arial"/>
                    <w:sz w:val="24"/>
                    <w:szCs w:val="24"/>
                  </w:rPr>
                </w:pPr>
                <w:r w:rsidRPr="00EE31DC">
                  <w:rPr>
                    <w:rFonts w:ascii="Arial" w:hAnsi="Arial" w:cs="Arial"/>
                    <w:sz w:val="24"/>
                    <w:szCs w:val="24"/>
                  </w:rPr>
                  <w:t xml:space="preserve"> </w:t>
                </w:r>
              </w:p>
            </w:tc>
          </w:tr>
          <w:tr w:rsidR="008F4B79" w:rsidRPr="00EE31DC" w14:paraId="24BAAB0B" w14:textId="77777777" w:rsidTr="00803516">
            <w:trPr>
              <w:trHeight w:val="419"/>
            </w:trPr>
            <w:tc>
              <w:tcPr>
                <w:tcW w:w="2409" w:type="dxa"/>
              </w:tcPr>
              <w:p w14:paraId="78CBFD7A" w14:textId="77777777" w:rsidR="008F4B79" w:rsidRPr="00EE31DC" w:rsidRDefault="008F4B79" w:rsidP="00803516">
                <w:pPr>
                  <w:rPr>
                    <w:rFonts w:ascii="Arial" w:hAnsi="Arial" w:cs="Arial"/>
                    <w:sz w:val="24"/>
                    <w:szCs w:val="24"/>
                  </w:rPr>
                </w:pPr>
                <w:r w:rsidRPr="00EE31DC">
                  <w:rPr>
                    <w:rFonts w:ascii="Arial" w:hAnsi="Arial" w:cs="Arial"/>
                    <w:sz w:val="24"/>
                    <w:szCs w:val="24"/>
                  </w:rPr>
                  <w:t>Admin Expenses</w:t>
                </w:r>
              </w:p>
            </w:tc>
            <w:tc>
              <w:tcPr>
                <w:tcW w:w="1134" w:type="dxa"/>
              </w:tcPr>
              <w:p w14:paraId="44C8344C" w14:textId="77CF1F9F" w:rsidR="008F4B79" w:rsidRPr="00EE31DC" w:rsidRDefault="008F4B79" w:rsidP="00803516">
                <w:pPr>
                  <w:jc w:val="right"/>
                  <w:rPr>
                    <w:rFonts w:ascii="Arial" w:hAnsi="Arial" w:cs="Arial"/>
                    <w:sz w:val="24"/>
                    <w:szCs w:val="24"/>
                  </w:rPr>
                </w:pPr>
                <w:r w:rsidRPr="00EE31DC">
                  <w:rPr>
                    <w:rFonts w:ascii="Arial" w:hAnsi="Arial" w:cs="Arial"/>
                    <w:sz w:val="24"/>
                    <w:szCs w:val="24"/>
                  </w:rPr>
                  <w:t>(</w:t>
                </w:r>
                <w:r w:rsidR="00F42424" w:rsidRPr="00EE31DC">
                  <w:rPr>
                    <w:rFonts w:ascii="Arial" w:hAnsi="Arial" w:cs="Arial"/>
                    <w:sz w:val="24"/>
                    <w:szCs w:val="24"/>
                  </w:rPr>
                  <w:t>144</w:t>
                </w:r>
                <w:r w:rsidRPr="00EE31DC">
                  <w:rPr>
                    <w:rFonts w:ascii="Arial" w:hAnsi="Arial" w:cs="Arial"/>
                    <w:sz w:val="24"/>
                    <w:szCs w:val="24"/>
                  </w:rPr>
                  <w:t>)</w:t>
                </w:r>
              </w:p>
            </w:tc>
            <w:tc>
              <w:tcPr>
                <w:tcW w:w="3544" w:type="dxa"/>
              </w:tcPr>
              <w:p w14:paraId="4F8B0E91" w14:textId="77777777" w:rsidR="008F4B79" w:rsidRPr="00EE31DC" w:rsidRDefault="008F4B79" w:rsidP="00803516">
                <w:pPr>
                  <w:rPr>
                    <w:rFonts w:ascii="Arial" w:hAnsi="Arial" w:cs="Arial"/>
                    <w:sz w:val="24"/>
                    <w:szCs w:val="24"/>
                  </w:rPr>
                </w:pPr>
                <w:r w:rsidRPr="00EE31DC">
                  <w:rPr>
                    <w:rFonts w:ascii="Arial" w:hAnsi="Arial" w:cs="Arial"/>
                    <w:sz w:val="24"/>
                    <w:szCs w:val="24"/>
                  </w:rPr>
                  <w:t xml:space="preserve"> </w:t>
                </w:r>
              </w:p>
            </w:tc>
          </w:tr>
          <w:tr w:rsidR="008F4B79" w:rsidRPr="00EE31DC" w14:paraId="583A840C" w14:textId="77777777" w:rsidTr="00803516">
            <w:trPr>
              <w:trHeight w:val="424"/>
            </w:trPr>
            <w:tc>
              <w:tcPr>
                <w:tcW w:w="2409" w:type="dxa"/>
              </w:tcPr>
              <w:p w14:paraId="28407AB9" w14:textId="77777777" w:rsidR="008F4B79" w:rsidRPr="00EE31DC" w:rsidRDefault="008F4B79" w:rsidP="00803516">
                <w:pPr>
                  <w:rPr>
                    <w:rFonts w:ascii="Arial" w:hAnsi="Arial" w:cs="Arial"/>
                    <w:sz w:val="24"/>
                    <w:szCs w:val="24"/>
                  </w:rPr>
                </w:pPr>
                <w:r w:rsidRPr="00EE31DC">
                  <w:rPr>
                    <w:rFonts w:ascii="Arial" w:hAnsi="Arial" w:cs="Arial"/>
                    <w:sz w:val="24"/>
                    <w:szCs w:val="24"/>
                  </w:rPr>
                  <w:t>Credit card charges</w:t>
                </w:r>
              </w:p>
            </w:tc>
            <w:tc>
              <w:tcPr>
                <w:tcW w:w="1134" w:type="dxa"/>
              </w:tcPr>
              <w:p w14:paraId="4CB0C7C0" w14:textId="260BA859" w:rsidR="008F4B79" w:rsidRPr="00EE31DC" w:rsidRDefault="008F4B79" w:rsidP="00803516">
                <w:pPr>
                  <w:jc w:val="right"/>
                  <w:rPr>
                    <w:rFonts w:ascii="Arial" w:hAnsi="Arial" w:cs="Arial"/>
                    <w:sz w:val="24"/>
                    <w:szCs w:val="24"/>
                    <w:u w:val="single"/>
                  </w:rPr>
                </w:pPr>
                <w:r w:rsidRPr="00EE31DC">
                  <w:rPr>
                    <w:rFonts w:ascii="Arial" w:hAnsi="Arial" w:cs="Arial"/>
                    <w:sz w:val="24"/>
                    <w:szCs w:val="24"/>
                    <w:u w:val="single"/>
                  </w:rPr>
                  <w:t xml:space="preserve"> (</w:t>
                </w:r>
                <w:r w:rsidR="00F42424" w:rsidRPr="00EE31DC">
                  <w:rPr>
                    <w:rFonts w:ascii="Arial" w:hAnsi="Arial" w:cs="Arial"/>
                    <w:sz w:val="24"/>
                    <w:szCs w:val="24"/>
                    <w:u w:val="single"/>
                  </w:rPr>
                  <w:t>26</w:t>
                </w:r>
                <w:r w:rsidRPr="00EE31DC">
                  <w:rPr>
                    <w:rFonts w:ascii="Arial" w:hAnsi="Arial" w:cs="Arial"/>
                    <w:sz w:val="24"/>
                    <w:szCs w:val="24"/>
                    <w:u w:val="single"/>
                  </w:rPr>
                  <w:t>)</w:t>
                </w:r>
              </w:p>
            </w:tc>
            <w:tc>
              <w:tcPr>
                <w:tcW w:w="3544" w:type="dxa"/>
              </w:tcPr>
              <w:p w14:paraId="34EBE199" w14:textId="51F285F6" w:rsidR="008F4B79" w:rsidRPr="00EE31DC" w:rsidRDefault="008F4B79" w:rsidP="00803516">
                <w:pPr>
                  <w:rPr>
                    <w:rFonts w:ascii="Arial" w:hAnsi="Arial" w:cs="Arial"/>
                    <w:sz w:val="24"/>
                    <w:szCs w:val="24"/>
                  </w:rPr>
                </w:pPr>
                <w:r w:rsidRPr="00EE31DC">
                  <w:rPr>
                    <w:rFonts w:ascii="Arial" w:hAnsi="Arial" w:cs="Arial"/>
                    <w:sz w:val="24"/>
                    <w:szCs w:val="24"/>
                  </w:rPr>
                  <w:t xml:space="preserve">                                         </w:t>
                </w:r>
              </w:p>
            </w:tc>
          </w:tr>
          <w:tr w:rsidR="008F4B79" w:rsidRPr="00EE31DC" w14:paraId="75BDAA06" w14:textId="77777777" w:rsidTr="00803516">
            <w:trPr>
              <w:trHeight w:val="417"/>
            </w:trPr>
            <w:tc>
              <w:tcPr>
                <w:tcW w:w="2409" w:type="dxa"/>
              </w:tcPr>
              <w:p w14:paraId="57E8958D" w14:textId="77777777" w:rsidR="008F4B79" w:rsidRPr="00EE31DC" w:rsidRDefault="008F4B79" w:rsidP="00803516">
                <w:pPr>
                  <w:rPr>
                    <w:rFonts w:ascii="Arial" w:hAnsi="Arial" w:cs="Arial"/>
                    <w:sz w:val="24"/>
                    <w:szCs w:val="24"/>
                  </w:rPr>
                </w:pPr>
                <w:r w:rsidRPr="00EE31DC">
                  <w:rPr>
                    <w:rFonts w:ascii="Arial" w:hAnsi="Arial" w:cs="Arial"/>
                    <w:sz w:val="24"/>
                    <w:szCs w:val="24"/>
                  </w:rPr>
                  <w:t>Operating profit</w:t>
                </w:r>
              </w:p>
            </w:tc>
            <w:tc>
              <w:tcPr>
                <w:tcW w:w="1134" w:type="dxa"/>
              </w:tcPr>
              <w:p w14:paraId="10BE3038" w14:textId="09C6B047" w:rsidR="008F4B79" w:rsidRPr="00EE31DC" w:rsidRDefault="00F42424" w:rsidP="00803516">
                <w:pPr>
                  <w:jc w:val="right"/>
                  <w:rPr>
                    <w:rFonts w:ascii="Arial" w:hAnsi="Arial" w:cs="Arial"/>
                    <w:sz w:val="24"/>
                    <w:szCs w:val="24"/>
                  </w:rPr>
                </w:pPr>
                <w:r w:rsidRPr="00EE31DC">
                  <w:rPr>
                    <w:rFonts w:ascii="Arial" w:hAnsi="Arial" w:cs="Arial"/>
                    <w:sz w:val="24"/>
                    <w:szCs w:val="24"/>
                  </w:rPr>
                  <w:t>215</w:t>
                </w:r>
                <w:r w:rsidR="008F4B79" w:rsidRPr="00EE31DC">
                  <w:rPr>
                    <w:rFonts w:ascii="Arial" w:hAnsi="Arial" w:cs="Arial"/>
                    <w:sz w:val="24"/>
                    <w:szCs w:val="24"/>
                  </w:rPr>
                  <w:t xml:space="preserve"> </w:t>
                </w:r>
              </w:p>
            </w:tc>
            <w:tc>
              <w:tcPr>
                <w:tcW w:w="3544" w:type="dxa"/>
              </w:tcPr>
              <w:p w14:paraId="6B4CA0B2" w14:textId="77777777" w:rsidR="008F4B79" w:rsidRPr="00EE31DC" w:rsidRDefault="008F4B79" w:rsidP="00803516">
                <w:pPr>
                  <w:rPr>
                    <w:rFonts w:ascii="Arial" w:hAnsi="Arial" w:cs="Arial"/>
                    <w:sz w:val="24"/>
                    <w:szCs w:val="24"/>
                  </w:rPr>
                </w:pPr>
              </w:p>
            </w:tc>
          </w:tr>
          <w:tr w:rsidR="008F4B79" w:rsidRPr="00EE31DC" w14:paraId="632DB9A7" w14:textId="77777777" w:rsidTr="00803516">
            <w:trPr>
              <w:trHeight w:val="409"/>
            </w:trPr>
            <w:tc>
              <w:tcPr>
                <w:tcW w:w="2409" w:type="dxa"/>
              </w:tcPr>
              <w:p w14:paraId="08308E9C" w14:textId="77777777" w:rsidR="008F4B79" w:rsidRPr="00EE31DC" w:rsidRDefault="008F4B79" w:rsidP="00803516">
                <w:pPr>
                  <w:rPr>
                    <w:rFonts w:ascii="Arial" w:hAnsi="Arial" w:cs="Arial"/>
                    <w:sz w:val="24"/>
                    <w:szCs w:val="24"/>
                  </w:rPr>
                </w:pPr>
                <w:r w:rsidRPr="00EE31DC">
                  <w:rPr>
                    <w:rFonts w:ascii="Arial" w:hAnsi="Arial" w:cs="Arial"/>
                    <w:sz w:val="24"/>
                    <w:szCs w:val="24"/>
                  </w:rPr>
                  <w:t>Interest payable</w:t>
                </w:r>
              </w:p>
            </w:tc>
            <w:tc>
              <w:tcPr>
                <w:tcW w:w="1134" w:type="dxa"/>
              </w:tcPr>
              <w:p w14:paraId="49DBB5D6" w14:textId="7009DDE3" w:rsidR="008F4B79" w:rsidRPr="00EE31DC" w:rsidRDefault="00F42424" w:rsidP="00803516">
                <w:pPr>
                  <w:jc w:val="right"/>
                  <w:rPr>
                    <w:rFonts w:ascii="Arial" w:hAnsi="Arial" w:cs="Arial"/>
                    <w:sz w:val="24"/>
                    <w:szCs w:val="24"/>
                    <w:u w:val="single"/>
                  </w:rPr>
                </w:pPr>
                <w:r w:rsidRPr="00EE31DC">
                  <w:rPr>
                    <w:rFonts w:ascii="Arial" w:hAnsi="Arial" w:cs="Arial"/>
                    <w:sz w:val="24"/>
                    <w:szCs w:val="24"/>
                    <w:u w:val="single"/>
                  </w:rPr>
                  <w:t xml:space="preserve">   </w:t>
                </w:r>
                <w:r w:rsidR="008F4B79" w:rsidRPr="00EE31DC">
                  <w:rPr>
                    <w:rFonts w:ascii="Arial" w:hAnsi="Arial" w:cs="Arial"/>
                    <w:sz w:val="24"/>
                    <w:szCs w:val="24"/>
                    <w:u w:val="single"/>
                  </w:rPr>
                  <w:t>(</w:t>
                </w:r>
                <w:r w:rsidRPr="00EE31DC">
                  <w:rPr>
                    <w:rFonts w:ascii="Arial" w:hAnsi="Arial" w:cs="Arial"/>
                    <w:sz w:val="24"/>
                    <w:szCs w:val="24"/>
                    <w:u w:val="single"/>
                  </w:rPr>
                  <w:t>8</w:t>
                </w:r>
                <w:r w:rsidR="008F4B79" w:rsidRPr="00EE31DC">
                  <w:rPr>
                    <w:rFonts w:ascii="Arial" w:hAnsi="Arial" w:cs="Arial"/>
                    <w:sz w:val="24"/>
                    <w:szCs w:val="24"/>
                    <w:u w:val="single"/>
                  </w:rPr>
                  <w:t>)</w:t>
                </w:r>
              </w:p>
            </w:tc>
            <w:tc>
              <w:tcPr>
                <w:tcW w:w="3544" w:type="dxa"/>
              </w:tcPr>
              <w:p w14:paraId="0CDBB14E" w14:textId="13149897" w:rsidR="008F4B79" w:rsidRPr="00EE31DC" w:rsidRDefault="008F4B79" w:rsidP="00803516">
                <w:pPr>
                  <w:rPr>
                    <w:rFonts w:ascii="Arial" w:hAnsi="Arial" w:cs="Arial"/>
                    <w:sz w:val="24"/>
                    <w:szCs w:val="24"/>
                  </w:rPr>
                </w:pPr>
                <w:r w:rsidRPr="00EE31DC">
                  <w:rPr>
                    <w:rFonts w:ascii="Arial" w:hAnsi="Arial" w:cs="Arial"/>
                    <w:sz w:val="24"/>
                    <w:szCs w:val="24"/>
                  </w:rPr>
                  <w:t xml:space="preserve">                                         </w:t>
                </w:r>
              </w:p>
            </w:tc>
          </w:tr>
          <w:tr w:rsidR="008F4B79" w:rsidRPr="00EE31DC" w14:paraId="0AEB7DED" w14:textId="77777777" w:rsidTr="00803516">
            <w:trPr>
              <w:trHeight w:val="387"/>
            </w:trPr>
            <w:tc>
              <w:tcPr>
                <w:tcW w:w="2409" w:type="dxa"/>
              </w:tcPr>
              <w:p w14:paraId="6C381DF9" w14:textId="77777777" w:rsidR="008F4B79" w:rsidRPr="00EE31DC" w:rsidRDefault="008F4B79" w:rsidP="00803516">
                <w:pPr>
                  <w:rPr>
                    <w:rFonts w:ascii="Arial" w:hAnsi="Arial" w:cs="Arial"/>
                    <w:sz w:val="24"/>
                    <w:szCs w:val="24"/>
                  </w:rPr>
                </w:pPr>
                <w:r w:rsidRPr="00EE31DC">
                  <w:rPr>
                    <w:rFonts w:ascii="Arial" w:hAnsi="Arial" w:cs="Arial"/>
                    <w:sz w:val="24"/>
                    <w:szCs w:val="24"/>
                  </w:rPr>
                  <w:t>Profit for the period</w:t>
                </w:r>
              </w:p>
            </w:tc>
            <w:tc>
              <w:tcPr>
                <w:tcW w:w="1134" w:type="dxa"/>
              </w:tcPr>
              <w:p w14:paraId="3FE2BF49" w14:textId="0723EF9B" w:rsidR="008F4B79" w:rsidRPr="00EE31DC" w:rsidRDefault="00F42424" w:rsidP="00F42424">
                <w:pPr>
                  <w:jc w:val="center"/>
                  <w:rPr>
                    <w:rFonts w:ascii="Arial" w:hAnsi="Arial" w:cs="Arial"/>
                    <w:sz w:val="24"/>
                    <w:szCs w:val="24"/>
                    <w:u w:val="single"/>
                  </w:rPr>
                </w:pPr>
                <w:r w:rsidRPr="00EE31DC">
                  <w:rPr>
                    <w:rFonts w:ascii="Arial" w:hAnsi="Arial" w:cs="Arial"/>
                    <w:sz w:val="24"/>
                    <w:szCs w:val="24"/>
                    <w:u w:val="single"/>
                  </w:rPr>
                  <w:t xml:space="preserve">         207</w:t>
                </w:r>
                <w:r w:rsidR="008F4B79" w:rsidRPr="00EE31DC">
                  <w:rPr>
                    <w:rFonts w:ascii="Arial" w:hAnsi="Arial" w:cs="Arial"/>
                    <w:sz w:val="24"/>
                    <w:szCs w:val="24"/>
                    <w:u w:val="single"/>
                  </w:rPr>
                  <w:t xml:space="preserve"> </w:t>
                </w:r>
              </w:p>
            </w:tc>
            <w:tc>
              <w:tcPr>
                <w:tcW w:w="3544" w:type="dxa"/>
              </w:tcPr>
              <w:p w14:paraId="78D127A9" w14:textId="77777777" w:rsidR="008F4B79" w:rsidRPr="00EE31DC" w:rsidRDefault="008F4B79" w:rsidP="00803516">
                <w:pPr>
                  <w:rPr>
                    <w:rFonts w:ascii="Arial" w:hAnsi="Arial" w:cs="Arial"/>
                    <w:sz w:val="24"/>
                    <w:szCs w:val="24"/>
                    <w:u w:val="single"/>
                  </w:rPr>
                </w:pPr>
              </w:p>
            </w:tc>
          </w:tr>
        </w:tbl>
        <w:p w14:paraId="63EA0BA3" w14:textId="38C0FEE1" w:rsidR="00D677BA" w:rsidRPr="00EE31DC" w:rsidRDefault="00D677BA" w:rsidP="008F4B79">
          <w:pPr>
            <w:pStyle w:val="Heading2"/>
            <w:rPr>
              <w:rFonts w:ascii="Arial" w:hAnsi="Arial" w:cs="Arial"/>
              <w:sz w:val="24"/>
              <w:szCs w:val="24"/>
            </w:rPr>
          </w:pPr>
        </w:p>
        <w:p w14:paraId="64A9BA0C" w14:textId="77777777" w:rsidR="001E6E2F" w:rsidRPr="00EE31DC" w:rsidRDefault="001E6E2F" w:rsidP="00A471CD">
          <w:pPr>
            <w:pStyle w:val="Heading2"/>
          </w:pPr>
        </w:p>
        <w:p w14:paraId="68CB7652" w14:textId="73599B8E" w:rsidR="00C84F24" w:rsidRPr="001B579C" w:rsidRDefault="00A471CD" w:rsidP="00A471CD">
          <w:pPr>
            <w:pStyle w:val="Heading2"/>
            <w:rPr>
              <w:sz w:val="28"/>
              <w:szCs w:val="28"/>
            </w:rPr>
          </w:pPr>
          <w:bookmarkStart w:id="10" w:name="_Toc164027120"/>
          <w:r w:rsidRPr="001B579C">
            <w:rPr>
              <w:sz w:val="28"/>
              <w:szCs w:val="28"/>
            </w:rPr>
            <w:t>Analysis of Edwards Limited</w:t>
          </w:r>
          <w:bookmarkEnd w:id="10"/>
        </w:p>
        <w:p w14:paraId="3F730BBE" w14:textId="77777777" w:rsidR="00A471CD" w:rsidRPr="00A471CD" w:rsidRDefault="00A471CD" w:rsidP="00A471CD"/>
        <w:p w14:paraId="1A4991B6" w14:textId="4C4063E9" w:rsidR="00F56BB8" w:rsidRPr="00EE31DC" w:rsidRDefault="00F56BB8" w:rsidP="003C52C3">
          <w:pPr>
            <w:rPr>
              <w:rFonts w:ascii="Arial" w:hAnsi="Arial" w:cs="Arial"/>
              <w:sz w:val="24"/>
              <w:szCs w:val="24"/>
            </w:rPr>
          </w:pPr>
          <w:r w:rsidRPr="00EE31DC">
            <w:rPr>
              <w:rFonts w:ascii="Arial" w:hAnsi="Arial" w:cs="Arial"/>
              <w:sz w:val="24"/>
              <w:szCs w:val="24"/>
            </w:rPr>
            <w:t xml:space="preserve">The presented </w:t>
          </w:r>
          <w:r w:rsidR="00294E9B">
            <w:rPr>
              <w:rFonts w:ascii="Arial" w:hAnsi="Arial" w:cs="Arial"/>
              <w:sz w:val="24"/>
              <w:szCs w:val="24"/>
            </w:rPr>
            <w:t>f</w:t>
          </w:r>
          <w:r w:rsidR="007B4953">
            <w:rPr>
              <w:rFonts w:ascii="Arial" w:hAnsi="Arial" w:cs="Arial"/>
              <w:sz w:val="24"/>
              <w:szCs w:val="24"/>
            </w:rPr>
            <w:t xml:space="preserve">orecast </w:t>
          </w:r>
          <w:r w:rsidR="001B1905" w:rsidRPr="00EE31DC">
            <w:rPr>
              <w:rFonts w:ascii="Arial" w:hAnsi="Arial" w:cs="Arial"/>
              <w:sz w:val="24"/>
              <w:szCs w:val="24"/>
            </w:rPr>
            <w:t>illustrates</w:t>
          </w:r>
          <w:r w:rsidRPr="00EE31DC">
            <w:rPr>
              <w:rFonts w:ascii="Arial" w:hAnsi="Arial" w:cs="Arial"/>
              <w:sz w:val="24"/>
              <w:szCs w:val="24"/>
            </w:rPr>
            <w:t xml:space="preserve"> fluctuations in sales and inventory management metrics over time, providing valuable insights into various aspects such as closing stock balance, cost of goods sold, sales performance, and stock acquisitions. </w:t>
          </w:r>
          <w:r w:rsidR="003C52C3" w:rsidRPr="003C52C3">
            <w:rPr>
              <w:rFonts w:ascii="Arial" w:hAnsi="Arial" w:cs="Arial"/>
              <w:sz w:val="24"/>
              <w:szCs w:val="24"/>
            </w:rPr>
            <w:t>From June to November, a consistent approach can be observed in how companies handle stock transactions, encompassing sales, purchases, payments, and closing stock balances.</w:t>
          </w:r>
          <w:r w:rsidR="003C52C3">
            <w:rPr>
              <w:rFonts w:ascii="Arial" w:hAnsi="Arial" w:cs="Arial"/>
              <w:sz w:val="24"/>
              <w:szCs w:val="24"/>
            </w:rPr>
            <w:t xml:space="preserve"> </w:t>
          </w:r>
          <w:r w:rsidRPr="00EE31DC">
            <w:rPr>
              <w:rFonts w:ascii="Arial" w:hAnsi="Arial" w:cs="Arial"/>
              <w:sz w:val="24"/>
              <w:szCs w:val="24"/>
            </w:rPr>
            <w:t xml:space="preserve">Stock purchases </w:t>
          </w:r>
          <w:r w:rsidR="006D7DC0" w:rsidRPr="00EE31DC">
            <w:rPr>
              <w:rFonts w:ascii="Arial" w:hAnsi="Arial" w:cs="Arial"/>
              <w:sz w:val="24"/>
              <w:szCs w:val="24"/>
            </w:rPr>
            <w:t>described by (</w:t>
          </w:r>
          <w:proofErr w:type="spellStart"/>
          <w:r w:rsidR="006D7DC0" w:rsidRPr="00EE31DC">
            <w:rPr>
              <w:rFonts w:ascii="Arial" w:hAnsi="Arial" w:cs="Arial"/>
              <w:sz w:val="24"/>
              <w:szCs w:val="24"/>
            </w:rPr>
            <w:t>Awaysheh</w:t>
          </w:r>
          <w:proofErr w:type="spellEnd"/>
          <w:r w:rsidR="006D7DC0" w:rsidRPr="00EE31DC">
            <w:rPr>
              <w:rFonts w:ascii="Arial" w:hAnsi="Arial" w:cs="Arial"/>
              <w:sz w:val="24"/>
              <w:szCs w:val="24"/>
            </w:rPr>
            <w:t xml:space="preserve">, et al., 2020) as the acquisition of shares or ownership in </w:t>
          </w:r>
          <w:r w:rsidR="008636CC">
            <w:rPr>
              <w:rFonts w:ascii="Arial" w:hAnsi="Arial" w:cs="Arial"/>
              <w:sz w:val="24"/>
              <w:szCs w:val="24"/>
            </w:rPr>
            <w:t xml:space="preserve">the </w:t>
          </w:r>
          <w:r w:rsidR="006D7DC0" w:rsidRPr="00EE31DC">
            <w:rPr>
              <w:rFonts w:ascii="Arial" w:hAnsi="Arial" w:cs="Arial"/>
              <w:sz w:val="24"/>
              <w:szCs w:val="24"/>
            </w:rPr>
            <w:t xml:space="preserve">company stock by an individual or entity, </w:t>
          </w:r>
          <w:r w:rsidRPr="00EE31DC">
            <w:rPr>
              <w:rFonts w:ascii="Arial" w:hAnsi="Arial" w:cs="Arial"/>
              <w:sz w:val="24"/>
              <w:szCs w:val="24"/>
            </w:rPr>
            <w:t>commence at £125,000 in June and steadily increase to £392,000 by November, suggesting strategic preparation for heightened demand or product expansion initiatives.</w:t>
          </w:r>
          <w:r w:rsidR="00D939D3">
            <w:rPr>
              <w:rFonts w:ascii="Arial" w:hAnsi="Arial" w:cs="Arial"/>
              <w:sz w:val="24"/>
              <w:szCs w:val="24"/>
            </w:rPr>
            <w:t xml:space="preserve"> </w:t>
          </w:r>
          <w:r w:rsidRPr="00EE31DC">
            <w:rPr>
              <w:rFonts w:ascii="Arial" w:hAnsi="Arial" w:cs="Arial"/>
              <w:sz w:val="24"/>
              <w:szCs w:val="24"/>
            </w:rPr>
            <w:t xml:space="preserve">Stock purchase dynamics vary across different </w:t>
          </w:r>
          <w:r w:rsidR="00A471CD">
            <w:rPr>
              <w:rFonts w:ascii="Arial" w:hAnsi="Arial" w:cs="Arial"/>
              <w:sz w:val="24"/>
              <w:szCs w:val="24"/>
            </w:rPr>
            <w:t>months</w:t>
          </w:r>
          <w:r w:rsidR="00D939D3">
            <w:rPr>
              <w:rFonts w:ascii="Arial" w:hAnsi="Arial" w:cs="Arial"/>
              <w:sz w:val="24"/>
              <w:szCs w:val="24"/>
            </w:rPr>
            <w:t xml:space="preserve"> </w:t>
          </w:r>
          <w:r w:rsidRPr="00EE31DC">
            <w:rPr>
              <w:rFonts w:ascii="Arial" w:hAnsi="Arial" w:cs="Arial"/>
              <w:sz w:val="24"/>
              <w:szCs w:val="24"/>
            </w:rPr>
            <w:t>with the highest expenditure recorded at £203,000 in August</w:t>
          </w:r>
          <w:r w:rsidR="00D939D3" w:rsidRPr="00D939D3">
            <w:rPr>
              <w:rFonts w:ascii="Arial" w:hAnsi="Arial" w:cs="Arial"/>
              <w:sz w:val="24"/>
              <w:szCs w:val="24"/>
            </w:rPr>
            <w:t>.</w:t>
          </w:r>
        </w:p>
        <w:p w14:paraId="5D15175F" w14:textId="27860EA2" w:rsidR="00F56BB8" w:rsidRDefault="00F56BB8" w:rsidP="00F56BB8">
          <w:pPr>
            <w:rPr>
              <w:rFonts w:ascii="Arial" w:hAnsi="Arial" w:cs="Arial"/>
              <w:sz w:val="24"/>
              <w:szCs w:val="24"/>
            </w:rPr>
          </w:pPr>
          <w:r w:rsidRPr="00EE31DC">
            <w:rPr>
              <w:rFonts w:ascii="Arial" w:hAnsi="Arial" w:cs="Arial"/>
              <w:sz w:val="24"/>
              <w:szCs w:val="24"/>
            </w:rPr>
            <w:t>Analysis of the cost of goods sold, accounting for 70% of sales, reveals significant variations over the period, from £123,000 in June to £259,000 in November. This metric underscores the direct impact of sales volume on cost, further highlighting the interplay between sales performance and financial outcomes.</w:t>
          </w:r>
          <w:r w:rsidR="004F7EC0">
            <w:rPr>
              <w:rFonts w:ascii="Arial" w:hAnsi="Arial" w:cs="Arial"/>
              <w:sz w:val="24"/>
              <w:szCs w:val="24"/>
            </w:rPr>
            <w:t xml:space="preserve"> </w:t>
          </w:r>
          <w:r w:rsidRPr="00EE31DC">
            <w:rPr>
              <w:rFonts w:ascii="Arial" w:hAnsi="Arial" w:cs="Arial"/>
              <w:sz w:val="24"/>
              <w:szCs w:val="24"/>
            </w:rPr>
            <w:t>Understanding the interrelationships among sales performance, stock purchases, cost of goods sold, and closing stock balance is paramount for effective inventory management, profit optimization, and risk mitigation strategies</w:t>
          </w:r>
          <w:r w:rsidR="008B130E" w:rsidRPr="00EE31DC">
            <w:rPr>
              <w:rFonts w:ascii="Arial" w:hAnsi="Arial" w:cs="Arial"/>
              <w:color w:val="FF0000"/>
              <w:sz w:val="24"/>
              <w:szCs w:val="24"/>
            </w:rPr>
            <w:t xml:space="preserve"> </w:t>
          </w:r>
          <w:r w:rsidR="00DF2280" w:rsidRPr="00EE31DC">
            <w:rPr>
              <w:rFonts w:ascii="Arial" w:hAnsi="Arial" w:cs="Arial"/>
              <w:color w:val="000000" w:themeColor="text1"/>
              <w:sz w:val="24"/>
              <w:szCs w:val="24"/>
            </w:rPr>
            <w:t>(</w:t>
          </w:r>
          <w:r w:rsidR="00DF2280" w:rsidRPr="00EE31DC">
            <w:rPr>
              <w:rFonts w:ascii="Arial" w:hAnsi="Arial" w:cs="Arial"/>
              <w:sz w:val="24"/>
              <w:szCs w:val="24"/>
            </w:rPr>
            <w:t>Boadway &amp; Flatters, 2023).</w:t>
          </w:r>
          <w:r w:rsidR="00284DDA" w:rsidRPr="00284DDA">
            <w:t xml:space="preserve"> </w:t>
          </w:r>
          <w:r w:rsidR="00284DDA" w:rsidRPr="00284DDA">
            <w:rPr>
              <w:rFonts w:ascii="Arial" w:hAnsi="Arial" w:cs="Arial"/>
              <w:sz w:val="24"/>
              <w:szCs w:val="24"/>
            </w:rPr>
            <w:t>Excessively high closing stock balances relative to sales growth can lead to overstocking issues, tying up capital, incurring storage costs, increasing the risk of inventory obsolescence, and potentially impacting cash flow and working capital management</w:t>
          </w:r>
          <w:r w:rsidR="000E4E6B">
            <w:rPr>
              <w:rFonts w:ascii="Arial" w:hAnsi="Arial" w:cs="Arial"/>
              <w:sz w:val="24"/>
              <w:szCs w:val="24"/>
            </w:rPr>
            <w:t>.</w:t>
          </w:r>
        </w:p>
        <w:p w14:paraId="2C583FB3" w14:textId="4156BE8E" w:rsidR="00015B59" w:rsidRPr="00EE31DC" w:rsidRDefault="00015B59" w:rsidP="00F56BB8">
          <w:pPr>
            <w:rPr>
              <w:rFonts w:ascii="Arial" w:hAnsi="Arial" w:cs="Arial"/>
              <w:sz w:val="24"/>
              <w:szCs w:val="24"/>
            </w:rPr>
          </w:pPr>
          <w:r w:rsidRPr="00015B59">
            <w:rPr>
              <w:rFonts w:ascii="Arial" w:hAnsi="Arial" w:cs="Arial"/>
              <w:sz w:val="24"/>
              <w:szCs w:val="24"/>
            </w:rPr>
            <w:t>Throughout the period, fluctuations in cash surplus or deficit reflect changes in revenue performance. While surpluses are observed in July (£23,000) and August (£23,000), deficits occur in and June (22,000), September (£21,000), October (£27,000), and November (£24,000), indicating challenges in managing cash flows during certain periods.</w:t>
          </w:r>
        </w:p>
        <w:p w14:paraId="32CEFBDD" w14:textId="51C733AE" w:rsidR="0014057D" w:rsidRDefault="00937222" w:rsidP="00F56BB8">
          <w:pPr>
            <w:rPr>
              <w:rFonts w:ascii="Arial" w:hAnsi="Arial" w:cs="Arial"/>
              <w:sz w:val="24"/>
              <w:szCs w:val="24"/>
            </w:rPr>
          </w:pPr>
          <w:r w:rsidRPr="00937222">
            <w:rPr>
              <w:rFonts w:ascii="Arial" w:hAnsi="Arial" w:cs="Arial"/>
              <w:sz w:val="24"/>
              <w:szCs w:val="24"/>
            </w:rPr>
            <w:lastRenderedPageBreak/>
            <w:t>The organization</w:t>
          </w:r>
          <w:r w:rsidR="000C6EBF">
            <w:rPr>
              <w:rFonts w:ascii="Arial" w:hAnsi="Arial" w:cs="Arial"/>
              <w:sz w:val="24"/>
              <w:szCs w:val="24"/>
            </w:rPr>
            <w:t xml:space="preserve"> </w:t>
          </w:r>
          <w:r w:rsidRPr="00937222">
            <w:rPr>
              <w:rFonts w:ascii="Arial" w:hAnsi="Arial" w:cs="Arial"/>
              <w:sz w:val="24"/>
              <w:szCs w:val="24"/>
            </w:rPr>
            <w:t xml:space="preserve">commitment to financial obligations is evident from timely tax and interest payments, as well as consistent loan repayments </w:t>
          </w:r>
          <w:r w:rsidR="00731665">
            <w:rPr>
              <w:rFonts w:ascii="Arial" w:hAnsi="Arial" w:cs="Arial"/>
              <w:sz w:val="24"/>
              <w:szCs w:val="24"/>
            </w:rPr>
            <w:t>of £</w:t>
          </w:r>
          <w:r w:rsidR="00642FD2">
            <w:rPr>
              <w:rFonts w:ascii="Arial" w:hAnsi="Arial" w:cs="Arial"/>
              <w:sz w:val="24"/>
              <w:szCs w:val="24"/>
            </w:rPr>
            <w:t xml:space="preserve">7,000 per month </w:t>
          </w:r>
          <w:r w:rsidRPr="00937222">
            <w:rPr>
              <w:rFonts w:ascii="Arial" w:hAnsi="Arial" w:cs="Arial"/>
              <w:sz w:val="24"/>
              <w:szCs w:val="24"/>
            </w:rPr>
            <w:t xml:space="preserve">(Bradshaw, et al., 2019). </w:t>
          </w:r>
        </w:p>
        <w:p w14:paraId="64FC14D6" w14:textId="5DB7D60F" w:rsidR="00937222" w:rsidRPr="00EE31DC" w:rsidRDefault="00EF44FE" w:rsidP="00F56BB8">
          <w:pPr>
            <w:rPr>
              <w:rFonts w:ascii="Arial" w:hAnsi="Arial" w:cs="Arial"/>
              <w:sz w:val="24"/>
              <w:szCs w:val="24"/>
            </w:rPr>
          </w:pPr>
          <w:r w:rsidRPr="00EF44FE">
            <w:rPr>
              <w:rFonts w:ascii="Arial" w:hAnsi="Arial" w:cs="Arial"/>
              <w:sz w:val="24"/>
              <w:szCs w:val="24"/>
            </w:rPr>
            <w:t>The expenditure breakdown highlights significant costs associated with store refurbishments, totalling £78,000 in June, July, and August. These investments signify the company</w:t>
          </w:r>
          <w:r w:rsidR="00CD21DB">
            <w:rPr>
              <w:rFonts w:ascii="Arial" w:hAnsi="Arial" w:cs="Arial"/>
              <w:sz w:val="24"/>
              <w:szCs w:val="24"/>
            </w:rPr>
            <w:t xml:space="preserve"> </w:t>
          </w:r>
          <w:r w:rsidRPr="00EF44FE">
            <w:rPr>
              <w:rFonts w:ascii="Arial" w:hAnsi="Arial" w:cs="Arial"/>
              <w:sz w:val="24"/>
              <w:szCs w:val="24"/>
            </w:rPr>
            <w:t>dedication to enhancing its physical infrastructure and customer experience, potentially driving long-term growth and competitiveness (da Silva, et al., 2020</w:t>
          </w:r>
          <w:r w:rsidR="009A4090">
            <w:rPr>
              <w:rFonts w:ascii="Arial" w:hAnsi="Arial" w:cs="Arial"/>
              <w:sz w:val="24"/>
              <w:szCs w:val="24"/>
            </w:rPr>
            <w:t>)</w:t>
          </w:r>
          <w:r w:rsidR="00EB7434">
            <w:rPr>
              <w:rFonts w:ascii="Arial" w:hAnsi="Arial" w:cs="Arial"/>
              <w:sz w:val="24"/>
              <w:szCs w:val="24"/>
            </w:rPr>
            <w:t>.</w:t>
          </w:r>
          <w:r w:rsidR="00EB7434" w:rsidRPr="00EB7434">
            <w:t xml:space="preserve"> </w:t>
          </w:r>
          <w:r w:rsidR="00EB7434" w:rsidRPr="00EB7434">
            <w:rPr>
              <w:rFonts w:ascii="Arial" w:hAnsi="Arial" w:cs="Arial"/>
              <w:sz w:val="24"/>
              <w:szCs w:val="24"/>
            </w:rPr>
            <w:t>However, those expenses can wait until the company pays off their overdraft and achieves a stable financial situation</w:t>
          </w:r>
          <w:r w:rsidR="00EB7434">
            <w:rPr>
              <w:rFonts w:ascii="Arial" w:hAnsi="Arial" w:cs="Arial"/>
              <w:sz w:val="24"/>
              <w:szCs w:val="24"/>
            </w:rPr>
            <w:t xml:space="preserve">. </w:t>
          </w:r>
          <w:r w:rsidR="00937222" w:rsidRPr="00937222">
            <w:rPr>
              <w:rFonts w:ascii="Arial" w:hAnsi="Arial" w:cs="Arial"/>
              <w:sz w:val="24"/>
              <w:szCs w:val="24"/>
            </w:rPr>
            <w:t>Furthermore, closing balance</w:t>
          </w:r>
          <w:r w:rsidR="001A7235">
            <w:rPr>
              <w:rFonts w:ascii="Arial" w:hAnsi="Arial" w:cs="Arial"/>
              <w:sz w:val="24"/>
              <w:szCs w:val="24"/>
            </w:rPr>
            <w:t xml:space="preserve"> reduced </w:t>
          </w:r>
          <w:r w:rsidR="009A51B3">
            <w:rPr>
              <w:rFonts w:ascii="Arial" w:hAnsi="Arial" w:cs="Arial"/>
              <w:sz w:val="24"/>
              <w:szCs w:val="24"/>
            </w:rPr>
            <w:t>from minus</w:t>
          </w:r>
          <w:r w:rsidR="00357F49">
            <w:rPr>
              <w:rFonts w:ascii="Arial" w:hAnsi="Arial" w:cs="Arial"/>
              <w:sz w:val="24"/>
              <w:szCs w:val="24"/>
            </w:rPr>
            <w:t xml:space="preserve"> </w:t>
          </w:r>
          <w:r w:rsidR="001A7235">
            <w:rPr>
              <w:rFonts w:ascii="Arial" w:hAnsi="Arial" w:cs="Arial"/>
              <w:sz w:val="24"/>
              <w:szCs w:val="24"/>
            </w:rPr>
            <w:t>£47,000 to</w:t>
          </w:r>
          <w:r w:rsidR="00A36F18">
            <w:rPr>
              <w:rFonts w:ascii="Arial" w:hAnsi="Arial" w:cs="Arial"/>
              <w:sz w:val="24"/>
              <w:szCs w:val="24"/>
            </w:rPr>
            <w:t xml:space="preserve"> </w:t>
          </w:r>
          <w:r w:rsidR="00357F49">
            <w:rPr>
              <w:rFonts w:ascii="Arial" w:hAnsi="Arial" w:cs="Arial"/>
              <w:sz w:val="24"/>
              <w:szCs w:val="24"/>
            </w:rPr>
            <w:t xml:space="preserve">minus </w:t>
          </w:r>
          <w:r w:rsidR="00915F86">
            <w:rPr>
              <w:rFonts w:ascii="Arial" w:hAnsi="Arial" w:cs="Arial"/>
              <w:sz w:val="24"/>
              <w:szCs w:val="24"/>
            </w:rPr>
            <w:t>£</w:t>
          </w:r>
          <w:r w:rsidR="00A36F18">
            <w:rPr>
              <w:rFonts w:ascii="Arial" w:hAnsi="Arial" w:cs="Arial"/>
              <w:sz w:val="24"/>
              <w:szCs w:val="24"/>
            </w:rPr>
            <w:t>1</w:t>
          </w:r>
          <w:r w:rsidR="00915F86">
            <w:rPr>
              <w:rFonts w:ascii="Arial" w:hAnsi="Arial" w:cs="Arial"/>
              <w:sz w:val="24"/>
              <w:szCs w:val="24"/>
            </w:rPr>
            <w:t>,000</w:t>
          </w:r>
          <w:r w:rsidR="003500AE">
            <w:rPr>
              <w:rFonts w:ascii="Arial" w:hAnsi="Arial" w:cs="Arial"/>
              <w:sz w:val="24"/>
              <w:szCs w:val="24"/>
            </w:rPr>
            <w:t xml:space="preserve"> in August</w:t>
          </w:r>
          <w:r w:rsidR="00915F86">
            <w:rPr>
              <w:rFonts w:ascii="Arial" w:hAnsi="Arial" w:cs="Arial"/>
              <w:sz w:val="24"/>
              <w:szCs w:val="24"/>
            </w:rPr>
            <w:t xml:space="preserve"> </w:t>
          </w:r>
          <w:r w:rsidR="00937222" w:rsidRPr="00937222">
            <w:rPr>
              <w:rFonts w:ascii="Arial" w:hAnsi="Arial" w:cs="Arial"/>
              <w:sz w:val="24"/>
              <w:szCs w:val="24"/>
            </w:rPr>
            <w:t>demonstrate the organization</w:t>
          </w:r>
          <w:r w:rsidR="00CD21DB">
            <w:rPr>
              <w:rFonts w:ascii="Arial" w:hAnsi="Arial" w:cs="Arial"/>
              <w:sz w:val="24"/>
              <w:szCs w:val="24"/>
            </w:rPr>
            <w:t xml:space="preserve"> </w:t>
          </w:r>
          <w:r w:rsidR="00937222" w:rsidRPr="00937222">
            <w:rPr>
              <w:rFonts w:ascii="Arial" w:hAnsi="Arial" w:cs="Arial"/>
              <w:sz w:val="24"/>
              <w:szCs w:val="24"/>
            </w:rPr>
            <w:t>ability to generate sufficient cash inflows to cover expenses and maintain financial stability (Yang, et al., 2020</w:t>
          </w:r>
          <w:r w:rsidR="009A51B3" w:rsidRPr="00937222">
            <w:rPr>
              <w:rFonts w:ascii="Arial" w:hAnsi="Arial" w:cs="Arial"/>
              <w:sz w:val="24"/>
              <w:szCs w:val="24"/>
            </w:rPr>
            <w:t>)</w:t>
          </w:r>
          <w:r w:rsidR="009A51B3">
            <w:rPr>
              <w:rFonts w:ascii="Arial" w:hAnsi="Arial" w:cs="Arial"/>
              <w:sz w:val="24"/>
              <w:szCs w:val="24"/>
            </w:rPr>
            <w:t>, however</w:t>
          </w:r>
          <w:r w:rsidR="003500AE">
            <w:rPr>
              <w:rFonts w:ascii="Arial" w:hAnsi="Arial" w:cs="Arial"/>
              <w:sz w:val="24"/>
              <w:szCs w:val="24"/>
            </w:rPr>
            <w:t xml:space="preserve"> in the following months </w:t>
          </w:r>
          <w:r w:rsidR="003A6C25">
            <w:rPr>
              <w:rFonts w:ascii="Arial" w:hAnsi="Arial" w:cs="Arial"/>
              <w:sz w:val="24"/>
              <w:szCs w:val="24"/>
            </w:rPr>
            <w:t xml:space="preserve">the financial situation is getting </w:t>
          </w:r>
          <w:r w:rsidR="000B54F8">
            <w:rPr>
              <w:rFonts w:ascii="Arial" w:hAnsi="Arial" w:cs="Arial"/>
              <w:sz w:val="24"/>
              <w:szCs w:val="24"/>
            </w:rPr>
            <w:t xml:space="preserve">worse with </w:t>
          </w:r>
          <w:r w:rsidR="00357F49">
            <w:rPr>
              <w:rFonts w:ascii="Arial" w:hAnsi="Arial" w:cs="Arial"/>
              <w:sz w:val="24"/>
              <w:szCs w:val="24"/>
            </w:rPr>
            <w:t xml:space="preserve">a minus of </w:t>
          </w:r>
          <w:r w:rsidR="000B54F8">
            <w:rPr>
              <w:rFonts w:ascii="Arial" w:hAnsi="Arial" w:cs="Arial"/>
              <w:sz w:val="24"/>
              <w:szCs w:val="24"/>
            </w:rPr>
            <w:t xml:space="preserve">£73,000 in November that </w:t>
          </w:r>
          <w:r w:rsidR="00C16A51">
            <w:rPr>
              <w:rFonts w:ascii="Arial" w:hAnsi="Arial" w:cs="Arial"/>
              <w:sz w:val="24"/>
              <w:szCs w:val="24"/>
            </w:rPr>
            <w:t>means the</w:t>
          </w:r>
          <w:r w:rsidR="00212FCE">
            <w:rPr>
              <w:rFonts w:ascii="Arial" w:hAnsi="Arial" w:cs="Arial"/>
              <w:sz w:val="24"/>
              <w:szCs w:val="24"/>
            </w:rPr>
            <w:t xml:space="preserve"> </w:t>
          </w:r>
          <w:r w:rsidR="00C16A51">
            <w:rPr>
              <w:rFonts w:ascii="Arial" w:hAnsi="Arial" w:cs="Arial"/>
              <w:sz w:val="24"/>
              <w:szCs w:val="24"/>
            </w:rPr>
            <w:t xml:space="preserve">company </w:t>
          </w:r>
          <w:r w:rsidR="00212FCE">
            <w:rPr>
              <w:rFonts w:ascii="Arial" w:hAnsi="Arial" w:cs="Arial"/>
              <w:sz w:val="24"/>
              <w:szCs w:val="24"/>
            </w:rPr>
            <w:t>would not be able to pay their overdraft</w:t>
          </w:r>
          <w:r w:rsidR="00DA3F9D">
            <w:rPr>
              <w:rFonts w:ascii="Arial" w:hAnsi="Arial" w:cs="Arial"/>
              <w:sz w:val="24"/>
              <w:szCs w:val="24"/>
            </w:rPr>
            <w:t>.</w:t>
          </w:r>
        </w:p>
        <w:p w14:paraId="16FCBDA7" w14:textId="0C3A1E12" w:rsidR="00F56BB8" w:rsidRPr="00EE31DC" w:rsidRDefault="00F56BB8" w:rsidP="00F56BB8">
          <w:pPr>
            <w:rPr>
              <w:rFonts w:ascii="Arial" w:hAnsi="Arial" w:cs="Arial"/>
              <w:sz w:val="24"/>
              <w:szCs w:val="24"/>
            </w:rPr>
          </w:pPr>
          <w:r w:rsidRPr="00EE31DC">
            <w:rPr>
              <w:rFonts w:ascii="Arial" w:hAnsi="Arial" w:cs="Arial"/>
              <w:sz w:val="24"/>
              <w:szCs w:val="24"/>
            </w:rPr>
            <w:t xml:space="preserve">The projected Profit and Loss Account offers a comprehensive overview of the </w:t>
          </w:r>
          <w:r w:rsidR="009A51B3" w:rsidRPr="00EE31DC">
            <w:rPr>
              <w:rFonts w:ascii="Arial" w:hAnsi="Arial" w:cs="Arial"/>
              <w:sz w:val="24"/>
              <w:szCs w:val="24"/>
            </w:rPr>
            <w:t>organization</w:t>
          </w:r>
          <w:r w:rsidR="009A51B3">
            <w:rPr>
              <w:rFonts w:ascii="Arial" w:hAnsi="Arial" w:cs="Arial"/>
              <w:sz w:val="24"/>
              <w:szCs w:val="24"/>
            </w:rPr>
            <w:t xml:space="preserve"> </w:t>
          </w:r>
          <w:r w:rsidR="009A51B3" w:rsidRPr="00EE31DC">
            <w:rPr>
              <w:rFonts w:ascii="Arial" w:hAnsi="Arial" w:cs="Arial"/>
              <w:sz w:val="24"/>
              <w:szCs w:val="24"/>
            </w:rPr>
            <w:t>financial</w:t>
          </w:r>
          <w:r w:rsidRPr="00EE31DC">
            <w:rPr>
              <w:rFonts w:ascii="Arial" w:hAnsi="Arial" w:cs="Arial"/>
              <w:sz w:val="24"/>
              <w:szCs w:val="24"/>
            </w:rPr>
            <w:t xml:space="preserve"> performance over the six-month period, encompassing revenue, expenses, and projected profits. This analysis serves as a vital tool for evaluating profitability, cost management efficiency, and overall financial sustainability (Buttle</w:t>
          </w:r>
          <w:r w:rsidR="00564D6C" w:rsidRPr="00EE31DC">
            <w:rPr>
              <w:rFonts w:ascii="Arial" w:hAnsi="Arial" w:cs="Arial"/>
              <w:sz w:val="24"/>
              <w:szCs w:val="24"/>
            </w:rPr>
            <w:t xml:space="preserve"> </w:t>
          </w:r>
          <w:r w:rsidR="00EE31DC">
            <w:rPr>
              <w:rFonts w:ascii="Arial" w:hAnsi="Arial" w:cs="Arial"/>
              <w:sz w:val="24"/>
              <w:szCs w:val="24"/>
            </w:rPr>
            <w:t xml:space="preserve">&amp; </w:t>
          </w:r>
          <w:proofErr w:type="spellStart"/>
          <w:r w:rsidRPr="00EE31DC">
            <w:rPr>
              <w:rFonts w:ascii="Arial" w:hAnsi="Arial" w:cs="Arial"/>
              <w:sz w:val="24"/>
              <w:szCs w:val="24"/>
            </w:rPr>
            <w:t>Maklan</w:t>
          </w:r>
          <w:proofErr w:type="spellEnd"/>
          <w:r w:rsidRPr="00EE31DC">
            <w:rPr>
              <w:rFonts w:ascii="Arial" w:hAnsi="Arial" w:cs="Arial"/>
              <w:sz w:val="24"/>
              <w:szCs w:val="24"/>
            </w:rPr>
            <w:t>, 2019</w:t>
          </w:r>
          <w:r w:rsidR="00F72FD9" w:rsidRPr="00EE31DC">
            <w:rPr>
              <w:rFonts w:ascii="Arial" w:hAnsi="Arial" w:cs="Arial"/>
              <w:sz w:val="24"/>
              <w:szCs w:val="24"/>
            </w:rPr>
            <w:t>).</w:t>
          </w:r>
        </w:p>
        <w:p w14:paraId="2AB12BF3" w14:textId="73502E76" w:rsidR="00CC6155" w:rsidRPr="00EE31DC" w:rsidRDefault="00F56BB8" w:rsidP="00F56BB8">
          <w:pPr>
            <w:rPr>
              <w:rFonts w:ascii="Arial" w:hAnsi="Arial" w:cs="Arial"/>
              <w:sz w:val="24"/>
              <w:szCs w:val="24"/>
            </w:rPr>
          </w:pPr>
          <w:r w:rsidRPr="00EE31DC">
            <w:rPr>
              <w:rFonts w:ascii="Arial" w:hAnsi="Arial" w:cs="Arial"/>
              <w:sz w:val="24"/>
              <w:szCs w:val="24"/>
            </w:rPr>
            <w:t>The Profit and Loss Account serves as a critical tool for evaluating financial performance, identifying areas for improvement, and informing strategic decision-making to ensure long-term viability and success (Zulkarnaen et al., 2020</w:t>
          </w:r>
          <w:r w:rsidR="00564D6C" w:rsidRPr="00EE31DC">
            <w:rPr>
              <w:rFonts w:ascii="Arial" w:hAnsi="Arial" w:cs="Arial"/>
              <w:sz w:val="24"/>
              <w:szCs w:val="24"/>
            </w:rPr>
            <w:t xml:space="preserve">) </w:t>
          </w:r>
          <w:r w:rsidRPr="00EE31DC">
            <w:rPr>
              <w:rFonts w:ascii="Arial" w:hAnsi="Arial" w:cs="Arial"/>
              <w:sz w:val="24"/>
              <w:szCs w:val="24"/>
            </w:rPr>
            <w:t>highlighting the organization's revenue, expenses, and profitability for the period under review</w:t>
          </w:r>
          <w:r w:rsidR="00564D6C" w:rsidRPr="00EE31DC">
            <w:rPr>
              <w:rFonts w:ascii="Arial" w:hAnsi="Arial" w:cs="Arial"/>
              <w:sz w:val="24"/>
              <w:szCs w:val="24"/>
            </w:rPr>
            <w:t xml:space="preserve"> (</w:t>
          </w:r>
          <w:proofErr w:type="spellStart"/>
          <w:r w:rsidR="00564D6C" w:rsidRPr="00EE31DC">
            <w:rPr>
              <w:rFonts w:ascii="Arial" w:hAnsi="Arial" w:cs="Arial"/>
              <w:sz w:val="24"/>
              <w:szCs w:val="24"/>
            </w:rPr>
            <w:t>Faccia</w:t>
          </w:r>
          <w:proofErr w:type="spellEnd"/>
          <w:r w:rsidR="00564D6C" w:rsidRPr="00EE31DC">
            <w:rPr>
              <w:rFonts w:ascii="Arial" w:hAnsi="Arial" w:cs="Arial"/>
              <w:sz w:val="24"/>
              <w:szCs w:val="24"/>
            </w:rPr>
            <w:t xml:space="preserve"> &amp; </w:t>
          </w:r>
          <w:proofErr w:type="spellStart"/>
          <w:r w:rsidR="00564D6C" w:rsidRPr="00EE31DC">
            <w:rPr>
              <w:rFonts w:ascii="Arial" w:hAnsi="Arial" w:cs="Arial"/>
              <w:sz w:val="24"/>
              <w:szCs w:val="24"/>
            </w:rPr>
            <w:t>Mosteanu</w:t>
          </w:r>
          <w:proofErr w:type="spellEnd"/>
          <w:r w:rsidR="00564D6C" w:rsidRPr="00EE31DC">
            <w:rPr>
              <w:rFonts w:ascii="Arial" w:hAnsi="Arial" w:cs="Arial"/>
              <w:sz w:val="24"/>
              <w:szCs w:val="24"/>
            </w:rPr>
            <w:t>, 2019).</w:t>
          </w:r>
        </w:p>
        <w:p w14:paraId="08EAFD57" w14:textId="7AD465A8" w:rsidR="00CC6155" w:rsidRPr="00EE31DC" w:rsidRDefault="00CC6155" w:rsidP="00CC6155">
          <w:pPr>
            <w:rPr>
              <w:rFonts w:ascii="Arial" w:hAnsi="Arial" w:cs="Arial"/>
              <w:sz w:val="24"/>
              <w:szCs w:val="24"/>
            </w:rPr>
          </w:pPr>
          <w:r w:rsidRPr="00EE31DC">
            <w:rPr>
              <w:rFonts w:ascii="Arial" w:hAnsi="Arial" w:cs="Arial"/>
              <w:sz w:val="24"/>
              <w:szCs w:val="24"/>
            </w:rPr>
            <w:t xml:space="preserve">To begin with, the </w:t>
          </w:r>
          <w:r w:rsidR="00250FD1">
            <w:rPr>
              <w:rFonts w:ascii="Arial" w:hAnsi="Arial" w:cs="Arial"/>
              <w:sz w:val="24"/>
              <w:szCs w:val="24"/>
            </w:rPr>
            <w:t>framework</w:t>
          </w:r>
          <w:r w:rsidRPr="00EE31DC">
            <w:rPr>
              <w:rFonts w:ascii="Arial" w:hAnsi="Arial" w:cs="Arial"/>
              <w:sz w:val="24"/>
              <w:szCs w:val="24"/>
            </w:rPr>
            <w:t xml:space="preserve"> outlines the organization's sales revenue, which amounts to £1,420,000. This represents the total revenue generated from the sale of goods and services during the period under review. However, after deducting the cost of goods sold, </w:t>
          </w:r>
          <w:r w:rsidR="00F56BB8" w:rsidRPr="00EE31DC">
            <w:rPr>
              <w:rFonts w:ascii="Arial" w:hAnsi="Arial" w:cs="Arial"/>
              <w:sz w:val="24"/>
              <w:szCs w:val="24"/>
            </w:rPr>
            <w:t>totalling</w:t>
          </w:r>
          <w:r w:rsidRPr="00EE31DC">
            <w:rPr>
              <w:rFonts w:ascii="Arial" w:hAnsi="Arial" w:cs="Arial"/>
              <w:sz w:val="24"/>
              <w:szCs w:val="24"/>
            </w:rPr>
            <w:t xml:space="preserve"> £994,000, the gross profit is calculated at £426,000. </w:t>
          </w:r>
          <w:r w:rsidR="00250FD1" w:rsidRPr="00EE31DC">
            <w:rPr>
              <w:rFonts w:ascii="Arial" w:hAnsi="Arial" w:cs="Arial"/>
              <w:sz w:val="24"/>
              <w:szCs w:val="24"/>
            </w:rPr>
            <w:t>Moving</w:t>
          </w:r>
          <w:r w:rsidRPr="00EE31DC">
            <w:rPr>
              <w:rFonts w:ascii="Arial" w:hAnsi="Arial" w:cs="Arial"/>
              <w:sz w:val="24"/>
              <w:szCs w:val="24"/>
            </w:rPr>
            <w:t xml:space="preserve"> on to the operating expenses, the </w:t>
          </w:r>
          <w:r w:rsidR="00B15613">
            <w:rPr>
              <w:rFonts w:ascii="Arial" w:hAnsi="Arial" w:cs="Arial"/>
              <w:sz w:val="24"/>
              <w:szCs w:val="24"/>
            </w:rPr>
            <w:t>forecast</w:t>
          </w:r>
          <w:r w:rsidR="00977EFC">
            <w:rPr>
              <w:rFonts w:ascii="Arial" w:hAnsi="Arial" w:cs="Arial"/>
              <w:sz w:val="24"/>
              <w:szCs w:val="24"/>
            </w:rPr>
            <w:t xml:space="preserve"> </w:t>
          </w:r>
          <w:r w:rsidRPr="00EE31DC">
            <w:rPr>
              <w:rFonts w:ascii="Arial" w:hAnsi="Arial" w:cs="Arial"/>
              <w:sz w:val="24"/>
              <w:szCs w:val="24"/>
            </w:rPr>
            <w:t xml:space="preserve">highlights various expense categories, including selling expenses, administrative expenses, and credit card charges. Selling expenses, </w:t>
          </w:r>
          <w:r w:rsidR="00456967" w:rsidRPr="00EE31DC">
            <w:rPr>
              <w:rFonts w:ascii="Arial" w:hAnsi="Arial" w:cs="Arial"/>
              <w:sz w:val="24"/>
              <w:szCs w:val="24"/>
            </w:rPr>
            <w:t>totalling</w:t>
          </w:r>
          <w:r w:rsidRPr="00EE31DC">
            <w:rPr>
              <w:rFonts w:ascii="Arial" w:hAnsi="Arial" w:cs="Arial"/>
              <w:sz w:val="24"/>
              <w:szCs w:val="24"/>
            </w:rPr>
            <w:t xml:space="preserve"> £41,000, encompass costs directly related to the marketing and distribution of products or services. Meanwhile,</w:t>
          </w:r>
          <w:r w:rsidR="00456967" w:rsidRPr="00EE31DC">
            <w:rPr>
              <w:rFonts w:ascii="Arial" w:hAnsi="Arial" w:cs="Arial"/>
              <w:sz w:val="24"/>
              <w:szCs w:val="24"/>
            </w:rPr>
            <w:t xml:space="preserve"> </w:t>
          </w:r>
          <w:r w:rsidRPr="00EE31DC">
            <w:rPr>
              <w:rFonts w:ascii="Arial" w:hAnsi="Arial" w:cs="Arial"/>
              <w:sz w:val="24"/>
              <w:szCs w:val="24"/>
            </w:rPr>
            <w:t xml:space="preserve">administrative expenses, </w:t>
          </w:r>
          <w:r w:rsidR="00456967" w:rsidRPr="00EE31DC">
            <w:rPr>
              <w:rFonts w:ascii="Arial" w:hAnsi="Arial" w:cs="Arial"/>
              <w:sz w:val="24"/>
              <w:szCs w:val="24"/>
            </w:rPr>
            <w:t>totalling</w:t>
          </w:r>
          <w:r w:rsidRPr="00EE31DC">
            <w:rPr>
              <w:rFonts w:ascii="Arial" w:hAnsi="Arial" w:cs="Arial"/>
              <w:sz w:val="24"/>
              <w:szCs w:val="24"/>
            </w:rPr>
            <w:t xml:space="preserve"> £144,000, cover the overhead costs associated with general administrative functions.</w:t>
          </w:r>
          <w:r w:rsidR="00250FD1">
            <w:rPr>
              <w:rFonts w:ascii="Arial" w:hAnsi="Arial" w:cs="Arial"/>
              <w:sz w:val="24"/>
              <w:szCs w:val="24"/>
            </w:rPr>
            <w:t xml:space="preserve"> </w:t>
          </w:r>
          <w:r w:rsidRPr="00EE31DC">
            <w:rPr>
              <w:rFonts w:ascii="Arial" w:hAnsi="Arial" w:cs="Arial"/>
              <w:sz w:val="24"/>
              <w:szCs w:val="24"/>
            </w:rPr>
            <w:t>Additionally, credit card charges, amounting to £26,000, represent costs incurred for processing credit card transactions.</w:t>
          </w:r>
        </w:p>
        <w:p w14:paraId="153DC375" w14:textId="04C94652" w:rsidR="00285B69" w:rsidRPr="00EE31DC" w:rsidRDefault="00CC6155" w:rsidP="00CC6155">
          <w:pPr>
            <w:rPr>
              <w:rFonts w:ascii="Arial" w:hAnsi="Arial" w:cs="Arial"/>
              <w:sz w:val="24"/>
              <w:szCs w:val="24"/>
            </w:rPr>
          </w:pPr>
          <w:r w:rsidRPr="00EE31DC">
            <w:rPr>
              <w:rFonts w:ascii="Arial" w:hAnsi="Arial" w:cs="Arial"/>
              <w:sz w:val="24"/>
              <w:szCs w:val="24"/>
            </w:rPr>
            <w:t xml:space="preserve">Furthermore, the </w:t>
          </w:r>
          <w:r w:rsidR="00F56BB8" w:rsidRPr="00EE31DC">
            <w:rPr>
              <w:rFonts w:ascii="Arial" w:hAnsi="Arial" w:cs="Arial"/>
              <w:sz w:val="24"/>
              <w:szCs w:val="24"/>
            </w:rPr>
            <w:t>calculations</w:t>
          </w:r>
          <w:r w:rsidRPr="00EE31DC">
            <w:rPr>
              <w:rFonts w:ascii="Arial" w:hAnsi="Arial" w:cs="Arial"/>
              <w:sz w:val="24"/>
              <w:szCs w:val="24"/>
            </w:rPr>
            <w:t xml:space="preserve"> insight into the company's financial obligations, particularly interest payable on loans. The company incurs interest payable of £8,000, resulting in a profit for the period of £207,000. This reflects the net income earned by the organization after accounting for all expenses and financial charges.</w:t>
          </w:r>
          <w:r w:rsidR="00250FD1">
            <w:rPr>
              <w:rFonts w:ascii="Arial" w:hAnsi="Arial" w:cs="Arial"/>
              <w:sz w:val="24"/>
              <w:szCs w:val="24"/>
            </w:rPr>
            <w:t xml:space="preserve"> </w:t>
          </w:r>
          <w:r w:rsidRPr="00EE31DC">
            <w:rPr>
              <w:rFonts w:ascii="Arial" w:hAnsi="Arial" w:cs="Arial"/>
              <w:sz w:val="24"/>
              <w:szCs w:val="24"/>
            </w:rPr>
            <w:t xml:space="preserve">Despite generating significant sales revenue, the organization incurs substantial operating expenses, resulting in a positive operating profit. Additionally, the impact of interest charges further affects the company's financial performance. Overall, the </w:t>
          </w:r>
          <w:r w:rsidR="00A91637">
            <w:rPr>
              <w:rFonts w:ascii="Arial" w:hAnsi="Arial" w:cs="Arial"/>
              <w:sz w:val="24"/>
              <w:szCs w:val="24"/>
            </w:rPr>
            <w:t>framework</w:t>
          </w:r>
          <w:r w:rsidRPr="00EE31DC">
            <w:rPr>
              <w:rFonts w:ascii="Arial" w:hAnsi="Arial" w:cs="Arial"/>
              <w:sz w:val="24"/>
              <w:szCs w:val="24"/>
            </w:rPr>
            <w:t xml:space="preserve"> underscores the importance of effective cost management and financial </w:t>
          </w:r>
          <w:r w:rsidRPr="00EE31DC">
            <w:rPr>
              <w:rFonts w:ascii="Arial" w:hAnsi="Arial" w:cs="Arial"/>
              <w:sz w:val="24"/>
              <w:szCs w:val="24"/>
            </w:rPr>
            <w:lastRenderedPageBreak/>
            <w:t>planning to improve the organization's financial performance and sustainability in the long run (Gantman, 2019).</w:t>
          </w:r>
        </w:p>
        <w:p w14:paraId="537B180D" w14:textId="2EB3D277" w:rsidR="00564DBE" w:rsidRDefault="00285B69" w:rsidP="00D677BA">
          <w:pPr>
            <w:rPr>
              <w:rFonts w:ascii="Arial" w:hAnsi="Arial" w:cs="Arial"/>
              <w:sz w:val="24"/>
              <w:szCs w:val="24"/>
            </w:rPr>
          </w:pPr>
          <w:r w:rsidRPr="00285B69">
            <w:rPr>
              <w:rFonts w:ascii="Arial" w:hAnsi="Arial" w:cs="Arial"/>
              <w:sz w:val="24"/>
              <w:szCs w:val="24"/>
            </w:rPr>
            <w:t xml:space="preserve">In summary, the cash budget provides valuable insights into the organization's cash flow dynamics and financial health. By monitoring cash receipts, payments, and balances, </w:t>
          </w:r>
          <w:r w:rsidR="00BB73A3">
            <w:rPr>
              <w:rFonts w:ascii="Arial" w:hAnsi="Arial" w:cs="Arial"/>
              <w:sz w:val="24"/>
              <w:szCs w:val="24"/>
            </w:rPr>
            <w:t>management</w:t>
          </w:r>
          <w:r w:rsidRPr="00285B69">
            <w:rPr>
              <w:rFonts w:ascii="Arial" w:hAnsi="Arial" w:cs="Arial"/>
              <w:sz w:val="24"/>
              <w:szCs w:val="24"/>
            </w:rPr>
            <w:t xml:space="preserve"> can assess liquidity levels, identify potential cash flow challenges, and implement strategies to enhance cash management effectiveness (Biddle, et al., 2022).</w:t>
          </w:r>
        </w:p>
        <w:p w14:paraId="3494CE06" w14:textId="1BE9233F" w:rsidR="009D6904" w:rsidRPr="0096472D" w:rsidRDefault="00227C99" w:rsidP="009D6904">
          <w:pPr>
            <w:rPr>
              <w:rFonts w:ascii="Arial" w:hAnsi="Arial" w:cs="Arial"/>
              <w:sz w:val="24"/>
              <w:szCs w:val="24"/>
            </w:rPr>
          </w:pPr>
          <w:r w:rsidRPr="00227C99">
            <w:rPr>
              <w:rFonts w:ascii="Arial" w:hAnsi="Arial" w:cs="Arial"/>
              <w:sz w:val="24"/>
              <w:szCs w:val="24"/>
            </w:rPr>
            <w:t xml:space="preserve">In the case of Edwards Limited, the closing balance of minus </w:t>
          </w:r>
          <w:r w:rsidR="001F2F67">
            <w:rPr>
              <w:rFonts w:ascii="Arial" w:hAnsi="Arial" w:cs="Arial"/>
              <w:sz w:val="24"/>
              <w:szCs w:val="24"/>
            </w:rPr>
            <w:t>£</w:t>
          </w:r>
          <w:r w:rsidRPr="00227C99">
            <w:rPr>
              <w:rFonts w:ascii="Arial" w:hAnsi="Arial" w:cs="Arial"/>
              <w:sz w:val="24"/>
              <w:szCs w:val="24"/>
            </w:rPr>
            <w:t xml:space="preserve">73,000 by the end of November indicates a </w:t>
          </w:r>
          <w:r w:rsidR="00F74E05">
            <w:rPr>
              <w:rFonts w:ascii="Arial" w:hAnsi="Arial" w:cs="Arial"/>
              <w:sz w:val="24"/>
              <w:szCs w:val="24"/>
            </w:rPr>
            <w:t>difficult</w:t>
          </w:r>
          <w:r w:rsidRPr="00227C99">
            <w:rPr>
              <w:rFonts w:ascii="Arial" w:hAnsi="Arial" w:cs="Arial"/>
              <w:sz w:val="24"/>
              <w:szCs w:val="24"/>
            </w:rPr>
            <w:t xml:space="preserve"> financial situation for the company, despite their proactive efforts to manage expenses</w:t>
          </w:r>
          <w:r w:rsidR="009E7E38">
            <w:rPr>
              <w:rFonts w:ascii="Arial" w:hAnsi="Arial" w:cs="Arial"/>
              <w:sz w:val="24"/>
              <w:szCs w:val="24"/>
            </w:rPr>
            <w:t xml:space="preserve"> they w</w:t>
          </w:r>
          <w:r w:rsidR="00544A00">
            <w:rPr>
              <w:rFonts w:ascii="Arial" w:hAnsi="Arial" w:cs="Arial"/>
              <w:sz w:val="24"/>
              <w:szCs w:val="24"/>
            </w:rPr>
            <w:t xml:space="preserve">ill not be able to pay their £25,000 overdraft and </w:t>
          </w:r>
          <w:r w:rsidR="004B1377">
            <w:rPr>
              <w:rFonts w:ascii="Arial" w:hAnsi="Arial" w:cs="Arial"/>
              <w:sz w:val="24"/>
              <w:szCs w:val="24"/>
            </w:rPr>
            <w:t>they should</w:t>
          </w:r>
          <w:r w:rsidRPr="00227C99">
            <w:rPr>
              <w:rFonts w:ascii="Arial" w:hAnsi="Arial" w:cs="Arial"/>
              <w:sz w:val="24"/>
              <w:szCs w:val="24"/>
            </w:rPr>
            <w:t xml:space="preserve"> reevaluat</w:t>
          </w:r>
          <w:r w:rsidR="004B1377">
            <w:rPr>
              <w:rFonts w:ascii="Arial" w:hAnsi="Arial" w:cs="Arial"/>
              <w:sz w:val="24"/>
              <w:szCs w:val="24"/>
            </w:rPr>
            <w:t>e</w:t>
          </w:r>
          <w:r w:rsidRPr="00227C99">
            <w:rPr>
              <w:rFonts w:ascii="Arial" w:hAnsi="Arial" w:cs="Arial"/>
              <w:sz w:val="24"/>
              <w:szCs w:val="24"/>
            </w:rPr>
            <w:t xml:space="preserve"> their strategies for future financial </w:t>
          </w:r>
          <w:r w:rsidR="004B1377" w:rsidRPr="00227C99">
            <w:rPr>
              <w:rFonts w:ascii="Arial" w:hAnsi="Arial" w:cs="Arial"/>
              <w:sz w:val="24"/>
              <w:szCs w:val="24"/>
            </w:rPr>
            <w:t>management. To</w:t>
          </w:r>
          <w:r w:rsidRPr="00227C99">
            <w:rPr>
              <w:rFonts w:ascii="Arial" w:hAnsi="Arial" w:cs="Arial"/>
              <w:sz w:val="24"/>
              <w:szCs w:val="24"/>
            </w:rPr>
            <w:t xml:space="preserve"> </w:t>
          </w:r>
          <w:r w:rsidR="006E22FD" w:rsidRPr="006E22FD">
            <w:rPr>
              <w:rFonts w:ascii="Arial" w:hAnsi="Arial" w:cs="Arial"/>
              <w:sz w:val="24"/>
              <w:szCs w:val="24"/>
            </w:rPr>
            <w:t>address</w:t>
          </w:r>
          <w:r w:rsidRPr="00227C99">
            <w:rPr>
              <w:rFonts w:ascii="Arial" w:hAnsi="Arial" w:cs="Arial"/>
              <w:sz w:val="24"/>
              <w:szCs w:val="24"/>
            </w:rPr>
            <w:t xml:space="preserve"> such challenges effectively, the company could consider various </w:t>
          </w:r>
          <w:r w:rsidR="00896CEB">
            <w:rPr>
              <w:rFonts w:ascii="Arial" w:hAnsi="Arial" w:cs="Arial"/>
              <w:sz w:val="24"/>
              <w:szCs w:val="24"/>
            </w:rPr>
            <w:t>approaches</w:t>
          </w:r>
          <w:r w:rsidRPr="00227C99">
            <w:rPr>
              <w:rFonts w:ascii="Arial" w:hAnsi="Arial" w:cs="Arial"/>
              <w:sz w:val="24"/>
              <w:szCs w:val="24"/>
            </w:rPr>
            <w:t xml:space="preserve">. One approach is to </w:t>
          </w:r>
          <w:r w:rsidR="00896CEB">
            <w:rPr>
              <w:rFonts w:ascii="Arial" w:hAnsi="Arial" w:cs="Arial"/>
              <w:sz w:val="24"/>
              <w:szCs w:val="24"/>
            </w:rPr>
            <w:t xml:space="preserve">eliminate </w:t>
          </w:r>
          <w:r w:rsidRPr="00227C99">
            <w:rPr>
              <w:rFonts w:ascii="Arial" w:hAnsi="Arial" w:cs="Arial"/>
              <w:sz w:val="24"/>
              <w:szCs w:val="24"/>
            </w:rPr>
            <w:t xml:space="preserve">non-essential expenditures, such as refurbishment costs, until the financial situation stabilizes. Additionally, exploring refinancing options and renegotiating terms could provide relief. Streamlining administrative expenses and optimizing stock purchases are further avenues for cost </w:t>
          </w:r>
          <w:r w:rsidR="00D13C24" w:rsidRPr="00227C99">
            <w:rPr>
              <w:rFonts w:ascii="Arial" w:hAnsi="Arial" w:cs="Arial"/>
              <w:sz w:val="24"/>
              <w:szCs w:val="24"/>
            </w:rPr>
            <w:t>reduction</w:t>
          </w:r>
          <w:r w:rsidR="00DA2F33">
            <w:rPr>
              <w:rFonts w:ascii="Arial" w:hAnsi="Arial" w:cs="Arial"/>
              <w:sz w:val="24"/>
              <w:szCs w:val="24"/>
            </w:rPr>
            <w:t>.</w:t>
          </w:r>
          <w:r w:rsidR="00DA2F33" w:rsidRPr="00DA2F33">
            <w:t xml:space="preserve"> </w:t>
          </w:r>
          <w:r w:rsidR="00DA2F33" w:rsidRPr="00DA2F33">
            <w:rPr>
              <w:rFonts w:ascii="Arial" w:hAnsi="Arial" w:cs="Arial"/>
              <w:sz w:val="24"/>
              <w:szCs w:val="24"/>
            </w:rPr>
            <w:t xml:space="preserve">Also, looking at the market to find out which products are </w:t>
          </w:r>
          <w:r w:rsidR="00223C5A" w:rsidRPr="00DA2F33">
            <w:rPr>
              <w:rFonts w:ascii="Arial" w:hAnsi="Arial" w:cs="Arial"/>
              <w:sz w:val="24"/>
              <w:szCs w:val="24"/>
            </w:rPr>
            <w:t>popular</w:t>
          </w:r>
          <w:r w:rsidR="00DA2F33" w:rsidRPr="00DA2F33">
            <w:rPr>
              <w:rFonts w:ascii="Arial" w:hAnsi="Arial" w:cs="Arial"/>
              <w:sz w:val="24"/>
              <w:szCs w:val="24"/>
            </w:rPr>
            <w:t xml:space="preserve"> and can make a lot of money gives a chance to make more money. If Edwards Limited matches their products with what people want, they can make more profit and stay strong financially for a long </w:t>
          </w:r>
          <w:r w:rsidR="00223C5A" w:rsidRPr="00DA2F33">
            <w:rPr>
              <w:rFonts w:ascii="Arial" w:hAnsi="Arial" w:cs="Arial"/>
              <w:sz w:val="24"/>
              <w:szCs w:val="24"/>
            </w:rPr>
            <w:t>time.</w:t>
          </w:r>
        </w:p>
        <w:p w14:paraId="62104588" w14:textId="5B32105C" w:rsidR="00D677BA" w:rsidRPr="001B579C" w:rsidRDefault="00D677BA" w:rsidP="00D677BA">
          <w:pPr>
            <w:rPr>
              <w:rFonts w:asciiTheme="majorHAnsi" w:hAnsiTheme="majorHAnsi" w:cstheme="majorHAnsi"/>
              <w:sz w:val="28"/>
              <w:szCs w:val="28"/>
            </w:rPr>
          </w:pPr>
        </w:p>
        <w:p w14:paraId="254851A4" w14:textId="15D904B4" w:rsidR="00D677BA" w:rsidRPr="001B579C" w:rsidRDefault="00D677BA" w:rsidP="00456967">
          <w:pPr>
            <w:pStyle w:val="Heading2"/>
            <w:rPr>
              <w:rFonts w:cstheme="majorHAnsi"/>
              <w:sz w:val="28"/>
              <w:szCs w:val="28"/>
            </w:rPr>
          </w:pPr>
          <w:bookmarkStart w:id="11" w:name="_Toc164027121"/>
          <w:r w:rsidRPr="001B579C">
            <w:rPr>
              <w:rFonts w:cstheme="majorHAnsi"/>
              <w:sz w:val="28"/>
              <w:szCs w:val="28"/>
            </w:rPr>
            <w:t>Analysis and Management Actions</w:t>
          </w:r>
          <w:bookmarkEnd w:id="11"/>
        </w:p>
        <w:p w14:paraId="1E401AE5" w14:textId="77777777" w:rsidR="00456967" w:rsidRPr="00EE31DC" w:rsidRDefault="00456967" w:rsidP="00456967">
          <w:pPr>
            <w:rPr>
              <w:rFonts w:ascii="Arial" w:hAnsi="Arial" w:cs="Arial"/>
              <w:sz w:val="24"/>
              <w:szCs w:val="24"/>
            </w:rPr>
          </w:pPr>
        </w:p>
        <w:p w14:paraId="6270D53F" w14:textId="05C49D52" w:rsidR="00D677BA" w:rsidRPr="00EE31DC" w:rsidRDefault="00D677BA" w:rsidP="00D677BA">
          <w:pPr>
            <w:rPr>
              <w:rFonts w:ascii="Arial" w:hAnsi="Arial" w:cs="Arial"/>
              <w:sz w:val="24"/>
              <w:szCs w:val="24"/>
            </w:rPr>
          </w:pPr>
          <w:r w:rsidRPr="00EE31DC">
            <w:rPr>
              <w:rFonts w:ascii="Arial" w:hAnsi="Arial" w:cs="Arial"/>
              <w:sz w:val="24"/>
              <w:szCs w:val="24"/>
            </w:rPr>
            <w:t xml:space="preserve">●Cash Flow Management Strategies: </w:t>
          </w:r>
          <w:r w:rsidR="00456967" w:rsidRPr="00EE31DC">
            <w:rPr>
              <w:rFonts w:ascii="Arial" w:hAnsi="Arial" w:cs="Arial"/>
              <w:sz w:val="24"/>
              <w:szCs w:val="24"/>
            </w:rPr>
            <w:t>According to</w:t>
          </w:r>
          <w:r w:rsidRPr="00EE31DC">
            <w:rPr>
              <w:rFonts w:ascii="Arial" w:hAnsi="Arial" w:cs="Arial"/>
              <w:sz w:val="24"/>
              <w:szCs w:val="24"/>
            </w:rPr>
            <w:t xml:space="preserve"> </w:t>
          </w:r>
          <w:r w:rsidR="00477AC5" w:rsidRPr="00EE31DC">
            <w:rPr>
              <w:rFonts w:ascii="Arial" w:hAnsi="Arial" w:cs="Arial"/>
              <w:sz w:val="24"/>
              <w:szCs w:val="24"/>
            </w:rPr>
            <w:t>(</w:t>
          </w:r>
          <w:r w:rsidRPr="00EE31DC">
            <w:rPr>
              <w:rFonts w:ascii="Arial" w:hAnsi="Arial" w:cs="Arial"/>
              <w:sz w:val="24"/>
              <w:szCs w:val="24"/>
            </w:rPr>
            <w:t>Hai</w:t>
          </w:r>
          <w:r w:rsidR="00477AC5" w:rsidRPr="00EE31DC">
            <w:rPr>
              <w:rFonts w:ascii="Arial" w:hAnsi="Arial" w:cs="Arial"/>
              <w:sz w:val="24"/>
              <w:szCs w:val="24"/>
            </w:rPr>
            <w:t xml:space="preserve"> &amp; </w:t>
          </w:r>
          <w:r w:rsidRPr="00EE31DC">
            <w:rPr>
              <w:rFonts w:ascii="Arial" w:hAnsi="Arial" w:cs="Arial"/>
              <w:sz w:val="24"/>
              <w:szCs w:val="24"/>
            </w:rPr>
            <w:t>Quy</w:t>
          </w:r>
          <w:r w:rsidR="00477AC5" w:rsidRPr="00EE31DC">
            <w:rPr>
              <w:rFonts w:ascii="Arial" w:hAnsi="Arial" w:cs="Arial"/>
              <w:sz w:val="24"/>
              <w:szCs w:val="24"/>
            </w:rPr>
            <w:t xml:space="preserve">, </w:t>
          </w:r>
          <w:r w:rsidRPr="00EE31DC">
            <w:rPr>
              <w:rFonts w:ascii="Arial" w:hAnsi="Arial" w:cs="Arial"/>
              <w:sz w:val="24"/>
              <w:szCs w:val="24"/>
            </w:rPr>
            <w:t>2019), to deal with fluctuating cash flow, management can take steps like collecting accounts receivable faster, negotiating longer payment terms with suppliers, and figuring out the best way to keep inventory levels low so that cash flows freely</w:t>
          </w:r>
          <w:r w:rsidR="00AD5559">
            <w:rPr>
              <w:rFonts w:ascii="Arial" w:hAnsi="Arial" w:cs="Arial"/>
              <w:sz w:val="24"/>
              <w:szCs w:val="24"/>
            </w:rPr>
            <w:t>.</w:t>
          </w:r>
        </w:p>
        <w:p w14:paraId="1DB1B578" w14:textId="5F7E19CA" w:rsidR="00D677BA" w:rsidRPr="00EE31DC" w:rsidRDefault="00D677BA" w:rsidP="00D677BA">
          <w:pPr>
            <w:rPr>
              <w:rFonts w:ascii="Arial" w:hAnsi="Arial" w:cs="Arial"/>
              <w:sz w:val="24"/>
              <w:szCs w:val="24"/>
            </w:rPr>
          </w:pPr>
          <w:r w:rsidRPr="00EE31DC">
            <w:rPr>
              <w:rFonts w:ascii="Arial" w:hAnsi="Arial" w:cs="Arial"/>
              <w:sz w:val="24"/>
              <w:szCs w:val="24"/>
            </w:rPr>
            <w:t xml:space="preserve">●Overdraft Elimination Plan: By November, management should come up with a detailed plan to get rid of the overdraft. This could mean moving money around, cutting costs, or making more money through marketing or sales </w:t>
          </w:r>
          <w:r w:rsidR="005E5FD2" w:rsidRPr="00EE31DC">
            <w:rPr>
              <w:rFonts w:ascii="Arial" w:hAnsi="Arial" w:cs="Arial"/>
              <w:sz w:val="24"/>
              <w:szCs w:val="24"/>
            </w:rPr>
            <w:t>promotions.</w:t>
          </w:r>
          <w:r w:rsidRPr="00EE31DC">
            <w:rPr>
              <w:rFonts w:ascii="Arial" w:hAnsi="Arial" w:cs="Arial"/>
              <w:sz w:val="24"/>
              <w:szCs w:val="24"/>
            </w:rPr>
            <w:t xml:space="preserve"> </w:t>
          </w:r>
        </w:p>
        <w:p w14:paraId="458B7F6E" w14:textId="3E2F1B4F" w:rsidR="00D677BA" w:rsidRPr="00EE31DC" w:rsidRDefault="00D677BA" w:rsidP="00D677BA">
          <w:pPr>
            <w:rPr>
              <w:rFonts w:ascii="Arial" w:hAnsi="Arial" w:cs="Arial"/>
              <w:sz w:val="24"/>
              <w:szCs w:val="24"/>
            </w:rPr>
          </w:pPr>
          <w:r w:rsidRPr="00EE31DC">
            <w:rPr>
              <w:rFonts w:ascii="Arial" w:hAnsi="Arial" w:cs="Arial"/>
              <w:sz w:val="24"/>
              <w:szCs w:val="24"/>
            </w:rPr>
            <w:t>●Sales Growth Initiatives:</w:t>
          </w:r>
          <w:r w:rsidR="009F0311">
            <w:rPr>
              <w:rFonts w:ascii="Arial" w:hAnsi="Arial" w:cs="Arial"/>
              <w:sz w:val="24"/>
              <w:szCs w:val="24"/>
            </w:rPr>
            <w:t xml:space="preserve"> </w:t>
          </w:r>
          <w:r w:rsidRPr="00EE31DC">
            <w:rPr>
              <w:rFonts w:ascii="Arial" w:hAnsi="Arial" w:cs="Arial"/>
              <w:sz w:val="24"/>
              <w:szCs w:val="24"/>
            </w:rPr>
            <w:t>Since deals are going down, the board ought to zero in on setting up plans to support sales development. To get and keep clients, this could mean delivering new items, entering new business sectors, or making the client experience better</w:t>
          </w:r>
          <w:r w:rsidR="00456967" w:rsidRPr="00EE31DC">
            <w:rPr>
              <w:rFonts w:ascii="Arial" w:hAnsi="Arial" w:cs="Arial"/>
              <w:sz w:val="24"/>
              <w:szCs w:val="24"/>
            </w:rPr>
            <w:t xml:space="preserve"> (Wahid, 2019).</w:t>
          </w:r>
        </w:p>
        <w:p w14:paraId="13A479B4" w14:textId="04AD8A33" w:rsidR="00D677BA" w:rsidRPr="00EE31DC" w:rsidRDefault="00D677BA" w:rsidP="00D677BA">
          <w:pPr>
            <w:rPr>
              <w:rFonts w:ascii="Arial" w:hAnsi="Arial" w:cs="Arial"/>
              <w:sz w:val="24"/>
              <w:szCs w:val="24"/>
            </w:rPr>
          </w:pPr>
          <w:r w:rsidRPr="00EE31DC">
            <w:rPr>
              <w:rFonts w:ascii="Arial" w:hAnsi="Arial" w:cs="Arial"/>
              <w:sz w:val="24"/>
              <w:szCs w:val="24"/>
            </w:rPr>
            <w:t>●Inventory Management Optimization: To reduce the risk of having an excess of stock, supervisors can set up stock administration frameworks that precisely track request designs. This assists individuals with settling on better purchasing choices and holds them back from having an excessive amount of stock (Hakelberg, 2020).</w:t>
          </w:r>
        </w:p>
        <w:p w14:paraId="27DDA098" w14:textId="7BC30BED" w:rsidR="00D677BA" w:rsidRPr="00EE31DC" w:rsidRDefault="00D677BA" w:rsidP="00D677BA">
          <w:pPr>
            <w:rPr>
              <w:rFonts w:ascii="Arial" w:hAnsi="Arial" w:cs="Arial"/>
              <w:sz w:val="24"/>
              <w:szCs w:val="24"/>
            </w:rPr>
          </w:pPr>
          <w:r w:rsidRPr="00EE31DC">
            <w:rPr>
              <w:rFonts w:ascii="Arial" w:hAnsi="Arial" w:cs="Arial"/>
              <w:sz w:val="24"/>
              <w:szCs w:val="24"/>
            </w:rPr>
            <w:t xml:space="preserve">●Cost Control Measures: Rigorously controlling costs can assist with keeping income stable and ensure the business can remain in business. This could mean </w:t>
          </w:r>
          <w:r w:rsidRPr="00EE31DC">
            <w:rPr>
              <w:rFonts w:ascii="Arial" w:hAnsi="Arial" w:cs="Arial"/>
              <w:sz w:val="24"/>
              <w:szCs w:val="24"/>
            </w:rPr>
            <w:lastRenderedPageBreak/>
            <w:t>taking a gander at spending that isn't required, revising contracts with providers, and searching for ways of reducing expenses.</w:t>
          </w:r>
        </w:p>
        <w:p w14:paraId="7C66B584" w14:textId="6EC0F6A5" w:rsidR="00D677BA" w:rsidRPr="00EE31DC" w:rsidRDefault="00D677BA" w:rsidP="00D677BA">
          <w:pPr>
            <w:rPr>
              <w:rFonts w:ascii="Arial" w:hAnsi="Arial" w:cs="Arial"/>
              <w:sz w:val="24"/>
              <w:szCs w:val="24"/>
            </w:rPr>
          </w:pPr>
          <w:r w:rsidRPr="00EE31DC">
            <w:rPr>
              <w:rFonts w:ascii="Arial" w:hAnsi="Arial" w:cs="Arial"/>
              <w:sz w:val="24"/>
              <w:szCs w:val="24"/>
            </w:rPr>
            <w:t>●Financial Forecasting and Monitoring: It is critical to do ordinary monetary estimating and observing to recognise new issues and open doors before they occur. The board can go with intelligent choices and change methodologies in view of critical monetary measurements and patterns that they check out (Widyawati, 2020).</w:t>
          </w:r>
        </w:p>
        <w:p w14:paraId="0B4E820A" w14:textId="52DAFF1A" w:rsidR="00D677BA" w:rsidRPr="00EE31DC" w:rsidRDefault="00D677BA" w:rsidP="00D677BA">
          <w:pPr>
            <w:rPr>
              <w:rFonts w:ascii="Arial" w:hAnsi="Arial" w:cs="Arial"/>
              <w:sz w:val="24"/>
              <w:szCs w:val="24"/>
            </w:rPr>
          </w:pPr>
          <w:r w:rsidRPr="00EE31DC">
            <w:rPr>
              <w:rFonts w:ascii="Arial" w:hAnsi="Arial" w:cs="Arial"/>
              <w:sz w:val="24"/>
              <w:szCs w:val="24"/>
            </w:rPr>
            <w:t xml:space="preserve">●Strategic Partnerships and </w:t>
          </w:r>
          <w:r w:rsidR="005F56B8" w:rsidRPr="00EE31DC">
            <w:rPr>
              <w:rFonts w:ascii="Arial" w:hAnsi="Arial" w:cs="Arial"/>
              <w:sz w:val="24"/>
              <w:szCs w:val="24"/>
            </w:rPr>
            <w:t>Diversification: Investigating</w:t>
          </w:r>
          <w:r w:rsidRPr="00EE31DC">
            <w:rPr>
              <w:rFonts w:ascii="Arial" w:hAnsi="Arial" w:cs="Arial"/>
              <w:sz w:val="24"/>
              <w:szCs w:val="24"/>
            </w:rPr>
            <w:t xml:space="preserve"> key associations or tracking down better approaches to bring in cash can assist with decreasing the impacts of falling deals and make your business </w:t>
          </w:r>
          <w:r w:rsidR="005F56B8" w:rsidRPr="00EE31DC">
            <w:rPr>
              <w:rFonts w:ascii="Arial" w:hAnsi="Arial" w:cs="Arial"/>
              <w:sz w:val="24"/>
              <w:szCs w:val="24"/>
            </w:rPr>
            <w:t xml:space="preserve">more </w:t>
          </w:r>
          <w:r w:rsidRPr="00EE31DC">
            <w:rPr>
              <w:rFonts w:ascii="Arial" w:hAnsi="Arial" w:cs="Arial"/>
              <w:sz w:val="24"/>
              <w:szCs w:val="24"/>
            </w:rPr>
            <w:t>monetarily stable. This could mean working with organisations that are comparative or adding more items to meet changing client needs.</w:t>
          </w:r>
        </w:p>
        <w:p w14:paraId="5DDF817D" w14:textId="593DB8B5" w:rsidR="00D677BA" w:rsidRPr="00EE31DC" w:rsidRDefault="00D677BA" w:rsidP="00D677BA">
          <w:pPr>
            <w:rPr>
              <w:rFonts w:ascii="Arial" w:hAnsi="Arial" w:cs="Arial"/>
              <w:sz w:val="24"/>
              <w:szCs w:val="24"/>
            </w:rPr>
          </w:pPr>
          <w:r w:rsidRPr="00EE31DC">
            <w:rPr>
              <w:rFonts w:ascii="Arial" w:hAnsi="Arial" w:cs="Arial"/>
              <w:sz w:val="24"/>
              <w:szCs w:val="24"/>
            </w:rPr>
            <w:t xml:space="preserve">●Debt Management: </w:t>
          </w:r>
          <w:r w:rsidR="005F56B8" w:rsidRPr="00EE31DC">
            <w:rPr>
              <w:rFonts w:ascii="Arial" w:hAnsi="Arial" w:cs="Arial"/>
              <w:sz w:val="24"/>
              <w:szCs w:val="24"/>
            </w:rPr>
            <w:t>S</w:t>
          </w:r>
          <w:r w:rsidRPr="00EE31DC">
            <w:rPr>
              <w:rFonts w:ascii="Arial" w:hAnsi="Arial" w:cs="Arial"/>
              <w:sz w:val="24"/>
              <w:szCs w:val="24"/>
            </w:rPr>
            <w:t>tay</w:t>
          </w:r>
          <w:r w:rsidR="005F56B8" w:rsidRPr="00EE31DC">
            <w:rPr>
              <w:rFonts w:ascii="Arial" w:hAnsi="Arial" w:cs="Arial"/>
              <w:sz w:val="24"/>
              <w:szCs w:val="24"/>
            </w:rPr>
            <w:t>ing</w:t>
          </w:r>
          <w:r w:rsidRPr="00EE31DC">
            <w:rPr>
              <w:rFonts w:ascii="Arial" w:hAnsi="Arial" w:cs="Arial"/>
              <w:sz w:val="24"/>
              <w:szCs w:val="24"/>
            </w:rPr>
            <w:t xml:space="preserve"> away from income issues and stay with the funds with everything looking great, the board ought to painstakingly deal with its obligation commitments. This could mean refinancing current debt on better terms or renegotiating repayment </w:t>
          </w:r>
          <w:r w:rsidR="005F56B8" w:rsidRPr="00EE31DC">
            <w:rPr>
              <w:rFonts w:ascii="Arial" w:hAnsi="Arial" w:cs="Arial"/>
              <w:sz w:val="24"/>
              <w:szCs w:val="24"/>
            </w:rPr>
            <w:t>plans,</w:t>
          </w:r>
          <w:r w:rsidRPr="00EE31DC">
            <w:rPr>
              <w:rFonts w:ascii="Arial" w:hAnsi="Arial" w:cs="Arial"/>
              <w:sz w:val="24"/>
              <w:szCs w:val="24"/>
            </w:rPr>
            <w:t xml:space="preserve"> so they fit with expected cash flow</w:t>
          </w:r>
          <w:r w:rsidR="005F56B8" w:rsidRPr="00EE31DC">
            <w:rPr>
              <w:rFonts w:ascii="Arial" w:hAnsi="Arial" w:cs="Arial"/>
              <w:sz w:val="24"/>
              <w:szCs w:val="24"/>
            </w:rPr>
            <w:t xml:space="preserve"> (</w:t>
          </w:r>
          <w:proofErr w:type="spellStart"/>
          <w:r w:rsidR="005F56B8" w:rsidRPr="00EE31DC">
            <w:rPr>
              <w:rFonts w:ascii="Arial" w:hAnsi="Arial" w:cs="Arial"/>
              <w:sz w:val="24"/>
              <w:szCs w:val="24"/>
            </w:rPr>
            <w:t>Kaawaase</w:t>
          </w:r>
          <w:proofErr w:type="spellEnd"/>
          <w:r w:rsidR="005E5FD2">
            <w:rPr>
              <w:rFonts w:ascii="Arial" w:hAnsi="Arial" w:cs="Arial"/>
              <w:sz w:val="24"/>
              <w:szCs w:val="24"/>
            </w:rPr>
            <w:t xml:space="preserve">, </w:t>
          </w:r>
          <w:r w:rsidR="005F56B8" w:rsidRPr="00EE31DC">
            <w:rPr>
              <w:rFonts w:ascii="Arial" w:hAnsi="Arial" w:cs="Arial"/>
              <w:sz w:val="24"/>
              <w:szCs w:val="24"/>
            </w:rPr>
            <w:t>et al., 2021).</w:t>
          </w:r>
        </w:p>
        <w:p w14:paraId="627779AA" w14:textId="2FA655CF" w:rsidR="00D677BA" w:rsidRDefault="00D677BA" w:rsidP="00D677BA">
          <w:pPr>
            <w:rPr>
              <w:rFonts w:ascii="Arial" w:hAnsi="Arial" w:cs="Arial"/>
              <w:sz w:val="24"/>
              <w:szCs w:val="24"/>
            </w:rPr>
          </w:pPr>
          <w:r w:rsidRPr="00EE31DC">
            <w:rPr>
              <w:rFonts w:ascii="Arial" w:hAnsi="Arial" w:cs="Arial"/>
              <w:sz w:val="24"/>
              <w:szCs w:val="24"/>
            </w:rPr>
            <w:t>A</w:t>
          </w:r>
          <w:r w:rsidR="005F56B8" w:rsidRPr="00EE31DC">
            <w:rPr>
              <w:rFonts w:ascii="Arial" w:hAnsi="Arial" w:cs="Arial"/>
              <w:sz w:val="24"/>
              <w:szCs w:val="24"/>
            </w:rPr>
            <w:t>ccording to</w:t>
          </w:r>
          <w:r w:rsidRPr="00EE31DC">
            <w:rPr>
              <w:rFonts w:ascii="Arial" w:hAnsi="Arial" w:cs="Arial"/>
              <w:sz w:val="24"/>
              <w:szCs w:val="24"/>
            </w:rPr>
            <w:t xml:space="preserve"> </w:t>
          </w:r>
          <w:proofErr w:type="spellStart"/>
          <w:r w:rsidRPr="00EE31DC">
            <w:rPr>
              <w:rFonts w:ascii="Arial" w:hAnsi="Arial" w:cs="Arial"/>
              <w:sz w:val="24"/>
              <w:szCs w:val="24"/>
            </w:rPr>
            <w:t>Steiss</w:t>
          </w:r>
          <w:proofErr w:type="spellEnd"/>
          <w:r w:rsidR="00CF477F">
            <w:rPr>
              <w:rFonts w:ascii="Arial" w:hAnsi="Arial" w:cs="Arial"/>
              <w:sz w:val="24"/>
              <w:szCs w:val="24"/>
            </w:rPr>
            <w:t xml:space="preserve"> (</w:t>
          </w:r>
          <w:r w:rsidRPr="00EE31DC">
            <w:rPr>
              <w:rFonts w:ascii="Arial" w:hAnsi="Arial" w:cs="Arial"/>
              <w:sz w:val="24"/>
              <w:szCs w:val="24"/>
            </w:rPr>
            <w:t xml:space="preserve">2019), even more problems are shown by the calculations. Edwards might want to use strategic pricing to make the most money and deal with them. This might require the business to do a lot of research on the market to see how prices are shifting and where its competitors are positioned so that it can adjust its pricing strategy to fit. Looking for ways to save money on buying things and managing the supply chain can also help. Buying a lot of stock can hurt cash flow </w:t>
          </w:r>
          <w:r w:rsidR="00F56BB8" w:rsidRPr="00EE31DC">
            <w:rPr>
              <w:rFonts w:ascii="Arial" w:hAnsi="Arial" w:cs="Arial"/>
              <w:sz w:val="24"/>
              <w:szCs w:val="24"/>
            </w:rPr>
            <w:t>by</w:t>
          </w:r>
          <w:r w:rsidRPr="00EE31DC">
            <w:rPr>
              <w:rFonts w:ascii="Arial" w:hAnsi="Arial" w:cs="Arial"/>
              <w:sz w:val="24"/>
              <w:szCs w:val="24"/>
            </w:rPr>
            <w:t xml:space="preserve"> getting better terms from suppliers, combining orders, and streamlining the logistics process, Edwards can lower the cost of buying things and get rid of stock faster. To be proactive with your cash flow management, you should also keep a close eye on working capital metrics such as inventory turnover, accounts receivable, and accounts payable. Cash flow problems can be found and fixed quickly when robust systems for reporting and analysing finances are in place. This means working out the best payment terms with customers and suppliers, using technology to speed up billing and collection, and managing inventory in the best way possible to keep costs low and cash flow high (Maso et al., 2020).</w:t>
          </w:r>
        </w:p>
        <w:p w14:paraId="04944003" w14:textId="77777777" w:rsidR="00564DBE" w:rsidRDefault="00564DBE" w:rsidP="00D677BA">
          <w:pPr>
            <w:rPr>
              <w:rFonts w:ascii="Arial" w:hAnsi="Arial" w:cs="Arial"/>
              <w:sz w:val="24"/>
              <w:szCs w:val="24"/>
            </w:rPr>
          </w:pPr>
        </w:p>
        <w:p w14:paraId="732135F1" w14:textId="77777777" w:rsidR="007057F0" w:rsidRDefault="007057F0" w:rsidP="00D677BA">
          <w:pPr>
            <w:rPr>
              <w:rFonts w:ascii="Arial" w:hAnsi="Arial" w:cs="Arial"/>
              <w:sz w:val="24"/>
              <w:szCs w:val="24"/>
            </w:rPr>
          </w:pPr>
        </w:p>
        <w:p w14:paraId="38E4F67C" w14:textId="77777777" w:rsidR="007057F0" w:rsidRPr="00EE31DC" w:rsidRDefault="007057F0" w:rsidP="00D677BA">
          <w:pPr>
            <w:rPr>
              <w:rFonts w:ascii="Arial" w:hAnsi="Arial" w:cs="Arial"/>
              <w:sz w:val="24"/>
              <w:szCs w:val="24"/>
            </w:rPr>
          </w:pPr>
        </w:p>
        <w:p w14:paraId="7025BA23" w14:textId="25DC9E45" w:rsidR="00244F95" w:rsidRPr="001B579C" w:rsidRDefault="00D3690B" w:rsidP="00D3690B">
          <w:pPr>
            <w:pStyle w:val="Heading2"/>
            <w:rPr>
              <w:sz w:val="28"/>
              <w:szCs w:val="28"/>
            </w:rPr>
          </w:pPr>
          <w:bookmarkStart w:id="12" w:name="_Toc164027122"/>
          <w:r w:rsidRPr="001B579C">
            <w:rPr>
              <w:sz w:val="28"/>
              <w:szCs w:val="28"/>
            </w:rPr>
            <w:t>Budgetary Control Systems</w:t>
          </w:r>
          <w:bookmarkEnd w:id="12"/>
        </w:p>
        <w:p w14:paraId="0563154A" w14:textId="77777777" w:rsidR="00B81410" w:rsidRPr="00B81410" w:rsidRDefault="00B81410" w:rsidP="00B81410">
          <w:pPr>
            <w:rPr>
              <w:rFonts w:ascii="Arial" w:hAnsi="Arial" w:cs="Arial"/>
              <w:sz w:val="24"/>
              <w:szCs w:val="24"/>
            </w:rPr>
          </w:pPr>
        </w:p>
        <w:p w14:paraId="05B4495C" w14:textId="40E08387" w:rsidR="00B81410" w:rsidRPr="00B81410" w:rsidRDefault="00B81410" w:rsidP="00B81410">
          <w:pPr>
            <w:rPr>
              <w:rFonts w:ascii="Arial" w:hAnsi="Arial" w:cs="Arial"/>
              <w:sz w:val="24"/>
              <w:szCs w:val="24"/>
            </w:rPr>
          </w:pPr>
          <w:r w:rsidRPr="00B81410">
            <w:rPr>
              <w:rFonts w:ascii="Arial" w:hAnsi="Arial" w:cs="Arial"/>
              <w:sz w:val="24"/>
              <w:szCs w:val="24"/>
            </w:rPr>
            <w:t>The budget is essentially the roadmap for implementing the long-term plan in the upcoming year. It</w:t>
          </w:r>
          <w:r w:rsidR="009A51B3">
            <w:rPr>
              <w:rFonts w:ascii="Arial" w:hAnsi="Arial" w:cs="Arial"/>
              <w:sz w:val="24"/>
              <w:szCs w:val="24"/>
            </w:rPr>
            <w:t xml:space="preserve"> is </w:t>
          </w:r>
          <w:r w:rsidRPr="00B81410">
            <w:rPr>
              <w:rFonts w:ascii="Arial" w:hAnsi="Arial" w:cs="Arial"/>
              <w:sz w:val="24"/>
              <w:szCs w:val="24"/>
            </w:rPr>
            <w:t>not a standalone creation but rather evolves within the ongoing business framework and is shaped by decisions made in long-term planning. It</w:t>
          </w:r>
          <w:r w:rsidR="00360B11">
            <w:rPr>
              <w:rFonts w:ascii="Arial" w:hAnsi="Arial" w:cs="Arial"/>
              <w:sz w:val="24"/>
              <w:szCs w:val="24"/>
            </w:rPr>
            <w:t xml:space="preserve">s </w:t>
          </w:r>
          <w:r w:rsidRPr="00B81410">
            <w:rPr>
              <w:rFonts w:ascii="Arial" w:hAnsi="Arial" w:cs="Arial"/>
              <w:sz w:val="24"/>
              <w:szCs w:val="24"/>
            </w:rPr>
            <w:t xml:space="preserve">key roles include planning annual operations, aligning various parts of the organization, communicating plans to managers, motivating them towards organizational goals, </w:t>
          </w:r>
          <w:r w:rsidRPr="00B81410">
            <w:rPr>
              <w:rFonts w:ascii="Arial" w:hAnsi="Arial" w:cs="Arial"/>
              <w:sz w:val="24"/>
              <w:szCs w:val="24"/>
            </w:rPr>
            <w:lastRenderedPageBreak/>
            <w:t xml:space="preserve">controlling activities, and evaluating performance. The budget process involves communicating policy and guidelines, identifying output constraints, preparing sales budgets, negotiating with superiors, </w:t>
          </w:r>
          <w:r w:rsidR="00EA78A6" w:rsidRPr="00B81410">
            <w:rPr>
              <w:rFonts w:ascii="Arial" w:hAnsi="Arial" w:cs="Arial"/>
              <w:sz w:val="24"/>
              <w:szCs w:val="24"/>
            </w:rPr>
            <w:t>coordinating,</w:t>
          </w:r>
          <w:r w:rsidRPr="00B81410">
            <w:rPr>
              <w:rFonts w:ascii="Arial" w:hAnsi="Arial" w:cs="Arial"/>
              <w:sz w:val="24"/>
              <w:szCs w:val="24"/>
            </w:rPr>
            <w:t xml:space="preserve"> and reviewing budgets, and ultimately accepting them, followed by ongoing reviews</w:t>
          </w:r>
          <w:r w:rsidR="00D91927">
            <w:rPr>
              <w:rFonts w:ascii="Arial" w:hAnsi="Arial" w:cs="Arial"/>
              <w:sz w:val="24"/>
              <w:szCs w:val="24"/>
            </w:rPr>
            <w:t xml:space="preserve"> </w:t>
          </w:r>
          <w:r w:rsidR="00181845">
            <w:rPr>
              <w:rFonts w:ascii="Arial" w:hAnsi="Arial" w:cs="Arial"/>
              <w:sz w:val="24"/>
              <w:szCs w:val="24"/>
            </w:rPr>
            <w:t xml:space="preserve">(Drury &amp; </w:t>
          </w:r>
          <w:proofErr w:type="spellStart"/>
          <w:r w:rsidR="00181845">
            <w:rPr>
              <w:rFonts w:ascii="Arial" w:hAnsi="Arial" w:cs="Arial"/>
              <w:sz w:val="24"/>
              <w:szCs w:val="24"/>
            </w:rPr>
            <w:t>T</w:t>
          </w:r>
          <w:r w:rsidR="006E572F">
            <w:rPr>
              <w:rFonts w:ascii="Arial" w:hAnsi="Arial" w:cs="Arial"/>
              <w:sz w:val="24"/>
              <w:szCs w:val="24"/>
            </w:rPr>
            <w:t>ayles</w:t>
          </w:r>
          <w:proofErr w:type="spellEnd"/>
          <w:r w:rsidR="006E572F">
            <w:rPr>
              <w:rFonts w:ascii="Arial" w:hAnsi="Arial" w:cs="Arial"/>
              <w:sz w:val="24"/>
              <w:szCs w:val="24"/>
            </w:rPr>
            <w:t>, 202</w:t>
          </w:r>
          <w:r w:rsidR="00A36229">
            <w:rPr>
              <w:rFonts w:ascii="Arial" w:hAnsi="Arial" w:cs="Arial"/>
              <w:sz w:val="24"/>
              <w:szCs w:val="24"/>
            </w:rPr>
            <w:t>0).</w:t>
          </w:r>
        </w:p>
        <w:p w14:paraId="392E4740" w14:textId="77777777" w:rsidR="00D3690B" w:rsidRPr="00D3690B" w:rsidRDefault="00D3690B" w:rsidP="00D3690B"/>
        <w:p w14:paraId="7262C440" w14:textId="0566AAFC" w:rsidR="00244F95" w:rsidRPr="00EE31DC" w:rsidRDefault="00244F95" w:rsidP="00477AC5">
          <w:pPr>
            <w:rPr>
              <w:rFonts w:ascii="Arial" w:hAnsi="Arial" w:cs="Arial"/>
              <w:sz w:val="24"/>
              <w:szCs w:val="24"/>
            </w:rPr>
          </w:pPr>
          <w:r w:rsidRPr="00EE31DC">
            <w:rPr>
              <w:rFonts w:ascii="Arial" w:hAnsi="Arial" w:cs="Arial"/>
              <w:sz w:val="24"/>
              <w:szCs w:val="24"/>
            </w:rPr>
            <w:t xml:space="preserve">Budgeting and budgetary control are essential management tools used by organizations to plan, monitor, and control their financial activities effectively. </w:t>
          </w:r>
          <w:r w:rsidR="00956150">
            <w:rPr>
              <w:rFonts w:ascii="Arial" w:hAnsi="Arial" w:cs="Arial"/>
              <w:sz w:val="24"/>
              <w:szCs w:val="24"/>
            </w:rPr>
            <w:t xml:space="preserve">According to </w:t>
          </w:r>
          <w:sdt>
            <w:sdtPr>
              <w:rPr>
                <w:rFonts w:ascii="Arial" w:hAnsi="Arial" w:cs="Arial"/>
                <w:sz w:val="24"/>
                <w:szCs w:val="24"/>
              </w:rPr>
              <w:id w:val="1953815401"/>
              <w:citation/>
            </w:sdtPr>
            <w:sdtEndPr/>
            <w:sdtContent>
              <w:r w:rsidR="00956150">
                <w:rPr>
                  <w:rFonts w:ascii="Arial" w:hAnsi="Arial" w:cs="Arial"/>
                  <w:sz w:val="24"/>
                  <w:szCs w:val="24"/>
                </w:rPr>
                <w:fldChar w:fldCharType="begin"/>
              </w:r>
              <w:r w:rsidR="00956150">
                <w:rPr>
                  <w:rFonts w:ascii="Arial" w:hAnsi="Arial" w:cs="Arial"/>
                  <w:sz w:val="24"/>
                  <w:szCs w:val="24"/>
                </w:rPr>
                <w:instrText xml:space="preserve"> CITATION Duc21 \l 2057 </w:instrText>
              </w:r>
              <w:r w:rsidR="00956150">
                <w:rPr>
                  <w:rFonts w:ascii="Arial" w:hAnsi="Arial" w:cs="Arial"/>
                  <w:sz w:val="24"/>
                  <w:szCs w:val="24"/>
                </w:rPr>
                <w:fldChar w:fldCharType="separate"/>
              </w:r>
              <w:r w:rsidR="00FD6C4E" w:rsidRPr="00FD6C4E">
                <w:rPr>
                  <w:rFonts w:ascii="Arial" w:hAnsi="Arial" w:cs="Arial"/>
                  <w:noProof/>
                  <w:sz w:val="24"/>
                  <w:szCs w:val="24"/>
                </w:rPr>
                <w:t>(Duci, 2021)</w:t>
              </w:r>
              <w:r w:rsidR="00956150">
                <w:rPr>
                  <w:rFonts w:ascii="Arial" w:hAnsi="Arial" w:cs="Arial"/>
                  <w:sz w:val="24"/>
                  <w:szCs w:val="24"/>
                </w:rPr>
                <w:fldChar w:fldCharType="end"/>
              </w:r>
            </w:sdtContent>
          </w:sdt>
          <w:r w:rsidR="00956150">
            <w:rPr>
              <w:rFonts w:ascii="Arial" w:hAnsi="Arial" w:cs="Arial"/>
              <w:sz w:val="24"/>
              <w:szCs w:val="24"/>
            </w:rPr>
            <w:t xml:space="preserve"> b</w:t>
          </w:r>
          <w:r w:rsidR="00956150" w:rsidRPr="00956150">
            <w:rPr>
              <w:rFonts w:ascii="Arial" w:hAnsi="Arial" w:cs="Arial"/>
              <w:sz w:val="24"/>
              <w:szCs w:val="24"/>
            </w:rPr>
            <w:t xml:space="preserve">udgeting is a key concern in management accounting, with monetary planning being an essential component of any strategy. Budgeting refers to the process of determining the cash value, and it is an area of great interest and utility for management. Annual budgeting is crucial for ensuring work efficiency and effectiveness. </w:t>
          </w:r>
          <w:r w:rsidRPr="00EE31DC">
            <w:rPr>
              <w:rFonts w:ascii="Arial" w:hAnsi="Arial" w:cs="Arial"/>
              <w:sz w:val="24"/>
              <w:szCs w:val="24"/>
            </w:rPr>
            <w:t xml:space="preserve">A successful budgeting system requires the presence of certain conditions within the organization and an understanding of human </w:t>
          </w:r>
          <w:r w:rsidR="00477AC5" w:rsidRPr="00EE31DC">
            <w:rPr>
              <w:rFonts w:ascii="Arial" w:hAnsi="Arial" w:cs="Arial"/>
              <w:sz w:val="24"/>
              <w:szCs w:val="24"/>
            </w:rPr>
            <w:t>behaviours</w:t>
          </w:r>
          <w:r w:rsidRPr="00EE31DC">
            <w:rPr>
              <w:rFonts w:ascii="Arial" w:hAnsi="Arial" w:cs="Arial"/>
              <w:sz w:val="24"/>
              <w:szCs w:val="24"/>
            </w:rPr>
            <w:t xml:space="preserve"> by management</w:t>
          </w:r>
          <w:r w:rsidR="007F143D">
            <w:rPr>
              <w:rFonts w:ascii="Arial" w:hAnsi="Arial" w:cs="Arial"/>
              <w:sz w:val="24"/>
              <w:szCs w:val="24"/>
            </w:rPr>
            <w:t xml:space="preserve"> </w:t>
          </w:r>
          <w:sdt>
            <w:sdtPr>
              <w:rPr>
                <w:rFonts w:ascii="Arial" w:hAnsi="Arial" w:cs="Arial"/>
                <w:sz w:val="24"/>
                <w:szCs w:val="24"/>
              </w:rPr>
              <w:id w:val="-611433376"/>
              <w:citation/>
            </w:sdtPr>
            <w:sdtEndPr/>
            <w:sdtContent>
              <w:r w:rsidR="007F143D">
                <w:rPr>
                  <w:rFonts w:ascii="Arial" w:hAnsi="Arial" w:cs="Arial"/>
                  <w:sz w:val="24"/>
                  <w:szCs w:val="24"/>
                </w:rPr>
                <w:fldChar w:fldCharType="begin"/>
              </w:r>
              <w:r w:rsidR="007F143D">
                <w:rPr>
                  <w:rFonts w:ascii="Arial" w:hAnsi="Arial" w:cs="Arial"/>
                  <w:sz w:val="24"/>
                  <w:szCs w:val="24"/>
                </w:rPr>
                <w:instrText xml:space="preserve"> CITATION Bat21 \l 2057 </w:instrText>
              </w:r>
              <w:r w:rsidR="007F143D">
                <w:rPr>
                  <w:rFonts w:ascii="Arial" w:hAnsi="Arial" w:cs="Arial"/>
                  <w:sz w:val="24"/>
                  <w:szCs w:val="24"/>
                </w:rPr>
                <w:fldChar w:fldCharType="separate"/>
              </w:r>
              <w:r w:rsidR="00FD6C4E" w:rsidRPr="00FD6C4E">
                <w:rPr>
                  <w:rFonts w:ascii="Arial" w:hAnsi="Arial" w:cs="Arial"/>
                  <w:noProof/>
                  <w:sz w:val="24"/>
                  <w:szCs w:val="24"/>
                </w:rPr>
                <w:t>(Batt, et al., 2021)</w:t>
              </w:r>
              <w:r w:rsidR="007F143D">
                <w:rPr>
                  <w:rFonts w:ascii="Arial" w:hAnsi="Arial" w:cs="Arial"/>
                  <w:sz w:val="24"/>
                  <w:szCs w:val="24"/>
                </w:rPr>
                <w:fldChar w:fldCharType="end"/>
              </w:r>
            </w:sdtContent>
          </w:sdt>
          <w:r w:rsidR="007F143D">
            <w:rPr>
              <w:rFonts w:ascii="Arial" w:hAnsi="Arial" w:cs="Arial"/>
              <w:sz w:val="24"/>
              <w:szCs w:val="24"/>
            </w:rPr>
            <w:t>.</w:t>
          </w:r>
          <w:r w:rsidR="009F0311" w:rsidRPr="009F0311">
            <w:rPr>
              <w:rFonts w:ascii="Arial" w:hAnsi="Arial" w:cs="Arial"/>
              <w:sz w:val="24"/>
              <w:szCs w:val="24"/>
            </w:rPr>
            <w:t>The success of budgeting and budgetary control systems within organizations depends on various factors, including clear organizational objectives, strong leadership support, a participative approach, adequate information systems, and flexibility</w:t>
          </w:r>
          <w:r w:rsidR="007F143D">
            <w:rPr>
              <w:rFonts w:ascii="Arial" w:hAnsi="Arial" w:cs="Arial"/>
              <w:sz w:val="24"/>
              <w:szCs w:val="24"/>
            </w:rPr>
            <w:t xml:space="preserve"> </w:t>
          </w:r>
          <w:sdt>
            <w:sdtPr>
              <w:rPr>
                <w:rFonts w:ascii="Arial" w:hAnsi="Arial" w:cs="Arial"/>
                <w:sz w:val="24"/>
                <w:szCs w:val="24"/>
              </w:rPr>
              <w:id w:val="992685615"/>
              <w:citation/>
            </w:sdtPr>
            <w:sdtEndPr/>
            <w:sdtContent>
              <w:r w:rsidR="007F143D">
                <w:rPr>
                  <w:rFonts w:ascii="Arial" w:hAnsi="Arial" w:cs="Arial"/>
                  <w:sz w:val="24"/>
                  <w:szCs w:val="24"/>
                </w:rPr>
                <w:fldChar w:fldCharType="begin"/>
              </w:r>
              <w:r w:rsidR="007F143D">
                <w:rPr>
                  <w:rFonts w:ascii="Arial" w:hAnsi="Arial" w:cs="Arial"/>
                  <w:sz w:val="24"/>
                  <w:szCs w:val="24"/>
                </w:rPr>
                <w:instrText xml:space="preserve"> CITATION Bru75 \l 2057 </w:instrText>
              </w:r>
              <w:r w:rsidR="007F143D">
                <w:rPr>
                  <w:rFonts w:ascii="Arial" w:hAnsi="Arial" w:cs="Arial"/>
                  <w:sz w:val="24"/>
                  <w:szCs w:val="24"/>
                </w:rPr>
                <w:fldChar w:fldCharType="separate"/>
              </w:r>
              <w:r w:rsidR="00FD6C4E" w:rsidRPr="00FD6C4E">
                <w:rPr>
                  <w:rFonts w:ascii="Arial" w:hAnsi="Arial" w:cs="Arial"/>
                  <w:noProof/>
                  <w:sz w:val="24"/>
                  <w:szCs w:val="24"/>
                </w:rPr>
                <w:t>(Bruns &amp; Waterhouse, 1975)</w:t>
              </w:r>
              <w:r w:rsidR="007F143D">
                <w:rPr>
                  <w:rFonts w:ascii="Arial" w:hAnsi="Arial" w:cs="Arial"/>
                  <w:sz w:val="24"/>
                  <w:szCs w:val="24"/>
                </w:rPr>
                <w:fldChar w:fldCharType="end"/>
              </w:r>
            </w:sdtContent>
          </w:sdt>
          <w:r w:rsidR="007F143D">
            <w:rPr>
              <w:rFonts w:ascii="Arial" w:hAnsi="Arial" w:cs="Arial"/>
              <w:sz w:val="24"/>
              <w:szCs w:val="24"/>
            </w:rPr>
            <w:t>.</w:t>
          </w:r>
          <w:r w:rsidR="009F0311" w:rsidRPr="009F0311">
            <w:rPr>
              <w:rFonts w:ascii="Arial" w:hAnsi="Arial" w:cs="Arial"/>
              <w:sz w:val="24"/>
              <w:szCs w:val="24"/>
            </w:rPr>
            <w:t xml:space="preserve"> Additionally, management needs to consider </w:t>
          </w:r>
          <w:r w:rsidR="00A36229" w:rsidRPr="009F0311">
            <w:rPr>
              <w:rFonts w:ascii="Arial" w:hAnsi="Arial" w:cs="Arial"/>
              <w:sz w:val="24"/>
              <w:szCs w:val="24"/>
            </w:rPr>
            <w:t>behavioural</w:t>
          </w:r>
          <w:r w:rsidR="009F0311" w:rsidRPr="009F0311">
            <w:rPr>
              <w:rFonts w:ascii="Arial" w:hAnsi="Arial" w:cs="Arial"/>
              <w:sz w:val="24"/>
              <w:szCs w:val="24"/>
            </w:rPr>
            <w:t xml:space="preserve"> aspects such as resistance to change, goal congruence, communication, motivation, and performance evaluation during the implementation of budgeting systems. By addressing these conditions and </w:t>
          </w:r>
          <w:r w:rsidR="00A36229" w:rsidRPr="009F0311">
            <w:rPr>
              <w:rFonts w:ascii="Arial" w:hAnsi="Arial" w:cs="Arial"/>
              <w:sz w:val="24"/>
              <w:szCs w:val="24"/>
            </w:rPr>
            <w:t>behavioural</w:t>
          </w:r>
          <w:r w:rsidR="009F0311" w:rsidRPr="009F0311">
            <w:rPr>
              <w:rFonts w:ascii="Arial" w:hAnsi="Arial" w:cs="Arial"/>
              <w:sz w:val="24"/>
              <w:szCs w:val="24"/>
            </w:rPr>
            <w:t xml:space="preserve"> considerations, organizations can enhance the effectiveness of their budgeting processes and achieve better financial management outcomes</w:t>
          </w:r>
          <w:r w:rsidR="00A7354F">
            <w:rPr>
              <w:rFonts w:ascii="Arial" w:hAnsi="Arial" w:cs="Arial"/>
              <w:sz w:val="24"/>
              <w:szCs w:val="24"/>
            </w:rPr>
            <w:t>.</w:t>
          </w:r>
        </w:p>
        <w:p w14:paraId="520FCF0C" w14:textId="77777777" w:rsidR="00244F95" w:rsidRPr="00EE31DC" w:rsidRDefault="00244F95" w:rsidP="00244F95">
          <w:pPr>
            <w:ind w:firstLine="720"/>
            <w:rPr>
              <w:rFonts w:ascii="Arial" w:hAnsi="Arial" w:cs="Arial"/>
              <w:sz w:val="24"/>
              <w:szCs w:val="24"/>
            </w:rPr>
          </w:pPr>
        </w:p>
        <w:p w14:paraId="4386ECAE" w14:textId="6B0963B1" w:rsidR="00244F95" w:rsidRPr="00EE31DC" w:rsidRDefault="00244F95" w:rsidP="00477AC5">
          <w:pPr>
            <w:rPr>
              <w:rFonts w:ascii="Arial" w:hAnsi="Arial" w:cs="Arial"/>
              <w:sz w:val="24"/>
              <w:szCs w:val="24"/>
            </w:rPr>
          </w:pPr>
          <w:r w:rsidRPr="00EE31DC">
            <w:rPr>
              <w:rFonts w:ascii="Arial" w:hAnsi="Arial" w:cs="Arial"/>
              <w:sz w:val="24"/>
              <w:szCs w:val="24"/>
            </w:rPr>
            <w:t>Conditions for Successful Budgeting and Budgetary Control Systems</w:t>
          </w:r>
          <w:r w:rsidR="00477AC5" w:rsidRPr="00EE31DC">
            <w:rPr>
              <w:rFonts w:ascii="Arial" w:hAnsi="Arial" w:cs="Arial"/>
              <w:sz w:val="24"/>
              <w:szCs w:val="24"/>
            </w:rPr>
            <w:t>:</w:t>
          </w:r>
        </w:p>
        <w:p w14:paraId="2A32A993" w14:textId="77777777" w:rsidR="00244F95" w:rsidRPr="00EE31DC" w:rsidRDefault="00244F95" w:rsidP="00244F95">
          <w:pPr>
            <w:ind w:firstLine="720"/>
            <w:rPr>
              <w:rFonts w:ascii="Arial" w:hAnsi="Arial" w:cs="Arial"/>
              <w:sz w:val="24"/>
              <w:szCs w:val="24"/>
            </w:rPr>
          </w:pPr>
        </w:p>
        <w:p w14:paraId="4409C651" w14:textId="6DF89387" w:rsidR="00244F95" w:rsidRPr="000F2944" w:rsidRDefault="00244F95" w:rsidP="000F2944">
          <w:pPr>
            <w:pStyle w:val="ListParagraph"/>
            <w:numPr>
              <w:ilvl w:val="0"/>
              <w:numId w:val="2"/>
            </w:numPr>
            <w:rPr>
              <w:rFonts w:ascii="Arial" w:hAnsi="Arial" w:cs="Arial"/>
              <w:sz w:val="24"/>
              <w:szCs w:val="24"/>
            </w:rPr>
          </w:pPr>
          <w:r w:rsidRPr="00EE31DC">
            <w:rPr>
              <w:rFonts w:ascii="Arial" w:hAnsi="Arial" w:cs="Arial"/>
              <w:sz w:val="24"/>
              <w:szCs w:val="24"/>
            </w:rPr>
            <w:t>Clear Organizational Objectives: A successful budgeting system requires alignment with the organization's objectives</w:t>
          </w:r>
          <w:r w:rsidR="00EE31DC" w:rsidRPr="00EE31DC">
            <w:rPr>
              <w:rFonts w:ascii="Arial" w:hAnsi="Arial" w:cs="Arial"/>
              <w:sz w:val="24"/>
              <w:szCs w:val="24"/>
            </w:rPr>
            <w:t xml:space="preserve"> (Reimert </w:t>
          </w:r>
          <w:r w:rsidR="005E5FD2">
            <w:rPr>
              <w:rFonts w:ascii="Arial" w:hAnsi="Arial" w:cs="Arial"/>
              <w:sz w:val="24"/>
              <w:szCs w:val="24"/>
            </w:rPr>
            <w:t xml:space="preserve">&amp; </w:t>
          </w:r>
          <w:r w:rsidR="00EE31DC" w:rsidRPr="00EE31DC">
            <w:rPr>
              <w:rFonts w:ascii="Arial" w:hAnsi="Arial" w:cs="Arial"/>
              <w:sz w:val="24"/>
              <w:szCs w:val="24"/>
            </w:rPr>
            <w:t>Rust, 2022).</w:t>
          </w:r>
          <w:r w:rsidRPr="00EE31DC">
            <w:rPr>
              <w:rFonts w:ascii="Arial" w:hAnsi="Arial" w:cs="Arial"/>
              <w:sz w:val="24"/>
              <w:szCs w:val="24"/>
            </w:rPr>
            <w:t xml:space="preserve"> Clear, well-defined goals provide a framework for budget development and enable managers to allocate resources effectively. Without clear objectives, budgeting becomes arbitrary, leading to inefficiencies and suboptimal resource allocation</w:t>
          </w:r>
          <w:r w:rsidR="00EE31DC" w:rsidRPr="00EE31DC">
            <w:rPr>
              <w:rFonts w:ascii="Arial" w:hAnsi="Arial" w:cs="Arial"/>
              <w:sz w:val="24"/>
              <w:szCs w:val="24"/>
            </w:rPr>
            <w:t xml:space="preserve"> (Odek &amp; Oluoch, 2023).</w:t>
          </w:r>
        </w:p>
        <w:p w14:paraId="043A70E6" w14:textId="74F0D4F5" w:rsidR="00244F95" w:rsidRPr="000F2944" w:rsidRDefault="00244F95" w:rsidP="000F2944">
          <w:pPr>
            <w:pStyle w:val="ListParagraph"/>
            <w:numPr>
              <w:ilvl w:val="0"/>
              <w:numId w:val="2"/>
            </w:numPr>
            <w:rPr>
              <w:rFonts w:ascii="Arial" w:hAnsi="Arial" w:cs="Arial"/>
              <w:sz w:val="24"/>
              <w:szCs w:val="24"/>
            </w:rPr>
          </w:pPr>
          <w:r w:rsidRPr="00EE31DC">
            <w:rPr>
              <w:rFonts w:ascii="Arial" w:hAnsi="Arial" w:cs="Arial"/>
              <w:sz w:val="24"/>
              <w:szCs w:val="24"/>
            </w:rPr>
            <w:t>Strong Leadership and Management Support: Leadership commitment is crucial for the success of budgeting and budgetary control systems. Top management must actively support the budgeting process, communicate its importance, and provide necessary resources. Without strong leadership, employees may lack motivation and commitment to the budgeting process, undermining its effectiveness</w:t>
          </w:r>
          <w:r w:rsidR="000C3E8C">
            <w:rPr>
              <w:rFonts w:ascii="Arial" w:hAnsi="Arial" w:cs="Arial"/>
              <w:sz w:val="24"/>
              <w:szCs w:val="24"/>
            </w:rPr>
            <w:t xml:space="preserve"> </w:t>
          </w:r>
          <w:sdt>
            <w:sdtPr>
              <w:rPr>
                <w:rFonts w:ascii="Arial" w:hAnsi="Arial" w:cs="Arial"/>
                <w:sz w:val="24"/>
                <w:szCs w:val="24"/>
              </w:rPr>
              <w:id w:val="1371961074"/>
              <w:citation/>
            </w:sdtPr>
            <w:sdtEndPr/>
            <w:sdtContent>
              <w:r w:rsidR="000C3E8C">
                <w:rPr>
                  <w:rFonts w:ascii="Arial" w:hAnsi="Arial" w:cs="Arial"/>
                  <w:sz w:val="24"/>
                  <w:szCs w:val="24"/>
                </w:rPr>
                <w:fldChar w:fldCharType="begin"/>
              </w:r>
              <w:r w:rsidR="000C3E8C">
                <w:rPr>
                  <w:rFonts w:ascii="Arial" w:hAnsi="Arial" w:cs="Arial"/>
                  <w:sz w:val="24"/>
                  <w:szCs w:val="24"/>
                </w:rPr>
                <w:instrText xml:space="preserve"> CITATION Gho23 \l 2057 </w:instrText>
              </w:r>
              <w:r w:rsidR="000C3E8C">
                <w:rPr>
                  <w:rFonts w:ascii="Arial" w:hAnsi="Arial" w:cs="Arial"/>
                  <w:sz w:val="24"/>
                  <w:szCs w:val="24"/>
                </w:rPr>
                <w:fldChar w:fldCharType="separate"/>
              </w:r>
              <w:r w:rsidR="00FD6C4E" w:rsidRPr="00FD6C4E">
                <w:rPr>
                  <w:rFonts w:ascii="Arial" w:hAnsi="Arial" w:cs="Arial"/>
                  <w:noProof/>
                  <w:sz w:val="24"/>
                  <w:szCs w:val="24"/>
                </w:rPr>
                <w:t>(Ghorbani, 2023)</w:t>
              </w:r>
              <w:r w:rsidR="000C3E8C">
                <w:rPr>
                  <w:rFonts w:ascii="Arial" w:hAnsi="Arial" w:cs="Arial"/>
                  <w:sz w:val="24"/>
                  <w:szCs w:val="24"/>
                </w:rPr>
                <w:fldChar w:fldCharType="end"/>
              </w:r>
            </w:sdtContent>
          </w:sdt>
          <w:r w:rsidR="000C3E8C">
            <w:rPr>
              <w:rFonts w:ascii="Arial" w:hAnsi="Arial" w:cs="Arial"/>
              <w:sz w:val="24"/>
              <w:szCs w:val="24"/>
            </w:rPr>
            <w:t>.</w:t>
          </w:r>
        </w:p>
        <w:p w14:paraId="01725B9A" w14:textId="041F8F95" w:rsidR="00244F95" w:rsidRPr="000F2944" w:rsidRDefault="00244F95" w:rsidP="000F2944">
          <w:pPr>
            <w:pStyle w:val="ListParagraph"/>
            <w:numPr>
              <w:ilvl w:val="0"/>
              <w:numId w:val="2"/>
            </w:numPr>
            <w:rPr>
              <w:rFonts w:ascii="Arial" w:hAnsi="Arial" w:cs="Arial"/>
              <w:sz w:val="24"/>
              <w:szCs w:val="24"/>
            </w:rPr>
          </w:pPr>
          <w:r w:rsidRPr="00EE31DC">
            <w:rPr>
              <w:rFonts w:ascii="Arial" w:hAnsi="Arial" w:cs="Arial"/>
              <w:sz w:val="24"/>
              <w:szCs w:val="24"/>
            </w:rPr>
            <w:t>Participative Approach: Involving relevant stakeholders in the budgeting process enhances its accuracy and acceptance</w:t>
          </w:r>
          <w:r w:rsidR="00EE31DC" w:rsidRPr="00EE31DC">
            <w:rPr>
              <w:rFonts w:ascii="Arial" w:hAnsi="Arial" w:cs="Arial"/>
              <w:sz w:val="24"/>
              <w:szCs w:val="24"/>
            </w:rPr>
            <w:t xml:space="preserve"> gamble (Reid et al., 2019). </w:t>
          </w:r>
          <w:r w:rsidRPr="00EE31DC">
            <w:rPr>
              <w:rFonts w:ascii="Arial" w:hAnsi="Arial" w:cs="Arial"/>
              <w:sz w:val="24"/>
              <w:szCs w:val="24"/>
            </w:rPr>
            <w:t xml:space="preserve"> A participative approach encourages buy-in from employees and fosters a sense of ownership over budget targets. It also facilitates the exchange of </w:t>
          </w:r>
          <w:r w:rsidRPr="00EE31DC">
            <w:rPr>
              <w:rFonts w:ascii="Arial" w:hAnsi="Arial" w:cs="Arial"/>
              <w:sz w:val="24"/>
              <w:szCs w:val="24"/>
            </w:rPr>
            <w:lastRenderedPageBreak/>
            <w:t>valuable insights and promotes transparency, leading to more realistic and achievable budgets</w:t>
          </w:r>
          <w:r w:rsidR="00A7354F">
            <w:rPr>
              <w:rFonts w:ascii="Arial" w:hAnsi="Arial" w:cs="Arial"/>
              <w:sz w:val="24"/>
              <w:szCs w:val="24"/>
            </w:rPr>
            <w:t xml:space="preserve"> </w:t>
          </w:r>
          <w:sdt>
            <w:sdtPr>
              <w:rPr>
                <w:rFonts w:ascii="Arial" w:hAnsi="Arial" w:cs="Arial"/>
                <w:sz w:val="24"/>
                <w:szCs w:val="24"/>
              </w:rPr>
              <w:id w:val="1387914419"/>
              <w:citation/>
            </w:sdtPr>
            <w:sdtEndPr/>
            <w:sdtContent>
              <w:r w:rsidR="00A7354F">
                <w:rPr>
                  <w:rFonts w:ascii="Arial" w:hAnsi="Arial" w:cs="Arial"/>
                  <w:sz w:val="24"/>
                  <w:szCs w:val="24"/>
                </w:rPr>
                <w:fldChar w:fldCharType="begin"/>
              </w:r>
              <w:r w:rsidR="00A7354F">
                <w:rPr>
                  <w:rFonts w:ascii="Arial" w:hAnsi="Arial" w:cs="Arial"/>
                  <w:sz w:val="24"/>
                  <w:szCs w:val="24"/>
                </w:rPr>
                <w:instrText xml:space="preserve"> CITATION Set22 \l 2057 </w:instrText>
              </w:r>
              <w:r w:rsidR="00A7354F">
                <w:rPr>
                  <w:rFonts w:ascii="Arial" w:hAnsi="Arial" w:cs="Arial"/>
                  <w:sz w:val="24"/>
                  <w:szCs w:val="24"/>
                </w:rPr>
                <w:fldChar w:fldCharType="separate"/>
              </w:r>
              <w:r w:rsidR="00FD6C4E" w:rsidRPr="00FD6C4E">
                <w:rPr>
                  <w:rFonts w:ascii="Arial" w:hAnsi="Arial" w:cs="Arial"/>
                  <w:noProof/>
                  <w:sz w:val="24"/>
                  <w:szCs w:val="24"/>
                </w:rPr>
                <w:t>(Setyoko &amp; Kurniasih, 2022)</w:t>
              </w:r>
              <w:r w:rsidR="00A7354F">
                <w:rPr>
                  <w:rFonts w:ascii="Arial" w:hAnsi="Arial" w:cs="Arial"/>
                  <w:sz w:val="24"/>
                  <w:szCs w:val="24"/>
                </w:rPr>
                <w:fldChar w:fldCharType="end"/>
              </w:r>
            </w:sdtContent>
          </w:sdt>
        </w:p>
        <w:p w14:paraId="39995630" w14:textId="54ACBE84" w:rsidR="00244F95" w:rsidRPr="000F2944" w:rsidRDefault="00244F95" w:rsidP="000F2944">
          <w:pPr>
            <w:pStyle w:val="ListParagraph"/>
            <w:numPr>
              <w:ilvl w:val="0"/>
              <w:numId w:val="2"/>
            </w:numPr>
            <w:rPr>
              <w:rFonts w:ascii="Arial" w:hAnsi="Arial" w:cs="Arial"/>
              <w:sz w:val="24"/>
              <w:szCs w:val="24"/>
            </w:rPr>
          </w:pPr>
          <w:r w:rsidRPr="00EE31DC">
            <w:rPr>
              <w:rFonts w:ascii="Arial" w:hAnsi="Arial" w:cs="Arial"/>
              <w:sz w:val="24"/>
              <w:szCs w:val="24"/>
            </w:rPr>
            <w:t>Adequate Information Systems: Effective budgeting relies on accurate and timely information</w:t>
          </w:r>
          <w:r w:rsidR="002F116D">
            <w:rPr>
              <w:rFonts w:ascii="Arial" w:hAnsi="Arial" w:cs="Arial"/>
              <w:sz w:val="24"/>
              <w:szCs w:val="24"/>
            </w:rPr>
            <w:t xml:space="preserve"> </w:t>
          </w:r>
          <w:sdt>
            <w:sdtPr>
              <w:rPr>
                <w:rFonts w:ascii="Arial" w:hAnsi="Arial" w:cs="Arial"/>
                <w:sz w:val="24"/>
                <w:szCs w:val="24"/>
              </w:rPr>
              <w:id w:val="1840112614"/>
              <w:citation/>
            </w:sdtPr>
            <w:sdtEndPr/>
            <w:sdtContent>
              <w:r w:rsidR="002F116D">
                <w:rPr>
                  <w:rFonts w:ascii="Arial" w:hAnsi="Arial" w:cs="Arial"/>
                  <w:sz w:val="24"/>
                  <w:szCs w:val="24"/>
                </w:rPr>
                <w:fldChar w:fldCharType="begin"/>
              </w:r>
              <w:r w:rsidR="002F116D">
                <w:rPr>
                  <w:rFonts w:ascii="Arial" w:hAnsi="Arial" w:cs="Arial"/>
                  <w:sz w:val="24"/>
                  <w:szCs w:val="24"/>
                </w:rPr>
                <w:instrText xml:space="preserve"> CITATION int241 \l 2057 </w:instrText>
              </w:r>
              <w:r w:rsidR="002F116D">
                <w:rPr>
                  <w:rFonts w:ascii="Arial" w:hAnsi="Arial" w:cs="Arial"/>
                  <w:sz w:val="24"/>
                  <w:szCs w:val="24"/>
                </w:rPr>
                <w:fldChar w:fldCharType="separate"/>
              </w:r>
              <w:r w:rsidR="00FD6C4E" w:rsidRPr="00FD6C4E">
                <w:rPr>
                  <w:rFonts w:ascii="Arial" w:hAnsi="Arial" w:cs="Arial"/>
                  <w:noProof/>
                  <w:sz w:val="24"/>
                  <w:szCs w:val="24"/>
                </w:rPr>
                <w:t>(intellipaat.com, 2024)</w:t>
              </w:r>
              <w:r w:rsidR="002F116D">
                <w:rPr>
                  <w:rFonts w:ascii="Arial" w:hAnsi="Arial" w:cs="Arial"/>
                  <w:sz w:val="24"/>
                  <w:szCs w:val="24"/>
                </w:rPr>
                <w:fldChar w:fldCharType="end"/>
              </w:r>
            </w:sdtContent>
          </w:sdt>
          <w:r w:rsidR="002F116D">
            <w:rPr>
              <w:rFonts w:ascii="Arial" w:hAnsi="Arial" w:cs="Arial"/>
              <w:sz w:val="24"/>
              <w:szCs w:val="24"/>
            </w:rPr>
            <w:t>.</w:t>
          </w:r>
          <w:r w:rsidRPr="00EE31DC">
            <w:rPr>
              <w:rFonts w:ascii="Arial" w:hAnsi="Arial" w:cs="Arial"/>
              <w:sz w:val="24"/>
              <w:szCs w:val="24"/>
            </w:rPr>
            <w:t xml:space="preserve">Organizations need robust information systems to gather, </w:t>
          </w:r>
          <w:r w:rsidR="00C664B9" w:rsidRPr="00EE31DC">
            <w:rPr>
              <w:rFonts w:ascii="Arial" w:hAnsi="Arial" w:cs="Arial"/>
              <w:sz w:val="24"/>
              <w:szCs w:val="24"/>
            </w:rPr>
            <w:t>analyse</w:t>
          </w:r>
          <w:r w:rsidRPr="00EE31DC">
            <w:rPr>
              <w:rFonts w:ascii="Arial" w:hAnsi="Arial" w:cs="Arial"/>
              <w:sz w:val="24"/>
              <w:szCs w:val="24"/>
            </w:rPr>
            <w:t>, and disseminate financial data relevant to the budgeting process. Without access to reliable information, managers may make decisions based on incomplete or outdated data, compromising the effectiveness of budgetary control</w:t>
          </w:r>
          <w:r w:rsidR="005B5F9B">
            <w:rPr>
              <w:rFonts w:ascii="Arial" w:hAnsi="Arial" w:cs="Arial"/>
              <w:sz w:val="24"/>
              <w:szCs w:val="24"/>
            </w:rPr>
            <w:t xml:space="preserve"> </w:t>
          </w:r>
          <w:sdt>
            <w:sdtPr>
              <w:rPr>
                <w:rFonts w:ascii="Arial" w:hAnsi="Arial" w:cs="Arial"/>
                <w:sz w:val="24"/>
                <w:szCs w:val="24"/>
              </w:rPr>
              <w:id w:val="1252158378"/>
              <w:citation/>
            </w:sdtPr>
            <w:sdtEndPr/>
            <w:sdtContent>
              <w:r w:rsidR="005B5F9B">
                <w:rPr>
                  <w:rFonts w:ascii="Arial" w:hAnsi="Arial" w:cs="Arial"/>
                  <w:sz w:val="24"/>
                  <w:szCs w:val="24"/>
                </w:rPr>
                <w:fldChar w:fldCharType="begin"/>
              </w:r>
              <w:r w:rsidR="005B5F9B">
                <w:rPr>
                  <w:rFonts w:ascii="Arial" w:hAnsi="Arial" w:cs="Arial"/>
                  <w:sz w:val="24"/>
                  <w:szCs w:val="24"/>
                </w:rPr>
                <w:instrText xml:space="preserve"> CITATION pro24 \l 2057 </w:instrText>
              </w:r>
              <w:r w:rsidR="005B5F9B">
                <w:rPr>
                  <w:rFonts w:ascii="Arial" w:hAnsi="Arial" w:cs="Arial"/>
                  <w:sz w:val="24"/>
                  <w:szCs w:val="24"/>
                </w:rPr>
                <w:fldChar w:fldCharType="separate"/>
              </w:r>
              <w:r w:rsidR="00FD6C4E" w:rsidRPr="00FD6C4E">
                <w:rPr>
                  <w:rFonts w:ascii="Arial" w:hAnsi="Arial" w:cs="Arial"/>
                  <w:noProof/>
                  <w:sz w:val="24"/>
                  <w:szCs w:val="24"/>
                </w:rPr>
                <w:t>(projectpractical.com, 2024)</w:t>
              </w:r>
              <w:r w:rsidR="005B5F9B">
                <w:rPr>
                  <w:rFonts w:ascii="Arial" w:hAnsi="Arial" w:cs="Arial"/>
                  <w:sz w:val="24"/>
                  <w:szCs w:val="24"/>
                </w:rPr>
                <w:fldChar w:fldCharType="end"/>
              </w:r>
            </w:sdtContent>
          </w:sdt>
          <w:r w:rsidR="005B5F9B">
            <w:rPr>
              <w:rFonts w:ascii="Arial" w:hAnsi="Arial" w:cs="Arial"/>
              <w:sz w:val="24"/>
              <w:szCs w:val="24"/>
            </w:rPr>
            <w:t>.</w:t>
          </w:r>
        </w:p>
        <w:p w14:paraId="4A8C3ADA" w14:textId="358934EC" w:rsidR="00244F95" w:rsidRPr="00EE31DC" w:rsidRDefault="00244F95" w:rsidP="00477AC5">
          <w:pPr>
            <w:pStyle w:val="ListParagraph"/>
            <w:numPr>
              <w:ilvl w:val="0"/>
              <w:numId w:val="2"/>
            </w:numPr>
            <w:rPr>
              <w:rFonts w:ascii="Arial" w:hAnsi="Arial" w:cs="Arial"/>
              <w:sz w:val="24"/>
              <w:szCs w:val="24"/>
            </w:rPr>
          </w:pPr>
          <w:r w:rsidRPr="00EE31DC">
            <w:rPr>
              <w:rFonts w:ascii="Arial" w:hAnsi="Arial" w:cs="Arial"/>
              <w:sz w:val="24"/>
              <w:szCs w:val="24"/>
            </w:rPr>
            <w:t>Flexibility and Adaptability: A successful budgeting system should be flexible enough to accommodate changes in the business environment. Organizations operate in dynamic markets where unexpected events and opportunities arise</w:t>
          </w:r>
          <w:r w:rsidR="005B5F9B">
            <w:rPr>
              <w:rFonts w:ascii="Arial" w:hAnsi="Arial" w:cs="Arial"/>
              <w:sz w:val="24"/>
              <w:szCs w:val="24"/>
            </w:rPr>
            <w:t xml:space="preserve"> </w:t>
          </w:r>
          <w:sdt>
            <w:sdtPr>
              <w:rPr>
                <w:rFonts w:ascii="Arial" w:hAnsi="Arial" w:cs="Arial"/>
                <w:sz w:val="24"/>
                <w:szCs w:val="24"/>
              </w:rPr>
              <w:id w:val="723711839"/>
              <w:citation/>
            </w:sdtPr>
            <w:sdtEndPr/>
            <w:sdtContent>
              <w:r w:rsidR="005B5F9B">
                <w:rPr>
                  <w:rFonts w:ascii="Arial" w:hAnsi="Arial" w:cs="Arial"/>
                  <w:sz w:val="24"/>
                  <w:szCs w:val="24"/>
                </w:rPr>
                <w:fldChar w:fldCharType="begin"/>
              </w:r>
              <w:r w:rsidR="005B5F9B">
                <w:rPr>
                  <w:rFonts w:ascii="Arial" w:hAnsi="Arial" w:cs="Arial"/>
                  <w:sz w:val="24"/>
                  <w:szCs w:val="24"/>
                </w:rPr>
                <w:instrText xml:space="preserve"> CITATION Ram62 \l 2057 </w:instrText>
              </w:r>
              <w:r w:rsidR="005B5F9B">
                <w:rPr>
                  <w:rFonts w:ascii="Arial" w:hAnsi="Arial" w:cs="Arial"/>
                  <w:sz w:val="24"/>
                  <w:szCs w:val="24"/>
                </w:rPr>
                <w:fldChar w:fldCharType="separate"/>
              </w:r>
              <w:r w:rsidR="00FD6C4E" w:rsidRPr="00FD6C4E">
                <w:rPr>
                  <w:rFonts w:ascii="Arial" w:hAnsi="Arial" w:cs="Arial"/>
                  <w:noProof/>
                  <w:sz w:val="24"/>
                  <w:szCs w:val="24"/>
                </w:rPr>
                <w:t>(Ramanauskas, 1962)</w:t>
              </w:r>
              <w:r w:rsidR="005B5F9B">
                <w:rPr>
                  <w:rFonts w:ascii="Arial" w:hAnsi="Arial" w:cs="Arial"/>
                  <w:sz w:val="24"/>
                  <w:szCs w:val="24"/>
                </w:rPr>
                <w:fldChar w:fldCharType="end"/>
              </w:r>
            </w:sdtContent>
          </w:sdt>
          <w:r w:rsidR="000C3E8C">
            <w:rPr>
              <w:rFonts w:ascii="Arial" w:hAnsi="Arial" w:cs="Arial"/>
              <w:sz w:val="24"/>
              <w:szCs w:val="24"/>
            </w:rPr>
            <w:t>.</w:t>
          </w:r>
          <w:r w:rsidRPr="00EE31DC">
            <w:rPr>
              <w:rFonts w:ascii="Arial" w:hAnsi="Arial" w:cs="Arial"/>
              <w:sz w:val="24"/>
              <w:szCs w:val="24"/>
            </w:rPr>
            <w:t>Flexibility allows managers to adjust budgets in response to changing circumstances, ensuring continued relevance and alignment with organizational goals</w:t>
          </w:r>
          <w:r w:rsidR="000C3E8C">
            <w:rPr>
              <w:rFonts w:ascii="Arial" w:hAnsi="Arial" w:cs="Arial"/>
              <w:sz w:val="24"/>
              <w:szCs w:val="24"/>
            </w:rPr>
            <w:t xml:space="preserve"> </w:t>
          </w:r>
          <w:sdt>
            <w:sdtPr>
              <w:rPr>
                <w:rFonts w:ascii="Arial" w:hAnsi="Arial" w:cs="Arial"/>
                <w:sz w:val="24"/>
                <w:szCs w:val="24"/>
              </w:rPr>
              <w:id w:val="-198699966"/>
              <w:citation/>
            </w:sdtPr>
            <w:sdtEndPr/>
            <w:sdtContent>
              <w:r w:rsidR="000C3E8C">
                <w:rPr>
                  <w:rFonts w:ascii="Arial" w:hAnsi="Arial" w:cs="Arial"/>
                  <w:sz w:val="24"/>
                  <w:szCs w:val="24"/>
                </w:rPr>
                <w:fldChar w:fldCharType="begin"/>
              </w:r>
              <w:r w:rsidR="000C3E8C">
                <w:rPr>
                  <w:rFonts w:ascii="Arial" w:hAnsi="Arial" w:cs="Arial"/>
                  <w:sz w:val="24"/>
                  <w:szCs w:val="24"/>
                </w:rPr>
                <w:instrText xml:space="preserve"> CITATION Gre21 \l 2057 </w:instrText>
              </w:r>
              <w:r w:rsidR="000C3E8C">
                <w:rPr>
                  <w:rFonts w:ascii="Arial" w:hAnsi="Arial" w:cs="Arial"/>
                  <w:sz w:val="24"/>
                  <w:szCs w:val="24"/>
                </w:rPr>
                <w:fldChar w:fldCharType="separate"/>
              </w:r>
              <w:r w:rsidR="00FD6C4E" w:rsidRPr="00FD6C4E">
                <w:rPr>
                  <w:rFonts w:ascii="Arial" w:hAnsi="Arial" w:cs="Arial"/>
                  <w:noProof/>
                  <w:sz w:val="24"/>
                  <w:szCs w:val="24"/>
                </w:rPr>
                <w:t>(Greenwalt &amp; Patt, 2021)</w:t>
              </w:r>
              <w:r w:rsidR="000C3E8C">
                <w:rPr>
                  <w:rFonts w:ascii="Arial" w:hAnsi="Arial" w:cs="Arial"/>
                  <w:sz w:val="24"/>
                  <w:szCs w:val="24"/>
                </w:rPr>
                <w:fldChar w:fldCharType="end"/>
              </w:r>
            </w:sdtContent>
          </w:sdt>
          <w:r w:rsidR="000C3E8C">
            <w:rPr>
              <w:rFonts w:ascii="Arial" w:hAnsi="Arial" w:cs="Arial"/>
              <w:sz w:val="24"/>
              <w:szCs w:val="24"/>
            </w:rPr>
            <w:t>.</w:t>
          </w:r>
        </w:p>
        <w:p w14:paraId="00BAA367" w14:textId="77777777" w:rsidR="00244F95" w:rsidRPr="00EE31DC" w:rsidRDefault="00244F95" w:rsidP="00244F95">
          <w:pPr>
            <w:ind w:firstLine="720"/>
            <w:rPr>
              <w:rFonts w:ascii="Arial" w:hAnsi="Arial" w:cs="Arial"/>
              <w:sz w:val="24"/>
              <w:szCs w:val="24"/>
            </w:rPr>
          </w:pPr>
        </w:p>
        <w:p w14:paraId="131B509B" w14:textId="5028897B" w:rsidR="00244F95" w:rsidRPr="00EE31DC" w:rsidRDefault="009F0311" w:rsidP="00244F95">
          <w:pPr>
            <w:ind w:firstLine="720"/>
            <w:rPr>
              <w:rFonts w:ascii="Arial" w:hAnsi="Arial" w:cs="Arial"/>
              <w:sz w:val="24"/>
              <w:szCs w:val="24"/>
            </w:rPr>
          </w:pPr>
          <w:r w:rsidRPr="00EE31DC">
            <w:rPr>
              <w:rFonts w:ascii="Arial" w:hAnsi="Arial" w:cs="Arial"/>
              <w:sz w:val="24"/>
              <w:szCs w:val="24"/>
            </w:rPr>
            <w:t>Behavioural</w:t>
          </w:r>
          <w:r w:rsidR="00244F95" w:rsidRPr="00EE31DC">
            <w:rPr>
              <w:rFonts w:ascii="Arial" w:hAnsi="Arial" w:cs="Arial"/>
              <w:sz w:val="24"/>
              <w:szCs w:val="24"/>
            </w:rPr>
            <w:t xml:space="preserve"> Considerations in Budgeting Implementation</w:t>
          </w:r>
          <w:r>
            <w:rPr>
              <w:rFonts w:ascii="Arial" w:hAnsi="Arial" w:cs="Arial"/>
              <w:sz w:val="24"/>
              <w:szCs w:val="24"/>
            </w:rPr>
            <w:t>:</w:t>
          </w:r>
        </w:p>
        <w:p w14:paraId="19F007E7" w14:textId="77777777" w:rsidR="00244F95" w:rsidRPr="00EE31DC" w:rsidRDefault="00244F95" w:rsidP="00244F95">
          <w:pPr>
            <w:ind w:firstLine="720"/>
            <w:rPr>
              <w:rFonts w:ascii="Arial" w:hAnsi="Arial" w:cs="Arial"/>
              <w:sz w:val="24"/>
              <w:szCs w:val="24"/>
            </w:rPr>
          </w:pPr>
        </w:p>
        <w:p w14:paraId="286BF3BC" w14:textId="7D842757" w:rsidR="00244F95" w:rsidRPr="00DF5A9E" w:rsidRDefault="00244F95" w:rsidP="00DF5A9E">
          <w:pPr>
            <w:pStyle w:val="ListParagraph"/>
            <w:numPr>
              <w:ilvl w:val="0"/>
              <w:numId w:val="4"/>
            </w:numPr>
            <w:rPr>
              <w:rFonts w:ascii="Arial" w:hAnsi="Arial" w:cs="Arial"/>
              <w:sz w:val="24"/>
              <w:szCs w:val="24"/>
            </w:rPr>
          </w:pPr>
          <w:r w:rsidRPr="00DF5A9E">
            <w:rPr>
              <w:rFonts w:ascii="Arial" w:hAnsi="Arial" w:cs="Arial"/>
              <w:sz w:val="24"/>
              <w:szCs w:val="24"/>
            </w:rPr>
            <w:t xml:space="preserve">Resistance to Change: Introducing a budgeting system often triggers resistance from employees accustomed to existing practices. Resistance may stem from fear of job loss, perceived loss of autonomy, or </w:t>
          </w:r>
          <w:r w:rsidR="00477AC5" w:rsidRPr="00DF5A9E">
            <w:rPr>
              <w:rFonts w:ascii="Arial" w:hAnsi="Arial" w:cs="Arial"/>
              <w:sz w:val="24"/>
              <w:szCs w:val="24"/>
            </w:rPr>
            <w:t>scepticism</w:t>
          </w:r>
          <w:r w:rsidRPr="00DF5A9E">
            <w:rPr>
              <w:rFonts w:ascii="Arial" w:hAnsi="Arial" w:cs="Arial"/>
              <w:sz w:val="24"/>
              <w:szCs w:val="24"/>
            </w:rPr>
            <w:t xml:space="preserve"> about the benefits of budgeting. Management must address these concerns through effective communication, training, and by emphasizing the advantages of the new system</w:t>
          </w:r>
          <w:r w:rsidR="00FB3606" w:rsidRPr="00DF5A9E">
            <w:rPr>
              <w:rFonts w:ascii="Arial" w:hAnsi="Arial" w:cs="Arial"/>
              <w:sz w:val="24"/>
              <w:szCs w:val="24"/>
            </w:rPr>
            <w:t xml:space="preserve"> </w:t>
          </w:r>
          <w:sdt>
            <w:sdtPr>
              <w:id w:val="339662416"/>
              <w:citation/>
            </w:sdtPr>
            <w:sdtEndPr/>
            <w:sdtContent>
              <w:r w:rsidR="00FB3606" w:rsidRPr="00DF5A9E">
                <w:rPr>
                  <w:rFonts w:ascii="Arial" w:hAnsi="Arial" w:cs="Arial"/>
                  <w:sz w:val="24"/>
                  <w:szCs w:val="24"/>
                </w:rPr>
                <w:fldChar w:fldCharType="begin"/>
              </w:r>
              <w:r w:rsidR="00FB3606" w:rsidRPr="00DF5A9E">
                <w:rPr>
                  <w:rFonts w:ascii="Arial" w:hAnsi="Arial" w:cs="Arial"/>
                  <w:sz w:val="24"/>
                  <w:szCs w:val="24"/>
                </w:rPr>
                <w:instrText xml:space="preserve"> CITATION biz24 \l 2057 </w:instrText>
              </w:r>
              <w:r w:rsidR="00FB3606" w:rsidRPr="00DF5A9E">
                <w:rPr>
                  <w:rFonts w:ascii="Arial" w:hAnsi="Arial" w:cs="Arial"/>
                  <w:sz w:val="24"/>
                  <w:szCs w:val="24"/>
                </w:rPr>
                <w:fldChar w:fldCharType="separate"/>
              </w:r>
              <w:r w:rsidR="00FD6C4E" w:rsidRPr="00FD6C4E">
                <w:rPr>
                  <w:rFonts w:ascii="Arial" w:hAnsi="Arial" w:cs="Arial"/>
                  <w:noProof/>
                  <w:sz w:val="24"/>
                  <w:szCs w:val="24"/>
                </w:rPr>
                <w:t>(biz.libretexts.org, 2024)</w:t>
              </w:r>
              <w:r w:rsidR="00FB3606" w:rsidRPr="00DF5A9E">
                <w:rPr>
                  <w:rFonts w:ascii="Arial" w:hAnsi="Arial" w:cs="Arial"/>
                  <w:sz w:val="24"/>
                  <w:szCs w:val="24"/>
                </w:rPr>
                <w:fldChar w:fldCharType="end"/>
              </w:r>
            </w:sdtContent>
          </w:sdt>
          <w:r w:rsidR="00FB3606" w:rsidRPr="00DF5A9E">
            <w:rPr>
              <w:rFonts w:ascii="Arial" w:hAnsi="Arial" w:cs="Arial"/>
              <w:sz w:val="24"/>
              <w:szCs w:val="24"/>
            </w:rPr>
            <w:t>.</w:t>
          </w:r>
        </w:p>
        <w:p w14:paraId="50724814" w14:textId="77777777" w:rsidR="00244F95" w:rsidRPr="00EE31DC" w:rsidRDefault="00244F95" w:rsidP="00244F95">
          <w:pPr>
            <w:ind w:firstLine="720"/>
            <w:rPr>
              <w:rFonts w:ascii="Arial" w:hAnsi="Arial" w:cs="Arial"/>
              <w:sz w:val="24"/>
              <w:szCs w:val="24"/>
            </w:rPr>
          </w:pPr>
        </w:p>
        <w:p w14:paraId="0B1208C7" w14:textId="704051BE" w:rsidR="00244F95" w:rsidRPr="006956AC" w:rsidRDefault="00244F95" w:rsidP="0075396F">
          <w:pPr>
            <w:pStyle w:val="ListParagraph"/>
            <w:numPr>
              <w:ilvl w:val="0"/>
              <w:numId w:val="4"/>
            </w:numPr>
            <w:rPr>
              <w:rFonts w:ascii="Arial" w:hAnsi="Arial" w:cs="Arial"/>
              <w:sz w:val="24"/>
              <w:szCs w:val="24"/>
            </w:rPr>
          </w:pPr>
          <w:r w:rsidRPr="00DF5A9E">
            <w:rPr>
              <w:rFonts w:ascii="Arial" w:hAnsi="Arial" w:cs="Arial"/>
              <w:sz w:val="24"/>
              <w:szCs w:val="24"/>
            </w:rPr>
            <w:t xml:space="preserve">Goal Congruence and </w:t>
          </w:r>
          <w:r w:rsidR="00477AC5" w:rsidRPr="00DF5A9E">
            <w:rPr>
              <w:rFonts w:ascii="Arial" w:hAnsi="Arial" w:cs="Arial"/>
              <w:sz w:val="24"/>
              <w:szCs w:val="24"/>
            </w:rPr>
            <w:t>Behavioural</w:t>
          </w:r>
          <w:r w:rsidRPr="00DF5A9E">
            <w:rPr>
              <w:rFonts w:ascii="Arial" w:hAnsi="Arial" w:cs="Arial"/>
              <w:sz w:val="24"/>
              <w:szCs w:val="24"/>
            </w:rPr>
            <w:t xml:space="preserve"> Bias: Individuals within organizations may prioritize personal goals over organizational objectives, leading to conflicts of interest and suboptimal decision-</w:t>
          </w:r>
          <w:r w:rsidR="00477AC5" w:rsidRPr="00DF5A9E">
            <w:rPr>
              <w:rFonts w:ascii="Arial" w:hAnsi="Arial" w:cs="Arial"/>
              <w:sz w:val="24"/>
              <w:szCs w:val="24"/>
            </w:rPr>
            <w:t>making</w:t>
          </w:r>
          <w:r w:rsidR="00EE31DC" w:rsidRPr="00DF5A9E">
            <w:rPr>
              <w:rFonts w:ascii="Arial" w:hAnsi="Arial" w:cs="Arial"/>
              <w:sz w:val="24"/>
              <w:szCs w:val="24"/>
            </w:rPr>
            <w:t xml:space="preserve"> </w:t>
          </w:r>
          <w:r w:rsidR="00477AC5" w:rsidRPr="00DF5A9E">
            <w:rPr>
              <w:rFonts w:ascii="Arial" w:hAnsi="Arial" w:cs="Arial"/>
              <w:sz w:val="24"/>
              <w:szCs w:val="24"/>
            </w:rPr>
            <w:t>(</w:t>
          </w:r>
          <w:proofErr w:type="spellStart"/>
          <w:r w:rsidR="00477AC5" w:rsidRPr="00DF5A9E">
            <w:rPr>
              <w:rFonts w:ascii="Arial" w:hAnsi="Arial" w:cs="Arial"/>
              <w:sz w:val="24"/>
              <w:szCs w:val="24"/>
            </w:rPr>
            <w:t>Mosteanu</w:t>
          </w:r>
          <w:proofErr w:type="spellEnd"/>
          <w:r w:rsidR="00477AC5" w:rsidRPr="00DF5A9E">
            <w:rPr>
              <w:rFonts w:ascii="Arial" w:hAnsi="Arial" w:cs="Arial"/>
              <w:sz w:val="24"/>
              <w:szCs w:val="24"/>
            </w:rPr>
            <w:t xml:space="preserve"> &amp; </w:t>
          </w:r>
          <w:proofErr w:type="spellStart"/>
          <w:r w:rsidR="00477AC5" w:rsidRPr="00DF5A9E">
            <w:rPr>
              <w:rFonts w:ascii="Arial" w:hAnsi="Arial" w:cs="Arial"/>
              <w:sz w:val="24"/>
              <w:szCs w:val="24"/>
            </w:rPr>
            <w:t>Faccia</w:t>
          </w:r>
          <w:proofErr w:type="spellEnd"/>
          <w:r w:rsidR="00477AC5" w:rsidRPr="00DF5A9E">
            <w:rPr>
              <w:rFonts w:ascii="Arial" w:hAnsi="Arial" w:cs="Arial"/>
              <w:sz w:val="24"/>
              <w:szCs w:val="24"/>
            </w:rPr>
            <w:t>, 2020).</w:t>
          </w:r>
          <w:r w:rsidRPr="00DF5A9E">
            <w:rPr>
              <w:rFonts w:ascii="Arial" w:hAnsi="Arial" w:cs="Arial"/>
              <w:sz w:val="24"/>
              <w:szCs w:val="24"/>
            </w:rPr>
            <w:t xml:space="preserve"> </w:t>
          </w:r>
          <w:r w:rsidR="00477AC5" w:rsidRPr="00DF5A9E">
            <w:rPr>
              <w:rFonts w:ascii="Arial" w:hAnsi="Arial" w:cs="Arial"/>
              <w:sz w:val="24"/>
              <w:szCs w:val="24"/>
            </w:rPr>
            <w:t>Behavioural</w:t>
          </w:r>
          <w:r w:rsidRPr="00DF5A9E">
            <w:rPr>
              <w:rFonts w:ascii="Arial" w:hAnsi="Arial" w:cs="Arial"/>
              <w:sz w:val="24"/>
              <w:szCs w:val="24"/>
            </w:rPr>
            <w:t xml:space="preserve"> biases such as overconfidence or anchoring can distort budgeting estimates and undermine budgetary control</w:t>
          </w:r>
          <w:r w:rsidR="009F0311" w:rsidRPr="00DF5A9E">
            <w:rPr>
              <w:rFonts w:ascii="Arial" w:hAnsi="Arial" w:cs="Arial"/>
              <w:sz w:val="24"/>
              <w:szCs w:val="24"/>
            </w:rPr>
            <w:t xml:space="preserve"> (</w:t>
          </w:r>
          <w:proofErr w:type="spellStart"/>
          <w:r w:rsidR="009F0311" w:rsidRPr="00DF5A9E">
            <w:rPr>
              <w:rFonts w:ascii="Arial" w:hAnsi="Arial" w:cs="Arial"/>
              <w:sz w:val="24"/>
              <w:szCs w:val="24"/>
            </w:rPr>
            <w:t>Qudratovich</w:t>
          </w:r>
          <w:proofErr w:type="spellEnd"/>
          <w:r w:rsidR="009F0311" w:rsidRPr="00DF5A9E">
            <w:rPr>
              <w:rFonts w:ascii="Arial" w:hAnsi="Arial" w:cs="Arial"/>
              <w:sz w:val="24"/>
              <w:szCs w:val="24"/>
            </w:rPr>
            <w:t>, 2022</w:t>
          </w:r>
          <w:r w:rsidR="00564DBE" w:rsidRPr="00DF5A9E">
            <w:rPr>
              <w:rFonts w:ascii="Arial" w:hAnsi="Arial" w:cs="Arial"/>
              <w:sz w:val="24"/>
              <w:szCs w:val="24"/>
            </w:rPr>
            <w:t>).</w:t>
          </w:r>
          <w:r w:rsidRPr="00DF5A9E">
            <w:rPr>
              <w:rFonts w:ascii="Arial" w:hAnsi="Arial" w:cs="Arial"/>
              <w:sz w:val="24"/>
              <w:szCs w:val="24"/>
            </w:rPr>
            <w:t xml:space="preserve"> Management needs to promote goal congruence by aligning individual incentives with organizational goals and addressing biases through awareness and training</w:t>
          </w:r>
          <w:r w:rsidR="00EE31DC" w:rsidRPr="00DF5A9E">
            <w:rPr>
              <w:rFonts w:ascii="Arial" w:hAnsi="Arial" w:cs="Arial"/>
              <w:sz w:val="24"/>
              <w:szCs w:val="24"/>
            </w:rPr>
            <w:t xml:space="preserve"> (Menicucci, 2019).</w:t>
          </w:r>
        </w:p>
        <w:p w14:paraId="08B75355" w14:textId="77777777" w:rsidR="009F0311" w:rsidRDefault="00244F95" w:rsidP="00DF5A9E">
          <w:pPr>
            <w:pStyle w:val="ListParagraph"/>
            <w:numPr>
              <w:ilvl w:val="0"/>
              <w:numId w:val="4"/>
            </w:numPr>
            <w:rPr>
              <w:rFonts w:ascii="Arial" w:hAnsi="Arial" w:cs="Arial"/>
              <w:sz w:val="24"/>
              <w:szCs w:val="24"/>
            </w:rPr>
          </w:pPr>
          <w:r w:rsidRPr="009F0311">
            <w:rPr>
              <w:rFonts w:ascii="Arial" w:hAnsi="Arial" w:cs="Arial"/>
              <w:sz w:val="24"/>
              <w:szCs w:val="24"/>
            </w:rPr>
            <w:t>Communication and Feedback: Effective communication is essential for the success of budgeting systems. Poor communication can lead to misunderstandings, resistance, and ultimately, failure of the budgeting process. Management should ensure clear and transparent communication channels, provide feedback on performance against budget targets, and encourage open dialogue to address concerns and promote continuous improvement</w:t>
          </w:r>
          <w:r w:rsidR="009F0311" w:rsidRPr="009F0311">
            <w:rPr>
              <w:rFonts w:ascii="Arial" w:hAnsi="Arial" w:cs="Arial"/>
              <w:sz w:val="24"/>
              <w:szCs w:val="24"/>
            </w:rPr>
            <w:t xml:space="preserve"> (</w:t>
          </w:r>
          <w:proofErr w:type="spellStart"/>
          <w:r w:rsidR="009F0311" w:rsidRPr="009F0311">
            <w:rPr>
              <w:rFonts w:ascii="Arial" w:hAnsi="Arial" w:cs="Arial"/>
              <w:sz w:val="24"/>
              <w:szCs w:val="24"/>
            </w:rPr>
            <w:t>Zografou</w:t>
          </w:r>
          <w:proofErr w:type="spellEnd"/>
          <w:r w:rsidR="009F0311" w:rsidRPr="009F0311">
            <w:rPr>
              <w:rFonts w:ascii="Arial" w:hAnsi="Arial" w:cs="Arial"/>
              <w:sz w:val="24"/>
              <w:szCs w:val="24"/>
            </w:rPr>
            <w:t>, et al., 2021)</w:t>
          </w:r>
          <w:r w:rsidR="009F0311">
            <w:rPr>
              <w:rFonts w:ascii="Arial" w:hAnsi="Arial" w:cs="Arial"/>
              <w:sz w:val="24"/>
              <w:szCs w:val="24"/>
            </w:rPr>
            <w:t>.</w:t>
          </w:r>
        </w:p>
        <w:p w14:paraId="4D13852F" w14:textId="06456E33" w:rsidR="00244F95" w:rsidRPr="00DF5A9E" w:rsidRDefault="00244F95" w:rsidP="00DF5A9E">
          <w:pPr>
            <w:pStyle w:val="ListParagraph"/>
            <w:numPr>
              <w:ilvl w:val="0"/>
              <w:numId w:val="4"/>
            </w:numPr>
            <w:rPr>
              <w:rFonts w:ascii="Arial" w:hAnsi="Arial" w:cs="Arial"/>
              <w:sz w:val="24"/>
              <w:szCs w:val="24"/>
            </w:rPr>
          </w:pPr>
          <w:r w:rsidRPr="00DF5A9E">
            <w:rPr>
              <w:rFonts w:ascii="Arial" w:hAnsi="Arial" w:cs="Arial"/>
              <w:sz w:val="24"/>
              <w:szCs w:val="24"/>
            </w:rPr>
            <w:lastRenderedPageBreak/>
            <w:t xml:space="preserve">Motivation and Performance Evaluation: Budgeting can influence employee motivation and </w:t>
          </w:r>
          <w:r w:rsidR="005E5FD2" w:rsidRPr="00DF5A9E">
            <w:rPr>
              <w:rFonts w:ascii="Arial" w:hAnsi="Arial" w:cs="Arial"/>
              <w:sz w:val="24"/>
              <w:szCs w:val="24"/>
            </w:rPr>
            <w:t>behaviour</w:t>
          </w:r>
          <w:r w:rsidR="00EE31DC" w:rsidRPr="00DF5A9E">
            <w:rPr>
              <w:rFonts w:ascii="Arial" w:hAnsi="Arial" w:cs="Arial"/>
              <w:sz w:val="24"/>
              <w:szCs w:val="24"/>
            </w:rPr>
            <w:t xml:space="preserve"> (</w:t>
          </w:r>
          <w:proofErr w:type="spellStart"/>
          <w:r w:rsidR="00EE31DC" w:rsidRPr="00DF5A9E">
            <w:rPr>
              <w:rFonts w:ascii="Arial" w:hAnsi="Arial" w:cs="Arial"/>
              <w:sz w:val="24"/>
              <w:szCs w:val="24"/>
            </w:rPr>
            <w:t>Mutschmann</w:t>
          </w:r>
          <w:proofErr w:type="spellEnd"/>
          <w:r w:rsidR="00EE31DC" w:rsidRPr="00DF5A9E">
            <w:rPr>
              <w:rFonts w:ascii="Arial" w:hAnsi="Arial" w:cs="Arial"/>
              <w:sz w:val="24"/>
              <w:szCs w:val="24"/>
            </w:rPr>
            <w:t>, et al., 2022</w:t>
          </w:r>
          <w:r w:rsidR="005E5FD2" w:rsidRPr="00DF5A9E">
            <w:rPr>
              <w:rFonts w:ascii="Arial" w:hAnsi="Arial" w:cs="Arial"/>
              <w:sz w:val="24"/>
              <w:szCs w:val="24"/>
            </w:rPr>
            <w:t>). Unrealistic</w:t>
          </w:r>
          <w:r w:rsidRPr="00DF5A9E">
            <w:rPr>
              <w:rFonts w:ascii="Arial" w:hAnsi="Arial" w:cs="Arial"/>
              <w:sz w:val="24"/>
              <w:szCs w:val="24"/>
            </w:rPr>
            <w:t xml:space="preserve"> targets or excessive pressure to meet budget goals may lead to unethical </w:t>
          </w:r>
          <w:r w:rsidR="005E5FD2" w:rsidRPr="00DF5A9E">
            <w:rPr>
              <w:rFonts w:ascii="Arial" w:hAnsi="Arial" w:cs="Arial"/>
              <w:sz w:val="24"/>
              <w:szCs w:val="24"/>
            </w:rPr>
            <w:t>behaviour</w:t>
          </w:r>
          <w:r w:rsidRPr="00DF5A9E">
            <w:rPr>
              <w:rFonts w:ascii="Arial" w:hAnsi="Arial" w:cs="Arial"/>
              <w:sz w:val="24"/>
              <w:szCs w:val="24"/>
            </w:rPr>
            <w:t>, such as budgetary gaming or manipulation of financial data. Management should balance incentives and controls to motivate performance while discouraging unethical practices. Fair and transparent performance evaluation criteria are essential for maintaining employee morale and integrity within the budgeting process</w:t>
          </w:r>
          <w:r w:rsidR="009F0311" w:rsidRPr="00DF5A9E">
            <w:rPr>
              <w:rFonts w:ascii="Arial" w:hAnsi="Arial" w:cs="Arial"/>
              <w:sz w:val="24"/>
              <w:szCs w:val="24"/>
            </w:rPr>
            <w:t xml:space="preserve"> (Zulkarnaen, et al., 2020).</w:t>
          </w:r>
        </w:p>
        <w:p w14:paraId="51267B23" w14:textId="77777777" w:rsidR="00ED1EA0" w:rsidRDefault="00ED1EA0" w:rsidP="001F0069">
          <w:pPr>
            <w:pStyle w:val="Heading2"/>
          </w:pPr>
        </w:p>
        <w:p w14:paraId="0766CBF3" w14:textId="0C65FBFA" w:rsidR="00ED1EA0" w:rsidRDefault="001F0069" w:rsidP="009B6D0A">
          <w:pPr>
            <w:pStyle w:val="Heading2"/>
            <w:rPr>
              <w:rFonts w:ascii="Arial" w:hAnsi="Arial" w:cs="Arial"/>
              <w:sz w:val="24"/>
              <w:szCs w:val="24"/>
            </w:rPr>
          </w:pPr>
          <w:bookmarkStart w:id="13" w:name="_Toc164027123"/>
          <w:r w:rsidRPr="001F0069">
            <w:rPr>
              <w:sz w:val="28"/>
              <w:szCs w:val="28"/>
            </w:rPr>
            <w:t>Traditional Budgeting Approache</w:t>
          </w:r>
          <w:r w:rsidR="009B6D0A">
            <w:rPr>
              <w:sz w:val="28"/>
              <w:szCs w:val="28"/>
            </w:rPr>
            <w:t>s</w:t>
          </w:r>
          <w:bookmarkEnd w:id="13"/>
        </w:p>
        <w:p w14:paraId="01E96350" w14:textId="77777777" w:rsidR="005E5FD2" w:rsidRDefault="005E5FD2" w:rsidP="00D677BA">
          <w:pPr>
            <w:rPr>
              <w:rFonts w:ascii="Arial" w:hAnsi="Arial" w:cs="Arial"/>
              <w:sz w:val="24"/>
              <w:szCs w:val="24"/>
            </w:rPr>
          </w:pPr>
        </w:p>
        <w:p w14:paraId="570209F7" w14:textId="3F5EEEA3" w:rsidR="005E5FD2" w:rsidRPr="005E5FD2" w:rsidRDefault="005E5FD2" w:rsidP="005E5FD2">
          <w:pPr>
            <w:rPr>
              <w:rFonts w:ascii="Arial" w:hAnsi="Arial" w:cs="Arial"/>
              <w:sz w:val="24"/>
              <w:szCs w:val="24"/>
            </w:rPr>
          </w:pPr>
          <w:r w:rsidRPr="005E5FD2">
            <w:rPr>
              <w:rFonts w:ascii="Arial" w:hAnsi="Arial" w:cs="Arial"/>
              <w:sz w:val="24"/>
              <w:szCs w:val="24"/>
            </w:rPr>
            <w:t>Traditional approaches to budgeting have long been the cornerstone of financial planning and control for organizations across various industries</w:t>
          </w:r>
          <w:r w:rsidR="00FB3606">
            <w:rPr>
              <w:rFonts w:ascii="Arial" w:hAnsi="Arial" w:cs="Arial"/>
              <w:sz w:val="24"/>
              <w:szCs w:val="24"/>
            </w:rPr>
            <w:t xml:space="preserve"> </w:t>
          </w:r>
          <w:sdt>
            <w:sdtPr>
              <w:rPr>
                <w:rFonts w:ascii="Arial" w:hAnsi="Arial" w:cs="Arial"/>
                <w:sz w:val="24"/>
                <w:szCs w:val="24"/>
              </w:rPr>
              <w:id w:val="-1554844744"/>
              <w:citation/>
            </w:sdtPr>
            <w:sdtEndPr/>
            <w:sdtContent>
              <w:r w:rsidR="001424A2">
                <w:rPr>
                  <w:rFonts w:ascii="Arial" w:hAnsi="Arial" w:cs="Arial"/>
                  <w:sz w:val="24"/>
                  <w:szCs w:val="24"/>
                </w:rPr>
                <w:fldChar w:fldCharType="begin"/>
              </w:r>
              <w:r w:rsidR="001424A2">
                <w:rPr>
                  <w:rFonts w:ascii="Arial" w:hAnsi="Arial" w:cs="Arial"/>
                  <w:sz w:val="24"/>
                  <w:szCs w:val="24"/>
                </w:rPr>
                <w:instrText xml:space="preserve"> CITATION Ber20 \l 2057 </w:instrText>
              </w:r>
              <w:r w:rsidR="001424A2">
                <w:rPr>
                  <w:rFonts w:ascii="Arial" w:hAnsi="Arial" w:cs="Arial"/>
                  <w:sz w:val="24"/>
                  <w:szCs w:val="24"/>
                </w:rPr>
                <w:fldChar w:fldCharType="separate"/>
              </w:r>
              <w:r w:rsidR="00FD6C4E" w:rsidRPr="00FD6C4E">
                <w:rPr>
                  <w:rFonts w:ascii="Arial" w:hAnsi="Arial" w:cs="Arial"/>
                  <w:noProof/>
                  <w:sz w:val="24"/>
                  <w:szCs w:val="24"/>
                </w:rPr>
                <w:t>(Bergmann, et al., 2020)</w:t>
              </w:r>
              <w:r w:rsidR="001424A2">
                <w:rPr>
                  <w:rFonts w:ascii="Arial" w:hAnsi="Arial" w:cs="Arial"/>
                  <w:sz w:val="24"/>
                  <w:szCs w:val="24"/>
                </w:rPr>
                <w:fldChar w:fldCharType="end"/>
              </w:r>
            </w:sdtContent>
          </w:sdt>
          <w:r w:rsidR="001424A2">
            <w:rPr>
              <w:rFonts w:ascii="Arial" w:hAnsi="Arial" w:cs="Arial"/>
              <w:sz w:val="24"/>
              <w:szCs w:val="24"/>
            </w:rPr>
            <w:t>.</w:t>
          </w:r>
          <w:r w:rsidRPr="005E5FD2">
            <w:rPr>
              <w:rFonts w:ascii="Arial" w:hAnsi="Arial" w:cs="Arial"/>
              <w:sz w:val="24"/>
              <w:szCs w:val="24"/>
            </w:rPr>
            <w:t>However, in the face of today's fast-changing business environment, these conventional methods are increasingly being scrutinized for their effectiveness and suitability</w:t>
          </w:r>
          <w:r w:rsidR="001424A2">
            <w:rPr>
              <w:rFonts w:ascii="Arial" w:hAnsi="Arial" w:cs="Arial"/>
              <w:sz w:val="24"/>
              <w:szCs w:val="24"/>
            </w:rPr>
            <w:t xml:space="preserve"> </w:t>
          </w:r>
          <w:sdt>
            <w:sdtPr>
              <w:rPr>
                <w:rFonts w:ascii="Arial" w:hAnsi="Arial" w:cs="Arial"/>
                <w:sz w:val="24"/>
                <w:szCs w:val="24"/>
              </w:rPr>
              <w:id w:val="-1641103682"/>
              <w:citation/>
            </w:sdtPr>
            <w:sdtEndPr/>
            <w:sdtContent>
              <w:r w:rsidR="001424A2">
                <w:rPr>
                  <w:rFonts w:ascii="Arial" w:hAnsi="Arial" w:cs="Arial"/>
                  <w:sz w:val="24"/>
                  <w:szCs w:val="24"/>
                </w:rPr>
                <w:fldChar w:fldCharType="begin"/>
              </w:r>
              <w:r w:rsidR="001424A2">
                <w:rPr>
                  <w:rFonts w:ascii="Arial" w:hAnsi="Arial" w:cs="Arial"/>
                  <w:sz w:val="24"/>
                  <w:szCs w:val="24"/>
                </w:rPr>
                <w:instrText xml:space="preserve"> CITATION Dok20 \l 2057 </w:instrText>
              </w:r>
              <w:r w:rsidR="001424A2">
                <w:rPr>
                  <w:rFonts w:ascii="Arial" w:hAnsi="Arial" w:cs="Arial"/>
                  <w:sz w:val="24"/>
                  <w:szCs w:val="24"/>
                </w:rPr>
                <w:fldChar w:fldCharType="separate"/>
              </w:r>
              <w:r w:rsidR="00FD6C4E" w:rsidRPr="00FD6C4E">
                <w:rPr>
                  <w:rFonts w:ascii="Arial" w:hAnsi="Arial" w:cs="Arial"/>
                  <w:noProof/>
                  <w:sz w:val="24"/>
                  <w:szCs w:val="24"/>
                </w:rPr>
                <w:t>(Dokulil, et al., 2020)</w:t>
              </w:r>
              <w:r w:rsidR="001424A2">
                <w:rPr>
                  <w:rFonts w:ascii="Arial" w:hAnsi="Arial" w:cs="Arial"/>
                  <w:sz w:val="24"/>
                  <w:szCs w:val="24"/>
                </w:rPr>
                <w:fldChar w:fldCharType="end"/>
              </w:r>
            </w:sdtContent>
          </w:sdt>
          <w:r w:rsidR="001424A2">
            <w:rPr>
              <w:rFonts w:ascii="Arial" w:hAnsi="Arial" w:cs="Arial"/>
              <w:sz w:val="24"/>
              <w:szCs w:val="24"/>
            </w:rPr>
            <w:t>.</w:t>
          </w:r>
        </w:p>
        <w:p w14:paraId="6C5D206C" w14:textId="69D783B2" w:rsidR="005E5FD2" w:rsidRPr="005E5FD2" w:rsidRDefault="005E5FD2" w:rsidP="005E5FD2">
          <w:pPr>
            <w:rPr>
              <w:rFonts w:ascii="Arial" w:hAnsi="Arial" w:cs="Arial"/>
              <w:sz w:val="24"/>
              <w:szCs w:val="24"/>
            </w:rPr>
          </w:pPr>
          <w:r w:rsidRPr="005E5FD2">
            <w:rPr>
              <w:rFonts w:ascii="Arial" w:hAnsi="Arial" w:cs="Arial"/>
              <w:sz w:val="24"/>
              <w:szCs w:val="24"/>
            </w:rPr>
            <w:t>Traditional budgeting methods typically involve incremental budgeting, zero-based budgeting (ZBB), activity-based budgeting (ABB), and variance analysis. While each method has its merits, they share common shortcomings when confronted with the dynamism and unpredictability of modern business landscapes</w:t>
          </w:r>
          <w:r w:rsidR="00AC4D82">
            <w:rPr>
              <w:rFonts w:ascii="Arial" w:hAnsi="Arial" w:cs="Arial"/>
              <w:sz w:val="24"/>
              <w:szCs w:val="24"/>
            </w:rPr>
            <w:t xml:space="preserve"> </w:t>
          </w:r>
          <w:sdt>
            <w:sdtPr>
              <w:rPr>
                <w:rFonts w:ascii="Arial" w:hAnsi="Arial" w:cs="Arial"/>
                <w:sz w:val="24"/>
                <w:szCs w:val="24"/>
              </w:rPr>
              <w:id w:val="-160935210"/>
              <w:citation/>
            </w:sdtPr>
            <w:sdtEndPr/>
            <w:sdtContent>
              <w:r w:rsidR="00AC4D82">
                <w:rPr>
                  <w:rFonts w:ascii="Arial" w:hAnsi="Arial" w:cs="Arial"/>
                  <w:sz w:val="24"/>
                  <w:szCs w:val="24"/>
                </w:rPr>
                <w:fldChar w:fldCharType="begin"/>
              </w:r>
              <w:r w:rsidR="00AC4D82">
                <w:rPr>
                  <w:rFonts w:ascii="Arial" w:hAnsi="Arial" w:cs="Arial"/>
                  <w:sz w:val="24"/>
                  <w:szCs w:val="24"/>
                </w:rPr>
                <w:instrText xml:space="preserve"> CITATION Sch24 \l 2057 </w:instrText>
              </w:r>
              <w:r w:rsidR="00AC4D82">
                <w:rPr>
                  <w:rFonts w:ascii="Arial" w:hAnsi="Arial" w:cs="Arial"/>
                  <w:sz w:val="24"/>
                  <w:szCs w:val="24"/>
                </w:rPr>
                <w:fldChar w:fldCharType="separate"/>
              </w:r>
              <w:r w:rsidR="00FD6C4E" w:rsidRPr="00FD6C4E">
                <w:rPr>
                  <w:rFonts w:ascii="Arial" w:hAnsi="Arial" w:cs="Arial"/>
                  <w:noProof/>
                  <w:sz w:val="24"/>
                  <w:szCs w:val="24"/>
                </w:rPr>
                <w:t>(Schmidt, 2024)</w:t>
              </w:r>
              <w:r w:rsidR="00AC4D82">
                <w:rPr>
                  <w:rFonts w:ascii="Arial" w:hAnsi="Arial" w:cs="Arial"/>
                  <w:sz w:val="24"/>
                  <w:szCs w:val="24"/>
                </w:rPr>
                <w:fldChar w:fldCharType="end"/>
              </w:r>
            </w:sdtContent>
          </w:sdt>
          <w:r w:rsidR="00AC4D82">
            <w:rPr>
              <w:rFonts w:ascii="Arial" w:hAnsi="Arial" w:cs="Arial"/>
              <w:sz w:val="24"/>
              <w:szCs w:val="24"/>
            </w:rPr>
            <w:t>.</w:t>
          </w:r>
        </w:p>
        <w:p w14:paraId="7E30BBB6" w14:textId="01422F31" w:rsidR="005E5FD2" w:rsidRPr="005E5FD2" w:rsidRDefault="005E5FD2" w:rsidP="005E5FD2">
          <w:pPr>
            <w:rPr>
              <w:rFonts w:ascii="Arial" w:hAnsi="Arial" w:cs="Arial"/>
              <w:sz w:val="24"/>
              <w:szCs w:val="24"/>
            </w:rPr>
          </w:pPr>
          <w:r w:rsidRPr="005E5FD2">
            <w:rPr>
              <w:rFonts w:ascii="Arial" w:hAnsi="Arial" w:cs="Arial"/>
              <w:sz w:val="24"/>
              <w:szCs w:val="24"/>
            </w:rPr>
            <w:t xml:space="preserve">Incremental budgeting, for instance, relies on historical data and incremental adjustments for future projections. It assumes that past trends and performance will </w:t>
          </w:r>
          <w:r w:rsidR="00EE01BE" w:rsidRPr="005E5FD2">
            <w:rPr>
              <w:rFonts w:ascii="Arial" w:hAnsi="Arial" w:cs="Arial"/>
              <w:sz w:val="24"/>
              <w:szCs w:val="24"/>
            </w:rPr>
            <w:t>continue</w:t>
          </w:r>
          <w:r w:rsidRPr="005E5FD2">
            <w:rPr>
              <w:rFonts w:ascii="Arial" w:hAnsi="Arial" w:cs="Arial"/>
              <w:sz w:val="24"/>
              <w:szCs w:val="24"/>
            </w:rPr>
            <w:t>, failing to account for sudden disruptions or market shifts</w:t>
          </w:r>
          <w:r w:rsidR="00AC4D82">
            <w:rPr>
              <w:rFonts w:ascii="Arial" w:hAnsi="Arial" w:cs="Arial"/>
              <w:sz w:val="24"/>
              <w:szCs w:val="24"/>
            </w:rPr>
            <w:t xml:space="preserve"> </w:t>
          </w:r>
          <w:sdt>
            <w:sdtPr>
              <w:rPr>
                <w:rFonts w:ascii="Arial" w:hAnsi="Arial" w:cs="Arial"/>
                <w:sz w:val="24"/>
                <w:szCs w:val="24"/>
              </w:rPr>
              <w:id w:val="-997885807"/>
              <w:citation/>
            </w:sdtPr>
            <w:sdtEndPr/>
            <w:sdtContent>
              <w:r w:rsidR="00AC4D82">
                <w:rPr>
                  <w:rFonts w:ascii="Arial" w:hAnsi="Arial" w:cs="Arial"/>
                  <w:sz w:val="24"/>
                  <w:szCs w:val="24"/>
                </w:rPr>
                <w:fldChar w:fldCharType="begin"/>
              </w:r>
              <w:r w:rsidR="00AC4D82">
                <w:rPr>
                  <w:rFonts w:ascii="Arial" w:hAnsi="Arial" w:cs="Arial"/>
                  <w:sz w:val="24"/>
                  <w:szCs w:val="24"/>
                </w:rPr>
                <w:instrText xml:space="preserve"> CITATION Mir24 \l 2057 </w:instrText>
              </w:r>
              <w:r w:rsidR="00AC4D82">
                <w:rPr>
                  <w:rFonts w:ascii="Arial" w:hAnsi="Arial" w:cs="Arial"/>
                  <w:sz w:val="24"/>
                  <w:szCs w:val="24"/>
                </w:rPr>
                <w:fldChar w:fldCharType="separate"/>
              </w:r>
              <w:r w:rsidR="00FD6C4E" w:rsidRPr="00FD6C4E">
                <w:rPr>
                  <w:rFonts w:ascii="Arial" w:hAnsi="Arial" w:cs="Arial"/>
                  <w:noProof/>
                  <w:sz w:val="24"/>
                  <w:szCs w:val="24"/>
                </w:rPr>
                <w:t>(Mirkabulovich, 2024)</w:t>
              </w:r>
              <w:r w:rsidR="00AC4D82">
                <w:rPr>
                  <w:rFonts w:ascii="Arial" w:hAnsi="Arial" w:cs="Arial"/>
                  <w:sz w:val="24"/>
                  <w:szCs w:val="24"/>
                </w:rPr>
                <w:fldChar w:fldCharType="end"/>
              </w:r>
            </w:sdtContent>
          </w:sdt>
          <w:r w:rsidRPr="005E5FD2">
            <w:rPr>
              <w:rFonts w:ascii="Arial" w:hAnsi="Arial" w:cs="Arial"/>
              <w:sz w:val="24"/>
              <w:szCs w:val="24"/>
            </w:rPr>
            <w:t>. In a fast-changing environment where technological advancements, regulatory changes, and evolving consumer preferences are prevalent, this approach can lead to inertia and missed opportunities</w:t>
          </w:r>
          <w:r w:rsidR="0064552B">
            <w:rPr>
              <w:rFonts w:ascii="Arial" w:hAnsi="Arial" w:cs="Arial"/>
              <w:sz w:val="24"/>
              <w:szCs w:val="24"/>
            </w:rPr>
            <w:t>.</w:t>
          </w:r>
          <w:r w:rsidR="00EE01BE">
            <w:rPr>
              <w:rFonts w:ascii="Arial" w:hAnsi="Arial" w:cs="Arial"/>
              <w:sz w:val="24"/>
              <w:szCs w:val="24"/>
            </w:rPr>
            <w:t xml:space="preserve"> </w:t>
          </w:r>
          <w:r w:rsidR="0064552B" w:rsidRPr="0064552B">
            <w:rPr>
              <w:rFonts w:ascii="Arial" w:hAnsi="Arial" w:cs="Arial"/>
              <w:sz w:val="24"/>
              <w:szCs w:val="24"/>
            </w:rPr>
            <w:t>Organizations may find themselves locked into outdated strategies and allocations, hindering adaptability and innovation.</w:t>
          </w:r>
          <w:r w:rsidR="0064552B">
            <w:rPr>
              <w:rFonts w:ascii="Arial" w:hAnsi="Arial" w:cs="Arial"/>
              <w:sz w:val="24"/>
              <w:szCs w:val="24"/>
            </w:rPr>
            <w:t xml:space="preserve"> </w:t>
          </w:r>
          <w:sdt>
            <w:sdtPr>
              <w:rPr>
                <w:rFonts w:ascii="Arial" w:hAnsi="Arial" w:cs="Arial"/>
                <w:sz w:val="24"/>
                <w:szCs w:val="24"/>
              </w:rPr>
              <w:id w:val="1990894630"/>
              <w:citation/>
            </w:sdtPr>
            <w:sdtEndPr/>
            <w:sdtContent>
              <w:r w:rsidR="00EE01BE">
                <w:rPr>
                  <w:rFonts w:ascii="Arial" w:hAnsi="Arial" w:cs="Arial"/>
                  <w:sz w:val="24"/>
                  <w:szCs w:val="24"/>
                </w:rPr>
                <w:fldChar w:fldCharType="begin"/>
              </w:r>
              <w:r w:rsidR="00EE01BE">
                <w:rPr>
                  <w:rFonts w:ascii="Arial" w:hAnsi="Arial" w:cs="Arial"/>
                  <w:sz w:val="24"/>
                  <w:szCs w:val="24"/>
                </w:rPr>
                <w:instrText xml:space="preserve"> CITATION FAN24 \l 2057 </w:instrText>
              </w:r>
              <w:r w:rsidR="00EE01BE">
                <w:rPr>
                  <w:rFonts w:ascii="Arial" w:hAnsi="Arial" w:cs="Arial"/>
                  <w:sz w:val="24"/>
                  <w:szCs w:val="24"/>
                </w:rPr>
                <w:fldChar w:fldCharType="separate"/>
              </w:r>
              <w:r w:rsidR="00FD6C4E" w:rsidRPr="00FD6C4E">
                <w:rPr>
                  <w:rFonts w:ascii="Arial" w:hAnsi="Arial" w:cs="Arial"/>
                  <w:noProof/>
                  <w:sz w:val="24"/>
                  <w:szCs w:val="24"/>
                </w:rPr>
                <w:t>(FANTU, 2024)</w:t>
              </w:r>
              <w:r w:rsidR="00EE01BE">
                <w:rPr>
                  <w:rFonts w:ascii="Arial" w:hAnsi="Arial" w:cs="Arial"/>
                  <w:sz w:val="24"/>
                  <w:szCs w:val="24"/>
                </w:rPr>
                <w:fldChar w:fldCharType="end"/>
              </w:r>
            </w:sdtContent>
          </w:sdt>
          <w:bookmarkStart w:id="14" w:name="_Hlk163436751"/>
          <w:r w:rsidR="00DF5A9E">
            <w:rPr>
              <w:rFonts w:ascii="Arial" w:hAnsi="Arial" w:cs="Arial"/>
              <w:sz w:val="24"/>
              <w:szCs w:val="24"/>
            </w:rPr>
            <w:t>.</w:t>
          </w:r>
          <w:r w:rsidR="00891229">
            <w:rPr>
              <w:rFonts w:ascii="Arial" w:hAnsi="Arial" w:cs="Arial"/>
              <w:sz w:val="24"/>
              <w:szCs w:val="24"/>
            </w:rPr>
            <w:t xml:space="preserve"> </w:t>
          </w:r>
          <w:r w:rsidRPr="005E5FD2">
            <w:rPr>
              <w:rFonts w:ascii="Arial" w:hAnsi="Arial" w:cs="Arial"/>
              <w:sz w:val="24"/>
              <w:szCs w:val="24"/>
            </w:rPr>
            <w:t>Organizations may find themselves locked into outdated strategies and allocations, hindering adaptability and innovation.</w:t>
          </w:r>
        </w:p>
        <w:bookmarkEnd w:id="14"/>
        <w:p w14:paraId="2E9E31F3" w14:textId="77777777" w:rsidR="005E5FD2" w:rsidRPr="005E5FD2" w:rsidRDefault="005E5FD2" w:rsidP="005E5FD2">
          <w:pPr>
            <w:rPr>
              <w:rFonts w:ascii="Arial" w:hAnsi="Arial" w:cs="Arial"/>
              <w:sz w:val="24"/>
              <w:szCs w:val="24"/>
            </w:rPr>
          </w:pPr>
        </w:p>
        <w:p w14:paraId="3E599C1E" w14:textId="5B1CDF3F" w:rsidR="005E5FD2" w:rsidRPr="005E5FD2" w:rsidRDefault="005E5FD2" w:rsidP="005E5FD2">
          <w:pPr>
            <w:rPr>
              <w:rFonts w:ascii="Arial" w:hAnsi="Arial" w:cs="Arial"/>
              <w:sz w:val="24"/>
              <w:szCs w:val="24"/>
            </w:rPr>
          </w:pPr>
          <w:r w:rsidRPr="005E5FD2">
            <w:rPr>
              <w:rFonts w:ascii="Arial" w:hAnsi="Arial" w:cs="Arial"/>
              <w:sz w:val="24"/>
              <w:szCs w:val="24"/>
            </w:rPr>
            <w:t xml:space="preserve">Zero-based budgeting (ZBB) offers a departure from incrementalism by requiring justification for every expense, starting from a "zero base" each budget cycle. While this theoretically encourages efficiency and strategic allocation of resources, its rigorous nature can be time-consuming and </w:t>
          </w:r>
          <w:r w:rsidR="0064552B" w:rsidRPr="005E5FD2">
            <w:rPr>
              <w:rFonts w:ascii="Arial" w:hAnsi="Arial" w:cs="Arial"/>
              <w:sz w:val="24"/>
              <w:szCs w:val="24"/>
            </w:rPr>
            <w:t>resource intensive</w:t>
          </w:r>
          <w:r w:rsidR="0064552B">
            <w:rPr>
              <w:rFonts w:ascii="Arial" w:hAnsi="Arial" w:cs="Arial"/>
              <w:sz w:val="24"/>
              <w:szCs w:val="24"/>
            </w:rPr>
            <w:t xml:space="preserve"> </w:t>
          </w:r>
          <w:sdt>
            <w:sdtPr>
              <w:rPr>
                <w:rFonts w:ascii="Arial" w:hAnsi="Arial" w:cs="Arial"/>
                <w:sz w:val="24"/>
                <w:szCs w:val="24"/>
              </w:rPr>
              <w:id w:val="2002385925"/>
              <w:citation/>
            </w:sdtPr>
            <w:sdtEndPr/>
            <w:sdtContent>
              <w:r w:rsidR="0064552B">
                <w:rPr>
                  <w:rFonts w:ascii="Arial" w:hAnsi="Arial" w:cs="Arial"/>
                  <w:sz w:val="24"/>
                  <w:szCs w:val="24"/>
                </w:rPr>
                <w:fldChar w:fldCharType="begin"/>
              </w:r>
              <w:r w:rsidR="0064552B">
                <w:rPr>
                  <w:rFonts w:ascii="Arial" w:hAnsi="Arial" w:cs="Arial"/>
                  <w:sz w:val="24"/>
                  <w:szCs w:val="24"/>
                </w:rPr>
                <w:instrText xml:space="preserve">CITATION BUD \l 2057 </w:instrText>
              </w:r>
              <w:r w:rsidR="0064552B">
                <w:rPr>
                  <w:rFonts w:ascii="Arial" w:hAnsi="Arial" w:cs="Arial"/>
                  <w:sz w:val="24"/>
                  <w:szCs w:val="24"/>
                </w:rPr>
                <w:fldChar w:fldCharType="separate"/>
              </w:r>
              <w:r w:rsidR="00FD6C4E" w:rsidRPr="00FD6C4E">
                <w:rPr>
                  <w:rFonts w:ascii="Arial" w:hAnsi="Arial" w:cs="Arial"/>
                  <w:noProof/>
                  <w:sz w:val="24"/>
                  <w:szCs w:val="24"/>
                </w:rPr>
                <w:t>(BUDGETING, 2024)</w:t>
              </w:r>
              <w:r w:rsidR="0064552B">
                <w:rPr>
                  <w:rFonts w:ascii="Arial" w:hAnsi="Arial" w:cs="Arial"/>
                  <w:sz w:val="24"/>
                  <w:szCs w:val="24"/>
                </w:rPr>
                <w:fldChar w:fldCharType="end"/>
              </w:r>
            </w:sdtContent>
          </w:sdt>
          <w:r w:rsidRPr="005E5FD2">
            <w:rPr>
              <w:rFonts w:ascii="Arial" w:hAnsi="Arial" w:cs="Arial"/>
              <w:sz w:val="24"/>
              <w:szCs w:val="24"/>
            </w:rPr>
            <w:t xml:space="preserve"> In dynamic environments, where agility and flexibility are paramount, the lengthy process of justifying every line item may impede responsiveness to emerging opportunities or threats</w:t>
          </w:r>
          <w:r w:rsidR="0064552B">
            <w:rPr>
              <w:rFonts w:ascii="Arial" w:hAnsi="Arial" w:cs="Arial"/>
              <w:sz w:val="24"/>
              <w:szCs w:val="24"/>
            </w:rPr>
            <w:t xml:space="preserve"> </w:t>
          </w:r>
          <w:sdt>
            <w:sdtPr>
              <w:rPr>
                <w:rFonts w:ascii="Arial" w:hAnsi="Arial" w:cs="Arial"/>
                <w:sz w:val="24"/>
                <w:szCs w:val="24"/>
              </w:rPr>
              <w:id w:val="-2039808272"/>
              <w:citation/>
            </w:sdtPr>
            <w:sdtEndPr/>
            <w:sdtContent>
              <w:r w:rsidR="0064552B">
                <w:rPr>
                  <w:rFonts w:ascii="Arial" w:hAnsi="Arial" w:cs="Arial"/>
                  <w:sz w:val="24"/>
                  <w:szCs w:val="24"/>
                </w:rPr>
                <w:fldChar w:fldCharType="begin"/>
              </w:r>
              <w:r w:rsidR="0064552B">
                <w:rPr>
                  <w:rFonts w:ascii="Arial" w:hAnsi="Arial" w:cs="Arial"/>
                  <w:sz w:val="24"/>
                  <w:szCs w:val="24"/>
                </w:rPr>
                <w:instrText xml:space="preserve"> CITATION Ala20 \l 2057 </w:instrText>
              </w:r>
              <w:r w:rsidR="0064552B">
                <w:rPr>
                  <w:rFonts w:ascii="Arial" w:hAnsi="Arial" w:cs="Arial"/>
                  <w:sz w:val="24"/>
                  <w:szCs w:val="24"/>
                </w:rPr>
                <w:fldChar w:fldCharType="separate"/>
              </w:r>
              <w:r w:rsidR="00FD6C4E" w:rsidRPr="00FD6C4E">
                <w:rPr>
                  <w:rFonts w:ascii="Arial" w:hAnsi="Arial" w:cs="Arial"/>
                  <w:noProof/>
                  <w:sz w:val="24"/>
                  <w:szCs w:val="24"/>
                </w:rPr>
                <w:t>(Al-attara, et al., 2020)</w:t>
              </w:r>
              <w:r w:rsidR="0064552B">
                <w:rPr>
                  <w:rFonts w:ascii="Arial" w:hAnsi="Arial" w:cs="Arial"/>
                  <w:sz w:val="24"/>
                  <w:szCs w:val="24"/>
                </w:rPr>
                <w:fldChar w:fldCharType="end"/>
              </w:r>
            </w:sdtContent>
          </w:sdt>
          <w:r w:rsidR="00A105CD">
            <w:rPr>
              <w:rFonts w:ascii="Arial" w:hAnsi="Arial" w:cs="Arial"/>
              <w:sz w:val="24"/>
              <w:szCs w:val="24"/>
            </w:rPr>
            <w:t>.</w:t>
          </w:r>
          <w:r w:rsidRPr="005E5FD2">
            <w:rPr>
              <w:rFonts w:ascii="Arial" w:hAnsi="Arial" w:cs="Arial"/>
              <w:sz w:val="24"/>
              <w:szCs w:val="24"/>
            </w:rPr>
            <w:t>Moreover, ZBB's focus on short-term cost control may inadvertently sacrifice long-term investments necessary for sustainable growth and competitiveness.</w:t>
          </w:r>
        </w:p>
        <w:p w14:paraId="0EC6F5E8" w14:textId="3E3484C7" w:rsidR="005E5FD2" w:rsidRPr="005E5FD2" w:rsidRDefault="005E5FD2" w:rsidP="005E5FD2">
          <w:pPr>
            <w:rPr>
              <w:rFonts w:ascii="Arial" w:hAnsi="Arial" w:cs="Arial"/>
              <w:sz w:val="24"/>
              <w:szCs w:val="24"/>
            </w:rPr>
          </w:pPr>
          <w:r w:rsidRPr="005E5FD2">
            <w:rPr>
              <w:rFonts w:ascii="Arial" w:hAnsi="Arial" w:cs="Arial"/>
              <w:sz w:val="24"/>
              <w:szCs w:val="24"/>
            </w:rPr>
            <w:t>In addition to these methodological limitations, traditional budgeting approaches often suffer from broader systemic flaws that exacerbate their ineffectiveness in fast-</w:t>
          </w:r>
          <w:r w:rsidRPr="005E5FD2">
            <w:rPr>
              <w:rFonts w:ascii="Arial" w:hAnsi="Arial" w:cs="Arial"/>
              <w:sz w:val="24"/>
              <w:szCs w:val="24"/>
            </w:rPr>
            <w:lastRenderedPageBreak/>
            <w:t>changing environments. One such flaw is the annual budgeting cycle itself, which imposes a fixed timeframe for planning and decision-making. In dynamic markets where conditions can shift rapidly, the inflexibility of the annual budgeting cycle may lead to outdated forecasts and missed opportunities</w:t>
          </w:r>
          <w:r w:rsidR="001D19AE">
            <w:rPr>
              <w:rFonts w:ascii="Arial" w:hAnsi="Arial" w:cs="Arial"/>
              <w:sz w:val="24"/>
              <w:szCs w:val="24"/>
            </w:rPr>
            <w:t xml:space="preserve"> </w:t>
          </w:r>
          <w:sdt>
            <w:sdtPr>
              <w:rPr>
                <w:rFonts w:ascii="Arial" w:hAnsi="Arial" w:cs="Arial"/>
                <w:sz w:val="24"/>
                <w:szCs w:val="24"/>
              </w:rPr>
              <w:id w:val="-2008586971"/>
              <w:citation/>
            </w:sdtPr>
            <w:sdtEndPr/>
            <w:sdtContent>
              <w:r w:rsidR="001D19AE">
                <w:rPr>
                  <w:rFonts w:ascii="Arial" w:hAnsi="Arial" w:cs="Arial"/>
                  <w:sz w:val="24"/>
                  <w:szCs w:val="24"/>
                </w:rPr>
                <w:fldChar w:fldCharType="begin"/>
              </w:r>
              <w:r w:rsidR="001D19AE">
                <w:rPr>
                  <w:rFonts w:ascii="Arial" w:hAnsi="Arial" w:cs="Arial"/>
                  <w:sz w:val="24"/>
                  <w:szCs w:val="24"/>
                </w:rPr>
                <w:instrText xml:space="preserve"> CITATION deA22 \l 2057 </w:instrText>
              </w:r>
              <w:r w:rsidR="001D19AE">
                <w:rPr>
                  <w:rFonts w:ascii="Arial" w:hAnsi="Arial" w:cs="Arial"/>
                  <w:sz w:val="24"/>
                  <w:szCs w:val="24"/>
                </w:rPr>
                <w:fldChar w:fldCharType="separate"/>
              </w:r>
              <w:r w:rsidR="00FD6C4E" w:rsidRPr="00FD6C4E">
                <w:rPr>
                  <w:rFonts w:ascii="Arial" w:hAnsi="Arial" w:cs="Arial"/>
                  <w:noProof/>
                  <w:sz w:val="24"/>
                  <w:szCs w:val="24"/>
                </w:rPr>
                <w:t>(de Azevedo, et al., 2022)</w:t>
              </w:r>
              <w:r w:rsidR="001D19AE">
                <w:rPr>
                  <w:rFonts w:ascii="Arial" w:hAnsi="Arial" w:cs="Arial"/>
                  <w:sz w:val="24"/>
                  <w:szCs w:val="24"/>
                </w:rPr>
                <w:fldChar w:fldCharType="end"/>
              </w:r>
            </w:sdtContent>
          </w:sdt>
          <w:r w:rsidR="001D19AE">
            <w:rPr>
              <w:rFonts w:ascii="Arial" w:hAnsi="Arial" w:cs="Arial"/>
              <w:sz w:val="24"/>
              <w:szCs w:val="24"/>
            </w:rPr>
            <w:t xml:space="preserve">. </w:t>
          </w:r>
          <w:r w:rsidRPr="005E5FD2">
            <w:rPr>
              <w:rFonts w:ascii="Arial" w:hAnsi="Arial" w:cs="Arial"/>
              <w:sz w:val="24"/>
              <w:szCs w:val="24"/>
            </w:rPr>
            <w:t>Moreover, the top-down hierarchical nature of traditional budgeting processes may stifle collaboration and innovation at the operational level, where frontline employees possess valuable insights and expertise.</w:t>
          </w:r>
        </w:p>
        <w:p w14:paraId="4E23E7EB" w14:textId="413422CB" w:rsidR="005E5FD2" w:rsidRPr="005E5FD2" w:rsidRDefault="005E5FD2" w:rsidP="005E5FD2">
          <w:pPr>
            <w:rPr>
              <w:rFonts w:ascii="Arial" w:hAnsi="Arial" w:cs="Arial"/>
              <w:sz w:val="24"/>
              <w:szCs w:val="24"/>
            </w:rPr>
          </w:pPr>
          <w:r w:rsidRPr="005E5FD2">
            <w:rPr>
              <w:rFonts w:ascii="Arial" w:hAnsi="Arial" w:cs="Arial"/>
              <w:sz w:val="24"/>
              <w:szCs w:val="24"/>
            </w:rPr>
            <w:t>Another critical issue is the inherent bias and conservatism embedded in traditional budgeting practices. Budget targets are often set based on cautious estimates or arbitrary benchmarks rather than rigorous analysis or strategic priorities. This conservatism can discourage risk-taking and experimentation, hindering organizational agility and adaptability in fast-changing environments. Furthermore, the "use it or lose it" mentality that accompanies traditional budgeting incentivizes budgetary hoarding and short-term decision-making, rather than long-term value creation</w:t>
          </w:r>
          <w:r w:rsidR="00AA50BB">
            <w:rPr>
              <w:rFonts w:ascii="Arial" w:hAnsi="Arial" w:cs="Arial"/>
              <w:sz w:val="24"/>
              <w:szCs w:val="24"/>
            </w:rPr>
            <w:t xml:space="preserve"> </w:t>
          </w:r>
          <w:sdt>
            <w:sdtPr>
              <w:rPr>
                <w:rFonts w:ascii="Arial" w:hAnsi="Arial" w:cs="Arial"/>
                <w:sz w:val="24"/>
                <w:szCs w:val="24"/>
              </w:rPr>
              <w:id w:val="-424262370"/>
              <w:citation/>
            </w:sdtPr>
            <w:sdtEndPr/>
            <w:sdtContent>
              <w:r w:rsidR="00AA50BB">
                <w:rPr>
                  <w:rFonts w:ascii="Arial" w:hAnsi="Arial" w:cs="Arial"/>
                  <w:sz w:val="24"/>
                  <w:szCs w:val="24"/>
                </w:rPr>
                <w:fldChar w:fldCharType="begin"/>
              </w:r>
              <w:r w:rsidR="00AA50BB">
                <w:rPr>
                  <w:rFonts w:ascii="Arial" w:hAnsi="Arial" w:cs="Arial"/>
                  <w:sz w:val="24"/>
                  <w:szCs w:val="24"/>
                </w:rPr>
                <w:instrText xml:space="preserve"> CITATION sch24 \l 2057 </w:instrText>
              </w:r>
              <w:r w:rsidR="00AA50BB">
                <w:rPr>
                  <w:rFonts w:ascii="Arial" w:hAnsi="Arial" w:cs="Arial"/>
                  <w:sz w:val="24"/>
                  <w:szCs w:val="24"/>
                </w:rPr>
                <w:fldChar w:fldCharType="separate"/>
              </w:r>
              <w:r w:rsidR="00FD6C4E" w:rsidRPr="00FD6C4E">
                <w:rPr>
                  <w:rFonts w:ascii="Arial" w:hAnsi="Arial" w:cs="Arial"/>
                  <w:noProof/>
                  <w:sz w:val="24"/>
                  <w:szCs w:val="24"/>
                </w:rPr>
                <w:t>(schoolofmoney.in, 2024)</w:t>
              </w:r>
              <w:r w:rsidR="00AA50BB">
                <w:rPr>
                  <w:rFonts w:ascii="Arial" w:hAnsi="Arial" w:cs="Arial"/>
                  <w:sz w:val="24"/>
                  <w:szCs w:val="24"/>
                </w:rPr>
                <w:fldChar w:fldCharType="end"/>
              </w:r>
            </w:sdtContent>
          </w:sdt>
          <w:r w:rsidR="00AA50BB">
            <w:rPr>
              <w:rFonts w:ascii="Arial" w:hAnsi="Arial" w:cs="Arial"/>
              <w:sz w:val="24"/>
              <w:szCs w:val="24"/>
            </w:rPr>
            <w:t>.</w:t>
          </w:r>
        </w:p>
        <w:p w14:paraId="5170BBF1" w14:textId="655CC1AD" w:rsidR="005E5FD2" w:rsidRPr="005E5FD2" w:rsidRDefault="005E5FD2" w:rsidP="005E5FD2">
          <w:pPr>
            <w:rPr>
              <w:rFonts w:ascii="Arial" w:hAnsi="Arial" w:cs="Arial"/>
              <w:sz w:val="24"/>
              <w:szCs w:val="24"/>
            </w:rPr>
          </w:pPr>
          <w:r w:rsidRPr="005E5FD2">
            <w:rPr>
              <w:rFonts w:ascii="Arial" w:hAnsi="Arial" w:cs="Arial"/>
              <w:sz w:val="24"/>
              <w:szCs w:val="24"/>
            </w:rPr>
            <w:t>In response to these shortcomings, many organizations are exploring alternative approaches to budgeting better suited to the demands of today's business environment. Flexible budgeting techniques, such as rolling forecasts and continuous planning, offer a more agile and responsive alternative to the rigid annual budgeting cycle</w:t>
          </w:r>
          <w:r w:rsidR="00AA50BB">
            <w:rPr>
              <w:rFonts w:ascii="Arial" w:hAnsi="Arial" w:cs="Arial"/>
              <w:sz w:val="24"/>
              <w:szCs w:val="24"/>
            </w:rPr>
            <w:t xml:space="preserve"> </w:t>
          </w:r>
          <w:sdt>
            <w:sdtPr>
              <w:rPr>
                <w:rFonts w:ascii="Arial" w:hAnsi="Arial" w:cs="Arial"/>
                <w:sz w:val="24"/>
                <w:szCs w:val="24"/>
              </w:rPr>
              <w:id w:val="1158580478"/>
              <w:citation/>
            </w:sdtPr>
            <w:sdtEndPr/>
            <w:sdtContent>
              <w:r w:rsidR="00AA50BB">
                <w:rPr>
                  <w:rFonts w:ascii="Arial" w:hAnsi="Arial" w:cs="Arial"/>
                  <w:sz w:val="24"/>
                  <w:szCs w:val="24"/>
                </w:rPr>
                <w:fldChar w:fldCharType="begin"/>
              </w:r>
              <w:r w:rsidR="00AA50BB">
                <w:rPr>
                  <w:rFonts w:ascii="Arial" w:hAnsi="Arial" w:cs="Arial"/>
                  <w:sz w:val="24"/>
                  <w:szCs w:val="24"/>
                </w:rPr>
                <w:instrText xml:space="preserve"> CITATION Mah211 \l 2057 </w:instrText>
              </w:r>
              <w:r w:rsidR="00AA50BB">
                <w:rPr>
                  <w:rFonts w:ascii="Arial" w:hAnsi="Arial" w:cs="Arial"/>
                  <w:sz w:val="24"/>
                  <w:szCs w:val="24"/>
                </w:rPr>
                <w:fldChar w:fldCharType="separate"/>
              </w:r>
              <w:r w:rsidR="00FD6C4E" w:rsidRPr="00FD6C4E">
                <w:rPr>
                  <w:rFonts w:ascii="Arial" w:hAnsi="Arial" w:cs="Arial"/>
                  <w:noProof/>
                  <w:sz w:val="24"/>
                  <w:szCs w:val="24"/>
                </w:rPr>
                <w:t>(Maheshwari, et al., 2021)</w:t>
              </w:r>
              <w:r w:rsidR="00AA50BB">
                <w:rPr>
                  <w:rFonts w:ascii="Arial" w:hAnsi="Arial" w:cs="Arial"/>
                  <w:sz w:val="24"/>
                  <w:szCs w:val="24"/>
                </w:rPr>
                <w:fldChar w:fldCharType="end"/>
              </w:r>
            </w:sdtContent>
          </w:sdt>
          <w:r w:rsidR="00AA50BB">
            <w:rPr>
              <w:rFonts w:ascii="Arial" w:hAnsi="Arial" w:cs="Arial"/>
              <w:sz w:val="24"/>
              <w:szCs w:val="24"/>
            </w:rPr>
            <w:t>.</w:t>
          </w:r>
          <w:r w:rsidRPr="005E5FD2">
            <w:rPr>
              <w:rFonts w:ascii="Arial" w:hAnsi="Arial" w:cs="Arial"/>
              <w:sz w:val="24"/>
              <w:szCs w:val="24"/>
            </w:rPr>
            <w:t>By continuously updating forecasts based on real-time data and market insights, organizations can adapt more effectively to changing conditions and seize opportunities as they arise.</w:t>
          </w:r>
        </w:p>
        <w:p w14:paraId="6FB16C8D" w14:textId="489E83F9" w:rsidR="005E5FD2" w:rsidRPr="005E5FD2" w:rsidRDefault="00676E8B" w:rsidP="005E5FD2">
          <w:pPr>
            <w:rPr>
              <w:rFonts w:ascii="Arial" w:hAnsi="Arial" w:cs="Arial"/>
              <w:sz w:val="24"/>
              <w:szCs w:val="24"/>
            </w:rPr>
          </w:pPr>
          <w:r>
            <w:rPr>
              <w:rFonts w:ascii="Arial" w:hAnsi="Arial" w:cs="Arial"/>
              <w:sz w:val="24"/>
              <w:szCs w:val="24"/>
            </w:rPr>
            <w:t>However</w:t>
          </w:r>
          <w:r w:rsidR="005E5FD2" w:rsidRPr="005E5FD2">
            <w:rPr>
              <w:rFonts w:ascii="Arial" w:hAnsi="Arial" w:cs="Arial"/>
              <w:sz w:val="24"/>
              <w:szCs w:val="24"/>
            </w:rPr>
            <w:t>, beyond mere financial metrics, modern budgeting approaches are incorporating non-financial measures and key performance indicators (KPIs) to provide a more comprehensive view of organizational performance. By aligning budgets with strategic objectives and focusing on value creation rather than mere cost containment, these approaches foster a culture of innovation and accountability conducive to sustained success in fast-changing environments</w:t>
          </w:r>
          <w:r w:rsidR="00DC4D6D">
            <w:rPr>
              <w:rFonts w:ascii="Arial" w:hAnsi="Arial" w:cs="Arial"/>
              <w:sz w:val="24"/>
              <w:szCs w:val="24"/>
            </w:rPr>
            <w:t xml:space="preserve"> </w:t>
          </w:r>
          <w:sdt>
            <w:sdtPr>
              <w:rPr>
                <w:rFonts w:ascii="Arial" w:hAnsi="Arial" w:cs="Arial"/>
                <w:sz w:val="24"/>
                <w:szCs w:val="24"/>
              </w:rPr>
              <w:id w:val="567537393"/>
              <w:citation/>
            </w:sdtPr>
            <w:sdtEndPr/>
            <w:sdtContent>
              <w:r w:rsidR="00DC4D6D">
                <w:rPr>
                  <w:rFonts w:ascii="Arial" w:hAnsi="Arial" w:cs="Arial"/>
                  <w:sz w:val="24"/>
                  <w:szCs w:val="24"/>
                </w:rPr>
                <w:fldChar w:fldCharType="begin"/>
              </w:r>
              <w:r w:rsidR="00DC4D6D">
                <w:rPr>
                  <w:rFonts w:ascii="Arial" w:hAnsi="Arial" w:cs="Arial"/>
                  <w:sz w:val="24"/>
                  <w:szCs w:val="24"/>
                </w:rPr>
                <w:instrText xml:space="preserve"> CITATION Ait23 \l 2057 </w:instrText>
              </w:r>
              <w:r w:rsidR="00DC4D6D">
                <w:rPr>
                  <w:rFonts w:ascii="Arial" w:hAnsi="Arial" w:cs="Arial"/>
                  <w:sz w:val="24"/>
                  <w:szCs w:val="24"/>
                </w:rPr>
                <w:fldChar w:fldCharType="separate"/>
              </w:r>
              <w:r w:rsidR="00FD6C4E" w:rsidRPr="00FD6C4E">
                <w:rPr>
                  <w:rFonts w:ascii="Arial" w:hAnsi="Arial" w:cs="Arial"/>
                  <w:noProof/>
                  <w:sz w:val="24"/>
                  <w:szCs w:val="24"/>
                </w:rPr>
                <w:t>(Aithal &amp; Aithal, 2023)</w:t>
              </w:r>
              <w:r w:rsidR="00DC4D6D">
                <w:rPr>
                  <w:rFonts w:ascii="Arial" w:hAnsi="Arial" w:cs="Arial"/>
                  <w:sz w:val="24"/>
                  <w:szCs w:val="24"/>
                </w:rPr>
                <w:fldChar w:fldCharType="end"/>
              </w:r>
            </w:sdtContent>
          </w:sdt>
          <w:r w:rsidR="00DC4D6D">
            <w:rPr>
              <w:rFonts w:ascii="Arial" w:hAnsi="Arial" w:cs="Arial"/>
              <w:sz w:val="24"/>
              <w:szCs w:val="24"/>
            </w:rPr>
            <w:t>.</w:t>
          </w:r>
        </w:p>
        <w:p w14:paraId="02634F96" w14:textId="77777777" w:rsidR="009F0311" w:rsidRDefault="009F0311" w:rsidP="005E5FD2">
          <w:pPr>
            <w:rPr>
              <w:rFonts w:ascii="Arial" w:hAnsi="Arial" w:cs="Arial"/>
              <w:sz w:val="24"/>
              <w:szCs w:val="24"/>
            </w:rPr>
          </w:pPr>
        </w:p>
        <w:p w14:paraId="51BF9E18" w14:textId="77777777" w:rsidR="009F0311" w:rsidRDefault="009F0311" w:rsidP="005E5FD2">
          <w:pPr>
            <w:rPr>
              <w:rFonts w:ascii="Arial" w:hAnsi="Arial" w:cs="Arial"/>
              <w:sz w:val="24"/>
              <w:szCs w:val="24"/>
            </w:rPr>
          </w:pPr>
        </w:p>
        <w:p w14:paraId="0C6743F8" w14:textId="77777777" w:rsidR="009F0311" w:rsidRDefault="009F0311" w:rsidP="005E5FD2">
          <w:pPr>
            <w:rPr>
              <w:rFonts w:ascii="Arial" w:hAnsi="Arial" w:cs="Arial"/>
              <w:sz w:val="24"/>
              <w:szCs w:val="24"/>
            </w:rPr>
          </w:pPr>
        </w:p>
        <w:p w14:paraId="2F2F5A1C" w14:textId="77777777" w:rsidR="002D746F" w:rsidRDefault="002D746F" w:rsidP="002D746F">
          <w:pPr>
            <w:pStyle w:val="Heading2"/>
          </w:pPr>
        </w:p>
        <w:p w14:paraId="78603D6E" w14:textId="1783DAB0" w:rsidR="009F0311" w:rsidRPr="005C77A6" w:rsidRDefault="002D746F" w:rsidP="002D746F">
          <w:pPr>
            <w:pStyle w:val="Heading2"/>
            <w:rPr>
              <w:sz w:val="28"/>
              <w:szCs w:val="28"/>
            </w:rPr>
          </w:pPr>
          <w:bookmarkStart w:id="15" w:name="_Toc164027124"/>
          <w:r w:rsidRPr="005C77A6">
            <w:rPr>
              <w:sz w:val="28"/>
              <w:szCs w:val="28"/>
            </w:rPr>
            <w:t xml:space="preserve">Beyond </w:t>
          </w:r>
          <w:r w:rsidR="001B579C">
            <w:rPr>
              <w:sz w:val="28"/>
              <w:szCs w:val="28"/>
            </w:rPr>
            <w:t>B</w:t>
          </w:r>
          <w:r w:rsidRPr="005C77A6">
            <w:rPr>
              <w:sz w:val="28"/>
              <w:szCs w:val="28"/>
            </w:rPr>
            <w:t xml:space="preserve">udgeting </w:t>
          </w:r>
          <w:r w:rsidR="001B579C">
            <w:rPr>
              <w:sz w:val="28"/>
              <w:szCs w:val="28"/>
            </w:rPr>
            <w:t>M</w:t>
          </w:r>
          <w:r w:rsidRPr="005C77A6">
            <w:rPr>
              <w:sz w:val="28"/>
              <w:szCs w:val="28"/>
            </w:rPr>
            <w:t>odel</w:t>
          </w:r>
          <w:bookmarkEnd w:id="15"/>
        </w:p>
        <w:p w14:paraId="79D6A7B7" w14:textId="77777777" w:rsidR="003B349F" w:rsidRPr="00451F18" w:rsidRDefault="003B349F" w:rsidP="003B349F">
          <w:pPr>
            <w:rPr>
              <w:rFonts w:ascii="Arial" w:hAnsi="Arial" w:cs="Arial"/>
              <w:sz w:val="24"/>
              <w:szCs w:val="24"/>
            </w:rPr>
          </w:pPr>
        </w:p>
        <w:p w14:paraId="30CA1354" w14:textId="26BE07EB" w:rsidR="003B349F" w:rsidRDefault="00451F18" w:rsidP="003B349F">
          <w:pPr>
            <w:rPr>
              <w:rFonts w:ascii="Arial" w:hAnsi="Arial" w:cs="Arial"/>
              <w:sz w:val="24"/>
              <w:szCs w:val="24"/>
            </w:rPr>
          </w:pPr>
          <w:r w:rsidRPr="00451F18">
            <w:rPr>
              <w:rFonts w:ascii="Arial" w:hAnsi="Arial" w:cs="Arial"/>
              <w:sz w:val="24"/>
              <w:szCs w:val="24"/>
            </w:rPr>
            <w:t>The "Beyond Budgeting" model is a management philosophy and approach to organizational management that suggests traditional budgeting processes can be counterproductive and even harmful to an organization's performance and agility. It proposes an alternative approach based on principles such as decentralization, empowerment, transparency, and adaptive planning</w:t>
          </w:r>
          <w:r>
            <w:rPr>
              <w:rFonts w:ascii="Arial" w:hAnsi="Arial" w:cs="Arial"/>
              <w:sz w:val="24"/>
              <w:szCs w:val="24"/>
            </w:rPr>
            <w:t xml:space="preserve"> </w:t>
          </w:r>
          <w:sdt>
            <w:sdtPr>
              <w:rPr>
                <w:rFonts w:ascii="Arial" w:hAnsi="Arial" w:cs="Arial"/>
                <w:sz w:val="24"/>
                <w:szCs w:val="24"/>
              </w:rPr>
              <w:id w:val="479817959"/>
              <w:citation/>
            </w:sdtPr>
            <w:sdtContent>
              <w:r>
                <w:rPr>
                  <w:rFonts w:ascii="Arial" w:hAnsi="Arial" w:cs="Arial"/>
                  <w:sz w:val="24"/>
                  <w:szCs w:val="24"/>
                </w:rPr>
                <w:fldChar w:fldCharType="begin"/>
              </w:r>
              <w:r>
                <w:rPr>
                  <w:rFonts w:ascii="Arial" w:hAnsi="Arial" w:cs="Arial"/>
                  <w:sz w:val="24"/>
                  <w:szCs w:val="24"/>
                </w:rPr>
                <w:instrText xml:space="preserve"> CITATION Hop03 \l 2057 </w:instrText>
              </w:r>
              <w:r>
                <w:rPr>
                  <w:rFonts w:ascii="Arial" w:hAnsi="Arial" w:cs="Arial"/>
                  <w:sz w:val="24"/>
                  <w:szCs w:val="24"/>
                </w:rPr>
                <w:fldChar w:fldCharType="separate"/>
              </w:r>
              <w:r w:rsidR="00FD6C4E" w:rsidRPr="00FD6C4E">
                <w:rPr>
                  <w:rFonts w:ascii="Arial" w:hAnsi="Arial" w:cs="Arial"/>
                  <w:noProof/>
                  <w:sz w:val="24"/>
                  <w:szCs w:val="24"/>
                </w:rPr>
                <w:t>(Hope &amp; Fraser, 2003)</w:t>
              </w:r>
              <w:r>
                <w:rPr>
                  <w:rFonts w:ascii="Arial" w:hAnsi="Arial" w:cs="Arial"/>
                  <w:sz w:val="24"/>
                  <w:szCs w:val="24"/>
                </w:rPr>
                <w:fldChar w:fldCharType="end"/>
              </w:r>
            </w:sdtContent>
          </w:sdt>
          <w:r>
            <w:rPr>
              <w:rFonts w:ascii="Arial" w:hAnsi="Arial" w:cs="Arial"/>
              <w:sz w:val="24"/>
              <w:szCs w:val="24"/>
            </w:rPr>
            <w:t>.</w:t>
          </w:r>
        </w:p>
        <w:p w14:paraId="659533EF" w14:textId="4DDEF194" w:rsidR="001F6BAB" w:rsidRDefault="004E1248" w:rsidP="001F6BAB">
          <w:pPr>
            <w:rPr>
              <w:rFonts w:ascii="Arial" w:hAnsi="Arial" w:cs="Arial"/>
              <w:sz w:val="24"/>
              <w:szCs w:val="24"/>
            </w:rPr>
          </w:pPr>
          <w:r w:rsidRPr="004E1248">
            <w:rPr>
              <w:rFonts w:ascii="Arial" w:hAnsi="Arial" w:cs="Arial"/>
              <w:sz w:val="24"/>
              <w:szCs w:val="24"/>
            </w:rPr>
            <w:lastRenderedPageBreak/>
            <w:t>Beyond Budgeting</w:t>
          </w:r>
          <w:r w:rsidRPr="004E1248">
            <w:rPr>
              <w:rFonts w:ascii="Arial" w:hAnsi="Arial" w:cs="Arial"/>
              <w:sz w:val="24"/>
              <w:szCs w:val="24"/>
            </w:rPr>
            <w:t xml:space="preserve"> </w:t>
          </w:r>
          <w:r>
            <w:rPr>
              <w:rFonts w:ascii="Arial" w:hAnsi="Arial" w:cs="Arial"/>
              <w:sz w:val="24"/>
              <w:szCs w:val="24"/>
            </w:rPr>
            <w:t xml:space="preserve">it is </w:t>
          </w:r>
          <w:r w:rsidR="001F6BAB" w:rsidRPr="001F6BAB">
            <w:rPr>
              <w:rFonts w:ascii="Arial" w:hAnsi="Arial" w:cs="Arial"/>
              <w:sz w:val="24"/>
              <w:szCs w:val="24"/>
            </w:rPr>
            <w:t>more than just a set of tools; it demands a thorough transformation of the organizational culture and a change in management approach. This transformation can occur in two phases:</w:t>
          </w:r>
        </w:p>
        <w:p w14:paraId="0ED035C6" w14:textId="58699565" w:rsidR="001F6BAB" w:rsidRPr="004E1248" w:rsidRDefault="001F6BAB" w:rsidP="004E1248">
          <w:pPr>
            <w:pStyle w:val="ListParagraph"/>
            <w:numPr>
              <w:ilvl w:val="0"/>
              <w:numId w:val="5"/>
            </w:numPr>
            <w:rPr>
              <w:rFonts w:ascii="Arial" w:hAnsi="Arial" w:cs="Arial"/>
              <w:sz w:val="24"/>
              <w:szCs w:val="24"/>
            </w:rPr>
          </w:pPr>
          <w:r w:rsidRPr="004E1248">
            <w:rPr>
              <w:rFonts w:ascii="Arial" w:hAnsi="Arial" w:cs="Arial"/>
              <w:sz w:val="24"/>
              <w:szCs w:val="24"/>
            </w:rPr>
            <w:t>Transition towards evaluating performance in comparison to competitors.</w:t>
          </w:r>
        </w:p>
        <w:p w14:paraId="64096EDF" w14:textId="3F293561" w:rsidR="001F6BAB" w:rsidRDefault="001F6BAB" w:rsidP="004E1248">
          <w:pPr>
            <w:pStyle w:val="ListParagraph"/>
            <w:numPr>
              <w:ilvl w:val="0"/>
              <w:numId w:val="5"/>
            </w:numPr>
            <w:rPr>
              <w:rFonts w:ascii="Arial" w:hAnsi="Arial" w:cs="Arial"/>
              <w:sz w:val="24"/>
              <w:szCs w:val="24"/>
            </w:rPr>
          </w:pPr>
          <w:r w:rsidRPr="004E1248">
            <w:rPr>
              <w:rFonts w:ascii="Arial" w:hAnsi="Arial" w:cs="Arial"/>
              <w:sz w:val="24"/>
              <w:szCs w:val="24"/>
            </w:rPr>
            <w:t>Adoption of a decentralized organizational structure</w:t>
          </w:r>
          <w:r w:rsidR="00561073">
            <w:rPr>
              <w:rFonts w:ascii="Arial" w:hAnsi="Arial" w:cs="Arial"/>
              <w:sz w:val="24"/>
              <w:szCs w:val="24"/>
            </w:rPr>
            <w:t xml:space="preserve"> </w:t>
          </w:r>
          <w:sdt>
            <w:sdtPr>
              <w:rPr>
                <w:rFonts w:ascii="Arial" w:hAnsi="Arial" w:cs="Arial"/>
                <w:sz w:val="24"/>
                <w:szCs w:val="24"/>
              </w:rPr>
              <w:id w:val="539862610"/>
              <w:citation/>
            </w:sdtPr>
            <w:sdtContent>
              <w:r w:rsidR="00561073">
                <w:rPr>
                  <w:rFonts w:ascii="Arial" w:hAnsi="Arial" w:cs="Arial"/>
                  <w:sz w:val="24"/>
                  <w:szCs w:val="24"/>
                </w:rPr>
                <w:fldChar w:fldCharType="begin"/>
              </w:r>
              <w:r w:rsidR="00561073">
                <w:rPr>
                  <w:rFonts w:ascii="Arial" w:hAnsi="Arial" w:cs="Arial"/>
                  <w:sz w:val="24"/>
                  <w:szCs w:val="24"/>
                </w:rPr>
                <w:instrText xml:space="preserve"> CITATION Ahm21 \l 2057 </w:instrText>
              </w:r>
              <w:r w:rsidR="00561073">
                <w:rPr>
                  <w:rFonts w:ascii="Arial" w:hAnsi="Arial" w:cs="Arial"/>
                  <w:sz w:val="24"/>
                  <w:szCs w:val="24"/>
                </w:rPr>
                <w:fldChar w:fldCharType="separate"/>
              </w:r>
              <w:r w:rsidR="00FD6C4E" w:rsidRPr="00FD6C4E">
                <w:rPr>
                  <w:rFonts w:ascii="Arial" w:hAnsi="Arial" w:cs="Arial"/>
                  <w:noProof/>
                  <w:sz w:val="24"/>
                  <w:szCs w:val="24"/>
                </w:rPr>
                <w:t>(Ahmed Mohamed Ghandour, 2021)</w:t>
              </w:r>
              <w:r w:rsidR="00561073">
                <w:rPr>
                  <w:rFonts w:ascii="Arial" w:hAnsi="Arial" w:cs="Arial"/>
                  <w:sz w:val="24"/>
                  <w:szCs w:val="24"/>
                </w:rPr>
                <w:fldChar w:fldCharType="end"/>
              </w:r>
            </w:sdtContent>
          </w:sdt>
          <w:r w:rsidR="009C6DE5">
            <w:rPr>
              <w:rFonts w:ascii="Arial" w:hAnsi="Arial" w:cs="Arial"/>
              <w:sz w:val="24"/>
              <w:szCs w:val="24"/>
            </w:rPr>
            <w:t>.</w:t>
          </w:r>
        </w:p>
        <w:p w14:paraId="4534A931" w14:textId="59085227" w:rsidR="000B45AB" w:rsidRPr="000B45AB" w:rsidRDefault="00154A8F" w:rsidP="00414E3E">
          <w:pPr>
            <w:rPr>
              <w:rFonts w:ascii="Arial" w:hAnsi="Arial" w:cs="Arial"/>
              <w:sz w:val="24"/>
              <w:szCs w:val="24"/>
            </w:rPr>
          </w:pPr>
          <w:r>
            <w:rPr>
              <w:rFonts w:ascii="Arial" w:hAnsi="Arial" w:cs="Arial"/>
              <w:sz w:val="24"/>
              <w:szCs w:val="24"/>
            </w:rPr>
            <w:t xml:space="preserve"> Accordin</w:t>
          </w:r>
          <w:r w:rsidR="00414E3E">
            <w:rPr>
              <w:rFonts w:ascii="Arial" w:hAnsi="Arial" w:cs="Arial"/>
              <w:sz w:val="24"/>
              <w:szCs w:val="24"/>
            </w:rPr>
            <w:t xml:space="preserve">g to </w:t>
          </w:r>
          <w:r w:rsidR="00414E3E" w:rsidRPr="00414E3E">
            <w:rPr>
              <w:rFonts w:ascii="Arial" w:hAnsi="Arial" w:cs="Arial"/>
              <w:sz w:val="24"/>
              <w:szCs w:val="24"/>
            </w:rPr>
            <w:t>Schmidt</w:t>
          </w:r>
          <w:r w:rsidR="00414E3E">
            <w:rPr>
              <w:rFonts w:ascii="Arial" w:hAnsi="Arial" w:cs="Arial"/>
              <w:sz w:val="24"/>
              <w:szCs w:val="24"/>
            </w:rPr>
            <w:t xml:space="preserve"> (</w:t>
          </w:r>
          <w:r w:rsidR="00414E3E" w:rsidRPr="00414E3E">
            <w:rPr>
              <w:rFonts w:ascii="Arial" w:hAnsi="Arial" w:cs="Arial"/>
              <w:sz w:val="24"/>
              <w:szCs w:val="24"/>
            </w:rPr>
            <w:t>2024)</w:t>
          </w:r>
          <w:r w:rsidR="00414E3E" w:rsidRPr="00414E3E">
            <w:rPr>
              <w:rFonts w:ascii="Arial" w:hAnsi="Arial" w:cs="Arial"/>
              <w:sz w:val="24"/>
              <w:szCs w:val="24"/>
            </w:rPr>
            <w:t xml:space="preserve"> </w:t>
          </w:r>
          <w:r w:rsidR="00414E3E" w:rsidRPr="000B45AB">
            <w:rPr>
              <w:rFonts w:ascii="Arial" w:hAnsi="Arial" w:cs="Arial"/>
              <w:sz w:val="24"/>
              <w:szCs w:val="24"/>
            </w:rPr>
            <w:t>implementing</w:t>
          </w:r>
          <w:r w:rsidR="000B45AB" w:rsidRPr="000B45AB">
            <w:rPr>
              <w:rFonts w:ascii="Arial" w:hAnsi="Arial" w:cs="Arial"/>
              <w:sz w:val="24"/>
              <w:szCs w:val="24"/>
            </w:rPr>
            <w:t xml:space="preserve"> alternative approaches to traditional budgeting requires adopting new techniques to take their place. While the Beyond Budgeting (BB) framework doesn't prescribe specific methods universally applicable to all companies, there are proven strategies from real-world scenarios:</w:t>
          </w:r>
        </w:p>
        <w:p w14:paraId="3F437EB9" w14:textId="77777777" w:rsidR="000B45AB" w:rsidRPr="00633A96" w:rsidRDefault="000B45AB" w:rsidP="00633A96">
          <w:pPr>
            <w:pStyle w:val="ListParagraph"/>
            <w:numPr>
              <w:ilvl w:val="0"/>
              <w:numId w:val="6"/>
            </w:numPr>
            <w:rPr>
              <w:rFonts w:ascii="Arial" w:hAnsi="Arial" w:cs="Arial"/>
              <w:sz w:val="24"/>
              <w:szCs w:val="24"/>
            </w:rPr>
          </w:pPr>
          <w:r w:rsidRPr="00633A96">
            <w:rPr>
              <w:rFonts w:ascii="Arial" w:hAnsi="Arial" w:cs="Arial"/>
              <w:sz w:val="24"/>
              <w:szCs w:val="24"/>
            </w:rPr>
            <w:t>Utilizing rolling forecasts on a monthly or quarterly basis, as opposed to annually.</w:t>
          </w:r>
        </w:p>
        <w:p w14:paraId="1B6161D1" w14:textId="77777777" w:rsidR="000B45AB" w:rsidRPr="00633A96" w:rsidRDefault="000B45AB" w:rsidP="00633A96">
          <w:pPr>
            <w:pStyle w:val="ListParagraph"/>
            <w:numPr>
              <w:ilvl w:val="0"/>
              <w:numId w:val="6"/>
            </w:numPr>
            <w:rPr>
              <w:rFonts w:ascii="Arial" w:hAnsi="Arial" w:cs="Arial"/>
              <w:sz w:val="24"/>
              <w:szCs w:val="24"/>
            </w:rPr>
          </w:pPr>
          <w:r w:rsidRPr="00633A96">
            <w:rPr>
              <w:rFonts w:ascii="Arial" w:hAnsi="Arial" w:cs="Arial"/>
              <w:sz w:val="24"/>
              <w:szCs w:val="24"/>
            </w:rPr>
            <w:t>Establishing company targets aligned with key performance indicators (KPIs).</w:t>
          </w:r>
        </w:p>
        <w:p w14:paraId="01F243E7" w14:textId="77777777" w:rsidR="000B45AB" w:rsidRPr="00633A96" w:rsidRDefault="000B45AB" w:rsidP="00633A96">
          <w:pPr>
            <w:pStyle w:val="ListParagraph"/>
            <w:numPr>
              <w:ilvl w:val="0"/>
              <w:numId w:val="6"/>
            </w:numPr>
            <w:rPr>
              <w:rFonts w:ascii="Arial" w:hAnsi="Arial" w:cs="Arial"/>
              <w:sz w:val="24"/>
              <w:szCs w:val="24"/>
            </w:rPr>
          </w:pPr>
          <w:r w:rsidRPr="00633A96">
            <w:rPr>
              <w:rFonts w:ascii="Arial" w:hAnsi="Arial" w:cs="Arial"/>
              <w:sz w:val="24"/>
              <w:szCs w:val="24"/>
            </w:rPr>
            <w:t>Evaluating managerial performance against external benchmarks rather than historical data.</w:t>
          </w:r>
        </w:p>
        <w:p w14:paraId="4623B881" w14:textId="11E0ABDB" w:rsidR="000B45AB" w:rsidRDefault="000B45AB" w:rsidP="00633A96">
          <w:pPr>
            <w:pStyle w:val="ListParagraph"/>
            <w:numPr>
              <w:ilvl w:val="0"/>
              <w:numId w:val="6"/>
            </w:numPr>
            <w:rPr>
              <w:rFonts w:ascii="Arial" w:hAnsi="Arial" w:cs="Arial"/>
              <w:sz w:val="24"/>
              <w:szCs w:val="24"/>
            </w:rPr>
          </w:pPr>
          <w:r w:rsidRPr="00633A96">
            <w:rPr>
              <w:rFonts w:ascii="Arial" w:hAnsi="Arial" w:cs="Arial"/>
              <w:sz w:val="24"/>
              <w:szCs w:val="24"/>
            </w:rPr>
            <w:t xml:space="preserve">Granting operational </w:t>
          </w:r>
          <w:r w:rsidR="001A68C0" w:rsidRPr="00633A96">
            <w:rPr>
              <w:rFonts w:ascii="Arial" w:hAnsi="Arial" w:cs="Arial"/>
              <w:sz w:val="24"/>
              <w:szCs w:val="24"/>
            </w:rPr>
            <w:t>managers,</w:t>
          </w:r>
          <w:r w:rsidRPr="00633A96">
            <w:rPr>
              <w:rFonts w:ascii="Arial" w:hAnsi="Arial" w:cs="Arial"/>
              <w:sz w:val="24"/>
              <w:szCs w:val="24"/>
            </w:rPr>
            <w:t xml:space="preserve"> </w:t>
          </w:r>
          <w:sdt>
            <w:sdtPr>
              <w:rPr>
                <w:rFonts w:ascii="Arial" w:hAnsi="Arial" w:cs="Arial"/>
                <w:sz w:val="24"/>
                <w:szCs w:val="24"/>
              </w:rPr>
              <w:id w:val="-1129863049"/>
              <w:citation/>
            </w:sdtPr>
            <w:sdtContent>
              <w:r w:rsidR="00A560B5">
                <w:rPr>
                  <w:rFonts w:ascii="Arial" w:hAnsi="Arial" w:cs="Arial"/>
                  <w:sz w:val="24"/>
                  <w:szCs w:val="24"/>
                </w:rPr>
                <w:fldChar w:fldCharType="begin"/>
              </w:r>
              <w:r w:rsidR="00A560B5">
                <w:rPr>
                  <w:rFonts w:ascii="Arial" w:hAnsi="Arial" w:cs="Arial"/>
                  <w:sz w:val="24"/>
                  <w:szCs w:val="24"/>
                </w:rPr>
                <w:instrText xml:space="preserve"> CITATION Sch241 \l 2057 </w:instrText>
              </w:r>
              <w:r w:rsidR="00A560B5">
                <w:rPr>
                  <w:rFonts w:ascii="Arial" w:hAnsi="Arial" w:cs="Arial"/>
                  <w:sz w:val="24"/>
                  <w:szCs w:val="24"/>
                </w:rPr>
                <w:fldChar w:fldCharType="separate"/>
              </w:r>
              <w:r w:rsidR="00FD6C4E" w:rsidRPr="00FD6C4E">
                <w:rPr>
                  <w:rFonts w:ascii="Arial" w:hAnsi="Arial" w:cs="Arial"/>
                  <w:noProof/>
                  <w:sz w:val="24"/>
                  <w:szCs w:val="24"/>
                </w:rPr>
                <w:t>(Schmidt, 2024)</w:t>
              </w:r>
              <w:r w:rsidR="00A560B5">
                <w:rPr>
                  <w:rFonts w:ascii="Arial" w:hAnsi="Arial" w:cs="Arial"/>
                  <w:sz w:val="24"/>
                  <w:szCs w:val="24"/>
                </w:rPr>
                <w:fldChar w:fldCharType="end"/>
              </w:r>
            </w:sdtContent>
          </w:sdt>
          <w:r w:rsidRPr="00633A96">
            <w:rPr>
              <w:rFonts w:ascii="Arial" w:hAnsi="Arial" w:cs="Arial"/>
              <w:sz w:val="24"/>
              <w:szCs w:val="24"/>
            </w:rPr>
            <w:t>the authority to adapt to evolving business conditions and coordinate actions dynamically</w:t>
          </w:r>
          <w:r w:rsidR="000F2944">
            <w:rPr>
              <w:rFonts w:ascii="Arial" w:hAnsi="Arial" w:cs="Arial"/>
              <w:sz w:val="24"/>
              <w:szCs w:val="24"/>
            </w:rPr>
            <w:t>.</w:t>
          </w:r>
        </w:p>
        <w:p w14:paraId="7F7E1466" w14:textId="77777777" w:rsidR="00920B2A" w:rsidRDefault="00920B2A" w:rsidP="00920B2A">
          <w:pPr>
            <w:pStyle w:val="ListParagraph"/>
            <w:rPr>
              <w:rFonts w:ascii="Arial" w:hAnsi="Arial" w:cs="Arial"/>
              <w:sz w:val="24"/>
              <w:szCs w:val="24"/>
            </w:rPr>
          </w:pPr>
        </w:p>
        <w:p w14:paraId="33F5285F" w14:textId="77777777" w:rsidR="00920B2A" w:rsidRPr="00633A96" w:rsidRDefault="00920B2A" w:rsidP="00920B2A">
          <w:pPr>
            <w:pStyle w:val="ListParagraph"/>
            <w:rPr>
              <w:rFonts w:ascii="Arial" w:hAnsi="Arial" w:cs="Arial"/>
              <w:sz w:val="24"/>
              <w:szCs w:val="24"/>
            </w:rPr>
          </w:pPr>
        </w:p>
        <w:p w14:paraId="08420C55" w14:textId="77777777" w:rsidR="00920B2A" w:rsidRPr="00920B2A" w:rsidRDefault="00920B2A" w:rsidP="00920B2A">
          <w:pPr>
            <w:rPr>
              <w:rFonts w:ascii="Arial" w:hAnsi="Arial" w:cs="Arial"/>
              <w:sz w:val="24"/>
              <w:szCs w:val="24"/>
            </w:rPr>
          </w:pPr>
          <w:r w:rsidRPr="00920B2A">
            <w:rPr>
              <w:rFonts w:ascii="Arial" w:hAnsi="Arial" w:cs="Arial"/>
              <w:sz w:val="24"/>
              <w:szCs w:val="24"/>
            </w:rPr>
            <w:t>According to the Beyond Budgeting Institute, Beyond Budgeting is a management philosophy with 12 associated principles that should not be seen as a checklist, but guiding principles that help you and the managers in your organisation to manage and lead. The principles are divided into (decentralised) leadership and (agile) management:</w:t>
          </w:r>
        </w:p>
        <w:p w14:paraId="68DFD3D8" w14:textId="77777777" w:rsidR="00920B2A" w:rsidRPr="00920B2A" w:rsidRDefault="00920B2A" w:rsidP="00920B2A">
          <w:pPr>
            <w:rPr>
              <w:rFonts w:ascii="Arial" w:hAnsi="Arial" w:cs="Arial"/>
              <w:sz w:val="24"/>
              <w:szCs w:val="24"/>
            </w:rPr>
          </w:pPr>
        </w:p>
        <w:p w14:paraId="6DCF03CC" w14:textId="77777777" w:rsidR="00920B2A" w:rsidRPr="00920B2A" w:rsidRDefault="00920B2A" w:rsidP="00920B2A">
          <w:pPr>
            <w:rPr>
              <w:rFonts w:ascii="Arial" w:hAnsi="Arial" w:cs="Arial"/>
              <w:sz w:val="24"/>
              <w:szCs w:val="24"/>
            </w:rPr>
          </w:pPr>
          <w:r w:rsidRPr="00920B2A">
            <w:rPr>
              <w:rFonts w:ascii="Arial" w:hAnsi="Arial" w:cs="Arial"/>
              <w:sz w:val="24"/>
              <w:szCs w:val="24"/>
            </w:rPr>
            <w:t>Leadership with Beyond Budgeting</w:t>
          </w:r>
        </w:p>
        <w:p w14:paraId="39D18C64" w14:textId="77777777" w:rsidR="00920B2A" w:rsidRPr="00920B2A" w:rsidRDefault="00920B2A" w:rsidP="00920B2A">
          <w:pPr>
            <w:rPr>
              <w:rFonts w:ascii="Arial" w:hAnsi="Arial" w:cs="Arial"/>
              <w:sz w:val="24"/>
              <w:szCs w:val="24"/>
            </w:rPr>
          </w:pPr>
          <w:r w:rsidRPr="00920B2A">
            <w:rPr>
              <w:rFonts w:ascii="Arial" w:hAnsi="Arial" w:cs="Arial"/>
              <w:sz w:val="24"/>
              <w:szCs w:val="24"/>
            </w:rPr>
            <w:t>1. Purpose: Engage employees through bold, communicated, and long-term common goals to create a common purpose and aspiration, rather than focusing on achieving short-term financial goals.</w:t>
          </w:r>
        </w:p>
        <w:p w14:paraId="21F9C2C3" w14:textId="77777777" w:rsidR="00920B2A" w:rsidRPr="00920B2A" w:rsidRDefault="00920B2A" w:rsidP="00920B2A">
          <w:pPr>
            <w:rPr>
              <w:rFonts w:ascii="Arial" w:hAnsi="Arial" w:cs="Arial"/>
              <w:sz w:val="24"/>
              <w:szCs w:val="24"/>
            </w:rPr>
          </w:pPr>
          <w:r w:rsidRPr="00920B2A">
            <w:rPr>
              <w:rFonts w:ascii="Arial" w:hAnsi="Arial" w:cs="Arial"/>
              <w:sz w:val="24"/>
              <w:szCs w:val="24"/>
            </w:rPr>
            <w:t>2. Values: Guide through sound values and common sense instead of details and rules.</w:t>
          </w:r>
        </w:p>
        <w:p w14:paraId="06664CC9" w14:textId="4B1A25D8" w:rsidR="00920B2A" w:rsidRPr="00920B2A" w:rsidRDefault="00920B2A" w:rsidP="00920B2A">
          <w:pPr>
            <w:rPr>
              <w:rFonts w:ascii="Arial" w:hAnsi="Arial" w:cs="Arial"/>
              <w:sz w:val="24"/>
              <w:szCs w:val="24"/>
            </w:rPr>
          </w:pPr>
          <w:r w:rsidRPr="00920B2A">
            <w:rPr>
              <w:rFonts w:ascii="Arial" w:hAnsi="Arial" w:cs="Arial"/>
              <w:sz w:val="24"/>
              <w:szCs w:val="24"/>
            </w:rPr>
            <w:t xml:space="preserve">3. Transparency: Do not silo information. </w:t>
          </w:r>
          <w:r w:rsidR="00EA78A6" w:rsidRPr="00920B2A">
            <w:rPr>
              <w:rFonts w:ascii="Arial" w:hAnsi="Arial" w:cs="Arial"/>
              <w:sz w:val="24"/>
              <w:szCs w:val="24"/>
            </w:rPr>
            <w:t>Open</w:t>
          </w:r>
          <w:r w:rsidRPr="00920B2A">
            <w:rPr>
              <w:rFonts w:ascii="Arial" w:hAnsi="Arial" w:cs="Arial"/>
              <w:sz w:val="24"/>
              <w:szCs w:val="24"/>
            </w:rPr>
            <w:t xml:space="preserve"> and let employees regulate and educate themselves, creating their own control and innovation.</w:t>
          </w:r>
        </w:p>
        <w:p w14:paraId="148A1859" w14:textId="77777777" w:rsidR="00920B2A" w:rsidRPr="00920B2A" w:rsidRDefault="00920B2A" w:rsidP="00920B2A">
          <w:pPr>
            <w:rPr>
              <w:rFonts w:ascii="Arial" w:hAnsi="Arial" w:cs="Arial"/>
              <w:sz w:val="24"/>
              <w:szCs w:val="24"/>
            </w:rPr>
          </w:pPr>
          <w:r w:rsidRPr="00920B2A">
            <w:rPr>
              <w:rFonts w:ascii="Arial" w:hAnsi="Arial" w:cs="Arial"/>
              <w:sz w:val="24"/>
              <w:szCs w:val="24"/>
            </w:rPr>
            <w:t>4. Organisation: Cultivate a sense of belonging and organise work around teams with shared responsibility. Avoid control and bureaucracy.</w:t>
          </w:r>
        </w:p>
        <w:p w14:paraId="78EA3120" w14:textId="77777777" w:rsidR="00EA78A6" w:rsidRDefault="00920B2A" w:rsidP="00920B2A">
          <w:pPr>
            <w:rPr>
              <w:rFonts w:ascii="Arial" w:hAnsi="Arial" w:cs="Arial"/>
              <w:sz w:val="24"/>
              <w:szCs w:val="24"/>
            </w:rPr>
          </w:pPr>
          <w:r w:rsidRPr="00920B2A">
            <w:rPr>
              <w:rFonts w:ascii="Arial" w:hAnsi="Arial" w:cs="Arial"/>
              <w:sz w:val="24"/>
              <w:szCs w:val="24"/>
            </w:rPr>
            <w:t>5. Autonomy: Trust that employees act in the company's interest and do not penalise everyone if someone exploits the situation.</w:t>
          </w:r>
        </w:p>
        <w:p w14:paraId="574844C1" w14:textId="1D985B10" w:rsidR="00920B2A" w:rsidRPr="00920B2A" w:rsidRDefault="00920B2A" w:rsidP="00920B2A">
          <w:pPr>
            <w:rPr>
              <w:rFonts w:ascii="Arial" w:hAnsi="Arial" w:cs="Arial"/>
              <w:sz w:val="24"/>
              <w:szCs w:val="24"/>
            </w:rPr>
          </w:pPr>
          <w:r w:rsidRPr="00920B2A">
            <w:rPr>
              <w:rFonts w:ascii="Arial" w:hAnsi="Arial" w:cs="Arial"/>
              <w:sz w:val="24"/>
              <w:szCs w:val="24"/>
            </w:rPr>
            <w:t>6. Customers: Link everyone's work to activities that create value for the customer and avoid goal and interest conflicts.</w:t>
          </w:r>
        </w:p>
        <w:p w14:paraId="0A827875" w14:textId="77777777" w:rsidR="00920B2A" w:rsidRPr="00920B2A" w:rsidRDefault="00920B2A" w:rsidP="00920B2A">
          <w:pPr>
            <w:rPr>
              <w:rFonts w:ascii="Arial" w:hAnsi="Arial" w:cs="Arial"/>
              <w:sz w:val="24"/>
              <w:szCs w:val="24"/>
            </w:rPr>
          </w:pPr>
        </w:p>
        <w:p w14:paraId="4A53D9E6" w14:textId="77777777" w:rsidR="00920B2A" w:rsidRPr="00920B2A" w:rsidRDefault="00920B2A" w:rsidP="00920B2A">
          <w:pPr>
            <w:rPr>
              <w:rFonts w:ascii="Arial" w:hAnsi="Arial" w:cs="Arial"/>
              <w:sz w:val="24"/>
              <w:szCs w:val="24"/>
            </w:rPr>
          </w:pPr>
          <w:r w:rsidRPr="00920B2A">
            <w:rPr>
              <w:rFonts w:ascii="Arial" w:hAnsi="Arial" w:cs="Arial"/>
              <w:sz w:val="24"/>
              <w:szCs w:val="24"/>
            </w:rPr>
            <w:t>Management with Beyond Budgeting</w:t>
          </w:r>
        </w:p>
        <w:p w14:paraId="0DDB2BA4" w14:textId="77777777" w:rsidR="00920B2A" w:rsidRPr="00920B2A" w:rsidRDefault="00920B2A" w:rsidP="00920B2A">
          <w:pPr>
            <w:rPr>
              <w:rFonts w:ascii="Arial" w:hAnsi="Arial" w:cs="Arial"/>
              <w:sz w:val="24"/>
              <w:szCs w:val="24"/>
            </w:rPr>
          </w:pPr>
          <w:r w:rsidRPr="00920B2A">
            <w:rPr>
              <w:rFonts w:ascii="Arial" w:hAnsi="Arial" w:cs="Arial"/>
              <w:sz w:val="24"/>
              <w:szCs w:val="24"/>
            </w:rPr>
            <w:t>7. Rhythm: Organise the business rhythm around events, not just the calendar year.</w:t>
          </w:r>
        </w:p>
        <w:p w14:paraId="47DA3785" w14:textId="77777777" w:rsidR="00920B2A" w:rsidRPr="00920B2A" w:rsidRDefault="00920B2A" w:rsidP="00920B2A">
          <w:pPr>
            <w:rPr>
              <w:rFonts w:ascii="Arial" w:hAnsi="Arial" w:cs="Arial"/>
              <w:sz w:val="24"/>
              <w:szCs w:val="24"/>
            </w:rPr>
          </w:pPr>
          <w:r w:rsidRPr="00920B2A">
            <w:rPr>
              <w:rFonts w:ascii="Arial" w:hAnsi="Arial" w:cs="Arial"/>
              <w:sz w:val="24"/>
              <w:szCs w:val="24"/>
            </w:rPr>
            <w:t>8. Targets: Set directed, ambitious, and relative goals. Avoid “waterfall thinking” and fixed goals.</w:t>
          </w:r>
        </w:p>
        <w:p w14:paraId="63CC2DFC" w14:textId="77777777" w:rsidR="00920B2A" w:rsidRPr="00920B2A" w:rsidRDefault="00920B2A" w:rsidP="00920B2A">
          <w:pPr>
            <w:rPr>
              <w:rFonts w:ascii="Arial" w:hAnsi="Arial" w:cs="Arial"/>
              <w:sz w:val="24"/>
              <w:szCs w:val="24"/>
            </w:rPr>
          </w:pPr>
          <w:r w:rsidRPr="00920B2A">
            <w:rPr>
              <w:rFonts w:ascii="Arial" w:hAnsi="Arial" w:cs="Arial"/>
              <w:sz w:val="24"/>
              <w:szCs w:val="24"/>
            </w:rPr>
            <w:t>9. Plans and forecasts: Make planning and forecasting agile and impartial processes. Avoid rigidity and politics.</w:t>
          </w:r>
        </w:p>
        <w:p w14:paraId="2B9162EC" w14:textId="77777777" w:rsidR="00920B2A" w:rsidRPr="00920B2A" w:rsidRDefault="00920B2A" w:rsidP="00920B2A">
          <w:pPr>
            <w:rPr>
              <w:rFonts w:ascii="Arial" w:hAnsi="Arial" w:cs="Arial"/>
              <w:sz w:val="24"/>
              <w:szCs w:val="24"/>
            </w:rPr>
          </w:pPr>
          <w:r w:rsidRPr="00920B2A">
            <w:rPr>
              <w:rFonts w:ascii="Arial" w:hAnsi="Arial" w:cs="Arial"/>
              <w:sz w:val="24"/>
              <w:szCs w:val="24"/>
            </w:rPr>
            <w:t>10. Resource allocation: Foster cost awareness and make resources available when there is a need instead of detailed annual budgeting.</w:t>
          </w:r>
        </w:p>
        <w:p w14:paraId="4AC6F7CB" w14:textId="77777777" w:rsidR="00920B2A" w:rsidRPr="00920B2A" w:rsidRDefault="00920B2A" w:rsidP="00920B2A">
          <w:pPr>
            <w:rPr>
              <w:rFonts w:ascii="Arial" w:hAnsi="Arial" w:cs="Arial"/>
              <w:sz w:val="24"/>
              <w:szCs w:val="24"/>
            </w:rPr>
          </w:pPr>
          <w:r w:rsidRPr="00920B2A">
            <w:rPr>
              <w:rFonts w:ascii="Arial" w:hAnsi="Arial" w:cs="Arial"/>
              <w:sz w:val="24"/>
              <w:szCs w:val="24"/>
            </w:rPr>
            <w:t>11. Performance evaluation: Evaluate performance holistically and with feedback from other employees (the team) to create a learning experience and development. Performance evaluation should not solely be based on metrics and should not only lay the foundation for reward (bonus).</w:t>
          </w:r>
        </w:p>
        <w:p w14:paraId="47FA3FB1" w14:textId="77777777" w:rsidR="00920B2A" w:rsidRPr="00920B2A" w:rsidRDefault="00920B2A" w:rsidP="00920B2A">
          <w:pPr>
            <w:rPr>
              <w:rFonts w:ascii="Arial" w:hAnsi="Arial" w:cs="Arial"/>
              <w:sz w:val="24"/>
              <w:szCs w:val="24"/>
            </w:rPr>
          </w:pPr>
          <w:r w:rsidRPr="00920B2A">
            <w:rPr>
              <w:rFonts w:ascii="Arial" w:hAnsi="Arial" w:cs="Arial"/>
              <w:sz w:val="24"/>
              <w:szCs w:val="24"/>
            </w:rPr>
            <w:t>12. Rewards: Reward shared success in comparison to competitors. Not based on fixed performance agreements.</w:t>
          </w:r>
        </w:p>
        <w:p w14:paraId="16D21FEA" w14:textId="77777777" w:rsidR="00920B2A" w:rsidRPr="00920B2A" w:rsidRDefault="00920B2A" w:rsidP="00920B2A">
          <w:pPr>
            <w:rPr>
              <w:rFonts w:ascii="Arial" w:hAnsi="Arial" w:cs="Arial"/>
              <w:sz w:val="24"/>
              <w:szCs w:val="24"/>
            </w:rPr>
          </w:pPr>
          <w:r w:rsidRPr="00920B2A">
            <w:rPr>
              <w:rFonts w:ascii="Arial" w:hAnsi="Arial" w:cs="Arial"/>
              <w:sz w:val="24"/>
              <w:szCs w:val="24"/>
            </w:rPr>
            <w:t>The term "Beyond Budgeting" puts a large part of the company's change work in the hands of the finance department and the CFO. To succeed, a deep understanding of the company's Key Performance Indicators (KPIs) and drivers, and the business at large, is needed. Mandate and consensus among management and managers is also required.</w:t>
          </w:r>
        </w:p>
        <w:p w14:paraId="19D29F93" w14:textId="1C3688C1" w:rsidR="00920B2A" w:rsidRPr="00920B2A" w:rsidRDefault="00920B2A" w:rsidP="00920B2A">
          <w:pPr>
            <w:rPr>
              <w:rFonts w:ascii="Arial" w:hAnsi="Arial" w:cs="Arial"/>
              <w:sz w:val="24"/>
              <w:szCs w:val="24"/>
            </w:rPr>
          </w:pPr>
          <w:r w:rsidRPr="00920B2A">
            <w:rPr>
              <w:rFonts w:ascii="Arial" w:hAnsi="Arial" w:cs="Arial"/>
              <w:sz w:val="24"/>
              <w:szCs w:val="24"/>
            </w:rPr>
            <w:t>According to the</w:t>
          </w:r>
          <w:r w:rsidR="00EA78A6" w:rsidRPr="00EA78A6">
            <w:t xml:space="preserve"> </w:t>
          </w:r>
          <w:r w:rsidR="00EA78A6" w:rsidRPr="00EA78A6">
            <w:rPr>
              <w:rFonts w:ascii="Arial" w:hAnsi="Arial" w:cs="Arial"/>
              <w:sz w:val="24"/>
              <w:szCs w:val="24"/>
            </w:rPr>
            <w:t>hypergene.com</w:t>
          </w:r>
          <w:r w:rsidR="00EA78A6">
            <w:rPr>
              <w:rFonts w:ascii="Arial" w:hAnsi="Arial" w:cs="Arial"/>
              <w:sz w:val="24"/>
              <w:szCs w:val="24"/>
            </w:rPr>
            <w:t xml:space="preserve"> (</w:t>
          </w:r>
          <w:r w:rsidR="00EA78A6" w:rsidRPr="00EA78A6">
            <w:rPr>
              <w:rFonts w:ascii="Arial" w:hAnsi="Arial" w:cs="Arial"/>
              <w:sz w:val="24"/>
              <w:szCs w:val="24"/>
            </w:rPr>
            <w:t>2024</w:t>
          </w:r>
          <w:proofErr w:type="gramStart"/>
          <w:r w:rsidR="00EA78A6" w:rsidRPr="00EA78A6">
            <w:rPr>
              <w:rFonts w:ascii="Arial" w:hAnsi="Arial" w:cs="Arial"/>
              <w:sz w:val="24"/>
              <w:szCs w:val="24"/>
            </w:rPr>
            <w:t>)</w:t>
          </w:r>
          <w:r w:rsidR="00EA78A6">
            <w:rPr>
              <w:rFonts w:ascii="Arial" w:hAnsi="Arial" w:cs="Arial"/>
              <w:sz w:val="24"/>
              <w:szCs w:val="24"/>
            </w:rPr>
            <w:t xml:space="preserve"> </w:t>
          </w:r>
          <w:r w:rsidRPr="00920B2A">
            <w:rPr>
              <w:rFonts w:ascii="Arial" w:hAnsi="Arial" w:cs="Arial"/>
              <w:sz w:val="24"/>
              <w:szCs w:val="24"/>
            </w:rPr>
            <w:t>,</w:t>
          </w:r>
          <w:proofErr w:type="gramEnd"/>
          <w:r w:rsidRPr="00920B2A">
            <w:rPr>
              <w:rFonts w:ascii="Arial" w:hAnsi="Arial" w:cs="Arial"/>
              <w:sz w:val="24"/>
              <w:szCs w:val="24"/>
            </w:rPr>
            <w:t xml:space="preserve"> Beyond Budgeting represents a management philosophy characterized by 12 guiding principles, intended not as a checklist but as foundational concepts aiding both you and the managers within your organization in effective management and leadership. These principles are categorized into two main areas: decentralized leadership and agile management.</w:t>
          </w:r>
        </w:p>
        <w:p w14:paraId="40408452" w14:textId="77777777" w:rsidR="00920B2A" w:rsidRPr="00920B2A" w:rsidRDefault="00920B2A" w:rsidP="00920B2A">
          <w:pPr>
            <w:rPr>
              <w:rFonts w:ascii="Arial" w:hAnsi="Arial" w:cs="Arial"/>
              <w:sz w:val="24"/>
              <w:szCs w:val="24"/>
            </w:rPr>
          </w:pPr>
        </w:p>
        <w:p w14:paraId="0621274B" w14:textId="208967FD" w:rsidR="00920B2A" w:rsidRPr="001A498E" w:rsidRDefault="00920B2A" w:rsidP="001A498E">
          <w:pPr>
            <w:rPr>
              <w:rFonts w:ascii="Arial" w:hAnsi="Arial" w:cs="Arial"/>
              <w:sz w:val="24"/>
              <w:szCs w:val="24"/>
            </w:rPr>
          </w:pPr>
          <w:r w:rsidRPr="001A498E">
            <w:rPr>
              <w:rFonts w:ascii="Arial" w:hAnsi="Arial" w:cs="Arial"/>
              <w:sz w:val="24"/>
              <w:szCs w:val="24"/>
            </w:rPr>
            <w:t>Leadership with Beyond Budgeting</w:t>
          </w:r>
        </w:p>
        <w:p w14:paraId="40ED1222" w14:textId="77777777" w:rsidR="00920B2A" w:rsidRPr="00920B2A" w:rsidRDefault="00920B2A" w:rsidP="00920B2A">
          <w:pPr>
            <w:rPr>
              <w:rFonts w:ascii="Arial" w:hAnsi="Arial" w:cs="Arial"/>
              <w:sz w:val="24"/>
              <w:szCs w:val="24"/>
            </w:rPr>
          </w:pPr>
        </w:p>
        <w:p w14:paraId="61DD6A6E" w14:textId="77777777" w:rsidR="00920B2A" w:rsidRPr="00920B2A" w:rsidRDefault="00920B2A" w:rsidP="00920B2A">
          <w:pPr>
            <w:rPr>
              <w:rFonts w:ascii="Arial" w:hAnsi="Arial" w:cs="Arial"/>
              <w:sz w:val="24"/>
              <w:szCs w:val="24"/>
            </w:rPr>
          </w:pPr>
          <w:r w:rsidRPr="00920B2A">
            <w:rPr>
              <w:rFonts w:ascii="Arial" w:hAnsi="Arial" w:cs="Arial"/>
              <w:sz w:val="24"/>
              <w:szCs w:val="24"/>
            </w:rPr>
            <w:t>Purpose: Engage employees by setting bold, communicated, and long-term common goals, fostering a shared purpose and vision instead of prioritizing short-term financial objectives.</w:t>
          </w:r>
        </w:p>
        <w:p w14:paraId="0648F420" w14:textId="77777777" w:rsidR="00920B2A" w:rsidRPr="00920B2A" w:rsidRDefault="00920B2A" w:rsidP="00920B2A">
          <w:pPr>
            <w:rPr>
              <w:rFonts w:ascii="Arial" w:hAnsi="Arial" w:cs="Arial"/>
              <w:sz w:val="24"/>
              <w:szCs w:val="24"/>
            </w:rPr>
          </w:pPr>
          <w:r w:rsidRPr="00920B2A">
            <w:rPr>
              <w:rFonts w:ascii="Arial" w:hAnsi="Arial" w:cs="Arial"/>
              <w:sz w:val="24"/>
              <w:szCs w:val="24"/>
            </w:rPr>
            <w:t>Values: Lead with sound values and common sense rather than relying on rigid rules and details.</w:t>
          </w:r>
        </w:p>
        <w:p w14:paraId="37CA3443" w14:textId="77777777" w:rsidR="00920B2A" w:rsidRPr="00920B2A" w:rsidRDefault="00920B2A" w:rsidP="00920B2A">
          <w:pPr>
            <w:rPr>
              <w:rFonts w:ascii="Arial" w:hAnsi="Arial" w:cs="Arial"/>
              <w:sz w:val="24"/>
              <w:szCs w:val="24"/>
            </w:rPr>
          </w:pPr>
          <w:r w:rsidRPr="00920B2A">
            <w:rPr>
              <w:rFonts w:ascii="Arial" w:hAnsi="Arial" w:cs="Arial"/>
              <w:sz w:val="24"/>
              <w:szCs w:val="24"/>
            </w:rPr>
            <w:t>Transparency: Share information openly and avoid silos, enabling employees to self-regulate and innovate.</w:t>
          </w:r>
        </w:p>
        <w:p w14:paraId="6343B080" w14:textId="77777777" w:rsidR="00920B2A" w:rsidRPr="00920B2A" w:rsidRDefault="00920B2A" w:rsidP="00920B2A">
          <w:pPr>
            <w:rPr>
              <w:rFonts w:ascii="Arial" w:hAnsi="Arial" w:cs="Arial"/>
              <w:sz w:val="24"/>
              <w:szCs w:val="24"/>
            </w:rPr>
          </w:pPr>
          <w:r w:rsidRPr="00920B2A">
            <w:rPr>
              <w:rFonts w:ascii="Arial" w:hAnsi="Arial" w:cs="Arial"/>
              <w:sz w:val="24"/>
              <w:szCs w:val="24"/>
            </w:rPr>
            <w:t>Organization: Promote a sense of belonging and organize work around teams with shared responsibilities, steering clear of excessive control and bureaucracy.</w:t>
          </w:r>
        </w:p>
        <w:p w14:paraId="36D70740" w14:textId="77777777" w:rsidR="00920B2A" w:rsidRPr="00920B2A" w:rsidRDefault="00920B2A" w:rsidP="00920B2A">
          <w:pPr>
            <w:rPr>
              <w:rFonts w:ascii="Arial" w:hAnsi="Arial" w:cs="Arial"/>
              <w:sz w:val="24"/>
              <w:szCs w:val="24"/>
            </w:rPr>
          </w:pPr>
          <w:r w:rsidRPr="00920B2A">
            <w:rPr>
              <w:rFonts w:ascii="Arial" w:hAnsi="Arial" w:cs="Arial"/>
              <w:sz w:val="24"/>
              <w:szCs w:val="24"/>
            </w:rPr>
            <w:lastRenderedPageBreak/>
            <w:t>Autonomy: Trust employees to act in the company's best interests and avoid penalizing everyone for the actions of a few.</w:t>
          </w:r>
        </w:p>
        <w:p w14:paraId="723DF98A" w14:textId="77777777" w:rsidR="00920B2A" w:rsidRPr="00920B2A" w:rsidRDefault="00920B2A" w:rsidP="00920B2A">
          <w:pPr>
            <w:rPr>
              <w:rFonts w:ascii="Arial" w:hAnsi="Arial" w:cs="Arial"/>
              <w:sz w:val="24"/>
              <w:szCs w:val="24"/>
            </w:rPr>
          </w:pPr>
          <w:r w:rsidRPr="00920B2A">
            <w:rPr>
              <w:rFonts w:ascii="Arial" w:hAnsi="Arial" w:cs="Arial"/>
              <w:sz w:val="24"/>
              <w:szCs w:val="24"/>
            </w:rPr>
            <w:t>Customers: Align everyone's efforts with activities that add value for customers and minimize conflicts of interest.</w:t>
          </w:r>
        </w:p>
        <w:p w14:paraId="4E9B146C" w14:textId="77777777" w:rsidR="00920B2A" w:rsidRPr="00920B2A" w:rsidRDefault="00920B2A" w:rsidP="00920B2A">
          <w:pPr>
            <w:rPr>
              <w:rFonts w:ascii="Arial" w:hAnsi="Arial" w:cs="Arial"/>
              <w:sz w:val="24"/>
              <w:szCs w:val="24"/>
            </w:rPr>
          </w:pPr>
          <w:r w:rsidRPr="00920B2A">
            <w:rPr>
              <w:rFonts w:ascii="Arial" w:hAnsi="Arial" w:cs="Arial"/>
              <w:sz w:val="24"/>
              <w:szCs w:val="24"/>
            </w:rPr>
            <w:t>Management with Beyond Budgeting</w:t>
          </w:r>
        </w:p>
        <w:p w14:paraId="69277927" w14:textId="327F5599" w:rsidR="00920B2A" w:rsidRPr="00920B2A" w:rsidRDefault="00920B2A" w:rsidP="00920B2A">
          <w:pPr>
            <w:rPr>
              <w:rFonts w:ascii="Arial" w:hAnsi="Arial" w:cs="Arial"/>
              <w:sz w:val="24"/>
              <w:szCs w:val="24"/>
            </w:rPr>
          </w:pPr>
          <w:r w:rsidRPr="00920B2A">
            <w:rPr>
              <w:rFonts w:ascii="Arial" w:hAnsi="Arial" w:cs="Arial"/>
              <w:sz w:val="24"/>
              <w:szCs w:val="24"/>
            </w:rPr>
            <w:t>7. Rhythm: Structure business operations around events rather than strictly adhering to the calendar year.</w:t>
          </w:r>
        </w:p>
        <w:p w14:paraId="2A5FC3EE" w14:textId="518B9582" w:rsidR="00920B2A" w:rsidRPr="00920B2A" w:rsidRDefault="00920B2A" w:rsidP="00920B2A">
          <w:pPr>
            <w:rPr>
              <w:rFonts w:ascii="Arial" w:hAnsi="Arial" w:cs="Arial"/>
              <w:sz w:val="24"/>
              <w:szCs w:val="24"/>
            </w:rPr>
          </w:pPr>
          <w:r>
            <w:rPr>
              <w:rFonts w:ascii="Arial" w:hAnsi="Arial" w:cs="Arial"/>
              <w:sz w:val="24"/>
              <w:szCs w:val="24"/>
            </w:rPr>
            <w:t>8. T</w:t>
          </w:r>
          <w:r w:rsidRPr="00920B2A">
            <w:rPr>
              <w:rFonts w:ascii="Arial" w:hAnsi="Arial" w:cs="Arial"/>
              <w:sz w:val="24"/>
              <w:szCs w:val="24"/>
            </w:rPr>
            <w:t>argets: Set ambitious and relevant goals, avoiding rigid, waterfall-style thinking.</w:t>
          </w:r>
        </w:p>
        <w:p w14:paraId="36EC577B" w14:textId="4ACC6E27" w:rsidR="00920B2A" w:rsidRPr="00920B2A" w:rsidRDefault="00920B2A" w:rsidP="00920B2A">
          <w:pPr>
            <w:rPr>
              <w:rFonts w:ascii="Arial" w:hAnsi="Arial" w:cs="Arial"/>
              <w:sz w:val="24"/>
              <w:szCs w:val="24"/>
            </w:rPr>
          </w:pPr>
          <w:r>
            <w:rPr>
              <w:rFonts w:ascii="Arial" w:hAnsi="Arial" w:cs="Arial"/>
              <w:sz w:val="24"/>
              <w:szCs w:val="24"/>
            </w:rPr>
            <w:t xml:space="preserve">9. </w:t>
          </w:r>
          <w:r w:rsidRPr="00920B2A">
            <w:rPr>
              <w:rFonts w:ascii="Arial" w:hAnsi="Arial" w:cs="Arial"/>
              <w:sz w:val="24"/>
              <w:szCs w:val="24"/>
            </w:rPr>
            <w:t>Plans and forecasts: Make planning and forecasting agile and impartial processes, avoiding rigidity and political influences.</w:t>
          </w:r>
        </w:p>
        <w:p w14:paraId="23E4D13E" w14:textId="35429F07" w:rsidR="00920B2A" w:rsidRPr="00920B2A" w:rsidRDefault="00920B2A" w:rsidP="00920B2A">
          <w:pPr>
            <w:rPr>
              <w:rFonts w:ascii="Arial" w:hAnsi="Arial" w:cs="Arial"/>
              <w:sz w:val="24"/>
              <w:szCs w:val="24"/>
            </w:rPr>
          </w:pPr>
          <w:r>
            <w:rPr>
              <w:rFonts w:ascii="Arial" w:hAnsi="Arial" w:cs="Arial"/>
              <w:sz w:val="24"/>
              <w:szCs w:val="24"/>
            </w:rPr>
            <w:t xml:space="preserve">10. </w:t>
          </w:r>
          <w:r w:rsidRPr="00920B2A">
            <w:rPr>
              <w:rFonts w:ascii="Arial" w:hAnsi="Arial" w:cs="Arial"/>
              <w:sz w:val="24"/>
              <w:szCs w:val="24"/>
            </w:rPr>
            <w:t>Resource allocation: Cultivate cost awareness and allocate resources as needed instead of relying on detailed annual budgeting.</w:t>
          </w:r>
        </w:p>
        <w:p w14:paraId="1C3BFCE9" w14:textId="4BA8E105" w:rsidR="00920B2A" w:rsidRPr="00920B2A" w:rsidRDefault="00920B2A" w:rsidP="00920B2A">
          <w:pPr>
            <w:rPr>
              <w:rFonts w:ascii="Arial" w:hAnsi="Arial" w:cs="Arial"/>
              <w:sz w:val="24"/>
              <w:szCs w:val="24"/>
            </w:rPr>
          </w:pPr>
          <w:r>
            <w:rPr>
              <w:rFonts w:ascii="Arial" w:hAnsi="Arial" w:cs="Arial"/>
              <w:sz w:val="24"/>
              <w:szCs w:val="24"/>
            </w:rPr>
            <w:t xml:space="preserve">11. </w:t>
          </w:r>
          <w:r w:rsidRPr="00920B2A">
            <w:rPr>
              <w:rFonts w:ascii="Arial" w:hAnsi="Arial" w:cs="Arial"/>
              <w:sz w:val="24"/>
              <w:szCs w:val="24"/>
            </w:rPr>
            <w:t>Performance evaluation: Evaluate performance comprehensively, incorporating feedback from colleagues to foster learning and development, rather than relying solely on metrics for rewards.</w:t>
          </w:r>
        </w:p>
        <w:p w14:paraId="636A008F" w14:textId="47064AE9" w:rsidR="000B45AB" w:rsidRPr="000B45AB" w:rsidRDefault="00920B2A" w:rsidP="00920B2A">
          <w:pPr>
            <w:rPr>
              <w:rFonts w:ascii="Arial" w:hAnsi="Arial" w:cs="Arial"/>
              <w:sz w:val="24"/>
              <w:szCs w:val="24"/>
            </w:rPr>
          </w:pPr>
          <w:r>
            <w:rPr>
              <w:rFonts w:ascii="Arial" w:hAnsi="Arial" w:cs="Arial"/>
              <w:sz w:val="24"/>
              <w:szCs w:val="24"/>
            </w:rPr>
            <w:t xml:space="preserve">12. </w:t>
          </w:r>
          <w:r w:rsidRPr="00920B2A">
            <w:rPr>
              <w:rFonts w:ascii="Arial" w:hAnsi="Arial" w:cs="Arial"/>
              <w:sz w:val="24"/>
              <w:szCs w:val="24"/>
            </w:rPr>
            <w:t>Rewards: Reward shared success relative to competitors rather than adhering to fixed performance agreements.</w:t>
          </w:r>
        </w:p>
        <w:p w14:paraId="74A45AAB" w14:textId="77777777" w:rsidR="000B45AB" w:rsidRPr="000B45AB" w:rsidRDefault="000B45AB" w:rsidP="000B45AB">
          <w:pPr>
            <w:rPr>
              <w:rFonts w:ascii="Arial" w:hAnsi="Arial" w:cs="Arial"/>
              <w:sz w:val="24"/>
              <w:szCs w:val="24"/>
            </w:rPr>
          </w:pPr>
        </w:p>
        <w:p w14:paraId="60374177" w14:textId="77777777" w:rsidR="000B45AB" w:rsidRPr="000B45AB" w:rsidRDefault="000B45AB" w:rsidP="000B45AB">
          <w:pPr>
            <w:rPr>
              <w:rFonts w:ascii="Arial" w:hAnsi="Arial" w:cs="Arial"/>
              <w:sz w:val="24"/>
              <w:szCs w:val="24"/>
            </w:rPr>
          </w:pPr>
        </w:p>
        <w:p w14:paraId="3E277308" w14:textId="22D5DA58" w:rsidR="001E015B" w:rsidRPr="000B45AB" w:rsidRDefault="001E015B" w:rsidP="000B45AB">
          <w:pPr>
            <w:rPr>
              <w:rFonts w:ascii="Arial" w:hAnsi="Arial" w:cs="Arial"/>
              <w:sz w:val="24"/>
              <w:szCs w:val="24"/>
            </w:rPr>
          </w:pPr>
        </w:p>
        <w:p w14:paraId="08C07E74" w14:textId="77777777" w:rsidR="002D746F" w:rsidRDefault="002D746F" w:rsidP="002D746F"/>
        <w:p w14:paraId="68D21FA8" w14:textId="77777777" w:rsidR="002D746F" w:rsidRPr="002D746F" w:rsidRDefault="002D746F" w:rsidP="002D746F"/>
        <w:p w14:paraId="300FF024" w14:textId="77777777" w:rsidR="009F0311" w:rsidRDefault="009F0311" w:rsidP="005E5FD2">
          <w:pPr>
            <w:rPr>
              <w:rFonts w:ascii="Arial" w:hAnsi="Arial" w:cs="Arial"/>
              <w:sz w:val="24"/>
              <w:szCs w:val="24"/>
            </w:rPr>
          </w:pPr>
        </w:p>
        <w:p w14:paraId="05C8D237" w14:textId="77777777" w:rsidR="009F0311" w:rsidRDefault="009F0311" w:rsidP="005E5FD2">
          <w:pPr>
            <w:rPr>
              <w:rFonts w:ascii="Arial" w:hAnsi="Arial" w:cs="Arial"/>
              <w:sz w:val="24"/>
              <w:szCs w:val="24"/>
            </w:rPr>
          </w:pPr>
        </w:p>
        <w:p w14:paraId="75B01896" w14:textId="77777777" w:rsidR="009F0311" w:rsidRDefault="009F0311" w:rsidP="005E5FD2">
          <w:pPr>
            <w:rPr>
              <w:rFonts w:ascii="Arial" w:hAnsi="Arial" w:cs="Arial"/>
              <w:sz w:val="24"/>
              <w:szCs w:val="24"/>
            </w:rPr>
          </w:pPr>
        </w:p>
        <w:p w14:paraId="5B804370" w14:textId="77777777" w:rsidR="009F0311" w:rsidRDefault="009F0311" w:rsidP="005E5FD2">
          <w:pPr>
            <w:rPr>
              <w:rFonts w:ascii="Arial" w:hAnsi="Arial" w:cs="Arial"/>
              <w:sz w:val="24"/>
              <w:szCs w:val="24"/>
            </w:rPr>
          </w:pPr>
        </w:p>
        <w:p w14:paraId="2C08CDA2" w14:textId="77777777" w:rsidR="009F0311" w:rsidRDefault="009F0311" w:rsidP="005E5FD2">
          <w:pPr>
            <w:rPr>
              <w:rFonts w:ascii="Arial" w:hAnsi="Arial" w:cs="Arial"/>
              <w:sz w:val="24"/>
              <w:szCs w:val="24"/>
            </w:rPr>
          </w:pPr>
        </w:p>
        <w:p w14:paraId="02C713B4" w14:textId="77777777" w:rsidR="009F0311" w:rsidRDefault="009F0311" w:rsidP="005E5FD2">
          <w:pPr>
            <w:rPr>
              <w:rFonts w:ascii="Arial" w:hAnsi="Arial" w:cs="Arial"/>
              <w:sz w:val="24"/>
              <w:szCs w:val="24"/>
            </w:rPr>
          </w:pPr>
        </w:p>
        <w:p w14:paraId="0F9A8AF6" w14:textId="77777777" w:rsidR="009F0311" w:rsidRDefault="009F0311" w:rsidP="005E5FD2">
          <w:pPr>
            <w:rPr>
              <w:rFonts w:ascii="Arial" w:hAnsi="Arial" w:cs="Arial"/>
              <w:sz w:val="24"/>
              <w:szCs w:val="24"/>
            </w:rPr>
          </w:pPr>
        </w:p>
        <w:p w14:paraId="17578DE1" w14:textId="77777777" w:rsidR="009F0311" w:rsidRDefault="009F0311" w:rsidP="005E5FD2">
          <w:pPr>
            <w:rPr>
              <w:rFonts w:ascii="Arial" w:hAnsi="Arial" w:cs="Arial"/>
              <w:sz w:val="24"/>
              <w:szCs w:val="24"/>
            </w:rPr>
          </w:pPr>
        </w:p>
        <w:p w14:paraId="461E5D96" w14:textId="77777777" w:rsidR="00DC4D6D" w:rsidRDefault="00DC4D6D" w:rsidP="005E5FD2">
          <w:pPr>
            <w:rPr>
              <w:rFonts w:ascii="Arial" w:hAnsi="Arial" w:cs="Arial"/>
              <w:sz w:val="24"/>
              <w:szCs w:val="24"/>
            </w:rPr>
          </w:pPr>
        </w:p>
        <w:p w14:paraId="2058CB4B" w14:textId="77777777" w:rsidR="00763E4D" w:rsidRDefault="00763E4D" w:rsidP="005E5FD2">
          <w:pPr>
            <w:rPr>
              <w:rFonts w:ascii="Arial" w:hAnsi="Arial" w:cs="Arial"/>
              <w:sz w:val="24"/>
              <w:szCs w:val="24"/>
            </w:rPr>
          </w:pPr>
        </w:p>
        <w:p w14:paraId="6D162F94" w14:textId="77777777" w:rsidR="00763E4D" w:rsidRDefault="00763E4D" w:rsidP="005E5FD2">
          <w:pPr>
            <w:rPr>
              <w:rFonts w:ascii="Arial" w:hAnsi="Arial" w:cs="Arial"/>
              <w:sz w:val="24"/>
              <w:szCs w:val="24"/>
            </w:rPr>
          </w:pPr>
        </w:p>
        <w:p w14:paraId="711B88CF" w14:textId="77777777" w:rsidR="00763E4D" w:rsidRDefault="00763E4D" w:rsidP="005E5FD2">
          <w:pPr>
            <w:rPr>
              <w:rFonts w:ascii="Arial" w:hAnsi="Arial" w:cs="Arial"/>
              <w:sz w:val="24"/>
              <w:szCs w:val="24"/>
            </w:rPr>
          </w:pPr>
        </w:p>
        <w:p w14:paraId="2F8ED1AC" w14:textId="77777777" w:rsidR="00763E4D" w:rsidRDefault="00763E4D" w:rsidP="005E5FD2">
          <w:pPr>
            <w:rPr>
              <w:rFonts w:ascii="Arial" w:hAnsi="Arial" w:cs="Arial"/>
              <w:sz w:val="24"/>
              <w:szCs w:val="24"/>
            </w:rPr>
          </w:pPr>
        </w:p>
        <w:p w14:paraId="4C6FBC3F" w14:textId="77777777" w:rsidR="00763E4D" w:rsidRDefault="00763E4D" w:rsidP="005E5FD2">
          <w:pPr>
            <w:rPr>
              <w:rFonts w:ascii="Arial" w:hAnsi="Arial" w:cs="Arial"/>
              <w:sz w:val="24"/>
              <w:szCs w:val="24"/>
            </w:rPr>
          </w:pPr>
        </w:p>
        <w:p w14:paraId="5C67928C" w14:textId="59E84390" w:rsidR="00AA2A91" w:rsidRDefault="00AA2A91" w:rsidP="00AA2A91">
          <w:pPr>
            <w:pStyle w:val="Heading1"/>
          </w:pPr>
          <w:bookmarkStart w:id="16" w:name="_Toc164027125"/>
          <w:r>
            <w:t>Conclusion</w:t>
          </w:r>
          <w:bookmarkEnd w:id="16"/>
        </w:p>
        <w:p w14:paraId="2AD9FD19" w14:textId="77777777" w:rsidR="001754A9" w:rsidRDefault="001754A9" w:rsidP="001754A9"/>
        <w:p w14:paraId="05690D5F" w14:textId="77777777" w:rsidR="001754A9" w:rsidRPr="00427E3B" w:rsidRDefault="001754A9" w:rsidP="001754A9">
          <w:pPr>
            <w:rPr>
              <w:rFonts w:ascii="Arial" w:hAnsi="Arial" w:cs="Arial"/>
              <w:sz w:val="24"/>
              <w:szCs w:val="24"/>
            </w:rPr>
          </w:pPr>
        </w:p>
        <w:p w14:paraId="18E9BE1B" w14:textId="2AB3927B" w:rsidR="00763E4D" w:rsidRPr="00427E3B" w:rsidRDefault="00763E4D" w:rsidP="00763E4D">
          <w:pPr>
            <w:rPr>
              <w:rFonts w:ascii="Arial" w:hAnsi="Arial" w:cs="Arial"/>
              <w:sz w:val="24"/>
              <w:szCs w:val="24"/>
            </w:rPr>
          </w:pPr>
          <w:r w:rsidRPr="00427E3B">
            <w:rPr>
              <w:rFonts w:ascii="Arial" w:hAnsi="Arial" w:cs="Arial"/>
              <w:sz w:val="24"/>
              <w:szCs w:val="24"/>
            </w:rPr>
            <w:t>In conclusion, the meticulous analysis of Edwards Limited's financial performance provides valuable insights into the organization's operational dynamics and strategic imperatives. By examining sales fluctuations, inventory management, and budgetary control systems, key opportunities and challenges have been discerned, paving the way for informed decision-making.</w:t>
          </w:r>
        </w:p>
        <w:p w14:paraId="52EB29CE" w14:textId="62E125DD" w:rsidR="00763E4D" w:rsidRPr="00427E3B" w:rsidRDefault="00763E4D" w:rsidP="00763E4D">
          <w:pPr>
            <w:rPr>
              <w:rFonts w:ascii="Arial" w:hAnsi="Arial" w:cs="Arial"/>
              <w:sz w:val="24"/>
              <w:szCs w:val="24"/>
            </w:rPr>
          </w:pPr>
          <w:r w:rsidRPr="00427E3B">
            <w:rPr>
              <w:rFonts w:ascii="Arial" w:hAnsi="Arial" w:cs="Arial"/>
              <w:sz w:val="24"/>
              <w:szCs w:val="24"/>
            </w:rPr>
            <w:t xml:space="preserve">Despite proactive measures taken by Edwards Limited, challenges in managing cash flows and optimizing financial performance persist. The organization faces the imperative to implement strategic management actions to address these challenges effectively, particularly considering their impending inability to pay their </w:t>
          </w:r>
          <w:r w:rsidR="00313A6C" w:rsidRPr="00427E3B">
            <w:rPr>
              <w:rFonts w:ascii="Arial" w:hAnsi="Arial" w:cs="Arial"/>
              <w:sz w:val="24"/>
              <w:szCs w:val="24"/>
            </w:rPr>
            <w:t>overdraft (</w:t>
          </w:r>
          <w:proofErr w:type="spellStart"/>
          <w:r w:rsidR="00455189" w:rsidRPr="00427E3B">
            <w:rPr>
              <w:rFonts w:ascii="Arial" w:hAnsi="Arial" w:cs="Arial"/>
              <w:sz w:val="24"/>
              <w:szCs w:val="24"/>
            </w:rPr>
            <w:t>Steiss</w:t>
          </w:r>
          <w:proofErr w:type="spellEnd"/>
          <w:r w:rsidR="00313A6C" w:rsidRPr="00427E3B">
            <w:rPr>
              <w:rFonts w:ascii="Arial" w:hAnsi="Arial" w:cs="Arial"/>
              <w:sz w:val="24"/>
              <w:szCs w:val="24"/>
            </w:rPr>
            <w:t xml:space="preserve">, </w:t>
          </w:r>
          <w:r w:rsidR="00455189" w:rsidRPr="00427E3B">
            <w:rPr>
              <w:rFonts w:ascii="Arial" w:hAnsi="Arial" w:cs="Arial"/>
              <w:sz w:val="24"/>
              <w:szCs w:val="24"/>
            </w:rPr>
            <w:t>2019</w:t>
          </w:r>
          <w:r w:rsidR="00313A6C" w:rsidRPr="00427E3B">
            <w:rPr>
              <w:rFonts w:ascii="Arial" w:hAnsi="Arial" w:cs="Arial"/>
              <w:sz w:val="24"/>
              <w:szCs w:val="24"/>
            </w:rPr>
            <w:t>).</w:t>
          </w:r>
        </w:p>
        <w:p w14:paraId="49C75EE9" w14:textId="05354C99" w:rsidR="00763E4D" w:rsidRPr="00427E3B" w:rsidRDefault="00763E4D" w:rsidP="00763E4D">
          <w:pPr>
            <w:rPr>
              <w:rFonts w:ascii="Arial" w:hAnsi="Arial" w:cs="Arial"/>
              <w:sz w:val="24"/>
              <w:szCs w:val="24"/>
            </w:rPr>
          </w:pPr>
          <w:r w:rsidRPr="00427E3B">
            <w:rPr>
              <w:rFonts w:ascii="Arial" w:hAnsi="Arial" w:cs="Arial"/>
              <w:sz w:val="24"/>
              <w:szCs w:val="24"/>
            </w:rPr>
            <w:t>Strategies such as cash flow management, sales growth initiatives, and inventory optimization are crucial for enhancing financial stability and profitability</w:t>
          </w:r>
          <w:r w:rsidR="00313A6C" w:rsidRPr="00427E3B">
            <w:rPr>
              <w:rFonts w:ascii="Arial" w:hAnsi="Arial" w:cs="Arial"/>
              <w:sz w:val="24"/>
              <w:szCs w:val="24"/>
            </w:rPr>
            <w:t xml:space="preserve"> (</w:t>
          </w:r>
          <w:r w:rsidRPr="00427E3B">
            <w:rPr>
              <w:rFonts w:ascii="Arial" w:hAnsi="Arial" w:cs="Arial"/>
              <w:sz w:val="24"/>
              <w:szCs w:val="24"/>
            </w:rPr>
            <w:t>Hai &amp; Quy</w:t>
          </w:r>
          <w:r w:rsidR="00313A6C" w:rsidRPr="00427E3B">
            <w:rPr>
              <w:rFonts w:ascii="Arial" w:hAnsi="Arial" w:cs="Arial"/>
              <w:sz w:val="24"/>
              <w:szCs w:val="24"/>
            </w:rPr>
            <w:t>, 2</w:t>
          </w:r>
          <w:r w:rsidRPr="00427E3B">
            <w:rPr>
              <w:rFonts w:ascii="Arial" w:hAnsi="Arial" w:cs="Arial"/>
              <w:sz w:val="24"/>
              <w:szCs w:val="24"/>
            </w:rPr>
            <w:t xml:space="preserve">019) and Wahid (2019). Furthermore, the evaluation of traditional budgeting approaches underscores the need for innovative alternatives such as rolling forecasts and continuous planning </w:t>
          </w:r>
          <w:r w:rsidR="00205875" w:rsidRPr="00427E3B">
            <w:rPr>
              <w:rFonts w:ascii="Arial" w:hAnsi="Arial" w:cs="Arial"/>
              <w:sz w:val="24"/>
              <w:szCs w:val="24"/>
            </w:rPr>
            <w:t>(</w:t>
          </w:r>
          <w:r w:rsidRPr="00427E3B">
            <w:rPr>
              <w:rFonts w:ascii="Arial" w:hAnsi="Arial" w:cs="Arial"/>
              <w:sz w:val="24"/>
              <w:szCs w:val="24"/>
            </w:rPr>
            <w:t>Bergmann et al.</w:t>
          </w:r>
          <w:r w:rsidR="00205875" w:rsidRPr="00427E3B">
            <w:rPr>
              <w:rFonts w:ascii="Arial" w:hAnsi="Arial" w:cs="Arial"/>
              <w:sz w:val="24"/>
              <w:szCs w:val="24"/>
            </w:rPr>
            <w:t xml:space="preserve">, </w:t>
          </w:r>
          <w:r w:rsidRPr="00427E3B">
            <w:rPr>
              <w:rFonts w:ascii="Arial" w:hAnsi="Arial" w:cs="Arial"/>
              <w:sz w:val="24"/>
              <w:szCs w:val="24"/>
            </w:rPr>
            <w:t>2020).</w:t>
          </w:r>
        </w:p>
        <w:p w14:paraId="53FBD7A6" w14:textId="29382F22" w:rsidR="00763E4D" w:rsidRPr="00427E3B" w:rsidRDefault="00763E4D" w:rsidP="00763E4D">
          <w:pPr>
            <w:rPr>
              <w:rFonts w:ascii="Arial" w:hAnsi="Arial" w:cs="Arial"/>
              <w:sz w:val="24"/>
              <w:szCs w:val="24"/>
            </w:rPr>
          </w:pPr>
          <w:r w:rsidRPr="00427E3B">
            <w:rPr>
              <w:rFonts w:ascii="Arial" w:hAnsi="Arial" w:cs="Arial"/>
              <w:sz w:val="24"/>
              <w:szCs w:val="24"/>
            </w:rPr>
            <w:t>The Beyond Budgeting model emerges as a transformative paradigm, advocating for decentralized leadership and adaptive planning to drive organizational performance and agility</w:t>
          </w:r>
          <w:r w:rsidR="00D351FB" w:rsidRPr="00427E3B">
            <w:rPr>
              <w:rFonts w:ascii="Arial" w:hAnsi="Arial" w:cs="Arial"/>
              <w:sz w:val="24"/>
              <w:szCs w:val="24"/>
            </w:rPr>
            <w:t xml:space="preserve"> (</w:t>
          </w:r>
          <w:r w:rsidRPr="00427E3B">
            <w:rPr>
              <w:rFonts w:ascii="Arial" w:hAnsi="Arial" w:cs="Arial"/>
              <w:sz w:val="24"/>
              <w:szCs w:val="24"/>
            </w:rPr>
            <w:t>Hope &amp; Fraser</w:t>
          </w:r>
          <w:r w:rsidR="00D351FB" w:rsidRPr="00427E3B">
            <w:rPr>
              <w:rFonts w:ascii="Arial" w:hAnsi="Arial" w:cs="Arial"/>
              <w:sz w:val="24"/>
              <w:szCs w:val="24"/>
            </w:rPr>
            <w:t xml:space="preserve">, </w:t>
          </w:r>
          <w:r w:rsidR="00B50F0B" w:rsidRPr="00427E3B">
            <w:rPr>
              <w:rFonts w:ascii="Arial" w:hAnsi="Arial" w:cs="Arial"/>
              <w:sz w:val="24"/>
              <w:szCs w:val="24"/>
            </w:rPr>
            <w:t>2003)</w:t>
          </w:r>
        </w:p>
        <w:p w14:paraId="57C01640" w14:textId="0433D3EF" w:rsidR="00763E4D" w:rsidRPr="00427E3B" w:rsidRDefault="00763E4D" w:rsidP="00763E4D">
          <w:pPr>
            <w:rPr>
              <w:rFonts w:ascii="Arial" w:hAnsi="Arial" w:cs="Arial"/>
              <w:sz w:val="24"/>
              <w:szCs w:val="24"/>
            </w:rPr>
          </w:pPr>
          <w:r w:rsidRPr="00427E3B">
            <w:rPr>
              <w:rFonts w:ascii="Arial" w:hAnsi="Arial" w:cs="Arial"/>
              <w:sz w:val="24"/>
              <w:szCs w:val="24"/>
            </w:rPr>
            <w:t xml:space="preserve">In navigating the complexities of today's business environment, Edwards Limited </w:t>
          </w:r>
          <w:r w:rsidR="001C0583" w:rsidRPr="00427E3B">
            <w:rPr>
              <w:rFonts w:ascii="Arial" w:hAnsi="Arial" w:cs="Arial"/>
              <w:sz w:val="24"/>
              <w:szCs w:val="24"/>
            </w:rPr>
            <w:t>can</w:t>
          </w:r>
          <w:r w:rsidRPr="00427E3B">
            <w:rPr>
              <w:rFonts w:ascii="Arial" w:hAnsi="Arial" w:cs="Arial"/>
              <w:sz w:val="24"/>
              <w:szCs w:val="24"/>
            </w:rPr>
            <w:t xml:space="preserve"> leverage these insights and recommendations to position itself for sustained growth and resilience </w:t>
          </w:r>
          <w:r w:rsidR="00B50F0B" w:rsidRPr="00427E3B">
            <w:rPr>
              <w:rFonts w:ascii="Arial" w:hAnsi="Arial" w:cs="Arial"/>
              <w:sz w:val="24"/>
              <w:szCs w:val="24"/>
            </w:rPr>
            <w:t>(</w:t>
          </w:r>
          <w:proofErr w:type="spellStart"/>
          <w:r w:rsidRPr="00427E3B">
            <w:rPr>
              <w:rFonts w:ascii="Arial" w:hAnsi="Arial" w:cs="Arial"/>
              <w:sz w:val="24"/>
              <w:szCs w:val="24"/>
            </w:rPr>
            <w:t>Hakelberg</w:t>
          </w:r>
          <w:proofErr w:type="spellEnd"/>
          <w:r w:rsidR="00B50F0B" w:rsidRPr="00427E3B">
            <w:rPr>
              <w:rFonts w:ascii="Arial" w:hAnsi="Arial" w:cs="Arial"/>
              <w:sz w:val="24"/>
              <w:szCs w:val="24"/>
            </w:rPr>
            <w:t xml:space="preserve">, </w:t>
          </w:r>
          <w:r w:rsidRPr="00427E3B">
            <w:rPr>
              <w:rFonts w:ascii="Arial" w:hAnsi="Arial" w:cs="Arial"/>
              <w:sz w:val="24"/>
              <w:szCs w:val="24"/>
            </w:rPr>
            <w:t>2020). By embracing proactive management actions and fostering a culture of continuous improvement, Edwards Limited can overcome financial challenges and achieve long-term success.</w:t>
          </w:r>
        </w:p>
        <w:p w14:paraId="5AA9910A" w14:textId="694B8CA9" w:rsidR="001754A9" w:rsidRPr="00427E3B" w:rsidRDefault="00763E4D" w:rsidP="001754A9">
          <w:pPr>
            <w:rPr>
              <w:rFonts w:ascii="Arial" w:hAnsi="Arial" w:cs="Arial"/>
              <w:sz w:val="24"/>
              <w:szCs w:val="24"/>
            </w:rPr>
          </w:pPr>
          <w:r w:rsidRPr="00427E3B">
            <w:rPr>
              <w:rFonts w:ascii="Arial" w:hAnsi="Arial" w:cs="Arial"/>
              <w:sz w:val="24"/>
              <w:szCs w:val="24"/>
            </w:rPr>
            <w:t>Ultimately, the analysis serves as a roadmap for Edwards Limited to navigate its financial landscape effectively, ensuring alignment with strategic objectives and enhancing overall financial performance. With a commitment to implementing recommended strategies and embracing innovation, Edwards Limited can thrive in an ever-evolving marketplace, driving sustainable growth and value creation</w:t>
          </w:r>
          <w:r w:rsidR="00712768" w:rsidRPr="00427E3B">
            <w:rPr>
              <w:rFonts w:ascii="Arial" w:hAnsi="Arial" w:cs="Arial"/>
              <w:sz w:val="24"/>
              <w:szCs w:val="24"/>
            </w:rPr>
            <w:t>.</w:t>
          </w:r>
        </w:p>
        <w:p w14:paraId="514C4E20" w14:textId="77777777" w:rsidR="001754A9" w:rsidRPr="00427E3B" w:rsidRDefault="001754A9" w:rsidP="001754A9">
          <w:pPr>
            <w:rPr>
              <w:rFonts w:ascii="Arial" w:hAnsi="Arial" w:cs="Arial"/>
              <w:sz w:val="24"/>
              <w:szCs w:val="24"/>
            </w:rPr>
          </w:pPr>
        </w:p>
        <w:p w14:paraId="0C6DEB97" w14:textId="77777777" w:rsidR="00AA2A91" w:rsidRPr="00427E3B" w:rsidRDefault="00AA2A91" w:rsidP="00AA2A91">
          <w:pPr>
            <w:rPr>
              <w:rFonts w:ascii="Arial" w:hAnsi="Arial" w:cs="Arial"/>
              <w:sz w:val="24"/>
              <w:szCs w:val="24"/>
            </w:rPr>
          </w:pPr>
        </w:p>
        <w:p w14:paraId="57551E56" w14:textId="381750A4" w:rsidR="00AA2A91" w:rsidRPr="00427E3B" w:rsidRDefault="00AA2A91" w:rsidP="00AA2A91">
          <w:pPr>
            <w:rPr>
              <w:rFonts w:ascii="Arial" w:hAnsi="Arial" w:cs="Arial"/>
              <w:sz w:val="24"/>
              <w:szCs w:val="24"/>
            </w:rPr>
          </w:pPr>
        </w:p>
        <w:p w14:paraId="74ABF5C6" w14:textId="77777777" w:rsidR="009F0311" w:rsidRPr="00427E3B" w:rsidRDefault="009F0311" w:rsidP="00AA2A91">
          <w:pPr>
            <w:rPr>
              <w:rFonts w:ascii="Arial" w:hAnsi="Arial" w:cs="Arial"/>
              <w:sz w:val="24"/>
              <w:szCs w:val="24"/>
            </w:rPr>
          </w:pPr>
        </w:p>
        <w:p w14:paraId="29C7FA0C" w14:textId="77777777" w:rsidR="009F0311" w:rsidRPr="00427E3B" w:rsidRDefault="009F0311" w:rsidP="00AA2A91">
          <w:pPr>
            <w:rPr>
              <w:rFonts w:ascii="Arial" w:hAnsi="Arial" w:cs="Arial"/>
              <w:sz w:val="24"/>
              <w:szCs w:val="24"/>
            </w:rPr>
          </w:pPr>
        </w:p>
        <w:p w14:paraId="0592C82E" w14:textId="77777777" w:rsidR="009F0311" w:rsidRDefault="009F0311" w:rsidP="00AA2A91"/>
        <w:p w14:paraId="485E6B4B" w14:textId="77777777" w:rsidR="009F0311" w:rsidRDefault="009F0311" w:rsidP="00AA2A91"/>
        <w:p w14:paraId="65AD53E6" w14:textId="7890D298" w:rsidR="001F0069" w:rsidRDefault="001F0069" w:rsidP="00AA2A91"/>
        <w:p w14:paraId="3B6A3873" w14:textId="77777777" w:rsidR="001F0069" w:rsidRDefault="001F0069" w:rsidP="00AA2A91"/>
        <w:p w14:paraId="7806BE78" w14:textId="4E021E51" w:rsidR="00FD6221" w:rsidRPr="00AA2A91" w:rsidRDefault="00FD6221" w:rsidP="00AA2A91">
          <w:pPr>
            <w:pStyle w:val="Heading1"/>
          </w:pPr>
        </w:p>
        <w:bookmarkStart w:id="17" w:name="_Toc164027126" w:displacedByCustomXml="next"/>
        <w:sdt>
          <w:sdtPr>
            <w:rPr>
              <w:rFonts w:asciiTheme="minorHAnsi" w:eastAsiaTheme="minorHAnsi" w:hAnsiTheme="minorHAnsi" w:cstheme="minorBidi"/>
              <w:color w:val="auto"/>
              <w:sz w:val="22"/>
              <w:szCs w:val="22"/>
            </w:rPr>
            <w:id w:val="90600476"/>
            <w:docPartObj>
              <w:docPartGallery w:val="Bibliographies"/>
              <w:docPartUnique/>
            </w:docPartObj>
          </w:sdtPr>
          <w:sdtEndPr/>
          <w:sdtContent>
            <w:p w14:paraId="35C60851" w14:textId="68398BC2" w:rsidR="00FD6221" w:rsidRDefault="00FD6221">
              <w:pPr>
                <w:pStyle w:val="Heading1"/>
              </w:pPr>
              <w:r>
                <w:t>References</w:t>
              </w:r>
              <w:bookmarkEnd w:id="17"/>
            </w:p>
            <w:sdt>
              <w:sdtPr>
                <w:id w:val="-573587230"/>
                <w:bibliography/>
              </w:sdtPr>
              <w:sdtEndPr/>
              <w:sdtContent>
                <w:p w14:paraId="1859E1E7" w14:textId="78F2E8A6" w:rsidR="00FD6C4E" w:rsidRDefault="00FD6221" w:rsidP="00FD6C4E">
                  <w:pPr>
                    <w:pStyle w:val="Bibliography"/>
                    <w:rPr>
                      <w:noProof/>
                      <w:sz w:val="24"/>
                      <w:szCs w:val="24"/>
                    </w:rPr>
                  </w:pPr>
                  <w:r>
                    <w:fldChar w:fldCharType="begin"/>
                  </w:r>
                  <w:r>
                    <w:instrText xml:space="preserve"> BIBLIOGRAPHY </w:instrText>
                  </w:r>
                  <w:r>
                    <w:fldChar w:fldCharType="separate"/>
                  </w:r>
                  <w:r w:rsidR="00FD6C4E">
                    <w:rPr>
                      <w:noProof/>
                    </w:rPr>
                    <w:t xml:space="preserve">Ahmed Mohamed Ghandour, D. </w:t>
                  </w:r>
                  <w:r w:rsidR="00AE5959">
                    <w:rPr>
                      <w:noProof/>
                    </w:rPr>
                    <w:t>(</w:t>
                  </w:r>
                  <w:r w:rsidR="00FD6C4E">
                    <w:rPr>
                      <w:noProof/>
                    </w:rPr>
                    <w:t>2021</w:t>
                  </w:r>
                  <w:r w:rsidR="00AE5959">
                    <w:rPr>
                      <w:noProof/>
                    </w:rPr>
                    <w:t>)</w:t>
                  </w:r>
                  <w:r w:rsidR="0008154C">
                    <w:rPr>
                      <w:noProof/>
                    </w:rPr>
                    <w:t xml:space="preserve">, </w:t>
                  </w:r>
                  <w:r w:rsidR="00FD6C4E">
                    <w:rPr>
                      <w:noProof/>
                    </w:rPr>
                    <w:t xml:space="preserve">Analytical review of the current and future directions of management accounting and control systems. </w:t>
                  </w:r>
                  <w:r w:rsidR="00FD6C4E">
                    <w:rPr>
                      <w:i/>
                      <w:iCs/>
                      <w:noProof/>
                    </w:rPr>
                    <w:t xml:space="preserve">European Journal of Accounting, Auditing and Finance Research, </w:t>
                  </w:r>
                  <w:r w:rsidR="00FD6C4E">
                    <w:rPr>
                      <w:noProof/>
                    </w:rPr>
                    <w:t>9(3), pp. 42-73.</w:t>
                  </w:r>
                </w:p>
                <w:p w14:paraId="4B3C18E2" w14:textId="788F5AAD" w:rsidR="00FD6C4E" w:rsidRDefault="00FD6C4E" w:rsidP="00FD6C4E">
                  <w:pPr>
                    <w:pStyle w:val="Bibliography"/>
                    <w:rPr>
                      <w:noProof/>
                    </w:rPr>
                  </w:pPr>
                  <w:r>
                    <w:rPr>
                      <w:noProof/>
                    </w:rPr>
                    <w:t>Ainsworth, P. &amp; Deines, D.</w:t>
                  </w:r>
                  <w:r w:rsidR="00AE5959">
                    <w:rPr>
                      <w:noProof/>
                    </w:rPr>
                    <w:t>(</w:t>
                  </w:r>
                  <w:r>
                    <w:rPr>
                      <w:noProof/>
                    </w:rPr>
                    <w:t>2019</w:t>
                  </w:r>
                  <w:r w:rsidR="00AE5959">
                    <w:rPr>
                      <w:noProof/>
                    </w:rPr>
                    <w:t>)</w:t>
                  </w:r>
                  <w:r w:rsidR="0008154C">
                    <w:rPr>
                      <w:noProof/>
                    </w:rPr>
                    <w:t xml:space="preserve">, </w:t>
                  </w:r>
                  <w:r>
                    <w:rPr>
                      <w:i/>
                      <w:iCs/>
                      <w:noProof/>
                    </w:rPr>
                    <w:t xml:space="preserve">Introduction to accounting: An integrated approach. </w:t>
                  </w:r>
                  <w:r>
                    <w:rPr>
                      <w:noProof/>
                    </w:rPr>
                    <w:t>s.l.:John Wiley &amp; Sons.</w:t>
                  </w:r>
                </w:p>
                <w:p w14:paraId="5B937842" w14:textId="61E238BE" w:rsidR="00FD6C4E" w:rsidRDefault="00FD6C4E" w:rsidP="00FD6C4E">
                  <w:pPr>
                    <w:pStyle w:val="Bibliography"/>
                    <w:rPr>
                      <w:noProof/>
                    </w:rPr>
                  </w:pPr>
                  <w:r>
                    <w:rPr>
                      <w:noProof/>
                    </w:rPr>
                    <w:t>Aithal, P. &amp; Aithal, S.</w:t>
                  </w:r>
                  <w:r w:rsidR="00AE5959">
                    <w:rPr>
                      <w:noProof/>
                    </w:rPr>
                    <w:t>(</w:t>
                  </w:r>
                  <w:r>
                    <w:rPr>
                      <w:noProof/>
                    </w:rPr>
                    <w:t>2023</w:t>
                  </w:r>
                  <w:r w:rsidR="00AE5959">
                    <w:rPr>
                      <w:noProof/>
                    </w:rPr>
                    <w:t>)</w:t>
                  </w:r>
                  <w:r w:rsidR="0008154C">
                    <w:rPr>
                      <w:noProof/>
                    </w:rPr>
                    <w:t>,</w:t>
                  </w:r>
                  <w:r>
                    <w:rPr>
                      <w:noProof/>
                    </w:rPr>
                    <w:t xml:space="preserve"> Key Performance Indicators (KPI) for Researchers at Different Levels &amp; Strategies to Achieve it. </w:t>
                  </w:r>
                  <w:r>
                    <w:rPr>
                      <w:i/>
                      <w:iCs/>
                      <w:noProof/>
                    </w:rPr>
                    <w:t xml:space="preserve">International Journal of Management, Technology, and Social Sciences (IJMTS), </w:t>
                  </w:r>
                  <w:r>
                    <w:rPr>
                      <w:noProof/>
                    </w:rPr>
                    <w:t>8(3), pp. 294-325.</w:t>
                  </w:r>
                </w:p>
                <w:p w14:paraId="437953DE" w14:textId="7391AC38" w:rsidR="00FD6C4E" w:rsidRDefault="00FD6C4E" w:rsidP="00FD6C4E">
                  <w:pPr>
                    <w:pStyle w:val="Bibliography"/>
                    <w:rPr>
                      <w:noProof/>
                    </w:rPr>
                  </w:pPr>
                  <w:r>
                    <w:rPr>
                      <w:noProof/>
                    </w:rPr>
                    <w:t>Al-attara, H. A., Mashkourb, S. C. &amp; Hassanc, M. G.</w:t>
                  </w:r>
                  <w:r w:rsidR="00AE5959">
                    <w:rPr>
                      <w:noProof/>
                    </w:rPr>
                    <w:t>(</w:t>
                  </w:r>
                  <w:r>
                    <w:rPr>
                      <w:noProof/>
                    </w:rPr>
                    <w:t>2020</w:t>
                  </w:r>
                  <w:r w:rsidR="00AE5959">
                    <w:rPr>
                      <w:noProof/>
                    </w:rPr>
                    <w:t>)</w:t>
                  </w:r>
                  <w:r w:rsidR="0008154C">
                    <w:rPr>
                      <w:noProof/>
                    </w:rPr>
                    <w:t xml:space="preserve">, </w:t>
                  </w:r>
                  <w:r>
                    <w:rPr>
                      <w:noProof/>
                    </w:rPr>
                    <w:t xml:space="preserve">Zero-based budget system and its active role in choosing the best alternative to rationalise government spending. </w:t>
                  </w:r>
                  <w:r>
                    <w:rPr>
                      <w:i/>
                      <w:iCs/>
                      <w:noProof/>
                    </w:rPr>
                    <w:t xml:space="preserve">International journal of innovation, creativity and change, </w:t>
                  </w:r>
                  <w:r>
                    <w:rPr>
                      <w:noProof/>
                    </w:rPr>
                    <w:t>13(9), pp. 244-265.</w:t>
                  </w:r>
                </w:p>
                <w:p w14:paraId="209347F6" w14:textId="244D0F06" w:rsidR="00FD6C4E" w:rsidRDefault="00FD6C4E" w:rsidP="00FD6C4E">
                  <w:pPr>
                    <w:pStyle w:val="Bibliography"/>
                    <w:rPr>
                      <w:noProof/>
                    </w:rPr>
                  </w:pPr>
                  <w:r>
                    <w:rPr>
                      <w:noProof/>
                    </w:rPr>
                    <w:t>Awaysheh, A., Heron, R. A., Perry, T. &amp; Wilson, J. I.</w:t>
                  </w:r>
                  <w:r w:rsidR="0008154C">
                    <w:rPr>
                      <w:noProof/>
                    </w:rPr>
                    <w:t xml:space="preserve"> (</w:t>
                  </w:r>
                  <w:r>
                    <w:rPr>
                      <w:noProof/>
                    </w:rPr>
                    <w:t>2020</w:t>
                  </w:r>
                  <w:r w:rsidR="0008154C">
                    <w:rPr>
                      <w:noProof/>
                    </w:rPr>
                    <w:t>)</w:t>
                  </w:r>
                  <w:r w:rsidR="005C6E55">
                    <w:rPr>
                      <w:noProof/>
                    </w:rPr>
                    <w:t>,</w:t>
                  </w:r>
                  <w:r>
                    <w:rPr>
                      <w:noProof/>
                    </w:rPr>
                    <w:t xml:space="preserve"> On the relation between corporate social responsibility and financial performance. </w:t>
                  </w:r>
                  <w:r>
                    <w:rPr>
                      <w:i/>
                      <w:iCs/>
                      <w:noProof/>
                    </w:rPr>
                    <w:t xml:space="preserve">Strategic Management Journal, </w:t>
                  </w:r>
                  <w:r>
                    <w:rPr>
                      <w:noProof/>
                    </w:rPr>
                    <w:t>41(4), pp. 965-987.</w:t>
                  </w:r>
                </w:p>
                <w:p w14:paraId="4D3C79D0" w14:textId="72C1D77A" w:rsidR="00FD6C4E" w:rsidRDefault="00FD6C4E" w:rsidP="00FD6C4E">
                  <w:pPr>
                    <w:pStyle w:val="Bibliography"/>
                    <w:rPr>
                      <w:noProof/>
                    </w:rPr>
                  </w:pPr>
                  <w:r>
                    <w:rPr>
                      <w:noProof/>
                    </w:rPr>
                    <w:t>Batt, C., Rikhardsson, P. &amp; Karlsson, T</w:t>
                  </w:r>
                  <w:r w:rsidR="00551E6A">
                    <w:rPr>
                      <w:noProof/>
                    </w:rPr>
                    <w:t>, (</w:t>
                  </w:r>
                  <w:r>
                    <w:rPr>
                      <w:noProof/>
                    </w:rPr>
                    <w:t>2021</w:t>
                  </w:r>
                  <w:r w:rsidR="00551E6A">
                    <w:rPr>
                      <w:noProof/>
                    </w:rPr>
                    <w:t>)</w:t>
                  </w:r>
                  <w:r w:rsidR="005C6E55">
                    <w:rPr>
                      <w:noProof/>
                    </w:rPr>
                    <w:t>,</w:t>
                  </w:r>
                  <w:r>
                    <w:rPr>
                      <w:noProof/>
                    </w:rPr>
                    <w:t xml:space="preserve"> Exploring the impact of organizational context on budgeting. </w:t>
                  </w:r>
                  <w:r>
                    <w:rPr>
                      <w:i/>
                      <w:iCs/>
                      <w:noProof/>
                    </w:rPr>
                    <w:t xml:space="preserve">Corporate Ownership and Control, </w:t>
                  </w:r>
                  <w:r>
                    <w:rPr>
                      <w:noProof/>
                    </w:rPr>
                    <w:t>18(4), pp. 134-151.</w:t>
                  </w:r>
                </w:p>
                <w:p w14:paraId="241A0B6A" w14:textId="5A9F3077" w:rsidR="00FD6C4E" w:rsidRDefault="00FD6C4E" w:rsidP="00FD6C4E">
                  <w:pPr>
                    <w:pStyle w:val="Bibliography"/>
                    <w:rPr>
                      <w:noProof/>
                    </w:rPr>
                  </w:pPr>
                  <w:r>
                    <w:rPr>
                      <w:noProof/>
                    </w:rPr>
                    <w:t>Bergmann, M., Brück, C., Knauer, T. &amp; Schwering, A.</w:t>
                  </w:r>
                  <w:r w:rsidR="00551E6A">
                    <w:rPr>
                      <w:noProof/>
                    </w:rPr>
                    <w:t xml:space="preserve"> (</w:t>
                  </w:r>
                  <w:r>
                    <w:rPr>
                      <w:noProof/>
                    </w:rPr>
                    <w:t>2020</w:t>
                  </w:r>
                  <w:r w:rsidR="00551E6A">
                    <w:rPr>
                      <w:noProof/>
                    </w:rPr>
                    <w:t xml:space="preserve">), </w:t>
                  </w:r>
                  <w:r>
                    <w:rPr>
                      <w:noProof/>
                    </w:rPr>
                    <w:t xml:space="preserve">Digitization of the budgeting process: determinants of the use of business analytics and its effect on satisfaction with the budgeting process. </w:t>
                  </w:r>
                  <w:r>
                    <w:rPr>
                      <w:i/>
                      <w:iCs/>
                      <w:noProof/>
                    </w:rPr>
                    <w:t xml:space="preserve">Journal of Management Control, </w:t>
                  </w:r>
                  <w:r>
                    <w:rPr>
                      <w:noProof/>
                    </w:rPr>
                    <w:t>31(1), pp. 25-54.</w:t>
                  </w:r>
                </w:p>
                <w:p w14:paraId="163495BC" w14:textId="322804F0" w:rsidR="00FD6C4E" w:rsidRDefault="00FD6C4E" w:rsidP="00FD6C4E">
                  <w:pPr>
                    <w:pStyle w:val="Bibliography"/>
                    <w:rPr>
                      <w:noProof/>
                    </w:rPr>
                  </w:pPr>
                  <w:r>
                    <w:rPr>
                      <w:noProof/>
                    </w:rPr>
                    <w:t>Biddle, G. C., Ma, M. L. &amp; Song, F. M.</w:t>
                  </w:r>
                  <w:r w:rsidR="00551E6A">
                    <w:rPr>
                      <w:noProof/>
                    </w:rPr>
                    <w:t xml:space="preserve"> (</w:t>
                  </w:r>
                  <w:r>
                    <w:rPr>
                      <w:noProof/>
                    </w:rPr>
                    <w:t>202</w:t>
                  </w:r>
                  <w:r w:rsidR="00551E6A">
                    <w:rPr>
                      <w:noProof/>
                    </w:rPr>
                    <w:t>2),</w:t>
                  </w:r>
                  <w:r>
                    <w:rPr>
                      <w:noProof/>
                    </w:rPr>
                    <w:t xml:space="preserve"> Accounting conservatism and bankruptcy risk. </w:t>
                  </w:r>
                  <w:r>
                    <w:rPr>
                      <w:i/>
                      <w:iCs/>
                      <w:noProof/>
                    </w:rPr>
                    <w:t xml:space="preserve">Journal of Accounting, Auditing &amp; Finance, </w:t>
                  </w:r>
                  <w:r>
                    <w:rPr>
                      <w:noProof/>
                    </w:rPr>
                    <w:t>37(2), pp. 295-323.</w:t>
                  </w:r>
                </w:p>
                <w:p w14:paraId="7A6117EC" w14:textId="16E5A272" w:rsidR="00FD6C4E" w:rsidRDefault="00FD6C4E" w:rsidP="00FD6C4E">
                  <w:pPr>
                    <w:pStyle w:val="Bibliography"/>
                    <w:rPr>
                      <w:noProof/>
                    </w:rPr>
                  </w:pPr>
                  <w:r>
                    <w:rPr>
                      <w:noProof/>
                    </w:rPr>
                    <w:t>biz.libretexts.org</w:t>
                  </w:r>
                  <w:r w:rsidR="00551E6A">
                    <w:rPr>
                      <w:noProof/>
                    </w:rPr>
                    <w:t>. (</w:t>
                  </w:r>
                  <w:r>
                    <w:rPr>
                      <w:noProof/>
                    </w:rPr>
                    <w:t>2024</w:t>
                  </w:r>
                  <w:r w:rsidR="00551E6A">
                    <w:rPr>
                      <w:noProof/>
                    </w:rPr>
                    <w:t>),</w:t>
                  </w:r>
                  <w:r>
                    <w:rPr>
                      <w:noProof/>
                    </w:rPr>
                    <w:t xml:space="preserve"> </w:t>
                  </w:r>
                  <w:r>
                    <w:rPr>
                      <w:i/>
                      <w:iCs/>
                      <w:noProof/>
                    </w:rPr>
                    <w:t xml:space="preserve">7.3: Introduction to Budgeting and Budgeting Processes. </w:t>
                  </w:r>
                  <w:r>
                    <w:rPr>
                      <w:noProof/>
                    </w:rPr>
                    <w:t xml:space="preserve">[Online] </w:t>
                  </w:r>
                  <w:r>
                    <w:rPr>
                      <w:noProof/>
                    </w:rPr>
                    <w:br/>
                    <w:t xml:space="preserve">Available at: </w:t>
                  </w:r>
                  <w:r>
                    <w:rPr>
                      <w:noProof/>
                      <w:u w:val="single"/>
                    </w:rPr>
                    <w:t>https://biz.libretexts.org/Bookshelves/Accounting/Managerial_Accounting_(Lumen)/07%3A_Budgeting/7.03%3A_Introduction_to_Budgeting_and_Budgeting_Processes</w:t>
                  </w:r>
                  <w:r>
                    <w:rPr>
                      <w:noProof/>
                    </w:rPr>
                    <w:br/>
                    <w:t>[Accessed 22 March 2024].</w:t>
                  </w:r>
                </w:p>
                <w:p w14:paraId="79DFB5A3" w14:textId="7A13F2A9" w:rsidR="00FD6C4E" w:rsidRDefault="00FD6C4E" w:rsidP="00FD6C4E">
                  <w:pPr>
                    <w:pStyle w:val="Bibliography"/>
                    <w:rPr>
                      <w:noProof/>
                    </w:rPr>
                  </w:pPr>
                  <w:r>
                    <w:rPr>
                      <w:noProof/>
                    </w:rPr>
                    <w:t>Boadway, R. &amp; Flatters, F.</w:t>
                  </w:r>
                  <w:r w:rsidR="00551E6A">
                    <w:rPr>
                      <w:noProof/>
                    </w:rPr>
                    <w:t xml:space="preserve"> (</w:t>
                  </w:r>
                  <w:r>
                    <w:rPr>
                      <w:noProof/>
                    </w:rPr>
                    <w:t>2023</w:t>
                  </w:r>
                  <w:r w:rsidR="00551E6A">
                    <w:rPr>
                      <w:noProof/>
                    </w:rPr>
                    <w:t>),</w:t>
                  </w:r>
                  <w:r>
                    <w:rPr>
                      <w:noProof/>
                    </w:rPr>
                    <w:t xml:space="preserve"> The taxation of natural resources: principles and policy issues. In: </w:t>
                  </w:r>
                  <w:r>
                    <w:rPr>
                      <w:i/>
                      <w:iCs/>
                      <w:noProof/>
                    </w:rPr>
                    <w:t xml:space="preserve">Taxing choices for managing natural resources, the environment, and global climate change: Fiscal systems reform perspectives . </w:t>
                  </w:r>
                  <w:r>
                    <w:rPr>
                      <w:noProof/>
                    </w:rPr>
                    <w:t>s.l.:Cham:Springer International Publishing, pp. 17-81.</w:t>
                  </w:r>
                </w:p>
                <w:p w14:paraId="164826A1" w14:textId="1554AC3C" w:rsidR="00FD6C4E" w:rsidRDefault="00FD6C4E" w:rsidP="00FD6C4E">
                  <w:pPr>
                    <w:pStyle w:val="Bibliography"/>
                    <w:rPr>
                      <w:noProof/>
                    </w:rPr>
                  </w:pPr>
                  <w:r>
                    <w:rPr>
                      <w:noProof/>
                    </w:rPr>
                    <w:t>Bradshaw, M., Liao, G. &amp; Ma, M. S.</w:t>
                  </w:r>
                  <w:r w:rsidR="00551E6A">
                    <w:rPr>
                      <w:noProof/>
                    </w:rPr>
                    <w:t xml:space="preserve"> (</w:t>
                  </w:r>
                  <w:r>
                    <w:rPr>
                      <w:noProof/>
                    </w:rPr>
                    <w:t>2019</w:t>
                  </w:r>
                  <w:r w:rsidR="00551E6A">
                    <w:rPr>
                      <w:noProof/>
                    </w:rPr>
                    <w:t xml:space="preserve">), </w:t>
                  </w:r>
                  <w:r>
                    <w:rPr>
                      <w:noProof/>
                    </w:rPr>
                    <w:t xml:space="preserve">Agency costs and tax planning when the government is a major shareholder. </w:t>
                  </w:r>
                  <w:r>
                    <w:rPr>
                      <w:i/>
                      <w:iCs/>
                      <w:noProof/>
                    </w:rPr>
                    <w:t xml:space="preserve">Journal of Accounting and Economics, </w:t>
                  </w:r>
                  <w:r>
                    <w:rPr>
                      <w:noProof/>
                    </w:rPr>
                    <w:t>67(2-3), pp. 255-277.</w:t>
                  </w:r>
                </w:p>
                <w:p w14:paraId="68FE9E11" w14:textId="1A46C2CC" w:rsidR="00FD6C4E" w:rsidRDefault="00FD6C4E" w:rsidP="00FD6C4E">
                  <w:pPr>
                    <w:pStyle w:val="Bibliography"/>
                    <w:rPr>
                      <w:noProof/>
                    </w:rPr>
                  </w:pPr>
                  <w:r>
                    <w:rPr>
                      <w:noProof/>
                    </w:rPr>
                    <w:lastRenderedPageBreak/>
                    <w:t>Bruns, W. J. &amp; Waterhouse, J. H.</w:t>
                  </w:r>
                  <w:r w:rsidR="00304041">
                    <w:rPr>
                      <w:noProof/>
                    </w:rPr>
                    <w:t xml:space="preserve"> </w:t>
                  </w:r>
                  <w:r>
                    <w:rPr>
                      <w:noProof/>
                    </w:rPr>
                    <w:t>1975</w:t>
                  </w:r>
                  <w:r w:rsidR="00304041">
                    <w:rPr>
                      <w:noProof/>
                    </w:rPr>
                    <w:t>),</w:t>
                  </w:r>
                  <w:r>
                    <w:rPr>
                      <w:noProof/>
                    </w:rPr>
                    <w:t xml:space="preserve">Budgetary control and organization structure. </w:t>
                  </w:r>
                  <w:r>
                    <w:rPr>
                      <w:i/>
                      <w:iCs/>
                      <w:noProof/>
                    </w:rPr>
                    <w:t xml:space="preserve">Journal of accounting research , </w:t>
                  </w:r>
                  <w:r>
                    <w:rPr>
                      <w:noProof/>
                    </w:rPr>
                    <w:t>pp. 177-203.</w:t>
                  </w:r>
                </w:p>
                <w:p w14:paraId="0B02D921" w14:textId="39A57A8C" w:rsidR="00FD6C4E" w:rsidRDefault="00FD6C4E" w:rsidP="00FD6C4E">
                  <w:pPr>
                    <w:pStyle w:val="Bibliography"/>
                    <w:rPr>
                      <w:noProof/>
                    </w:rPr>
                  </w:pPr>
                  <w:r>
                    <w:rPr>
                      <w:noProof/>
                    </w:rPr>
                    <w:t>BUDGETING, I.</w:t>
                  </w:r>
                  <w:r w:rsidR="00EE6E25">
                    <w:rPr>
                      <w:noProof/>
                    </w:rPr>
                    <w:t xml:space="preserve"> (</w:t>
                  </w:r>
                  <w:r>
                    <w:rPr>
                      <w:noProof/>
                    </w:rPr>
                    <w:t>2024</w:t>
                  </w:r>
                  <w:r w:rsidR="00EE6E25">
                    <w:rPr>
                      <w:noProof/>
                    </w:rPr>
                    <w:t xml:space="preserve">), </w:t>
                  </w:r>
                  <w:r>
                    <w:rPr>
                      <w:noProof/>
                    </w:rPr>
                    <w:t xml:space="preserve">Comparing Budgeting Techniques. </w:t>
                  </w:r>
                </w:p>
                <w:p w14:paraId="0750907F" w14:textId="517EA5B4" w:rsidR="00FD6C4E" w:rsidRDefault="00FD6C4E" w:rsidP="00FD6C4E">
                  <w:pPr>
                    <w:pStyle w:val="Bibliography"/>
                    <w:rPr>
                      <w:noProof/>
                    </w:rPr>
                  </w:pPr>
                  <w:r>
                    <w:rPr>
                      <w:noProof/>
                    </w:rPr>
                    <w:t>Buttle, F. &amp; Maklan, S.</w:t>
                  </w:r>
                  <w:r w:rsidR="00EE6E25">
                    <w:rPr>
                      <w:noProof/>
                    </w:rPr>
                    <w:t xml:space="preserve"> (</w:t>
                  </w:r>
                  <w:r>
                    <w:rPr>
                      <w:noProof/>
                    </w:rPr>
                    <w:t>2019</w:t>
                  </w:r>
                  <w:r w:rsidR="00EE6E25">
                    <w:rPr>
                      <w:noProof/>
                    </w:rPr>
                    <w:t xml:space="preserve">), </w:t>
                  </w:r>
                  <w:r>
                    <w:rPr>
                      <w:i/>
                      <w:iCs/>
                      <w:noProof/>
                    </w:rPr>
                    <w:t xml:space="preserve">Customer relationship management: concepts and technologies. </w:t>
                  </w:r>
                  <w:r>
                    <w:rPr>
                      <w:noProof/>
                    </w:rPr>
                    <w:t>s.l.:Routledge.</w:t>
                  </w:r>
                </w:p>
                <w:p w14:paraId="38C412E2" w14:textId="0B8574B3" w:rsidR="00FD6C4E" w:rsidRDefault="00FD6C4E" w:rsidP="00FD6C4E">
                  <w:pPr>
                    <w:pStyle w:val="Bibliography"/>
                    <w:rPr>
                      <w:noProof/>
                    </w:rPr>
                  </w:pPr>
                  <w:r>
                    <w:rPr>
                      <w:noProof/>
                    </w:rPr>
                    <w:t>cfajournal.org</w:t>
                  </w:r>
                  <w:r w:rsidR="00EE6E25">
                    <w:rPr>
                      <w:noProof/>
                    </w:rPr>
                    <w:t>. (</w:t>
                  </w:r>
                  <w:r>
                    <w:rPr>
                      <w:noProof/>
                    </w:rPr>
                    <w:t>2024</w:t>
                  </w:r>
                  <w:r w:rsidR="00EE6E25">
                    <w:rPr>
                      <w:noProof/>
                    </w:rPr>
                    <w:t>),</w:t>
                  </w:r>
                  <w:r>
                    <w:rPr>
                      <w:i/>
                      <w:iCs/>
                      <w:noProof/>
                    </w:rPr>
                    <w:t xml:space="preserve">ACTIVITY-BASED BUDGETING: MEANING, ADVANTAGES, AND DISADVANTAGES. </w:t>
                  </w:r>
                  <w:r>
                    <w:rPr>
                      <w:noProof/>
                    </w:rPr>
                    <w:t xml:space="preserve">[Online] </w:t>
                  </w:r>
                  <w:r>
                    <w:rPr>
                      <w:noProof/>
                    </w:rPr>
                    <w:br/>
                    <w:t xml:space="preserve">Available at: </w:t>
                  </w:r>
                  <w:r>
                    <w:rPr>
                      <w:noProof/>
                      <w:u w:val="single"/>
                    </w:rPr>
                    <w:t>https://www.cfajournal.org/activity-based-budgeting/</w:t>
                  </w:r>
                  <w:r>
                    <w:rPr>
                      <w:noProof/>
                    </w:rPr>
                    <w:br/>
                    <w:t>[Accessed 24 March 2024].</w:t>
                  </w:r>
                </w:p>
                <w:p w14:paraId="55152B29" w14:textId="19243C34" w:rsidR="00FD6C4E" w:rsidRDefault="00FD6C4E" w:rsidP="00FD6C4E">
                  <w:pPr>
                    <w:pStyle w:val="Bibliography"/>
                    <w:rPr>
                      <w:noProof/>
                    </w:rPr>
                  </w:pPr>
                  <w:r>
                    <w:rPr>
                      <w:noProof/>
                    </w:rPr>
                    <w:t>da Silva, A. F., Fernandez-Feijoo, B. &amp; Susana, G.</w:t>
                  </w:r>
                  <w:r w:rsidR="00EE6E25">
                    <w:rPr>
                      <w:noProof/>
                    </w:rPr>
                    <w:t xml:space="preserve"> (</w:t>
                  </w:r>
                  <w:r>
                    <w:rPr>
                      <w:noProof/>
                    </w:rPr>
                    <w:t>2020</w:t>
                  </w:r>
                  <w:r w:rsidR="00EE6E25">
                    <w:rPr>
                      <w:noProof/>
                    </w:rPr>
                    <w:t>),</w:t>
                  </w:r>
                  <w:r>
                    <w:rPr>
                      <w:noProof/>
                    </w:rPr>
                    <w:t xml:space="preserve"> Accounting information tools in managerial clinical service decision-making processes: Evidence from Portuguese public hospitals. </w:t>
                  </w:r>
                  <w:r>
                    <w:rPr>
                      <w:i/>
                      <w:iCs/>
                      <w:noProof/>
                    </w:rPr>
                    <w:t xml:space="preserve">International Public Management Journal 23, no. 4 (2020): 535-563., </w:t>
                  </w:r>
                  <w:r>
                    <w:rPr>
                      <w:noProof/>
                    </w:rPr>
                    <w:t>23(4), pp. 535-563.</w:t>
                  </w:r>
                </w:p>
                <w:p w14:paraId="2825B38A" w14:textId="3C98E7F9" w:rsidR="00FD6C4E" w:rsidRDefault="00FD6C4E" w:rsidP="00FD6C4E">
                  <w:pPr>
                    <w:pStyle w:val="Bibliography"/>
                    <w:rPr>
                      <w:noProof/>
                    </w:rPr>
                  </w:pPr>
                  <w:r>
                    <w:rPr>
                      <w:noProof/>
                    </w:rPr>
                    <w:t>de Azevedo, R. R., Cardoso, R. L., da Cunha, A. S. M. &amp; Wampler, B.</w:t>
                  </w:r>
                  <w:r w:rsidR="00EE6E25">
                    <w:rPr>
                      <w:noProof/>
                    </w:rPr>
                    <w:t xml:space="preserve"> (</w:t>
                  </w:r>
                  <w:r>
                    <w:rPr>
                      <w:noProof/>
                    </w:rPr>
                    <w:t>2022</w:t>
                  </w:r>
                  <w:r w:rsidR="00EE6E25">
                    <w:rPr>
                      <w:noProof/>
                    </w:rPr>
                    <w:t>),</w:t>
                  </w:r>
                  <w:r>
                    <w:rPr>
                      <w:noProof/>
                    </w:rPr>
                    <w:t xml:space="preserve"> Participatory budgeting and budget dynamics in the public sector. Revista de Contabilidade e Organizações, 16.. </w:t>
                  </w:r>
                  <w:r>
                    <w:rPr>
                      <w:i/>
                      <w:iCs/>
                      <w:noProof/>
                    </w:rPr>
                    <w:t xml:space="preserve">Revista de Contabilidade e Organizações, </w:t>
                  </w:r>
                  <w:r>
                    <w:rPr>
                      <w:noProof/>
                    </w:rPr>
                    <w:t>Volume 16.</w:t>
                  </w:r>
                </w:p>
                <w:p w14:paraId="49658156" w14:textId="4E2CE1A4" w:rsidR="00FD6C4E" w:rsidRDefault="00FD6C4E" w:rsidP="00FD6C4E">
                  <w:pPr>
                    <w:pStyle w:val="Bibliography"/>
                    <w:rPr>
                      <w:noProof/>
                    </w:rPr>
                  </w:pPr>
                  <w:r>
                    <w:rPr>
                      <w:noProof/>
                    </w:rPr>
                    <w:t>Dokulil, J., Popesko, B. &amp; Dvorský, J.</w:t>
                  </w:r>
                  <w:r w:rsidR="00EE6E25">
                    <w:rPr>
                      <w:noProof/>
                    </w:rPr>
                    <w:t xml:space="preserve"> (</w:t>
                  </w:r>
                  <w:r>
                    <w:rPr>
                      <w:noProof/>
                    </w:rPr>
                    <w:t>2020</w:t>
                  </w:r>
                  <w:r w:rsidR="00EE6E25">
                    <w:rPr>
                      <w:noProof/>
                    </w:rPr>
                    <w:t>),</w:t>
                  </w:r>
                  <w:r>
                    <w:rPr>
                      <w:noProof/>
                    </w:rPr>
                    <w:t xml:space="preserve"> The budgeting processes of Czech companies: the role of the ownership structure and foreign capital. </w:t>
                  </w:r>
                  <w:r>
                    <w:rPr>
                      <w:i/>
                      <w:iCs/>
                      <w:noProof/>
                    </w:rPr>
                    <w:t>"Oeconomia Copernicana.</w:t>
                  </w:r>
                </w:p>
                <w:p w14:paraId="561F8FAA" w14:textId="428E66E1" w:rsidR="00FD6C4E" w:rsidRDefault="00FD6C4E" w:rsidP="00FD6C4E">
                  <w:pPr>
                    <w:pStyle w:val="Bibliography"/>
                    <w:rPr>
                      <w:noProof/>
                    </w:rPr>
                  </w:pPr>
                  <w:r>
                    <w:rPr>
                      <w:noProof/>
                    </w:rPr>
                    <w:t>Drury, C. &amp; Tayles, M.(2020)</w:t>
                  </w:r>
                  <w:r w:rsidR="00EE6E25">
                    <w:rPr>
                      <w:noProof/>
                    </w:rPr>
                    <w:t>,</w:t>
                  </w:r>
                  <w:r>
                    <w:rPr>
                      <w:noProof/>
                    </w:rPr>
                    <w:t xml:space="preserve"> </w:t>
                  </w:r>
                  <w:r>
                    <w:rPr>
                      <w:i/>
                      <w:iCs/>
                      <w:noProof/>
                    </w:rPr>
                    <w:t xml:space="preserve">Management and Cost Accounting. </w:t>
                  </w:r>
                  <w:r>
                    <w:rPr>
                      <w:noProof/>
                    </w:rPr>
                    <w:t>11 ed. Andover: Cengage Learning.</w:t>
                  </w:r>
                </w:p>
                <w:p w14:paraId="13D75B48" w14:textId="77777777" w:rsidR="00FD6C4E" w:rsidRDefault="00FD6C4E" w:rsidP="00FD6C4E">
                  <w:pPr>
                    <w:pStyle w:val="Bibliography"/>
                    <w:rPr>
                      <w:noProof/>
                    </w:rPr>
                  </w:pPr>
                  <w:r>
                    <w:rPr>
                      <w:noProof/>
                    </w:rPr>
                    <w:t xml:space="preserve">Duci, E., 2021. The relationship between management accounting, strategic management accounting and strategic cost management. </w:t>
                  </w:r>
                  <w:r>
                    <w:rPr>
                      <w:i/>
                      <w:iCs/>
                      <w:noProof/>
                    </w:rPr>
                    <w:t xml:space="preserve">Academic Journal of Interdisciplinary Studies, </w:t>
                  </w:r>
                  <w:r>
                    <w:rPr>
                      <w:noProof/>
                    </w:rPr>
                    <w:t>10(5), pp. 376-389.</w:t>
                  </w:r>
                </w:p>
                <w:p w14:paraId="47D5898F" w14:textId="77777777" w:rsidR="00FD6C4E" w:rsidRDefault="00FD6C4E" w:rsidP="00FD6C4E">
                  <w:pPr>
                    <w:pStyle w:val="Bibliography"/>
                    <w:rPr>
                      <w:noProof/>
                    </w:rPr>
                  </w:pPr>
                  <w:r>
                    <w:rPr>
                      <w:noProof/>
                    </w:rPr>
                    <w:t xml:space="preserve">Faccia, A. &amp; Mosteanu, N. R., 2019. Tax evasion, information systems and blockchain. </w:t>
                  </w:r>
                  <w:r>
                    <w:rPr>
                      <w:i/>
                      <w:iCs/>
                      <w:noProof/>
                    </w:rPr>
                    <w:t xml:space="preserve">Journal of Information Systems &amp; Operations Management, </w:t>
                  </w:r>
                  <w:r>
                    <w:rPr>
                      <w:noProof/>
                    </w:rPr>
                    <w:t>13(1), pp. 65-74.</w:t>
                  </w:r>
                </w:p>
                <w:p w14:paraId="660B19D3" w14:textId="77777777" w:rsidR="00FD6C4E" w:rsidRDefault="00FD6C4E" w:rsidP="00FD6C4E">
                  <w:pPr>
                    <w:pStyle w:val="Bibliography"/>
                    <w:rPr>
                      <w:noProof/>
                    </w:rPr>
                  </w:pPr>
                  <w:r>
                    <w:rPr>
                      <w:noProof/>
                    </w:rPr>
                    <w:t xml:space="preserve">FANTU, M., 2024. ASSESSMENT OF BUDGET PRACTICE IN NGO’S, IN THE CASE OF GRARBET TEHADISO MAHBER. </w:t>
                  </w:r>
                  <w:r>
                    <w:rPr>
                      <w:i/>
                      <w:iCs/>
                      <w:noProof/>
                    </w:rPr>
                    <w:t>PhD diss., St. Mary's University.</w:t>
                  </w:r>
                </w:p>
                <w:p w14:paraId="52EA9C8D" w14:textId="77777777" w:rsidR="00FD6C4E" w:rsidRDefault="00FD6C4E" w:rsidP="00FD6C4E">
                  <w:pPr>
                    <w:pStyle w:val="Bibliography"/>
                    <w:rPr>
                      <w:noProof/>
                    </w:rPr>
                  </w:pPr>
                  <w:r>
                    <w:rPr>
                      <w:noProof/>
                    </w:rPr>
                    <w:t xml:space="preserve">Faulkender, M. W., Hankins, K. W. &amp; Petersen, M. A., 2019. Understanding the rise in corporate cash: Precautionary savings or foreign taxes. </w:t>
                  </w:r>
                  <w:r>
                    <w:rPr>
                      <w:i/>
                      <w:iCs/>
                      <w:noProof/>
                    </w:rPr>
                    <w:t xml:space="preserve">The Review of Financial Studies, </w:t>
                  </w:r>
                  <w:r>
                    <w:rPr>
                      <w:noProof/>
                    </w:rPr>
                    <w:t>32(9), pp. 3299-3334.</w:t>
                  </w:r>
                </w:p>
                <w:p w14:paraId="0D84B274" w14:textId="77777777" w:rsidR="00FD6C4E" w:rsidRDefault="00FD6C4E" w:rsidP="00FD6C4E">
                  <w:pPr>
                    <w:pStyle w:val="Bibliography"/>
                    <w:rPr>
                      <w:noProof/>
                    </w:rPr>
                  </w:pPr>
                  <w:r>
                    <w:rPr>
                      <w:noProof/>
                    </w:rPr>
                    <w:t xml:space="preserve">Gantman, E. R., 2019. </w:t>
                  </w:r>
                  <w:r>
                    <w:rPr>
                      <w:i/>
                      <w:iCs/>
                      <w:noProof/>
                    </w:rPr>
                    <w:t xml:space="preserve">Capitalism, social privilege and managerial ideologies. </w:t>
                  </w:r>
                  <w:r>
                    <w:rPr>
                      <w:noProof/>
                    </w:rPr>
                    <w:t>s.l.:Routledge.</w:t>
                  </w:r>
                </w:p>
                <w:p w14:paraId="36BECED4" w14:textId="77777777" w:rsidR="00FD6C4E" w:rsidRDefault="00FD6C4E" w:rsidP="00FD6C4E">
                  <w:pPr>
                    <w:pStyle w:val="Bibliography"/>
                    <w:rPr>
                      <w:noProof/>
                    </w:rPr>
                  </w:pPr>
                  <w:r>
                    <w:rPr>
                      <w:noProof/>
                    </w:rPr>
                    <w:t xml:space="preserve">Ghorbani, A., 2023. A review of successful construction project managers’ competencies and leadership profile. </w:t>
                  </w:r>
                  <w:r>
                    <w:rPr>
                      <w:i/>
                      <w:iCs/>
                      <w:noProof/>
                    </w:rPr>
                    <w:t xml:space="preserve">Journal of Rehabilitation in Civil Engineering , </w:t>
                  </w:r>
                  <w:r>
                    <w:rPr>
                      <w:noProof/>
                    </w:rPr>
                    <w:t>11(1), pp. 76-95.</w:t>
                  </w:r>
                </w:p>
                <w:p w14:paraId="511167D1" w14:textId="77777777" w:rsidR="00FD6C4E" w:rsidRDefault="00FD6C4E" w:rsidP="00FD6C4E">
                  <w:pPr>
                    <w:pStyle w:val="Bibliography"/>
                    <w:rPr>
                      <w:noProof/>
                    </w:rPr>
                  </w:pPr>
                  <w:r>
                    <w:rPr>
                      <w:noProof/>
                    </w:rPr>
                    <w:t xml:space="preserve">Greenwalt, W. &amp; Patt, D., 2021. </w:t>
                  </w:r>
                  <w:r>
                    <w:rPr>
                      <w:i/>
                      <w:iCs/>
                      <w:noProof/>
                    </w:rPr>
                    <w:t xml:space="preserve">Competing in time: Ensuring capability advantage and mission success through adaptable resource allocation. </w:t>
                  </w:r>
                  <w:r>
                    <w:rPr>
                      <w:noProof/>
                    </w:rPr>
                    <w:t>s.l.:Hudson Institute.</w:t>
                  </w:r>
                </w:p>
                <w:p w14:paraId="23C89DBC" w14:textId="77777777" w:rsidR="00FD6C4E" w:rsidRDefault="00FD6C4E" w:rsidP="00FD6C4E">
                  <w:pPr>
                    <w:pStyle w:val="Bibliography"/>
                    <w:rPr>
                      <w:noProof/>
                    </w:rPr>
                  </w:pPr>
                  <w:r>
                    <w:rPr>
                      <w:noProof/>
                    </w:rPr>
                    <w:t xml:space="preserve">Hai, P. T. &amp; Quy, N. L. D., 2019. Effect of audit rotation, audit fee and auditor competence to motivation auditor and audit quality: Empirical evidence in Vietnam. </w:t>
                  </w:r>
                  <w:r>
                    <w:rPr>
                      <w:i/>
                      <w:iCs/>
                      <w:noProof/>
                    </w:rPr>
                    <w:t xml:space="preserve">Academy of Accounting and Financial Studies Journal, </w:t>
                  </w:r>
                  <w:r>
                    <w:rPr>
                      <w:noProof/>
                    </w:rPr>
                    <w:t>23(2), pp. 1-14.</w:t>
                  </w:r>
                </w:p>
                <w:p w14:paraId="625802D9" w14:textId="77777777" w:rsidR="00FD6C4E" w:rsidRDefault="00FD6C4E" w:rsidP="00FD6C4E">
                  <w:pPr>
                    <w:pStyle w:val="Bibliography"/>
                    <w:rPr>
                      <w:noProof/>
                    </w:rPr>
                  </w:pPr>
                  <w:r>
                    <w:rPr>
                      <w:noProof/>
                    </w:rPr>
                    <w:t xml:space="preserve">Hakelberg, L., 2020. </w:t>
                  </w:r>
                  <w:r>
                    <w:rPr>
                      <w:i/>
                      <w:iCs/>
                      <w:noProof/>
                    </w:rPr>
                    <w:t xml:space="preserve">The hypocritical hegemon: How the United States shapes global rules against tax evasion and avoidance. </w:t>
                  </w:r>
                  <w:r>
                    <w:rPr>
                      <w:noProof/>
                    </w:rPr>
                    <w:t>s.l.:Cornell University Press.</w:t>
                  </w:r>
                </w:p>
                <w:p w14:paraId="65721898" w14:textId="77777777" w:rsidR="00FD6C4E" w:rsidRDefault="00FD6C4E" w:rsidP="00FD6C4E">
                  <w:pPr>
                    <w:pStyle w:val="Bibliography"/>
                    <w:rPr>
                      <w:noProof/>
                    </w:rPr>
                  </w:pPr>
                  <w:r>
                    <w:rPr>
                      <w:noProof/>
                    </w:rPr>
                    <w:t xml:space="preserve">Hansen, S., 2011. A theoretical analysis of the impact of adopting rolling budgets, activity-based budgeting and beyond budgeting. </w:t>
                  </w:r>
                  <w:r>
                    <w:rPr>
                      <w:i/>
                      <w:iCs/>
                      <w:noProof/>
                    </w:rPr>
                    <w:t xml:space="preserve">European Accounting Review, </w:t>
                  </w:r>
                  <w:r>
                    <w:rPr>
                      <w:noProof/>
                    </w:rPr>
                    <w:t>20(2), pp. 289-319.</w:t>
                  </w:r>
                </w:p>
                <w:p w14:paraId="65267049" w14:textId="77777777" w:rsidR="00FD6C4E" w:rsidRDefault="00FD6C4E" w:rsidP="00FD6C4E">
                  <w:pPr>
                    <w:pStyle w:val="Bibliography"/>
                    <w:rPr>
                      <w:noProof/>
                    </w:rPr>
                  </w:pPr>
                  <w:r>
                    <w:rPr>
                      <w:noProof/>
                    </w:rPr>
                    <w:lastRenderedPageBreak/>
                    <w:t xml:space="preserve">Hope, J. &amp; Fraser, R., 2003. New Ways of Setting Rewards: The Beyond Budgeting Model. </w:t>
                  </w:r>
                  <w:r>
                    <w:rPr>
                      <w:i/>
                      <w:iCs/>
                      <w:noProof/>
                    </w:rPr>
                    <w:t xml:space="preserve">California Management Review, </w:t>
                  </w:r>
                  <w:r>
                    <w:rPr>
                      <w:noProof/>
                    </w:rPr>
                    <w:t>45(4), pp. 104-119.</w:t>
                  </w:r>
                </w:p>
                <w:p w14:paraId="0EAE7E09" w14:textId="77777777" w:rsidR="00FD6C4E" w:rsidRDefault="00FD6C4E" w:rsidP="00FD6C4E">
                  <w:pPr>
                    <w:pStyle w:val="Bibliography"/>
                    <w:rPr>
                      <w:noProof/>
                    </w:rPr>
                  </w:pPr>
                  <w:r>
                    <w:rPr>
                      <w:noProof/>
                    </w:rPr>
                    <w:t xml:space="preserve">hypergene.com, 2024. </w:t>
                  </w:r>
                  <w:r>
                    <w:rPr>
                      <w:i/>
                      <w:iCs/>
                      <w:noProof/>
                    </w:rPr>
                    <w:t xml:space="preserve">Beyond Budgeting – Principles, Definition, and Requirements. </w:t>
                  </w:r>
                  <w:r>
                    <w:rPr>
                      <w:noProof/>
                    </w:rPr>
                    <w:t xml:space="preserve">[Online] </w:t>
                  </w:r>
                  <w:r>
                    <w:rPr>
                      <w:noProof/>
                    </w:rPr>
                    <w:br/>
                    <w:t xml:space="preserve">Available at: </w:t>
                  </w:r>
                  <w:r>
                    <w:rPr>
                      <w:noProof/>
                      <w:u w:val="single"/>
                    </w:rPr>
                    <w:t>https://www.hypergene.com/resources/blog/beyond-budgeting-principles-definition-and-requirements/</w:t>
                  </w:r>
                  <w:r>
                    <w:rPr>
                      <w:noProof/>
                    </w:rPr>
                    <w:br/>
                    <w:t>[Accessed 06 April 2024].</w:t>
                  </w:r>
                </w:p>
                <w:p w14:paraId="5725C6C1" w14:textId="77777777" w:rsidR="00FD6C4E" w:rsidRDefault="00FD6C4E" w:rsidP="00FD6C4E">
                  <w:pPr>
                    <w:pStyle w:val="Bibliography"/>
                    <w:rPr>
                      <w:noProof/>
                    </w:rPr>
                  </w:pPr>
                  <w:r>
                    <w:rPr>
                      <w:noProof/>
                    </w:rPr>
                    <w:t xml:space="preserve">inspiredeconomist.com, 2023. </w:t>
                  </w:r>
                  <w:r>
                    <w:rPr>
                      <w:i/>
                      <w:iCs/>
                      <w:noProof/>
                    </w:rPr>
                    <w:t xml:space="preserve">Budget Variance Analysis: A Detailed Overview on Financial Performance Measurement. </w:t>
                  </w:r>
                  <w:r>
                    <w:rPr>
                      <w:noProof/>
                    </w:rPr>
                    <w:t xml:space="preserve">[Online] </w:t>
                  </w:r>
                  <w:r>
                    <w:rPr>
                      <w:noProof/>
                    </w:rPr>
                    <w:br/>
                    <w:t xml:space="preserve">Available at: </w:t>
                  </w:r>
                  <w:r>
                    <w:rPr>
                      <w:noProof/>
                      <w:u w:val="single"/>
                    </w:rPr>
                    <w:t>https://inspiredeconomist.com/articles/budget-variance-analysis/</w:t>
                  </w:r>
                  <w:r>
                    <w:rPr>
                      <w:noProof/>
                    </w:rPr>
                    <w:br/>
                    <w:t>[Accessed 24 March 2024].</w:t>
                  </w:r>
                </w:p>
                <w:p w14:paraId="5F46CFC0" w14:textId="77777777" w:rsidR="00FD6C4E" w:rsidRDefault="00FD6C4E" w:rsidP="00FD6C4E">
                  <w:pPr>
                    <w:pStyle w:val="Bibliography"/>
                    <w:rPr>
                      <w:noProof/>
                    </w:rPr>
                  </w:pPr>
                  <w:r>
                    <w:rPr>
                      <w:noProof/>
                    </w:rPr>
                    <w:t xml:space="preserve">intellipaat.com, 2024. </w:t>
                  </w:r>
                  <w:r>
                    <w:rPr>
                      <w:i/>
                      <w:iCs/>
                      <w:noProof/>
                    </w:rPr>
                    <w:t xml:space="preserve">What is Management Accounting?. </w:t>
                  </w:r>
                  <w:r>
                    <w:rPr>
                      <w:noProof/>
                    </w:rPr>
                    <w:t xml:space="preserve">[Online] </w:t>
                  </w:r>
                  <w:r>
                    <w:rPr>
                      <w:noProof/>
                    </w:rPr>
                    <w:br/>
                    <w:t xml:space="preserve">Available at: </w:t>
                  </w:r>
                  <w:r>
                    <w:rPr>
                      <w:noProof/>
                      <w:u w:val="single"/>
                    </w:rPr>
                    <w:t>https://intellipaat.com/blog/what-is-management-accounting/</w:t>
                  </w:r>
                  <w:r>
                    <w:rPr>
                      <w:noProof/>
                    </w:rPr>
                    <w:br/>
                    <w:t>[Accessed 22 March 2024].</w:t>
                  </w:r>
                </w:p>
                <w:p w14:paraId="3A9CD955" w14:textId="77777777" w:rsidR="00FD6C4E" w:rsidRDefault="00FD6C4E" w:rsidP="00FD6C4E">
                  <w:pPr>
                    <w:pStyle w:val="Bibliography"/>
                    <w:rPr>
                      <w:noProof/>
                    </w:rPr>
                  </w:pPr>
                  <w:r>
                    <w:rPr>
                      <w:noProof/>
                    </w:rPr>
                    <w:t xml:space="preserve">Kaawaase, T. K., Nairuba, C., Akankunda, B. &amp; Bananuka, J., 2021. Corporate governance, internal audit quality and financial reporting quality of financial institutions. </w:t>
                  </w:r>
                  <w:r>
                    <w:rPr>
                      <w:i/>
                      <w:iCs/>
                      <w:noProof/>
                    </w:rPr>
                    <w:t xml:space="preserve">Asian Journal of Accounting Research, </w:t>
                  </w:r>
                  <w:r>
                    <w:rPr>
                      <w:noProof/>
                    </w:rPr>
                    <w:t>6(3), pp. 348-366.</w:t>
                  </w:r>
                </w:p>
                <w:p w14:paraId="2E4A70E4" w14:textId="77777777" w:rsidR="00FD6C4E" w:rsidRDefault="00FD6C4E" w:rsidP="00FD6C4E">
                  <w:pPr>
                    <w:pStyle w:val="Bibliography"/>
                    <w:rPr>
                      <w:noProof/>
                    </w:rPr>
                  </w:pPr>
                  <w:r>
                    <w:rPr>
                      <w:noProof/>
                    </w:rPr>
                    <w:t xml:space="preserve">Maheshwari, S. N., Maheshwari, S. K. &amp; Maheshwari, M., 2021. </w:t>
                  </w:r>
                  <w:r>
                    <w:rPr>
                      <w:i/>
                      <w:iCs/>
                      <w:noProof/>
                    </w:rPr>
                    <w:t xml:space="preserve">Principles of Management Accounting. </w:t>
                  </w:r>
                  <w:r>
                    <w:rPr>
                      <w:noProof/>
                    </w:rPr>
                    <w:t>s.l.: Sultan Chand &amp; Sons..</w:t>
                  </w:r>
                </w:p>
                <w:p w14:paraId="78D99A97" w14:textId="77777777" w:rsidR="00FD6C4E" w:rsidRDefault="00FD6C4E" w:rsidP="00FD6C4E">
                  <w:pPr>
                    <w:pStyle w:val="Bibliography"/>
                    <w:rPr>
                      <w:noProof/>
                    </w:rPr>
                  </w:pPr>
                  <w:r>
                    <w:rPr>
                      <w:noProof/>
                    </w:rPr>
                    <w:t xml:space="preserve">Maso, L. D., Lobo, G. L., Mazzi, F. &amp; Paugam, L., 2020. Implications of the joint provision of CSR assurance and financial audit for auditors' assessment of going‐concern risk. </w:t>
                  </w:r>
                  <w:r>
                    <w:rPr>
                      <w:i/>
                      <w:iCs/>
                      <w:noProof/>
                    </w:rPr>
                    <w:t xml:space="preserve">Contemporary Accounting Research, </w:t>
                  </w:r>
                  <w:r>
                    <w:rPr>
                      <w:noProof/>
                    </w:rPr>
                    <w:t>37(2), pp. 1248-1289.</w:t>
                  </w:r>
                </w:p>
                <w:p w14:paraId="4F0C82CC" w14:textId="77777777" w:rsidR="00FD6C4E" w:rsidRDefault="00FD6C4E" w:rsidP="00FD6C4E">
                  <w:pPr>
                    <w:pStyle w:val="Bibliography"/>
                    <w:rPr>
                      <w:noProof/>
                    </w:rPr>
                  </w:pPr>
                  <w:r>
                    <w:rPr>
                      <w:noProof/>
                    </w:rPr>
                    <w:t xml:space="preserve">Menicucci, E., 2019. </w:t>
                  </w:r>
                  <w:r>
                    <w:rPr>
                      <w:i/>
                      <w:iCs/>
                      <w:noProof/>
                    </w:rPr>
                    <w:t xml:space="preserve">Earnings quality: Definitions, measures, and financial reporting. </w:t>
                  </w:r>
                  <w:r>
                    <w:rPr>
                      <w:noProof/>
                    </w:rPr>
                    <w:t>s.l.: Springer Nature.</w:t>
                  </w:r>
                </w:p>
                <w:p w14:paraId="2E02B456" w14:textId="77777777" w:rsidR="00FD6C4E" w:rsidRDefault="00FD6C4E" w:rsidP="00FD6C4E">
                  <w:pPr>
                    <w:pStyle w:val="Bibliography"/>
                    <w:rPr>
                      <w:noProof/>
                    </w:rPr>
                  </w:pPr>
                  <w:r>
                    <w:rPr>
                      <w:noProof/>
                    </w:rPr>
                    <w:t xml:space="preserve">Mirkabulovich, B. M., 2024. IMPROVING COST BUDGETING IN ECONOMIC ENTITIES. </w:t>
                  </w:r>
                  <w:r>
                    <w:rPr>
                      <w:i/>
                      <w:iCs/>
                      <w:noProof/>
                    </w:rPr>
                    <w:t xml:space="preserve">International Journal of Education, Social Science &amp; Humanities, </w:t>
                  </w:r>
                  <w:r>
                    <w:rPr>
                      <w:noProof/>
                    </w:rPr>
                    <w:t>12(3), pp. 445-452.</w:t>
                  </w:r>
                </w:p>
                <w:p w14:paraId="38CD141F" w14:textId="77777777" w:rsidR="00FD6C4E" w:rsidRDefault="00FD6C4E" w:rsidP="00FD6C4E">
                  <w:pPr>
                    <w:pStyle w:val="Bibliography"/>
                    <w:rPr>
                      <w:noProof/>
                    </w:rPr>
                  </w:pPr>
                  <w:r>
                    <w:rPr>
                      <w:noProof/>
                    </w:rPr>
                    <w:t xml:space="preserve">Mosteanu, N. R. &amp; Faccia, A., 2020. Digital systems and new challenges of financial management–FinTech, XBRL, blockchain and cryptocurrencies. </w:t>
                  </w:r>
                  <w:r>
                    <w:rPr>
                      <w:i/>
                      <w:iCs/>
                      <w:noProof/>
                    </w:rPr>
                    <w:t xml:space="preserve">Quality–Access to Success, </w:t>
                  </w:r>
                  <w:r>
                    <w:rPr>
                      <w:noProof/>
                    </w:rPr>
                    <w:t>21(174), pp. 159-166.</w:t>
                  </w:r>
                </w:p>
                <w:p w14:paraId="2E89AAAD" w14:textId="77777777" w:rsidR="00FD6C4E" w:rsidRDefault="00FD6C4E" w:rsidP="00FD6C4E">
                  <w:pPr>
                    <w:pStyle w:val="Bibliography"/>
                    <w:rPr>
                      <w:noProof/>
                    </w:rPr>
                  </w:pPr>
                  <w:r>
                    <w:rPr>
                      <w:noProof/>
                    </w:rPr>
                    <w:t xml:space="preserve">Mutschmann, M., Hasso, T. &amp; Pelste, M., 20221. Dark triad managerial personality and financial reporting manipulation. </w:t>
                  </w:r>
                  <w:r>
                    <w:rPr>
                      <w:i/>
                      <w:iCs/>
                      <w:noProof/>
                    </w:rPr>
                    <w:t xml:space="preserve">Journal of Business Ethics, </w:t>
                  </w:r>
                  <w:r>
                    <w:rPr>
                      <w:noProof/>
                    </w:rPr>
                    <w:t>pp. 1-26.</w:t>
                  </w:r>
                </w:p>
                <w:p w14:paraId="72657846" w14:textId="77777777" w:rsidR="00FD6C4E" w:rsidRDefault="00FD6C4E" w:rsidP="00FD6C4E">
                  <w:pPr>
                    <w:pStyle w:val="Bibliography"/>
                    <w:rPr>
                      <w:noProof/>
                    </w:rPr>
                  </w:pPr>
                  <w:r>
                    <w:rPr>
                      <w:noProof/>
                    </w:rPr>
                    <w:t xml:space="preserve">Odek, R. &amp; Oluoch, J. O., 2023. Odek, Robert, and Josephat Oluoch Oluoch. "An Evaluation of Contributions of Selected Organizational and Sociological Theories to Managerial Accounting Research. </w:t>
                  </w:r>
                  <w:r>
                    <w:rPr>
                      <w:i/>
                      <w:iCs/>
                      <w:noProof/>
                    </w:rPr>
                    <w:t xml:space="preserve">Accounting and Finance Studies, </w:t>
                  </w:r>
                  <w:r>
                    <w:rPr>
                      <w:noProof/>
                    </w:rPr>
                    <w:t>3(2), pp. 97-116.</w:t>
                  </w:r>
                </w:p>
                <w:p w14:paraId="39C415EF" w14:textId="77777777" w:rsidR="00FD6C4E" w:rsidRDefault="00FD6C4E" w:rsidP="00FD6C4E">
                  <w:pPr>
                    <w:pStyle w:val="Bibliography"/>
                    <w:rPr>
                      <w:noProof/>
                    </w:rPr>
                  </w:pPr>
                  <w:r>
                    <w:rPr>
                      <w:noProof/>
                    </w:rPr>
                    <w:t xml:space="preserve">Papadakis, S. et al., 2020. </w:t>
                  </w:r>
                  <w:r>
                    <w:rPr>
                      <w:i/>
                      <w:iCs/>
                      <w:noProof/>
                    </w:rPr>
                    <w:t xml:space="preserve">Machine learning applications for accounting disclosure and fraud detection. </w:t>
                  </w:r>
                  <w:r>
                    <w:rPr>
                      <w:noProof/>
                    </w:rPr>
                    <w:t>s.l.:IGI Global.</w:t>
                  </w:r>
                </w:p>
                <w:p w14:paraId="328A3915" w14:textId="77777777" w:rsidR="00FD6C4E" w:rsidRDefault="00FD6C4E" w:rsidP="00FD6C4E">
                  <w:pPr>
                    <w:pStyle w:val="Bibliography"/>
                    <w:rPr>
                      <w:noProof/>
                    </w:rPr>
                  </w:pPr>
                  <w:r>
                    <w:rPr>
                      <w:noProof/>
                    </w:rPr>
                    <w:t xml:space="preserve">projectpractical.com, 2024. </w:t>
                  </w:r>
                  <w:r>
                    <w:rPr>
                      <w:i/>
                      <w:iCs/>
                      <w:noProof/>
                    </w:rPr>
                    <w:t xml:space="preserve">10 Best Practices For Effective Budget Management. </w:t>
                  </w:r>
                  <w:r>
                    <w:rPr>
                      <w:noProof/>
                    </w:rPr>
                    <w:t xml:space="preserve">[Online] </w:t>
                  </w:r>
                  <w:r>
                    <w:rPr>
                      <w:noProof/>
                    </w:rPr>
                    <w:br/>
                    <w:t xml:space="preserve">Available at: </w:t>
                  </w:r>
                  <w:r>
                    <w:rPr>
                      <w:noProof/>
                      <w:u w:val="single"/>
                    </w:rPr>
                    <w:t>https://www.projectpractical.com/10-best-practices-for-effective-budget-management/?utm_content=cmp-true</w:t>
                  </w:r>
                  <w:r>
                    <w:rPr>
                      <w:noProof/>
                    </w:rPr>
                    <w:br/>
                    <w:t>[Accessed 22 March 2024].</w:t>
                  </w:r>
                </w:p>
                <w:p w14:paraId="7BBCAA80" w14:textId="77777777" w:rsidR="00FD6C4E" w:rsidRDefault="00FD6C4E" w:rsidP="00FD6C4E">
                  <w:pPr>
                    <w:pStyle w:val="Bibliography"/>
                    <w:rPr>
                      <w:noProof/>
                    </w:rPr>
                  </w:pPr>
                  <w:r>
                    <w:rPr>
                      <w:noProof/>
                    </w:rPr>
                    <w:t xml:space="preserve">Qudratovich, E. A., 2022. Cash flow statement as one of the Basic Forms of financial Accounting statements. </w:t>
                  </w:r>
                  <w:r>
                    <w:rPr>
                      <w:i/>
                      <w:iCs/>
                      <w:noProof/>
                    </w:rPr>
                    <w:t xml:space="preserve">European Scholar Journal, </w:t>
                  </w:r>
                  <w:r>
                    <w:rPr>
                      <w:noProof/>
                    </w:rPr>
                    <w:t>3(2), pp. 23-25.</w:t>
                  </w:r>
                </w:p>
                <w:p w14:paraId="0FE5E278" w14:textId="77777777" w:rsidR="00FD6C4E" w:rsidRDefault="00FD6C4E" w:rsidP="00FD6C4E">
                  <w:pPr>
                    <w:pStyle w:val="Bibliography"/>
                    <w:rPr>
                      <w:noProof/>
                    </w:rPr>
                  </w:pPr>
                  <w:r>
                    <w:rPr>
                      <w:noProof/>
                    </w:rPr>
                    <w:lastRenderedPageBreak/>
                    <w:t xml:space="preserve">Ramanauskas, H., 1962. Flexible Budgeting. </w:t>
                  </w:r>
                  <w:r>
                    <w:rPr>
                      <w:i/>
                      <w:iCs/>
                      <w:noProof/>
                    </w:rPr>
                    <w:t xml:space="preserve">Woman CPA, </w:t>
                  </w:r>
                  <w:r>
                    <w:rPr>
                      <w:noProof/>
                    </w:rPr>
                    <w:t>3(1).</w:t>
                  </w:r>
                </w:p>
                <w:p w14:paraId="012DD3B7" w14:textId="77777777" w:rsidR="00FD6C4E" w:rsidRDefault="00FD6C4E" w:rsidP="00FD6C4E">
                  <w:pPr>
                    <w:pStyle w:val="Bibliography"/>
                    <w:rPr>
                      <w:noProof/>
                    </w:rPr>
                  </w:pPr>
                  <w:r>
                    <w:rPr>
                      <w:noProof/>
                    </w:rPr>
                    <w:t xml:space="preserve">Reid, L. C. et al., 2019. Impact of auditor report changes on financial reporting quality and audit costs: Evidence from the United Kingdom. </w:t>
                  </w:r>
                  <w:r>
                    <w:rPr>
                      <w:i/>
                      <w:iCs/>
                      <w:noProof/>
                    </w:rPr>
                    <w:t xml:space="preserve">Contemporary Accounting Research, </w:t>
                  </w:r>
                  <w:r>
                    <w:rPr>
                      <w:noProof/>
                    </w:rPr>
                    <w:t>36(3), pp. 1501-1539.</w:t>
                  </w:r>
                </w:p>
                <w:p w14:paraId="561FB6D8" w14:textId="77777777" w:rsidR="00FD6C4E" w:rsidRDefault="00FD6C4E" w:rsidP="00FD6C4E">
                  <w:pPr>
                    <w:pStyle w:val="Bibliography"/>
                    <w:rPr>
                      <w:noProof/>
                    </w:rPr>
                  </w:pPr>
                  <w:r>
                    <w:rPr>
                      <w:noProof/>
                    </w:rPr>
                    <w:t xml:space="preserve">Reimert, E. &amp; Rust, A., 2022. </w:t>
                  </w:r>
                  <w:r>
                    <w:rPr>
                      <w:i/>
                      <w:iCs/>
                      <w:noProof/>
                    </w:rPr>
                    <w:t xml:space="preserve">Klaus Vogel on double taxation conventions. </w:t>
                  </w:r>
                  <w:r>
                    <w:rPr>
                      <w:noProof/>
                    </w:rPr>
                    <w:t>s.l.:Kluwer Law International BV.</w:t>
                  </w:r>
                </w:p>
                <w:p w14:paraId="19B6727C" w14:textId="77777777" w:rsidR="00FD6C4E" w:rsidRDefault="00FD6C4E" w:rsidP="00FD6C4E">
                  <w:pPr>
                    <w:pStyle w:val="Bibliography"/>
                    <w:rPr>
                      <w:noProof/>
                    </w:rPr>
                  </w:pPr>
                  <w:r>
                    <w:rPr>
                      <w:noProof/>
                    </w:rPr>
                    <w:t xml:space="preserve">Schmidt, J., 2024. </w:t>
                  </w:r>
                  <w:r>
                    <w:rPr>
                      <w:i/>
                      <w:iCs/>
                      <w:noProof/>
                    </w:rPr>
                    <w:t xml:space="preserve">Beyond Budgeting. </w:t>
                  </w:r>
                  <w:r>
                    <w:rPr>
                      <w:noProof/>
                    </w:rPr>
                    <w:t xml:space="preserve">[Online] </w:t>
                  </w:r>
                  <w:r>
                    <w:rPr>
                      <w:noProof/>
                    </w:rPr>
                    <w:br/>
                    <w:t xml:space="preserve">Available at: </w:t>
                  </w:r>
                  <w:r>
                    <w:rPr>
                      <w:noProof/>
                      <w:u w:val="single"/>
                    </w:rPr>
                    <w:t>https://corporatefinanceinstitute.com/resources/fpa/beyond-budgeting/#:~:text=Beyond%20Budgeting%20is%20the%20idea,adaptive%20set%20of%20management%20processes.</w:t>
                  </w:r>
                  <w:r>
                    <w:rPr>
                      <w:noProof/>
                    </w:rPr>
                    <w:br/>
                    <w:t>[Accessed 08 April 2024].</w:t>
                  </w:r>
                </w:p>
                <w:p w14:paraId="0752C136" w14:textId="77777777" w:rsidR="00FD6C4E" w:rsidRDefault="00FD6C4E" w:rsidP="00FD6C4E">
                  <w:pPr>
                    <w:pStyle w:val="Bibliography"/>
                    <w:rPr>
                      <w:noProof/>
                    </w:rPr>
                  </w:pPr>
                  <w:r>
                    <w:rPr>
                      <w:noProof/>
                    </w:rPr>
                    <w:t xml:space="preserve">Schmidt, J., 2024. </w:t>
                  </w:r>
                  <w:r>
                    <w:rPr>
                      <w:i/>
                      <w:iCs/>
                      <w:noProof/>
                    </w:rPr>
                    <w:t xml:space="preserve">The Four Main Types of Budgets and Budgeting Methods. </w:t>
                  </w:r>
                  <w:r>
                    <w:rPr>
                      <w:noProof/>
                    </w:rPr>
                    <w:t xml:space="preserve">[Online] </w:t>
                  </w:r>
                  <w:r>
                    <w:rPr>
                      <w:noProof/>
                    </w:rPr>
                    <w:br/>
                    <w:t xml:space="preserve">Available at: </w:t>
                  </w:r>
                  <w:r>
                    <w:rPr>
                      <w:noProof/>
                      <w:u w:val="single"/>
                    </w:rPr>
                    <w:t>https://corporatefinanceinstitute.com/resources/fpa/types-of-budgets-budgeting-methods/</w:t>
                  </w:r>
                  <w:r>
                    <w:rPr>
                      <w:noProof/>
                    </w:rPr>
                    <w:br/>
                    <w:t>[Accessed March 2024 2024].</w:t>
                  </w:r>
                </w:p>
                <w:p w14:paraId="0CCAF702" w14:textId="77777777" w:rsidR="00FD6C4E" w:rsidRDefault="00FD6C4E" w:rsidP="00FD6C4E">
                  <w:pPr>
                    <w:pStyle w:val="Bibliography"/>
                    <w:rPr>
                      <w:noProof/>
                    </w:rPr>
                  </w:pPr>
                  <w:r>
                    <w:rPr>
                      <w:noProof/>
                    </w:rPr>
                    <w:t xml:space="preserve">schoolofmoney.in, 2024. </w:t>
                  </w:r>
                  <w:r>
                    <w:rPr>
                      <w:i/>
                      <w:iCs/>
                      <w:noProof/>
                    </w:rPr>
                    <w:t xml:space="preserve">Understanding Traditional Budgeting: A Comprehensive Guide. </w:t>
                  </w:r>
                  <w:r>
                    <w:rPr>
                      <w:noProof/>
                    </w:rPr>
                    <w:t xml:space="preserve">[Online] </w:t>
                  </w:r>
                  <w:r>
                    <w:rPr>
                      <w:noProof/>
                    </w:rPr>
                    <w:br/>
                    <w:t xml:space="preserve">Available at: </w:t>
                  </w:r>
                  <w:r>
                    <w:rPr>
                      <w:noProof/>
                      <w:u w:val="single"/>
                    </w:rPr>
                    <w:t>https://schoolofmoney.in/understanding-traditional-budgeting-a-comprehensive-guide/</w:t>
                  </w:r>
                  <w:r>
                    <w:rPr>
                      <w:noProof/>
                    </w:rPr>
                    <w:br/>
                    <w:t>[Accessed 15 March 2024].</w:t>
                  </w:r>
                </w:p>
                <w:p w14:paraId="6172B8A7" w14:textId="77777777" w:rsidR="00FD6C4E" w:rsidRDefault="00FD6C4E" w:rsidP="00FD6C4E">
                  <w:pPr>
                    <w:pStyle w:val="Bibliography"/>
                    <w:rPr>
                      <w:noProof/>
                    </w:rPr>
                  </w:pPr>
                  <w:r>
                    <w:rPr>
                      <w:noProof/>
                    </w:rPr>
                    <w:t xml:space="preserve">Setyoko, P. I. &amp; Kurniasih, D., 2022. SMEs Performance During Covid-19 Pandemic and VUCA Era: How the role of Organizational Citizenship Behavior, Budgetary, Participation and Information Asymmetry?. </w:t>
                  </w:r>
                  <w:r>
                    <w:rPr>
                      <w:i/>
                      <w:iCs/>
                      <w:noProof/>
                    </w:rPr>
                    <w:t xml:space="preserve">International Journal of Social and Management Studies, </w:t>
                  </w:r>
                  <w:r>
                    <w:rPr>
                      <w:noProof/>
                    </w:rPr>
                    <w:t>3(4), pp. 105-116.</w:t>
                  </w:r>
                </w:p>
                <w:p w14:paraId="0922CFF7" w14:textId="77777777" w:rsidR="00FD6C4E" w:rsidRDefault="00FD6C4E" w:rsidP="00FD6C4E">
                  <w:pPr>
                    <w:pStyle w:val="Bibliography"/>
                    <w:rPr>
                      <w:noProof/>
                    </w:rPr>
                  </w:pPr>
                  <w:r>
                    <w:rPr>
                      <w:noProof/>
                    </w:rPr>
                    <w:t xml:space="preserve">Steiss, A. W., 2019. </w:t>
                  </w:r>
                  <w:r>
                    <w:rPr>
                      <w:i/>
                      <w:iCs/>
                      <w:noProof/>
                    </w:rPr>
                    <w:t xml:space="preserve">Strategic management for public and nonprofit organizations. </w:t>
                  </w:r>
                  <w:r>
                    <w:rPr>
                      <w:noProof/>
                    </w:rPr>
                    <w:t>s.l.: Routledge.</w:t>
                  </w:r>
                </w:p>
                <w:p w14:paraId="1790DC6C" w14:textId="77777777" w:rsidR="00FD6C4E" w:rsidRDefault="00FD6C4E" w:rsidP="00FD6C4E">
                  <w:pPr>
                    <w:pStyle w:val="Bibliography"/>
                    <w:rPr>
                      <w:noProof/>
                    </w:rPr>
                  </w:pPr>
                  <w:r>
                    <w:rPr>
                      <w:noProof/>
                    </w:rPr>
                    <w:t xml:space="preserve">Wahid, A. S., 2019. The effects and the mechanisms of board gender diversity: Evidence from financial manipulation. </w:t>
                  </w:r>
                  <w:r>
                    <w:rPr>
                      <w:i/>
                      <w:iCs/>
                      <w:noProof/>
                    </w:rPr>
                    <w:t xml:space="preserve">Journal of Business Ethics, </w:t>
                  </w:r>
                  <w:r>
                    <w:rPr>
                      <w:noProof/>
                    </w:rPr>
                    <w:t>159(3), pp. 705-725.</w:t>
                  </w:r>
                </w:p>
                <w:p w14:paraId="2B64DCB9" w14:textId="77777777" w:rsidR="00FD6C4E" w:rsidRDefault="00FD6C4E" w:rsidP="00FD6C4E">
                  <w:pPr>
                    <w:pStyle w:val="Bibliography"/>
                    <w:rPr>
                      <w:noProof/>
                    </w:rPr>
                  </w:pPr>
                  <w:r>
                    <w:rPr>
                      <w:noProof/>
                    </w:rPr>
                    <w:t xml:space="preserve">Widyawati, L., 2020. A systematic literature review of socially responsible investment and environmental social governance metrics. </w:t>
                  </w:r>
                  <w:r>
                    <w:rPr>
                      <w:i/>
                      <w:iCs/>
                      <w:noProof/>
                    </w:rPr>
                    <w:t xml:space="preserve">Business Strategy and the Environment 29, no. 2 (2020): 619-637., </w:t>
                  </w:r>
                  <w:r>
                    <w:rPr>
                      <w:noProof/>
                    </w:rPr>
                    <w:t>29(2), pp. 619-637.</w:t>
                  </w:r>
                </w:p>
                <w:p w14:paraId="5774759B" w14:textId="77777777" w:rsidR="00FD6C4E" w:rsidRDefault="00FD6C4E" w:rsidP="00FD6C4E">
                  <w:pPr>
                    <w:pStyle w:val="Bibliography"/>
                    <w:rPr>
                      <w:noProof/>
                    </w:rPr>
                  </w:pPr>
                  <w:r>
                    <w:rPr>
                      <w:noProof/>
                    </w:rPr>
                    <w:t xml:space="preserve">Woodruff, J., 2019. </w:t>
                  </w:r>
                  <w:r>
                    <w:rPr>
                      <w:i/>
                      <w:iCs/>
                      <w:noProof/>
                    </w:rPr>
                    <w:t xml:space="preserve">What Is Budget Variance Analysis?. </w:t>
                  </w:r>
                  <w:r>
                    <w:rPr>
                      <w:noProof/>
                    </w:rPr>
                    <w:t xml:space="preserve">[Online] </w:t>
                  </w:r>
                  <w:r>
                    <w:rPr>
                      <w:noProof/>
                    </w:rPr>
                    <w:br/>
                    <w:t xml:space="preserve">Available at: </w:t>
                  </w:r>
                  <w:r>
                    <w:rPr>
                      <w:noProof/>
                      <w:u w:val="single"/>
                    </w:rPr>
                    <w:t>https://smallbusiness.chron.com/budget-variance-analysis-60250.html</w:t>
                  </w:r>
                  <w:r>
                    <w:rPr>
                      <w:noProof/>
                    </w:rPr>
                    <w:br/>
                    <w:t>[Accessed 24 March 2024].</w:t>
                  </w:r>
                </w:p>
                <w:p w14:paraId="29D09154" w14:textId="77777777" w:rsidR="00FD6C4E" w:rsidRDefault="00FD6C4E" w:rsidP="00FD6C4E">
                  <w:pPr>
                    <w:pStyle w:val="Bibliography"/>
                    <w:rPr>
                      <w:noProof/>
                    </w:rPr>
                  </w:pPr>
                  <w:r>
                    <w:rPr>
                      <w:noProof/>
                    </w:rPr>
                    <w:t xml:space="preserve">Yang, B. et al., 2020. Detecting accounting fraud in publicly traded US firms using a machine learning approach. </w:t>
                  </w:r>
                  <w:r>
                    <w:rPr>
                      <w:i/>
                      <w:iCs/>
                      <w:noProof/>
                    </w:rPr>
                    <w:t xml:space="preserve">Journal of Accounting Research, </w:t>
                  </w:r>
                  <w:r>
                    <w:rPr>
                      <w:noProof/>
                    </w:rPr>
                    <w:t>58(1), pp. 199-235.</w:t>
                  </w:r>
                </w:p>
                <w:p w14:paraId="41640B13" w14:textId="77777777" w:rsidR="00FD6C4E" w:rsidRDefault="00FD6C4E" w:rsidP="00FD6C4E">
                  <w:pPr>
                    <w:pStyle w:val="Bibliography"/>
                    <w:rPr>
                      <w:noProof/>
                    </w:rPr>
                  </w:pPr>
                  <w:r>
                    <w:rPr>
                      <w:noProof/>
                    </w:rPr>
                    <w:t xml:space="preserve">Zografou, Z., Parmová, D. Š. &amp; Sdrolias, L., 2021. The Relationship between Managerial Accounting and Decision Making. </w:t>
                  </w:r>
                  <w:r>
                    <w:rPr>
                      <w:i/>
                      <w:iCs/>
                      <w:noProof/>
                    </w:rPr>
                    <w:t xml:space="preserve">Scientific Conference INPROFORUM, </w:t>
                  </w:r>
                  <w:r>
                    <w:rPr>
                      <w:noProof/>
                    </w:rPr>
                    <w:t>p. 110.</w:t>
                  </w:r>
                </w:p>
                <w:p w14:paraId="36099D49" w14:textId="77777777" w:rsidR="00FD6C4E" w:rsidRDefault="00FD6C4E" w:rsidP="00FD6C4E">
                  <w:pPr>
                    <w:pStyle w:val="Bibliography"/>
                    <w:rPr>
                      <w:noProof/>
                    </w:rPr>
                  </w:pPr>
                  <w:r>
                    <w:rPr>
                      <w:noProof/>
                    </w:rPr>
                    <w:t xml:space="preserve">Zulkarnaen, W., Erfiansyah, E., Syahril, N. N. A. &amp; Leonandri, D. G., 2020. Comparative study of tax policy related to COVID-19 in ASEAN countries. </w:t>
                  </w:r>
                  <w:r>
                    <w:rPr>
                      <w:i/>
                      <w:iCs/>
                      <w:noProof/>
                    </w:rPr>
                    <w:t xml:space="preserve">International Journal of TEST Engineering &amp; Management, </w:t>
                  </w:r>
                  <w:r>
                    <w:rPr>
                      <w:noProof/>
                    </w:rPr>
                    <w:t>83(2), pp. 6519-6528.</w:t>
                  </w:r>
                </w:p>
                <w:p w14:paraId="0939D5AF" w14:textId="4B0E731B" w:rsidR="00FD6221" w:rsidRDefault="00FD6221" w:rsidP="00FD6C4E">
                  <w:r>
                    <w:rPr>
                      <w:b/>
                      <w:bCs/>
                      <w:noProof/>
                    </w:rPr>
                    <w:fldChar w:fldCharType="end"/>
                  </w:r>
                </w:p>
              </w:sdtContent>
            </w:sdt>
          </w:sdtContent>
        </w:sdt>
        <w:p w14:paraId="61AFC270" w14:textId="77777777" w:rsidR="00EE6E25" w:rsidRDefault="00D856C1"/>
      </w:sdtContent>
    </w:sdt>
    <w:p w14:paraId="7F890C1F" w14:textId="5824B441" w:rsidR="00CA09F3" w:rsidRDefault="00EE6E25" w:rsidP="00EE6E25">
      <w:pPr>
        <w:pStyle w:val="Heading1"/>
      </w:pPr>
      <w:bookmarkStart w:id="18" w:name="_Toc164027127"/>
      <w:r>
        <w:lastRenderedPageBreak/>
        <w:t>Appendices</w:t>
      </w:r>
      <w:bookmarkEnd w:id="18"/>
    </w:p>
    <w:p w14:paraId="349BC859" w14:textId="77777777" w:rsidR="00EE6E25" w:rsidRDefault="00EE6E25" w:rsidP="00EE6E25"/>
    <w:p w14:paraId="5FF6BE6C" w14:textId="26AA2610" w:rsidR="00EE6E25" w:rsidRDefault="008F085D" w:rsidP="00EE6E25">
      <w:r>
        <w:rPr>
          <w:noProof/>
        </w:rPr>
        <w:drawing>
          <wp:inline distT="0" distB="0" distL="0" distR="0" wp14:anchorId="4595DE78" wp14:editId="6F658119">
            <wp:extent cx="1851423" cy="1041400"/>
            <wp:effectExtent l="0" t="0" r="0" b="6350"/>
            <wp:docPr id="616321437"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21437" name="Picture 16" descr="A screenshot of a compu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flipH="1">
                      <a:off x="0" y="0"/>
                      <a:ext cx="1857742" cy="1044955"/>
                    </a:xfrm>
                    <a:prstGeom prst="rect">
                      <a:avLst/>
                    </a:prstGeom>
                  </pic:spPr>
                </pic:pic>
              </a:graphicData>
            </a:graphic>
          </wp:inline>
        </w:drawing>
      </w:r>
      <w:r>
        <w:t xml:space="preserve">    </w:t>
      </w:r>
      <w:r>
        <w:rPr>
          <w:noProof/>
        </w:rPr>
        <w:drawing>
          <wp:inline distT="0" distB="0" distL="0" distR="0" wp14:anchorId="22E2623B" wp14:editId="563FF9F8">
            <wp:extent cx="1783688" cy="1003300"/>
            <wp:effectExtent l="0" t="0" r="7620" b="6350"/>
            <wp:docPr id="1216139768"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139768" name="Picture 17"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flipH="1">
                      <a:off x="0" y="0"/>
                      <a:ext cx="1796650" cy="1010591"/>
                    </a:xfrm>
                    <a:prstGeom prst="rect">
                      <a:avLst/>
                    </a:prstGeom>
                  </pic:spPr>
                </pic:pic>
              </a:graphicData>
            </a:graphic>
          </wp:inline>
        </w:drawing>
      </w:r>
      <w:r w:rsidR="004655FD">
        <w:t xml:space="preserve"> </w:t>
      </w:r>
      <w:r w:rsidR="004655FD">
        <w:rPr>
          <w:noProof/>
        </w:rPr>
        <w:drawing>
          <wp:inline distT="0" distB="0" distL="0" distR="0" wp14:anchorId="6882FFDD" wp14:editId="1B09429F">
            <wp:extent cx="1817556" cy="1022350"/>
            <wp:effectExtent l="0" t="0" r="0" b="6350"/>
            <wp:docPr id="1884287728" name="Picture 1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287728" name="Picture 18" descr="A screenshot of a computer"/>
                    <pic:cNvPicPr/>
                  </pic:nvPicPr>
                  <pic:blipFill>
                    <a:blip r:embed="rId11" cstate="print">
                      <a:extLst>
                        <a:ext uri="{28A0092B-C50C-407E-A947-70E740481C1C}">
                          <a14:useLocalDpi xmlns:a14="http://schemas.microsoft.com/office/drawing/2010/main" val="0"/>
                        </a:ext>
                      </a:extLst>
                    </a:blip>
                    <a:stretch>
                      <a:fillRect/>
                    </a:stretch>
                  </pic:blipFill>
                  <pic:spPr>
                    <a:xfrm flipH="1">
                      <a:off x="0" y="0"/>
                      <a:ext cx="1835111" cy="1032224"/>
                    </a:xfrm>
                    <a:prstGeom prst="rect">
                      <a:avLst/>
                    </a:prstGeom>
                  </pic:spPr>
                </pic:pic>
              </a:graphicData>
            </a:graphic>
          </wp:inline>
        </w:drawing>
      </w:r>
    </w:p>
    <w:p w14:paraId="0AB0A988" w14:textId="3F1AF32B" w:rsidR="00EE6E25" w:rsidRDefault="004655FD" w:rsidP="00EE6E25">
      <w:r>
        <w:rPr>
          <w:noProof/>
        </w:rPr>
        <w:drawing>
          <wp:inline distT="0" distB="0" distL="0" distR="0" wp14:anchorId="6322631A" wp14:editId="5DA19620">
            <wp:extent cx="1840134" cy="1035050"/>
            <wp:effectExtent l="0" t="0" r="8255" b="0"/>
            <wp:docPr id="953849939"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49939" name="Picture 19" descr="A screenshot of a compu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1855212" cy="1043531"/>
                    </a:xfrm>
                    <a:prstGeom prst="rect">
                      <a:avLst/>
                    </a:prstGeom>
                  </pic:spPr>
                </pic:pic>
              </a:graphicData>
            </a:graphic>
          </wp:inline>
        </w:drawing>
      </w:r>
      <w:r>
        <w:t xml:space="preserve">  </w:t>
      </w:r>
      <w:r>
        <w:rPr>
          <w:noProof/>
        </w:rPr>
        <w:drawing>
          <wp:inline distT="0" distB="0" distL="0" distR="0" wp14:anchorId="3EDE865A" wp14:editId="039A9DBA">
            <wp:extent cx="1839595" cy="1034747"/>
            <wp:effectExtent l="0" t="0" r="8255" b="0"/>
            <wp:docPr id="1094799798" name="Picture 2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799798" name="Picture 20" descr="A screenshot of a computer"/>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53843" cy="1042762"/>
                    </a:xfrm>
                    <a:prstGeom prst="rect">
                      <a:avLst/>
                    </a:prstGeom>
                  </pic:spPr>
                </pic:pic>
              </a:graphicData>
            </a:graphic>
          </wp:inline>
        </w:drawing>
      </w:r>
      <w:r>
        <w:t xml:space="preserve"> </w:t>
      </w:r>
      <w:r>
        <w:rPr>
          <w:noProof/>
        </w:rPr>
        <w:drawing>
          <wp:inline distT="0" distB="0" distL="0" distR="0" wp14:anchorId="07EF90AA" wp14:editId="0052CD4C">
            <wp:extent cx="1885291" cy="1060450"/>
            <wp:effectExtent l="0" t="0" r="1270" b="6350"/>
            <wp:docPr id="1485615364"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615364" name="Picture 21"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03345" cy="1070605"/>
                    </a:xfrm>
                    <a:prstGeom prst="rect">
                      <a:avLst/>
                    </a:prstGeom>
                  </pic:spPr>
                </pic:pic>
              </a:graphicData>
            </a:graphic>
          </wp:inline>
        </w:drawing>
      </w:r>
    </w:p>
    <w:p w14:paraId="4446791C" w14:textId="77777777" w:rsidR="00FC54D4" w:rsidRDefault="00FC54D4" w:rsidP="00EE6E25"/>
    <w:p w14:paraId="5ED6829C" w14:textId="7D505D11" w:rsidR="00FC54D4" w:rsidRDefault="00FC54D4" w:rsidP="00EE6E25">
      <w:r>
        <w:rPr>
          <w:noProof/>
        </w:rPr>
        <w:drawing>
          <wp:inline distT="0" distB="0" distL="0" distR="0" wp14:anchorId="7F78A76B" wp14:editId="56C8F81A">
            <wp:extent cx="1828845" cy="1028700"/>
            <wp:effectExtent l="0" t="0" r="0" b="0"/>
            <wp:docPr id="1017092249" name="Picture 2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92249" name="Picture 22" descr="A screenshot of a computer"/>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1842689" cy="1036487"/>
                    </a:xfrm>
                    <a:prstGeom prst="rect">
                      <a:avLst/>
                    </a:prstGeom>
                  </pic:spPr>
                </pic:pic>
              </a:graphicData>
            </a:graphic>
          </wp:inline>
        </w:drawing>
      </w:r>
      <w:r>
        <w:rPr>
          <w:noProof/>
        </w:rPr>
        <w:drawing>
          <wp:inline distT="0" distB="0" distL="0" distR="0" wp14:anchorId="07DCFD8F" wp14:editId="3F9BCB09">
            <wp:extent cx="1847850" cy="1039391"/>
            <wp:effectExtent l="0" t="0" r="0" b="8890"/>
            <wp:docPr id="1654305281" name="Picture 2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305281" name="Picture 23" descr="A screenshot of a compute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90972" cy="1063646"/>
                    </a:xfrm>
                    <a:prstGeom prst="rect">
                      <a:avLst/>
                    </a:prstGeom>
                  </pic:spPr>
                </pic:pic>
              </a:graphicData>
            </a:graphic>
          </wp:inline>
        </w:drawing>
      </w:r>
      <w:r>
        <w:t xml:space="preserve"> </w:t>
      </w:r>
      <w:r>
        <w:rPr>
          <w:noProof/>
        </w:rPr>
        <w:drawing>
          <wp:inline distT="0" distB="0" distL="0" distR="0" wp14:anchorId="0F0F3EFA" wp14:editId="0BEDDF4A">
            <wp:extent cx="1905000" cy="1071536"/>
            <wp:effectExtent l="0" t="0" r="0" b="0"/>
            <wp:docPr id="529644711" name="Picture 24"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44711" name="Picture 24" descr="A screenshot of a compute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18921" cy="1079366"/>
                    </a:xfrm>
                    <a:prstGeom prst="rect">
                      <a:avLst/>
                    </a:prstGeom>
                  </pic:spPr>
                </pic:pic>
              </a:graphicData>
            </a:graphic>
          </wp:inline>
        </w:drawing>
      </w:r>
    </w:p>
    <w:p w14:paraId="370E39FC" w14:textId="77777777" w:rsidR="00FC54D4" w:rsidRDefault="00FC54D4" w:rsidP="00EE6E25"/>
    <w:p w14:paraId="3F0708EA" w14:textId="556ADA9C" w:rsidR="00FC54D4" w:rsidRDefault="001C47BE" w:rsidP="00EE6E25">
      <w:r>
        <w:rPr>
          <w:noProof/>
        </w:rPr>
        <w:drawing>
          <wp:inline distT="0" distB="0" distL="0" distR="0" wp14:anchorId="6B59C34D" wp14:editId="0E642B2B">
            <wp:extent cx="1772399" cy="996950"/>
            <wp:effectExtent l="0" t="0" r="0" b="0"/>
            <wp:docPr id="1861319360" name="Picture 25"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319360" name="Picture 25" descr="A screenshot of a computer"/>
                    <pic:cNvPicPr/>
                  </pic:nvPicPr>
                  <pic:blipFill>
                    <a:blip r:embed="rId18" cstate="print">
                      <a:extLst>
                        <a:ext uri="{28A0092B-C50C-407E-A947-70E740481C1C}">
                          <a14:useLocalDpi xmlns:a14="http://schemas.microsoft.com/office/drawing/2010/main" val="0"/>
                        </a:ext>
                      </a:extLst>
                    </a:blip>
                    <a:stretch>
                      <a:fillRect/>
                    </a:stretch>
                  </pic:blipFill>
                  <pic:spPr>
                    <a:xfrm flipH="1">
                      <a:off x="0" y="0"/>
                      <a:ext cx="1781763" cy="1002217"/>
                    </a:xfrm>
                    <a:prstGeom prst="rect">
                      <a:avLst/>
                    </a:prstGeom>
                  </pic:spPr>
                </pic:pic>
              </a:graphicData>
            </a:graphic>
          </wp:inline>
        </w:drawing>
      </w:r>
      <w:r w:rsidR="00AE4EF4">
        <w:t xml:space="preserve">  </w:t>
      </w:r>
      <w:r w:rsidR="007F183F">
        <w:rPr>
          <w:noProof/>
        </w:rPr>
        <w:drawing>
          <wp:inline distT="0" distB="0" distL="0" distR="0" wp14:anchorId="4DD8E695" wp14:editId="198E667D">
            <wp:extent cx="1727200" cy="971526"/>
            <wp:effectExtent l="0" t="0" r="6350" b="635"/>
            <wp:docPr id="1625403614" name="Picture 26"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403614" name="Picture 26" descr="A screenshot of a computer"/>
                    <pic:cNvPicPr/>
                  </pic:nvPicPr>
                  <pic:blipFill>
                    <a:blip r:embed="rId19" cstate="print">
                      <a:extLst>
                        <a:ext uri="{28A0092B-C50C-407E-A947-70E740481C1C}">
                          <a14:useLocalDpi xmlns:a14="http://schemas.microsoft.com/office/drawing/2010/main" val="0"/>
                        </a:ext>
                      </a:extLst>
                    </a:blip>
                    <a:stretch>
                      <a:fillRect/>
                    </a:stretch>
                  </pic:blipFill>
                  <pic:spPr>
                    <a:xfrm flipV="1">
                      <a:off x="0" y="0"/>
                      <a:ext cx="1756031" cy="987743"/>
                    </a:xfrm>
                    <a:prstGeom prst="rect">
                      <a:avLst/>
                    </a:prstGeom>
                  </pic:spPr>
                </pic:pic>
              </a:graphicData>
            </a:graphic>
          </wp:inline>
        </w:drawing>
      </w:r>
      <w:r w:rsidR="007F183F">
        <w:t xml:space="preserve">  </w:t>
      </w:r>
      <w:r w:rsidR="007F183F">
        <w:rPr>
          <w:noProof/>
        </w:rPr>
        <w:drawing>
          <wp:inline distT="0" distB="0" distL="0" distR="0" wp14:anchorId="7F5187B5" wp14:editId="47CA15A3">
            <wp:extent cx="1885290" cy="1060450"/>
            <wp:effectExtent l="0" t="0" r="1270" b="6350"/>
            <wp:docPr id="249769247" name="Picture 27"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69247" name="Picture 27" descr="A screenshot of a compute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06416" cy="1072333"/>
                    </a:xfrm>
                    <a:prstGeom prst="rect">
                      <a:avLst/>
                    </a:prstGeom>
                  </pic:spPr>
                </pic:pic>
              </a:graphicData>
            </a:graphic>
          </wp:inline>
        </w:drawing>
      </w:r>
    </w:p>
    <w:p w14:paraId="2BFF96D4" w14:textId="77777777" w:rsidR="001B579C" w:rsidRDefault="001B579C" w:rsidP="00EE6E25"/>
    <w:p w14:paraId="3E8A2E87" w14:textId="09A8D266" w:rsidR="001B579C" w:rsidRPr="00EE6E25" w:rsidRDefault="001B579C" w:rsidP="00EE6E25">
      <w:r>
        <w:rPr>
          <w:noProof/>
        </w:rPr>
        <w:drawing>
          <wp:inline distT="0" distB="0" distL="0" distR="0" wp14:anchorId="32466332" wp14:editId="05B6904A">
            <wp:extent cx="1657350" cy="932235"/>
            <wp:effectExtent l="0" t="0" r="0" b="1270"/>
            <wp:docPr id="104540258" name="Picture 28"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40258" name="Picture 28" descr="A screenshot of a computer"/>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83918" cy="947179"/>
                    </a:xfrm>
                    <a:prstGeom prst="rect">
                      <a:avLst/>
                    </a:prstGeom>
                  </pic:spPr>
                </pic:pic>
              </a:graphicData>
            </a:graphic>
          </wp:inline>
        </w:drawing>
      </w:r>
      <w:r>
        <w:t xml:space="preserve">  </w:t>
      </w:r>
      <w:r>
        <w:rPr>
          <w:noProof/>
        </w:rPr>
        <w:drawing>
          <wp:inline distT="0" distB="0" distL="0" distR="0" wp14:anchorId="721CD33A" wp14:editId="38A7500B">
            <wp:extent cx="1663700" cy="935808"/>
            <wp:effectExtent l="0" t="0" r="0" b="0"/>
            <wp:docPr id="899475551" name="Picture 29"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475551" name="Picture 29" descr="A screenshot of a comput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677862" cy="943774"/>
                    </a:xfrm>
                    <a:prstGeom prst="rect">
                      <a:avLst/>
                    </a:prstGeom>
                  </pic:spPr>
                </pic:pic>
              </a:graphicData>
            </a:graphic>
          </wp:inline>
        </w:drawing>
      </w:r>
      <w:r>
        <w:t xml:space="preserve">  </w:t>
      </w:r>
      <w:r>
        <w:rPr>
          <w:noProof/>
        </w:rPr>
        <w:drawing>
          <wp:inline distT="0" distB="0" distL="0" distR="0" wp14:anchorId="2C9C3AEB" wp14:editId="38693F1F">
            <wp:extent cx="1670797" cy="939800"/>
            <wp:effectExtent l="0" t="0" r="5715" b="0"/>
            <wp:docPr id="1767378892" name="Picture 30"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378892" name="Picture 30" descr="A screenshot of a computer"/>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86453" cy="948606"/>
                    </a:xfrm>
                    <a:prstGeom prst="rect">
                      <a:avLst/>
                    </a:prstGeom>
                  </pic:spPr>
                </pic:pic>
              </a:graphicData>
            </a:graphic>
          </wp:inline>
        </w:drawing>
      </w:r>
    </w:p>
    <w:sectPr w:rsidR="001B579C" w:rsidRPr="00EE6E25" w:rsidSect="00F634F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81396"/>
    <w:multiLevelType w:val="hybridMultilevel"/>
    <w:tmpl w:val="1416FA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56511"/>
    <w:multiLevelType w:val="hybridMultilevel"/>
    <w:tmpl w:val="8F60F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038F9"/>
    <w:multiLevelType w:val="hybridMultilevel"/>
    <w:tmpl w:val="632AD8A2"/>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38D78F2"/>
    <w:multiLevelType w:val="hybridMultilevel"/>
    <w:tmpl w:val="5350AF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CDB0CE6"/>
    <w:multiLevelType w:val="hybridMultilevel"/>
    <w:tmpl w:val="FFD05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792139"/>
    <w:multiLevelType w:val="hybridMultilevel"/>
    <w:tmpl w:val="40B24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7F546B"/>
    <w:multiLevelType w:val="hybridMultilevel"/>
    <w:tmpl w:val="F080F496"/>
    <w:lvl w:ilvl="0" w:tplc="17625794">
      <w:start w:val="1"/>
      <w:numFmt w:val="lowerLetter"/>
      <w:lvlText w:val="(%1)"/>
      <w:lvlJc w:val="left"/>
      <w:pPr>
        <w:ind w:left="643" w:hanging="360"/>
      </w:pPr>
      <w:rPr>
        <w:rFonts w:hint="default"/>
      </w:rPr>
    </w:lvl>
    <w:lvl w:ilvl="1" w:tplc="08090019">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7" w15:restartNumberingAfterBreak="0">
    <w:nsid w:val="685D14B4"/>
    <w:multiLevelType w:val="hybridMultilevel"/>
    <w:tmpl w:val="EBAE0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32008B"/>
    <w:multiLevelType w:val="hybridMultilevel"/>
    <w:tmpl w:val="1206F2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024678">
    <w:abstractNumId w:val="6"/>
  </w:num>
  <w:num w:numId="2" w16cid:durableId="1524006478">
    <w:abstractNumId w:val="4"/>
  </w:num>
  <w:num w:numId="3" w16cid:durableId="914629138">
    <w:abstractNumId w:val="3"/>
  </w:num>
  <w:num w:numId="4" w16cid:durableId="2095008923">
    <w:abstractNumId w:val="1"/>
  </w:num>
  <w:num w:numId="5" w16cid:durableId="409352698">
    <w:abstractNumId w:val="8"/>
  </w:num>
  <w:num w:numId="6" w16cid:durableId="1927768723">
    <w:abstractNumId w:val="5"/>
  </w:num>
  <w:num w:numId="7" w16cid:durableId="1362585530">
    <w:abstractNumId w:val="0"/>
  </w:num>
  <w:num w:numId="8" w16cid:durableId="781533055">
    <w:abstractNumId w:val="2"/>
  </w:num>
  <w:num w:numId="9" w16cid:durableId="3538471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7"/>
    <w:rsid w:val="00015B59"/>
    <w:rsid w:val="00023B44"/>
    <w:rsid w:val="0008154C"/>
    <w:rsid w:val="00084E65"/>
    <w:rsid w:val="000904C2"/>
    <w:rsid w:val="000973B0"/>
    <w:rsid w:val="000B45AB"/>
    <w:rsid w:val="000B54F8"/>
    <w:rsid w:val="000C3E8C"/>
    <w:rsid w:val="000C6EBF"/>
    <w:rsid w:val="000E4E6B"/>
    <w:rsid w:val="000F2944"/>
    <w:rsid w:val="00107936"/>
    <w:rsid w:val="00115B96"/>
    <w:rsid w:val="001368CC"/>
    <w:rsid w:val="0014057D"/>
    <w:rsid w:val="001424A2"/>
    <w:rsid w:val="00154A8F"/>
    <w:rsid w:val="001754A9"/>
    <w:rsid w:val="00181845"/>
    <w:rsid w:val="001A498E"/>
    <w:rsid w:val="001A66B1"/>
    <w:rsid w:val="001A68C0"/>
    <w:rsid w:val="001A7235"/>
    <w:rsid w:val="001B009E"/>
    <w:rsid w:val="001B1905"/>
    <w:rsid w:val="001B579C"/>
    <w:rsid w:val="001B7FB7"/>
    <w:rsid w:val="001C0583"/>
    <w:rsid w:val="001C47BE"/>
    <w:rsid w:val="001D19AE"/>
    <w:rsid w:val="001E015B"/>
    <w:rsid w:val="001E3349"/>
    <w:rsid w:val="001E6E2F"/>
    <w:rsid w:val="001F0069"/>
    <w:rsid w:val="001F2F67"/>
    <w:rsid w:val="001F6BAB"/>
    <w:rsid w:val="00205875"/>
    <w:rsid w:val="00210610"/>
    <w:rsid w:val="00212FCE"/>
    <w:rsid w:val="00217E52"/>
    <w:rsid w:val="0022371E"/>
    <w:rsid w:val="00223C5A"/>
    <w:rsid w:val="00227C99"/>
    <w:rsid w:val="00233A44"/>
    <w:rsid w:val="00244F95"/>
    <w:rsid w:val="002454A1"/>
    <w:rsid w:val="00250FD1"/>
    <w:rsid w:val="00284DDA"/>
    <w:rsid w:val="00285B69"/>
    <w:rsid w:val="00286140"/>
    <w:rsid w:val="002863DA"/>
    <w:rsid w:val="00294E9B"/>
    <w:rsid w:val="002A0FF2"/>
    <w:rsid w:val="002B57EB"/>
    <w:rsid w:val="002C1F80"/>
    <w:rsid w:val="002C5D5E"/>
    <w:rsid w:val="002D73CF"/>
    <w:rsid w:val="002D746F"/>
    <w:rsid w:val="002E386E"/>
    <w:rsid w:val="002F116D"/>
    <w:rsid w:val="002F65F5"/>
    <w:rsid w:val="00304041"/>
    <w:rsid w:val="00313A6C"/>
    <w:rsid w:val="00321523"/>
    <w:rsid w:val="003245F2"/>
    <w:rsid w:val="00324CCD"/>
    <w:rsid w:val="003264F2"/>
    <w:rsid w:val="003412E0"/>
    <w:rsid w:val="0034600B"/>
    <w:rsid w:val="003500AE"/>
    <w:rsid w:val="00357F49"/>
    <w:rsid w:val="00360B11"/>
    <w:rsid w:val="003615EE"/>
    <w:rsid w:val="00366BA1"/>
    <w:rsid w:val="003674D3"/>
    <w:rsid w:val="003A284D"/>
    <w:rsid w:val="003A6C25"/>
    <w:rsid w:val="003B349F"/>
    <w:rsid w:val="003C52C3"/>
    <w:rsid w:val="003E03BB"/>
    <w:rsid w:val="003F1E82"/>
    <w:rsid w:val="003F245A"/>
    <w:rsid w:val="00402D7D"/>
    <w:rsid w:val="00414E3E"/>
    <w:rsid w:val="00427E3B"/>
    <w:rsid w:val="00435683"/>
    <w:rsid w:val="004370B9"/>
    <w:rsid w:val="00440438"/>
    <w:rsid w:val="00451F18"/>
    <w:rsid w:val="00455189"/>
    <w:rsid w:val="00456967"/>
    <w:rsid w:val="004655FD"/>
    <w:rsid w:val="004757B4"/>
    <w:rsid w:val="00477AC5"/>
    <w:rsid w:val="00480872"/>
    <w:rsid w:val="00487D08"/>
    <w:rsid w:val="004A11F6"/>
    <w:rsid w:val="004B1377"/>
    <w:rsid w:val="004D519C"/>
    <w:rsid w:val="004E1248"/>
    <w:rsid w:val="004E6A5E"/>
    <w:rsid w:val="004F12AA"/>
    <w:rsid w:val="004F3F94"/>
    <w:rsid w:val="004F419D"/>
    <w:rsid w:val="004F7EC0"/>
    <w:rsid w:val="00544152"/>
    <w:rsid w:val="00544A00"/>
    <w:rsid w:val="00551E6A"/>
    <w:rsid w:val="00552623"/>
    <w:rsid w:val="00561073"/>
    <w:rsid w:val="00564D6C"/>
    <w:rsid w:val="00564DBE"/>
    <w:rsid w:val="005A2F7A"/>
    <w:rsid w:val="005B5F9B"/>
    <w:rsid w:val="005C6E55"/>
    <w:rsid w:val="005C77A6"/>
    <w:rsid w:val="005D3B58"/>
    <w:rsid w:val="005E5FD2"/>
    <w:rsid w:val="005F2A61"/>
    <w:rsid w:val="005F56B8"/>
    <w:rsid w:val="00611FA8"/>
    <w:rsid w:val="006153A7"/>
    <w:rsid w:val="00633A96"/>
    <w:rsid w:val="00642FD2"/>
    <w:rsid w:val="0064552B"/>
    <w:rsid w:val="00676E8B"/>
    <w:rsid w:val="0068377D"/>
    <w:rsid w:val="0068552F"/>
    <w:rsid w:val="00686A23"/>
    <w:rsid w:val="006956AC"/>
    <w:rsid w:val="00695978"/>
    <w:rsid w:val="006A1893"/>
    <w:rsid w:val="006A2CB1"/>
    <w:rsid w:val="006A64AD"/>
    <w:rsid w:val="006B1471"/>
    <w:rsid w:val="006C4D96"/>
    <w:rsid w:val="006C55D0"/>
    <w:rsid w:val="006D29DB"/>
    <w:rsid w:val="006D7DC0"/>
    <w:rsid w:val="006E22FD"/>
    <w:rsid w:val="006E572F"/>
    <w:rsid w:val="006F5EB9"/>
    <w:rsid w:val="006F70EC"/>
    <w:rsid w:val="007057F0"/>
    <w:rsid w:val="00712768"/>
    <w:rsid w:val="00727A00"/>
    <w:rsid w:val="00731665"/>
    <w:rsid w:val="0073520A"/>
    <w:rsid w:val="00736A74"/>
    <w:rsid w:val="0075396F"/>
    <w:rsid w:val="00754EC5"/>
    <w:rsid w:val="0076010A"/>
    <w:rsid w:val="00763E4D"/>
    <w:rsid w:val="007A386E"/>
    <w:rsid w:val="007B4953"/>
    <w:rsid w:val="007C22E1"/>
    <w:rsid w:val="007C6787"/>
    <w:rsid w:val="007D1947"/>
    <w:rsid w:val="007D33DC"/>
    <w:rsid w:val="007F143D"/>
    <w:rsid w:val="007F183F"/>
    <w:rsid w:val="00803516"/>
    <w:rsid w:val="00814BC2"/>
    <w:rsid w:val="00833DA9"/>
    <w:rsid w:val="0084276F"/>
    <w:rsid w:val="008636CC"/>
    <w:rsid w:val="00891229"/>
    <w:rsid w:val="00896CEB"/>
    <w:rsid w:val="008B130E"/>
    <w:rsid w:val="008B17C6"/>
    <w:rsid w:val="008B6A28"/>
    <w:rsid w:val="008D35A4"/>
    <w:rsid w:val="008F085D"/>
    <w:rsid w:val="008F4B79"/>
    <w:rsid w:val="00907899"/>
    <w:rsid w:val="00915F86"/>
    <w:rsid w:val="00915FD8"/>
    <w:rsid w:val="00920B2A"/>
    <w:rsid w:val="00931CAA"/>
    <w:rsid w:val="00937222"/>
    <w:rsid w:val="0094052D"/>
    <w:rsid w:val="0094374D"/>
    <w:rsid w:val="00956150"/>
    <w:rsid w:val="0096472D"/>
    <w:rsid w:val="00977EFC"/>
    <w:rsid w:val="00982599"/>
    <w:rsid w:val="009A4090"/>
    <w:rsid w:val="009A51B3"/>
    <w:rsid w:val="009B6D0A"/>
    <w:rsid w:val="009C6DE5"/>
    <w:rsid w:val="009D6904"/>
    <w:rsid w:val="009E7E38"/>
    <w:rsid w:val="009F0311"/>
    <w:rsid w:val="009F15D8"/>
    <w:rsid w:val="00A105CD"/>
    <w:rsid w:val="00A12B58"/>
    <w:rsid w:val="00A33F58"/>
    <w:rsid w:val="00A36229"/>
    <w:rsid w:val="00A36F18"/>
    <w:rsid w:val="00A471CD"/>
    <w:rsid w:val="00A560B5"/>
    <w:rsid w:val="00A56887"/>
    <w:rsid w:val="00A7354F"/>
    <w:rsid w:val="00A835A6"/>
    <w:rsid w:val="00A91637"/>
    <w:rsid w:val="00A9246D"/>
    <w:rsid w:val="00AA2A91"/>
    <w:rsid w:val="00AA50BB"/>
    <w:rsid w:val="00AC4D82"/>
    <w:rsid w:val="00AD5559"/>
    <w:rsid w:val="00AE4EF4"/>
    <w:rsid w:val="00AE5959"/>
    <w:rsid w:val="00B15613"/>
    <w:rsid w:val="00B23173"/>
    <w:rsid w:val="00B50F0B"/>
    <w:rsid w:val="00B76D3C"/>
    <w:rsid w:val="00B80ABE"/>
    <w:rsid w:val="00B81410"/>
    <w:rsid w:val="00B95618"/>
    <w:rsid w:val="00BA6D5C"/>
    <w:rsid w:val="00BB73A3"/>
    <w:rsid w:val="00BC1D1E"/>
    <w:rsid w:val="00BF2E67"/>
    <w:rsid w:val="00BF62DD"/>
    <w:rsid w:val="00C11926"/>
    <w:rsid w:val="00C16A51"/>
    <w:rsid w:val="00C20907"/>
    <w:rsid w:val="00C664B9"/>
    <w:rsid w:val="00C84F24"/>
    <w:rsid w:val="00C87B29"/>
    <w:rsid w:val="00CA09F3"/>
    <w:rsid w:val="00CB611F"/>
    <w:rsid w:val="00CC09B8"/>
    <w:rsid w:val="00CC6155"/>
    <w:rsid w:val="00CD21DB"/>
    <w:rsid w:val="00CD2503"/>
    <w:rsid w:val="00CE1CC0"/>
    <w:rsid w:val="00CE3A28"/>
    <w:rsid w:val="00CF477F"/>
    <w:rsid w:val="00D13C24"/>
    <w:rsid w:val="00D15047"/>
    <w:rsid w:val="00D3456B"/>
    <w:rsid w:val="00D351FB"/>
    <w:rsid w:val="00D36264"/>
    <w:rsid w:val="00D3690B"/>
    <w:rsid w:val="00D502C7"/>
    <w:rsid w:val="00D6101F"/>
    <w:rsid w:val="00D657A8"/>
    <w:rsid w:val="00D677BA"/>
    <w:rsid w:val="00D70DB0"/>
    <w:rsid w:val="00D854A5"/>
    <w:rsid w:val="00D856C1"/>
    <w:rsid w:val="00D878F9"/>
    <w:rsid w:val="00D91927"/>
    <w:rsid w:val="00D939D3"/>
    <w:rsid w:val="00DA2F33"/>
    <w:rsid w:val="00DA3F9D"/>
    <w:rsid w:val="00DB427A"/>
    <w:rsid w:val="00DB5E77"/>
    <w:rsid w:val="00DC4D6D"/>
    <w:rsid w:val="00DC57FD"/>
    <w:rsid w:val="00DD36B4"/>
    <w:rsid w:val="00DF2280"/>
    <w:rsid w:val="00DF5A9E"/>
    <w:rsid w:val="00E00837"/>
    <w:rsid w:val="00E07E67"/>
    <w:rsid w:val="00E36D58"/>
    <w:rsid w:val="00E72FBB"/>
    <w:rsid w:val="00E90712"/>
    <w:rsid w:val="00E91B13"/>
    <w:rsid w:val="00E91DD9"/>
    <w:rsid w:val="00E94372"/>
    <w:rsid w:val="00EA78A6"/>
    <w:rsid w:val="00EB7434"/>
    <w:rsid w:val="00ED1EA0"/>
    <w:rsid w:val="00EE01BE"/>
    <w:rsid w:val="00EE31DC"/>
    <w:rsid w:val="00EE590E"/>
    <w:rsid w:val="00EE6E25"/>
    <w:rsid w:val="00EF44FE"/>
    <w:rsid w:val="00EF666B"/>
    <w:rsid w:val="00F00A32"/>
    <w:rsid w:val="00F00DD5"/>
    <w:rsid w:val="00F20611"/>
    <w:rsid w:val="00F42424"/>
    <w:rsid w:val="00F54FBA"/>
    <w:rsid w:val="00F5575D"/>
    <w:rsid w:val="00F55CB0"/>
    <w:rsid w:val="00F56BB8"/>
    <w:rsid w:val="00F61AD0"/>
    <w:rsid w:val="00F634F3"/>
    <w:rsid w:val="00F72FD9"/>
    <w:rsid w:val="00F74E05"/>
    <w:rsid w:val="00FB3606"/>
    <w:rsid w:val="00FB4758"/>
    <w:rsid w:val="00FC2458"/>
    <w:rsid w:val="00FC54D4"/>
    <w:rsid w:val="00FD2EC2"/>
    <w:rsid w:val="00FD6221"/>
    <w:rsid w:val="00FD6C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docId w15:val="{CCE72052-D423-4776-8394-A52E3D5FD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paragraph" w:styleId="Bibliography">
    <w:name w:val="Bibliography"/>
    <w:basedOn w:val="Normal"/>
    <w:next w:val="Normal"/>
    <w:uiPriority w:val="37"/>
    <w:unhideWhenUsed/>
    <w:rsid w:val="001368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2628">
      <w:bodyDiv w:val="1"/>
      <w:marLeft w:val="0"/>
      <w:marRight w:val="0"/>
      <w:marTop w:val="0"/>
      <w:marBottom w:val="0"/>
      <w:divBdr>
        <w:top w:val="none" w:sz="0" w:space="0" w:color="auto"/>
        <w:left w:val="none" w:sz="0" w:space="0" w:color="auto"/>
        <w:bottom w:val="none" w:sz="0" w:space="0" w:color="auto"/>
        <w:right w:val="none" w:sz="0" w:space="0" w:color="auto"/>
      </w:divBdr>
    </w:div>
    <w:div w:id="10449568">
      <w:bodyDiv w:val="1"/>
      <w:marLeft w:val="0"/>
      <w:marRight w:val="0"/>
      <w:marTop w:val="0"/>
      <w:marBottom w:val="0"/>
      <w:divBdr>
        <w:top w:val="none" w:sz="0" w:space="0" w:color="auto"/>
        <w:left w:val="none" w:sz="0" w:space="0" w:color="auto"/>
        <w:bottom w:val="none" w:sz="0" w:space="0" w:color="auto"/>
        <w:right w:val="none" w:sz="0" w:space="0" w:color="auto"/>
      </w:divBdr>
    </w:div>
    <w:div w:id="11106451">
      <w:bodyDiv w:val="1"/>
      <w:marLeft w:val="0"/>
      <w:marRight w:val="0"/>
      <w:marTop w:val="0"/>
      <w:marBottom w:val="0"/>
      <w:divBdr>
        <w:top w:val="none" w:sz="0" w:space="0" w:color="auto"/>
        <w:left w:val="none" w:sz="0" w:space="0" w:color="auto"/>
        <w:bottom w:val="none" w:sz="0" w:space="0" w:color="auto"/>
        <w:right w:val="none" w:sz="0" w:space="0" w:color="auto"/>
      </w:divBdr>
    </w:div>
    <w:div w:id="25370038">
      <w:bodyDiv w:val="1"/>
      <w:marLeft w:val="0"/>
      <w:marRight w:val="0"/>
      <w:marTop w:val="0"/>
      <w:marBottom w:val="0"/>
      <w:divBdr>
        <w:top w:val="none" w:sz="0" w:space="0" w:color="auto"/>
        <w:left w:val="none" w:sz="0" w:space="0" w:color="auto"/>
        <w:bottom w:val="none" w:sz="0" w:space="0" w:color="auto"/>
        <w:right w:val="none" w:sz="0" w:space="0" w:color="auto"/>
      </w:divBdr>
    </w:div>
    <w:div w:id="34936189">
      <w:bodyDiv w:val="1"/>
      <w:marLeft w:val="0"/>
      <w:marRight w:val="0"/>
      <w:marTop w:val="0"/>
      <w:marBottom w:val="0"/>
      <w:divBdr>
        <w:top w:val="none" w:sz="0" w:space="0" w:color="auto"/>
        <w:left w:val="none" w:sz="0" w:space="0" w:color="auto"/>
        <w:bottom w:val="none" w:sz="0" w:space="0" w:color="auto"/>
        <w:right w:val="none" w:sz="0" w:space="0" w:color="auto"/>
      </w:divBdr>
    </w:div>
    <w:div w:id="45225708">
      <w:bodyDiv w:val="1"/>
      <w:marLeft w:val="0"/>
      <w:marRight w:val="0"/>
      <w:marTop w:val="0"/>
      <w:marBottom w:val="0"/>
      <w:divBdr>
        <w:top w:val="none" w:sz="0" w:space="0" w:color="auto"/>
        <w:left w:val="none" w:sz="0" w:space="0" w:color="auto"/>
        <w:bottom w:val="none" w:sz="0" w:space="0" w:color="auto"/>
        <w:right w:val="none" w:sz="0" w:space="0" w:color="auto"/>
      </w:divBdr>
    </w:div>
    <w:div w:id="47190519">
      <w:bodyDiv w:val="1"/>
      <w:marLeft w:val="0"/>
      <w:marRight w:val="0"/>
      <w:marTop w:val="0"/>
      <w:marBottom w:val="0"/>
      <w:divBdr>
        <w:top w:val="none" w:sz="0" w:space="0" w:color="auto"/>
        <w:left w:val="none" w:sz="0" w:space="0" w:color="auto"/>
        <w:bottom w:val="none" w:sz="0" w:space="0" w:color="auto"/>
        <w:right w:val="none" w:sz="0" w:space="0" w:color="auto"/>
      </w:divBdr>
    </w:div>
    <w:div w:id="48117937">
      <w:bodyDiv w:val="1"/>
      <w:marLeft w:val="0"/>
      <w:marRight w:val="0"/>
      <w:marTop w:val="0"/>
      <w:marBottom w:val="0"/>
      <w:divBdr>
        <w:top w:val="none" w:sz="0" w:space="0" w:color="auto"/>
        <w:left w:val="none" w:sz="0" w:space="0" w:color="auto"/>
        <w:bottom w:val="none" w:sz="0" w:space="0" w:color="auto"/>
        <w:right w:val="none" w:sz="0" w:space="0" w:color="auto"/>
      </w:divBdr>
    </w:div>
    <w:div w:id="70858420">
      <w:bodyDiv w:val="1"/>
      <w:marLeft w:val="0"/>
      <w:marRight w:val="0"/>
      <w:marTop w:val="0"/>
      <w:marBottom w:val="0"/>
      <w:divBdr>
        <w:top w:val="none" w:sz="0" w:space="0" w:color="auto"/>
        <w:left w:val="none" w:sz="0" w:space="0" w:color="auto"/>
        <w:bottom w:val="none" w:sz="0" w:space="0" w:color="auto"/>
        <w:right w:val="none" w:sz="0" w:space="0" w:color="auto"/>
      </w:divBdr>
    </w:div>
    <w:div w:id="78332708">
      <w:bodyDiv w:val="1"/>
      <w:marLeft w:val="0"/>
      <w:marRight w:val="0"/>
      <w:marTop w:val="0"/>
      <w:marBottom w:val="0"/>
      <w:divBdr>
        <w:top w:val="none" w:sz="0" w:space="0" w:color="auto"/>
        <w:left w:val="none" w:sz="0" w:space="0" w:color="auto"/>
        <w:bottom w:val="none" w:sz="0" w:space="0" w:color="auto"/>
        <w:right w:val="none" w:sz="0" w:space="0" w:color="auto"/>
      </w:divBdr>
    </w:div>
    <w:div w:id="98719135">
      <w:bodyDiv w:val="1"/>
      <w:marLeft w:val="0"/>
      <w:marRight w:val="0"/>
      <w:marTop w:val="0"/>
      <w:marBottom w:val="0"/>
      <w:divBdr>
        <w:top w:val="none" w:sz="0" w:space="0" w:color="auto"/>
        <w:left w:val="none" w:sz="0" w:space="0" w:color="auto"/>
        <w:bottom w:val="none" w:sz="0" w:space="0" w:color="auto"/>
        <w:right w:val="none" w:sz="0" w:space="0" w:color="auto"/>
      </w:divBdr>
    </w:div>
    <w:div w:id="104274130">
      <w:bodyDiv w:val="1"/>
      <w:marLeft w:val="0"/>
      <w:marRight w:val="0"/>
      <w:marTop w:val="0"/>
      <w:marBottom w:val="0"/>
      <w:divBdr>
        <w:top w:val="none" w:sz="0" w:space="0" w:color="auto"/>
        <w:left w:val="none" w:sz="0" w:space="0" w:color="auto"/>
        <w:bottom w:val="none" w:sz="0" w:space="0" w:color="auto"/>
        <w:right w:val="none" w:sz="0" w:space="0" w:color="auto"/>
      </w:divBdr>
    </w:div>
    <w:div w:id="105120661">
      <w:bodyDiv w:val="1"/>
      <w:marLeft w:val="0"/>
      <w:marRight w:val="0"/>
      <w:marTop w:val="0"/>
      <w:marBottom w:val="0"/>
      <w:divBdr>
        <w:top w:val="none" w:sz="0" w:space="0" w:color="auto"/>
        <w:left w:val="none" w:sz="0" w:space="0" w:color="auto"/>
        <w:bottom w:val="none" w:sz="0" w:space="0" w:color="auto"/>
        <w:right w:val="none" w:sz="0" w:space="0" w:color="auto"/>
      </w:divBdr>
    </w:div>
    <w:div w:id="107048856">
      <w:bodyDiv w:val="1"/>
      <w:marLeft w:val="0"/>
      <w:marRight w:val="0"/>
      <w:marTop w:val="0"/>
      <w:marBottom w:val="0"/>
      <w:divBdr>
        <w:top w:val="none" w:sz="0" w:space="0" w:color="auto"/>
        <w:left w:val="none" w:sz="0" w:space="0" w:color="auto"/>
        <w:bottom w:val="none" w:sz="0" w:space="0" w:color="auto"/>
        <w:right w:val="none" w:sz="0" w:space="0" w:color="auto"/>
      </w:divBdr>
    </w:div>
    <w:div w:id="121655885">
      <w:bodyDiv w:val="1"/>
      <w:marLeft w:val="0"/>
      <w:marRight w:val="0"/>
      <w:marTop w:val="0"/>
      <w:marBottom w:val="0"/>
      <w:divBdr>
        <w:top w:val="none" w:sz="0" w:space="0" w:color="auto"/>
        <w:left w:val="none" w:sz="0" w:space="0" w:color="auto"/>
        <w:bottom w:val="none" w:sz="0" w:space="0" w:color="auto"/>
        <w:right w:val="none" w:sz="0" w:space="0" w:color="auto"/>
      </w:divBdr>
    </w:div>
    <w:div w:id="127211788">
      <w:bodyDiv w:val="1"/>
      <w:marLeft w:val="0"/>
      <w:marRight w:val="0"/>
      <w:marTop w:val="0"/>
      <w:marBottom w:val="0"/>
      <w:divBdr>
        <w:top w:val="none" w:sz="0" w:space="0" w:color="auto"/>
        <w:left w:val="none" w:sz="0" w:space="0" w:color="auto"/>
        <w:bottom w:val="none" w:sz="0" w:space="0" w:color="auto"/>
        <w:right w:val="none" w:sz="0" w:space="0" w:color="auto"/>
      </w:divBdr>
    </w:div>
    <w:div w:id="136803491">
      <w:bodyDiv w:val="1"/>
      <w:marLeft w:val="0"/>
      <w:marRight w:val="0"/>
      <w:marTop w:val="0"/>
      <w:marBottom w:val="0"/>
      <w:divBdr>
        <w:top w:val="none" w:sz="0" w:space="0" w:color="auto"/>
        <w:left w:val="none" w:sz="0" w:space="0" w:color="auto"/>
        <w:bottom w:val="none" w:sz="0" w:space="0" w:color="auto"/>
        <w:right w:val="none" w:sz="0" w:space="0" w:color="auto"/>
      </w:divBdr>
    </w:div>
    <w:div w:id="159784288">
      <w:bodyDiv w:val="1"/>
      <w:marLeft w:val="0"/>
      <w:marRight w:val="0"/>
      <w:marTop w:val="0"/>
      <w:marBottom w:val="0"/>
      <w:divBdr>
        <w:top w:val="none" w:sz="0" w:space="0" w:color="auto"/>
        <w:left w:val="none" w:sz="0" w:space="0" w:color="auto"/>
        <w:bottom w:val="none" w:sz="0" w:space="0" w:color="auto"/>
        <w:right w:val="none" w:sz="0" w:space="0" w:color="auto"/>
      </w:divBdr>
    </w:div>
    <w:div w:id="166991472">
      <w:bodyDiv w:val="1"/>
      <w:marLeft w:val="0"/>
      <w:marRight w:val="0"/>
      <w:marTop w:val="0"/>
      <w:marBottom w:val="0"/>
      <w:divBdr>
        <w:top w:val="none" w:sz="0" w:space="0" w:color="auto"/>
        <w:left w:val="none" w:sz="0" w:space="0" w:color="auto"/>
        <w:bottom w:val="none" w:sz="0" w:space="0" w:color="auto"/>
        <w:right w:val="none" w:sz="0" w:space="0" w:color="auto"/>
      </w:divBdr>
    </w:div>
    <w:div w:id="172762735">
      <w:bodyDiv w:val="1"/>
      <w:marLeft w:val="0"/>
      <w:marRight w:val="0"/>
      <w:marTop w:val="0"/>
      <w:marBottom w:val="0"/>
      <w:divBdr>
        <w:top w:val="none" w:sz="0" w:space="0" w:color="auto"/>
        <w:left w:val="none" w:sz="0" w:space="0" w:color="auto"/>
        <w:bottom w:val="none" w:sz="0" w:space="0" w:color="auto"/>
        <w:right w:val="none" w:sz="0" w:space="0" w:color="auto"/>
      </w:divBdr>
    </w:div>
    <w:div w:id="175268821">
      <w:bodyDiv w:val="1"/>
      <w:marLeft w:val="0"/>
      <w:marRight w:val="0"/>
      <w:marTop w:val="0"/>
      <w:marBottom w:val="0"/>
      <w:divBdr>
        <w:top w:val="none" w:sz="0" w:space="0" w:color="auto"/>
        <w:left w:val="none" w:sz="0" w:space="0" w:color="auto"/>
        <w:bottom w:val="none" w:sz="0" w:space="0" w:color="auto"/>
        <w:right w:val="none" w:sz="0" w:space="0" w:color="auto"/>
      </w:divBdr>
    </w:div>
    <w:div w:id="190187008">
      <w:bodyDiv w:val="1"/>
      <w:marLeft w:val="0"/>
      <w:marRight w:val="0"/>
      <w:marTop w:val="0"/>
      <w:marBottom w:val="0"/>
      <w:divBdr>
        <w:top w:val="none" w:sz="0" w:space="0" w:color="auto"/>
        <w:left w:val="none" w:sz="0" w:space="0" w:color="auto"/>
        <w:bottom w:val="none" w:sz="0" w:space="0" w:color="auto"/>
        <w:right w:val="none" w:sz="0" w:space="0" w:color="auto"/>
      </w:divBdr>
    </w:div>
    <w:div w:id="198855523">
      <w:bodyDiv w:val="1"/>
      <w:marLeft w:val="0"/>
      <w:marRight w:val="0"/>
      <w:marTop w:val="0"/>
      <w:marBottom w:val="0"/>
      <w:divBdr>
        <w:top w:val="none" w:sz="0" w:space="0" w:color="auto"/>
        <w:left w:val="none" w:sz="0" w:space="0" w:color="auto"/>
        <w:bottom w:val="none" w:sz="0" w:space="0" w:color="auto"/>
        <w:right w:val="none" w:sz="0" w:space="0" w:color="auto"/>
      </w:divBdr>
    </w:div>
    <w:div w:id="199511105">
      <w:bodyDiv w:val="1"/>
      <w:marLeft w:val="0"/>
      <w:marRight w:val="0"/>
      <w:marTop w:val="0"/>
      <w:marBottom w:val="0"/>
      <w:divBdr>
        <w:top w:val="none" w:sz="0" w:space="0" w:color="auto"/>
        <w:left w:val="none" w:sz="0" w:space="0" w:color="auto"/>
        <w:bottom w:val="none" w:sz="0" w:space="0" w:color="auto"/>
        <w:right w:val="none" w:sz="0" w:space="0" w:color="auto"/>
      </w:divBdr>
    </w:div>
    <w:div w:id="208225326">
      <w:bodyDiv w:val="1"/>
      <w:marLeft w:val="0"/>
      <w:marRight w:val="0"/>
      <w:marTop w:val="0"/>
      <w:marBottom w:val="0"/>
      <w:divBdr>
        <w:top w:val="none" w:sz="0" w:space="0" w:color="auto"/>
        <w:left w:val="none" w:sz="0" w:space="0" w:color="auto"/>
        <w:bottom w:val="none" w:sz="0" w:space="0" w:color="auto"/>
        <w:right w:val="none" w:sz="0" w:space="0" w:color="auto"/>
      </w:divBdr>
    </w:div>
    <w:div w:id="211121253">
      <w:bodyDiv w:val="1"/>
      <w:marLeft w:val="0"/>
      <w:marRight w:val="0"/>
      <w:marTop w:val="0"/>
      <w:marBottom w:val="0"/>
      <w:divBdr>
        <w:top w:val="none" w:sz="0" w:space="0" w:color="auto"/>
        <w:left w:val="none" w:sz="0" w:space="0" w:color="auto"/>
        <w:bottom w:val="none" w:sz="0" w:space="0" w:color="auto"/>
        <w:right w:val="none" w:sz="0" w:space="0" w:color="auto"/>
      </w:divBdr>
    </w:div>
    <w:div w:id="228811421">
      <w:bodyDiv w:val="1"/>
      <w:marLeft w:val="0"/>
      <w:marRight w:val="0"/>
      <w:marTop w:val="0"/>
      <w:marBottom w:val="0"/>
      <w:divBdr>
        <w:top w:val="none" w:sz="0" w:space="0" w:color="auto"/>
        <w:left w:val="none" w:sz="0" w:space="0" w:color="auto"/>
        <w:bottom w:val="none" w:sz="0" w:space="0" w:color="auto"/>
        <w:right w:val="none" w:sz="0" w:space="0" w:color="auto"/>
      </w:divBdr>
    </w:div>
    <w:div w:id="239019779">
      <w:bodyDiv w:val="1"/>
      <w:marLeft w:val="0"/>
      <w:marRight w:val="0"/>
      <w:marTop w:val="0"/>
      <w:marBottom w:val="0"/>
      <w:divBdr>
        <w:top w:val="none" w:sz="0" w:space="0" w:color="auto"/>
        <w:left w:val="none" w:sz="0" w:space="0" w:color="auto"/>
        <w:bottom w:val="none" w:sz="0" w:space="0" w:color="auto"/>
        <w:right w:val="none" w:sz="0" w:space="0" w:color="auto"/>
      </w:divBdr>
    </w:div>
    <w:div w:id="270405230">
      <w:bodyDiv w:val="1"/>
      <w:marLeft w:val="0"/>
      <w:marRight w:val="0"/>
      <w:marTop w:val="0"/>
      <w:marBottom w:val="0"/>
      <w:divBdr>
        <w:top w:val="none" w:sz="0" w:space="0" w:color="auto"/>
        <w:left w:val="none" w:sz="0" w:space="0" w:color="auto"/>
        <w:bottom w:val="none" w:sz="0" w:space="0" w:color="auto"/>
        <w:right w:val="none" w:sz="0" w:space="0" w:color="auto"/>
      </w:divBdr>
    </w:div>
    <w:div w:id="278728837">
      <w:bodyDiv w:val="1"/>
      <w:marLeft w:val="0"/>
      <w:marRight w:val="0"/>
      <w:marTop w:val="0"/>
      <w:marBottom w:val="0"/>
      <w:divBdr>
        <w:top w:val="none" w:sz="0" w:space="0" w:color="auto"/>
        <w:left w:val="none" w:sz="0" w:space="0" w:color="auto"/>
        <w:bottom w:val="none" w:sz="0" w:space="0" w:color="auto"/>
        <w:right w:val="none" w:sz="0" w:space="0" w:color="auto"/>
      </w:divBdr>
    </w:div>
    <w:div w:id="280503718">
      <w:bodyDiv w:val="1"/>
      <w:marLeft w:val="0"/>
      <w:marRight w:val="0"/>
      <w:marTop w:val="0"/>
      <w:marBottom w:val="0"/>
      <w:divBdr>
        <w:top w:val="none" w:sz="0" w:space="0" w:color="auto"/>
        <w:left w:val="none" w:sz="0" w:space="0" w:color="auto"/>
        <w:bottom w:val="none" w:sz="0" w:space="0" w:color="auto"/>
        <w:right w:val="none" w:sz="0" w:space="0" w:color="auto"/>
      </w:divBdr>
    </w:div>
    <w:div w:id="306321904">
      <w:bodyDiv w:val="1"/>
      <w:marLeft w:val="0"/>
      <w:marRight w:val="0"/>
      <w:marTop w:val="0"/>
      <w:marBottom w:val="0"/>
      <w:divBdr>
        <w:top w:val="none" w:sz="0" w:space="0" w:color="auto"/>
        <w:left w:val="none" w:sz="0" w:space="0" w:color="auto"/>
        <w:bottom w:val="none" w:sz="0" w:space="0" w:color="auto"/>
        <w:right w:val="none" w:sz="0" w:space="0" w:color="auto"/>
      </w:divBdr>
    </w:div>
    <w:div w:id="309287656">
      <w:bodyDiv w:val="1"/>
      <w:marLeft w:val="0"/>
      <w:marRight w:val="0"/>
      <w:marTop w:val="0"/>
      <w:marBottom w:val="0"/>
      <w:divBdr>
        <w:top w:val="none" w:sz="0" w:space="0" w:color="auto"/>
        <w:left w:val="none" w:sz="0" w:space="0" w:color="auto"/>
        <w:bottom w:val="none" w:sz="0" w:space="0" w:color="auto"/>
        <w:right w:val="none" w:sz="0" w:space="0" w:color="auto"/>
      </w:divBdr>
    </w:div>
    <w:div w:id="330908536">
      <w:bodyDiv w:val="1"/>
      <w:marLeft w:val="0"/>
      <w:marRight w:val="0"/>
      <w:marTop w:val="0"/>
      <w:marBottom w:val="0"/>
      <w:divBdr>
        <w:top w:val="none" w:sz="0" w:space="0" w:color="auto"/>
        <w:left w:val="none" w:sz="0" w:space="0" w:color="auto"/>
        <w:bottom w:val="none" w:sz="0" w:space="0" w:color="auto"/>
        <w:right w:val="none" w:sz="0" w:space="0" w:color="auto"/>
      </w:divBdr>
    </w:div>
    <w:div w:id="341862135">
      <w:bodyDiv w:val="1"/>
      <w:marLeft w:val="0"/>
      <w:marRight w:val="0"/>
      <w:marTop w:val="0"/>
      <w:marBottom w:val="0"/>
      <w:divBdr>
        <w:top w:val="none" w:sz="0" w:space="0" w:color="auto"/>
        <w:left w:val="none" w:sz="0" w:space="0" w:color="auto"/>
        <w:bottom w:val="none" w:sz="0" w:space="0" w:color="auto"/>
        <w:right w:val="none" w:sz="0" w:space="0" w:color="auto"/>
      </w:divBdr>
    </w:div>
    <w:div w:id="377366034">
      <w:bodyDiv w:val="1"/>
      <w:marLeft w:val="0"/>
      <w:marRight w:val="0"/>
      <w:marTop w:val="0"/>
      <w:marBottom w:val="0"/>
      <w:divBdr>
        <w:top w:val="none" w:sz="0" w:space="0" w:color="auto"/>
        <w:left w:val="none" w:sz="0" w:space="0" w:color="auto"/>
        <w:bottom w:val="none" w:sz="0" w:space="0" w:color="auto"/>
        <w:right w:val="none" w:sz="0" w:space="0" w:color="auto"/>
      </w:divBdr>
    </w:div>
    <w:div w:id="392119087">
      <w:bodyDiv w:val="1"/>
      <w:marLeft w:val="0"/>
      <w:marRight w:val="0"/>
      <w:marTop w:val="0"/>
      <w:marBottom w:val="0"/>
      <w:divBdr>
        <w:top w:val="none" w:sz="0" w:space="0" w:color="auto"/>
        <w:left w:val="none" w:sz="0" w:space="0" w:color="auto"/>
        <w:bottom w:val="none" w:sz="0" w:space="0" w:color="auto"/>
        <w:right w:val="none" w:sz="0" w:space="0" w:color="auto"/>
      </w:divBdr>
    </w:div>
    <w:div w:id="426386049">
      <w:bodyDiv w:val="1"/>
      <w:marLeft w:val="0"/>
      <w:marRight w:val="0"/>
      <w:marTop w:val="0"/>
      <w:marBottom w:val="0"/>
      <w:divBdr>
        <w:top w:val="none" w:sz="0" w:space="0" w:color="auto"/>
        <w:left w:val="none" w:sz="0" w:space="0" w:color="auto"/>
        <w:bottom w:val="none" w:sz="0" w:space="0" w:color="auto"/>
        <w:right w:val="none" w:sz="0" w:space="0" w:color="auto"/>
      </w:divBdr>
    </w:div>
    <w:div w:id="432825124">
      <w:bodyDiv w:val="1"/>
      <w:marLeft w:val="0"/>
      <w:marRight w:val="0"/>
      <w:marTop w:val="0"/>
      <w:marBottom w:val="0"/>
      <w:divBdr>
        <w:top w:val="none" w:sz="0" w:space="0" w:color="auto"/>
        <w:left w:val="none" w:sz="0" w:space="0" w:color="auto"/>
        <w:bottom w:val="none" w:sz="0" w:space="0" w:color="auto"/>
        <w:right w:val="none" w:sz="0" w:space="0" w:color="auto"/>
      </w:divBdr>
    </w:div>
    <w:div w:id="437216664">
      <w:bodyDiv w:val="1"/>
      <w:marLeft w:val="0"/>
      <w:marRight w:val="0"/>
      <w:marTop w:val="0"/>
      <w:marBottom w:val="0"/>
      <w:divBdr>
        <w:top w:val="none" w:sz="0" w:space="0" w:color="auto"/>
        <w:left w:val="none" w:sz="0" w:space="0" w:color="auto"/>
        <w:bottom w:val="none" w:sz="0" w:space="0" w:color="auto"/>
        <w:right w:val="none" w:sz="0" w:space="0" w:color="auto"/>
      </w:divBdr>
    </w:div>
    <w:div w:id="465664472">
      <w:bodyDiv w:val="1"/>
      <w:marLeft w:val="0"/>
      <w:marRight w:val="0"/>
      <w:marTop w:val="0"/>
      <w:marBottom w:val="0"/>
      <w:divBdr>
        <w:top w:val="none" w:sz="0" w:space="0" w:color="auto"/>
        <w:left w:val="none" w:sz="0" w:space="0" w:color="auto"/>
        <w:bottom w:val="none" w:sz="0" w:space="0" w:color="auto"/>
        <w:right w:val="none" w:sz="0" w:space="0" w:color="auto"/>
      </w:divBdr>
    </w:div>
    <w:div w:id="465974084">
      <w:bodyDiv w:val="1"/>
      <w:marLeft w:val="0"/>
      <w:marRight w:val="0"/>
      <w:marTop w:val="0"/>
      <w:marBottom w:val="0"/>
      <w:divBdr>
        <w:top w:val="none" w:sz="0" w:space="0" w:color="auto"/>
        <w:left w:val="none" w:sz="0" w:space="0" w:color="auto"/>
        <w:bottom w:val="none" w:sz="0" w:space="0" w:color="auto"/>
        <w:right w:val="none" w:sz="0" w:space="0" w:color="auto"/>
      </w:divBdr>
    </w:div>
    <w:div w:id="473178820">
      <w:bodyDiv w:val="1"/>
      <w:marLeft w:val="0"/>
      <w:marRight w:val="0"/>
      <w:marTop w:val="0"/>
      <w:marBottom w:val="0"/>
      <w:divBdr>
        <w:top w:val="none" w:sz="0" w:space="0" w:color="auto"/>
        <w:left w:val="none" w:sz="0" w:space="0" w:color="auto"/>
        <w:bottom w:val="none" w:sz="0" w:space="0" w:color="auto"/>
        <w:right w:val="none" w:sz="0" w:space="0" w:color="auto"/>
      </w:divBdr>
    </w:div>
    <w:div w:id="481314149">
      <w:bodyDiv w:val="1"/>
      <w:marLeft w:val="0"/>
      <w:marRight w:val="0"/>
      <w:marTop w:val="0"/>
      <w:marBottom w:val="0"/>
      <w:divBdr>
        <w:top w:val="none" w:sz="0" w:space="0" w:color="auto"/>
        <w:left w:val="none" w:sz="0" w:space="0" w:color="auto"/>
        <w:bottom w:val="none" w:sz="0" w:space="0" w:color="auto"/>
        <w:right w:val="none" w:sz="0" w:space="0" w:color="auto"/>
      </w:divBdr>
    </w:div>
    <w:div w:id="504520475">
      <w:bodyDiv w:val="1"/>
      <w:marLeft w:val="0"/>
      <w:marRight w:val="0"/>
      <w:marTop w:val="0"/>
      <w:marBottom w:val="0"/>
      <w:divBdr>
        <w:top w:val="none" w:sz="0" w:space="0" w:color="auto"/>
        <w:left w:val="none" w:sz="0" w:space="0" w:color="auto"/>
        <w:bottom w:val="none" w:sz="0" w:space="0" w:color="auto"/>
        <w:right w:val="none" w:sz="0" w:space="0" w:color="auto"/>
      </w:divBdr>
    </w:div>
    <w:div w:id="514733454">
      <w:bodyDiv w:val="1"/>
      <w:marLeft w:val="0"/>
      <w:marRight w:val="0"/>
      <w:marTop w:val="0"/>
      <w:marBottom w:val="0"/>
      <w:divBdr>
        <w:top w:val="none" w:sz="0" w:space="0" w:color="auto"/>
        <w:left w:val="none" w:sz="0" w:space="0" w:color="auto"/>
        <w:bottom w:val="none" w:sz="0" w:space="0" w:color="auto"/>
        <w:right w:val="none" w:sz="0" w:space="0" w:color="auto"/>
      </w:divBdr>
    </w:div>
    <w:div w:id="518083451">
      <w:bodyDiv w:val="1"/>
      <w:marLeft w:val="0"/>
      <w:marRight w:val="0"/>
      <w:marTop w:val="0"/>
      <w:marBottom w:val="0"/>
      <w:divBdr>
        <w:top w:val="none" w:sz="0" w:space="0" w:color="auto"/>
        <w:left w:val="none" w:sz="0" w:space="0" w:color="auto"/>
        <w:bottom w:val="none" w:sz="0" w:space="0" w:color="auto"/>
        <w:right w:val="none" w:sz="0" w:space="0" w:color="auto"/>
      </w:divBdr>
    </w:div>
    <w:div w:id="521552958">
      <w:bodyDiv w:val="1"/>
      <w:marLeft w:val="0"/>
      <w:marRight w:val="0"/>
      <w:marTop w:val="0"/>
      <w:marBottom w:val="0"/>
      <w:divBdr>
        <w:top w:val="none" w:sz="0" w:space="0" w:color="auto"/>
        <w:left w:val="none" w:sz="0" w:space="0" w:color="auto"/>
        <w:bottom w:val="none" w:sz="0" w:space="0" w:color="auto"/>
        <w:right w:val="none" w:sz="0" w:space="0" w:color="auto"/>
      </w:divBdr>
    </w:div>
    <w:div w:id="526069902">
      <w:bodyDiv w:val="1"/>
      <w:marLeft w:val="0"/>
      <w:marRight w:val="0"/>
      <w:marTop w:val="0"/>
      <w:marBottom w:val="0"/>
      <w:divBdr>
        <w:top w:val="none" w:sz="0" w:space="0" w:color="auto"/>
        <w:left w:val="none" w:sz="0" w:space="0" w:color="auto"/>
        <w:bottom w:val="none" w:sz="0" w:space="0" w:color="auto"/>
        <w:right w:val="none" w:sz="0" w:space="0" w:color="auto"/>
      </w:divBdr>
    </w:div>
    <w:div w:id="529883227">
      <w:bodyDiv w:val="1"/>
      <w:marLeft w:val="0"/>
      <w:marRight w:val="0"/>
      <w:marTop w:val="0"/>
      <w:marBottom w:val="0"/>
      <w:divBdr>
        <w:top w:val="none" w:sz="0" w:space="0" w:color="auto"/>
        <w:left w:val="none" w:sz="0" w:space="0" w:color="auto"/>
        <w:bottom w:val="none" w:sz="0" w:space="0" w:color="auto"/>
        <w:right w:val="none" w:sz="0" w:space="0" w:color="auto"/>
      </w:divBdr>
    </w:div>
    <w:div w:id="531462569">
      <w:bodyDiv w:val="1"/>
      <w:marLeft w:val="0"/>
      <w:marRight w:val="0"/>
      <w:marTop w:val="0"/>
      <w:marBottom w:val="0"/>
      <w:divBdr>
        <w:top w:val="none" w:sz="0" w:space="0" w:color="auto"/>
        <w:left w:val="none" w:sz="0" w:space="0" w:color="auto"/>
        <w:bottom w:val="none" w:sz="0" w:space="0" w:color="auto"/>
        <w:right w:val="none" w:sz="0" w:space="0" w:color="auto"/>
      </w:divBdr>
    </w:div>
    <w:div w:id="541747841">
      <w:bodyDiv w:val="1"/>
      <w:marLeft w:val="0"/>
      <w:marRight w:val="0"/>
      <w:marTop w:val="0"/>
      <w:marBottom w:val="0"/>
      <w:divBdr>
        <w:top w:val="none" w:sz="0" w:space="0" w:color="auto"/>
        <w:left w:val="none" w:sz="0" w:space="0" w:color="auto"/>
        <w:bottom w:val="none" w:sz="0" w:space="0" w:color="auto"/>
        <w:right w:val="none" w:sz="0" w:space="0" w:color="auto"/>
      </w:divBdr>
    </w:div>
    <w:div w:id="563830857">
      <w:bodyDiv w:val="1"/>
      <w:marLeft w:val="0"/>
      <w:marRight w:val="0"/>
      <w:marTop w:val="0"/>
      <w:marBottom w:val="0"/>
      <w:divBdr>
        <w:top w:val="none" w:sz="0" w:space="0" w:color="auto"/>
        <w:left w:val="none" w:sz="0" w:space="0" w:color="auto"/>
        <w:bottom w:val="none" w:sz="0" w:space="0" w:color="auto"/>
        <w:right w:val="none" w:sz="0" w:space="0" w:color="auto"/>
      </w:divBdr>
    </w:div>
    <w:div w:id="572618201">
      <w:bodyDiv w:val="1"/>
      <w:marLeft w:val="0"/>
      <w:marRight w:val="0"/>
      <w:marTop w:val="0"/>
      <w:marBottom w:val="0"/>
      <w:divBdr>
        <w:top w:val="none" w:sz="0" w:space="0" w:color="auto"/>
        <w:left w:val="none" w:sz="0" w:space="0" w:color="auto"/>
        <w:bottom w:val="none" w:sz="0" w:space="0" w:color="auto"/>
        <w:right w:val="none" w:sz="0" w:space="0" w:color="auto"/>
      </w:divBdr>
    </w:div>
    <w:div w:id="578563087">
      <w:bodyDiv w:val="1"/>
      <w:marLeft w:val="0"/>
      <w:marRight w:val="0"/>
      <w:marTop w:val="0"/>
      <w:marBottom w:val="0"/>
      <w:divBdr>
        <w:top w:val="none" w:sz="0" w:space="0" w:color="auto"/>
        <w:left w:val="none" w:sz="0" w:space="0" w:color="auto"/>
        <w:bottom w:val="none" w:sz="0" w:space="0" w:color="auto"/>
        <w:right w:val="none" w:sz="0" w:space="0" w:color="auto"/>
      </w:divBdr>
    </w:div>
    <w:div w:id="593368902">
      <w:bodyDiv w:val="1"/>
      <w:marLeft w:val="0"/>
      <w:marRight w:val="0"/>
      <w:marTop w:val="0"/>
      <w:marBottom w:val="0"/>
      <w:divBdr>
        <w:top w:val="none" w:sz="0" w:space="0" w:color="auto"/>
        <w:left w:val="none" w:sz="0" w:space="0" w:color="auto"/>
        <w:bottom w:val="none" w:sz="0" w:space="0" w:color="auto"/>
        <w:right w:val="none" w:sz="0" w:space="0" w:color="auto"/>
      </w:divBdr>
    </w:div>
    <w:div w:id="600452995">
      <w:bodyDiv w:val="1"/>
      <w:marLeft w:val="0"/>
      <w:marRight w:val="0"/>
      <w:marTop w:val="0"/>
      <w:marBottom w:val="0"/>
      <w:divBdr>
        <w:top w:val="none" w:sz="0" w:space="0" w:color="auto"/>
        <w:left w:val="none" w:sz="0" w:space="0" w:color="auto"/>
        <w:bottom w:val="none" w:sz="0" w:space="0" w:color="auto"/>
        <w:right w:val="none" w:sz="0" w:space="0" w:color="auto"/>
      </w:divBdr>
    </w:div>
    <w:div w:id="618220591">
      <w:bodyDiv w:val="1"/>
      <w:marLeft w:val="0"/>
      <w:marRight w:val="0"/>
      <w:marTop w:val="0"/>
      <w:marBottom w:val="0"/>
      <w:divBdr>
        <w:top w:val="none" w:sz="0" w:space="0" w:color="auto"/>
        <w:left w:val="none" w:sz="0" w:space="0" w:color="auto"/>
        <w:bottom w:val="none" w:sz="0" w:space="0" w:color="auto"/>
        <w:right w:val="none" w:sz="0" w:space="0" w:color="auto"/>
      </w:divBdr>
    </w:div>
    <w:div w:id="633566326">
      <w:bodyDiv w:val="1"/>
      <w:marLeft w:val="0"/>
      <w:marRight w:val="0"/>
      <w:marTop w:val="0"/>
      <w:marBottom w:val="0"/>
      <w:divBdr>
        <w:top w:val="none" w:sz="0" w:space="0" w:color="auto"/>
        <w:left w:val="none" w:sz="0" w:space="0" w:color="auto"/>
        <w:bottom w:val="none" w:sz="0" w:space="0" w:color="auto"/>
        <w:right w:val="none" w:sz="0" w:space="0" w:color="auto"/>
      </w:divBdr>
    </w:div>
    <w:div w:id="650254779">
      <w:bodyDiv w:val="1"/>
      <w:marLeft w:val="0"/>
      <w:marRight w:val="0"/>
      <w:marTop w:val="0"/>
      <w:marBottom w:val="0"/>
      <w:divBdr>
        <w:top w:val="none" w:sz="0" w:space="0" w:color="auto"/>
        <w:left w:val="none" w:sz="0" w:space="0" w:color="auto"/>
        <w:bottom w:val="none" w:sz="0" w:space="0" w:color="auto"/>
        <w:right w:val="none" w:sz="0" w:space="0" w:color="auto"/>
      </w:divBdr>
    </w:div>
    <w:div w:id="673924320">
      <w:bodyDiv w:val="1"/>
      <w:marLeft w:val="0"/>
      <w:marRight w:val="0"/>
      <w:marTop w:val="0"/>
      <w:marBottom w:val="0"/>
      <w:divBdr>
        <w:top w:val="none" w:sz="0" w:space="0" w:color="auto"/>
        <w:left w:val="none" w:sz="0" w:space="0" w:color="auto"/>
        <w:bottom w:val="none" w:sz="0" w:space="0" w:color="auto"/>
        <w:right w:val="none" w:sz="0" w:space="0" w:color="auto"/>
      </w:divBdr>
    </w:div>
    <w:div w:id="676007543">
      <w:bodyDiv w:val="1"/>
      <w:marLeft w:val="0"/>
      <w:marRight w:val="0"/>
      <w:marTop w:val="0"/>
      <w:marBottom w:val="0"/>
      <w:divBdr>
        <w:top w:val="none" w:sz="0" w:space="0" w:color="auto"/>
        <w:left w:val="none" w:sz="0" w:space="0" w:color="auto"/>
        <w:bottom w:val="none" w:sz="0" w:space="0" w:color="auto"/>
        <w:right w:val="none" w:sz="0" w:space="0" w:color="auto"/>
      </w:divBdr>
    </w:div>
    <w:div w:id="720442500">
      <w:bodyDiv w:val="1"/>
      <w:marLeft w:val="0"/>
      <w:marRight w:val="0"/>
      <w:marTop w:val="0"/>
      <w:marBottom w:val="0"/>
      <w:divBdr>
        <w:top w:val="none" w:sz="0" w:space="0" w:color="auto"/>
        <w:left w:val="none" w:sz="0" w:space="0" w:color="auto"/>
        <w:bottom w:val="none" w:sz="0" w:space="0" w:color="auto"/>
        <w:right w:val="none" w:sz="0" w:space="0" w:color="auto"/>
      </w:divBdr>
    </w:div>
    <w:div w:id="733742813">
      <w:bodyDiv w:val="1"/>
      <w:marLeft w:val="0"/>
      <w:marRight w:val="0"/>
      <w:marTop w:val="0"/>
      <w:marBottom w:val="0"/>
      <w:divBdr>
        <w:top w:val="none" w:sz="0" w:space="0" w:color="auto"/>
        <w:left w:val="none" w:sz="0" w:space="0" w:color="auto"/>
        <w:bottom w:val="none" w:sz="0" w:space="0" w:color="auto"/>
        <w:right w:val="none" w:sz="0" w:space="0" w:color="auto"/>
      </w:divBdr>
    </w:div>
    <w:div w:id="747115422">
      <w:bodyDiv w:val="1"/>
      <w:marLeft w:val="0"/>
      <w:marRight w:val="0"/>
      <w:marTop w:val="0"/>
      <w:marBottom w:val="0"/>
      <w:divBdr>
        <w:top w:val="none" w:sz="0" w:space="0" w:color="auto"/>
        <w:left w:val="none" w:sz="0" w:space="0" w:color="auto"/>
        <w:bottom w:val="none" w:sz="0" w:space="0" w:color="auto"/>
        <w:right w:val="none" w:sz="0" w:space="0" w:color="auto"/>
      </w:divBdr>
    </w:div>
    <w:div w:id="751003525">
      <w:bodyDiv w:val="1"/>
      <w:marLeft w:val="0"/>
      <w:marRight w:val="0"/>
      <w:marTop w:val="0"/>
      <w:marBottom w:val="0"/>
      <w:divBdr>
        <w:top w:val="none" w:sz="0" w:space="0" w:color="auto"/>
        <w:left w:val="none" w:sz="0" w:space="0" w:color="auto"/>
        <w:bottom w:val="none" w:sz="0" w:space="0" w:color="auto"/>
        <w:right w:val="none" w:sz="0" w:space="0" w:color="auto"/>
      </w:divBdr>
    </w:div>
    <w:div w:id="753863141">
      <w:bodyDiv w:val="1"/>
      <w:marLeft w:val="0"/>
      <w:marRight w:val="0"/>
      <w:marTop w:val="0"/>
      <w:marBottom w:val="0"/>
      <w:divBdr>
        <w:top w:val="none" w:sz="0" w:space="0" w:color="auto"/>
        <w:left w:val="none" w:sz="0" w:space="0" w:color="auto"/>
        <w:bottom w:val="none" w:sz="0" w:space="0" w:color="auto"/>
        <w:right w:val="none" w:sz="0" w:space="0" w:color="auto"/>
      </w:divBdr>
    </w:div>
    <w:div w:id="754013524">
      <w:bodyDiv w:val="1"/>
      <w:marLeft w:val="0"/>
      <w:marRight w:val="0"/>
      <w:marTop w:val="0"/>
      <w:marBottom w:val="0"/>
      <w:divBdr>
        <w:top w:val="none" w:sz="0" w:space="0" w:color="auto"/>
        <w:left w:val="none" w:sz="0" w:space="0" w:color="auto"/>
        <w:bottom w:val="none" w:sz="0" w:space="0" w:color="auto"/>
        <w:right w:val="none" w:sz="0" w:space="0" w:color="auto"/>
      </w:divBdr>
    </w:div>
    <w:div w:id="780221604">
      <w:bodyDiv w:val="1"/>
      <w:marLeft w:val="0"/>
      <w:marRight w:val="0"/>
      <w:marTop w:val="0"/>
      <w:marBottom w:val="0"/>
      <w:divBdr>
        <w:top w:val="none" w:sz="0" w:space="0" w:color="auto"/>
        <w:left w:val="none" w:sz="0" w:space="0" w:color="auto"/>
        <w:bottom w:val="none" w:sz="0" w:space="0" w:color="auto"/>
        <w:right w:val="none" w:sz="0" w:space="0" w:color="auto"/>
      </w:divBdr>
    </w:div>
    <w:div w:id="819224358">
      <w:bodyDiv w:val="1"/>
      <w:marLeft w:val="0"/>
      <w:marRight w:val="0"/>
      <w:marTop w:val="0"/>
      <w:marBottom w:val="0"/>
      <w:divBdr>
        <w:top w:val="none" w:sz="0" w:space="0" w:color="auto"/>
        <w:left w:val="none" w:sz="0" w:space="0" w:color="auto"/>
        <w:bottom w:val="none" w:sz="0" w:space="0" w:color="auto"/>
        <w:right w:val="none" w:sz="0" w:space="0" w:color="auto"/>
      </w:divBdr>
    </w:div>
    <w:div w:id="824977226">
      <w:bodyDiv w:val="1"/>
      <w:marLeft w:val="0"/>
      <w:marRight w:val="0"/>
      <w:marTop w:val="0"/>
      <w:marBottom w:val="0"/>
      <w:divBdr>
        <w:top w:val="none" w:sz="0" w:space="0" w:color="auto"/>
        <w:left w:val="none" w:sz="0" w:space="0" w:color="auto"/>
        <w:bottom w:val="none" w:sz="0" w:space="0" w:color="auto"/>
        <w:right w:val="none" w:sz="0" w:space="0" w:color="auto"/>
      </w:divBdr>
    </w:div>
    <w:div w:id="830097329">
      <w:bodyDiv w:val="1"/>
      <w:marLeft w:val="0"/>
      <w:marRight w:val="0"/>
      <w:marTop w:val="0"/>
      <w:marBottom w:val="0"/>
      <w:divBdr>
        <w:top w:val="none" w:sz="0" w:space="0" w:color="auto"/>
        <w:left w:val="none" w:sz="0" w:space="0" w:color="auto"/>
        <w:bottom w:val="none" w:sz="0" w:space="0" w:color="auto"/>
        <w:right w:val="none" w:sz="0" w:space="0" w:color="auto"/>
      </w:divBdr>
    </w:div>
    <w:div w:id="832572478">
      <w:bodyDiv w:val="1"/>
      <w:marLeft w:val="0"/>
      <w:marRight w:val="0"/>
      <w:marTop w:val="0"/>
      <w:marBottom w:val="0"/>
      <w:divBdr>
        <w:top w:val="none" w:sz="0" w:space="0" w:color="auto"/>
        <w:left w:val="none" w:sz="0" w:space="0" w:color="auto"/>
        <w:bottom w:val="none" w:sz="0" w:space="0" w:color="auto"/>
        <w:right w:val="none" w:sz="0" w:space="0" w:color="auto"/>
      </w:divBdr>
    </w:div>
    <w:div w:id="844169785">
      <w:bodyDiv w:val="1"/>
      <w:marLeft w:val="0"/>
      <w:marRight w:val="0"/>
      <w:marTop w:val="0"/>
      <w:marBottom w:val="0"/>
      <w:divBdr>
        <w:top w:val="none" w:sz="0" w:space="0" w:color="auto"/>
        <w:left w:val="none" w:sz="0" w:space="0" w:color="auto"/>
        <w:bottom w:val="none" w:sz="0" w:space="0" w:color="auto"/>
        <w:right w:val="none" w:sz="0" w:space="0" w:color="auto"/>
      </w:divBdr>
    </w:div>
    <w:div w:id="847138211">
      <w:bodyDiv w:val="1"/>
      <w:marLeft w:val="0"/>
      <w:marRight w:val="0"/>
      <w:marTop w:val="0"/>
      <w:marBottom w:val="0"/>
      <w:divBdr>
        <w:top w:val="none" w:sz="0" w:space="0" w:color="auto"/>
        <w:left w:val="none" w:sz="0" w:space="0" w:color="auto"/>
        <w:bottom w:val="none" w:sz="0" w:space="0" w:color="auto"/>
        <w:right w:val="none" w:sz="0" w:space="0" w:color="auto"/>
      </w:divBdr>
    </w:div>
    <w:div w:id="852258360">
      <w:bodyDiv w:val="1"/>
      <w:marLeft w:val="0"/>
      <w:marRight w:val="0"/>
      <w:marTop w:val="0"/>
      <w:marBottom w:val="0"/>
      <w:divBdr>
        <w:top w:val="none" w:sz="0" w:space="0" w:color="auto"/>
        <w:left w:val="none" w:sz="0" w:space="0" w:color="auto"/>
        <w:bottom w:val="none" w:sz="0" w:space="0" w:color="auto"/>
        <w:right w:val="none" w:sz="0" w:space="0" w:color="auto"/>
      </w:divBdr>
    </w:div>
    <w:div w:id="874002040">
      <w:bodyDiv w:val="1"/>
      <w:marLeft w:val="0"/>
      <w:marRight w:val="0"/>
      <w:marTop w:val="0"/>
      <w:marBottom w:val="0"/>
      <w:divBdr>
        <w:top w:val="none" w:sz="0" w:space="0" w:color="auto"/>
        <w:left w:val="none" w:sz="0" w:space="0" w:color="auto"/>
        <w:bottom w:val="none" w:sz="0" w:space="0" w:color="auto"/>
        <w:right w:val="none" w:sz="0" w:space="0" w:color="auto"/>
      </w:divBdr>
    </w:div>
    <w:div w:id="925959002">
      <w:bodyDiv w:val="1"/>
      <w:marLeft w:val="0"/>
      <w:marRight w:val="0"/>
      <w:marTop w:val="0"/>
      <w:marBottom w:val="0"/>
      <w:divBdr>
        <w:top w:val="none" w:sz="0" w:space="0" w:color="auto"/>
        <w:left w:val="none" w:sz="0" w:space="0" w:color="auto"/>
        <w:bottom w:val="none" w:sz="0" w:space="0" w:color="auto"/>
        <w:right w:val="none" w:sz="0" w:space="0" w:color="auto"/>
      </w:divBdr>
    </w:div>
    <w:div w:id="930428727">
      <w:bodyDiv w:val="1"/>
      <w:marLeft w:val="0"/>
      <w:marRight w:val="0"/>
      <w:marTop w:val="0"/>
      <w:marBottom w:val="0"/>
      <w:divBdr>
        <w:top w:val="none" w:sz="0" w:space="0" w:color="auto"/>
        <w:left w:val="none" w:sz="0" w:space="0" w:color="auto"/>
        <w:bottom w:val="none" w:sz="0" w:space="0" w:color="auto"/>
        <w:right w:val="none" w:sz="0" w:space="0" w:color="auto"/>
      </w:divBdr>
    </w:div>
    <w:div w:id="933394984">
      <w:bodyDiv w:val="1"/>
      <w:marLeft w:val="0"/>
      <w:marRight w:val="0"/>
      <w:marTop w:val="0"/>
      <w:marBottom w:val="0"/>
      <w:divBdr>
        <w:top w:val="none" w:sz="0" w:space="0" w:color="auto"/>
        <w:left w:val="none" w:sz="0" w:space="0" w:color="auto"/>
        <w:bottom w:val="none" w:sz="0" w:space="0" w:color="auto"/>
        <w:right w:val="none" w:sz="0" w:space="0" w:color="auto"/>
      </w:divBdr>
    </w:div>
    <w:div w:id="935673827">
      <w:bodyDiv w:val="1"/>
      <w:marLeft w:val="0"/>
      <w:marRight w:val="0"/>
      <w:marTop w:val="0"/>
      <w:marBottom w:val="0"/>
      <w:divBdr>
        <w:top w:val="none" w:sz="0" w:space="0" w:color="auto"/>
        <w:left w:val="none" w:sz="0" w:space="0" w:color="auto"/>
        <w:bottom w:val="none" w:sz="0" w:space="0" w:color="auto"/>
        <w:right w:val="none" w:sz="0" w:space="0" w:color="auto"/>
      </w:divBdr>
    </w:div>
    <w:div w:id="935862911">
      <w:bodyDiv w:val="1"/>
      <w:marLeft w:val="0"/>
      <w:marRight w:val="0"/>
      <w:marTop w:val="0"/>
      <w:marBottom w:val="0"/>
      <w:divBdr>
        <w:top w:val="none" w:sz="0" w:space="0" w:color="auto"/>
        <w:left w:val="none" w:sz="0" w:space="0" w:color="auto"/>
        <w:bottom w:val="none" w:sz="0" w:space="0" w:color="auto"/>
        <w:right w:val="none" w:sz="0" w:space="0" w:color="auto"/>
      </w:divBdr>
    </w:div>
    <w:div w:id="938829419">
      <w:bodyDiv w:val="1"/>
      <w:marLeft w:val="0"/>
      <w:marRight w:val="0"/>
      <w:marTop w:val="0"/>
      <w:marBottom w:val="0"/>
      <w:divBdr>
        <w:top w:val="none" w:sz="0" w:space="0" w:color="auto"/>
        <w:left w:val="none" w:sz="0" w:space="0" w:color="auto"/>
        <w:bottom w:val="none" w:sz="0" w:space="0" w:color="auto"/>
        <w:right w:val="none" w:sz="0" w:space="0" w:color="auto"/>
      </w:divBdr>
    </w:div>
    <w:div w:id="945308343">
      <w:bodyDiv w:val="1"/>
      <w:marLeft w:val="0"/>
      <w:marRight w:val="0"/>
      <w:marTop w:val="0"/>
      <w:marBottom w:val="0"/>
      <w:divBdr>
        <w:top w:val="none" w:sz="0" w:space="0" w:color="auto"/>
        <w:left w:val="none" w:sz="0" w:space="0" w:color="auto"/>
        <w:bottom w:val="none" w:sz="0" w:space="0" w:color="auto"/>
        <w:right w:val="none" w:sz="0" w:space="0" w:color="auto"/>
      </w:divBdr>
    </w:div>
    <w:div w:id="969285100">
      <w:bodyDiv w:val="1"/>
      <w:marLeft w:val="0"/>
      <w:marRight w:val="0"/>
      <w:marTop w:val="0"/>
      <w:marBottom w:val="0"/>
      <w:divBdr>
        <w:top w:val="none" w:sz="0" w:space="0" w:color="auto"/>
        <w:left w:val="none" w:sz="0" w:space="0" w:color="auto"/>
        <w:bottom w:val="none" w:sz="0" w:space="0" w:color="auto"/>
        <w:right w:val="none" w:sz="0" w:space="0" w:color="auto"/>
      </w:divBdr>
    </w:div>
    <w:div w:id="997415872">
      <w:bodyDiv w:val="1"/>
      <w:marLeft w:val="0"/>
      <w:marRight w:val="0"/>
      <w:marTop w:val="0"/>
      <w:marBottom w:val="0"/>
      <w:divBdr>
        <w:top w:val="none" w:sz="0" w:space="0" w:color="auto"/>
        <w:left w:val="none" w:sz="0" w:space="0" w:color="auto"/>
        <w:bottom w:val="none" w:sz="0" w:space="0" w:color="auto"/>
        <w:right w:val="none" w:sz="0" w:space="0" w:color="auto"/>
      </w:divBdr>
    </w:div>
    <w:div w:id="1001087304">
      <w:bodyDiv w:val="1"/>
      <w:marLeft w:val="0"/>
      <w:marRight w:val="0"/>
      <w:marTop w:val="0"/>
      <w:marBottom w:val="0"/>
      <w:divBdr>
        <w:top w:val="none" w:sz="0" w:space="0" w:color="auto"/>
        <w:left w:val="none" w:sz="0" w:space="0" w:color="auto"/>
        <w:bottom w:val="none" w:sz="0" w:space="0" w:color="auto"/>
        <w:right w:val="none" w:sz="0" w:space="0" w:color="auto"/>
      </w:divBdr>
    </w:div>
    <w:div w:id="1005594688">
      <w:bodyDiv w:val="1"/>
      <w:marLeft w:val="0"/>
      <w:marRight w:val="0"/>
      <w:marTop w:val="0"/>
      <w:marBottom w:val="0"/>
      <w:divBdr>
        <w:top w:val="none" w:sz="0" w:space="0" w:color="auto"/>
        <w:left w:val="none" w:sz="0" w:space="0" w:color="auto"/>
        <w:bottom w:val="none" w:sz="0" w:space="0" w:color="auto"/>
        <w:right w:val="none" w:sz="0" w:space="0" w:color="auto"/>
      </w:divBdr>
    </w:div>
    <w:div w:id="1022829295">
      <w:bodyDiv w:val="1"/>
      <w:marLeft w:val="0"/>
      <w:marRight w:val="0"/>
      <w:marTop w:val="0"/>
      <w:marBottom w:val="0"/>
      <w:divBdr>
        <w:top w:val="none" w:sz="0" w:space="0" w:color="auto"/>
        <w:left w:val="none" w:sz="0" w:space="0" w:color="auto"/>
        <w:bottom w:val="none" w:sz="0" w:space="0" w:color="auto"/>
        <w:right w:val="none" w:sz="0" w:space="0" w:color="auto"/>
      </w:divBdr>
    </w:div>
    <w:div w:id="1023243972">
      <w:bodyDiv w:val="1"/>
      <w:marLeft w:val="0"/>
      <w:marRight w:val="0"/>
      <w:marTop w:val="0"/>
      <w:marBottom w:val="0"/>
      <w:divBdr>
        <w:top w:val="none" w:sz="0" w:space="0" w:color="auto"/>
        <w:left w:val="none" w:sz="0" w:space="0" w:color="auto"/>
        <w:bottom w:val="none" w:sz="0" w:space="0" w:color="auto"/>
        <w:right w:val="none" w:sz="0" w:space="0" w:color="auto"/>
      </w:divBdr>
    </w:div>
    <w:div w:id="1040978460">
      <w:bodyDiv w:val="1"/>
      <w:marLeft w:val="0"/>
      <w:marRight w:val="0"/>
      <w:marTop w:val="0"/>
      <w:marBottom w:val="0"/>
      <w:divBdr>
        <w:top w:val="none" w:sz="0" w:space="0" w:color="auto"/>
        <w:left w:val="none" w:sz="0" w:space="0" w:color="auto"/>
        <w:bottom w:val="none" w:sz="0" w:space="0" w:color="auto"/>
        <w:right w:val="none" w:sz="0" w:space="0" w:color="auto"/>
      </w:divBdr>
    </w:div>
    <w:div w:id="1043946626">
      <w:bodyDiv w:val="1"/>
      <w:marLeft w:val="0"/>
      <w:marRight w:val="0"/>
      <w:marTop w:val="0"/>
      <w:marBottom w:val="0"/>
      <w:divBdr>
        <w:top w:val="none" w:sz="0" w:space="0" w:color="auto"/>
        <w:left w:val="none" w:sz="0" w:space="0" w:color="auto"/>
        <w:bottom w:val="none" w:sz="0" w:space="0" w:color="auto"/>
        <w:right w:val="none" w:sz="0" w:space="0" w:color="auto"/>
      </w:divBdr>
    </w:div>
    <w:div w:id="1045519482">
      <w:bodyDiv w:val="1"/>
      <w:marLeft w:val="0"/>
      <w:marRight w:val="0"/>
      <w:marTop w:val="0"/>
      <w:marBottom w:val="0"/>
      <w:divBdr>
        <w:top w:val="none" w:sz="0" w:space="0" w:color="auto"/>
        <w:left w:val="none" w:sz="0" w:space="0" w:color="auto"/>
        <w:bottom w:val="none" w:sz="0" w:space="0" w:color="auto"/>
        <w:right w:val="none" w:sz="0" w:space="0" w:color="auto"/>
      </w:divBdr>
    </w:div>
    <w:div w:id="1047337355">
      <w:bodyDiv w:val="1"/>
      <w:marLeft w:val="0"/>
      <w:marRight w:val="0"/>
      <w:marTop w:val="0"/>
      <w:marBottom w:val="0"/>
      <w:divBdr>
        <w:top w:val="none" w:sz="0" w:space="0" w:color="auto"/>
        <w:left w:val="none" w:sz="0" w:space="0" w:color="auto"/>
        <w:bottom w:val="none" w:sz="0" w:space="0" w:color="auto"/>
        <w:right w:val="none" w:sz="0" w:space="0" w:color="auto"/>
      </w:divBdr>
    </w:div>
    <w:div w:id="1067341995">
      <w:bodyDiv w:val="1"/>
      <w:marLeft w:val="0"/>
      <w:marRight w:val="0"/>
      <w:marTop w:val="0"/>
      <w:marBottom w:val="0"/>
      <w:divBdr>
        <w:top w:val="none" w:sz="0" w:space="0" w:color="auto"/>
        <w:left w:val="none" w:sz="0" w:space="0" w:color="auto"/>
        <w:bottom w:val="none" w:sz="0" w:space="0" w:color="auto"/>
        <w:right w:val="none" w:sz="0" w:space="0" w:color="auto"/>
      </w:divBdr>
    </w:div>
    <w:div w:id="1082022709">
      <w:bodyDiv w:val="1"/>
      <w:marLeft w:val="0"/>
      <w:marRight w:val="0"/>
      <w:marTop w:val="0"/>
      <w:marBottom w:val="0"/>
      <w:divBdr>
        <w:top w:val="none" w:sz="0" w:space="0" w:color="auto"/>
        <w:left w:val="none" w:sz="0" w:space="0" w:color="auto"/>
        <w:bottom w:val="none" w:sz="0" w:space="0" w:color="auto"/>
        <w:right w:val="none" w:sz="0" w:space="0" w:color="auto"/>
      </w:divBdr>
    </w:div>
    <w:div w:id="1093932677">
      <w:bodyDiv w:val="1"/>
      <w:marLeft w:val="0"/>
      <w:marRight w:val="0"/>
      <w:marTop w:val="0"/>
      <w:marBottom w:val="0"/>
      <w:divBdr>
        <w:top w:val="none" w:sz="0" w:space="0" w:color="auto"/>
        <w:left w:val="none" w:sz="0" w:space="0" w:color="auto"/>
        <w:bottom w:val="none" w:sz="0" w:space="0" w:color="auto"/>
        <w:right w:val="none" w:sz="0" w:space="0" w:color="auto"/>
      </w:divBdr>
    </w:div>
    <w:div w:id="1094857398">
      <w:bodyDiv w:val="1"/>
      <w:marLeft w:val="0"/>
      <w:marRight w:val="0"/>
      <w:marTop w:val="0"/>
      <w:marBottom w:val="0"/>
      <w:divBdr>
        <w:top w:val="none" w:sz="0" w:space="0" w:color="auto"/>
        <w:left w:val="none" w:sz="0" w:space="0" w:color="auto"/>
        <w:bottom w:val="none" w:sz="0" w:space="0" w:color="auto"/>
        <w:right w:val="none" w:sz="0" w:space="0" w:color="auto"/>
      </w:divBdr>
    </w:div>
    <w:div w:id="1113019168">
      <w:bodyDiv w:val="1"/>
      <w:marLeft w:val="0"/>
      <w:marRight w:val="0"/>
      <w:marTop w:val="0"/>
      <w:marBottom w:val="0"/>
      <w:divBdr>
        <w:top w:val="none" w:sz="0" w:space="0" w:color="auto"/>
        <w:left w:val="none" w:sz="0" w:space="0" w:color="auto"/>
        <w:bottom w:val="none" w:sz="0" w:space="0" w:color="auto"/>
        <w:right w:val="none" w:sz="0" w:space="0" w:color="auto"/>
      </w:divBdr>
    </w:div>
    <w:div w:id="1119490216">
      <w:bodyDiv w:val="1"/>
      <w:marLeft w:val="0"/>
      <w:marRight w:val="0"/>
      <w:marTop w:val="0"/>
      <w:marBottom w:val="0"/>
      <w:divBdr>
        <w:top w:val="none" w:sz="0" w:space="0" w:color="auto"/>
        <w:left w:val="none" w:sz="0" w:space="0" w:color="auto"/>
        <w:bottom w:val="none" w:sz="0" w:space="0" w:color="auto"/>
        <w:right w:val="none" w:sz="0" w:space="0" w:color="auto"/>
      </w:divBdr>
    </w:div>
    <w:div w:id="1124469824">
      <w:bodyDiv w:val="1"/>
      <w:marLeft w:val="0"/>
      <w:marRight w:val="0"/>
      <w:marTop w:val="0"/>
      <w:marBottom w:val="0"/>
      <w:divBdr>
        <w:top w:val="none" w:sz="0" w:space="0" w:color="auto"/>
        <w:left w:val="none" w:sz="0" w:space="0" w:color="auto"/>
        <w:bottom w:val="none" w:sz="0" w:space="0" w:color="auto"/>
        <w:right w:val="none" w:sz="0" w:space="0" w:color="auto"/>
      </w:divBdr>
    </w:div>
    <w:div w:id="1127818384">
      <w:bodyDiv w:val="1"/>
      <w:marLeft w:val="0"/>
      <w:marRight w:val="0"/>
      <w:marTop w:val="0"/>
      <w:marBottom w:val="0"/>
      <w:divBdr>
        <w:top w:val="none" w:sz="0" w:space="0" w:color="auto"/>
        <w:left w:val="none" w:sz="0" w:space="0" w:color="auto"/>
        <w:bottom w:val="none" w:sz="0" w:space="0" w:color="auto"/>
        <w:right w:val="none" w:sz="0" w:space="0" w:color="auto"/>
      </w:divBdr>
    </w:div>
    <w:div w:id="1130589148">
      <w:bodyDiv w:val="1"/>
      <w:marLeft w:val="0"/>
      <w:marRight w:val="0"/>
      <w:marTop w:val="0"/>
      <w:marBottom w:val="0"/>
      <w:divBdr>
        <w:top w:val="none" w:sz="0" w:space="0" w:color="auto"/>
        <w:left w:val="none" w:sz="0" w:space="0" w:color="auto"/>
        <w:bottom w:val="none" w:sz="0" w:space="0" w:color="auto"/>
        <w:right w:val="none" w:sz="0" w:space="0" w:color="auto"/>
      </w:divBdr>
    </w:div>
    <w:div w:id="1134567247">
      <w:bodyDiv w:val="1"/>
      <w:marLeft w:val="0"/>
      <w:marRight w:val="0"/>
      <w:marTop w:val="0"/>
      <w:marBottom w:val="0"/>
      <w:divBdr>
        <w:top w:val="none" w:sz="0" w:space="0" w:color="auto"/>
        <w:left w:val="none" w:sz="0" w:space="0" w:color="auto"/>
        <w:bottom w:val="none" w:sz="0" w:space="0" w:color="auto"/>
        <w:right w:val="none" w:sz="0" w:space="0" w:color="auto"/>
      </w:divBdr>
    </w:div>
    <w:div w:id="1140227347">
      <w:bodyDiv w:val="1"/>
      <w:marLeft w:val="0"/>
      <w:marRight w:val="0"/>
      <w:marTop w:val="0"/>
      <w:marBottom w:val="0"/>
      <w:divBdr>
        <w:top w:val="none" w:sz="0" w:space="0" w:color="auto"/>
        <w:left w:val="none" w:sz="0" w:space="0" w:color="auto"/>
        <w:bottom w:val="none" w:sz="0" w:space="0" w:color="auto"/>
        <w:right w:val="none" w:sz="0" w:space="0" w:color="auto"/>
      </w:divBdr>
    </w:div>
    <w:div w:id="1141969666">
      <w:bodyDiv w:val="1"/>
      <w:marLeft w:val="0"/>
      <w:marRight w:val="0"/>
      <w:marTop w:val="0"/>
      <w:marBottom w:val="0"/>
      <w:divBdr>
        <w:top w:val="none" w:sz="0" w:space="0" w:color="auto"/>
        <w:left w:val="none" w:sz="0" w:space="0" w:color="auto"/>
        <w:bottom w:val="none" w:sz="0" w:space="0" w:color="auto"/>
        <w:right w:val="none" w:sz="0" w:space="0" w:color="auto"/>
      </w:divBdr>
    </w:div>
    <w:div w:id="1178696391">
      <w:bodyDiv w:val="1"/>
      <w:marLeft w:val="0"/>
      <w:marRight w:val="0"/>
      <w:marTop w:val="0"/>
      <w:marBottom w:val="0"/>
      <w:divBdr>
        <w:top w:val="none" w:sz="0" w:space="0" w:color="auto"/>
        <w:left w:val="none" w:sz="0" w:space="0" w:color="auto"/>
        <w:bottom w:val="none" w:sz="0" w:space="0" w:color="auto"/>
        <w:right w:val="none" w:sz="0" w:space="0" w:color="auto"/>
      </w:divBdr>
    </w:div>
    <w:div w:id="1182236011">
      <w:bodyDiv w:val="1"/>
      <w:marLeft w:val="0"/>
      <w:marRight w:val="0"/>
      <w:marTop w:val="0"/>
      <w:marBottom w:val="0"/>
      <w:divBdr>
        <w:top w:val="none" w:sz="0" w:space="0" w:color="auto"/>
        <w:left w:val="none" w:sz="0" w:space="0" w:color="auto"/>
        <w:bottom w:val="none" w:sz="0" w:space="0" w:color="auto"/>
        <w:right w:val="none" w:sz="0" w:space="0" w:color="auto"/>
      </w:divBdr>
    </w:div>
    <w:div w:id="1186210601">
      <w:bodyDiv w:val="1"/>
      <w:marLeft w:val="0"/>
      <w:marRight w:val="0"/>
      <w:marTop w:val="0"/>
      <w:marBottom w:val="0"/>
      <w:divBdr>
        <w:top w:val="none" w:sz="0" w:space="0" w:color="auto"/>
        <w:left w:val="none" w:sz="0" w:space="0" w:color="auto"/>
        <w:bottom w:val="none" w:sz="0" w:space="0" w:color="auto"/>
        <w:right w:val="none" w:sz="0" w:space="0" w:color="auto"/>
      </w:divBdr>
    </w:div>
    <w:div w:id="1189491677">
      <w:bodyDiv w:val="1"/>
      <w:marLeft w:val="0"/>
      <w:marRight w:val="0"/>
      <w:marTop w:val="0"/>
      <w:marBottom w:val="0"/>
      <w:divBdr>
        <w:top w:val="none" w:sz="0" w:space="0" w:color="auto"/>
        <w:left w:val="none" w:sz="0" w:space="0" w:color="auto"/>
        <w:bottom w:val="none" w:sz="0" w:space="0" w:color="auto"/>
        <w:right w:val="none" w:sz="0" w:space="0" w:color="auto"/>
      </w:divBdr>
    </w:div>
    <w:div w:id="1199321146">
      <w:bodyDiv w:val="1"/>
      <w:marLeft w:val="0"/>
      <w:marRight w:val="0"/>
      <w:marTop w:val="0"/>
      <w:marBottom w:val="0"/>
      <w:divBdr>
        <w:top w:val="none" w:sz="0" w:space="0" w:color="auto"/>
        <w:left w:val="none" w:sz="0" w:space="0" w:color="auto"/>
        <w:bottom w:val="none" w:sz="0" w:space="0" w:color="auto"/>
        <w:right w:val="none" w:sz="0" w:space="0" w:color="auto"/>
      </w:divBdr>
    </w:div>
    <w:div w:id="1200704882">
      <w:bodyDiv w:val="1"/>
      <w:marLeft w:val="0"/>
      <w:marRight w:val="0"/>
      <w:marTop w:val="0"/>
      <w:marBottom w:val="0"/>
      <w:divBdr>
        <w:top w:val="none" w:sz="0" w:space="0" w:color="auto"/>
        <w:left w:val="none" w:sz="0" w:space="0" w:color="auto"/>
        <w:bottom w:val="none" w:sz="0" w:space="0" w:color="auto"/>
        <w:right w:val="none" w:sz="0" w:space="0" w:color="auto"/>
      </w:divBdr>
    </w:div>
    <w:div w:id="1205094067">
      <w:bodyDiv w:val="1"/>
      <w:marLeft w:val="0"/>
      <w:marRight w:val="0"/>
      <w:marTop w:val="0"/>
      <w:marBottom w:val="0"/>
      <w:divBdr>
        <w:top w:val="none" w:sz="0" w:space="0" w:color="auto"/>
        <w:left w:val="none" w:sz="0" w:space="0" w:color="auto"/>
        <w:bottom w:val="none" w:sz="0" w:space="0" w:color="auto"/>
        <w:right w:val="none" w:sz="0" w:space="0" w:color="auto"/>
      </w:divBdr>
    </w:div>
    <w:div w:id="1220942732">
      <w:bodyDiv w:val="1"/>
      <w:marLeft w:val="0"/>
      <w:marRight w:val="0"/>
      <w:marTop w:val="0"/>
      <w:marBottom w:val="0"/>
      <w:divBdr>
        <w:top w:val="none" w:sz="0" w:space="0" w:color="auto"/>
        <w:left w:val="none" w:sz="0" w:space="0" w:color="auto"/>
        <w:bottom w:val="none" w:sz="0" w:space="0" w:color="auto"/>
        <w:right w:val="none" w:sz="0" w:space="0" w:color="auto"/>
      </w:divBdr>
    </w:div>
    <w:div w:id="1228806880">
      <w:bodyDiv w:val="1"/>
      <w:marLeft w:val="0"/>
      <w:marRight w:val="0"/>
      <w:marTop w:val="0"/>
      <w:marBottom w:val="0"/>
      <w:divBdr>
        <w:top w:val="none" w:sz="0" w:space="0" w:color="auto"/>
        <w:left w:val="none" w:sz="0" w:space="0" w:color="auto"/>
        <w:bottom w:val="none" w:sz="0" w:space="0" w:color="auto"/>
        <w:right w:val="none" w:sz="0" w:space="0" w:color="auto"/>
      </w:divBdr>
    </w:div>
    <w:div w:id="1238590251">
      <w:bodyDiv w:val="1"/>
      <w:marLeft w:val="0"/>
      <w:marRight w:val="0"/>
      <w:marTop w:val="0"/>
      <w:marBottom w:val="0"/>
      <w:divBdr>
        <w:top w:val="none" w:sz="0" w:space="0" w:color="auto"/>
        <w:left w:val="none" w:sz="0" w:space="0" w:color="auto"/>
        <w:bottom w:val="none" w:sz="0" w:space="0" w:color="auto"/>
        <w:right w:val="none" w:sz="0" w:space="0" w:color="auto"/>
      </w:divBdr>
    </w:div>
    <w:div w:id="1283997021">
      <w:bodyDiv w:val="1"/>
      <w:marLeft w:val="0"/>
      <w:marRight w:val="0"/>
      <w:marTop w:val="0"/>
      <w:marBottom w:val="0"/>
      <w:divBdr>
        <w:top w:val="none" w:sz="0" w:space="0" w:color="auto"/>
        <w:left w:val="none" w:sz="0" w:space="0" w:color="auto"/>
        <w:bottom w:val="none" w:sz="0" w:space="0" w:color="auto"/>
        <w:right w:val="none" w:sz="0" w:space="0" w:color="auto"/>
      </w:divBdr>
    </w:div>
    <w:div w:id="1293100969">
      <w:bodyDiv w:val="1"/>
      <w:marLeft w:val="0"/>
      <w:marRight w:val="0"/>
      <w:marTop w:val="0"/>
      <w:marBottom w:val="0"/>
      <w:divBdr>
        <w:top w:val="none" w:sz="0" w:space="0" w:color="auto"/>
        <w:left w:val="none" w:sz="0" w:space="0" w:color="auto"/>
        <w:bottom w:val="none" w:sz="0" w:space="0" w:color="auto"/>
        <w:right w:val="none" w:sz="0" w:space="0" w:color="auto"/>
      </w:divBdr>
    </w:div>
    <w:div w:id="1310132982">
      <w:bodyDiv w:val="1"/>
      <w:marLeft w:val="0"/>
      <w:marRight w:val="0"/>
      <w:marTop w:val="0"/>
      <w:marBottom w:val="0"/>
      <w:divBdr>
        <w:top w:val="none" w:sz="0" w:space="0" w:color="auto"/>
        <w:left w:val="none" w:sz="0" w:space="0" w:color="auto"/>
        <w:bottom w:val="none" w:sz="0" w:space="0" w:color="auto"/>
        <w:right w:val="none" w:sz="0" w:space="0" w:color="auto"/>
      </w:divBdr>
    </w:div>
    <w:div w:id="1314720757">
      <w:bodyDiv w:val="1"/>
      <w:marLeft w:val="0"/>
      <w:marRight w:val="0"/>
      <w:marTop w:val="0"/>
      <w:marBottom w:val="0"/>
      <w:divBdr>
        <w:top w:val="none" w:sz="0" w:space="0" w:color="auto"/>
        <w:left w:val="none" w:sz="0" w:space="0" w:color="auto"/>
        <w:bottom w:val="none" w:sz="0" w:space="0" w:color="auto"/>
        <w:right w:val="none" w:sz="0" w:space="0" w:color="auto"/>
      </w:divBdr>
    </w:div>
    <w:div w:id="1334603146">
      <w:bodyDiv w:val="1"/>
      <w:marLeft w:val="0"/>
      <w:marRight w:val="0"/>
      <w:marTop w:val="0"/>
      <w:marBottom w:val="0"/>
      <w:divBdr>
        <w:top w:val="none" w:sz="0" w:space="0" w:color="auto"/>
        <w:left w:val="none" w:sz="0" w:space="0" w:color="auto"/>
        <w:bottom w:val="none" w:sz="0" w:space="0" w:color="auto"/>
        <w:right w:val="none" w:sz="0" w:space="0" w:color="auto"/>
      </w:divBdr>
    </w:div>
    <w:div w:id="1355303771">
      <w:bodyDiv w:val="1"/>
      <w:marLeft w:val="0"/>
      <w:marRight w:val="0"/>
      <w:marTop w:val="0"/>
      <w:marBottom w:val="0"/>
      <w:divBdr>
        <w:top w:val="none" w:sz="0" w:space="0" w:color="auto"/>
        <w:left w:val="none" w:sz="0" w:space="0" w:color="auto"/>
        <w:bottom w:val="none" w:sz="0" w:space="0" w:color="auto"/>
        <w:right w:val="none" w:sz="0" w:space="0" w:color="auto"/>
      </w:divBdr>
    </w:div>
    <w:div w:id="1356155990">
      <w:bodyDiv w:val="1"/>
      <w:marLeft w:val="0"/>
      <w:marRight w:val="0"/>
      <w:marTop w:val="0"/>
      <w:marBottom w:val="0"/>
      <w:divBdr>
        <w:top w:val="none" w:sz="0" w:space="0" w:color="auto"/>
        <w:left w:val="none" w:sz="0" w:space="0" w:color="auto"/>
        <w:bottom w:val="none" w:sz="0" w:space="0" w:color="auto"/>
        <w:right w:val="none" w:sz="0" w:space="0" w:color="auto"/>
      </w:divBdr>
    </w:div>
    <w:div w:id="1373963970">
      <w:bodyDiv w:val="1"/>
      <w:marLeft w:val="0"/>
      <w:marRight w:val="0"/>
      <w:marTop w:val="0"/>
      <w:marBottom w:val="0"/>
      <w:divBdr>
        <w:top w:val="none" w:sz="0" w:space="0" w:color="auto"/>
        <w:left w:val="none" w:sz="0" w:space="0" w:color="auto"/>
        <w:bottom w:val="none" w:sz="0" w:space="0" w:color="auto"/>
        <w:right w:val="none" w:sz="0" w:space="0" w:color="auto"/>
      </w:divBdr>
    </w:div>
    <w:div w:id="1390836851">
      <w:bodyDiv w:val="1"/>
      <w:marLeft w:val="0"/>
      <w:marRight w:val="0"/>
      <w:marTop w:val="0"/>
      <w:marBottom w:val="0"/>
      <w:divBdr>
        <w:top w:val="none" w:sz="0" w:space="0" w:color="auto"/>
        <w:left w:val="none" w:sz="0" w:space="0" w:color="auto"/>
        <w:bottom w:val="none" w:sz="0" w:space="0" w:color="auto"/>
        <w:right w:val="none" w:sz="0" w:space="0" w:color="auto"/>
      </w:divBdr>
    </w:div>
    <w:div w:id="1397822613">
      <w:bodyDiv w:val="1"/>
      <w:marLeft w:val="0"/>
      <w:marRight w:val="0"/>
      <w:marTop w:val="0"/>
      <w:marBottom w:val="0"/>
      <w:divBdr>
        <w:top w:val="none" w:sz="0" w:space="0" w:color="auto"/>
        <w:left w:val="none" w:sz="0" w:space="0" w:color="auto"/>
        <w:bottom w:val="none" w:sz="0" w:space="0" w:color="auto"/>
        <w:right w:val="none" w:sz="0" w:space="0" w:color="auto"/>
      </w:divBdr>
    </w:div>
    <w:div w:id="1403024963">
      <w:bodyDiv w:val="1"/>
      <w:marLeft w:val="0"/>
      <w:marRight w:val="0"/>
      <w:marTop w:val="0"/>
      <w:marBottom w:val="0"/>
      <w:divBdr>
        <w:top w:val="none" w:sz="0" w:space="0" w:color="auto"/>
        <w:left w:val="none" w:sz="0" w:space="0" w:color="auto"/>
        <w:bottom w:val="none" w:sz="0" w:space="0" w:color="auto"/>
        <w:right w:val="none" w:sz="0" w:space="0" w:color="auto"/>
      </w:divBdr>
    </w:div>
    <w:div w:id="1408652820">
      <w:bodyDiv w:val="1"/>
      <w:marLeft w:val="0"/>
      <w:marRight w:val="0"/>
      <w:marTop w:val="0"/>
      <w:marBottom w:val="0"/>
      <w:divBdr>
        <w:top w:val="none" w:sz="0" w:space="0" w:color="auto"/>
        <w:left w:val="none" w:sz="0" w:space="0" w:color="auto"/>
        <w:bottom w:val="none" w:sz="0" w:space="0" w:color="auto"/>
        <w:right w:val="none" w:sz="0" w:space="0" w:color="auto"/>
      </w:divBdr>
    </w:div>
    <w:div w:id="1443571835">
      <w:bodyDiv w:val="1"/>
      <w:marLeft w:val="0"/>
      <w:marRight w:val="0"/>
      <w:marTop w:val="0"/>
      <w:marBottom w:val="0"/>
      <w:divBdr>
        <w:top w:val="none" w:sz="0" w:space="0" w:color="auto"/>
        <w:left w:val="none" w:sz="0" w:space="0" w:color="auto"/>
        <w:bottom w:val="none" w:sz="0" w:space="0" w:color="auto"/>
        <w:right w:val="none" w:sz="0" w:space="0" w:color="auto"/>
      </w:divBdr>
    </w:div>
    <w:div w:id="1445147951">
      <w:bodyDiv w:val="1"/>
      <w:marLeft w:val="0"/>
      <w:marRight w:val="0"/>
      <w:marTop w:val="0"/>
      <w:marBottom w:val="0"/>
      <w:divBdr>
        <w:top w:val="none" w:sz="0" w:space="0" w:color="auto"/>
        <w:left w:val="none" w:sz="0" w:space="0" w:color="auto"/>
        <w:bottom w:val="none" w:sz="0" w:space="0" w:color="auto"/>
        <w:right w:val="none" w:sz="0" w:space="0" w:color="auto"/>
      </w:divBdr>
    </w:div>
    <w:div w:id="1445274688">
      <w:bodyDiv w:val="1"/>
      <w:marLeft w:val="0"/>
      <w:marRight w:val="0"/>
      <w:marTop w:val="0"/>
      <w:marBottom w:val="0"/>
      <w:divBdr>
        <w:top w:val="none" w:sz="0" w:space="0" w:color="auto"/>
        <w:left w:val="none" w:sz="0" w:space="0" w:color="auto"/>
        <w:bottom w:val="none" w:sz="0" w:space="0" w:color="auto"/>
        <w:right w:val="none" w:sz="0" w:space="0" w:color="auto"/>
      </w:divBdr>
    </w:div>
    <w:div w:id="1456682453">
      <w:bodyDiv w:val="1"/>
      <w:marLeft w:val="0"/>
      <w:marRight w:val="0"/>
      <w:marTop w:val="0"/>
      <w:marBottom w:val="0"/>
      <w:divBdr>
        <w:top w:val="none" w:sz="0" w:space="0" w:color="auto"/>
        <w:left w:val="none" w:sz="0" w:space="0" w:color="auto"/>
        <w:bottom w:val="none" w:sz="0" w:space="0" w:color="auto"/>
        <w:right w:val="none" w:sz="0" w:space="0" w:color="auto"/>
      </w:divBdr>
    </w:div>
    <w:div w:id="1458182695">
      <w:bodyDiv w:val="1"/>
      <w:marLeft w:val="0"/>
      <w:marRight w:val="0"/>
      <w:marTop w:val="0"/>
      <w:marBottom w:val="0"/>
      <w:divBdr>
        <w:top w:val="none" w:sz="0" w:space="0" w:color="auto"/>
        <w:left w:val="none" w:sz="0" w:space="0" w:color="auto"/>
        <w:bottom w:val="none" w:sz="0" w:space="0" w:color="auto"/>
        <w:right w:val="none" w:sz="0" w:space="0" w:color="auto"/>
      </w:divBdr>
    </w:div>
    <w:div w:id="1473786713">
      <w:bodyDiv w:val="1"/>
      <w:marLeft w:val="0"/>
      <w:marRight w:val="0"/>
      <w:marTop w:val="0"/>
      <w:marBottom w:val="0"/>
      <w:divBdr>
        <w:top w:val="none" w:sz="0" w:space="0" w:color="auto"/>
        <w:left w:val="none" w:sz="0" w:space="0" w:color="auto"/>
        <w:bottom w:val="none" w:sz="0" w:space="0" w:color="auto"/>
        <w:right w:val="none" w:sz="0" w:space="0" w:color="auto"/>
      </w:divBdr>
    </w:div>
    <w:div w:id="1491092905">
      <w:bodyDiv w:val="1"/>
      <w:marLeft w:val="0"/>
      <w:marRight w:val="0"/>
      <w:marTop w:val="0"/>
      <w:marBottom w:val="0"/>
      <w:divBdr>
        <w:top w:val="none" w:sz="0" w:space="0" w:color="auto"/>
        <w:left w:val="none" w:sz="0" w:space="0" w:color="auto"/>
        <w:bottom w:val="none" w:sz="0" w:space="0" w:color="auto"/>
        <w:right w:val="none" w:sz="0" w:space="0" w:color="auto"/>
      </w:divBdr>
    </w:div>
    <w:div w:id="1509061594">
      <w:bodyDiv w:val="1"/>
      <w:marLeft w:val="0"/>
      <w:marRight w:val="0"/>
      <w:marTop w:val="0"/>
      <w:marBottom w:val="0"/>
      <w:divBdr>
        <w:top w:val="none" w:sz="0" w:space="0" w:color="auto"/>
        <w:left w:val="none" w:sz="0" w:space="0" w:color="auto"/>
        <w:bottom w:val="none" w:sz="0" w:space="0" w:color="auto"/>
        <w:right w:val="none" w:sz="0" w:space="0" w:color="auto"/>
      </w:divBdr>
    </w:div>
    <w:div w:id="1533761619">
      <w:bodyDiv w:val="1"/>
      <w:marLeft w:val="0"/>
      <w:marRight w:val="0"/>
      <w:marTop w:val="0"/>
      <w:marBottom w:val="0"/>
      <w:divBdr>
        <w:top w:val="none" w:sz="0" w:space="0" w:color="auto"/>
        <w:left w:val="none" w:sz="0" w:space="0" w:color="auto"/>
        <w:bottom w:val="none" w:sz="0" w:space="0" w:color="auto"/>
        <w:right w:val="none" w:sz="0" w:space="0" w:color="auto"/>
      </w:divBdr>
    </w:div>
    <w:div w:id="1533952459">
      <w:bodyDiv w:val="1"/>
      <w:marLeft w:val="0"/>
      <w:marRight w:val="0"/>
      <w:marTop w:val="0"/>
      <w:marBottom w:val="0"/>
      <w:divBdr>
        <w:top w:val="none" w:sz="0" w:space="0" w:color="auto"/>
        <w:left w:val="none" w:sz="0" w:space="0" w:color="auto"/>
        <w:bottom w:val="none" w:sz="0" w:space="0" w:color="auto"/>
        <w:right w:val="none" w:sz="0" w:space="0" w:color="auto"/>
      </w:divBdr>
    </w:div>
    <w:div w:id="1551721133">
      <w:bodyDiv w:val="1"/>
      <w:marLeft w:val="0"/>
      <w:marRight w:val="0"/>
      <w:marTop w:val="0"/>
      <w:marBottom w:val="0"/>
      <w:divBdr>
        <w:top w:val="none" w:sz="0" w:space="0" w:color="auto"/>
        <w:left w:val="none" w:sz="0" w:space="0" w:color="auto"/>
        <w:bottom w:val="none" w:sz="0" w:space="0" w:color="auto"/>
        <w:right w:val="none" w:sz="0" w:space="0" w:color="auto"/>
      </w:divBdr>
    </w:div>
    <w:div w:id="1557542904">
      <w:bodyDiv w:val="1"/>
      <w:marLeft w:val="0"/>
      <w:marRight w:val="0"/>
      <w:marTop w:val="0"/>
      <w:marBottom w:val="0"/>
      <w:divBdr>
        <w:top w:val="none" w:sz="0" w:space="0" w:color="auto"/>
        <w:left w:val="none" w:sz="0" w:space="0" w:color="auto"/>
        <w:bottom w:val="none" w:sz="0" w:space="0" w:color="auto"/>
        <w:right w:val="none" w:sz="0" w:space="0" w:color="auto"/>
      </w:divBdr>
    </w:div>
    <w:div w:id="1557742998">
      <w:bodyDiv w:val="1"/>
      <w:marLeft w:val="0"/>
      <w:marRight w:val="0"/>
      <w:marTop w:val="0"/>
      <w:marBottom w:val="0"/>
      <w:divBdr>
        <w:top w:val="none" w:sz="0" w:space="0" w:color="auto"/>
        <w:left w:val="none" w:sz="0" w:space="0" w:color="auto"/>
        <w:bottom w:val="none" w:sz="0" w:space="0" w:color="auto"/>
        <w:right w:val="none" w:sz="0" w:space="0" w:color="auto"/>
      </w:divBdr>
    </w:div>
    <w:div w:id="1568762051">
      <w:bodyDiv w:val="1"/>
      <w:marLeft w:val="0"/>
      <w:marRight w:val="0"/>
      <w:marTop w:val="0"/>
      <w:marBottom w:val="0"/>
      <w:divBdr>
        <w:top w:val="none" w:sz="0" w:space="0" w:color="auto"/>
        <w:left w:val="none" w:sz="0" w:space="0" w:color="auto"/>
        <w:bottom w:val="none" w:sz="0" w:space="0" w:color="auto"/>
        <w:right w:val="none" w:sz="0" w:space="0" w:color="auto"/>
      </w:divBdr>
    </w:div>
    <w:div w:id="1572304569">
      <w:bodyDiv w:val="1"/>
      <w:marLeft w:val="0"/>
      <w:marRight w:val="0"/>
      <w:marTop w:val="0"/>
      <w:marBottom w:val="0"/>
      <w:divBdr>
        <w:top w:val="none" w:sz="0" w:space="0" w:color="auto"/>
        <w:left w:val="none" w:sz="0" w:space="0" w:color="auto"/>
        <w:bottom w:val="none" w:sz="0" w:space="0" w:color="auto"/>
        <w:right w:val="none" w:sz="0" w:space="0" w:color="auto"/>
      </w:divBdr>
    </w:div>
    <w:div w:id="1577015769">
      <w:bodyDiv w:val="1"/>
      <w:marLeft w:val="0"/>
      <w:marRight w:val="0"/>
      <w:marTop w:val="0"/>
      <w:marBottom w:val="0"/>
      <w:divBdr>
        <w:top w:val="none" w:sz="0" w:space="0" w:color="auto"/>
        <w:left w:val="none" w:sz="0" w:space="0" w:color="auto"/>
        <w:bottom w:val="none" w:sz="0" w:space="0" w:color="auto"/>
        <w:right w:val="none" w:sz="0" w:space="0" w:color="auto"/>
      </w:divBdr>
    </w:div>
    <w:div w:id="1586644817">
      <w:bodyDiv w:val="1"/>
      <w:marLeft w:val="0"/>
      <w:marRight w:val="0"/>
      <w:marTop w:val="0"/>
      <w:marBottom w:val="0"/>
      <w:divBdr>
        <w:top w:val="none" w:sz="0" w:space="0" w:color="auto"/>
        <w:left w:val="none" w:sz="0" w:space="0" w:color="auto"/>
        <w:bottom w:val="none" w:sz="0" w:space="0" w:color="auto"/>
        <w:right w:val="none" w:sz="0" w:space="0" w:color="auto"/>
      </w:divBdr>
    </w:div>
    <w:div w:id="1601598292">
      <w:bodyDiv w:val="1"/>
      <w:marLeft w:val="0"/>
      <w:marRight w:val="0"/>
      <w:marTop w:val="0"/>
      <w:marBottom w:val="0"/>
      <w:divBdr>
        <w:top w:val="none" w:sz="0" w:space="0" w:color="auto"/>
        <w:left w:val="none" w:sz="0" w:space="0" w:color="auto"/>
        <w:bottom w:val="none" w:sz="0" w:space="0" w:color="auto"/>
        <w:right w:val="none" w:sz="0" w:space="0" w:color="auto"/>
      </w:divBdr>
    </w:div>
    <w:div w:id="1601914303">
      <w:bodyDiv w:val="1"/>
      <w:marLeft w:val="0"/>
      <w:marRight w:val="0"/>
      <w:marTop w:val="0"/>
      <w:marBottom w:val="0"/>
      <w:divBdr>
        <w:top w:val="none" w:sz="0" w:space="0" w:color="auto"/>
        <w:left w:val="none" w:sz="0" w:space="0" w:color="auto"/>
        <w:bottom w:val="none" w:sz="0" w:space="0" w:color="auto"/>
        <w:right w:val="none" w:sz="0" w:space="0" w:color="auto"/>
      </w:divBdr>
    </w:div>
    <w:div w:id="1607880857">
      <w:bodyDiv w:val="1"/>
      <w:marLeft w:val="0"/>
      <w:marRight w:val="0"/>
      <w:marTop w:val="0"/>
      <w:marBottom w:val="0"/>
      <w:divBdr>
        <w:top w:val="none" w:sz="0" w:space="0" w:color="auto"/>
        <w:left w:val="none" w:sz="0" w:space="0" w:color="auto"/>
        <w:bottom w:val="none" w:sz="0" w:space="0" w:color="auto"/>
        <w:right w:val="none" w:sz="0" w:space="0" w:color="auto"/>
      </w:divBdr>
    </w:div>
    <w:div w:id="1611737471">
      <w:bodyDiv w:val="1"/>
      <w:marLeft w:val="0"/>
      <w:marRight w:val="0"/>
      <w:marTop w:val="0"/>
      <w:marBottom w:val="0"/>
      <w:divBdr>
        <w:top w:val="none" w:sz="0" w:space="0" w:color="auto"/>
        <w:left w:val="none" w:sz="0" w:space="0" w:color="auto"/>
        <w:bottom w:val="none" w:sz="0" w:space="0" w:color="auto"/>
        <w:right w:val="none" w:sz="0" w:space="0" w:color="auto"/>
      </w:divBdr>
    </w:div>
    <w:div w:id="1622767166">
      <w:bodyDiv w:val="1"/>
      <w:marLeft w:val="0"/>
      <w:marRight w:val="0"/>
      <w:marTop w:val="0"/>
      <w:marBottom w:val="0"/>
      <w:divBdr>
        <w:top w:val="none" w:sz="0" w:space="0" w:color="auto"/>
        <w:left w:val="none" w:sz="0" w:space="0" w:color="auto"/>
        <w:bottom w:val="none" w:sz="0" w:space="0" w:color="auto"/>
        <w:right w:val="none" w:sz="0" w:space="0" w:color="auto"/>
      </w:divBdr>
    </w:div>
    <w:div w:id="1629893461">
      <w:bodyDiv w:val="1"/>
      <w:marLeft w:val="0"/>
      <w:marRight w:val="0"/>
      <w:marTop w:val="0"/>
      <w:marBottom w:val="0"/>
      <w:divBdr>
        <w:top w:val="none" w:sz="0" w:space="0" w:color="auto"/>
        <w:left w:val="none" w:sz="0" w:space="0" w:color="auto"/>
        <w:bottom w:val="none" w:sz="0" w:space="0" w:color="auto"/>
        <w:right w:val="none" w:sz="0" w:space="0" w:color="auto"/>
      </w:divBdr>
    </w:div>
    <w:div w:id="1634677524">
      <w:bodyDiv w:val="1"/>
      <w:marLeft w:val="0"/>
      <w:marRight w:val="0"/>
      <w:marTop w:val="0"/>
      <w:marBottom w:val="0"/>
      <w:divBdr>
        <w:top w:val="none" w:sz="0" w:space="0" w:color="auto"/>
        <w:left w:val="none" w:sz="0" w:space="0" w:color="auto"/>
        <w:bottom w:val="none" w:sz="0" w:space="0" w:color="auto"/>
        <w:right w:val="none" w:sz="0" w:space="0" w:color="auto"/>
      </w:divBdr>
    </w:div>
    <w:div w:id="1647781944">
      <w:bodyDiv w:val="1"/>
      <w:marLeft w:val="0"/>
      <w:marRight w:val="0"/>
      <w:marTop w:val="0"/>
      <w:marBottom w:val="0"/>
      <w:divBdr>
        <w:top w:val="none" w:sz="0" w:space="0" w:color="auto"/>
        <w:left w:val="none" w:sz="0" w:space="0" w:color="auto"/>
        <w:bottom w:val="none" w:sz="0" w:space="0" w:color="auto"/>
        <w:right w:val="none" w:sz="0" w:space="0" w:color="auto"/>
      </w:divBdr>
    </w:div>
    <w:div w:id="1658729120">
      <w:bodyDiv w:val="1"/>
      <w:marLeft w:val="0"/>
      <w:marRight w:val="0"/>
      <w:marTop w:val="0"/>
      <w:marBottom w:val="0"/>
      <w:divBdr>
        <w:top w:val="none" w:sz="0" w:space="0" w:color="auto"/>
        <w:left w:val="none" w:sz="0" w:space="0" w:color="auto"/>
        <w:bottom w:val="none" w:sz="0" w:space="0" w:color="auto"/>
        <w:right w:val="none" w:sz="0" w:space="0" w:color="auto"/>
      </w:divBdr>
    </w:div>
    <w:div w:id="1662538449">
      <w:bodyDiv w:val="1"/>
      <w:marLeft w:val="0"/>
      <w:marRight w:val="0"/>
      <w:marTop w:val="0"/>
      <w:marBottom w:val="0"/>
      <w:divBdr>
        <w:top w:val="none" w:sz="0" w:space="0" w:color="auto"/>
        <w:left w:val="none" w:sz="0" w:space="0" w:color="auto"/>
        <w:bottom w:val="none" w:sz="0" w:space="0" w:color="auto"/>
        <w:right w:val="none" w:sz="0" w:space="0" w:color="auto"/>
      </w:divBdr>
    </w:div>
    <w:div w:id="1665207371">
      <w:bodyDiv w:val="1"/>
      <w:marLeft w:val="0"/>
      <w:marRight w:val="0"/>
      <w:marTop w:val="0"/>
      <w:marBottom w:val="0"/>
      <w:divBdr>
        <w:top w:val="none" w:sz="0" w:space="0" w:color="auto"/>
        <w:left w:val="none" w:sz="0" w:space="0" w:color="auto"/>
        <w:bottom w:val="none" w:sz="0" w:space="0" w:color="auto"/>
        <w:right w:val="none" w:sz="0" w:space="0" w:color="auto"/>
      </w:divBdr>
    </w:div>
    <w:div w:id="1673220004">
      <w:bodyDiv w:val="1"/>
      <w:marLeft w:val="0"/>
      <w:marRight w:val="0"/>
      <w:marTop w:val="0"/>
      <w:marBottom w:val="0"/>
      <w:divBdr>
        <w:top w:val="none" w:sz="0" w:space="0" w:color="auto"/>
        <w:left w:val="none" w:sz="0" w:space="0" w:color="auto"/>
        <w:bottom w:val="none" w:sz="0" w:space="0" w:color="auto"/>
        <w:right w:val="none" w:sz="0" w:space="0" w:color="auto"/>
      </w:divBdr>
    </w:div>
    <w:div w:id="1678726067">
      <w:bodyDiv w:val="1"/>
      <w:marLeft w:val="0"/>
      <w:marRight w:val="0"/>
      <w:marTop w:val="0"/>
      <w:marBottom w:val="0"/>
      <w:divBdr>
        <w:top w:val="none" w:sz="0" w:space="0" w:color="auto"/>
        <w:left w:val="none" w:sz="0" w:space="0" w:color="auto"/>
        <w:bottom w:val="none" w:sz="0" w:space="0" w:color="auto"/>
        <w:right w:val="none" w:sz="0" w:space="0" w:color="auto"/>
      </w:divBdr>
    </w:div>
    <w:div w:id="1687054742">
      <w:bodyDiv w:val="1"/>
      <w:marLeft w:val="0"/>
      <w:marRight w:val="0"/>
      <w:marTop w:val="0"/>
      <w:marBottom w:val="0"/>
      <w:divBdr>
        <w:top w:val="none" w:sz="0" w:space="0" w:color="auto"/>
        <w:left w:val="none" w:sz="0" w:space="0" w:color="auto"/>
        <w:bottom w:val="none" w:sz="0" w:space="0" w:color="auto"/>
        <w:right w:val="none" w:sz="0" w:space="0" w:color="auto"/>
      </w:divBdr>
    </w:div>
    <w:div w:id="1687097463">
      <w:bodyDiv w:val="1"/>
      <w:marLeft w:val="0"/>
      <w:marRight w:val="0"/>
      <w:marTop w:val="0"/>
      <w:marBottom w:val="0"/>
      <w:divBdr>
        <w:top w:val="none" w:sz="0" w:space="0" w:color="auto"/>
        <w:left w:val="none" w:sz="0" w:space="0" w:color="auto"/>
        <w:bottom w:val="none" w:sz="0" w:space="0" w:color="auto"/>
        <w:right w:val="none" w:sz="0" w:space="0" w:color="auto"/>
      </w:divBdr>
    </w:div>
    <w:div w:id="1692223966">
      <w:bodyDiv w:val="1"/>
      <w:marLeft w:val="0"/>
      <w:marRight w:val="0"/>
      <w:marTop w:val="0"/>
      <w:marBottom w:val="0"/>
      <w:divBdr>
        <w:top w:val="none" w:sz="0" w:space="0" w:color="auto"/>
        <w:left w:val="none" w:sz="0" w:space="0" w:color="auto"/>
        <w:bottom w:val="none" w:sz="0" w:space="0" w:color="auto"/>
        <w:right w:val="none" w:sz="0" w:space="0" w:color="auto"/>
      </w:divBdr>
    </w:div>
    <w:div w:id="1698970335">
      <w:bodyDiv w:val="1"/>
      <w:marLeft w:val="0"/>
      <w:marRight w:val="0"/>
      <w:marTop w:val="0"/>
      <w:marBottom w:val="0"/>
      <w:divBdr>
        <w:top w:val="none" w:sz="0" w:space="0" w:color="auto"/>
        <w:left w:val="none" w:sz="0" w:space="0" w:color="auto"/>
        <w:bottom w:val="none" w:sz="0" w:space="0" w:color="auto"/>
        <w:right w:val="none" w:sz="0" w:space="0" w:color="auto"/>
      </w:divBdr>
    </w:div>
    <w:div w:id="1700862074">
      <w:bodyDiv w:val="1"/>
      <w:marLeft w:val="0"/>
      <w:marRight w:val="0"/>
      <w:marTop w:val="0"/>
      <w:marBottom w:val="0"/>
      <w:divBdr>
        <w:top w:val="none" w:sz="0" w:space="0" w:color="auto"/>
        <w:left w:val="none" w:sz="0" w:space="0" w:color="auto"/>
        <w:bottom w:val="none" w:sz="0" w:space="0" w:color="auto"/>
        <w:right w:val="none" w:sz="0" w:space="0" w:color="auto"/>
      </w:divBdr>
    </w:div>
    <w:div w:id="1708336521">
      <w:bodyDiv w:val="1"/>
      <w:marLeft w:val="0"/>
      <w:marRight w:val="0"/>
      <w:marTop w:val="0"/>
      <w:marBottom w:val="0"/>
      <w:divBdr>
        <w:top w:val="none" w:sz="0" w:space="0" w:color="auto"/>
        <w:left w:val="none" w:sz="0" w:space="0" w:color="auto"/>
        <w:bottom w:val="none" w:sz="0" w:space="0" w:color="auto"/>
        <w:right w:val="none" w:sz="0" w:space="0" w:color="auto"/>
      </w:divBdr>
    </w:div>
    <w:div w:id="1713070247">
      <w:bodyDiv w:val="1"/>
      <w:marLeft w:val="0"/>
      <w:marRight w:val="0"/>
      <w:marTop w:val="0"/>
      <w:marBottom w:val="0"/>
      <w:divBdr>
        <w:top w:val="none" w:sz="0" w:space="0" w:color="auto"/>
        <w:left w:val="none" w:sz="0" w:space="0" w:color="auto"/>
        <w:bottom w:val="none" w:sz="0" w:space="0" w:color="auto"/>
        <w:right w:val="none" w:sz="0" w:space="0" w:color="auto"/>
      </w:divBdr>
    </w:div>
    <w:div w:id="1720327133">
      <w:bodyDiv w:val="1"/>
      <w:marLeft w:val="0"/>
      <w:marRight w:val="0"/>
      <w:marTop w:val="0"/>
      <w:marBottom w:val="0"/>
      <w:divBdr>
        <w:top w:val="none" w:sz="0" w:space="0" w:color="auto"/>
        <w:left w:val="none" w:sz="0" w:space="0" w:color="auto"/>
        <w:bottom w:val="none" w:sz="0" w:space="0" w:color="auto"/>
        <w:right w:val="none" w:sz="0" w:space="0" w:color="auto"/>
      </w:divBdr>
    </w:div>
    <w:div w:id="1727025221">
      <w:bodyDiv w:val="1"/>
      <w:marLeft w:val="0"/>
      <w:marRight w:val="0"/>
      <w:marTop w:val="0"/>
      <w:marBottom w:val="0"/>
      <w:divBdr>
        <w:top w:val="none" w:sz="0" w:space="0" w:color="auto"/>
        <w:left w:val="none" w:sz="0" w:space="0" w:color="auto"/>
        <w:bottom w:val="none" w:sz="0" w:space="0" w:color="auto"/>
        <w:right w:val="none" w:sz="0" w:space="0" w:color="auto"/>
      </w:divBdr>
    </w:div>
    <w:div w:id="1746225742">
      <w:bodyDiv w:val="1"/>
      <w:marLeft w:val="0"/>
      <w:marRight w:val="0"/>
      <w:marTop w:val="0"/>
      <w:marBottom w:val="0"/>
      <w:divBdr>
        <w:top w:val="none" w:sz="0" w:space="0" w:color="auto"/>
        <w:left w:val="none" w:sz="0" w:space="0" w:color="auto"/>
        <w:bottom w:val="none" w:sz="0" w:space="0" w:color="auto"/>
        <w:right w:val="none" w:sz="0" w:space="0" w:color="auto"/>
      </w:divBdr>
    </w:div>
    <w:div w:id="1751855259">
      <w:bodyDiv w:val="1"/>
      <w:marLeft w:val="0"/>
      <w:marRight w:val="0"/>
      <w:marTop w:val="0"/>
      <w:marBottom w:val="0"/>
      <w:divBdr>
        <w:top w:val="none" w:sz="0" w:space="0" w:color="auto"/>
        <w:left w:val="none" w:sz="0" w:space="0" w:color="auto"/>
        <w:bottom w:val="none" w:sz="0" w:space="0" w:color="auto"/>
        <w:right w:val="none" w:sz="0" w:space="0" w:color="auto"/>
      </w:divBdr>
    </w:div>
    <w:div w:id="1752190629">
      <w:bodyDiv w:val="1"/>
      <w:marLeft w:val="0"/>
      <w:marRight w:val="0"/>
      <w:marTop w:val="0"/>
      <w:marBottom w:val="0"/>
      <w:divBdr>
        <w:top w:val="none" w:sz="0" w:space="0" w:color="auto"/>
        <w:left w:val="none" w:sz="0" w:space="0" w:color="auto"/>
        <w:bottom w:val="none" w:sz="0" w:space="0" w:color="auto"/>
        <w:right w:val="none" w:sz="0" w:space="0" w:color="auto"/>
      </w:divBdr>
    </w:div>
    <w:div w:id="1763650028">
      <w:bodyDiv w:val="1"/>
      <w:marLeft w:val="0"/>
      <w:marRight w:val="0"/>
      <w:marTop w:val="0"/>
      <w:marBottom w:val="0"/>
      <w:divBdr>
        <w:top w:val="none" w:sz="0" w:space="0" w:color="auto"/>
        <w:left w:val="none" w:sz="0" w:space="0" w:color="auto"/>
        <w:bottom w:val="none" w:sz="0" w:space="0" w:color="auto"/>
        <w:right w:val="none" w:sz="0" w:space="0" w:color="auto"/>
      </w:divBdr>
    </w:div>
    <w:div w:id="1807696013">
      <w:bodyDiv w:val="1"/>
      <w:marLeft w:val="0"/>
      <w:marRight w:val="0"/>
      <w:marTop w:val="0"/>
      <w:marBottom w:val="0"/>
      <w:divBdr>
        <w:top w:val="none" w:sz="0" w:space="0" w:color="auto"/>
        <w:left w:val="none" w:sz="0" w:space="0" w:color="auto"/>
        <w:bottom w:val="none" w:sz="0" w:space="0" w:color="auto"/>
        <w:right w:val="none" w:sz="0" w:space="0" w:color="auto"/>
      </w:divBdr>
    </w:div>
    <w:div w:id="1825394206">
      <w:bodyDiv w:val="1"/>
      <w:marLeft w:val="0"/>
      <w:marRight w:val="0"/>
      <w:marTop w:val="0"/>
      <w:marBottom w:val="0"/>
      <w:divBdr>
        <w:top w:val="none" w:sz="0" w:space="0" w:color="auto"/>
        <w:left w:val="none" w:sz="0" w:space="0" w:color="auto"/>
        <w:bottom w:val="none" w:sz="0" w:space="0" w:color="auto"/>
        <w:right w:val="none" w:sz="0" w:space="0" w:color="auto"/>
      </w:divBdr>
    </w:div>
    <w:div w:id="1828403435">
      <w:bodyDiv w:val="1"/>
      <w:marLeft w:val="0"/>
      <w:marRight w:val="0"/>
      <w:marTop w:val="0"/>
      <w:marBottom w:val="0"/>
      <w:divBdr>
        <w:top w:val="none" w:sz="0" w:space="0" w:color="auto"/>
        <w:left w:val="none" w:sz="0" w:space="0" w:color="auto"/>
        <w:bottom w:val="none" w:sz="0" w:space="0" w:color="auto"/>
        <w:right w:val="none" w:sz="0" w:space="0" w:color="auto"/>
      </w:divBdr>
    </w:div>
    <w:div w:id="1846703727">
      <w:bodyDiv w:val="1"/>
      <w:marLeft w:val="0"/>
      <w:marRight w:val="0"/>
      <w:marTop w:val="0"/>
      <w:marBottom w:val="0"/>
      <w:divBdr>
        <w:top w:val="none" w:sz="0" w:space="0" w:color="auto"/>
        <w:left w:val="none" w:sz="0" w:space="0" w:color="auto"/>
        <w:bottom w:val="none" w:sz="0" w:space="0" w:color="auto"/>
        <w:right w:val="none" w:sz="0" w:space="0" w:color="auto"/>
      </w:divBdr>
    </w:div>
    <w:div w:id="1867133132">
      <w:bodyDiv w:val="1"/>
      <w:marLeft w:val="0"/>
      <w:marRight w:val="0"/>
      <w:marTop w:val="0"/>
      <w:marBottom w:val="0"/>
      <w:divBdr>
        <w:top w:val="none" w:sz="0" w:space="0" w:color="auto"/>
        <w:left w:val="none" w:sz="0" w:space="0" w:color="auto"/>
        <w:bottom w:val="none" w:sz="0" w:space="0" w:color="auto"/>
        <w:right w:val="none" w:sz="0" w:space="0" w:color="auto"/>
      </w:divBdr>
    </w:div>
    <w:div w:id="1874808650">
      <w:bodyDiv w:val="1"/>
      <w:marLeft w:val="0"/>
      <w:marRight w:val="0"/>
      <w:marTop w:val="0"/>
      <w:marBottom w:val="0"/>
      <w:divBdr>
        <w:top w:val="none" w:sz="0" w:space="0" w:color="auto"/>
        <w:left w:val="none" w:sz="0" w:space="0" w:color="auto"/>
        <w:bottom w:val="none" w:sz="0" w:space="0" w:color="auto"/>
        <w:right w:val="none" w:sz="0" w:space="0" w:color="auto"/>
      </w:divBdr>
    </w:div>
    <w:div w:id="1875846993">
      <w:bodyDiv w:val="1"/>
      <w:marLeft w:val="0"/>
      <w:marRight w:val="0"/>
      <w:marTop w:val="0"/>
      <w:marBottom w:val="0"/>
      <w:divBdr>
        <w:top w:val="none" w:sz="0" w:space="0" w:color="auto"/>
        <w:left w:val="none" w:sz="0" w:space="0" w:color="auto"/>
        <w:bottom w:val="none" w:sz="0" w:space="0" w:color="auto"/>
        <w:right w:val="none" w:sz="0" w:space="0" w:color="auto"/>
      </w:divBdr>
    </w:div>
    <w:div w:id="1882473971">
      <w:bodyDiv w:val="1"/>
      <w:marLeft w:val="0"/>
      <w:marRight w:val="0"/>
      <w:marTop w:val="0"/>
      <w:marBottom w:val="0"/>
      <w:divBdr>
        <w:top w:val="none" w:sz="0" w:space="0" w:color="auto"/>
        <w:left w:val="none" w:sz="0" w:space="0" w:color="auto"/>
        <w:bottom w:val="none" w:sz="0" w:space="0" w:color="auto"/>
        <w:right w:val="none" w:sz="0" w:space="0" w:color="auto"/>
      </w:divBdr>
    </w:div>
    <w:div w:id="1885824586">
      <w:bodyDiv w:val="1"/>
      <w:marLeft w:val="0"/>
      <w:marRight w:val="0"/>
      <w:marTop w:val="0"/>
      <w:marBottom w:val="0"/>
      <w:divBdr>
        <w:top w:val="none" w:sz="0" w:space="0" w:color="auto"/>
        <w:left w:val="none" w:sz="0" w:space="0" w:color="auto"/>
        <w:bottom w:val="none" w:sz="0" w:space="0" w:color="auto"/>
        <w:right w:val="none" w:sz="0" w:space="0" w:color="auto"/>
      </w:divBdr>
    </w:div>
    <w:div w:id="1890417009">
      <w:bodyDiv w:val="1"/>
      <w:marLeft w:val="0"/>
      <w:marRight w:val="0"/>
      <w:marTop w:val="0"/>
      <w:marBottom w:val="0"/>
      <w:divBdr>
        <w:top w:val="none" w:sz="0" w:space="0" w:color="auto"/>
        <w:left w:val="none" w:sz="0" w:space="0" w:color="auto"/>
        <w:bottom w:val="none" w:sz="0" w:space="0" w:color="auto"/>
        <w:right w:val="none" w:sz="0" w:space="0" w:color="auto"/>
      </w:divBdr>
    </w:div>
    <w:div w:id="1896887384">
      <w:bodyDiv w:val="1"/>
      <w:marLeft w:val="0"/>
      <w:marRight w:val="0"/>
      <w:marTop w:val="0"/>
      <w:marBottom w:val="0"/>
      <w:divBdr>
        <w:top w:val="none" w:sz="0" w:space="0" w:color="auto"/>
        <w:left w:val="none" w:sz="0" w:space="0" w:color="auto"/>
        <w:bottom w:val="none" w:sz="0" w:space="0" w:color="auto"/>
        <w:right w:val="none" w:sz="0" w:space="0" w:color="auto"/>
      </w:divBdr>
    </w:div>
    <w:div w:id="1910846066">
      <w:bodyDiv w:val="1"/>
      <w:marLeft w:val="0"/>
      <w:marRight w:val="0"/>
      <w:marTop w:val="0"/>
      <w:marBottom w:val="0"/>
      <w:divBdr>
        <w:top w:val="none" w:sz="0" w:space="0" w:color="auto"/>
        <w:left w:val="none" w:sz="0" w:space="0" w:color="auto"/>
        <w:bottom w:val="none" w:sz="0" w:space="0" w:color="auto"/>
        <w:right w:val="none" w:sz="0" w:space="0" w:color="auto"/>
      </w:divBdr>
    </w:div>
    <w:div w:id="1917782967">
      <w:bodyDiv w:val="1"/>
      <w:marLeft w:val="0"/>
      <w:marRight w:val="0"/>
      <w:marTop w:val="0"/>
      <w:marBottom w:val="0"/>
      <w:divBdr>
        <w:top w:val="none" w:sz="0" w:space="0" w:color="auto"/>
        <w:left w:val="none" w:sz="0" w:space="0" w:color="auto"/>
        <w:bottom w:val="none" w:sz="0" w:space="0" w:color="auto"/>
        <w:right w:val="none" w:sz="0" w:space="0" w:color="auto"/>
      </w:divBdr>
    </w:div>
    <w:div w:id="1932278430">
      <w:bodyDiv w:val="1"/>
      <w:marLeft w:val="0"/>
      <w:marRight w:val="0"/>
      <w:marTop w:val="0"/>
      <w:marBottom w:val="0"/>
      <w:divBdr>
        <w:top w:val="none" w:sz="0" w:space="0" w:color="auto"/>
        <w:left w:val="none" w:sz="0" w:space="0" w:color="auto"/>
        <w:bottom w:val="none" w:sz="0" w:space="0" w:color="auto"/>
        <w:right w:val="none" w:sz="0" w:space="0" w:color="auto"/>
      </w:divBdr>
    </w:div>
    <w:div w:id="1936354068">
      <w:bodyDiv w:val="1"/>
      <w:marLeft w:val="0"/>
      <w:marRight w:val="0"/>
      <w:marTop w:val="0"/>
      <w:marBottom w:val="0"/>
      <w:divBdr>
        <w:top w:val="none" w:sz="0" w:space="0" w:color="auto"/>
        <w:left w:val="none" w:sz="0" w:space="0" w:color="auto"/>
        <w:bottom w:val="none" w:sz="0" w:space="0" w:color="auto"/>
        <w:right w:val="none" w:sz="0" w:space="0" w:color="auto"/>
      </w:divBdr>
    </w:div>
    <w:div w:id="1957327760">
      <w:bodyDiv w:val="1"/>
      <w:marLeft w:val="0"/>
      <w:marRight w:val="0"/>
      <w:marTop w:val="0"/>
      <w:marBottom w:val="0"/>
      <w:divBdr>
        <w:top w:val="none" w:sz="0" w:space="0" w:color="auto"/>
        <w:left w:val="none" w:sz="0" w:space="0" w:color="auto"/>
        <w:bottom w:val="none" w:sz="0" w:space="0" w:color="auto"/>
        <w:right w:val="none" w:sz="0" w:space="0" w:color="auto"/>
      </w:divBdr>
    </w:div>
    <w:div w:id="1967854835">
      <w:bodyDiv w:val="1"/>
      <w:marLeft w:val="0"/>
      <w:marRight w:val="0"/>
      <w:marTop w:val="0"/>
      <w:marBottom w:val="0"/>
      <w:divBdr>
        <w:top w:val="none" w:sz="0" w:space="0" w:color="auto"/>
        <w:left w:val="none" w:sz="0" w:space="0" w:color="auto"/>
        <w:bottom w:val="none" w:sz="0" w:space="0" w:color="auto"/>
        <w:right w:val="none" w:sz="0" w:space="0" w:color="auto"/>
      </w:divBdr>
    </w:div>
    <w:div w:id="1971938227">
      <w:bodyDiv w:val="1"/>
      <w:marLeft w:val="0"/>
      <w:marRight w:val="0"/>
      <w:marTop w:val="0"/>
      <w:marBottom w:val="0"/>
      <w:divBdr>
        <w:top w:val="none" w:sz="0" w:space="0" w:color="auto"/>
        <w:left w:val="none" w:sz="0" w:space="0" w:color="auto"/>
        <w:bottom w:val="none" w:sz="0" w:space="0" w:color="auto"/>
        <w:right w:val="none" w:sz="0" w:space="0" w:color="auto"/>
      </w:divBdr>
    </w:div>
    <w:div w:id="1982999899">
      <w:bodyDiv w:val="1"/>
      <w:marLeft w:val="0"/>
      <w:marRight w:val="0"/>
      <w:marTop w:val="0"/>
      <w:marBottom w:val="0"/>
      <w:divBdr>
        <w:top w:val="none" w:sz="0" w:space="0" w:color="auto"/>
        <w:left w:val="none" w:sz="0" w:space="0" w:color="auto"/>
        <w:bottom w:val="none" w:sz="0" w:space="0" w:color="auto"/>
        <w:right w:val="none" w:sz="0" w:space="0" w:color="auto"/>
      </w:divBdr>
    </w:div>
    <w:div w:id="1987002918">
      <w:bodyDiv w:val="1"/>
      <w:marLeft w:val="0"/>
      <w:marRight w:val="0"/>
      <w:marTop w:val="0"/>
      <w:marBottom w:val="0"/>
      <w:divBdr>
        <w:top w:val="none" w:sz="0" w:space="0" w:color="auto"/>
        <w:left w:val="none" w:sz="0" w:space="0" w:color="auto"/>
        <w:bottom w:val="none" w:sz="0" w:space="0" w:color="auto"/>
        <w:right w:val="none" w:sz="0" w:space="0" w:color="auto"/>
      </w:divBdr>
    </w:div>
    <w:div w:id="1990281444">
      <w:bodyDiv w:val="1"/>
      <w:marLeft w:val="0"/>
      <w:marRight w:val="0"/>
      <w:marTop w:val="0"/>
      <w:marBottom w:val="0"/>
      <w:divBdr>
        <w:top w:val="none" w:sz="0" w:space="0" w:color="auto"/>
        <w:left w:val="none" w:sz="0" w:space="0" w:color="auto"/>
        <w:bottom w:val="none" w:sz="0" w:space="0" w:color="auto"/>
        <w:right w:val="none" w:sz="0" w:space="0" w:color="auto"/>
      </w:divBdr>
    </w:div>
    <w:div w:id="1991789921">
      <w:bodyDiv w:val="1"/>
      <w:marLeft w:val="0"/>
      <w:marRight w:val="0"/>
      <w:marTop w:val="0"/>
      <w:marBottom w:val="0"/>
      <w:divBdr>
        <w:top w:val="none" w:sz="0" w:space="0" w:color="auto"/>
        <w:left w:val="none" w:sz="0" w:space="0" w:color="auto"/>
        <w:bottom w:val="none" w:sz="0" w:space="0" w:color="auto"/>
        <w:right w:val="none" w:sz="0" w:space="0" w:color="auto"/>
      </w:divBdr>
    </w:div>
    <w:div w:id="1991861635">
      <w:bodyDiv w:val="1"/>
      <w:marLeft w:val="0"/>
      <w:marRight w:val="0"/>
      <w:marTop w:val="0"/>
      <w:marBottom w:val="0"/>
      <w:divBdr>
        <w:top w:val="none" w:sz="0" w:space="0" w:color="auto"/>
        <w:left w:val="none" w:sz="0" w:space="0" w:color="auto"/>
        <w:bottom w:val="none" w:sz="0" w:space="0" w:color="auto"/>
        <w:right w:val="none" w:sz="0" w:space="0" w:color="auto"/>
      </w:divBdr>
    </w:div>
    <w:div w:id="2011371896">
      <w:bodyDiv w:val="1"/>
      <w:marLeft w:val="0"/>
      <w:marRight w:val="0"/>
      <w:marTop w:val="0"/>
      <w:marBottom w:val="0"/>
      <w:divBdr>
        <w:top w:val="none" w:sz="0" w:space="0" w:color="auto"/>
        <w:left w:val="none" w:sz="0" w:space="0" w:color="auto"/>
        <w:bottom w:val="none" w:sz="0" w:space="0" w:color="auto"/>
        <w:right w:val="none" w:sz="0" w:space="0" w:color="auto"/>
      </w:divBdr>
    </w:div>
    <w:div w:id="2015111378">
      <w:bodyDiv w:val="1"/>
      <w:marLeft w:val="0"/>
      <w:marRight w:val="0"/>
      <w:marTop w:val="0"/>
      <w:marBottom w:val="0"/>
      <w:divBdr>
        <w:top w:val="none" w:sz="0" w:space="0" w:color="auto"/>
        <w:left w:val="none" w:sz="0" w:space="0" w:color="auto"/>
        <w:bottom w:val="none" w:sz="0" w:space="0" w:color="auto"/>
        <w:right w:val="none" w:sz="0" w:space="0" w:color="auto"/>
      </w:divBdr>
    </w:div>
    <w:div w:id="2032367123">
      <w:bodyDiv w:val="1"/>
      <w:marLeft w:val="0"/>
      <w:marRight w:val="0"/>
      <w:marTop w:val="0"/>
      <w:marBottom w:val="0"/>
      <w:divBdr>
        <w:top w:val="none" w:sz="0" w:space="0" w:color="auto"/>
        <w:left w:val="none" w:sz="0" w:space="0" w:color="auto"/>
        <w:bottom w:val="none" w:sz="0" w:space="0" w:color="auto"/>
        <w:right w:val="none" w:sz="0" w:space="0" w:color="auto"/>
      </w:divBdr>
    </w:div>
    <w:div w:id="2054966093">
      <w:bodyDiv w:val="1"/>
      <w:marLeft w:val="0"/>
      <w:marRight w:val="0"/>
      <w:marTop w:val="0"/>
      <w:marBottom w:val="0"/>
      <w:divBdr>
        <w:top w:val="none" w:sz="0" w:space="0" w:color="auto"/>
        <w:left w:val="none" w:sz="0" w:space="0" w:color="auto"/>
        <w:bottom w:val="none" w:sz="0" w:space="0" w:color="auto"/>
        <w:right w:val="none" w:sz="0" w:space="0" w:color="auto"/>
      </w:divBdr>
    </w:div>
    <w:div w:id="2067489682">
      <w:bodyDiv w:val="1"/>
      <w:marLeft w:val="0"/>
      <w:marRight w:val="0"/>
      <w:marTop w:val="0"/>
      <w:marBottom w:val="0"/>
      <w:divBdr>
        <w:top w:val="none" w:sz="0" w:space="0" w:color="auto"/>
        <w:left w:val="none" w:sz="0" w:space="0" w:color="auto"/>
        <w:bottom w:val="none" w:sz="0" w:space="0" w:color="auto"/>
        <w:right w:val="none" w:sz="0" w:space="0" w:color="auto"/>
      </w:divBdr>
    </w:div>
    <w:div w:id="2070641013">
      <w:bodyDiv w:val="1"/>
      <w:marLeft w:val="0"/>
      <w:marRight w:val="0"/>
      <w:marTop w:val="0"/>
      <w:marBottom w:val="0"/>
      <w:divBdr>
        <w:top w:val="none" w:sz="0" w:space="0" w:color="auto"/>
        <w:left w:val="none" w:sz="0" w:space="0" w:color="auto"/>
        <w:bottom w:val="none" w:sz="0" w:space="0" w:color="auto"/>
        <w:right w:val="none" w:sz="0" w:space="0" w:color="auto"/>
      </w:divBdr>
    </w:div>
    <w:div w:id="2084595072">
      <w:bodyDiv w:val="1"/>
      <w:marLeft w:val="0"/>
      <w:marRight w:val="0"/>
      <w:marTop w:val="0"/>
      <w:marBottom w:val="0"/>
      <w:divBdr>
        <w:top w:val="none" w:sz="0" w:space="0" w:color="auto"/>
        <w:left w:val="none" w:sz="0" w:space="0" w:color="auto"/>
        <w:bottom w:val="none" w:sz="0" w:space="0" w:color="auto"/>
        <w:right w:val="none" w:sz="0" w:space="0" w:color="auto"/>
      </w:divBdr>
    </w:div>
    <w:div w:id="2106537659">
      <w:bodyDiv w:val="1"/>
      <w:marLeft w:val="0"/>
      <w:marRight w:val="0"/>
      <w:marTop w:val="0"/>
      <w:marBottom w:val="0"/>
      <w:divBdr>
        <w:top w:val="none" w:sz="0" w:space="0" w:color="auto"/>
        <w:left w:val="none" w:sz="0" w:space="0" w:color="auto"/>
        <w:bottom w:val="none" w:sz="0" w:space="0" w:color="auto"/>
        <w:right w:val="none" w:sz="0" w:space="0" w:color="auto"/>
      </w:divBdr>
    </w:div>
    <w:div w:id="2108424251">
      <w:bodyDiv w:val="1"/>
      <w:marLeft w:val="0"/>
      <w:marRight w:val="0"/>
      <w:marTop w:val="0"/>
      <w:marBottom w:val="0"/>
      <w:divBdr>
        <w:top w:val="none" w:sz="0" w:space="0" w:color="auto"/>
        <w:left w:val="none" w:sz="0" w:space="0" w:color="auto"/>
        <w:bottom w:val="none" w:sz="0" w:space="0" w:color="auto"/>
        <w:right w:val="none" w:sz="0" w:space="0" w:color="auto"/>
      </w:divBdr>
    </w:div>
    <w:div w:id="2120056598">
      <w:bodyDiv w:val="1"/>
      <w:marLeft w:val="0"/>
      <w:marRight w:val="0"/>
      <w:marTop w:val="0"/>
      <w:marBottom w:val="0"/>
      <w:divBdr>
        <w:top w:val="none" w:sz="0" w:space="0" w:color="auto"/>
        <w:left w:val="none" w:sz="0" w:space="0" w:color="auto"/>
        <w:bottom w:val="none" w:sz="0" w:space="0" w:color="auto"/>
        <w:right w:val="none" w:sz="0" w:space="0" w:color="auto"/>
      </w:divBdr>
    </w:div>
    <w:div w:id="2123525949">
      <w:bodyDiv w:val="1"/>
      <w:marLeft w:val="0"/>
      <w:marRight w:val="0"/>
      <w:marTop w:val="0"/>
      <w:marBottom w:val="0"/>
      <w:divBdr>
        <w:top w:val="none" w:sz="0" w:space="0" w:color="auto"/>
        <w:left w:val="none" w:sz="0" w:space="0" w:color="auto"/>
        <w:bottom w:val="none" w:sz="0" w:space="0" w:color="auto"/>
        <w:right w:val="none" w:sz="0" w:space="0" w:color="auto"/>
      </w:divBdr>
    </w:div>
    <w:div w:id="2132358705">
      <w:bodyDiv w:val="1"/>
      <w:marLeft w:val="0"/>
      <w:marRight w:val="0"/>
      <w:marTop w:val="0"/>
      <w:marBottom w:val="0"/>
      <w:divBdr>
        <w:top w:val="none" w:sz="0" w:space="0" w:color="auto"/>
        <w:left w:val="none" w:sz="0" w:space="0" w:color="auto"/>
        <w:bottom w:val="none" w:sz="0" w:space="0" w:color="auto"/>
        <w:right w:val="none" w:sz="0" w:space="0" w:color="auto"/>
      </w:divBdr>
    </w:div>
    <w:div w:id="2139685535">
      <w:bodyDiv w:val="1"/>
      <w:marLeft w:val="0"/>
      <w:marRight w:val="0"/>
      <w:marTop w:val="0"/>
      <w:marBottom w:val="0"/>
      <w:divBdr>
        <w:top w:val="none" w:sz="0" w:space="0" w:color="auto"/>
        <w:left w:val="none" w:sz="0" w:space="0" w:color="auto"/>
        <w:bottom w:val="none" w:sz="0" w:space="0" w:color="auto"/>
        <w:right w:val="none" w:sz="0" w:space="0" w:color="auto"/>
      </w:divBdr>
    </w:div>
    <w:div w:id="2144691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37010F"/>
    <w:rsid w:val="004D25D2"/>
    <w:rsid w:val="00630BFA"/>
    <w:rsid w:val="00820FC8"/>
    <w:rsid w:val="008D041B"/>
    <w:rsid w:val="00A34C42"/>
    <w:rsid w:val="00A57A79"/>
    <w:rsid w:val="00BC1251"/>
    <w:rsid w:val="00BC329E"/>
    <w:rsid w:val="00BF6529"/>
    <w:rsid w:val="00C67429"/>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Ain19</b:Tag>
    <b:SourceType>Book</b:SourceType>
    <b:Guid>{6CDBC093-2299-470C-AEC9-C0D245D7E7BE}</b:Guid>
    <b:Title>Introduction to accounting: An integrated approach</b:Title>
    <b:Year>2019</b:Year>
    <b:Author>
      <b:Author>
        <b:NameList>
          <b:Person>
            <b:Last>Ainsworth</b:Last>
            <b:First>Penne</b:First>
          </b:Person>
          <b:Person>
            <b:Last>Deines</b:Last>
            <b:First>Dan</b:First>
          </b:Person>
        </b:NameList>
      </b:Author>
    </b:Author>
    <b:Publisher>John Wiley &amp; Sons</b:Publisher>
    <b:RefOrder>25</b:RefOrder>
  </b:Source>
  <b:Source>
    <b:Tag>Awa20</b:Tag>
    <b:SourceType>JournalArticle</b:SourceType>
    <b:Guid>{097E49D7-7164-4E55-BAC9-3D29BFA10E00}</b:Guid>
    <b:Title>On the relation between corporate social responsibility and financial performance</b:Title>
    <b:Year>2020</b:Year>
    <b:JournalName>Strategic Management Journal</b:JournalName>
    <b:Pages>965-987</b:Pages>
    <b:Volume>41</b:Volume>
    <b:Issue>4</b:Issue>
    <b:Author>
      <b:Author>
        <b:NameList>
          <b:Person>
            <b:Last>Awaysheh</b:Last>
            <b:First>Amrou</b:First>
          </b:Person>
          <b:Person>
            <b:Last>Heron</b:Last>
            <b:Middle>A</b:Middle>
            <b:First>Randall</b:First>
          </b:Person>
          <b:Person>
            <b:Last>Perry</b:Last>
            <b:First>Tod</b:First>
          </b:Person>
          <b:Person>
            <b:Last>Wilson</b:Last>
            <b:Middle>I</b:Middle>
            <b:First>Jared</b:First>
          </b:Person>
        </b:NameList>
      </b:Author>
    </b:Author>
    <b:RefOrder>26</b:RefOrder>
  </b:Source>
  <b:Source>
    <b:Tag>Yan20</b:Tag>
    <b:SourceType>JournalArticle</b:SourceType>
    <b:Guid>{BE61AF71-1963-48E3-98D9-C1B270601B32}</b:Guid>
    <b:Title>Detecting accounting fraud in publicly traded US firms using a machine learning approach</b:Title>
    <b:JournalName> Journal of Accounting Research</b:JournalName>
    <b:Year>2020</b:Year>
    <b:Pages>199-235</b:Pages>
    <b:Volume>58</b:Volume>
    <b:Issue>1</b:Issue>
    <b:Author>
      <b:Author>
        <b:NameList>
          <b:Person>
            <b:Last>Yang</b:Last>
            <b:First>Bao</b:First>
          </b:Person>
          <b:Person>
            <b:Last>Ke</b:Last>
            <b:First>Bin</b:First>
          </b:Person>
          <b:Person>
            <b:Last>Li</b:Last>
            <b:First>Bin</b:First>
          </b:Person>
          <b:Person>
            <b:Last>Yu</b:Last>
            <b:First>Y. Julia</b:First>
          </b:Person>
          <b:Person>
            <b:Last>Zh</b:Last>
            <b:First>Jie</b:First>
          </b:Person>
        </b:NameList>
      </b:Author>
    </b:Author>
    <b:RefOrder>27</b:RefOrder>
  </b:Source>
  <b:Source>
    <b:Tag>Bid22</b:Tag>
    <b:SourceType>JournalArticle</b:SourceType>
    <b:Guid>{2B3FE44F-6906-4C77-AEC0-68929DFC822B}</b:Guid>
    <b:Title>Accounting conservatism and bankruptcy risk</b:Title>
    <b:JournalName>Journal of Accounting, Auditing &amp; Finance</b:JournalName>
    <b:Year>2022</b:Year>
    <b:Pages>295-323</b:Pages>
    <b:Volume>37</b:Volume>
    <b:Issue>2</b:Issue>
    <b:Author>
      <b:Author>
        <b:NameList>
          <b:Person>
            <b:Last>Biddle</b:Last>
            <b:Middle>C</b:Middle>
            <b:First>Gary</b:First>
          </b:Person>
          <b:Person>
            <b:Last>Ma</b:Last>
            <b:Middle>LZ</b:Middle>
            <b:First>Mary</b:First>
          </b:Person>
          <b:Person>
            <b:Last>Song</b:Last>
            <b:Middle>M</b:Middle>
            <b:First>Frank</b:First>
          </b:Person>
        </b:NameList>
      </b:Author>
    </b:Author>
    <b:RefOrder>28</b:RefOrder>
  </b:Source>
  <b:Source>
    <b:Tag>Boa23</b:Tag>
    <b:SourceType>BookSection</b:SourceType>
    <b:Guid>{A35F646D-B8E9-42DB-83F2-19EF5D7E2F5B}</b:Guid>
    <b:Title>The taxation of natural resources: principles and policy issues</b:Title>
    <b:Year>2023</b:Year>
    <b:Pages>17-81</b:Pages>
    <b:Author>
      <b:Author>
        <b:NameList>
          <b:Person>
            <b:Last>Boadway</b:Last>
            <b:First>Robin</b:First>
          </b:Person>
          <b:Person>
            <b:Last>Flatters</b:Last>
            <b:First>Frank</b:First>
          </b:Person>
        </b:NameList>
      </b:Author>
    </b:Author>
    <b:BookTitle>Taxing choices for managing natural resources, the environment, and global climate change: Fiscal systems reform perspectives </b:BookTitle>
    <b:Publisher>Cham:Springer International Publishing</b:Publisher>
    <b:RefOrder>29</b:RefOrder>
  </b:Source>
  <b:Source>
    <b:Tag>Bra19</b:Tag>
    <b:SourceType>JournalArticle</b:SourceType>
    <b:Guid>{A7B3AF1E-3E81-4953-9D2A-59376241D4AA}</b:Guid>
    <b:Title>Agency costs and tax planning when the government is a major shareholder</b:Title>
    <b:Year>2019</b:Year>
    <b:Pages>255-277</b:Pages>
    <b:JournalName> Journal of Accounting and Economics</b:JournalName>
    <b:Volume>67</b:Volume>
    <b:Issue>2-3</b:Issue>
    <b:Author>
      <b:Author>
        <b:NameList>
          <b:Person>
            <b:Last>Bradshaw</b:Last>
            <b:First>Mark</b:First>
          </b:Person>
          <b:Person>
            <b:Last>Liao</b:Last>
            <b:First>Guanmin</b:First>
          </b:Person>
          <b:Person>
            <b:Last>Ma</b:Last>
            <b:Middle>Shuai</b:Middle>
            <b:First>Mark</b:First>
          </b:Person>
        </b:NameList>
      </b:Author>
    </b:Author>
    <b:RefOrder>30</b:RefOrder>
  </b:Source>
  <b:Source>
    <b:Tag>But19</b:Tag>
    <b:SourceType>Book</b:SourceType>
    <b:Guid>{4C6B74C7-B16B-456E-ADF9-EB722C8FF684}</b:Guid>
    <b:Title>Customer relationship management: concepts and technologies</b:Title>
    <b:Year>2019</b:Year>
    <b:Publisher>Routledge</b:Publisher>
    <b:Author>
      <b:Author>
        <b:NameList>
          <b:Person>
            <b:Last>Buttle</b:Last>
            <b:First>Francis</b:First>
          </b:Person>
          <b:Person>
            <b:Last>Maklan</b:Last>
            <b:First>Stan</b:First>
          </b:Person>
        </b:NameList>
      </b:Author>
    </b:Author>
    <b:RefOrder>31</b:RefOrder>
  </b:Source>
  <b:Source>
    <b:Tag>daS20</b:Tag>
    <b:SourceType>JournalArticle</b:SourceType>
    <b:Guid>{BE82CC72-D690-4CAA-A262-95B970557123}</b:Guid>
    <b:Title>Accounting information tools in managerial clinical service decision-making processes: Evidence from Portuguese public hospitals</b:Title>
    <b:Year>2020</b:Year>
    <b:JournalName>International Public Management Journal 23, no. 4 (2020): 535-563.</b:JournalName>
    <b:Pages>535-563</b:Pages>
    <b:Volume>23</b:Volume>
    <b:Issue>4</b:Issue>
    <b:Author>
      <b:Author>
        <b:NameList>
          <b:Person>
            <b:Last>da Silva</b:Last>
            <b:Middle>Ferreira</b:Middle>
            <b:First>Amelia</b:First>
          </b:Person>
          <b:Person>
            <b:Last>Fernandez-Feijoo</b:Last>
            <b:First>Belen</b:First>
          </b:Person>
          <b:Person>
            <b:Last>Susana</b:Last>
            <b:First>Gago</b:First>
          </b:Person>
        </b:NameList>
      </b:Author>
    </b:Author>
    <b:RefOrder>32</b:RefOrder>
  </b:Source>
  <b:Source>
    <b:Tag>Fac19</b:Tag>
    <b:SourceType>JournalArticle</b:SourceType>
    <b:Guid>{54E1D3E3-DDCF-4FF9-B879-6212AC9696C5}</b:Guid>
    <b:Title>Tax evasion, information systems and blockchain</b:Title>
    <b:JournalName>Journal of Information Systems &amp; Operations Management</b:JournalName>
    <b:Year>2019</b:Year>
    <b:Pages>65-74</b:Pages>
    <b:Volume>13</b:Volume>
    <b:Issue>1</b:Issue>
    <b:Author>
      <b:Author>
        <b:NameList>
          <b:Person>
            <b:Last>Faccia</b:Last>
            <b:First>Alessio</b:First>
          </b:Person>
          <b:Person>
            <b:Last>Mosteanu</b:Last>
            <b:Middle>Roxana</b:Middle>
            <b:First>Narcisa</b:First>
          </b:Person>
        </b:NameList>
      </b:Author>
    </b:Author>
    <b:RefOrder>33</b:RefOrder>
  </b:Source>
  <b:Source>
    <b:Tag>Fau19</b:Tag>
    <b:SourceType>JournalArticle</b:SourceType>
    <b:Guid>{C8BF1E0B-582D-4171-9F43-660F488697C1}</b:Guid>
    <b:Title>Understanding the rise in corporate cash: Precautionary savings or foreign taxes</b:Title>
    <b:JournalName>The Review of Financial Studies</b:JournalName>
    <b:Year>2019</b:Year>
    <b:Pages>3299-3334</b:Pages>
    <b:Volume>32</b:Volume>
    <b:Issue>9</b:Issue>
    <b:Author>
      <b:Author>
        <b:NameList>
          <b:Person>
            <b:Last>Faulkender</b:Last>
            <b:Middle>W</b:Middle>
            <b:First>Michael</b:First>
          </b:Person>
          <b:Person>
            <b:Last>Hankins</b:Last>
            <b:Middle>W</b:Middle>
            <b:First>Kristine</b:First>
          </b:Person>
          <b:Person>
            <b:Last>Petersen</b:Last>
            <b:Middle>A</b:Middle>
            <b:First>Mitchell</b:First>
          </b:Person>
        </b:NameList>
      </b:Author>
    </b:Author>
    <b:RefOrder>34</b:RefOrder>
  </b:Source>
  <b:Source>
    <b:Tag>Gan19</b:Tag>
    <b:SourceType>Book</b:SourceType>
    <b:Guid>{58B6C4D8-8728-4A45-8C0F-60A87319F1E1}</b:Guid>
    <b:Title>Capitalism, social privilege and managerial ideologies</b:Title>
    <b:Year>2019</b:Year>
    <b:Publisher>Routledge</b:Publisher>
    <b:Author>
      <b:Author>
        <b:NameList>
          <b:Person>
            <b:Last>Gantman</b:Last>
            <b:Middle>R</b:Middle>
            <b:First>Ernesto</b:First>
          </b:Person>
        </b:NameList>
      </b:Author>
    </b:Author>
    <b:RefOrder>35</b:RefOrder>
  </b:Source>
  <b:Source>
    <b:Tag>Hai19</b:Tag>
    <b:SourceType>JournalArticle</b:SourceType>
    <b:Guid>{8F29BC56-E261-41D4-86EF-26C080A6BADC}</b:Guid>
    <b:Title>Effect of audit rotation, audit fee and auditor competence to motivation auditor and audit quality: Empirical evidence in Vietnam</b:Title>
    <b:JournalName>Academy of Accounting and Financial Studies Journal</b:JournalName>
    <b:Year>2019</b:Year>
    <b:Pages>1-14</b:Pages>
    <b:Volume>23</b:Volume>
    <b:Issue>2</b:Issue>
    <b:Author>
      <b:Author>
        <b:NameList>
          <b:Person>
            <b:Last>Hai</b:Last>
            <b:Middle>Thanh</b:Middle>
            <b:First>Phan</b:First>
          </b:Person>
          <b:Person>
            <b:Last>Quy</b:Last>
            <b:Middle>Le Dinh</b:Middle>
            <b:First>Nguyen</b:First>
          </b:Person>
        </b:NameList>
      </b:Author>
    </b:Author>
    <b:RefOrder>36</b:RefOrder>
  </b:Source>
  <b:Source>
    <b:Tag>Hak</b:Tag>
    <b:SourceType>Book</b:SourceType>
    <b:Guid>{C14219F5-D18E-4759-8DAE-B3D81553369A}</b:Guid>
    <b:Title>The hypocritical hegemon: How the United States shapes global rules against tax evasion and avoidance</b:Title>
    <b:Author>
      <b:Author>
        <b:NameList>
          <b:Person>
            <b:Last>Hakelberg</b:Last>
            <b:First>Lukas</b:First>
          </b:Person>
        </b:NameList>
      </b:Author>
    </b:Author>
    <b:Year>2020</b:Year>
    <b:Publisher>Cornell University Press</b:Publisher>
    <b:RefOrder>37</b:RefOrder>
  </b:Source>
  <b:Source>
    <b:Tag>Kaa21</b:Tag>
    <b:SourceType>JournalArticle</b:SourceType>
    <b:Guid>{FA4C1F74-7A46-4210-960B-6072C64C2E0D}</b:Guid>
    <b:Title>Corporate governance, internal audit quality and financial reporting quality of financial institutions</b:Title>
    <b:Year>2021</b:Year>
    <b:JournalName>Asian Journal of Accounting Research</b:JournalName>
    <b:Pages>348-366</b:Pages>
    <b:Volume>6</b:Volume>
    <b:Issue>3</b:Issue>
    <b:Author>
      <b:Author>
        <b:NameList>
          <b:Person>
            <b:Last>Kaawaase</b:Last>
            <b:Middle>Kigongo</b:Middle>
            <b:First>Twaha</b:First>
          </b:Person>
          <b:Person>
            <b:Last>Nairuba</b:Last>
            <b:First>Catherine</b:First>
          </b:Person>
          <b:Person>
            <b:Last>Akankunda</b:Last>
            <b:First>Brendah</b:First>
          </b:Person>
          <b:Person>
            <b:Last>Bananuka</b:Last>
            <b:First>Juma</b:First>
          </b:Person>
        </b:NameList>
      </b:Author>
    </b:Author>
    <b:RefOrder>38</b:RefOrder>
  </b:Source>
  <b:Source>
    <b:Tag>Mas20</b:Tag>
    <b:SourceType>JournalArticle</b:SourceType>
    <b:Guid>{0413C6F1-C8E3-4FC7-8958-B9B58998728E}</b:Guid>
    <b:Title>Implications of the joint provision of CSR assurance and financial audit for auditors' assessment of going‐concern risk</b:Title>
    <b:JournalName>Contemporary Accounting Research</b:JournalName>
    <b:Year>2020</b:Year>
    <b:Pages>1248-1289</b:Pages>
    <b:Volume>37</b:Volume>
    <b:Issue>2</b:Issue>
    <b:Author>
      <b:Author>
        <b:NameList>
          <b:Person>
            <b:Last>Maso</b:Last>
            <b:Middle>Dal</b:Middle>
            <b:First>Lorenzo</b:First>
          </b:Person>
          <b:Person>
            <b:Last>Lobo</b:Last>
            <b:Middle>L</b:Middle>
            <b:First>Gerald</b:First>
          </b:Person>
          <b:Person>
            <b:Last>Mazzi</b:Last>
            <b:First>Francesco</b:First>
          </b:Person>
          <b:Person>
            <b:Last>Paugam</b:Last>
            <b:First>Luc</b:First>
          </b:Person>
        </b:NameList>
      </b:Author>
    </b:Author>
    <b:RefOrder>39</b:RefOrder>
  </b:Source>
  <b:Source>
    <b:Tag>Men19</b:Tag>
    <b:SourceType>Book</b:SourceType>
    <b:Guid>{94180E48-1BDB-4586-BF08-D3FF431BC4A2}</b:Guid>
    <b:Title>Earnings quality: Definitions, measures, and financial reporting</b:Title>
    <b:Year>2019</b:Year>
    <b:Publisher> Springer Nature</b:Publisher>
    <b:Author>
      <b:Author>
        <b:NameList>
          <b:Person>
            <b:Last>Menicucci</b:Last>
            <b:First>Elisa</b:First>
          </b:Person>
        </b:NameList>
      </b:Author>
    </b:Author>
    <b:RefOrder>40</b:RefOrder>
  </b:Source>
  <b:Source>
    <b:Tag>Mos20</b:Tag>
    <b:SourceType>JournalArticle</b:SourceType>
    <b:Guid>{16DDD187-356F-47B2-921F-F12333AEA865}</b:Guid>
    <b:Title>Digital systems and new challenges of financial management–FinTech, XBRL, blockchain and cryptocurrencies</b:Title>
    <b:Year>2020</b:Year>
    <b:JournalName>Quality–Access to Success</b:JournalName>
    <b:Pages>159-166</b:Pages>
    <b:Volume>21</b:Volume>
    <b:Issue>174</b:Issue>
    <b:Author>
      <b:Author>
        <b:NameList>
          <b:Person>
            <b:Last>Mosteanu</b:Last>
            <b:Middle>Roxana</b:Middle>
            <b:First>Narcisa</b:First>
          </b:Person>
          <b:Person>
            <b:Last>Faccia</b:Last>
            <b:First>Alessio</b:First>
          </b:Person>
        </b:NameList>
      </b:Author>
    </b:Author>
    <b:RefOrder>41</b:RefOrder>
  </b:Source>
  <b:Source>
    <b:Tag>Mut21</b:Tag>
    <b:SourceType>JournalArticle</b:SourceType>
    <b:Guid>{FD1454EA-3A04-41E4-A4CC-7919231AF716}</b:Guid>
    <b:Title>Dark triad managerial personality and financial reporting manipulation</b:Title>
    <b:JournalName>Journal of Business Ethics</b:JournalName>
    <b:Year>20221</b:Year>
    <b:Pages>1-26</b:Pages>
    <b:Author>
      <b:Author>
        <b:NameList>
          <b:Person>
            <b:Last>Mutschmann</b:Last>
            <b:First>Martin</b:First>
          </b:Person>
          <b:Person>
            <b:Last>Hasso</b:Last>
            <b:First>Tim</b:First>
          </b:Person>
          <b:Person>
            <b:Last>Pelste</b:Last>
            <b:First>Matthias</b:First>
          </b:Person>
        </b:NameList>
      </b:Author>
    </b:Author>
    <b:RefOrder>42</b:RefOrder>
  </b:Source>
  <b:Source>
    <b:Tag>Ode23</b:Tag>
    <b:SourceType>JournalArticle</b:SourceType>
    <b:Guid>{DBCB00FC-B92F-49C7-BAB6-603DBB59EFEC}</b:Guid>
    <b:Title>Odek, Robert, and Josephat Oluoch Oluoch. "An Evaluation of Contributions of Selected Organizational and Sociological Theories to Managerial Accounting Research</b:Title>
    <b:JournalName>Accounting and Finance Studies</b:JournalName>
    <b:Year>2023</b:Year>
    <b:Pages>97-116</b:Pages>
    <b:Volume>3</b:Volume>
    <b:Issue>2</b:Issue>
    <b:Author>
      <b:Author>
        <b:NameList>
          <b:Person>
            <b:Last>Odek</b:Last>
            <b:First>Robert</b:First>
          </b:Person>
          <b:Person>
            <b:Last>Oluoch</b:Last>
            <b:Middle>Oluoch</b:Middle>
            <b:First>Josephat</b:First>
          </b:Person>
        </b:NameList>
      </b:Author>
    </b:Author>
    <b:RefOrder>43</b:RefOrder>
  </b:Source>
  <b:Source>
    <b:Tag>Pap20</b:Tag>
    <b:SourceType>Book</b:SourceType>
    <b:Guid>{3ED3CAD3-7457-4AF0-B6A5-59774C4D2E9B}</b:Guid>
    <b:Title>Machine learning applications for accounting disclosure and fraud detection</b:Title>
    <b:Year>2020</b:Year>
    <b:Publisher>IGI Global</b:Publisher>
    <b:Author>
      <b:Author>
        <b:NameList>
          <b:Person>
            <b:Last>Papadakis</b:Last>
            <b:First>Stylianos</b:First>
          </b:Person>
          <b:Person>
            <b:Last>Garefalakis</b:Last>
            <b:First>Alexandros</b:First>
          </b:Person>
          <b:Person>
            <b:Last>Lemonakis</b:Last>
            <b:First>Christos</b:First>
          </b:Person>
          <b:Person>
            <b:Last>Chimonaki</b:Last>
            <b:First>Christiana</b:First>
          </b:Person>
          <b:Person>
            <b:Last>Zopounidis</b:Last>
            <b:First>Constantin</b:First>
          </b:Person>
        </b:NameList>
      </b:Author>
    </b:Author>
    <b:RefOrder>44</b:RefOrder>
  </b:Source>
  <b:Source>
    <b:Tag>Qud22</b:Tag>
    <b:SourceType>JournalArticle</b:SourceType>
    <b:Guid>{55FFEC16-AF9E-4870-A92E-661794931CD2}</b:Guid>
    <b:Title>Cash flow statement as one of the Basic Forms of financial Accounting statements</b:Title>
    <b:Year>2022</b:Year>
    <b:JournalName>European Scholar Journal</b:JournalName>
    <b:Pages>23-25</b:Pages>
    <b:Volume>3</b:Volume>
    <b:Issue>2</b:Issue>
    <b:Author>
      <b:Author>
        <b:NameList>
          <b:Person>
            <b:Last>Qudratovich</b:Last>
            <b:Middle>Akmal</b:Middle>
            <b:First>Eshonqulov</b:First>
          </b:Person>
        </b:NameList>
      </b:Author>
    </b:Author>
    <b:RefOrder>45</b:RefOrder>
  </b:Source>
  <b:Source>
    <b:Tag>Rei19</b:Tag>
    <b:SourceType>JournalArticle</b:SourceType>
    <b:Guid>{70756791-24AC-4DB6-96FC-18100B739B58}</b:Guid>
    <b:Title>Impact of auditor report changes on financial reporting quality and audit costs: Evidence from the United Kingdom</b:Title>
    <b:JournalName>Contemporary Accounting Research</b:JournalName>
    <b:Year>2019</b:Year>
    <b:Pages>1501-1539</b:Pages>
    <b:Volume>36</b:Volume>
    <b:Issue>3</b:Issue>
    <b:Author>
      <b:Author>
        <b:NameList>
          <b:Person>
            <b:Last>Reid</b:Last>
            <b:Middle>C</b:Middle>
            <b:First>Lauren</b:First>
          </b:Person>
          <b:Person>
            <b:Last>Carcello</b:Last>
            <b:Middle>V</b:Middle>
            <b:First>Joseph</b:First>
          </b:Person>
          <b:Person>
            <b:Last>Li</b:Last>
            <b:First>Chan</b:First>
          </b:Person>
          <b:Person>
            <b:Last>Neal</b:Last>
            <b:Middle>L</b:Middle>
            <b:First>Terry</b:First>
          </b:Person>
          <b:Person>
            <b:Last>Francis</b:Last>
            <b:Middle>R</b:Middle>
            <b:First>Jere</b:First>
          </b:Person>
        </b:NameList>
      </b:Author>
    </b:Author>
    <b:RefOrder>46</b:RefOrder>
  </b:Source>
  <b:Source>
    <b:Tag>Rei22</b:Tag>
    <b:SourceType>Book</b:SourceType>
    <b:Guid>{FA29E5C3-E339-453E-A748-AB37654E3BD2}</b:Guid>
    <b:Title>Klaus Vogel on double taxation conventions</b:Title>
    <b:Year>2022</b:Year>
    <b:Author>
      <b:Author>
        <b:NameList>
          <b:Person>
            <b:Last>Reimert</b:Last>
            <b:First>Ekkehart</b:First>
          </b:Person>
          <b:Person>
            <b:Last>Rust</b:Last>
            <b:First>Alexander</b:First>
          </b:Person>
        </b:NameList>
      </b:Author>
    </b:Author>
    <b:Publisher>Kluwer Law International BV</b:Publisher>
    <b:RefOrder>47</b:RefOrder>
  </b:Source>
  <b:Source>
    <b:Tag>Ste19</b:Tag>
    <b:SourceType>Book</b:SourceType>
    <b:Guid>{FF04F6B3-3ADB-44B8-9839-9ECF8FA80ED6}</b:Guid>
    <b:Title>Strategic management for public and nonprofit organizations</b:Title>
    <b:Year>2019</b:Year>
    <b:Publisher> Routledge</b:Publisher>
    <b:Author>
      <b:Author>
        <b:NameList>
          <b:Person>
            <b:Last>Steiss</b:Last>
            <b:Middle>W</b:Middle>
            <b:First>Alan</b:First>
          </b:Person>
        </b:NameList>
      </b:Author>
    </b:Author>
    <b:RefOrder>48</b:RefOrder>
  </b:Source>
  <b:Source>
    <b:Tag>Wah19</b:Tag>
    <b:SourceType>JournalArticle</b:SourceType>
    <b:Guid>{4783960F-DF12-4F9B-9E8D-516AF5731150}</b:Guid>
    <b:Title>The effects and the mechanisms of board gender diversity: Evidence from financial manipulation</b:Title>
    <b:Year>2019</b:Year>
    <b:JournalName> Journal of Business Ethics</b:JournalName>
    <b:Pages>705-725</b:Pages>
    <b:Volume>159</b:Volume>
    <b:Issue>3</b:Issue>
    <b:Author>
      <b:Author>
        <b:NameList>
          <b:Person>
            <b:Last>Wahid</b:Last>
            <b:Middle>Sijamic</b:Middle>
            <b:First>Aida</b:First>
          </b:Person>
        </b:NameList>
      </b:Author>
    </b:Author>
    <b:RefOrder>49</b:RefOrder>
  </b:Source>
  <b:Source>
    <b:Tag>Wid20</b:Tag>
    <b:SourceType>JournalArticle</b:SourceType>
    <b:Guid>{4FE140E7-2362-457C-BDBC-2DDF9D12F829}</b:Guid>
    <b:Title>A systematic literature review of socially responsible investment and environmental social governance metrics</b:Title>
    <b:JournalName>Business Strategy and the Environment 29, no. 2 (2020): 619-637.</b:JournalName>
    <b:Year>2020</b:Year>
    <b:Pages>619-637</b:Pages>
    <b:Volume>29</b:Volume>
    <b:Issue>2</b:Issue>
    <b:Author>
      <b:Author>
        <b:NameList>
          <b:Person>
            <b:Last>Widyawati</b:Last>
            <b:First>Luluk</b:First>
          </b:Person>
        </b:NameList>
      </b:Author>
    </b:Author>
    <b:RefOrder>50</b:RefOrder>
  </b:Source>
  <b:Source>
    <b:Tag>Zog21</b:Tag>
    <b:SourceType>JournalArticle</b:SourceType>
    <b:Guid>{1370AD75-9938-4BD5-BF09-927D82CE4301}</b:Guid>
    <b:Title>The Relationship between Managerial Accounting and Decision Making</b:Title>
    <b:JournalName>Scientific Conference INPROFORUM</b:JournalName>
    <b:Year>2021</b:Year>
    <b:Pages>110</b:Pages>
    <b:Author>
      <b:Author>
        <b:NameList>
          <b:Person>
            <b:Last>Zografou</b:Last>
            <b:First>Zoi</b:First>
          </b:Person>
          <b:Person>
            <b:Last>Parmová</b:Last>
            <b:Middle>Škodová</b:Middle>
            <b:First>Dagmar</b:First>
          </b:Person>
          <b:Person>
            <b:Last>Sdrolias</b:Last>
            <b:First>Labros</b:First>
          </b:Person>
        </b:NameList>
      </b:Author>
    </b:Author>
    <b:RefOrder>51</b:RefOrder>
  </b:Source>
  <b:Source>
    <b:Tag>Zul20</b:Tag>
    <b:SourceType>JournalArticle</b:SourceType>
    <b:Guid>{8A995009-F6F2-475E-B73B-EC813188192D}</b:Guid>
    <b:Title>Comparative study of tax policy related to COVID-19 in ASEAN countries</b:Title>
    <b:JournalName>International Journal of TEST Engineering &amp; Management</b:JournalName>
    <b:Year>2020</b:Year>
    <b:Pages>6519-6528</b:Pages>
    <b:Volume>83</b:Volume>
    <b:Issue>2</b:Issue>
    <b:Author>
      <b:Author>
        <b:NameList>
          <b:Person>
            <b:Last>Zulkarnaen</b:Last>
            <b:First>Wandy</b:First>
          </b:Person>
          <b:Person>
            <b:Last>Erfiansyah</b:Last>
            <b:First>Erfan</b:First>
          </b:Person>
          <b:Person>
            <b:Last>Syahril</b:Last>
            <b:Middle>Amin</b:Middle>
            <b:First>Neneng Nurbaeti</b:First>
          </b:Person>
          <b:Person>
            <b:Last>Leonandri</b:Last>
            <b:Middle>Gustaf</b:Middle>
            <b:First>Dino</b:First>
          </b:Person>
        </b:NameList>
      </b:Author>
    </b:Author>
    <b:RefOrder>52</b:RefOrder>
  </b:Source>
  <b:Source>
    <b:Tag>Duc21</b:Tag>
    <b:SourceType>JournalArticle</b:SourceType>
    <b:Guid>{E186253F-5412-4045-919A-2672832515D8}</b:Guid>
    <b:Title>The relationship between management accounting, strategic management accounting and strategic cost management</b:Title>
    <b:JournalName>Academic Journal of Interdisciplinary Studies</b:JournalName>
    <b:Year>2021</b:Year>
    <b:Pages>376-389</b:Pages>
    <b:Volume>10</b:Volume>
    <b:Issue>5</b:Issue>
    <b:Author>
      <b:Author>
        <b:NameList>
          <b:Person>
            <b:Last>Duci</b:Last>
            <b:First>Ejona</b:First>
          </b:Person>
        </b:NameList>
      </b:Author>
    </b:Author>
    <b:RefOrder>1</b:RefOrder>
  </b:Source>
  <b:Source>
    <b:Tag>Bat21</b:Tag>
    <b:SourceType>JournalArticle</b:SourceType>
    <b:Guid>{AD1FF3E6-D63A-4233-A0DF-456B6B15ADB9}</b:Guid>
    <b:Title>Exploring the impact of organizational context on budgeting</b:Title>
    <b:JournalName>Corporate Ownership and Control</b:JournalName>
    <b:Year>2021</b:Year>
    <b:Pages>134-151</b:Pages>
    <b:Volume>18</b:Volume>
    <b:Issue>4</b:Issue>
    <b:Author>
      <b:Author>
        <b:NameList>
          <b:Person>
            <b:Last>Batt</b:Last>
            <b:First>Catherine</b:First>
          </b:Person>
          <b:Person>
            <b:Last>Rikhardsson</b:Last>
            <b:First>Páll</b:First>
          </b:Person>
          <b:Person>
            <b:Last>Karlsson</b:Last>
            <b:First>Thorlakur</b:First>
          </b:Person>
        </b:NameList>
      </b:Author>
    </b:Author>
    <b:RefOrder>2</b:RefOrder>
  </b:Source>
  <b:Source>
    <b:Tag>Bru75</b:Tag>
    <b:SourceType>JournalArticle</b:SourceType>
    <b:Guid>{ECFE5C89-FE71-40FE-98F3-EEE1BC24CC92}</b:Guid>
    <b:Title>Budgetary control and organization structure</b:Title>
    <b:JournalName>Journal of accounting research </b:JournalName>
    <b:Year>1975</b:Year>
    <b:Pages>177-203</b:Pages>
    <b:Author>
      <b:Author>
        <b:NameList>
          <b:Person>
            <b:Last>Bruns</b:Last>
            <b:Middle>J</b:Middle>
            <b:First>William</b:First>
          </b:Person>
          <b:Person>
            <b:Last>Waterhouse</b:Last>
            <b:Middle>H</b:Middle>
            <b:First>John</b:First>
          </b:Person>
        </b:NameList>
      </b:Author>
    </b:Author>
    <b:RefOrder>3</b:RefOrder>
  </b:Source>
  <b:Source>
    <b:Tag>Set22</b:Tag>
    <b:SourceType>JournalArticle</b:SourceType>
    <b:Guid>{0A9BF3B2-F994-4E28-9788-58FF84890249}</b:Guid>
    <b:Title>SMEs Performance During Covid-19 Pandemic and VUCA Era: How the role of Organizational Citizenship Behavior, Budgetary, Participation and Information Asymmetry?</b:Title>
    <b:JournalName>International Journal of Social and Management Studies</b:JournalName>
    <b:Year>2022</b:Year>
    <b:Pages>105-116</b:Pages>
    <b:Volume>3</b:Volume>
    <b:Issue>4</b:Issue>
    <b:Author>
      <b:Author>
        <b:NameList>
          <b:Person>
            <b:Last>Setyoko</b:Last>
            <b:Middle>Israwan</b:Middle>
            <b:First>Paulus</b:First>
          </b:Person>
          <b:Person>
            <b:Last>Kurniasih</b:Last>
            <b:First>Denok</b:First>
          </b:Person>
        </b:NameList>
      </b:Author>
    </b:Author>
    <b:RefOrder>5</b:RefOrder>
  </b:Source>
  <b:Source>
    <b:Tag>int241</b:Tag>
    <b:SourceType>InternetSite</b:SourceType>
    <b:Guid>{3F809BDA-A545-4E68-A228-694796DD5ACC}</b:Guid>
    <b:Title>What is Management Accounting?</b:Title>
    <b:Year>2024</b:Year>
    <b:Author>
      <b:Author>
        <b:Corporate>intellipaat.com</b:Corporate>
      </b:Author>
    </b:Author>
    <b:YearAccessed>2024</b:YearAccessed>
    <b:MonthAccessed>March</b:MonthAccessed>
    <b:DayAccessed>22</b:DayAccessed>
    <b:URL>https://intellipaat.com/blog/what-is-management-accounting/</b:URL>
    <b:RefOrder>6</b:RefOrder>
  </b:Source>
  <b:Source>
    <b:Tag>pro24</b:Tag>
    <b:SourceType>InternetSite</b:SourceType>
    <b:Guid>{39AB8281-6BD8-4F64-94A8-AD6FCF24DB55}</b:Guid>
    <b:Title>10 Best Practices For Effective Budget Management</b:Title>
    <b:Year>2024</b:Year>
    <b:YearAccessed>2024</b:YearAccessed>
    <b:MonthAccessed>March</b:MonthAccessed>
    <b:DayAccessed>22</b:DayAccessed>
    <b:URL>https://www.projectpractical.com/10-best-practices-for-effective-budget-management/?utm_content=cmp-true</b:URL>
    <b:Author>
      <b:Author>
        <b:Corporate>projectpractical.com</b:Corporate>
      </b:Author>
    </b:Author>
    <b:RefOrder>7</b:RefOrder>
  </b:Source>
  <b:Source>
    <b:Tag>Ram62</b:Tag>
    <b:SourceType>JournalArticle</b:SourceType>
    <b:Guid>{D33C484D-45E8-4E6A-84BB-EE57B079FAAF}</b:Guid>
    <b:Title>Flexible Budgeting</b:Title>
    <b:Year>1962</b:Year>
    <b:JournalName>Woman CPA</b:JournalName>
    <b:Volume>3</b:Volume>
    <b:Issue>1</b:Issue>
    <b:Author>
      <b:Author>
        <b:NameList>
          <b:Person>
            <b:Last>Ramanauskas</b:Last>
            <b:First>Helene</b:First>
          </b:Person>
        </b:NameList>
      </b:Author>
    </b:Author>
    <b:RefOrder>8</b:RefOrder>
  </b:Source>
  <b:Source>
    <b:Tag>Gre21</b:Tag>
    <b:SourceType>Book</b:SourceType>
    <b:Guid>{18AF341E-EEAC-45E5-B943-5A632E68A918}</b:Guid>
    <b:Title>Competing in time: Ensuring capability advantage and mission success through adaptable resource allocation</b:Title>
    <b:Year>2021</b:Year>
    <b:Publisher>Hudson Institute</b:Publisher>
    <b:Author>
      <b:Author>
        <b:NameList>
          <b:Person>
            <b:Last>Greenwalt</b:Last>
            <b:First>William</b:First>
          </b:Person>
          <b:Person>
            <b:Last>Patt</b:Last>
            <b:First>Dan</b:First>
          </b:Person>
        </b:NameList>
      </b:Author>
    </b:Author>
    <b:RefOrder>9</b:RefOrder>
  </b:Source>
  <b:Source>
    <b:Tag>Gho23</b:Tag>
    <b:SourceType>JournalArticle</b:SourceType>
    <b:Guid>{D7EFCB9F-186A-4594-AC83-2EE570E725B2}</b:Guid>
    <b:Title>A review of successful construction project managers’ competencies and leadership profile</b:Title>
    <b:Year>2023</b:Year>
    <b:JournalName>Journal of Rehabilitation in Civil Engineering </b:JournalName>
    <b:Pages>76-95</b:Pages>
    <b:Volume>11</b:Volume>
    <b:Issue>1</b:Issue>
    <b:Author>
      <b:Author>
        <b:NameList>
          <b:Person>
            <b:Last>Ghorbani</b:Last>
            <b:First>Ali</b:First>
          </b:Person>
        </b:NameList>
      </b:Author>
    </b:Author>
    <b:RefOrder>4</b:RefOrder>
  </b:Source>
  <b:Source>
    <b:Tag>biz24</b:Tag>
    <b:SourceType>InternetSite</b:SourceType>
    <b:Guid>{A1BF80E2-CEC8-4CD1-B0EE-72067536C048}</b:Guid>
    <b:Title>7.3: Introduction to Budgeting and Budgeting Processes</b:Title>
    <b:Year>2024</b:Year>
    <b:Author>
      <b:Author>
        <b:Corporate>biz.libretexts.org</b:Corporate>
      </b:Author>
    </b:Author>
    <b:YearAccessed>2024</b:YearAccessed>
    <b:MonthAccessed>March</b:MonthAccessed>
    <b:DayAccessed>22</b:DayAccessed>
    <b:URL>https://biz.libretexts.org/Bookshelves/Accounting/Managerial_Accounting_(Lumen)/07%3A_Budgeting/7.03%3A_Introduction_to_Budgeting_and_Budgeting_Processes</b:URL>
    <b:RefOrder>10</b:RefOrder>
  </b:Source>
  <b:Source>
    <b:Tag>Ber20</b:Tag>
    <b:SourceType>JournalArticle</b:SourceType>
    <b:Guid>{7A9F2FF1-506D-4AC6-BD98-984713C57023}</b:Guid>
    <b:Title>Digitization of the budgeting process: determinants of the use of business analytics and its effect on satisfaction with the budgeting process</b:Title>
    <b:Year>2020</b:Year>
    <b:Author>
      <b:Author>
        <b:NameList>
          <b:Person>
            <b:Last>Bergmann</b:Last>
            <b:First>Mareike</b:First>
          </b:Person>
          <b:Person>
            <b:Last>Brück</b:Last>
            <b:First>Christian</b:First>
          </b:Person>
          <b:Person>
            <b:Last>Knauer</b:Last>
            <b:First>Thorsten</b:First>
          </b:Person>
          <b:Person>
            <b:Last>Schwering</b:Last>
            <b:First>Anja</b:First>
          </b:Person>
        </b:NameList>
      </b:Author>
    </b:Author>
    <b:JournalName> Journal of Management Control</b:JournalName>
    <b:Pages>25-54</b:Pages>
    <b:Volume>31</b:Volume>
    <b:Issue>1</b:Issue>
    <b:RefOrder>11</b:RefOrder>
  </b:Source>
  <b:Source>
    <b:Tag>Dok20</b:Tag>
    <b:SourceType>JournalArticle</b:SourceType>
    <b:Guid>{1B927FAA-F3B1-481B-B8F0-4A996525DF2B}</b:Guid>
    <b:Title>The budgeting processes of Czech companies: the role of the ownership structure and foreign capital</b:Title>
    <b:JournalName>"Oeconomia Copernicana</b:JournalName>
    <b:Year>2020</b:Year>
    <b:Author>
      <b:Author>
        <b:NameList>
          <b:Person>
            <b:Last>Dokulil</b:Last>
            <b:First>Jiří</b:First>
          </b:Person>
          <b:Person>
            <b:Last>Popesko</b:Last>
            <b:First>Boris</b:First>
          </b:Person>
          <b:Person>
            <b:Last>Dvorský</b:Last>
            <b:First>Ján</b:First>
          </b:Person>
        </b:NameList>
      </b:Author>
    </b:Author>
    <b:RefOrder>12</b:RefOrder>
  </b:Source>
  <b:Source>
    <b:Tag>Sch24</b:Tag>
    <b:SourceType>InternetSite</b:SourceType>
    <b:Guid>{F24555D7-72A7-419B-B093-F6DCEB615497}</b:Guid>
    <b:Title>The Four Main Types of Budgets and Budgeting Methods</b:Title>
    <b:Year>2024</b:Year>
    <b:YearAccessed>2024</b:YearAccessed>
    <b:MonthAccessed>2024</b:MonthAccessed>
    <b:DayAccessed>March</b:DayAccessed>
    <b:URL>https://corporatefinanceinstitute.com/resources/fpa/types-of-budgets-budgeting-methods/</b:URL>
    <b:Author>
      <b:Author>
        <b:NameList>
          <b:Person>
            <b:Last>Schmidt</b:Last>
            <b:First>Jeff</b:First>
          </b:Person>
        </b:NameList>
      </b:Author>
    </b:Author>
    <b:RefOrder>13</b:RefOrder>
  </b:Source>
  <b:Source>
    <b:Tag>Mir24</b:Tag>
    <b:SourceType>JournalArticle</b:SourceType>
    <b:Guid>{00EE663B-13F5-49FC-8FFF-C18DD0F95DC7}</b:Guid>
    <b:Title>IMPROVING COST BUDGETING IN ECONOMIC ENTITIES</b:Title>
    <b:Year>2024</b:Year>
    <b:JournalName>International Journal of Education, Social Science &amp; Humanities</b:JournalName>
    <b:Pages>445-452</b:Pages>
    <b:Volume>12</b:Volume>
    <b:Issue>3</b:Issue>
    <b:Author>
      <b:Author>
        <b:NameList>
          <b:Person>
            <b:Last>Mirkabulovich</b:Last>
            <b:Middle>Muxriddin</b:Middle>
            <b:First>Bekmurzayev</b:First>
          </b:Person>
        </b:NameList>
      </b:Author>
    </b:Author>
    <b:RefOrder>14</b:RefOrder>
  </b:Source>
  <b:Source>
    <b:Tag>FAN24</b:Tag>
    <b:SourceType>JournalArticle</b:SourceType>
    <b:Guid>{B767EC00-143C-4F0A-BCC7-00A49371DDF3}</b:Guid>
    <b:Title>ASSESSMENT OF BUDGET PRACTICE IN NGO’S, IN THE CASE OF GRARBET TEHADISO MAHBER</b:Title>
    <b:JournalName>PhD diss., St. Mary's University</b:JournalName>
    <b:Year>2024</b:Year>
    <b:Author>
      <b:Author>
        <b:NameList>
          <b:Person>
            <b:Last>FANTU</b:Last>
            <b:First>MELAT</b:First>
          </b:Person>
        </b:NameList>
      </b:Author>
    </b:Author>
    <b:RefOrder>15</b:RefOrder>
  </b:Source>
  <b:Source>
    <b:Tag>BUD</b:Tag>
    <b:SourceType>JournalArticle</b:SourceType>
    <b:Guid>{7E4CF02A-E443-49D2-BEB2-FE20F1FA8428}</b:Guid>
    <b:Title>Comparing Budgeting Techniques</b:Title>
    <b:Author>
      <b:Author>
        <b:NameList>
          <b:Person>
            <b:Last>BUDGETING</b:Last>
            <b:First>INCREMENTAL</b:First>
          </b:Person>
        </b:NameList>
      </b:Author>
    </b:Author>
    <b:Year>2024</b:Year>
    <b:RefOrder>16</b:RefOrder>
  </b:Source>
  <b:Source>
    <b:Tag>Ala20</b:Tag>
    <b:SourceType>JournalArticle</b:SourceType>
    <b:Guid>{CFB4C572-6910-4C99-9C89-74FEB479815B}</b:Guid>
    <b:Title>Zero-based budget system and its active role in choosing the best alternative to rationalise government spending</b:Title>
    <b:JournalName>International journal of innovation, creativity and change</b:JournalName>
    <b:Year>2020</b:Year>
    <b:Pages>244-265</b:Pages>
    <b:Volume>13</b:Volume>
    <b:Issue>9</b:Issue>
    <b:Author>
      <b:Author>
        <b:NameList>
          <b:Person>
            <b:Last>Al-attara</b:Last>
            <b:Middle>Abbas</b:Middle>
            <b:First>Hayder</b:First>
          </b:Person>
          <b:Person>
            <b:Last>Mashkourb</b:Last>
            <b:Middle>Chayed</b:Middle>
            <b:First>Saoud</b:First>
          </b:Person>
          <b:Person>
            <b:Last>Hassanc</b:Last>
            <b:Middle>Gazi</b:Middle>
            <b:First>Majid</b:First>
          </b:Person>
        </b:NameList>
      </b:Author>
    </b:Author>
    <b:RefOrder>17</b:RefOrder>
  </b:Source>
  <b:Source>
    <b:Tag>Han11</b:Tag>
    <b:SourceType>JournalArticle</b:SourceType>
    <b:Guid>{3200686B-B261-40F5-80B2-0E18EB68C18C}</b:Guid>
    <b:Title>A theoretical analysis of the impact of adopting rolling budgets, activity-based budgeting and beyond budgeting</b:Title>
    <b:JournalName>European Accounting Review</b:JournalName>
    <b:Year>2011</b:Year>
    <b:Pages>289-319</b:Pages>
    <b:Volume>20</b:Volume>
    <b:Issue>2</b:Issue>
    <b:Author>
      <b:Author>
        <b:NameList>
          <b:Person>
            <b:Last>Hansen</b:Last>
            <b:First>Stephen</b:First>
          </b:Person>
        </b:NameList>
      </b:Author>
    </b:Author>
    <b:RefOrder>53</b:RefOrder>
  </b:Source>
  <b:Source>
    <b:Tag>cfa24</b:Tag>
    <b:SourceType>InternetSite</b:SourceType>
    <b:Guid>{478337E0-47BE-4E68-81C4-743DFF5EA4D0}</b:Guid>
    <b:Title>ACTIVITY-BASED BUDGETING: MEANING, ADVANTAGES, AND DISADVANTAGES</b:Title>
    <b:Year>2024</b:Year>
    <b:Author>
      <b:Author>
        <b:Corporate>cfajournal.org</b:Corporate>
      </b:Author>
    </b:Author>
    <b:YearAccessed>2024</b:YearAccessed>
    <b:MonthAccessed>March</b:MonthAccessed>
    <b:DayAccessed>24</b:DayAccessed>
    <b:URL>https://www.cfajournal.org/activity-based-budgeting/</b:URL>
    <b:RefOrder>54</b:RefOrder>
  </b:Source>
  <b:Source>
    <b:Tag>Woo19</b:Tag>
    <b:SourceType>InternetSite</b:SourceType>
    <b:Guid>{D6DC713D-B858-4983-8283-F0550C2F1131}</b:Guid>
    <b:Title>What Is Budget Variance Analysis?</b:Title>
    <b:Year>2019</b:Year>
    <b:YearAccessed>2024</b:YearAccessed>
    <b:MonthAccessed>March</b:MonthAccessed>
    <b:DayAccessed>24</b:DayAccessed>
    <b:URL>https://smallbusiness.chron.com/budget-variance-analysis-60250.html</b:URL>
    <b:Author>
      <b:Author>
        <b:NameList>
          <b:Person>
            <b:Last>Woodruff</b:Last>
            <b:First>Jim</b:First>
          </b:Person>
        </b:NameList>
      </b:Author>
    </b:Author>
    <b:RefOrder>55</b:RefOrder>
  </b:Source>
  <b:Source>
    <b:Tag>ins23</b:Tag>
    <b:SourceType>InternetSite</b:SourceType>
    <b:Guid>{F3E22EE9-02DB-4071-9844-CCC72ED40C74}</b:Guid>
    <b:Author>
      <b:Author>
        <b:Corporate>inspiredeconomist.com</b:Corporate>
      </b:Author>
    </b:Author>
    <b:Title>Budget Variance Analysis: A Detailed Overview on Financial Performance Measurement</b:Title>
    <b:Year>2023</b:Year>
    <b:YearAccessed>2024</b:YearAccessed>
    <b:MonthAccessed>March</b:MonthAccessed>
    <b:DayAccessed>24</b:DayAccessed>
    <b:URL>https://inspiredeconomist.com/articles/budget-variance-analysis/</b:URL>
    <b:RefOrder>56</b:RefOrder>
  </b:Source>
  <b:Source>
    <b:Tag>deA22</b:Tag>
    <b:SourceType>JournalArticle</b:SourceType>
    <b:Guid>{C820CDCD-9CF6-433E-8D40-66F8627B42D3}</b:Guid>
    <b:Title>Participatory budgeting and budget dynamics in the public sector. Revista de Contabilidade e Organizações, 16.</b:Title>
    <b:Year>2022</b:Year>
    <b:JournalName>Revista de Contabilidade e Organizações</b:JournalName>
    <b:Volume>16</b:Volume>
    <b:Author>
      <b:Author>
        <b:NameList>
          <b:Person>
            <b:Last>de Azevedo</b:Last>
            <b:Middle>Rocha</b:Middle>
            <b:First>Ricardo</b:First>
          </b:Person>
          <b:Person>
            <b:Last>Cardoso</b:Last>
            <b:Middle>Lopes</b:Middle>
            <b:First>Ricardo</b:First>
          </b:Person>
          <b:Person>
            <b:Last>da Cunha</b:Last>
            <b:Middle>Santos Moreira</b:Middle>
            <b:First>Armando</b:First>
          </b:Person>
          <b:Person>
            <b:Last>Wampler</b:Last>
            <b:First>Brian</b:First>
          </b:Person>
        </b:NameList>
      </b:Author>
    </b:Author>
    <b:RefOrder>18</b:RefOrder>
  </b:Source>
  <b:Source>
    <b:Tag>sch24</b:Tag>
    <b:SourceType>InternetSite</b:SourceType>
    <b:Guid>{644F87AE-5E0A-4FE2-992E-F8713FBF9AC1}</b:Guid>
    <b:Title>Understanding Traditional Budgeting: A Comprehensive Guide</b:Title>
    <b:Year>2024</b:Year>
    <b:Author>
      <b:Author>
        <b:NameList>
          <b:Person>
            <b:Last>schoolofmoney.in</b:Last>
          </b:Person>
        </b:NameList>
      </b:Author>
    </b:Author>
    <b:YearAccessed>2024</b:YearAccessed>
    <b:MonthAccessed>March</b:MonthAccessed>
    <b:DayAccessed>15</b:DayAccessed>
    <b:URL>https://schoolofmoney.in/understanding-traditional-budgeting-a-comprehensive-guide/</b:URL>
    <b:RefOrder>19</b:RefOrder>
  </b:Source>
  <b:Source>
    <b:Tag>Mah211</b:Tag>
    <b:SourceType>Book</b:SourceType>
    <b:Guid>{DAB34C40-5A30-4699-A8EE-C5CE97CC5CEA}</b:Guid>
    <b:Title>Principles of Management Accounting</b:Title>
    <b:Year>2021</b:Year>
    <b:Publisher> Sultan Chand &amp; Sons.</b:Publisher>
    <b:Author>
      <b:Author>
        <b:NameList>
          <b:Person>
            <b:Last>Maheshwari</b:Last>
            <b:Middle>N</b:Middle>
            <b:First>S</b:First>
          </b:Person>
          <b:Person>
            <b:Last>Maheshwari</b:Last>
            <b:Middle>K</b:Middle>
            <b:First>S</b:First>
          </b:Person>
          <b:Person>
            <b:Last>Maheshwari</b:Last>
            <b:First>M.S.K</b:First>
          </b:Person>
        </b:NameList>
      </b:Author>
    </b:Author>
    <b:RefOrder>20</b:RefOrder>
  </b:Source>
  <b:Source>
    <b:Tag>Ait23</b:Tag>
    <b:SourceType>JournalArticle</b:SourceType>
    <b:Guid>{1C5E6630-AE0D-4B56-8612-572E830E57BE}</b:Guid>
    <b:Title>Key Performance Indicators (KPI) for Researchers at Different Levels &amp; Strategies to Achieve it</b:Title>
    <b:Year>2023</b:Year>
    <b:Pages>294-325</b:Pages>
    <b:JournalName>International Journal of Management, Technology, and Social Sciences (IJMTS)</b:JournalName>
    <b:Volume>8</b:Volume>
    <b:Issue>3</b:Issue>
    <b:Author>
      <b:Author>
        <b:NameList>
          <b:Person>
            <b:Last>Aithal</b:Last>
            <b:First>P.S.</b:First>
          </b:Person>
          <b:Person>
            <b:Last>Aithal</b:Last>
            <b:First>S</b:First>
          </b:Person>
        </b:NameList>
      </b:Author>
    </b:Author>
    <b:RefOrder>21</b:RefOrder>
  </b:Source>
  <b:Source>
    <b:Tag>Dru20</b:Tag>
    <b:SourceType>Book</b:SourceType>
    <b:Guid>{635C4A2A-2D3E-4C84-80E3-5A3D66E4E13E}</b:Guid>
    <b:Title>Management and Cost Accounting</b:Title>
    <b:Year>(2020)</b:Year>
    <b:City>Andover</b:City>
    <b:Publisher>Cengage Learning</b:Publisher>
    <b:Edition>11</b:Edition>
    <b:Author>
      <b:Author>
        <b:NameList>
          <b:Person>
            <b:Last>Drury</b:Last>
            <b:First>Colin</b:First>
          </b:Person>
          <b:Person>
            <b:Last>Tayles</b:Last>
            <b:First>Mike</b:First>
          </b:Person>
        </b:NameList>
      </b:Author>
    </b:Author>
    <b:RefOrder>57</b:RefOrder>
  </b:Source>
  <b:Source>
    <b:Tag>Hop03</b:Tag>
    <b:SourceType>JournalArticle</b:SourceType>
    <b:Guid>{CAA5EFCC-B28B-4189-9E29-F6E845B610AB}</b:Guid>
    <b:Title>New Ways of Setting Rewards: The Beyond Budgeting Model</b:Title>
    <b:Year>2003</b:Year>
    <b:JournalName>California Management Review</b:JournalName>
    <b:Pages>104-119</b:Pages>
    <b:Volume>45</b:Volume>
    <b:Issue>4</b:Issue>
    <b:Author>
      <b:Author>
        <b:NameList>
          <b:Person>
            <b:Last>Hope</b:Last>
            <b:First>Jeremy</b:First>
          </b:Person>
          <b:Person>
            <b:Last>Fraser</b:Last>
            <b:First>Robin</b:First>
          </b:Person>
        </b:NameList>
      </b:Author>
    </b:Author>
    <b:RefOrder>22</b:RefOrder>
  </b:Source>
  <b:Source>
    <b:Tag>Ahm21</b:Tag>
    <b:SourceType>JournalArticle</b:SourceType>
    <b:Guid>{DDDBE0F3-6F25-4B06-93EB-D433E6B0B35C}</b:Guid>
    <b:Title>Analytical review of the current and future directions of management accounting and control systems</b:Title>
    <b:JournalName>European Journal of Accounting, Auditing and Finance Research</b:JournalName>
    <b:Year>2021</b:Year>
    <b:Pages>42-73</b:Pages>
    <b:Volume>9</b:Volume>
    <b:Issue>3</b:Issue>
    <b:Author>
      <b:Author>
        <b:NameList>
          <b:Person>
            <b:Last>Ahmed Mohamed Ghandour</b:Last>
            <b:First>Dina</b:First>
          </b:Person>
        </b:NameList>
      </b:Author>
    </b:Author>
    <b:RefOrder>23</b:RefOrder>
  </b:Source>
  <b:Source>
    <b:Tag>Sch241</b:Tag>
    <b:SourceType>InternetSite</b:SourceType>
    <b:Guid>{328C13E8-3D6D-4A1C-AC9F-A916A77FC0FE}</b:Guid>
    <b:Title>Beyond Budgeting</b:Title>
    <b:Year>2024</b:Year>
    <b:YearAccessed>2024</b:YearAccessed>
    <b:MonthAccessed>April</b:MonthAccessed>
    <b:DayAccessed>08</b:DayAccessed>
    <b:URL>https://corporatefinanceinstitute.com/resources/fpa/beyond-budgeting/#:~:text=Beyond%20Budgeting%20is%20the%20idea,adaptive%20set%20of%20management%20processes.</b:URL>
    <b:Author>
      <b:Author>
        <b:NameList>
          <b:Person>
            <b:Last>Schmidt</b:Last>
            <b:First>Jeff</b:First>
          </b:Person>
        </b:NameList>
      </b:Author>
    </b:Author>
    <b:RefOrder>24</b:RefOrder>
  </b:Source>
  <b:Source>
    <b:Tag>hyp24</b:Tag>
    <b:SourceType>InternetSite</b:SourceType>
    <b:Guid>{4289E87D-5C2C-44F9-9C22-69BA88E7024F}</b:Guid>
    <b:Author>
      <b:Author>
        <b:Corporate>hypergene.com</b:Corporate>
      </b:Author>
    </b:Author>
    <b:Title>Beyond Budgeting – Principles, Definition, and Requirements</b:Title>
    <b:Year>2024</b:Year>
    <b:YearAccessed>2024</b:YearAccessed>
    <b:MonthAccessed>April</b:MonthAccessed>
    <b:DayAccessed>06</b:DayAccessed>
    <b:URL>https://www.hypergene.com/resources/blog/beyond-budgeting-principles-definition-and-requirements/</b:URL>
    <b:RefOrder>58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1C6A2D-5D18-4978-A0C0-6B166363E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7017</Words>
  <Characters>40003</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Budgeting Principles and Approaches – Edwards</vt:lpstr>
    </vt:vector>
  </TitlesOfParts>
  <Company>University of Wales Trinity Saint David</Company>
  <LinksUpToDate>false</LinksUpToDate>
  <CharactersWithSpaces>46927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Principles and Approaches – Edwards</dc:title>
  <dc:subject/>
  <dc:creator>Marie Pitson</dc:creator>
  <cp:keywords/>
  <dc:description/>
  <cp:lastModifiedBy>flavius filimon</cp:lastModifiedBy>
  <cp:revision>2</cp:revision>
  <dcterms:created xsi:type="dcterms:W3CDTF">2024-04-14T21:47:00Z</dcterms:created>
  <dcterms:modified xsi:type="dcterms:W3CDTF">2024-04-14T21:47:00Z</dcterms:modified>
</cp:coreProperties>
</file>