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269FC" w:rsidP="00E51AAC">
            <w:pPr>
              <w:spacing w:before="120" w:after="120"/>
              <w:jc w:val="both"/>
              <w:rPr>
                <w:rFonts w:ascii="Arial" w:hAnsi="Arial" w:cs="Arial"/>
                <w:b/>
                <w:sz w:val="22"/>
                <w:szCs w:val="22"/>
              </w:rPr>
            </w:pPr>
            <w:r>
              <w:rPr>
                <w:rFonts w:ascii="Arial" w:hAnsi="Arial" w:cs="Arial"/>
                <w:b/>
                <w:sz w:val="22"/>
                <w:szCs w:val="22"/>
              </w:rPr>
              <w:t>Further Advanced Latin prose: Petronius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269FC" w:rsidP="00152E9D">
            <w:pPr>
              <w:spacing w:before="120" w:after="120"/>
              <w:jc w:val="both"/>
              <w:rPr>
                <w:rFonts w:ascii="Arial" w:hAnsi="Arial" w:cs="Arial"/>
                <w:b/>
                <w:sz w:val="22"/>
                <w:szCs w:val="22"/>
              </w:rPr>
            </w:pPr>
            <w:r>
              <w:rPr>
                <w:rFonts w:ascii="Arial" w:hAnsi="Arial" w:cs="Arial"/>
                <w:b/>
                <w:sz w:val="22"/>
                <w:szCs w:val="22"/>
              </w:rPr>
              <w:t>HPLA7010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06CF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69FC" w:rsidP="00E51AAC">
            <w:pPr>
              <w:spacing w:before="120" w:after="120"/>
              <w:jc w:val="both"/>
              <w:rPr>
                <w:rFonts w:ascii="Arial" w:hAnsi="Arial" w:cs="Arial"/>
                <w:b/>
                <w:sz w:val="22"/>
                <w:szCs w:val="22"/>
              </w:rPr>
            </w:pPr>
            <w:r>
              <w:rPr>
                <w:rFonts w:ascii="Arial" w:hAnsi="Arial" w:cs="Arial"/>
                <w:b/>
                <w:sz w:val="22"/>
                <w:szCs w:val="22"/>
              </w:rPr>
              <w:t>Ruth Parkes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06CFC"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06CFC" w:rsidP="005F0579">
            <w:pPr>
              <w:spacing w:before="120" w:after="120"/>
              <w:jc w:val="both"/>
              <w:rPr>
                <w:rFonts w:ascii="Arial" w:hAnsi="Arial" w:cs="Arial"/>
                <w:b/>
                <w:sz w:val="22"/>
                <w:szCs w:val="22"/>
              </w:rPr>
            </w:pPr>
            <w:r>
              <w:rPr>
                <w:rFonts w:ascii="Arial" w:hAnsi="Arial" w:cs="Arial"/>
                <w:b/>
                <w:sz w:val="22"/>
                <w:szCs w:val="22"/>
              </w:rPr>
              <w:t>January period</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02607A" w:rsidRPr="00A93AEB" w:rsidRDefault="0002607A" w:rsidP="0002607A">
            <w:pPr>
              <w:widowControl w:val="0"/>
              <w:rPr>
                <w:rFonts w:ascii="Arial" w:hAnsi="Arial" w:cs="Arial"/>
                <w:sz w:val="24"/>
                <w:szCs w:val="24"/>
                <w:lang w:val="en-US"/>
              </w:rPr>
            </w:pPr>
            <w:r w:rsidRPr="00A93AEB">
              <w:rPr>
                <w:rFonts w:ascii="Arial" w:hAnsi="Arial" w:cs="Arial"/>
                <w:sz w:val="24"/>
                <w:szCs w:val="24"/>
                <w:lang w:val="en-US"/>
              </w:rPr>
              <w:t>AIM(S)</w:t>
            </w:r>
          </w:p>
          <w:p w:rsidR="0002607A" w:rsidRDefault="0002607A" w:rsidP="0002607A">
            <w:pPr>
              <w:pStyle w:val="ListParagraph"/>
              <w:widowControl w:val="0"/>
              <w:numPr>
                <w:ilvl w:val="0"/>
                <w:numId w:val="17"/>
              </w:numPr>
              <w:rPr>
                <w:rFonts w:ascii="Arial" w:hAnsi="Arial" w:cs="Arial"/>
                <w:sz w:val="24"/>
                <w:szCs w:val="24"/>
                <w:lang w:val="en-US"/>
              </w:rPr>
            </w:pPr>
            <w:r w:rsidRPr="00A93AEB">
              <w:rPr>
                <w:rFonts w:ascii="Arial" w:hAnsi="Arial" w:cs="Arial"/>
                <w:sz w:val="24"/>
                <w:szCs w:val="24"/>
                <w:lang w:val="en-US"/>
              </w:rPr>
              <w:t>To translate accurately the Latin</w:t>
            </w:r>
            <w:r>
              <w:rPr>
                <w:rFonts w:ascii="Arial" w:hAnsi="Arial" w:cs="Arial"/>
                <w:sz w:val="24"/>
                <w:szCs w:val="24"/>
                <w:lang w:val="en-US"/>
              </w:rPr>
              <w:t xml:space="preserve"> language of a prose text at a further </w:t>
            </w:r>
            <w:r w:rsidRPr="00A93AEB">
              <w:rPr>
                <w:rFonts w:ascii="Arial" w:hAnsi="Arial" w:cs="Arial"/>
                <w:sz w:val="24"/>
                <w:szCs w:val="24"/>
                <w:lang w:val="en-US"/>
              </w:rPr>
              <w:t>advanced level.</w:t>
            </w:r>
          </w:p>
          <w:p w:rsidR="0002607A" w:rsidRPr="00A90DFF" w:rsidRDefault="0002607A" w:rsidP="0002607A">
            <w:pPr>
              <w:pStyle w:val="ListParagraph"/>
              <w:widowControl w:val="0"/>
              <w:numPr>
                <w:ilvl w:val="0"/>
                <w:numId w:val="17"/>
              </w:numPr>
              <w:rPr>
                <w:rFonts w:ascii="Arial" w:hAnsi="Arial" w:cs="Arial"/>
                <w:sz w:val="24"/>
                <w:szCs w:val="24"/>
                <w:lang w:val="en-US"/>
              </w:rPr>
            </w:pPr>
            <w:r w:rsidRPr="00A90DFF">
              <w:rPr>
                <w:rFonts w:ascii="Arial" w:hAnsi="Arial" w:cs="Arial"/>
                <w:sz w:val="24"/>
                <w:szCs w:val="24"/>
                <w:lang w:val="en-US"/>
              </w:rPr>
              <w:t>To  develop  further  skills  of  literary  analysis  and  interpretation,  and  gain  an understanding of the text’s historical, cultural and literary context as reflected both in the text studied and relevant modern scholarship.</w:t>
            </w:r>
          </w:p>
          <w:p w:rsidR="0002607A" w:rsidRPr="00A93AEB" w:rsidRDefault="0002607A" w:rsidP="0002607A">
            <w:pPr>
              <w:widowControl w:val="0"/>
              <w:rPr>
                <w:rFonts w:ascii="Arial" w:hAnsi="Arial" w:cs="Arial"/>
                <w:sz w:val="24"/>
                <w:szCs w:val="24"/>
                <w:lang w:val="en-US"/>
              </w:rPr>
            </w:pPr>
            <w:r w:rsidRPr="00A93AEB">
              <w:rPr>
                <w:rFonts w:ascii="Arial" w:hAnsi="Arial" w:cs="Arial"/>
                <w:sz w:val="24"/>
                <w:szCs w:val="24"/>
                <w:lang w:val="en-US"/>
              </w:rPr>
              <w:t>LEARNING OUTCOMES</w:t>
            </w:r>
          </w:p>
          <w:p w:rsidR="0002607A" w:rsidRPr="00A158AA" w:rsidRDefault="0002607A" w:rsidP="0002607A">
            <w:pPr>
              <w:widowControl w:val="0"/>
              <w:rPr>
                <w:rFonts w:ascii="Arial" w:hAnsi="Arial" w:cs="Arial"/>
                <w:sz w:val="24"/>
                <w:szCs w:val="24"/>
                <w:lang w:val="en-US"/>
              </w:rPr>
            </w:pPr>
            <w:r w:rsidRPr="00A158AA">
              <w:rPr>
                <w:rFonts w:ascii="Arial" w:hAnsi="Arial" w:cs="Arial"/>
                <w:sz w:val="24"/>
                <w:szCs w:val="24"/>
                <w:lang w:val="en-US"/>
              </w:rPr>
              <w:t>Upon the successful completion of this module, the student should be able to demonstrate:</w:t>
            </w:r>
          </w:p>
          <w:p w:rsidR="0002607A" w:rsidRDefault="0002607A" w:rsidP="0002607A">
            <w:pPr>
              <w:pStyle w:val="ListParagraph"/>
              <w:widowControl w:val="0"/>
              <w:numPr>
                <w:ilvl w:val="0"/>
                <w:numId w:val="17"/>
              </w:numPr>
              <w:rPr>
                <w:rFonts w:ascii="Arial" w:hAnsi="Arial" w:cs="Arial"/>
                <w:sz w:val="24"/>
                <w:szCs w:val="24"/>
                <w:lang w:val="en-US"/>
              </w:rPr>
            </w:pPr>
            <w:r w:rsidRPr="00A90DFF">
              <w:rPr>
                <w:rFonts w:ascii="Arial" w:hAnsi="Arial" w:cs="Arial"/>
                <w:sz w:val="24"/>
                <w:szCs w:val="24"/>
                <w:lang w:val="en-US"/>
              </w:rPr>
              <w:t>Advanced knowledge of Latin grammar and syntax through translation of the text stud</w:t>
            </w:r>
            <w:r>
              <w:rPr>
                <w:rFonts w:ascii="Arial" w:hAnsi="Arial" w:cs="Arial"/>
                <w:sz w:val="24"/>
                <w:szCs w:val="24"/>
                <w:lang w:val="en-US"/>
              </w:rPr>
              <w:t>ied</w:t>
            </w:r>
          </w:p>
          <w:p w:rsidR="0002607A" w:rsidRDefault="0002607A" w:rsidP="0002607A">
            <w:pPr>
              <w:pStyle w:val="ListParagraph"/>
              <w:widowControl w:val="0"/>
              <w:numPr>
                <w:ilvl w:val="0"/>
                <w:numId w:val="17"/>
              </w:numPr>
              <w:rPr>
                <w:rFonts w:ascii="Arial" w:hAnsi="Arial" w:cs="Arial"/>
                <w:sz w:val="24"/>
                <w:szCs w:val="24"/>
                <w:lang w:val="en-US"/>
              </w:rPr>
            </w:pPr>
            <w:r w:rsidRPr="003529A3">
              <w:rPr>
                <w:rFonts w:ascii="Arial" w:hAnsi="Arial" w:cs="Arial"/>
                <w:sz w:val="24"/>
                <w:szCs w:val="24"/>
                <w:lang w:val="en-US"/>
              </w:rPr>
              <w:t>The ability to analyse and employ modern scholarship on the studied text.</w:t>
            </w:r>
          </w:p>
          <w:p w:rsidR="0002607A" w:rsidRPr="003529A3" w:rsidRDefault="0002607A" w:rsidP="0002607A">
            <w:pPr>
              <w:pStyle w:val="ListParagraph"/>
              <w:widowControl w:val="0"/>
              <w:numPr>
                <w:ilvl w:val="0"/>
                <w:numId w:val="17"/>
              </w:numPr>
              <w:rPr>
                <w:rFonts w:ascii="Arial" w:hAnsi="Arial" w:cs="Arial"/>
                <w:sz w:val="24"/>
                <w:szCs w:val="24"/>
                <w:lang w:val="en-US"/>
              </w:rPr>
            </w:pPr>
            <w:r w:rsidRPr="003529A3">
              <w:rPr>
                <w:rFonts w:ascii="Arial" w:hAnsi="Arial" w:cs="Arial"/>
                <w:sz w:val="24"/>
                <w:szCs w:val="24"/>
                <w:lang w:val="en-US"/>
              </w:rPr>
              <w:t>Sound and critically informed knowledge of the text studied in literary and linguistic analysis.</w:t>
            </w:r>
          </w:p>
          <w:p w:rsidR="0002607A" w:rsidRPr="00A406E5" w:rsidRDefault="0002607A" w:rsidP="0002607A">
            <w:pPr>
              <w:ind w:left="360"/>
              <w:rPr>
                <w:rFonts w:ascii="Arial" w:hAnsi="Arial" w:cs="Arial"/>
                <w:sz w:val="22"/>
                <w:szCs w:val="22"/>
              </w:rPr>
            </w:pPr>
          </w:p>
          <w:p w:rsidR="00C01A3F" w:rsidRPr="00A406E5" w:rsidRDefault="00C01A3F" w:rsidP="0002607A">
            <w:pPr>
              <w:rPr>
                <w:rFonts w:ascii="Arial" w:hAnsi="Arial" w:cs="Arial"/>
                <w:sz w:val="22"/>
                <w:szCs w:val="22"/>
              </w:rPr>
            </w:pPr>
            <w:bookmarkStart w:id="0" w:name="_GoBack"/>
            <w:bookmarkEnd w:id="0"/>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Layout w:type="fixed"/>
        <w:tblLook w:val="04A0" w:firstRow="1" w:lastRow="0" w:firstColumn="1" w:lastColumn="0" w:noHBand="0" w:noVBand="1"/>
      </w:tblPr>
      <w:tblGrid>
        <w:gridCol w:w="3510"/>
        <w:gridCol w:w="2127"/>
        <w:gridCol w:w="3606"/>
      </w:tblGrid>
      <w:tr w:rsidR="00C06CFC" w:rsidRPr="0025616C" w:rsidTr="003F1A25">
        <w:tc>
          <w:tcPr>
            <w:tcW w:w="3510" w:type="dxa"/>
          </w:tcPr>
          <w:p w:rsidR="00C06CFC" w:rsidRPr="0025616C" w:rsidRDefault="00C06CFC" w:rsidP="003F1A25">
            <w:pPr>
              <w:pStyle w:val="Header"/>
              <w:jc w:val="both"/>
              <w:rPr>
                <w:b/>
              </w:rPr>
            </w:pPr>
            <w:r w:rsidRPr="0025616C">
              <w:rPr>
                <w:b/>
              </w:rPr>
              <w:t>UNIVERSITY OF WALES:</w:t>
            </w:r>
          </w:p>
          <w:p w:rsidR="00C06CFC" w:rsidRPr="0025616C" w:rsidRDefault="00C06CFC" w:rsidP="003F1A25">
            <w:pPr>
              <w:pStyle w:val="Header"/>
              <w:jc w:val="both"/>
              <w:rPr>
                <w:b/>
              </w:rPr>
            </w:pPr>
            <w:r w:rsidRPr="0025616C">
              <w:rPr>
                <w:b/>
              </w:rPr>
              <w:t>TRINITY SAINT DAVID</w:t>
            </w:r>
          </w:p>
          <w:p w:rsidR="00C06CFC" w:rsidRPr="0025616C" w:rsidRDefault="00C06CFC" w:rsidP="003F1A25">
            <w:pPr>
              <w:pStyle w:val="Header"/>
              <w:jc w:val="both"/>
            </w:pPr>
          </w:p>
        </w:tc>
        <w:tc>
          <w:tcPr>
            <w:tcW w:w="2127" w:type="dxa"/>
          </w:tcPr>
          <w:p w:rsidR="00C06CFC" w:rsidRPr="0025616C" w:rsidRDefault="00C06CFC" w:rsidP="003F1A25">
            <w:pPr>
              <w:pStyle w:val="Header"/>
              <w:jc w:val="center"/>
            </w:pPr>
            <w:r w:rsidRPr="0025616C">
              <w:rPr>
                <w:noProof/>
              </w:rPr>
              <w:drawing>
                <wp:inline distT="0" distB="0" distL="0" distR="0" wp14:anchorId="72F8FC4C" wp14:editId="54F3F0EF">
                  <wp:extent cx="1162050" cy="485775"/>
                  <wp:effectExtent l="0" t="0" r="0" b="9525"/>
                  <wp:docPr id="2" name="Picture 2" descr="TSD_logo2010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62050" cy="485775"/>
                          </a:xfrm>
                          <a:prstGeom prst="rect">
                            <a:avLst/>
                          </a:prstGeom>
                          <a:noFill/>
                          <a:ln>
                            <a:noFill/>
                          </a:ln>
                        </pic:spPr>
                      </pic:pic>
                    </a:graphicData>
                  </a:graphic>
                </wp:inline>
              </w:drawing>
            </w:r>
          </w:p>
        </w:tc>
        <w:tc>
          <w:tcPr>
            <w:tcW w:w="3606" w:type="dxa"/>
          </w:tcPr>
          <w:p w:rsidR="00C06CFC" w:rsidRPr="0025616C" w:rsidRDefault="00C06CFC" w:rsidP="003F1A25">
            <w:pPr>
              <w:pStyle w:val="Header"/>
              <w:jc w:val="right"/>
              <w:rPr>
                <w:b/>
                <w:lang w:val="sv-SE"/>
              </w:rPr>
            </w:pPr>
            <w:r w:rsidRPr="0025616C">
              <w:rPr>
                <w:b/>
                <w:lang w:val="sv-SE"/>
              </w:rPr>
              <w:t>PRIFYSGOL CYMRU:</w:t>
            </w:r>
          </w:p>
          <w:p w:rsidR="00C06CFC" w:rsidRPr="0025616C" w:rsidRDefault="00C06CFC" w:rsidP="003F1A25">
            <w:pPr>
              <w:pStyle w:val="Header"/>
              <w:jc w:val="right"/>
              <w:rPr>
                <w:b/>
                <w:lang w:val="sv-SE"/>
              </w:rPr>
            </w:pPr>
            <w:r w:rsidRPr="0025616C">
              <w:rPr>
                <w:b/>
                <w:lang w:val="sv-SE"/>
              </w:rPr>
              <w:t>Y DRINDOD DEWI SANT</w:t>
            </w:r>
          </w:p>
          <w:p w:rsidR="00C06CFC" w:rsidRPr="0025616C" w:rsidRDefault="00C06CFC" w:rsidP="003F1A25">
            <w:pPr>
              <w:pStyle w:val="Header"/>
              <w:jc w:val="right"/>
              <w:rPr>
                <w:lang w:val="sv-SE"/>
              </w:rPr>
            </w:pPr>
          </w:p>
        </w:tc>
      </w:tr>
    </w:tbl>
    <w:tbl>
      <w:tblPr>
        <w:tblStyle w:val="TableGrid"/>
        <w:tblW w:w="92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C06CFC" w:rsidRPr="0025616C" w:rsidTr="003F1A25">
        <w:trPr>
          <w:cantSplit/>
          <w:trHeight w:val="436"/>
        </w:trPr>
        <w:tc>
          <w:tcPr>
            <w:tcW w:w="4621" w:type="dxa"/>
          </w:tcPr>
          <w:p w:rsidR="00C06CFC" w:rsidRPr="0025616C" w:rsidRDefault="00C06CFC" w:rsidP="003F1A25">
            <w:pPr>
              <w:pStyle w:val="Year"/>
              <w:rPr>
                <w:sz w:val="24"/>
              </w:rPr>
            </w:pPr>
            <w:r w:rsidRPr="0025616C">
              <w:rPr>
                <w:b w:val="0"/>
                <w:sz w:val="20"/>
              </w:rPr>
              <w:t xml:space="preserve">LOCATION: </w:t>
            </w:r>
            <w:r w:rsidRPr="0025616C">
              <w:rPr>
                <w:sz w:val="24"/>
              </w:rPr>
              <w:t xml:space="preserve">LAMPETER </w:t>
            </w:r>
          </w:p>
        </w:tc>
        <w:tc>
          <w:tcPr>
            <w:tcW w:w="4622" w:type="dxa"/>
          </w:tcPr>
          <w:p w:rsidR="00C06CFC" w:rsidRPr="0025616C" w:rsidRDefault="00C06CFC" w:rsidP="003F1A25">
            <w:pPr>
              <w:pStyle w:val="Year"/>
              <w:jc w:val="right"/>
              <w:rPr>
                <w:b w:val="0"/>
                <w:sz w:val="20"/>
              </w:rPr>
            </w:pPr>
            <w:r w:rsidRPr="0025616C">
              <w:rPr>
                <w:b w:val="0"/>
                <w:sz w:val="20"/>
              </w:rPr>
              <w:t xml:space="preserve">LLEOLIAD: </w:t>
            </w:r>
            <w:r w:rsidRPr="0025616C">
              <w:rPr>
                <w:sz w:val="24"/>
              </w:rPr>
              <w:t xml:space="preserve"> LLAMBED</w:t>
            </w:r>
          </w:p>
        </w:tc>
      </w:tr>
      <w:tr w:rsidR="00C06CFC" w:rsidRPr="0025616C" w:rsidTr="003F1A25">
        <w:tc>
          <w:tcPr>
            <w:tcW w:w="4621" w:type="dxa"/>
          </w:tcPr>
          <w:p w:rsidR="00C06CFC" w:rsidRPr="0025616C" w:rsidRDefault="00C06CFC" w:rsidP="003F1A25">
            <w:pPr>
              <w:pStyle w:val="Trinity"/>
              <w:ind w:left="5760" w:hanging="5760"/>
            </w:pPr>
            <w:r w:rsidRPr="0025616C">
              <w:t xml:space="preserve">LEVEL </w:t>
            </w:r>
            <w:r>
              <w:t>7</w:t>
            </w:r>
          </w:p>
        </w:tc>
        <w:tc>
          <w:tcPr>
            <w:tcW w:w="4622" w:type="dxa"/>
          </w:tcPr>
          <w:p w:rsidR="00C06CFC" w:rsidRPr="0025616C" w:rsidRDefault="00C06CFC" w:rsidP="003F1A25">
            <w:pPr>
              <w:pStyle w:val="Trinity"/>
              <w:ind w:left="5760" w:hanging="5760"/>
              <w:jc w:val="right"/>
            </w:pPr>
            <w:r w:rsidRPr="0025616C">
              <w:t xml:space="preserve">LEFEL </w:t>
            </w:r>
            <w:r>
              <w:t>7</w:t>
            </w:r>
          </w:p>
        </w:tc>
      </w:tr>
      <w:tr w:rsidR="00C06CFC" w:rsidRPr="0025616C" w:rsidTr="003F1A25">
        <w:tc>
          <w:tcPr>
            <w:tcW w:w="4621" w:type="dxa"/>
          </w:tcPr>
          <w:p w:rsidR="00C06CFC" w:rsidRPr="0025616C" w:rsidRDefault="00C06CFC" w:rsidP="003F1A25">
            <w:pPr>
              <w:pStyle w:val="Exam"/>
            </w:pPr>
            <w:r w:rsidRPr="0025616C">
              <w:t>EXAMINATION PERIOD</w:t>
            </w:r>
          </w:p>
        </w:tc>
        <w:tc>
          <w:tcPr>
            <w:tcW w:w="4622" w:type="dxa"/>
          </w:tcPr>
          <w:p w:rsidR="00C06CFC" w:rsidRPr="0025616C" w:rsidRDefault="00C06CFC" w:rsidP="003F1A25">
            <w:pPr>
              <w:pStyle w:val="Exam"/>
              <w:jc w:val="right"/>
            </w:pPr>
            <w:r w:rsidRPr="0025616C">
              <w:t>CYFNOD ARHOLIADAU</w:t>
            </w:r>
          </w:p>
        </w:tc>
      </w:tr>
      <w:tr w:rsidR="00C06CFC" w:rsidRPr="0025616C" w:rsidTr="003F1A25">
        <w:tc>
          <w:tcPr>
            <w:tcW w:w="4621" w:type="dxa"/>
          </w:tcPr>
          <w:p w:rsidR="00C06CFC" w:rsidRPr="0025616C" w:rsidRDefault="00C06CFC" w:rsidP="003F1A25">
            <w:pPr>
              <w:pStyle w:val="Month"/>
              <w:jc w:val="both"/>
            </w:pPr>
            <w:r>
              <w:t>XXX</w:t>
            </w:r>
          </w:p>
        </w:tc>
        <w:tc>
          <w:tcPr>
            <w:tcW w:w="4622" w:type="dxa"/>
          </w:tcPr>
          <w:p w:rsidR="00C06CFC" w:rsidRPr="0025616C" w:rsidRDefault="00C06CFC" w:rsidP="003F1A25">
            <w:pPr>
              <w:pStyle w:val="Month"/>
              <w:jc w:val="right"/>
            </w:pPr>
            <w:r>
              <w:t>XXX</w:t>
            </w:r>
          </w:p>
        </w:tc>
      </w:tr>
    </w:tbl>
    <w:p w:rsidR="00152E9D" w:rsidRPr="00C06CFC" w:rsidRDefault="00C06CFC" w:rsidP="00C06CFC">
      <w:pPr>
        <w:rPr>
          <w:sz w:val="24"/>
          <w:szCs w:val="24"/>
        </w:rPr>
      </w:pPr>
      <w:r w:rsidRPr="00FC0970">
        <w:rPr>
          <w:color w:val="201F1E"/>
          <w:sz w:val="24"/>
          <w:szCs w:val="24"/>
          <w:shd w:val="clear" w:color="auto" w:fill="FFFFFF"/>
        </w:rPr>
        <w:t>HPLA7010</w:t>
      </w:r>
      <w:r w:rsidRPr="00FC0970">
        <w:rPr>
          <w:color w:val="201F1E"/>
          <w:sz w:val="24"/>
          <w:szCs w:val="24"/>
        </w:rPr>
        <w:br/>
      </w:r>
      <w:r w:rsidRPr="00FC0970">
        <w:rPr>
          <w:color w:val="201F1E"/>
          <w:sz w:val="24"/>
          <w:szCs w:val="24"/>
        </w:rPr>
        <w:br/>
      </w:r>
      <w:r w:rsidRPr="00FC0970">
        <w:rPr>
          <w:color w:val="201F1E"/>
          <w:sz w:val="24"/>
          <w:szCs w:val="24"/>
          <w:shd w:val="clear" w:color="auto" w:fill="FFFFFF"/>
        </w:rPr>
        <w:t xml:space="preserve">FURTHER ADVANCED LATIN: PROSE: Petronius’ </w:t>
      </w:r>
      <w:r>
        <w:rPr>
          <w:i/>
          <w:color w:val="201F1E"/>
          <w:sz w:val="24"/>
          <w:szCs w:val="24"/>
          <w:shd w:val="clear" w:color="auto" w:fill="FFFFFF"/>
        </w:rPr>
        <w:t>Satyrica</w:t>
      </w:r>
      <w:r w:rsidRPr="00FC0970">
        <w:rPr>
          <w:color w:val="201F1E"/>
          <w:sz w:val="24"/>
          <w:szCs w:val="24"/>
        </w:rPr>
        <w:br/>
      </w:r>
      <w:r w:rsidRPr="00FC0970">
        <w:rPr>
          <w:color w:val="201F1E"/>
          <w:sz w:val="24"/>
          <w:szCs w:val="24"/>
        </w:rPr>
        <w:br/>
      </w:r>
      <w:r w:rsidRPr="00FC0970">
        <w:rPr>
          <w:color w:val="201F1E"/>
          <w:sz w:val="24"/>
          <w:szCs w:val="24"/>
          <w:shd w:val="clear" w:color="auto" w:fill="FFFFFF"/>
        </w:rPr>
        <w:t>TIME: 2 HOURS</w:t>
      </w:r>
      <w:r w:rsidRPr="00FC0970">
        <w:rPr>
          <w:color w:val="201F1E"/>
          <w:sz w:val="24"/>
          <w:szCs w:val="24"/>
        </w:rPr>
        <w:br/>
      </w:r>
      <w:r w:rsidRPr="00FC0970">
        <w:rPr>
          <w:color w:val="201F1E"/>
          <w:sz w:val="24"/>
          <w:szCs w:val="24"/>
        </w:rPr>
        <w:br/>
      </w:r>
      <w:r w:rsidRPr="00FC0970">
        <w:rPr>
          <w:color w:val="201F1E"/>
          <w:sz w:val="24"/>
          <w:szCs w:val="24"/>
          <w:shd w:val="clear" w:color="auto" w:fill="FFFFFF"/>
        </w:rPr>
        <w:t>answer all questions</w:t>
      </w:r>
      <w:r w:rsidRPr="00FC0970">
        <w:rPr>
          <w:color w:val="201F1E"/>
          <w:sz w:val="24"/>
          <w:szCs w:val="24"/>
        </w:rPr>
        <w:br/>
      </w:r>
      <w:r w:rsidRPr="00FC0970">
        <w:rPr>
          <w:color w:val="201F1E"/>
          <w:sz w:val="24"/>
          <w:szCs w:val="24"/>
        </w:rPr>
        <w:br/>
      </w:r>
      <w:r w:rsidRPr="00FC0970">
        <w:rPr>
          <w:color w:val="201F1E"/>
          <w:sz w:val="24"/>
          <w:szCs w:val="24"/>
        </w:rPr>
        <w:lastRenderedPageBreak/>
        <w:br/>
      </w:r>
      <w:r w:rsidRPr="00FC0970">
        <w:rPr>
          <w:color w:val="201F1E"/>
          <w:sz w:val="24"/>
          <w:szCs w:val="24"/>
          <w:shd w:val="clear" w:color="auto" w:fill="FFFFFF"/>
        </w:rPr>
        <w:t>Equipment or material required - Latin dictionary</w:t>
      </w:r>
      <w:r w:rsidRPr="00FC0970">
        <w:rPr>
          <w:color w:val="201F1E"/>
          <w:sz w:val="24"/>
          <w:szCs w:val="24"/>
        </w:rPr>
        <w:br/>
      </w:r>
      <w:r w:rsidRPr="00FC0970">
        <w:rPr>
          <w:color w:val="201F1E"/>
          <w:sz w:val="24"/>
          <w:szCs w:val="24"/>
        </w:rPr>
        <w:br/>
      </w:r>
      <w:r w:rsidRPr="00FC0970">
        <w:rPr>
          <w:color w:val="201F1E"/>
          <w:sz w:val="24"/>
          <w:szCs w:val="24"/>
          <w:shd w:val="clear" w:color="auto" w:fill="FFFFFF"/>
        </w:rPr>
        <w:t>Adnoddau neu ddefyndiau sydd eu hangen – Geirladur Lladin</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1. Give your own English translation of TWO of the following passages:</w:t>
      </w:r>
      <w:r w:rsidRPr="00FC0970">
        <w:rPr>
          <w:color w:val="201F1E"/>
          <w:sz w:val="24"/>
          <w:szCs w:val="24"/>
        </w:rPr>
        <w:br/>
      </w:r>
      <w:r w:rsidRPr="00FC0970">
        <w:rPr>
          <w:color w:val="201F1E"/>
          <w:sz w:val="24"/>
          <w:szCs w:val="24"/>
          <w:shd w:val="clear" w:color="auto" w:fill="FFFFFF"/>
        </w:rPr>
        <w:t>(60 marks). You should choose ONE translation from section (i), and</w:t>
      </w:r>
      <w:r w:rsidRPr="00FC0970">
        <w:rPr>
          <w:color w:val="201F1E"/>
          <w:sz w:val="24"/>
          <w:szCs w:val="24"/>
        </w:rPr>
        <w:br/>
      </w:r>
      <w:r w:rsidRPr="00FC0970">
        <w:rPr>
          <w:color w:val="201F1E"/>
          <w:sz w:val="24"/>
          <w:szCs w:val="24"/>
          <w:shd w:val="clear" w:color="auto" w:fill="FFFFFF"/>
        </w:rPr>
        <w:t>ONE from section (ii).</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Section (i)</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EITHER</w:t>
      </w:r>
      <w:r w:rsidRPr="00FC0970">
        <w:rPr>
          <w:color w:val="201F1E"/>
          <w:sz w:val="24"/>
          <w:szCs w:val="24"/>
        </w:rPr>
        <w:br/>
      </w:r>
      <w:r w:rsidRPr="00FC0970">
        <w:rPr>
          <w:color w:val="201F1E"/>
          <w:sz w:val="24"/>
          <w:szCs w:val="24"/>
        </w:rPr>
        <w:br/>
      </w:r>
      <w:r w:rsidRPr="00FC0970">
        <w:rPr>
          <w:color w:val="201F1E"/>
          <w:sz w:val="24"/>
          <w:szCs w:val="24"/>
          <w:shd w:val="clear" w:color="auto" w:fill="FFFFFF"/>
        </w:rPr>
        <w:t>a)</w:t>
      </w:r>
      <w:r w:rsidRPr="00FC0970">
        <w:rPr>
          <w:color w:val="201F1E"/>
          <w:sz w:val="24"/>
          <w:szCs w:val="24"/>
        </w:rPr>
        <w:br/>
      </w:r>
      <w:r w:rsidRPr="00FC0970">
        <w:rPr>
          <w:color w:val="201F1E"/>
          <w:sz w:val="24"/>
          <w:szCs w:val="24"/>
        </w:rPr>
        <w:br/>
      </w:r>
      <w:r w:rsidRPr="00FC0970">
        <w:rPr>
          <w:color w:val="201F1E"/>
          <w:sz w:val="24"/>
          <w:szCs w:val="24"/>
          <w:shd w:val="clear" w:color="auto" w:fill="FFFFFF"/>
        </w:rPr>
        <w:t>non potui amplius quicquam gustare, sed conversus ad eum, ut quam</w:t>
      </w:r>
      <w:r w:rsidRPr="00FC0970">
        <w:rPr>
          <w:color w:val="201F1E"/>
          <w:sz w:val="24"/>
          <w:szCs w:val="24"/>
        </w:rPr>
        <w:br/>
      </w:r>
      <w:r w:rsidRPr="00FC0970">
        <w:rPr>
          <w:color w:val="201F1E"/>
          <w:sz w:val="24"/>
          <w:szCs w:val="24"/>
          <w:shd w:val="clear" w:color="auto" w:fill="FFFFFF"/>
        </w:rPr>
        <w:t>plurima exciperem, longe accersere fabulas coepi sciscitarique, quae</w:t>
      </w:r>
      <w:r w:rsidRPr="00FC0970">
        <w:rPr>
          <w:color w:val="201F1E"/>
          <w:sz w:val="24"/>
          <w:szCs w:val="24"/>
        </w:rPr>
        <w:br/>
      </w:r>
      <w:r w:rsidRPr="00FC0970">
        <w:rPr>
          <w:color w:val="201F1E"/>
          <w:sz w:val="24"/>
          <w:szCs w:val="24"/>
          <w:shd w:val="clear" w:color="auto" w:fill="FFFFFF"/>
        </w:rPr>
        <w:t>esset mulier illa, quae huc atque illuc discurreret. ‘uxor’ inquit</w:t>
      </w:r>
      <w:r w:rsidRPr="00FC0970">
        <w:rPr>
          <w:color w:val="201F1E"/>
          <w:sz w:val="24"/>
          <w:szCs w:val="24"/>
        </w:rPr>
        <w:br/>
      </w:r>
      <w:r w:rsidRPr="00FC0970">
        <w:rPr>
          <w:color w:val="201F1E"/>
          <w:sz w:val="24"/>
          <w:szCs w:val="24"/>
          <w:shd w:val="clear" w:color="auto" w:fill="FFFFFF"/>
        </w:rPr>
        <w:t>‘Trimalchionis, Fortunata appellatur, quae nummos modio metitur. et</w:t>
      </w:r>
      <w:r w:rsidRPr="00FC0970">
        <w:rPr>
          <w:color w:val="201F1E"/>
          <w:sz w:val="24"/>
          <w:szCs w:val="24"/>
        </w:rPr>
        <w:br/>
      </w:r>
      <w:r w:rsidRPr="00FC0970">
        <w:rPr>
          <w:color w:val="201F1E"/>
          <w:sz w:val="24"/>
          <w:szCs w:val="24"/>
          <w:shd w:val="clear" w:color="auto" w:fill="FFFFFF"/>
        </w:rPr>
        <w:t>modo, modo quid fuit? ignoscet mihi genius tuus, noluisses de manu</w:t>
      </w:r>
      <w:r w:rsidRPr="00FC0970">
        <w:rPr>
          <w:color w:val="201F1E"/>
          <w:sz w:val="24"/>
          <w:szCs w:val="24"/>
        </w:rPr>
        <w:br/>
      </w:r>
      <w:r w:rsidRPr="00FC0970">
        <w:rPr>
          <w:color w:val="201F1E"/>
          <w:sz w:val="24"/>
          <w:szCs w:val="24"/>
          <w:shd w:val="clear" w:color="auto" w:fill="FFFFFF"/>
        </w:rPr>
        <w:t>illius panem accipere. nunc, nec quid nec quare, in caelum abiit et</w:t>
      </w:r>
      <w:r w:rsidRPr="00FC0970">
        <w:rPr>
          <w:color w:val="201F1E"/>
          <w:sz w:val="24"/>
          <w:szCs w:val="24"/>
        </w:rPr>
        <w:br/>
      </w:r>
      <w:r w:rsidRPr="00FC0970">
        <w:rPr>
          <w:color w:val="201F1E"/>
          <w:sz w:val="24"/>
          <w:szCs w:val="24"/>
          <w:shd w:val="clear" w:color="auto" w:fill="FFFFFF"/>
        </w:rPr>
        <w:t>Trimalchionis topanta est. ad summam, mero meridie si dixerit illi</w:t>
      </w:r>
      <w:r w:rsidRPr="00FC0970">
        <w:rPr>
          <w:color w:val="201F1E"/>
          <w:sz w:val="24"/>
          <w:szCs w:val="24"/>
        </w:rPr>
        <w:br/>
      </w:r>
      <w:r w:rsidRPr="00FC0970">
        <w:rPr>
          <w:color w:val="201F1E"/>
          <w:sz w:val="24"/>
          <w:szCs w:val="24"/>
          <w:shd w:val="clear" w:color="auto" w:fill="FFFFFF"/>
        </w:rPr>
        <w:t>tenebras esse, credet. ipse nescit quid habeat, adeo saplutus est; sed</w:t>
      </w:r>
      <w:r w:rsidRPr="00FC0970">
        <w:rPr>
          <w:color w:val="201F1E"/>
          <w:sz w:val="24"/>
          <w:szCs w:val="24"/>
        </w:rPr>
        <w:br/>
      </w:r>
      <w:r w:rsidRPr="00FC0970">
        <w:rPr>
          <w:color w:val="201F1E"/>
          <w:sz w:val="24"/>
          <w:szCs w:val="24"/>
          <w:shd w:val="clear" w:color="auto" w:fill="FFFFFF"/>
        </w:rPr>
        <w:t>haec lupatria providet omnia, est ubi non putes. est sicca, sobria,</w:t>
      </w:r>
      <w:r w:rsidRPr="00FC0970">
        <w:rPr>
          <w:color w:val="201F1E"/>
          <w:sz w:val="24"/>
          <w:szCs w:val="24"/>
        </w:rPr>
        <w:br/>
      </w:r>
      <w:r w:rsidRPr="00FC0970">
        <w:rPr>
          <w:color w:val="201F1E"/>
          <w:sz w:val="24"/>
          <w:szCs w:val="24"/>
          <w:shd w:val="clear" w:color="auto" w:fill="FFFFFF"/>
        </w:rPr>
        <w:t>bonorum consiliorum - tantum auri vides - est tamen malae linguae,</w:t>
      </w:r>
      <w:r w:rsidRPr="00FC0970">
        <w:rPr>
          <w:color w:val="201F1E"/>
          <w:sz w:val="24"/>
          <w:szCs w:val="24"/>
        </w:rPr>
        <w:br/>
      </w:r>
      <w:r w:rsidRPr="00FC0970">
        <w:rPr>
          <w:color w:val="201F1E"/>
          <w:sz w:val="24"/>
          <w:szCs w:val="24"/>
          <w:shd w:val="clear" w:color="auto" w:fill="FFFFFF"/>
        </w:rPr>
        <w:t>pica pulvinaris. quem amat, amat; quem non amat, non amat.’</w:t>
      </w:r>
      <w:r w:rsidRPr="00FC0970">
        <w:rPr>
          <w:color w:val="201F1E"/>
          <w:sz w:val="24"/>
          <w:szCs w:val="24"/>
        </w:rPr>
        <w:br/>
      </w:r>
      <w:r w:rsidRPr="00FC0970">
        <w:rPr>
          <w:color w:val="201F1E"/>
          <w:sz w:val="24"/>
          <w:szCs w:val="24"/>
        </w:rPr>
        <w:br/>
      </w:r>
      <w:r w:rsidRPr="00FC0970">
        <w:rPr>
          <w:color w:val="201F1E"/>
          <w:sz w:val="24"/>
          <w:szCs w:val="24"/>
          <w:shd w:val="clear" w:color="auto" w:fill="FFFFFF"/>
        </w:rPr>
        <w:t>(Sat. 37)</w:t>
      </w:r>
      <w:r w:rsidRPr="00FC0970">
        <w:rPr>
          <w:color w:val="201F1E"/>
          <w:sz w:val="24"/>
          <w:szCs w:val="24"/>
        </w:rPr>
        <w:br/>
      </w:r>
      <w:r w:rsidRPr="00FC0970">
        <w:rPr>
          <w:color w:val="201F1E"/>
          <w:sz w:val="24"/>
          <w:szCs w:val="24"/>
        </w:rPr>
        <w:br/>
      </w:r>
      <w:r w:rsidRPr="00FC0970">
        <w:rPr>
          <w:color w:val="201F1E"/>
          <w:sz w:val="24"/>
          <w:szCs w:val="24"/>
          <w:shd w:val="clear" w:color="auto" w:fill="FFFFFF"/>
        </w:rPr>
        <w:t>OR</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b)</w:t>
      </w:r>
      <w:r w:rsidRPr="00FC0970">
        <w:rPr>
          <w:color w:val="201F1E"/>
          <w:sz w:val="24"/>
          <w:szCs w:val="24"/>
        </w:rPr>
        <w:br/>
      </w:r>
      <w:r w:rsidRPr="00FC0970">
        <w:rPr>
          <w:color w:val="201F1E"/>
          <w:sz w:val="24"/>
          <w:szCs w:val="24"/>
        </w:rPr>
        <w:br/>
      </w:r>
      <w:r w:rsidRPr="00FC0970">
        <w:rPr>
          <w:color w:val="201F1E"/>
          <w:sz w:val="24"/>
          <w:szCs w:val="24"/>
          <w:shd w:val="clear" w:color="auto" w:fill="FFFFFF"/>
        </w:rPr>
        <w:t>itaque illo tempore annona pro luto erat. asse panem quem emisses, non</w:t>
      </w:r>
      <w:r w:rsidRPr="00FC0970">
        <w:rPr>
          <w:color w:val="201F1E"/>
          <w:sz w:val="24"/>
          <w:szCs w:val="24"/>
        </w:rPr>
        <w:br/>
      </w:r>
      <w:r w:rsidRPr="00FC0970">
        <w:rPr>
          <w:color w:val="201F1E"/>
          <w:sz w:val="24"/>
          <w:szCs w:val="24"/>
          <w:shd w:val="clear" w:color="auto" w:fill="FFFFFF"/>
        </w:rPr>
        <w:t>potuisses cum altero devorare. nunc oculum bublum vidi maiorem. heu</w:t>
      </w:r>
      <w:r w:rsidRPr="00FC0970">
        <w:rPr>
          <w:color w:val="201F1E"/>
          <w:sz w:val="24"/>
          <w:szCs w:val="24"/>
        </w:rPr>
        <w:br/>
      </w:r>
      <w:r w:rsidRPr="00FC0970">
        <w:rPr>
          <w:color w:val="201F1E"/>
          <w:sz w:val="24"/>
          <w:szCs w:val="24"/>
          <w:shd w:val="clear" w:color="auto" w:fill="FFFFFF"/>
        </w:rPr>
        <w:t>heu, quotidie peius. haec colonia retroversus crescit tanquam coda</w:t>
      </w:r>
      <w:r w:rsidRPr="00FC0970">
        <w:rPr>
          <w:color w:val="201F1E"/>
          <w:sz w:val="24"/>
          <w:szCs w:val="24"/>
        </w:rPr>
        <w:br/>
      </w:r>
      <w:r w:rsidRPr="00FC0970">
        <w:rPr>
          <w:color w:val="201F1E"/>
          <w:sz w:val="24"/>
          <w:szCs w:val="24"/>
          <w:shd w:val="clear" w:color="auto" w:fill="FFFFFF"/>
        </w:rPr>
        <w:t>vituli. sed quare? [non] habemus aedilem &lt;non&gt; trium cauniarum, qui</w:t>
      </w:r>
      <w:r w:rsidRPr="00FC0970">
        <w:rPr>
          <w:color w:val="201F1E"/>
          <w:sz w:val="24"/>
          <w:szCs w:val="24"/>
        </w:rPr>
        <w:br/>
      </w:r>
      <w:r w:rsidRPr="00FC0970">
        <w:rPr>
          <w:color w:val="201F1E"/>
          <w:sz w:val="24"/>
          <w:szCs w:val="24"/>
          <w:shd w:val="clear" w:color="auto" w:fill="FFFFFF"/>
        </w:rPr>
        <w:t>sibi mavult assem quam vitam nostram. itaque domi gaudet, plus in die</w:t>
      </w:r>
      <w:r w:rsidRPr="00FC0970">
        <w:rPr>
          <w:color w:val="201F1E"/>
          <w:sz w:val="24"/>
          <w:szCs w:val="24"/>
        </w:rPr>
        <w:br/>
      </w:r>
      <w:r w:rsidRPr="00FC0970">
        <w:rPr>
          <w:color w:val="201F1E"/>
          <w:sz w:val="24"/>
          <w:szCs w:val="24"/>
          <w:shd w:val="clear" w:color="auto" w:fill="FFFFFF"/>
        </w:rPr>
        <w:t>nummorum accipit, quam alter patrimonium habet. iam scio unde</w:t>
      </w:r>
      <w:r w:rsidRPr="00FC0970">
        <w:rPr>
          <w:color w:val="201F1E"/>
          <w:sz w:val="24"/>
          <w:szCs w:val="24"/>
        </w:rPr>
        <w:br/>
      </w:r>
      <w:r w:rsidRPr="00FC0970">
        <w:rPr>
          <w:color w:val="201F1E"/>
          <w:sz w:val="24"/>
          <w:szCs w:val="24"/>
          <w:shd w:val="clear" w:color="auto" w:fill="FFFFFF"/>
        </w:rPr>
        <w:t>acceperit denarios mille aureos. sed si nos coleos haberemus, non</w:t>
      </w:r>
      <w:r w:rsidRPr="00FC0970">
        <w:rPr>
          <w:color w:val="201F1E"/>
          <w:sz w:val="24"/>
          <w:szCs w:val="24"/>
        </w:rPr>
        <w:br/>
      </w:r>
      <w:r w:rsidRPr="00FC0970">
        <w:rPr>
          <w:color w:val="201F1E"/>
          <w:sz w:val="24"/>
          <w:szCs w:val="24"/>
          <w:shd w:val="clear" w:color="auto" w:fill="FFFFFF"/>
        </w:rPr>
        <w:t>tantum sibi placeret. nunc populus est domi leones, foras vulpes. quod</w:t>
      </w:r>
      <w:r w:rsidRPr="00FC0970">
        <w:rPr>
          <w:color w:val="201F1E"/>
          <w:sz w:val="24"/>
          <w:szCs w:val="24"/>
        </w:rPr>
        <w:br/>
      </w:r>
      <w:r w:rsidRPr="00FC0970">
        <w:rPr>
          <w:color w:val="201F1E"/>
          <w:sz w:val="24"/>
          <w:szCs w:val="24"/>
          <w:shd w:val="clear" w:color="auto" w:fill="FFFFFF"/>
        </w:rPr>
        <w:t>ad me attinet, iam pannos meos comedi, et si perseverat haec annona,</w:t>
      </w:r>
      <w:r w:rsidRPr="00FC0970">
        <w:rPr>
          <w:color w:val="201F1E"/>
          <w:sz w:val="24"/>
          <w:szCs w:val="24"/>
        </w:rPr>
        <w:br/>
      </w:r>
      <w:r w:rsidRPr="00FC0970">
        <w:rPr>
          <w:color w:val="201F1E"/>
          <w:sz w:val="24"/>
          <w:szCs w:val="24"/>
          <w:shd w:val="clear" w:color="auto" w:fill="FFFFFF"/>
        </w:rPr>
        <w:t>casulas meas vendam. quid enim futurum est, si nec dii nec homines</w:t>
      </w:r>
      <w:r w:rsidRPr="00FC0970">
        <w:rPr>
          <w:color w:val="201F1E"/>
          <w:sz w:val="24"/>
          <w:szCs w:val="24"/>
        </w:rPr>
        <w:br/>
      </w:r>
      <w:r w:rsidRPr="00FC0970">
        <w:rPr>
          <w:color w:val="201F1E"/>
          <w:sz w:val="24"/>
          <w:szCs w:val="24"/>
          <w:shd w:val="clear" w:color="auto" w:fill="FFFFFF"/>
        </w:rPr>
        <w:t>huius coloniae miserentur? ita meos fruniscar, ut ego puto omnia illa</w:t>
      </w:r>
      <w:r w:rsidRPr="00FC0970">
        <w:rPr>
          <w:color w:val="201F1E"/>
          <w:sz w:val="24"/>
          <w:szCs w:val="24"/>
        </w:rPr>
        <w:br/>
      </w:r>
      <w:r w:rsidRPr="00FC0970">
        <w:rPr>
          <w:color w:val="201F1E"/>
          <w:sz w:val="24"/>
          <w:szCs w:val="24"/>
          <w:shd w:val="clear" w:color="auto" w:fill="FFFFFF"/>
        </w:rPr>
        <w:t>a diibus fieri.</w:t>
      </w:r>
      <w:r w:rsidRPr="00FC0970">
        <w:rPr>
          <w:color w:val="201F1E"/>
          <w:sz w:val="24"/>
          <w:szCs w:val="24"/>
        </w:rPr>
        <w:br/>
      </w:r>
      <w:r w:rsidRPr="00FC0970">
        <w:rPr>
          <w:color w:val="201F1E"/>
          <w:sz w:val="24"/>
          <w:szCs w:val="24"/>
        </w:rPr>
        <w:br/>
      </w:r>
      <w:r w:rsidRPr="00FC0970">
        <w:rPr>
          <w:color w:val="201F1E"/>
          <w:sz w:val="24"/>
          <w:szCs w:val="24"/>
          <w:shd w:val="clear" w:color="auto" w:fill="FFFFFF"/>
        </w:rPr>
        <w:t>(Sat. 44)</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section ii)</w:t>
      </w:r>
      <w:r w:rsidRPr="00FC0970">
        <w:rPr>
          <w:color w:val="201F1E"/>
          <w:sz w:val="24"/>
          <w:szCs w:val="24"/>
        </w:rPr>
        <w:br/>
      </w:r>
      <w:r w:rsidRPr="00FC0970">
        <w:rPr>
          <w:color w:val="201F1E"/>
          <w:sz w:val="24"/>
          <w:szCs w:val="24"/>
        </w:rPr>
        <w:br/>
      </w:r>
      <w:r w:rsidRPr="00FC0970">
        <w:rPr>
          <w:color w:val="201F1E"/>
          <w:sz w:val="24"/>
          <w:szCs w:val="24"/>
          <w:shd w:val="clear" w:color="auto" w:fill="FFFFFF"/>
        </w:rPr>
        <w:lastRenderedPageBreak/>
        <w:t>EITHER</w:t>
      </w:r>
      <w:r w:rsidRPr="00FC0970">
        <w:rPr>
          <w:color w:val="201F1E"/>
          <w:sz w:val="24"/>
          <w:szCs w:val="24"/>
        </w:rPr>
        <w:br/>
      </w:r>
      <w:r w:rsidRPr="00FC0970">
        <w:rPr>
          <w:color w:val="201F1E"/>
          <w:sz w:val="24"/>
          <w:szCs w:val="24"/>
        </w:rPr>
        <w:br/>
      </w:r>
      <w:r w:rsidRPr="00FC0970">
        <w:rPr>
          <w:color w:val="201F1E"/>
          <w:sz w:val="24"/>
          <w:szCs w:val="24"/>
          <w:shd w:val="clear" w:color="auto" w:fill="FFFFFF"/>
        </w:rPr>
        <w:t>a)</w:t>
      </w:r>
      <w:r w:rsidRPr="00FC0970">
        <w:rPr>
          <w:color w:val="201F1E"/>
          <w:sz w:val="24"/>
          <w:szCs w:val="24"/>
        </w:rPr>
        <w:br/>
      </w:r>
      <w:r w:rsidRPr="00FC0970">
        <w:rPr>
          <w:color w:val="201F1E"/>
          <w:sz w:val="24"/>
          <w:szCs w:val="24"/>
        </w:rPr>
        <w:br/>
      </w:r>
      <w:r w:rsidRPr="00FC0970">
        <w:rPr>
          <w:color w:val="201F1E"/>
          <w:sz w:val="24"/>
          <w:szCs w:val="24"/>
          <w:shd w:val="clear" w:color="auto" w:fill="FFFFFF"/>
        </w:rPr>
        <w:t>mox silentio facto ‘scitis’ inquit ‘quam fabulam agant? Diomedes et</w:t>
      </w:r>
      <w:r w:rsidRPr="00FC0970">
        <w:rPr>
          <w:color w:val="201F1E"/>
          <w:sz w:val="24"/>
          <w:szCs w:val="24"/>
        </w:rPr>
        <w:br/>
      </w:r>
      <w:r w:rsidRPr="00FC0970">
        <w:rPr>
          <w:color w:val="201F1E"/>
          <w:sz w:val="24"/>
          <w:szCs w:val="24"/>
          <w:shd w:val="clear" w:color="auto" w:fill="FFFFFF"/>
        </w:rPr>
        <w:t>Ganymedes duo fratres fuerunt. horum soror erat Helena. Agamemnon</w:t>
      </w:r>
      <w:r w:rsidRPr="00FC0970">
        <w:rPr>
          <w:color w:val="201F1E"/>
          <w:sz w:val="24"/>
          <w:szCs w:val="24"/>
        </w:rPr>
        <w:br/>
      </w:r>
      <w:r w:rsidRPr="00FC0970">
        <w:rPr>
          <w:color w:val="201F1E"/>
          <w:sz w:val="24"/>
          <w:szCs w:val="24"/>
          <w:shd w:val="clear" w:color="auto" w:fill="FFFFFF"/>
        </w:rPr>
        <w:t>illam rapuit et Dianae cervam subiecit. ita nunc Homeros dicit,</w:t>
      </w:r>
      <w:r w:rsidRPr="00FC0970">
        <w:rPr>
          <w:color w:val="201F1E"/>
          <w:sz w:val="24"/>
          <w:szCs w:val="24"/>
        </w:rPr>
        <w:br/>
      </w:r>
      <w:r w:rsidRPr="00FC0970">
        <w:rPr>
          <w:color w:val="201F1E"/>
          <w:sz w:val="24"/>
          <w:szCs w:val="24"/>
          <w:shd w:val="clear" w:color="auto" w:fill="FFFFFF"/>
        </w:rPr>
        <w:t>quemadmodum inter se pugnent Troiani et Tarentini. vicit scilicet et</w:t>
      </w:r>
      <w:r w:rsidRPr="00FC0970">
        <w:rPr>
          <w:color w:val="201F1E"/>
          <w:sz w:val="24"/>
          <w:szCs w:val="24"/>
        </w:rPr>
        <w:br/>
      </w:r>
      <w:r w:rsidRPr="00FC0970">
        <w:rPr>
          <w:color w:val="201F1E"/>
          <w:sz w:val="24"/>
          <w:szCs w:val="24"/>
          <w:shd w:val="clear" w:color="auto" w:fill="FFFFFF"/>
        </w:rPr>
        <w:t>Iphigeniam, filiam suam, Achilli dedit uxorem. ob eam rem Aiax insanit</w:t>
      </w:r>
      <w:r w:rsidRPr="00FC0970">
        <w:rPr>
          <w:color w:val="201F1E"/>
          <w:sz w:val="24"/>
          <w:szCs w:val="24"/>
        </w:rPr>
        <w:br/>
      </w:r>
      <w:r w:rsidRPr="00FC0970">
        <w:rPr>
          <w:color w:val="201F1E"/>
          <w:sz w:val="24"/>
          <w:szCs w:val="24"/>
          <w:shd w:val="clear" w:color="auto" w:fill="FFFFFF"/>
        </w:rPr>
        <w:t>et statim argumentum explicabit.’ haec ut dixit Trimalchio, clamorem</w:t>
      </w:r>
      <w:r w:rsidRPr="00FC0970">
        <w:rPr>
          <w:color w:val="201F1E"/>
          <w:sz w:val="24"/>
          <w:szCs w:val="24"/>
        </w:rPr>
        <w:br/>
      </w:r>
      <w:r w:rsidRPr="00FC0970">
        <w:rPr>
          <w:color w:val="201F1E"/>
          <w:sz w:val="24"/>
          <w:szCs w:val="24"/>
          <w:shd w:val="clear" w:color="auto" w:fill="FFFFFF"/>
        </w:rPr>
        <w:t>Homeristae sustulerunt, interque familiam discurrentem vitulus in</w:t>
      </w:r>
      <w:r w:rsidRPr="00FC0970">
        <w:rPr>
          <w:color w:val="201F1E"/>
          <w:sz w:val="24"/>
          <w:szCs w:val="24"/>
        </w:rPr>
        <w:br/>
      </w:r>
      <w:r w:rsidRPr="00FC0970">
        <w:rPr>
          <w:color w:val="201F1E"/>
          <w:sz w:val="24"/>
          <w:szCs w:val="24"/>
          <w:shd w:val="clear" w:color="auto" w:fill="FFFFFF"/>
        </w:rPr>
        <w:t>lance du&lt;ce&gt;aria elixus allatus est, et quidem galeatus. secutus est</w:t>
      </w:r>
      <w:r w:rsidRPr="00FC0970">
        <w:rPr>
          <w:color w:val="201F1E"/>
          <w:sz w:val="24"/>
          <w:szCs w:val="24"/>
        </w:rPr>
        <w:br/>
      </w:r>
      <w:r w:rsidRPr="00FC0970">
        <w:rPr>
          <w:color w:val="201F1E"/>
          <w:sz w:val="24"/>
          <w:szCs w:val="24"/>
          <w:shd w:val="clear" w:color="auto" w:fill="FFFFFF"/>
        </w:rPr>
        <w:t>Aiax strictoque gladio, tamquam insaniret, concidit, ac modo versa</w:t>
      </w:r>
      <w:r w:rsidRPr="00FC0970">
        <w:rPr>
          <w:color w:val="201F1E"/>
          <w:sz w:val="24"/>
          <w:szCs w:val="24"/>
        </w:rPr>
        <w:br/>
      </w:r>
      <w:r w:rsidRPr="00FC0970">
        <w:rPr>
          <w:color w:val="201F1E"/>
          <w:sz w:val="24"/>
          <w:szCs w:val="24"/>
          <w:shd w:val="clear" w:color="auto" w:fill="FFFFFF"/>
        </w:rPr>
        <w:t>modo supina gesticulatus mucrone frust[r]a collegit mirantibusque</w:t>
      </w:r>
      <w:r w:rsidRPr="00FC0970">
        <w:rPr>
          <w:color w:val="201F1E"/>
          <w:sz w:val="24"/>
          <w:szCs w:val="24"/>
        </w:rPr>
        <w:br/>
      </w:r>
      <w:r w:rsidRPr="00FC0970">
        <w:rPr>
          <w:color w:val="201F1E"/>
          <w:sz w:val="24"/>
          <w:szCs w:val="24"/>
          <w:shd w:val="clear" w:color="auto" w:fill="FFFFFF"/>
        </w:rPr>
        <w:t>vitulum partitus est.</w:t>
      </w:r>
      <w:r w:rsidRPr="00FC0970">
        <w:rPr>
          <w:color w:val="201F1E"/>
          <w:sz w:val="24"/>
          <w:szCs w:val="24"/>
        </w:rPr>
        <w:br/>
      </w:r>
      <w:r w:rsidRPr="00FC0970">
        <w:rPr>
          <w:color w:val="201F1E"/>
          <w:sz w:val="24"/>
          <w:szCs w:val="24"/>
        </w:rPr>
        <w:br/>
      </w:r>
      <w:r w:rsidRPr="00FC0970">
        <w:rPr>
          <w:color w:val="201F1E"/>
          <w:sz w:val="24"/>
          <w:szCs w:val="24"/>
          <w:shd w:val="clear" w:color="auto" w:fill="FFFFFF"/>
        </w:rPr>
        <w:t>(Sat. 59)</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OR</w:t>
      </w:r>
      <w:r w:rsidRPr="00FC0970">
        <w:rPr>
          <w:color w:val="201F1E"/>
          <w:sz w:val="24"/>
          <w:szCs w:val="24"/>
        </w:rPr>
        <w:br/>
      </w:r>
      <w:r w:rsidRPr="00FC0970">
        <w:rPr>
          <w:color w:val="201F1E"/>
          <w:sz w:val="24"/>
          <w:szCs w:val="24"/>
        </w:rPr>
        <w:br/>
      </w:r>
      <w:r w:rsidRPr="00FC0970">
        <w:rPr>
          <w:color w:val="201F1E"/>
          <w:sz w:val="24"/>
          <w:szCs w:val="24"/>
          <w:shd w:val="clear" w:color="auto" w:fill="FFFFFF"/>
        </w:rPr>
        <w:t>b)</w:t>
      </w:r>
      <w:r w:rsidRPr="00FC0970">
        <w:rPr>
          <w:color w:val="201F1E"/>
          <w:sz w:val="24"/>
          <w:szCs w:val="24"/>
        </w:rPr>
        <w:br/>
      </w:r>
      <w:r w:rsidRPr="00FC0970">
        <w:rPr>
          <w:color w:val="201F1E"/>
          <w:sz w:val="24"/>
          <w:szCs w:val="24"/>
        </w:rPr>
        <w:br/>
      </w:r>
      <w:r w:rsidRPr="00FC0970">
        <w:rPr>
          <w:color w:val="201F1E"/>
          <w:sz w:val="24"/>
          <w:szCs w:val="24"/>
          <w:shd w:val="clear" w:color="auto" w:fill="FFFFFF"/>
        </w:rPr>
        <w:t>pudet referre, quae secuntur: inaudito enim more pueri capillati</w:t>
      </w:r>
      <w:r w:rsidRPr="00FC0970">
        <w:rPr>
          <w:color w:val="201F1E"/>
          <w:sz w:val="24"/>
          <w:szCs w:val="24"/>
        </w:rPr>
        <w:br/>
      </w:r>
      <w:r w:rsidRPr="00FC0970">
        <w:rPr>
          <w:color w:val="201F1E"/>
          <w:sz w:val="24"/>
          <w:szCs w:val="24"/>
          <w:shd w:val="clear" w:color="auto" w:fill="FFFFFF"/>
        </w:rPr>
        <w:t>attulerunt unguentum in argentea pelve pedesque recumbentium unxerunt,</w:t>
      </w:r>
      <w:r w:rsidRPr="00FC0970">
        <w:rPr>
          <w:color w:val="201F1E"/>
          <w:sz w:val="24"/>
          <w:szCs w:val="24"/>
        </w:rPr>
        <w:br/>
      </w:r>
      <w:r w:rsidRPr="00FC0970">
        <w:rPr>
          <w:color w:val="201F1E"/>
          <w:sz w:val="24"/>
          <w:szCs w:val="24"/>
          <w:shd w:val="clear" w:color="auto" w:fill="FFFFFF"/>
        </w:rPr>
        <w:t>cum ante crura talosque corollis vinxissent. hinc ex eodem unguento in</w:t>
      </w:r>
      <w:r w:rsidRPr="00FC0970">
        <w:rPr>
          <w:color w:val="201F1E"/>
          <w:sz w:val="24"/>
          <w:szCs w:val="24"/>
        </w:rPr>
        <w:br/>
      </w:r>
      <w:r w:rsidRPr="00FC0970">
        <w:rPr>
          <w:color w:val="201F1E"/>
          <w:sz w:val="24"/>
          <w:szCs w:val="24"/>
          <w:shd w:val="clear" w:color="auto" w:fill="FFFFFF"/>
        </w:rPr>
        <w:t>vinarium atque lucernam est infusum.</w:t>
      </w:r>
      <w:r w:rsidRPr="00FC0970">
        <w:rPr>
          <w:color w:val="201F1E"/>
          <w:sz w:val="24"/>
          <w:szCs w:val="24"/>
        </w:rPr>
        <w:br/>
      </w:r>
      <w:r w:rsidRPr="00FC0970">
        <w:rPr>
          <w:color w:val="201F1E"/>
          <w:sz w:val="24"/>
          <w:szCs w:val="24"/>
        </w:rPr>
        <w:br/>
      </w:r>
      <w:r w:rsidRPr="00FC0970">
        <w:rPr>
          <w:color w:val="201F1E"/>
          <w:sz w:val="24"/>
          <w:szCs w:val="24"/>
          <w:shd w:val="clear" w:color="auto" w:fill="FFFFFF"/>
        </w:rPr>
        <w:t>iam coeperat Fortunata velle saltare, iam Scintilla frequentius</w:t>
      </w:r>
      <w:r w:rsidRPr="00FC0970">
        <w:rPr>
          <w:color w:val="201F1E"/>
          <w:sz w:val="24"/>
          <w:szCs w:val="24"/>
        </w:rPr>
        <w:br/>
      </w:r>
      <w:r w:rsidRPr="00FC0970">
        <w:rPr>
          <w:color w:val="201F1E"/>
          <w:sz w:val="24"/>
          <w:szCs w:val="24"/>
          <w:shd w:val="clear" w:color="auto" w:fill="FFFFFF"/>
        </w:rPr>
        <w:t>plaudebat quam loquebatur, cum Trimalchio ‘permitto’ inquit</w:t>
      </w:r>
      <w:r w:rsidRPr="00FC0970">
        <w:rPr>
          <w:color w:val="201F1E"/>
          <w:sz w:val="24"/>
          <w:szCs w:val="24"/>
        </w:rPr>
        <w:br/>
      </w:r>
      <w:r w:rsidRPr="00FC0970">
        <w:rPr>
          <w:color w:val="201F1E"/>
          <w:sz w:val="24"/>
          <w:szCs w:val="24"/>
          <w:shd w:val="clear" w:color="auto" w:fill="FFFFFF"/>
        </w:rPr>
        <w:t>‘Philargyre [et Cario], etsi prasinianus es famosus, dic et</w:t>
      </w:r>
      <w:r w:rsidRPr="00FC0970">
        <w:rPr>
          <w:color w:val="201F1E"/>
          <w:sz w:val="24"/>
          <w:szCs w:val="24"/>
        </w:rPr>
        <w:br/>
      </w:r>
      <w:r w:rsidRPr="00FC0970">
        <w:rPr>
          <w:color w:val="201F1E"/>
          <w:sz w:val="24"/>
          <w:szCs w:val="24"/>
          <w:shd w:val="clear" w:color="auto" w:fill="FFFFFF"/>
        </w:rPr>
        <w:t>Menophilae, contubernali tuae, discumbat.' quid multa? paene de lectis</w:t>
      </w:r>
      <w:r w:rsidRPr="00FC0970">
        <w:rPr>
          <w:color w:val="201F1E"/>
          <w:sz w:val="24"/>
          <w:szCs w:val="24"/>
        </w:rPr>
        <w:br/>
      </w:r>
      <w:r w:rsidRPr="00FC0970">
        <w:rPr>
          <w:color w:val="201F1E"/>
          <w:sz w:val="24"/>
          <w:szCs w:val="24"/>
          <w:shd w:val="clear" w:color="auto" w:fill="FFFFFF"/>
        </w:rPr>
        <w:t>deiecti sumus, adeo totum triclinium familia occupaverat. certe ego</w:t>
      </w:r>
      <w:r w:rsidRPr="00FC0970">
        <w:rPr>
          <w:color w:val="201F1E"/>
          <w:sz w:val="24"/>
          <w:szCs w:val="24"/>
        </w:rPr>
        <w:br/>
      </w:r>
      <w:r w:rsidRPr="00FC0970">
        <w:rPr>
          <w:color w:val="201F1E"/>
          <w:sz w:val="24"/>
          <w:szCs w:val="24"/>
          <w:shd w:val="clear" w:color="auto" w:fill="FFFFFF"/>
        </w:rPr>
        <w:t>notavi super me positum cocum, qui de porco anserem fecerat, muria</w:t>
      </w:r>
      <w:r w:rsidRPr="00FC0970">
        <w:rPr>
          <w:color w:val="201F1E"/>
          <w:sz w:val="24"/>
          <w:szCs w:val="24"/>
        </w:rPr>
        <w:br/>
      </w:r>
      <w:r w:rsidRPr="00FC0970">
        <w:rPr>
          <w:color w:val="201F1E"/>
          <w:sz w:val="24"/>
          <w:szCs w:val="24"/>
          <w:shd w:val="clear" w:color="auto" w:fill="FFFFFF"/>
        </w:rPr>
        <w:t>condimentisque fetentem.</w:t>
      </w:r>
      <w:r w:rsidRPr="00FC0970">
        <w:rPr>
          <w:color w:val="201F1E"/>
          <w:sz w:val="24"/>
          <w:szCs w:val="24"/>
        </w:rPr>
        <w:br/>
      </w:r>
      <w:r w:rsidRPr="00FC0970">
        <w:rPr>
          <w:color w:val="201F1E"/>
          <w:sz w:val="24"/>
          <w:szCs w:val="24"/>
        </w:rPr>
        <w:br/>
      </w:r>
      <w:r w:rsidRPr="00FC0970">
        <w:rPr>
          <w:color w:val="201F1E"/>
          <w:sz w:val="24"/>
          <w:szCs w:val="24"/>
          <w:shd w:val="clear" w:color="auto" w:fill="FFFFFF"/>
        </w:rPr>
        <w:t>(Sat. 70)</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2. Answer ONE of the essay questions below: (40 marks)</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1) What can Petronius’ portrayal of a dinner party in the Cena</w:t>
      </w:r>
      <w:r w:rsidRPr="00FC0970">
        <w:rPr>
          <w:color w:val="201F1E"/>
          <w:sz w:val="24"/>
          <w:szCs w:val="24"/>
        </w:rPr>
        <w:br/>
      </w:r>
      <w:r w:rsidRPr="00FC0970">
        <w:rPr>
          <w:color w:val="201F1E"/>
          <w:sz w:val="24"/>
          <w:szCs w:val="24"/>
          <w:shd w:val="clear" w:color="auto" w:fill="FFFFFF"/>
        </w:rPr>
        <w:t>Trimalchionis tell us about Roman society?</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2) Discuss the function of the characterisation of any ONE or TWO of</w:t>
      </w:r>
      <w:r w:rsidRPr="00FC0970">
        <w:rPr>
          <w:color w:val="201F1E"/>
          <w:sz w:val="24"/>
          <w:szCs w:val="24"/>
        </w:rPr>
        <w:br/>
      </w:r>
      <w:r w:rsidRPr="00FC0970">
        <w:rPr>
          <w:color w:val="201F1E"/>
          <w:sz w:val="24"/>
          <w:szCs w:val="24"/>
          <w:shd w:val="clear" w:color="auto" w:fill="FFFFFF"/>
        </w:rPr>
        <w:t xml:space="preserve">the freedmen apart from Trimalchio in the </w:t>
      </w:r>
      <w:r>
        <w:rPr>
          <w:color w:val="201F1E"/>
          <w:sz w:val="24"/>
          <w:szCs w:val="24"/>
          <w:shd w:val="clear" w:color="auto" w:fill="FFFFFF"/>
        </w:rPr>
        <w:t>‘</w:t>
      </w:r>
      <w:r w:rsidRPr="00FC0970">
        <w:rPr>
          <w:color w:val="201F1E"/>
          <w:sz w:val="24"/>
          <w:szCs w:val="24"/>
          <w:shd w:val="clear" w:color="auto" w:fill="FFFFFF"/>
        </w:rPr>
        <w:t>Cena Trimalchionis</w:t>
      </w:r>
      <w:r>
        <w:rPr>
          <w:color w:val="201F1E"/>
          <w:sz w:val="24"/>
          <w:szCs w:val="24"/>
          <w:shd w:val="clear" w:color="auto" w:fill="FFFFFF"/>
        </w:rPr>
        <w:t>’</w:t>
      </w:r>
      <w:r w:rsidRPr="00FC0970">
        <w:rPr>
          <w:color w:val="201F1E"/>
          <w:sz w:val="24"/>
          <w:szCs w:val="24"/>
          <w:shd w:val="clear" w:color="auto" w:fill="FFFFFF"/>
        </w:rPr>
        <w:t>.</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t xml:space="preserve">3) How does the </w:t>
      </w:r>
      <w:r>
        <w:rPr>
          <w:color w:val="201F1E"/>
          <w:sz w:val="24"/>
          <w:szCs w:val="24"/>
          <w:shd w:val="clear" w:color="auto" w:fill="FFFFFF"/>
        </w:rPr>
        <w:t>‘</w:t>
      </w:r>
      <w:r w:rsidRPr="00FC0970">
        <w:rPr>
          <w:color w:val="201F1E"/>
          <w:sz w:val="24"/>
          <w:szCs w:val="24"/>
          <w:shd w:val="clear" w:color="auto" w:fill="FFFFFF"/>
        </w:rPr>
        <w:t>Cena Trimalchionis</w:t>
      </w:r>
      <w:r>
        <w:rPr>
          <w:color w:val="201F1E"/>
          <w:sz w:val="24"/>
          <w:szCs w:val="24"/>
          <w:shd w:val="clear" w:color="auto" w:fill="FFFFFF"/>
        </w:rPr>
        <w:t>’</w:t>
      </w:r>
      <w:r w:rsidRPr="00FC0970">
        <w:rPr>
          <w:color w:val="201F1E"/>
          <w:sz w:val="24"/>
          <w:szCs w:val="24"/>
          <w:shd w:val="clear" w:color="auto" w:fill="FFFFFF"/>
        </w:rPr>
        <w:t xml:space="preserve"> exploit the theme of spectacle?</w:t>
      </w:r>
      <w:r w:rsidRPr="00FC0970">
        <w:rPr>
          <w:color w:val="201F1E"/>
          <w:sz w:val="24"/>
          <w:szCs w:val="24"/>
        </w:rPr>
        <w:br/>
      </w:r>
      <w:r w:rsidRPr="00FC0970">
        <w:rPr>
          <w:color w:val="201F1E"/>
          <w:sz w:val="24"/>
          <w:szCs w:val="24"/>
          <w:shd w:val="clear" w:color="auto" w:fill="FFFFFF"/>
        </w:rPr>
        <w:t>Discuss with reference to specific examples.</w:t>
      </w:r>
      <w:r w:rsidRPr="00FC0970">
        <w:rPr>
          <w:color w:val="201F1E"/>
          <w:sz w:val="24"/>
          <w:szCs w:val="24"/>
        </w:rPr>
        <w:br/>
      </w:r>
      <w:r w:rsidRPr="00FC0970">
        <w:rPr>
          <w:color w:val="201F1E"/>
          <w:sz w:val="24"/>
          <w:szCs w:val="24"/>
        </w:rPr>
        <w:br/>
      </w:r>
      <w:r w:rsidRPr="00FC0970">
        <w:rPr>
          <w:color w:val="201F1E"/>
          <w:sz w:val="24"/>
          <w:szCs w:val="24"/>
        </w:rPr>
        <w:br/>
      </w:r>
      <w:r w:rsidRPr="00FC0970">
        <w:rPr>
          <w:color w:val="201F1E"/>
          <w:sz w:val="24"/>
          <w:szCs w:val="24"/>
          <w:shd w:val="clear" w:color="auto" w:fill="FFFFFF"/>
        </w:rPr>
        <w:lastRenderedPageBreak/>
        <w:t xml:space="preserve">4) How useful is it to describe Petronius’ </w:t>
      </w:r>
      <w:r>
        <w:rPr>
          <w:i/>
          <w:color w:val="201F1E"/>
          <w:sz w:val="24"/>
          <w:szCs w:val="24"/>
          <w:shd w:val="clear" w:color="auto" w:fill="FFFFFF"/>
        </w:rPr>
        <w:t>Satyrica</w:t>
      </w:r>
      <w:r w:rsidRPr="00FC0970">
        <w:rPr>
          <w:color w:val="201F1E"/>
          <w:sz w:val="24"/>
          <w:szCs w:val="24"/>
          <w:shd w:val="clear" w:color="auto" w:fill="FFFFFF"/>
        </w:rPr>
        <w:t xml:space="preserve"> as an “ancient novel”?</w:t>
      </w:r>
      <w:r>
        <w:rPr>
          <w:color w:val="201F1E"/>
          <w:sz w:val="24"/>
          <w:szCs w:val="24"/>
        </w:rPr>
        <w:br/>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40FE" w:rsidRDefault="001A40FE">
      <w:r>
        <w:separator/>
      </w:r>
    </w:p>
  </w:endnote>
  <w:endnote w:type="continuationSeparator" w:id="0">
    <w:p w:rsidR="001A40FE" w:rsidRDefault="001A40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2607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2607A">
      <w:rPr>
        <w:b/>
        <w:noProof/>
      </w:rPr>
      <w:t>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40FE" w:rsidRDefault="001A40FE">
      <w:r>
        <w:separator/>
      </w:r>
    </w:p>
  </w:footnote>
  <w:footnote w:type="continuationSeparator" w:id="0">
    <w:p w:rsidR="001A40FE" w:rsidRDefault="001A40F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75CE1"/>
    <w:multiLevelType w:val="hybridMultilevel"/>
    <w:tmpl w:val="944E0398"/>
    <w:lvl w:ilvl="0" w:tplc="8C7E2F6C">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07A"/>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A40FE"/>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69FC"/>
    <w:rsid w:val="00530BEF"/>
    <w:rsid w:val="00552351"/>
    <w:rsid w:val="00561F00"/>
    <w:rsid w:val="00562C4E"/>
    <w:rsid w:val="00562DEC"/>
    <w:rsid w:val="0056495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B7C7D"/>
    <w:rsid w:val="008D4B2E"/>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6CFC"/>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C4891"/>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C06CFC"/>
    <w:pPr>
      <w:spacing w:after="240"/>
    </w:pPr>
    <w:rPr>
      <w:b/>
      <w:caps/>
      <w:sz w:val="28"/>
    </w:rPr>
  </w:style>
  <w:style w:type="paragraph" w:customStyle="1" w:styleId="Exam">
    <w:name w:val="Exam"/>
    <w:basedOn w:val="Normal"/>
    <w:next w:val="Month"/>
    <w:rsid w:val="00C06CFC"/>
    <w:rPr>
      <w:b/>
      <w:caps/>
      <w:sz w:val="24"/>
    </w:rPr>
  </w:style>
  <w:style w:type="paragraph" w:customStyle="1" w:styleId="Trinity">
    <w:name w:val="Trinity"/>
    <w:basedOn w:val="Normal"/>
    <w:next w:val="Year"/>
    <w:rsid w:val="00C06CFC"/>
    <w:pPr>
      <w:spacing w:after="240"/>
    </w:pPr>
    <w:rPr>
      <w:b/>
      <w:sz w:val="24"/>
    </w:rPr>
  </w:style>
  <w:style w:type="paragraph" w:customStyle="1" w:styleId="Month">
    <w:name w:val="Month"/>
    <w:basedOn w:val="Normal"/>
    <w:next w:val="Normal"/>
    <w:rsid w:val="00C06CFC"/>
    <w:pPr>
      <w:spacing w:after="240"/>
    </w:pPr>
    <w:rPr>
      <w:b/>
      <w:cap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4239</Words>
  <Characters>24165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28348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Ruth Parkes</cp:lastModifiedBy>
  <cp:revision>4</cp:revision>
  <cp:lastPrinted>2014-10-10T07:42:00Z</cp:lastPrinted>
  <dcterms:created xsi:type="dcterms:W3CDTF">2019-08-09T11:10:00Z</dcterms:created>
  <dcterms:modified xsi:type="dcterms:W3CDTF">2019-08-09T11:18:00Z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