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3F2219" w14:textId="1B24B933" w:rsidR="007E6C1F" w:rsidRDefault="002149F6" w:rsidP="008F0FD2">
      <w:pPr>
        <w:spacing w:line="360" w:lineRule="auto"/>
        <w:ind w:right="1229"/>
        <w:jc w:val="center"/>
        <w:rPr>
          <w:rFonts w:ascii="Arial" w:hAnsi="Arial" w:cs="Arial"/>
          <w:sz w:val="60"/>
          <w:szCs w:val="60"/>
        </w:rPr>
      </w:pPr>
      <w:r>
        <w:rPr>
          <w:rFonts w:ascii="Arial" w:hAnsi="Arial" w:cs="Arial"/>
          <w:noProof/>
          <w:sz w:val="60"/>
          <w:szCs w:val="60"/>
        </w:rPr>
        <w:drawing>
          <wp:anchor distT="0" distB="0" distL="114300" distR="114300" simplePos="0" relativeHeight="251664384" behindDoc="0" locked="0" layoutInCell="1" allowOverlap="1" wp14:anchorId="6AE1A414" wp14:editId="1027D05A">
            <wp:simplePos x="0" y="0"/>
            <wp:positionH relativeFrom="column">
              <wp:posOffset>0</wp:posOffset>
            </wp:positionH>
            <wp:positionV relativeFrom="paragraph">
              <wp:posOffset>175260</wp:posOffset>
            </wp:positionV>
            <wp:extent cx="5730875" cy="2503805"/>
            <wp:effectExtent l="0" t="0" r="3175" b="0"/>
            <wp:wrapTopAndBottom/>
            <wp:docPr id="2075819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819936" name="Picture 2075819936"/>
                    <pic:cNvPicPr/>
                  </pic:nvPicPr>
                  <pic:blipFill>
                    <a:blip r:embed="rId7">
                      <a:extLst>
                        <a:ext uri="{28A0092B-C50C-407E-A947-70E740481C1C}">
                          <a14:useLocalDpi xmlns:a14="http://schemas.microsoft.com/office/drawing/2010/main" val="0"/>
                        </a:ext>
                      </a:extLst>
                    </a:blip>
                    <a:stretch>
                      <a:fillRect/>
                    </a:stretch>
                  </pic:blipFill>
                  <pic:spPr>
                    <a:xfrm>
                      <a:off x="0" y="0"/>
                      <a:ext cx="5730875" cy="2503805"/>
                    </a:xfrm>
                    <a:prstGeom prst="rect">
                      <a:avLst/>
                    </a:prstGeom>
                  </pic:spPr>
                </pic:pic>
              </a:graphicData>
            </a:graphic>
            <wp14:sizeRelV relativeFrom="margin">
              <wp14:pctHeight>0</wp14:pctHeight>
            </wp14:sizeRelV>
          </wp:anchor>
        </w:drawing>
      </w:r>
    </w:p>
    <w:p w14:paraId="53B38721" w14:textId="77777777" w:rsidR="007E6C1F" w:rsidRDefault="007E6C1F" w:rsidP="008F0FD2">
      <w:pPr>
        <w:spacing w:line="360" w:lineRule="auto"/>
        <w:ind w:right="1229"/>
        <w:jc w:val="center"/>
        <w:rPr>
          <w:rFonts w:ascii="Arial" w:hAnsi="Arial" w:cs="Arial"/>
          <w:sz w:val="60"/>
          <w:szCs w:val="60"/>
        </w:rPr>
      </w:pPr>
    </w:p>
    <w:p w14:paraId="18BC2496" w14:textId="447EFED9" w:rsidR="00502FEC" w:rsidRPr="002149F6" w:rsidRDefault="00502FEC" w:rsidP="00023EEB">
      <w:pPr>
        <w:spacing w:line="360" w:lineRule="auto"/>
        <w:ind w:left="720" w:right="1229"/>
        <w:rPr>
          <w:rFonts w:ascii="Arial" w:hAnsi="Arial" w:cs="Arial"/>
          <w:sz w:val="52"/>
          <w:szCs w:val="52"/>
        </w:rPr>
      </w:pPr>
      <w:r w:rsidRPr="002149F6">
        <w:rPr>
          <w:rFonts w:ascii="Arial" w:hAnsi="Arial" w:cs="Arial"/>
          <w:sz w:val="52"/>
          <w:szCs w:val="52"/>
        </w:rPr>
        <w:t xml:space="preserve">Institute of Inner-City Learning </w:t>
      </w:r>
      <w:r w:rsidR="00161317">
        <w:rPr>
          <w:rFonts w:ascii="Arial" w:hAnsi="Arial" w:cs="Arial"/>
          <w:sz w:val="52"/>
          <w:szCs w:val="52"/>
        </w:rPr>
        <w:t xml:space="preserve">     </w:t>
      </w:r>
      <w:r w:rsidRPr="002149F6">
        <w:rPr>
          <w:rFonts w:ascii="Arial" w:hAnsi="Arial" w:cs="Arial"/>
          <w:sz w:val="52"/>
          <w:szCs w:val="52"/>
        </w:rPr>
        <w:t>Birmingham Campus</w:t>
      </w:r>
    </w:p>
    <w:p w14:paraId="7C182887" w14:textId="3D12628C" w:rsidR="00502FEC" w:rsidRPr="002149F6" w:rsidRDefault="00502FEC" w:rsidP="00023EEB">
      <w:pPr>
        <w:spacing w:line="360" w:lineRule="auto"/>
        <w:ind w:left="720"/>
        <w:rPr>
          <w:rFonts w:ascii="Arial" w:hAnsi="Arial" w:cs="Arial"/>
          <w:sz w:val="52"/>
          <w:szCs w:val="52"/>
        </w:rPr>
      </w:pPr>
      <w:r w:rsidRPr="002149F6">
        <w:rPr>
          <w:rFonts w:ascii="Arial" w:hAnsi="Arial" w:cs="Arial"/>
          <w:sz w:val="52"/>
          <w:szCs w:val="52"/>
        </w:rPr>
        <w:t>BSc (Hons) Health and Social Care</w:t>
      </w:r>
    </w:p>
    <w:p w14:paraId="7E36F557" w14:textId="77777777" w:rsidR="00502FEC" w:rsidRDefault="00502FEC" w:rsidP="00502FEC">
      <w:pPr>
        <w:rPr>
          <w:lang w:bidi="en-GB"/>
        </w:rPr>
      </w:pPr>
    </w:p>
    <w:p w14:paraId="490F8C96" w14:textId="77777777" w:rsidR="00502FEC" w:rsidRDefault="00502FEC" w:rsidP="00502FEC">
      <w:pPr>
        <w:rPr>
          <w:lang w:bidi="en-GB"/>
        </w:rPr>
      </w:pPr>
    </w:p>
    <w:p w14:paraId="6DF59C5C" w14:textId="77777777" w:rsidR="00502FEC" w:rsidRPr="00502FEC" w:rsidRDefault="00502FEC" w:rsidP="00502FEC">
      <w:pPr>
        <w:rPr>
          <w:lang w:bidi="en-GB"/>
        </w:rPr>
      </w:pPr>
    </w:p>
    <w:p w14:paraId="110EB5D7" w14:textId="77777777" w:rsidR="00502FEC" w:rsidRPr="002149F6" w:rsidRDefault="00502FEC" w:rsidP="00203EB2">
      <w:pPr>
        <w:pStyle w:val="Heading1"/>
        <w:spacing w:line="360" w:lineRule="auto"/>
        <w:rPr>
          <w:rFonts w:ascii="Arial" w:hAnsi="Arial" w:cs="Arial"/>
          <w:color w:val="000000" w:themeColor="text1"/>
          <w:sz w:val="20"/>
          <w:szCs w:val="20"/>
          <w:lang w:bidi="en-GB"/>
        </w:rPr>
      </w:pPr>
      <w:r w:rsidRPr="002149F6">
        <w:rPr>
          <w:rFonts w:ascii="Arial" w:hAnsi="Arial" w:cs="Arial"/>
          <w:color w:val="000000" w:themeColor="text1"/>
          <w:sz w:val="20"/>
          <w:szCs w:val="20"/>
          <w:lang w:bidi="en-GB"/>
        </w:rPr>
        <w:t>Disclaimer</w:t>
      </w:r>
    </w:p>
    <w:p w14:paraId="3A824A61" w14:textId="284E5986" w:rsidR="00023EEB" w:rsidRPr="00825063" w:rsidRDefault="00502FEC" w:rsidP="002149F6">
      <w:pPr>
        <w:spacing w:before="62" w:line="360" w:lineRule="auto"/>
        <w:ind w:right="96"/>
        <w:rPr>
          <w:rFonts w:ascii="Arial" w:hAnsi="Arial" w:cs="Arial"/>
          <w:sz w:val="20"/>
          <w:szCs w:val="20"/>
        </w:rPr>
      </w:pPr>
      <w:r w:rsidRPr="002149F6">
        <w:rPr>
          <w:rFonts w:ascii="Arial" w:hAnsi="Arial" w:cs="Arial"/>
          <w:sz w:val="20"/>
          <w:szCs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A881014" w14:textId="7EF5E5EA" w:rsidR="008D5747" w:rsidRPr="002149F6" w:rsidRDefault="008D5747" w:rsidP="002149F6">
      <w:pPr>
        <w:spacing w:before="62" w:line="360" w:lineRule="auto"/>
        <w:ind w:right="96"/>
        <w:rPr>
          <w:rFonts w:ascii="Arial" w:hAnsi="Arial" w:cs="Arial"/>
          <w:sz w:val="20"/>
          <w:szCs w:val="20"/>
        </w:rPr>
      </w:pPr>
      <w:r w:rsidRPr="00E72310">
        <w:rPr>
          <w:rFonts w:ascii="Arial" w:hAnsi="Arial" w:cs="Arial"/>
          <w:sz w:val="22"/>
          <w:szCs w:val="22"/>
        </w:rPr>
        <w:lastRenderedPageBreak/>
        <w:t>DECLARATION</w:t>
      </w:r>
    </w:p>
    <w:p w14:paraId="12A4A2DF" w14:textId="5D8C7548" w:rsidR="008D5747" w:rsidRPr="00E72310" w:rsidRDefault="008D5747">
      <w:pPr>
        <w:rPr>
          <w:rFonts w:ascii="Arial" w:hAnsi="Arial" w:cs="Arial"/>
          <w:sz w:val="22"/>
          <w:szCs w:val="22"/>
        </w:rPr>
      </w:pPr>
      <w:r w:rsidRPr="00E72310">
        <w:rPr>
          <w:rFonts w:ascii="Arial" w:hAnsi="Arial" w:cs="Arial"/>
          <w:sz w:val="22"/>
          <w:szCs w:val="22"/>
        </w:rPr>
        <w:t>This work has not previously been accepted in substance for any degree and is not being concurrently submitted in candidature for any degree</w:t>
      </w:r>
    </w:p>
    <w:p w14:paraId="61FAB084" w14:textId="3F1C62E0" w:rsidR="008D5747" w:rsidRPr="00E72310" w:rsidRDefault="008D5747">
      <w:pPr>
        <w:rPr>
          <w:rFonts w:ascii="Arial" w:hAnsi="Arial" w:cs="Arial"/>
          <w:sz w:val="22"/>
          <w:szCs w:val="22"/>
        </w:rPr>
      </w:pPr>
      <w:r w:rsidRPr="00E72310">
        <w:rPr>
          <w:rFonts w:ascii="Arial" w:hAnsi="Arial" w:cs="Arial"/>
          <w:sz w:val="22"/>
          <w:szCs w:val="22"/>
        </w:rPr>
        <w:t>Signed………</w:t>
      </w:r>
      <w:r w:rsidR="004272EA">
        <w:rPr>
          <w:rFonts w:ascii="Arial" w:hAnsi="Arial" w:cs="Arial"/>
          <w:sz w:val="22"/>
          <w:szCs w:val="22"/>
        </w:rPr>
        <w:t>Nazmin Malik</w:t>
      </w:r>
      <w:r w:rsidRPr="00E72310">
        <w:rPr>
          <w:rFonts w:ascii="Arial" w:hAnsi="Arial" w:cs="Arial"/>
          <w:sz w:val="22"/>
          <w:szCs w:val="22"/>
        </w:rPr>
        <w:t>……………………………………</w:t>
      </w:r>
    </w:p>
    <w:p w14:paraId="24E88E49" w14:textId="4560A86A" w:rsidR="008D5747" w:rsidRPr="00E72310" w:rsidRDefault="008D5747">
      <w:pPr>
        <w:rPr>
          <w:rFonts w:ascii="Arial" w:hAnsi="Arial" w:cs="Arial"/>
          <w:sz w:val="22"/>
          <w:szCs w:val="22"/>
        </w:rPr>
      </w:pPr>
      <w:r w:rsidRPr="00E72310">
        <w:rPr>
          <w:rFonts w:ascii="Arial" w:hAnsi="Arial" w:cs="Arial"/>
          <w:sz w:val="22"/>
          <w:szCs w:val="22"/>
        </w:rPr>
        <w:t>Date………………</w:t>
      </w:r>
      <w:r w:rsidR="00816046">
        <w:rPr>
          <w:rFonts w:ascii="Arial" w:hAnsi="Arial" w:cs="Arial"/>
          <w:sz w:val="22"/>
          <w:szCs w:val="22"/>
        </w:rPr>
        <w:t>03/04/2026</w:t>
      </w:r>
      <w:r w:rsidRPr="00E72310">
        <w:rPr>
          <w:rFonts w:ascii="Arial" w:hAnsi="Arial" w:cs="Arial"/>
          <w:sz w:val="22"/>
          <w:szCs w:val="22"/>
        </w:rPr>
        <w:t>………………………………</w:t>
      </w:r>
    </w:p>
    <w:p w14:paraId="129F5ADB" w14:textId="2C435246" w:rsidR="008D5747" w:rsidRPr="00E72310" w:rsidRDefault="008D5747">
      <w:pPr>
        <w:rPr>
          <w:rFonts w:ascii="Arial" w:hAnsi="Arial" w:cs="Arial"/>
          <w:sz w:val="22"/>
          <w:szCs w:val="22"/>
        </w:rPr>
      </w:pPr>
      <w:r w:rsidRPr="00E72310">
        <w:rPr>
          <w:rFonts w:ascii="Arial" w:hAnsi="Arial" w:cs="Arial"/>
          <w:sz w:val="22"/>
          <w:szCs w:val="22"/>
        </w:rPr>
        <w:t xml:space="preserve">STATEMENT 1 </w:t>
      </w:r>
    </w:p>
    <w:p w14:paraId="2697896F" w14:textId="584B68CC" w:rsidR="008D5747" w:rsidRPr="00E72310" w:rsidRDefault="008D5747">
      <w:pPr>
        <w:rPr>
          <w:rFonts w:ascii="Arial" w:hAnsi="Arial" w:cs="Arial"/>
          <w:sz w:val="22"/>
          <w:szCs w:val="22"/>
        </w:rPr>
      </w:pPr>
      <w:r w:rsidRPr="00E72310">
        <w:rPr>
          <w:rFonts w:ascii="Arial" w:hAnsi="Arial" w:cs="Arial"/>
          <w:sz w:val="22"/>
          <w:szCs w:val="22"/>
        </w:rPr>
        <w:t>This dissertation is being submitted in partial fulfilment of the requirements for the degree of BSc.</w:t>
      </w:r>
    </w:p>
    <w:p w14:paraId="38ACE14D" w14:textId="541554CF" w:rsidR="008D5747" w:rsidRPr="00E72310" w:rsidRDefault="008D5747">
      <w:pPr>
        <w:rPr>
          <w:rFonts w:ascii="Arial" w:hAnsi="Arial" w:cs="Arial"/>
          <w:sz w:val="22"/>
          <w:szCs w:val="22"/>
        </w:rPr>
      </w:pPr>
      <w:r w:rsidRPr="00E72310">
        <w:rPr>
          <w:rFonts w:ascii="Arial" w:hAnsi="Arial" w:cs="Arial"/>
          <w:sz w:val="22"/>
          <w:szCs w:val="22"/>
        </w:rPr>
        <w:t>Signed……………</w:t>
      </w:r>
      <w:r w:rsidR="00816046">
        <w:rPr>
          <w:rFonts w:ascii="Arial" w:hAnsi="Arial" w:cs="Arial"/>
          <w:sz w:val="22"/>
          <w:szCs w:val="22"/>
        </w:rPr>
        <w:t>Nazmin Malik</w:t>
      </w:r>
      <w:r w:rsidRPr="00E72310">
        <w:rPr>
          <w:rFonts w:ascii="Arial" w:hAnsi="Arial" w:cs="Arial"/>
          <w:sz w:val="22"/>
          <w:szCs w:val="22"/>
        </w:rPr>
        <w:t xml:space="preserve">………………………………. </w:t>
      </w:r>
    </w:p>
    <w:p w14:paraId="5B4C2515" w14:textId="6683496A" w:rsidR="008D5747" w:rsidRPr="00E72310" w:rsidRDefault="008D5747">
      <w:pPr>
        <w:rPr>
          <w:rFonts w:ascii="Arial" w:hAnsi="Arial" w:cs="Arial"/>
          <w:sz w:val="22"/>
          <w:szCs w:val="22"/>
        </w:rPr>
      </w:pPr>
      <w:r w:rsidRPr="00E72310">
        <w:rPr>
          <w:rFonts w:ascii="Arial" w:hAnsi="Arial" w:cs="Arial"/>
          <w:sz w:val="22"/>
          <w:szCs w:val="22"/>
        </w:rPr>
        <w:t>Date………………</w:t>
      </w:r>
      <w:r w:rsidR="00816046">
        <w:rPr>
          <w:rFonts w:ascii="Arial" w:hAnsi="Arial" w:cs="Arial"/>
          <w:sz w:val="22"/>
          <w:szCs w:val="22"/>
        </w:rPr>
        <w:t>03/04/2026</w:t>
      </w:r>
      <w:r w:rsidRPr="00E72310">
        <w:rPr>
          <w:rFonts w:ascii="Arial" w:hAnsi="Arial" w:cs="Arial"/>
          <w:sz w:val="22"/>
          <w:szCs w:val="22"/>
        </w:rPr>
        <w:t>………………………………</w:t>
      </w:r>
    </w:p>
    <w:p w14:paraId="1FBA3B39" w14:textId="4C723D58" w:rsidR="008D5747" w:rsidRPr="00E72310" w:rsidRDefault="008D5747">
      <w:pPr>
        <w:rPr>
          <w:rFonts w:ascii="Arial" w:hAnsi="Arial" w:cs="Arial"/>
          <w:sz w:val="22"/>
          <w:szCs w:val="22"/>
        </w:rPr>
      </w:pPr>
      <w:r w:rsidRPr="00E72310">
        <w:rPr>
          <w:rFonts w:ascii="Arial" w:hAnsi="Arial" w:cs="Arial"/>
          <w:sz w:val="22"/>
          <w:szCs w:val="22"/>
        </w:rPr>
        <w:t>STATEMENT 2</w:t>
      </w:r>
    </w:p>
    <w:p w14:paraId="0713FB3D" w14:textId="6363754D" w:rsidR="008D5747" w:rsidRPr="00E72310" w:rsidRDefault="008D5747">
      <w:pPr>
        <w:rPr>
          <w:rFonts w:ascii="Arial" w:hAnsi="Arial" w:cs="Arial"/>
          <w:sz w:val="22"/>
          <w:szCs w:val="22"/>
        </w:rPr>
      </w:pPr>
      <w:r w:rsidRPr="00E72310">
        <w:rPr>
          <w:rFonts w:ascii="Arial" w:hAnsi="Arial" w:cs="Arial"/>
          <w:sz w:val="22"/>
          <w:szCs w:val="22"/>
        </w:rPr>
        <w:t>This dissertation is the result of my own independent work/investigation, except where otherwise stated. Other sources are acknowledged by footnotes giving explicit references.  A bibliography is appended.</w:t>
      </w:r>
    </w:p>
    <w:p w14:paraId="43CC8F16" w14:textId="4482DF45" w:rsidR="008D5747" w:rsidRPr="00E72310" w:rsidRDefault="008D5747">
      <w:pPr>
        <w:rPr>
          <w:rFonts w:ascii="Arial" w:hAnsi="Arial" w:cs="Arial"/>
          <w:sz w:val="22"/>
          <w:szCs w:val="22"/>
        </w:rPr>
      </w:pPr>
      <w:r w:rsidRPr="00E72310">
        <w:rPr>
          <w:rFonts w:ascii="Arial" w:hAnsi="Arial" w:cs="Arial"/>
          <w:sz w:val="22"/>
          <w:szCs w:val="22"/>
        </w:rPr>
        <w:t>Signed…………</w:t>
      </w:r>
      <w:r w:rsidR="00816046">
        <w:rPr>
          <w:rFonts w:ascii="Arial" w:hAnsi="Arial" w:cs="Arial"/>
          <w:sz w:val="22"/>
          <w:szCs w:val="22"/>
        </w:rPr>
        <w:t>Nazmin Malik</w:t>
      </w:r>
      <w:r w:rsidRPr="00E72310">
        <w:rPr>
          <w:rFonts w:ascii="Arial" w:hAnsi="Arial" w:cs="Arial"/>
          <w:sz w:val="22"/>
          <w:szCs w:val="22"/>
        </w:rPr>
        <w:t>…………………………………</w:t>
      </w:r>
    </w:p>
    <w:p w14:paraId="46A66156" w14:textId="4413A18C" w:rsidR="008D5747" w:rsidRPr="00E72310" w:rsidRDefault="008D5747">
      <w:pPr>
        <w:rPr>
          <w:rFonts w:ascii="Arial" w:hAnsi="Arial" w:cs="Arial"/>
          <w:sz w:val="22"/>
          <w:szCs w:val="22"/>
        </w:rPr>
      </w:pPr>
      <w:r w:rsidRPr="00E72310">
        <w:rPr>
          <w:rFonts w:ascii="Arial" w:hAnsi="Arial" w:cs="Arial"/>
          <w:sz w:val="22"/>
          <w:szCs w:val="22"/>
        </w:rPr>
        <w:t>Date……………</w:t>
      </w:r>
      <w:r w:rsidR="00816046">
        <w:rPr>
          <w:rFonts w:ascii="Arial" w:hAnsi="Arial" w:cs="Arial"/>
          <w:sz w:val="22"/>
          <w:szCs w:val="22"/>
        </w:rPr>
        <w:t>03/04/2026</w:t>
      </w:r>
      <w:r w:rsidRPr="00E72310">
        <w:rPr>
          <w:rFonts w:ascii="Arial" w:hAnsi="Arial" w:cs="Arial"/>
          <w:sz w:val="22"/>
          <w:szCs w:val="22"/>
        </w:rPr>
        <w:t xml:space="preserve">………………………………… </w:t>
      </w:r>
    </w:p>
    <w:p w14:paraId="73D35C7F" w14:textId="54445CFC" w:rsidR="008D5747" w:rsidRPr="00E72310" w:rsidRDefault="008D5747">
      <w:pPr>
        <w:rPr>
          <w:rFonts w:ascii="Arial" w:hAnsi="Arial" w:cs="Arial"/>
          <w:sz w:val="22"/>
          <w:szCs w:val="22"/>
        </w:rPr>
      </w:pPr>
      <w:r w:rsidRPr="00E72310">
        <w:rPr>
          <w:rFonts w:ascii="Arial" w:hAnsi="Arial" w:cs="Arial"/>
          <w:sz w:val="22"/>
          <w:szCs w:val="22"/>
        </w:rPr>
        <w:t>STATEMENT 3</w:t>
      </w:r>
    </w:p>
    <w:p w14:paraId="53176A07" w14:textId="2DCA4D9F" w:rsidR="008D5747" w:rsidRPr="00E72310" w:rsidRDefault="008D5747">
      <w:pPr>
        <w:rPr>
          <w:rFonts w:ascii="Arial" w:hAnsi="Arial" w:cs="Arial"/>
          <w:sz w:val="22"/>
          <w:szCs w:val="22"/>
        </w:rPr>
      </w:pPr>
      <w:r w:rsidRPr="00E72310">
        <w:rPr>
          <w:rFonts w:ascii="Arial" w:hAnsi="Arial" w:cs="Arial"/>
          <w:sz w:val="22"/>
          <w:szCs w:val="22"/>
        </w:rPr>
        <w:t>I hereby give consent for my dissertation, if accepted, to be available for photocopying and for interlibrary loan, and for the title and summary to be made available to outside organisations.</w:t>
      </w:r>
    </w:p>
    <w:p w14:paraId="1F7F8048" w14:textId="5C2F4F49" w:rsidR="008D5747" w:rsidRPr="00E72310" w:rsidRDefault="008D5747">
      <w:pPr>
        <w:rPr>
          <w:rFonts w:ascii="Arial" w:hAnsi="Arial" w:cs="Arial"/>
          <w:sz w:val="22"/>
          <w:szCs w:val="22"/>
        </w:rPr>
      </w:pPr>
      <w:r w:rsidRPr="00E72310">
        <w:rPr>
          <w:rFonts w:ascii="Arial" w:hAnsi="Arial" w:cs="Arial"/>
          <w:sz w:val="22"/>
          <w:szCs w:val="22"/>
        </w:rPr>
        <w:t>Signed……………</w:t>
      </w:r>
      <w:r w:rsidR="00B25408">
        <w:rPr>
          <w:rFonts w:ascii="Arial" w:hAnsi="Arial" w:cs="Arial"/>
          <w:sz w:val="22"/>
          <w:szCs w:val="22"/>
        </w:rPr>
        <w:t xml:space="preserve">Nazmin Malik </w:t>
      </w:r>
      <w:r w:rsidRPr="00E72310">
        <w:rPr>
          <w:rFonts w:ascii="Arial" w:hAnsi="Arial" w:cs="Arial"/>
          <w:sz w:val="22"/>
          <w:szCs w:val="22"/>
        </w:rPr>
        <w:t>…………………………………</w:t>
      </w:r>
    </w:p>
    <w:p w14:paraId="4B7825CA" w14:textId="1AF9CCD4" w:rsidR="008D5747" w:rsidRPr="00E72310" w:rsidRDefault="008D5747">
      <w:pPr>
        <w:rPr>
          <w:rFonts w:ascii="Arial" w:hAnsi="Arial" w:cs="Arial"/>
          <w:sz w:val="22"/>
          <w:szCs w:val="22"/>
        </w:rPr>
      </w:pPr>
      <w:r w:rsidRPr="00E72310">
        <w:rPr>
          <w:rFonts w:ascii="Arial" w:hAnsi="Arial" w:cs="Arial"/>
          <w:sz w:val="22"/>
          <w:szCs w:val="22"/>
        </w:rPr>
        <w:t>Date…………………</w:t>
      </w:r>
      <w:r w:rsidR="00B25408">
        <w:rPr>
          <w:rFonts w:ascii="Arial" w:hAnsi="Arial" w:cs="Arial"/>
          <w:sz w:val="22"/>
          <w:szCs w:val="22"/>
        </w:rPr>
        <w:t>03/04/2026</w:t>
      </w:r>
      <w:r w:rsidRPr="00E72310">
        <w:rPr>
          <w:rFonts w:ascii="Arial" w:hAnsi="Arial" w:cs="Arial"/>
          <w:sz w:val="22"/>
          <w:szCs w:val="22"/>
        </w:rPr>
        <w:t>………………………………</w:t>
      </w:r>
    </w:p>
    <w:p w14:paraId="731348F1" w14:textId="543039E5" w:rsidR="008D5747" w:rsidRPr="00E72310" w:rsidRDefault="008D5747">
      <w:pPr>
        <w:rPr>
          <w:rFonts w:ascii="Arial" w:hAnsi="Arial" w:cs="Arial"/>
          <w:sz w:val="22"/>
          <w:szCs w:val="22"/>
        </w:rPr>
      </w:pPr>
      <w:r w:rsidRPr="00E72310">
        <w:rPr>
          <w:rFonts w:ascii="Arial" w:hAnsi="Arial" w:cs="Arial"/>
          <w:sz w:val="22"/>
          <w:szCs w:val="22"/>
        </w:rPr>
        <w:t>STATEMENT 4</w:t>
      </w:r>
    </w:p>
    <w:p w14:paraId="120B6C59" w14:textId="3F6C542F" w:rsidR="008D5747" w:rsidRPr="00E72310" w:rsidRDefault="008D5747">
      <w:pPr>
        <w:rPr>
          <w:rFonts w:ascii="Arial" w:hAnsi="Arial" w:cs="Arial"/>
          <w:sz w:val="22"/>
          <w:szCs w:val="22"/>
        </w:rPr>
      </w:pPr>
      <w:r w:rsidRPr="00E72310">
        <w:rPr>
          <w:rFonts w:ascii="Arial" w:hAnsi="Arial" w:cs="Arial"/>
          <w:sz w:val="22"/>
          <w:szCs w:val="22"/>
        </w:rPr>
        <w:t>I hereby give consent for my dissertation, if accepted, to be available on the university’s IT system to those who have consent to use the system.</w:t>
      </w:r>
    </w:p>
    <w:p w14:paraId="02795C09" w14:textId="5F9B31F3" w:rsidR="008D5747" w:rsidRPr="00E72310" w:rsidRDefault="008D5747">
      <w:pPr>
        <w:rPr>
          <w:rFonts w:ascii="Arial" w:hAnsi="Arial" w:cs="Arial"/>
          <w:sz w:val="22"/>
          <w:szCs w:val="22"/>
        </w:rPr>
      </w:pPr>
      <w:r w:rsidRPr="00E72310">
        <w:rPr>
          <w:rFonts w:ascii="Arial" w:hAnsi="Arial" w:cs="Arial"/>
          <w:sz w:val="22"/>
          <w:szCs w:val="22"/>
        </w:rPr>
        <w:t>Signed………………</w:t>
      </w:r>
      <w:r w:rsidR="00B25408">
        <w:rPr>
          <w:rFonts w:ascii="Arial" w:hAnsi="Arial" w:cs="Arial"/>
          <w:sz w:val="22"/>
          <w:szCs w:val="22"/>
        </w:rPr>
        <w:t xml:space="preserve">Nazmin Malik </w:t>
      </w:r>
      <w:r w:rsidRPr="00E72310">
        <w:rPr>
          <w:rFonts w:ascii="Arial" w:hAnsi="Arial" w:cs="Arial"/>
          <w:sz w:val="22"/>
          <w:szCs w:val="22"/>
        </w:rPr>
        <w:t>………………………………</w:t>
      </w:r>
    </w:p>
    <w:p w14:paraId="04CC6857" w14:textId="3B3C315D" w:rsidR="008D5747" w:rsidRPr="00E72310" w:rsidRDefault="008D5747">
      <w:pPr>
        <w:rPr>
          <w:rFonts w:ascii="Arial" w:hAnsi="Arial" w:cs="Arial"/>
          <w:sz w:val="22"/>
          <w:szCs w:val="22"/>
        </w:rPr>
      </w:pPr>
      <w:r w:rsidRPr="00E72310">
        <w:rPr>
          <w:rFonts w:ascii="Arial" w:hAnsi="Arial" w:cs="Arial"/>
          <w:sz w:val="22"/>
          <w:szCs w:val="22"/>
        </w:rPr>
        <w:t>Date……………………</w:t>
      </w:r>
      <w:r w:rsidR="00B25408">
        <w:rPr>
          <w:rFonts w:ascii="Arial" w:hAnsi="Arial" w:cs="Arial"/>
          <w:sz w:val="22"/>
          <w:szCs w:val="22"/>
        </w:rPr>
        <w:t>03/04/2026</w:t>
      </w:r>
      <w:r w:rsidRPr="00E72310">
        <w:rPr>
          <w:rFonts w:ascii="Arial" w:hAnsi="Arial" w:cs="Arial"/>
          <w:sz w:val="22"/>
          <w:szCs w:val="22"/>
        </w:rPr>
        <w:t>……………………………</w:t>
      </w:r>
    </w:p>
    <w:p w14:paraId="30CB8562" w14:textId="77777777" w:rsidR="008D5747" w:rsidRPr="00E72310" w:rsidRDefault="008D5747">
      <w:pPr>
        <w:rPr>
          <w:rFonts w:ascii="Arial" w:hAnsi="Arial" w:cs="Arial"/>
          <w:sz w:val="22"/>
          <w:szCs w:val="22"/>
        </w:rPr>
      </w:pPr>
    </w:p>
    <w:p w14:paraId="0AC8DEC9" w14:textId="77777777" w:rsidR="008D5747" w:rsidRPr="00E72310" w:rsidRDefault="008D5747">
      <w:pPr>
        <w:rPr>
          <w:rFonts w:ascii="Arial" w:hAnsi="Arial" w:cs="Arial"/>
          <w:sz w:val="22"/>
          <w:szCs w:val="22"/>
        </w:rPr>
      </w:pPr>
    </w:p>
    <w:p w14:paraId="57177D37" w14:textId="77777777" w:rsidR="008D5747" w:rsidRDefault="008D5747"/>
    <w:p w14:paraId="3B2B89A9" w14:textId="77777777" w:rsidR="008D5747" w:rsidRDefault="008D5747"/>
    <w:p w14:paraId="09DCDD8B" w14:textId="77777777" w:rsidR="005C7288" w:rsidRDefault="005C7288"/>
    <w:p w14:paraId="71298601" w14:textId="77777777" w:rsidR="00AD0E9E" w:rsidRDefault="00AD0E9E" w:rsidP="00A43832">
      <w:pPr>
        <w:jc w:val="center"/>
        <w:rPr>
          <w:rFonts w:ascii="Arial" w:hAnsi="Arial" w:cs="Arial"/>
          <w:b/>
          <w:bCs/>
          <w:i/>
          <w:iCs/>
          <w:sz w:val="56"/>
          <w:szCs w:val="56"/>
        </w:rPr>
      </w:pPr>
    </w:p>
    <w:p w14:paraId="743A8ADA" w14:textId="6E4F3ECF" w:rsidR="008D5747" w:rsidRPr="00C66BF4" w:rsidRDefault="008D5747" w:rsidP="00A43832">
      <w:pPr>
        <w:jc w:val="center"/>
        <w:rPr>
          <w:rFonts w:ascii="Arial" w:hAnsi="Arial" w:cs="Arial"/>
          <w:b/>
          <w:bCs/>
          <w:i/>
          <w:iCs/>
          <w:sz w:val="56"/>
          <w:szCs w:val="56"/>
        </w:rPr>
      </w:pPr>
      <w:r w:rsidRPr="00C66BF4">
        <w:rPr>
          <w:rFonts w:ascii="Arial" w:hAnsi="Arial" w:cs="Arial"/>
          <w:b/>
          <w:bCs/>
          <w:i/>
          <w:iCs/>
          <w:sz w:val="56"/>
          <w:szCs w:val="56"/>
        </w:rPr>
        <w:t>“Invisible Struggles: Addressing Burnout and Mental Health Among Healthcare Workers.”</w:t>
      </w:r>
    </w:p>
    <w:p w14:paraId="04EDC7A2" w14:textId="77777777" w:rsidR="008D5747" w:rsidRPr="00C66BF4" w:rsidRDefault="008D5747" w:rsidP="00A43832">
      <w:pPr>
        <w:jc w:val="center"/>
        <w:rPr>
          <w:rFonts w:ascii="Arial" w:hAnsi="Arial" w:cs="Arial"/>
          <w:b/>
          <w:bCs/>
          <w:i/>
          <w:iCs/>
          <w:sz w:val="56"/>
          <w:szCs w:val="56"/>
        </w:rPr>
      </w:pPr>
    </w:p>
    <w:p w14:paraId="31103DB0" w14:textId="77777777" w:rsidR="008D5747" w:rsidRDefault="008D5747"/>
    <w:p w14:paraId="571B4661" w14:textId="77777777" w:rsidR="008D5747" w:rsidRDefault="008D5747"/>
    <w:p w14:paraId="4C67CEFB" w14:textId="77777777" w:rsidR="008D5747" w:rsidRDefault="008D5747"/>
    <w:p w14:paraId="457C418F" w14:textId="77777777" w:rsidR="008D5747" w:rsidRDefault="008D5747"/>
    <w:p w14:paraId="4AEBE4A3" w14:textId="77777777" w:rsidR="008D5747" w:rsidRPr="00EE4F02" w:rsidRDefault="008D5747" w:rsidP="00A43832">
      <w:pPr>
        <w:jc w:val="center"/>
        <w:rPr>
          <w:rFonts w:ascii="Arial" w:hAnsi="Arial" w:cs="Arial"/>
          <w:sz w:val="48"/>
          <w:szCs w:val="48"/>
        </w:rPr>
      </w:pPr>
      <w:r w:rsidRPr="00EE4F02">
        <w:rPr>
          <w:rFonts w:ascii="Arial" w:hAnsi="Arial" w:cs="Arial"/>
          <w:sz w:val="48"/>
          <w:szCs w:val="48"/>
        </w:rPr>
        <w:t>Nazmin Malik</w:t>
      </w:r>
    </w:p>
    <w:p w14:paraId="56AF2B50" w14:textId="77777777" w:rsidR="008D5747" w:rsidRPr="00EE4F02" w:rsidRDefault="008D5747" w:rsidP="00A43832">
      <w:pPr>
        <w:jc w:val="center"/>
        <w:rPr>
          <w:rFonts w:ascii="Arial" w:hAnsi="Arial" w:cs="Arial"/>
          <w:sz w:val="48"/>
          <w:szCs w:val="48"/>
        </w:rPr>
      </w:pPr>
    </w:p>
    <w:p w14:paraId="191D7DB2" w14:textId="77777777" w:rsidR="008D5747" w:rsidRPr="00EE4F02" w:rsidRDefault="008D5747" w:rsidP="00A43832">
      <w:pPr>
        <w:jc w:val="center"/>
        <w:rPr>
          <w:rFonts w:ascii="Arial" w:hAnsi="Arial" w:cs="Arial"/>
          <w:sz w:val="48"/>
          <w:szCs w:val="48"/>
        </w:rPr>
      </w:pPr>
      <w:r w:rsidRPr="00EE4F02">
        <w:rPr>
          <w:rFonts w:ascii="Arial" w:hAnsi="Arial" w:cs="Arial"/>
          <w:sz w:val="48"/>
          <w:szCs w:val="48"/>
        </w:rPr>
        <w:t>2242813</w:t>
      </w:r>
    </w:p>
    <w:p w14:paraId="30429633" w14:textId="77777777" w:rsidR="008D5747" w:rsidRDefault="008D5747"/>
    <w:p w14:paraId="0588FFAB" w14:textId="77777777" w:rsidR="008D5747" w:rsidRDefault="008D5747"/>
    <w:p w14:paraId="73C4EE21" w14:textId="77777777" w:rsidR="008D5747" w:rsidRDefault="008D5747"/>
    <w:p w14:paraId="0372F772" w14:textId="77777777" w:rsidR="008D5747" w:rsidRDefault="008D5747"/>
    <w:p w14:paraId="6C8B93D9" w14:textId="77777777" w:rsidR="008D5747" w:rsidRPr="00002B42" w:rsidRDefault="008D5747">
      <w:pPr>
        <w:rPr>
          <w:rFonts w:ascii="Arial" w:hAnsi="Arial" w:cs="Arial"/>
        </w:rPr>
      </w:pPr>
    </w:p>
    <w:p w14:paraId="19817478" w14:textId="77777777" w:rsidR="00DA0626" w:rsidRPr="00AA0417" w:rsidRDefault="008D5747" w:rsidP="00C66BF4">
      <w:pPr>
        <w:jc w:val="center"/>
        <w:rPr>
          <w:rFonts w:ascii="Arial" w:hAnsi="Arial" w:cs="Arial"/>
          <w:sz w:val="32"/>
          <w:szCs w:val="32"/>
        </w:rPr>
      </w:pPr>
      <w:r w:rsidRPr="00AA0417">
        <w:rPr>
          <w:rFonts w:ascii="Arial" w:hAnsi="Arial" w:cs="Arial"/>
          <w:sz w:val="32"/>
          <w:szCs w:val="32"/>
        </w:rPr>
        <w:t>Dissertation submitted as part of the requirements for the award BSc (Hons) Health and Social Car</w:t>
      </w:r>
      <w:r w:rsidR="00DA0626" w:rsidRPr="00AA0417">
        <w:rPr>
          <w:rFonts w:ascii="Arial" w:hAnsi="Arial" w:cs="Arial"/>
          <w:sz w:val="32"/>
          <w:szCs w:val="32"/>
        </w:rPr>
        <w:t>e.</w:t>
      </w:r>
    </w:p>
    <w:p w14:paraId="55E38CCA" w14:textId="77777777" w:rsidR="00AA0417" w:rsidRDefault="00AA0417">
      <w:pPr>
        <w:rPr>
          <w:rFonts w:ascii="Arial" w:hAnsi="Arial" w:cs="Arial"/>
        </w:rPr>
      </w:pPr>
    </w:p>
    <w:p w14:paraId="6D2A1787" w14:textId="77777777" w:rsidR="00AA0417" w:rsidRDefault="00AA0417">
      <w:pPr>
        <w:rPr>
          <w:rFonts w:ascii="Arial" w:hAnsi="Arial" w:cs="Arial"/>
        </w:rPr>
      </w:pPr>
    </w:p>
    <w:p w14:paraId="39ECA1CC" w14:textId="77777777" w:rsidR="00825063" w:rsidRDefault="00825063">
      <w:pPr>
        <w:rPr>
          <w:rFonts w:ascii="Arial" w:hAnsi="Arial" w:cs="Arial"/>
          <w:b/>
          <w:bCs/>
          <w:sz w:val="22"/>
          <w:szCs w:val="22"/>
        </w:rPr>
      </w:pPr>
    </w:p>
    <w:p w14:paraId="35E2C215" w14:textId="77777777" w:rsidR="00825063" w:rsidRDefault="00825063">
      <w:pPr>
        <w:rPr>
          <w:rFonts w:ascii="Arial" w:hAnsi="Arial" w:cs="Arial"/>
          <w:b/>
          <w:bCs/>
          <w:sz w:val="22"/>
          <w:szCs w:val="22"/>
        </w:rPr>
      </w:pPr>
    </w:p>
    <w:p w14:paraId="5CF851E9" w14:textId="4607D77D" w:rsidR="008D5747" w:rsidRPr="00DA0626" w:rsidRDefault="008D5747">
      <w:pPr>
        <w:rPr>
          <w:rFonts w:ascii="Arial" w:hAnsi="Arial" w:cs="Arial"/>
          <w:b/>
          <w:bCs/>
          <w:sz w:val="22"/>
          <w:szCs w:val="22"/>
        </w:rPr>
      </w:pPr>
      <w:r w:rsidRPr="00DA0626">
        <w:rPr>
          <w:rFonts w:ascii="Arial" w:hAnsi="Arial" w:cs="Arial"/>
          <w:b/>
          <w:bCs/>
          <w:sz w:val="22"/>
          <w:szCs w:val="22"/>
        </w:rPr>
        <w:lastRenderedPageBreak/>
        <w:t>Acknowledgements</w:t>
      </w:r>
    </w:p>
    <w:p w14:paraId="55C6232A" w14:textId="42279FB0" w:rsidR="008D5747" w:rsidRPr="00DA0626" w:rsidRDefault="008D5747" w:rsidP="004973F5">
      <w:pPr>
        <w:spacing w:line="360" w:lineRule="auto"/>
        <w:rPr>
          <w:rFonts w:ascii="Arial" w:hAnsi="Arial" w:cs="Arial"/>
          <w:sz w:val="22"/>
          <w:szCs w:val="22"/>
        </w:rPr>
      </w:pPr>
      <w:r w:rsidRPr="00DA0626">
        <w:rPr>
          <w:rFonts w:ascii="Arial" w:hAnsi="Arial" w:cs="Arial"/>
          <w:sz w:val="22"/>
          <w:szCs w:val="22"/>
        </w:rPr>
        <w:t xml:space="preserve">I would like to express my sincere gratitude to my dissertation </w:t>
      </w:r>
      <w:r w:rsidR="00783CFF">
        <w:rPr>
          <w:rFonts w:ascii="Arial" w:hAnsi="Arial" w:cs="Arial"/>
          <w:sz w:val="22"/>
          <w:szCs w:val="22"/>
        </w:rPr>
        <w:t>lecturer</w:t>
      </w:r>
      <w:r w:rsidRPr="00DA0626">
        <w:rPr>
          <w:rFonts w:ascii="Arial" w:hAnsi="Arial" w:cs="Arial"/>
          <w:sz w:val="22"/>
          <w:szCs w:val="22"/>
        </w:rPr>
        <w:t xml:space="preserve">, </w:t>
      </w:r>
      <w:r w:rsidR="00783CFF">
        <w:rPr>
          <w:rFonts w:ascii="Arial" w:hAnsi="Arial" w:cs="Arial"/>
          <w:sz w:val="22"/>
          <w:szCs w:val="22"/>
        </w:rPr>
        <w:t xml:space="preserve">( Chole </w:t>
      </w:r>
      <w:r w:rsidR="004F5B9A">
        <w:rPr>
          <w:rFonts w:ascii="Arial" w:hAnsi="Arial" w:cs="Arial"/>
          <w:sz w:val="22"/>
          <w:szCs w:val="22"/>
        </w:rPr>
        <w:t>Ha</w:t>
      </w:r>
      <w:r w:rsidR="00C54513">
        <w:rPr>
          <w:rFonts w:ascii="Arial" w:hAnsi="Arial" w:cs="Arial"/>
          <w:sz w:val="22"/>
          <w:szCs w:val="22"/>
        </w:rPr>
        <w:t>r</w:t>
      </w:r>
      <w:r w:rsidR="00C43E61">
        <w:rPr>
          <w:rFonts w:ascii="Arial" w:hAnsi="Arial" w:cs="Arial"/>
          <w:sz w:val="22"/>
          <w:szCs w:val="22"/>
        </w:rPr>
        <w:t xml:space="preserve">ries </w:t>
      </w:r>
      <w:r w:rsidR="00FA0716">
        <w:rPr>
          <w:rFonts w:ascii="Arial" w:hAnsi="Arial" w:cs="Arial"/>
          <w:sz w:val="22"/>
          <w:szCs w:val="22"/>
        </w:rPr>
        <w:t xml:space="preserve">) </w:t>
      </w:r>
      <w:r w:rsidRPr="00DA0626">
        <w:rPr>
          <w:rFonts w:ascii="Arial" w:hAnsi="Arial" w:cs="Arial"/>
          <w:sz w:val="22"/>
          <w:szCs w:val="22"/>
        </w:rPr>
        <w:t xml:space="preserve"> for </w:t>
      </w:r>
      <w:r w:rsidR="00FA0716">
        <w:rPr>
          <w:rFonts w:ascii="Arial" w:hAnsi="Arial" w:cs="Arial"/>
          <w:sz w:val="22"/>
          <w:szCs w:val="22"/>
        </w:rPr>
        <w:t>her</w:t>
      </w:r>
      <w:r w:rsidRPr="00DA0626">
        <w:rPr>
          <w:rFonts w:ascii="Arial" w:hAnsi="Arial" w:cs="Arial"/>
          <w:sz w:val="22"/>
          <w:szCs w:val="22"/>
        </w:rPr>
        <w:t xml:space="preserve"> guidance, patience, and invaluable feedback throughout this project. Your support has helped me stay focused and develop a clear, structured approach to my research.</w:t>
      </w:r>
    </w:p>
    <w:p w14:paraId="074A2CFB" w14:textId="751D5E1D" w:rsidR="008D5747" w:rsidRPr="00DA0626" w:rsidRDefault="008D5747" w:rsidP="004973F5">
      <w:pPr>
        <w:spacing w:line="360" w:lineRule="auto"/>
        <w:rPr>
          <w:rFonts w:ascii="Arial" w:hAnsi="Arial" w:cs="Arial"/>
          <w:sz w:val="22"/>
          <w:szCs w:val="22"/>
        </w:rPr>
      </w:pPr>
      <w:r w:rsidRPr="00DA0626">
        <w:rPr>
          <w:rFonts w:ascii="Arial" w:hAnsi="Arial" w:cs="Arial"/>
          <w:sz w:val="22"/>
          <w:szCs w:val="22"/>
        </w:rPr>
        <w:t>I am also grateful to the librarians and academic staff at the University of Wales Trinity Saint David, whose assistance in navigating research resources and accessing academic literature made this study possible.</w:t>
      </w:r>
    </w:p>
    <w:p w14:paraId="435948D3" w14:textId="7A4ACBF2" w:rsidR="008D5747" w:rsidRPr="00DA0626" w:rsidRDefault="008D5747" w:rsidP="004973F5">
      <w:pPr>
        <w:spacing w:line="360" w:lineRule="auto"/>
        <w:rPr>
          <w:rFonts w:ascii="Arial" w:hAnsi="Arial" w:cs="Arial"/>
          <w:sz w:val="22"/>
          <w:szCs w:val="22"/>
        </w:rPr>
      </w:pPr>
      <w:r w:rsidRPr="00DA0626">
        <w:rPr>
          <w:rFonts w:ascii="Arial" w:hAnsi="Arial" w:cs="Arial"/>
          <w:sz w:val="22"/>
          <w:szCs w:val="22"/>
        </w:rPr>
        <w:t>This research is particularly meaningful to me because of my own experiences with depression, anxiety, and burnout while working as a healthcare assistant. These experiences motivated me to explore burnout and mental health in healthcare professionals more deeply. I also wish to thank my family and  friends, whose encouragement and understanding supported me through the challenges of writing this dissertation.</w:t>
      </w:r>
    </w:p>
    <w:p w14:paraId="534BB120" w14:textId="77777777" w:rsidR="008D5747" w:rsidRPr="00DA0626" w:rsidRDefault="008D5747" w:rsidP="004973F5">
      <w:pPr>
        <w:spacing w:line="360" w:lineRule="auto"/>
        <w:rPr>
          <w:rFonts w:ascii="Arial" w:hAnsi="Arial" w:cs="Arial"/>
          <w:sz w:val="22"/>
          <w:szCs w:val="22"/>
        </w:rPr>
      </w:pPr>
      <w:r w:rsidRPr="00DA0626">
        <w:rPr>
          <w:rFonts w:ascii="Arial" w:hAnsi="Arial" w:cs="Arial"/>
          <w:sz w:val="22"/>
          <w:szCs w:val="22"/>
        </w:rPr>
        <w:t>This project is a reflection of both professional inquiry and personal experience, and I am thankful to everyone who contributed to making it possible.</w:t>
      </w:r>
    </w:p>
    <w:p w14:paraId="19D6F6BD" w14:textId="77777777" w:rsidR="008D5747" w:rsidRPr="00DA0626" w:rsidRDefault="008D5747" w:rsidP="004973F5">
      <w:pPr>
        <w:spacing w:line="360" w:lineRule="auto"/>
        <w:rPr>
          <w:rFonts w:ascii="Arial" w:hAnsi="Arial" w:cs="Arial"/>
          <w:sz w:val="22"/>
          <w:szCs w:val="22"/>
        </w:rPr>
      </w:pPr>
    </w:p>
    <w:p w14:paraId="66C46987" w14:textId="77777777" w:rsidR="008D5747" w:rsidRPr="00DA0626" w:rsidRDefault="008D5747" w:rsidP="004973F5">
      <w:pPr>
        <w:spacing w:line="360" w:lineRule="auto"/>
        <w:rPr>
          <w:rFonts w:ascii="Arial" w:hAnsi="Arial" w:cs="Arial"/>
          <w:sz w:val="22"/>
          <w:szCs w:val="22"/>
        </w:rPr>
      </w:pPr>
    </w:p>
    <w:p w14:paraId="1AB1D9C3" w14:textId="77777777" w:rsidR="008D5747" w:rsidRDefault="008D5747"/>
    <w:p w14:paraId="044229A2" w14:textId="77777777" w:rsidR="00A3772C" w:rsidRDefault="00A3772C"/>
    <w:p w14:paraId="1FD1E663" w14:textId="77777777" w:rsidR="004973F5" w:rsidRDefault="004973F5"/>
    <w:p w14:paraId="11E85DD5" w14:textId="77777777" w:rsidR="008D5747" w:rsidRDefault="008D5747"/>
    <w:p w14:paraId="4D42996F" w14:textId="77777777" w:rsidR="008D5747" w:rsidRDefault="008D5747"/>
    <w:p w14:paraId="6BB4C5F0" w14:textId="77777777" w:rsidR="00646FB4" w:rsidRDefault="00646FB4" w:rsidP="00210F62">
      <w:pPr>
        <w:spacing w:line="360" w:lineRule="auto"/>
        <w:rPr>
          <w:rFonts w:ascii="Arial" w:hAnsi="Arial" w:cs="Arial"/>
          <w:b/>
          <w:bCs/>
          <w:sz w:val="22"/>
          <w:szCs w:val="22"/>
        </w:rPr>
      </w:pPr>
    </w:p>
    <w:p w14:paraId="7E55A933" w14:textId="77777777" w:rsidR="00ED705C" w:rsidRDefault="00ED705C" w:rsidP="00210F62">
      <w:pPr>
        <w:spacing w:line="360" w:lineRule="auto"/>
        <w:rPr>
          <w:rFonts w:ascii="Arial" w:hAnsi="Arial" w:cs="Arial"/>
          <w:b/>
          <w:bCs/>
          <w:sz w:val="22"/>
          <w:szCs w:val="22"/>
        </w:rPr>
      </w:pPr>
    </w:p>
    <w:p w14:paraId="08F5B1E0" w14:textId="77777777" w:rsidR="00ED705C" w:rsidRDefault="00ED705C" w:rsidP="00210F62">
      <w:pPr>
        <w:spacing w:line="360" w:lineRule="auto"/>
        <w:rPr>
          <w:rFonts w:ascii="Arial" w:hAnsi="Arial" w:cs="Arial"/>
          <w:b/>
          <w:bCs/>
          <w:sz w:val="22"/>
          <w:szCs w:val="22"/>
        </w:rPr>
      </w:pPr>
    </w:p>
    <w:p w14:paraId="55138515" w14:textId="77777777" w:rsidR="00ED705C" w:rsidRDefault="00ED705C" w:rsidP="00210F62">
      <w:pPr>
        <w:spacing w:line="360" w:lineRule="auto"/>
        <w:rPr>
          <w:rFonts w:ascii="Arial" w:hAnsi="Arial" w:cs="Arial"/>
          <w:b/>
          <w:bCs/>
          <w:sz w:val="22"/>
          <w:szCs w:val="22"/>
        </w:rPr>
      </w:pPr>
    </w:p>
    <w:p w14:paraId="4060FC5C" w14:textId="77777777" w:rsidR="00ED705C" w:rsidRDefault="00ED705C" w:rsidP="00210F62">
      <w:pPr>
        <w:spacing w:line="360" w:lineRule="auto"/>
        <w:rPr>
          <w:rFonts w:ascii="Arial" w:hAnsi="Arial" w:cs="Arial"/>
          <w:b/>
          <w:bCs/>
          <w:sz w:val="22"/>
          <w:szCs w:val="22"/>
        </w:rPr>
      </w:pPr>
    </w:p>
    <w:p w14:paraId="580B14D6" w14:textId="77777777" w:rsidR="006573CC" w:rsidRDefault="006573CC" w:rsidP="00210F62">
      <w:pPr>
        <w:spacing w:line="360" w:lineRule="auto"/>
        <w:rPr>
          <w:rFonts w:ascii="Arial" w:hAnsi="Arial" w:cs="Arial"/>
          <w:b/>
          <w:bCs/>
          <w:sz w:val="22"/>
          <w:szCs w:val="22"/>
        </w:rPr>
      </w:pPr>
    </w:p>
    <w:p w14:paraId="62487C38" w14:textId="77777777" w:rsidR="006573CC" w:rsidRDefault="006573CC" w:rsidP="00210F62">
      <w:pPr>
        <w:spacing w:line="360" w:lineRule="auto"/>
        <w:rPr>
          <w:rFonts w:ascii="Arial" w:hAnsi="Arial" w:cs="Arial"/>
          <w:b/>
          <w:bCs/>
          <w:sz w:val="22"/>
          <w:szCs w:val="22"/>
        </w:rPr>
      </w:pPr>
    </w:p>
    <w:p w14:paraId="4CE1CE52" w14:textId="77777777" w:rsidR="006573CC" w:rsidRDefault="006573CC" w:rsidP="00210F62">
      <w:pPr>
        <w:spacing w:line="360" w:lineRule="auto"/>
        <w:rPr>
          <w:rFonts w:ascii="Arial" w:hAnsi="Arial" w:cs="Arial"/>
          <w:b/>
          <w:bCs/>
          <w:sz w:val="22"/>
          <w:szCs w:val="22"/>
        </w:rPr>
      </w:pPr>
    </w:p>
    <w:p w14:paraId="507049EE" w14:textId="11D253B4" w:rsidR="008D5747" w:rsidRPr="00210F62" w:rsidRDefault="008D5747" w:rsidP="00210F62">
      <w:pPr>
        <w:spacing w:line="360" w:lineRule="auto"/>
        <w:rPr>
          <w:rFonts w:ascii="Arial" w:hAnsi="Arial" w:cs="Arial"/>
          <w:b/>
          <w:bCs/>
          <w:sz w:val="22"/>
          <w:szCs w:val="22"/>
        </w:rPr>
      </w:pPr>
      <w:r w:rsidRPr="00210F62">
        <w:rPr>
          <w:rFonts w:ascii="Arial" w:hAnsi="Arial" w:cs="Arial"/>
          <w:b/>
          <w:bCs/>
          <w:sz w:val="22"/>
          <w:szCs w:val="22"/>
        </w:rPr>
        <w:lastRenderedPageBreak/>
        <w:t xml:space="preserve">Abstract </w:t>
      </w:r>
    </w:p>
    <w:p w14:paraId="344D616C" w14:textId="39E6D5D2" w:rsidR="008D5747" w:rsidRPr="00210F62" w:rsidRDefault="008D5747" w:rsidP="00210F62">
      <w:pPr>
        <w:spacing w:line="360" w:lineRule="auto"/>
        <w:rPr>
          <w:rFonts w:ascii="Arial" w:hAnsi="Arial" w:cs="Arial"/>
          <w:sz w:val="22"/>
          <w:szCs w:val="22"/>
        </w:rPr>
      </w:pPr>
      <w:r w:rsidRPr="00210F62">
        <w:rPr>
          <w:rFonts w:ascii="Arial" w:hAnsi="Arial" w:cs="Arial"/>
          <w:sz w:val="22"/>
          <w:szCs w:val="22"/>
        </w:rPr>
        <w:t>Burnout and mental health challenges among healthcare workers have emerged as critical issues in contemporary health and social care. The purpose of this dissertation was to investigate the prevalence, causes, and consequences of burnout, and to explore strategies to support staff wellbeing. The research aimed to address three key objectives: to identify organisational and individual factors contributing to burnout, to examine the emotional and psychological impact on healthcare professionals, and to evaluate evidence-based interventions to mitigate these challenges. This research is particularly important given the growing workforce pressures within healthcare settings and the link between staff wellbeing, patient safety, and quality of care.</w:t>
      </w:r>
    </w:p>
    <w:p w14:paraId="5233B0E3" w14:textId="1DF12170" w:rsidR="008D5747" w:rsidRPr="00210F62" w:rsidRDefault="008D5747" w:rsidP="00210F62">
      <w:pPr>
        <w:spacing w:line="360" w:lineRule="auto"/>
        <w:rPr>
          <w:rFonts w:ascii="Arial" w:hAnsi="Arial" w:cs="Arial"/>
          <w:sz w:val="22"/>
          <w:szCs w:val="22"/>
        </w:rPr>
      </w:pPr>
      <w:r w:rsidRPr="00210F62">
        <w:rPr>
          <w:rFonts w:ascii="Arial" w:hAnsi="Arial" w:cs="Arial"/>
          <w:sz w:val="22"/>
          <w:szCs w:val="22"/>
        </w:rPr>
        <w:t>A desk-based, secondary research approach was employed, focusing on peer-reviewed journal articles, policy reports, and academic literature published within the last ten years. Thematic analysis was used to systematically code and analyse the literature, identifying recurring patterns and synthesising evidence across studies. Source tracking and summary tables were utilised to ensure transparency, credibility, and reliability of the findings.</w:t>
      </w:r>
    </w:p>
    <w:p w14:paraId="74A68BD9" w14:textId="3D360118" w:rsidR="008D5747" w:rsidRPr="00210F62" w:rsidRDefault="008D5747" w:rsidP="00210F62">
      <w:pPr>
        <w:spacing w:line="360" w:lineRule="auto"/>
        <w:rPr>
          <w:rFonts w:ascii="Arial" w:hAnsi="Arial" w:cs="Arial"/>
          <w:sz w:val="22"/>
          <w:szCs w:val="22"/>
        </w:rPr>
      </w:pPr>
      <w:r w:rsidRPr="00210F62">
        <w:rPr>
          <w:rFonts w:ascii="Arial" w:hAnsi="Arial" w:cs="Arial"/>
          <w:sz w:val="22"/>
          <w:szCs w:val="22"/>
        </w:rPr>
        <w:t>The analysis revealed three overarching themes: (1) organisational drivers of burnout, including workload, staffing pressures, and leadership practices; (2) the emotional and psychological impact on healthcare workers, such as stress, anxiety, and reduced wellbeing; and (3) the role of organisational and individual interventions, including wellbeing initiatives, support programmes, and evidence-based coping strategies. Key insights highlighted the importance of supportive leadership, structured wellbeing policies, and early identification of burnout risk factors.</w:t>
      </w:r>
    </w:p>
    <w:p w14:paraId="7C16A641" w14:textId="713CFB44" w:rsidR="008D5747" w:rsidRPr="00210F62" w:rsidRDefault="008D5747" w:rsidP="00210F62">
      <w:pPr>
        <w:spacing w:line="360" w:lineRule="auto"/>
        <w:rPr>
          <w:rFonts w:ascii="Arial" w:hAnsi="Arial" w:cs="Arial"/>
          <w:sz w:val="22"/>
          <w:szCs w:val="22"/>
        </w:rPr>
      </w:pPr>
      <w:r w:rsidRPr="00210F62">
        <w:rPr>
          <w:rFonts w:ascii="Arial" w:hAnsi="Arial" w:cs="Arial"/>
          <w:sz w:val="22"/>
          <w:szCs w:val="22"/>
        </w:rPr>
        <w:t>Limitations of the study included reliance on secondary data and variation in measurement tools across studies, which may impact generalisability. Despite these limitations, the findings provide valuable guidance for health and social care practice.</w:t>
      </w:r>
    </w:p>
    <w:p w14:paraId="0BF512F0" w14:textId="77777777" w:rsidR="008D5747" w:rsidRPr="00210F62" w:rsidRDefault="008D5747" w:rsidP="00210F62">
      <w:pPr>
        <w:spacing w:line="360" w:lineRule="auto"/>
        <w:rPr>
          <w:rFonts w:ascii="Arial" w:hAnsi="Arial" w:cs="Arial"/>
          <w:sz w:val="22"/>
          <w:szCs w:val="22"/>
        </w:rPr>
      </w:pPr>
      <w:r w:rsidRPr="00210F62">
        <w:rPr>
          <w:rFonts w:ascii="Arial" w:hAnsi="Arial" w:cs="Arial"/>
          <w:sz w:val="22"/>
          <w:szCs w:val="22"/>
        </w:rPr>
        <w:t>Recommendations include implementing comprehensive staff wellbeing programmes, embedding mental health support within organisational policy, promoting resilience training, and conducting further research to evaluate intervention effectiveness. This study contributes to understanding burnout in healthcare settings and informs practical strategies to enhance workforce wellbeing, patient safety, and organisational sustainability.</w:t>
      </w:r>
    </w:p>
    <w:p w14:paraId="3AE9B838" w14:textId="77777777" w:rsidR="008D5747" w:rsidRDefault="008D5747">
      <w:pPr>
        <w:rPr>
          <w:rFonts w:ascii="Arial" w:hAnsi="Arial" w:cs="Arial"/>
          <w:sz w:val="22"/>
          <w:szCs w:val="22"/>
        </w:rPr>
      </w:pPr>
    </w:p>
    <w:p w14:paraId="61F02D3F" w14:textId="77777777" w:rsidR="00A3772C" w:rsidRDefault="00A3772C"/>
    <w:p w14:paraId="334D2073" w14:textId="77777777" w:rsidR="008D5747" w:rsidRDefault="008D5747"/>
    <w:p w14:paraId="30E2A908" w14:textId="77777777" w:rsidR="008D5747" w:rsidRPr="00143D10" w:rsidRDefault="008D5747">
      <w:pPr>
        <w:rPr>
          <w:rFonts w:ascii="Arial" w:hAnsi="Arial" w:cs="Arial"/>
          <w:b/>
          <w:bCs/>
          <w:sz w:val="32"/>
          <w:szCs w:val="32"/>
        </w:rPr>
      </w:pPr>
      <w:r w:rsidRPr="00143D10">
        <w:rPr>
          <w:rFonts w:ascii="Arial" w:hAnsi="Arial" w:cs="Arial"/>
          <w:b/>
          <w:bCs/>
          <w:sz w:val="32"/>
          <w:szCs w:val="32"/>
        </w:rPr>
        <w:lastRenderedPageBreak/>
        <w:t>Content page:</w:t>
      </w:r>
    </w:p>
    <w:p w14:paraId="027B55CD" w14:textId="77777777" w:rsidR="008D5747" w:rsidRPr="003F449B" w:rsidRDefault="008D5747">
      <w:pPr>
        <w:rPr>
          <w:rFonts w:ascii="Arial" w:hAnsi="Arial" w:cs="Arial"/>
          <w:sz w:val="22"/>
          <w:szCs w:val="22"/>
        </w:rPr>
      </w:pPr>
    </w:p>
    <w:p w14:paraId="50974E4C" w14:textId="6624C8BE" w:rsidR="008D5747" w:rsidRDefault="002B0AEF">
      <w:pPr>
        <w:rPr>
          <w:rFonts w:ascii="Arial" w:hAnsi="Arial" w:cs="Arial"/>
          <w:sz w:val="22"/>
          <w:szCs w:val="22"/>
        </w:rPr>
      </w:pPr>
      <w:r>
        <w:rPr>
          <w:rFonts w:ascii="Arial" w:hAnsi="Arial" w:cs="Arial"/>
          <w:sz w:val="22"/>
          <w:szCs w:val="22"/>
        </w:rPr>
        <w:t>Abstract..........................</w:t>
      </w:r>
      <w:r w:rsidR="00D02FF0">
        <w:rPr>
          <w:rFonts w:ascii="Arial" w:hAnsi="Arial" w:cs="Arial"/>
          <w:sz w:val="22"/>
          <w:szCs w:val="22"/>
        </w:rPr>
        <w:t>..</w:t>
      </w:r>
      <w:r w:rsidR="00B86C49">
        <w:rPr>
          <w:rFonts w:ascii="Arial" w:hAnsi="Arial" w:cs="Arial"/>
          <w:sz w:val="22"/>
          <w:szCs w:val="22"/>
        </w:rPr>
        <w:t>.......................</w:t>
      </w:r>
      <w:r w:rsidR="001F637A">
        <w:rPr>
          <w:rFonts w:ascii="Arial" w:hAnsi="Arial" w:cs="Arial"/>
          <w:sz w:val="22"/>
          <w:szCs w:val="22"/>
        </w:rPr>
        <w:t>....................................................</w:t>
      </w:r>
      <w:r w:rsidR="00B86C49">
        <w:rPr>
          <w:rFonts w:ascii="Arial" w:hAnsi="Arial" w:cs="Arial"/>
          <w:sz w:val="22"/>
          <w:szCs w:val="22"/>
        </w:rPr>
        <w:t>.</w:t>
      </w:r>
      <w:r w:rsidR="001B7CC4">
        <w:rPr>
          <w:rFonts w:ascii="Arial" w:hAnsi="Arial" w:cs="Arial"/>
          <w:sz w:val="22"/>
          <w:szCs w:val="22"/>
        </w:rPr>
        <w:t>5</w:t>
      </w:r>
    </w:p>
    <w:p w14:paraId="3C4D2F22" w14:textId="79A0E904" w:rsidR="00B64085" w:rsidRDefault="00B12C67">
      <w:pPr>
        <w:rPr>
          <w:rFonts w:ascii="Arial" w:hAnsi="Arial" w:cs="Arial"/>
          <w:sz w:val="22"/>
          <w:szCs w:val="22"/>
        </w:rPr>
      </w:pPr>
      <w:r w:rsidRPr="00B12C67">
        <w:rPr>
          <w:rFonts w:ascii="Arial" w:hAnsi="Arial" w:cs="Arial"/>
        </w:rPr>
        <w:t>CHAPTER</w:t>
      </w:r>
      <w:r w:rsidR="00CB05B4" w:rsidRPr="00B12C67">
        <w:rPr>
          <w:rFonts w:ascii="Arial" w:hAnsi="Arial" w:cs="Arial"/>
        </w:rPr>
        <w:t xml:space="preserve"> 1</w:t>
      </w:r>
      <w:r w:rsidR="00270BC6">
        <w:rPr>
          <w:rFonts w:ascii="Arial" w:hAnsi="Arial" w:cs="Arial"/>
          <w:sz w:val="22"/>
          <w:szCs w:val="22"/>
        </w:rPr>
        <w:t xml:space="preserve">: </w:t>
      </w:r>
      <w:r w:rsidR="00B64085">
        <w:rPr>
          <w:rFonts w:ascii="Arial" w:hAnsi="Arial" w:cs="Arial"/>
          <w:sz w:val="22"/>
          <w:szCs w:val="22"/>
        </w:rPr>
        <w:t xml:space="preserve">Introduction </w:t>
      </w:r>
    </w:p>
    <w:p w14:paraId="4F2FAF45" w14:textId="7B42A562" w:rsidR="00CB05B4" w:rsidRDefault="00B64085">
      <w:pPr>
        <w:rPr>
          <w:rFonts w:ascii="Arial" w:hAnsi="Arial" w:cs="Arial"/>
          <w:sz w:val="22"/>
          <w:szCs w:val="22"/>
        </w:rPr>
      </w:pPr>
      <w:r>
        <w:rPr>
          <w:rFonts w:ascii="Arial" w:hAnsi="Arial" w:cs="Arial"/>
          <w:sz w:val="22"/>
          <w:szCs w:val="22"/>
        </w:rPr>
        <w:t>1.1</w:t>
      </w:r>
      <w:r w:rsidR="00E63865">
        <w:rPr>
          <w:rFonts w:ascii="Arial" w:hAnsi="Arial" w:cs="Arial"/>
          <w:sz w:val="22"/>
          <w:szCs w:val="22"/>
        </w:rPr>
        <w:t xml:space="preserve"> </w:t>
      </w:r>
      <w:r w:rsidR="00270BC6">
        <w:rPr>
          <w:rFonts w:ascii="Arial" w:hAnsi="Arial" w:cs="Arial"/>
          <w:sz w:val="22"/>
          <w:szCs w:val="22"/>
        </w:rPr>
        <w:t xml:space="preserve">Introduction </w:t>
      </w:r>
      <w:r w:rsidR="000E17E1">
        <w:rPr>
          <w:rFonts w:ascii="Arial" w:hAnsi="Arial" w:cs="Arial"/>
          <w:sz w:val="22"/>
          <w:szCs w:val="22"/>
        </w:rPr>
        <w:t>.....</w:t>
      </w:r>
      <w:r w:rsidR="00ED24EA">
        <w:rPr>
          <w:rFonts w:ascii="Arial" w:hAnsi="Arial" w:cs="Arial"/>
          <w:sz w:val="22"/>
          <w:szCs w:val="22"/>
        </w:rPr>
        <w:t>.....................</w:t>
      </w:r>
      <w:r w:rsidR="000E17E1">
        <w:rPr>
          <w:rFonts w:ascii="Arial" w:hAnsi="Arial" w:cs="Arial"/>
          <w:sz w:val="22"/>
          <w:szCs w:val="22"/>
        </w:rPr>
        <w:t>.</w:t>
      </w:r>
      <w:r w:rsidR="00B86C49">
        <w:rPr>
          <w:rFonts w:ascii="Arial" w:hAnsi="Arial" w:cs="Arial"/>
          <w:sz w:val="22"/>
          <w:szCs w:val="22"/>
        </w:rPr>
        <w:t>.........</w:t>
      </w:r>
      <w:r w:rsidR="001F637A">
        <w:rPr>
          <w:rFonts w:ascii="Arial" w:hAnsi="Arial" w:cs="Arial"/>
          <w:sz w:val="22"/>
          <w:szCs w:val="22"/>
        </w:rPr>
        <w:t>..............................................</w:t>
      </w:r>
      <w:r w:rsidR="00B75830">
        <w:rPr>
          <w:rFonts w:ascii="Arial" w:hAnsi="Arial" w:cs="Arial"/>
          <w:sz w:val="22"/>
          <w:szCs w:val="22"/>
        </w:rPr>
        <w:t>.</w:t>
      </w:r>
      <w:r w:rsidR="001F637A">
        <w:rPr>
          <w:rFonts w:ascii="Arial" w:hAnsi="Arial" w:cs="Arial"/>
          <w:sz w:val="22"/>
          <w:szCs w:val="22"/>
        </w:rPr>
        <w:t>.....</w:t>
      </w:r>
      <w:r w:rsidR="00B86C49">
        <w:rPr>
          <w:rFonts w:ascii="Arial" w:hAnsi="Arial" w:cs="Arial"/>
          <w:sz w:val="22"/>
          <w:szCs w:val="22"/>
        </w:rPr>
        <w:t>....</w:t>
      </w:r>
      <w:r w:rsidR="001B7CC4">
        <w:rPr>
          <w:rFonts w:ascii="Arial" w:hAnsi="Arial" w:cs="Arial"/>
          <w:sz w:val="22"/>
          <w:szCs w:val="22"/>
        </w:rPr>
        <w:t>9</w:t>
      </w:r>
    </w:p>
    <w:p w14:paraId="1F5A6DE5" w14:textId="46CF914B" w:rsidR="007254E4" w:rsidRDefault="000E17E1">
      <w:pPr>
        <w:rPr>
          <w:rFonts w:ascii="Arial" w:hAnsi="Arial" w:cs="Arial"/>
          <w:sz w:val="22"/>
          <w:szCs w:val="22"/>
        </w:rPr>
      </w:pPr>
      <w:r>
        <w:rPr>
          <w:rFonts w:ascii="Arial" w:hAnsi="Arial" w:cs="Arial"/>
          <w:sz w:val="22"/>
          <w:szCs w:val="22"/>
        </w:rPr>
        <w:t>1.2</w:t>
      </w:r>
      <w:r w:rsidR="000B1102">
        <w:rPr>
          <w:rFonts w:ascii="Arial" w:hAnsi="Arial" w:cs="Arial"/>
          <w:sz w:val="22"/>
          <w:szCs w:val="22"/>
        </w:rPr>
        <w:t xml:space="preserve">  </w:t>
      </w:r>
      <w:r>
        <w:rPr>
          <w:rFonts w:ascii="Arial" w:hAnsi="Arial" w:cs="Arial"/>
          <w:sz w:val="22"/>
          <w:szCs w:val="22"/>
        </w:rPr>
        <w:t>Definitions and Terminology ......</w:t>
      </w:r>
      <w:r w:rsidR="00ED24EA">
        <w:rPr>
          <w:rFonts w:ascii="Arial" w:hAnsi="Arial" w:cs="Arial"/>
          <w:sz w:val="22"/>
          <w:szCs w:val="22"/>
        </w:rPr>
        <w:t>.....</w:t>
      </w:r>
      <w:r w:rsidR="001F637A">
        <w:rPr>
          <w:rFonts w:ascii="Arial" w:hAnsi="Arial" w:cs="Arial"/>
          <w:sz w:val="22"/>
          <w:szCs w:val="22"/>
        </w:rPr>
        <w:t>...........................................</w:t>
      </w:r>
      <w:r w:rsidR="00B75830">
        <w:rPr>
          <w:rFonts w:ascii="Arial" w:hAnsi="Arial" w:cs="Arial"/>
          <w:sz w:val="22"/>
          <w:szCs w:val="22"/>
        </w:rPr>
        <w:t>.</w:t>
      </w:r>
      <w:r w:rsidR="001F637A">
        <w:rPr>
          <w:rFonts w:ascii="Arial" w:hAnsi="Arial" w:cs="Arial"/>
          <w:sz w:val="22"/>
          <w:szCs w:val="22"/>
        </w:rPr>
        <w:t>........</w:t>
      </w:r>
      <w:r w:rsidR="00ED24EA">
        <w:rPr>
          <w:rFonts w:ascii="Arial" w:hAnsi="Arial" w:cs="Arial"/>
          <w:sz w:val="22"/>
          <w:szCs w:val="22"/>
        </w:rPr>
        <w:t>..</w:t>
      </w:r>
      <w:r w:rsidR="00E63865">
        <w:rPr>
          <w:rFonts w:ascii="Arial" w:hAnsi="Arial" w:cs="Arial"/>
          <w:sz w:val="22"/>
          <w:szCs w:val="22"/>
        </w:rPr>
        <w:t>.9</w:t>
      </w:r>
    </w:p>
    <w:p w14:paraId="6C6EE284" w14:textId="6570104D" w:rsidR="00A543DC" w:rsidRDefault="00F4724A">
      <w:pPr>
        <w:rPr>
          <w:rFonts w:ascii="Arial" w:hAnsi="Arial" w:cs="Arial"/>
          <w:sz w:val="22"/>
          <w:szCs w:val="22"/>
        </w:rPr>
      </w:pPr>
      <w:r>
        <w:rPr>
          <w:rFonts w:ascii="Arial" w:hAnsi="Arial" w:cs="Arial"/>
          <w:sz w:val="22"/>
          <w:szCs w:val="22"/>
        </w:rPr>
        <w:t xml:space="preserve">1.3 </w:t>
      </w:r>
      <w:r w:rsidR="000B1102">
        <w:rPr>
          <w:rFonts w:ascii="Arial" w:hAnsi="Arial" w:cs="Arial"/>
          <w:sz w:val="22"/>
          <w:szCs w:val="22"/>
        </w:rPr>
        <w:t xml:space="preserve"> </w:t>
      </w:r>
      <w:r>
        <w:rPr>
          <w:rFonts w:ascii="Arial" w:hAnsi="Arial" w:cs="Arial"/>
          <w:sz w:val="22"/>
          <w:szCs w:val="22"/>
        </w:rPr>
        <w:t xml:space="preserve">Rationale for Research </w:t>
      </w:r>
      <w:r w:rsidR="00A543DC">
        <w:rPr>
          <w:rFonts w:ascii="Arial" w:hAnsi="Arial" w:cs="Arial"/>
          <w:sz w:val="22"/>
          <w:szCs w:val="22"/>
        </w:rPr>
        <w:t>...............</w:t>
      </w:r>
      <w:r w:rsidR="00363FB2">
        <w:rPr>
          <w:rFonts w:ascii="Arial" w:hAnsi="Arial" w:cs="Arial"/>
          <w:sz w:val="22"/>
          <w:szCs w:val="22"/>
        </w:rPr>
        <w:t>...................................................</w:t>
      </w:r>
      <w:r w:rsidR="00A543DC">
        <w:rPr>
          <w:rFonts w:ascii="Arial" w:hAnsi="Arial" w:cs="Arial"/>
          <w:sz w:val="22"/>
          <w:szCs w:val="22"/>
        </w:rPr>
        <w:t>....</w:t>
      </w:r>
      <w:r w:rsidR="00ED24EA">
        <w:rPr>
          <w:rFonts w:ascii="Arial" w:hAnsi="Arial" w:cs="Arial"/>
          <w:sz w:val="22"/>
          <w:szCs w:val="22"/>
        </w:rPr>
        <w:t>.</w:t>
      </w:r>
      <w:r w:rsidR="00A543DC">
        <w:rPr>
          <w:rFonts w:ascii="Arial" w:hAnsi="Arial" w:cs="Arial"/>
          <w:sz w:val="22"/>
          <w:szCs w:val="22"/>
        </w:rPr>
        <w:t>.</w:t>
      </w:r>
      <w:r w:rsidR="00E63865">
        <w:rPr>
          <w:rFonts w:ascii="Arial" w:hAnsi="Arial" w:cs="Arial"/>
          <w:sz w:val="22"/>
          <w:szCs w:val="22"/>
        </w:rPr>
        <w:t>10</w:t>
      </w:r>
    </w:p>
    <w:p w14:paraId="675BAAC9" w14:textId="7AB70264" w:rsidR="00A543DC" w:rsidRDefault="00F4724A">
      <w:pPr>
        <w:rPr>
          <w:rFonts w:ascii="Arial" w:hAnsi="Arial" w:cs="Arial"/>
          <w:sz w:val="22"/>
          <w:szCs w:val="22"/>
        </w:rPr>
      </w:pPr>
      <w:r>
        <w:rPr>
          <w:rFonts w:ascii="Arial" w:hAnsi="Arial" w:cs="Arial"/>
          <w:sz w:val="22"/>
          <w:szCs w:val="22"/>
        </w:rPr>
        <w:t>1.</w:t>
      </w:r>
      <w:r w:rsidR="000B1102">
        <w:rPr>
          <w:rFonts w:ascii="Arial" w:hAnsi="Arial" w:cs="Arial"/>
          <w:sz w:val="22"/>
          <w:szCs w:val="22"/>
        </w:rPr>
        <w:t>4</w:t>
      </w:r>
      <w:r>
        <w:rPr>
          <w:rFonts w:ascii="Arial" w:hAnsi="Arial" w:cs="Arial"/>
          <w:sz w:val="22"/>
          <w:szCs w:val="22"/>
        </w:rPr>
        <w:t xml:space="preserve"> </w:t>
      </w:r>
      <w:r w:rsidR="000B1102">
        <w:rPr>
          <w:rFonts w:ascii="Arial" w:hAnsi="Arial" w:cs="Arial"/>
          <w:sz w:val="22"/>
          <w:szCs w:val="22"/>
        </w:rPr>
        <w:t xml:space="preserve"> </w:t>
      </w:r>
      <w:r>
        <w:rPr>
          <w:rFonts w:ascii="Arial" w:hAnsi="Arial" w:cs="Arial"/>
          <w:sz w:val="22"/>
          <w:szCs w:val="22"/>
        </w:rPr>
        <w:t xml:space="preserve">Aim and Objectives </w:t>
      </w:r>
      <w:r w:rsidR="00A543DC">
        <w:rPr>
          <w:rFonts w:ascii="Arial" w:hAnsi="Arial" w:cs="Arial"/>
          <w:sz w:val="22"/>
          <w:szCs w:val="22"/>
        </w:rPr>
        <w:t>....…...................</w:t>
      </w:r>
      <w:r w:rsidR="00363FB2">
        <w:rPr>
          <w:rFonts w:ascii="Arial" w:hAnsi="Arial" w:cs="Arial"/>
          <w:sz w:val="22"/>
          <w:szCs w:val="22"/>
        </w:rPr>
        <w:t>....................................................</w:t>
      </w:r>
      <w:r w:rsidR="0006396C">
        <w:rPr>
          <w:rFonts w:ascii="Arial" w:hAnsi="Arial" w:cs="Arial"/>
          <w:sz w:val="22"/>
          <w:szCs w:val="22"/>
        </w:rPr>
        <w:t>11</w:t>
      </w:r>
    </w:p>
    <w:p w14:paraId="55F08C79" w14:textId="0FBF0316" w:rsidR="00ED24EA" w:rsidRDefault="003C26A0">
      <w:pPr>
        <w:rPr>
          <w:rFonts w:ascii="Arial" w:hAnsi="Arial" w:cs="Arial"/>
          <w:sz w:val="22"/>
          <w:szCs w:val="22"/>
        </w:rPr>
      </w:pPr>
      <w:r>
        <w:rPr>
          <w:rFonts w:ascii="Arial" w:hAnsi="Arial" w:cs="Arial"/>
          <w:sz w:val="22"/>
          <w:szCs w:val="22"/>
        </w:rPr>
        <w:t>1.5 Conclusion</w:t>
      </w:r>
      <w:r w:rsidR="00ED24EA">
        <w:rPr>
          <w:rFonts w:ascii="Arial" w:hAnsi="Arial" w:cs="Arial"/>
          <w:sz w:val="22"/>
          <w:szCs w:val="22"/>
        </w:rPr>
        <w:t>........................................</w:t>
      </w:r>
      <w:r w:rsidR="00B76DAE">
        <w:rPr>
          <w:rFonts w:ascii="Arial" w:hAnsi="Arial" w:cs="Arial"/>
          <w:sz w:val="22"/>
          <w:szCs w:val="22"/>
        </w:rPr>
        <w:t>....................................................</w:t>
      </w:r>
      <w:r w:rsidR="00ED24EA">
        <w:rPr>
          <w:rFonts w:ascii="Arial" w:hAnsi="Arial" w:cs="Arial"/>
          <w:sz w:val="22"/>
          <w:szCs w:val="22"/>
        </w:rPr>
        <w:t>..</w:t>
      </w:r>
      <w:r w:rsidR="0006396C">
        <w:rPr>
          <w:rFonts w:ascii="Arial" w:hAnsi="Arial" w:cs="Arial"/>
          <w:sz w:val="22"/>
          <w:szCs w:val="22"/>
        </w:rPr>
        <w:t>11</w:t>
      </w:r>
    </w:p>
    <w:p w14:paraId="43CA6AAD" w14:textId="0668FEC0" w:rsidR="00AE6E63" w:rsidRDefault="003C26A0">
      <w:pPr>
        <w:rPr>
          <w:rFonts w:ascii="Arial" w:hAnsi="Arial" w:cs="Arial"/>
          <w:sz w:val="22"/>
          <w:szCs w:val="22"/>
        </w:rPr>
      </w:pPr>
      <w:r w:rsidRPr="009C0B7D">
        <w:rPr>
          <w:rFonts w:ascii="Arial" w:hAnsi="Arial" w:cs="Arial"/>
        </w:rPr>
        <w:t>CHAPTER 2</w:t>
      </w:r>
      <w:r>
        <w:rPr>
          <w:rFonts w:ascii="Arial" w:hAnsi="Arial" w:cs="Arial"/>
          <w:sz w:val="22"/>
          <w:szCs w:val="22"/>
        </w:rPr>
        <w:t>: Background Information and Analysis</w:t>
      </w:r>
    </w:p>
    <w:p w14:paraId="4F505004" w14:textId="45D397B9" w:rsidR="00AE6E63" w:rsidRDefault="00AE6E63">
      <w:pPr>
        <w:rPr>
          <w:rFonts w:ascii="Arial" w:hAnsi="Arial" w:cs="Arial"/>
          <w:sz w:val="22"/>
          <w:szCs w:val="22"/>
        </w:rPr>
      </w:pPr>
      <w:r>
        <w:rPr>
          <w:rFonts w:ascii="Arial" w:hAnsi="Arial" w:cs="Arial"/>
          <w:sz w:val="22"/>
          <w:szCs w:val="22"/>
        </w:rPr>
        <w:t>2.1 Introduction .......................</w:t>
      </w:r>
      <w:r w:rsidR="00B76DAE">
        <w:rPr>
          <w:rFonts w:ascii="Arial" w:hAnsi="Arial" w:cs="Arial"/>
          <w:sz w:val="22"/>
          <w:szCs w:val="22"/>
        </w:rPr>
        <w:t>....................................................</w:t>
      </w:r>
      <w:r>
        <w:rPr>
          <w:rFonts w:ascii="Arial" w:hAnsi="Arial" w:cs="Arial"/>
          <w:sz w:val="22"/>
          <w:szCs w:val="22"/>
        </w:rPr>
        <w:t>................</w:t>
      </w:r>
      <w:r w:rsidR="0006396C">
        <w:rPr>
          <w:rFonts w:ascii="Arial" w:hAnsi="Arial" w:cs="Arial"/>
          <w:sz w:val="22"/>
          <w:szCs w:val="22"/>
        </w:rPr>
        <w:t>13</w:t>
      </w:r>
    </w:p>
    <w:p w14:paraId="25F86BF7" w14:textId="1C324635" w:rsidR="00143D10" w:rsidRDefault="00143D10">
      <w:pPr>
        <w:rPr>
          <w:rFonts w:ascii="Arial" w:hAnsi="Arial" w:cs="Arial"/>
          <w:sz w:val="22"/>
          <w:szCs w:val="22"/>
        </w:rPr>
      </w:pPr>
      <w:r>
        <w:rPr>
          <w:rFonts w:ascii="Arial" w:hAnsi="Arial" w:cs="Arial"/>
          <w:sz w:val="22"/>
          <w:szCs w:val="22"/>
        </w:rPr>
        <w:t xml:space="preserve">2.2 Historical Background </w:t>
      </w:r>
      <w:r w:rsidR="009633DA">
        <w:rPr>
          <w:rFonts w:ascii="Arial" w:hAnsi="Arial" w:cs="Arial"/>
          <w:sz w:val="22"/>
          <w:szCs w:val="22"/>
        </w:rPr>
        <w:t>.........</w:t>
      </w:r>
      <w:r w:rsidR="00B76DAE">
        <w:rPr>
          <w:rFonts w:ascii="Arial" w:hAnsi="Arial" w:cs="Arial"/>
          <w:sz w:val="22"/>
          <w:szCs w:val="22"/>
        </w:rPr>
        <w:t>....................................................</w:t>
      </w:r>
      <w:r w:rsidR="009633DA">
        <w:rPr>
          <w:rFonts w:ascii="Arial" w:hAnsi="Arial" w:cs="Arial"/>
          <w:sz w:val="22"/>
          <w:szCs w:val="22"/>
        </w:rPr>
        <w:t>..............1</w:t>
      </w:r>
      <w:r w:rsidR="0006396C">
        <w:rPr>
          <w:rFonts w:ascii="Arial" w:hAnsi="Arial" w:cs="Arial"/>
          <w:sz w:val="22"/>
          <w:szCs w:val="22"/>
        </w:rPr>
        <w:t>3</w:t>
      </w:r>
    </w:p>
    <w:p w14:paraId="33385D3C" w14:textId="3E324B8A" w:rsidR="009633DA" w:rsidRDefault="009633DA">
      <w:pPr>
        <w:rPr>
          <w:rFonts w:ascii="Arial" w:hAnsi="Arial" w:cs="Arial"/>
          <w:sz w:val="22"/>
          <w:szCs w:val="22"/>
        </w:rPr>
      </w:pPr>
      <w:r>
        <w:rPr>
          <w:rFonts w:ascii="Arial" w:hAnsi="Arial" w:cs="Arial"/>
          <w:sz w:val="22"/>
          <w:szCs w:val="22"/>
        </w:rPr>
        <w:t>2.3 Theoretical Background ....................</w:t>
      </w:r>
      <w:r w:rsidR="00C2502F">
        <w:rPr>
          <w:rFonts w:ascii="Arial" w:hAnsi="Arial" w:cs="Arial"/>
          <w:sz w:val="22"/>
          <w:szCs w:val="22"/>
        </w:rPr>
        <w:t>....................................................</w:t>
      </w:r>
      <w:r>
        <w:rPr>
          <w:rFonts w:ascii="Arial" w:hAnsi="Arial" w:cs="Arial"/>
          <w:sz w:val="22"/>
          <w:szCs w:val="22"/>
        </w:rPr>
        <w:t>1</w:t>
      </w:r>
      <w:r w:rsidR="00652A86">
        <w:rPr>
          <w:rFonts w:ascii="Arial" w:hAnsi="Arial" w:cs="Arial"/>
          <w:sz w:val="22"/>
          <w:szCs w:val="22"/>
        </w:rPr>
        <w:t>4</w:t>
      </w:r>
    </w:p>
    <w:p w14:paraId="44EA0BC1" w14:textId="39CC3B97" w:rsidR="009633DA" w:rsidRDefault="00E42C43">
      <w:pPr>
        <w:rPr>
          <w:rFonts w:ascii="Arial" w:hAnsi="Arial" w:cs="Arial"/>
          <w:sz w:val="22"/>
          <w:szCs w:val="22"/>
        </w:rPr>
      </w:pPr>
      <w:r>
        <w:rPr>
          <w:rFonts w:ascii="Arial" w:hAnsi="Arial" w:cs="Arial"/>
          <w:sz w:val="22"/>
          <w:szCs w:val="22"/>
        </w:rPr>
        <w:t>2.4 International Context .........................</w:t>
      </w:r>
      <w:r w:rsidR="00C2502F">
        <w:rPr>
          <w:rFonts w:ascii="Arial" w:hAnsi="Arial" w:cs="Arial"/>
          <w:sz w:val="22"/>
          <w:szCs w:val="22"/>
        </w:rPr>
        <w:t>....................................................</w:t>
      </w:r>
      <w:r>
        <w:rPr>
          <w:rFonts w:ascii="Arial" w:hAnsi="Arial" w:cs="Arial"/>
          <w:sz w:val="22"/>
          <w:szCs w:val="22"/>
        </w:rPr>
        <w:t>1</w:t>
      </w:r>
      <w:r w:rsidR="00652A86">
        <w:rPr>
          <w:rFonts w:ascii="Arial" w:hAnsi="Arial" w:cs="Arial"/>
          <w:sz w:val="22"/>
          <w:szCs w:val="22"/>
        </w:rPr>
        <w:t>5</w:t>
      </w:r>
    </w:p>
    <w:p w14:paraId="0B62CC26" w14:textId="4A231C92" w:rsidR="00E42C43" w:rsidRDefault="00DC5641">
      <w:pPr>
        <w:rPr>
          <w:rFonts w:ascii="Arial" w:hAnsi="Arial" w:cs="Arial"/>
          <w:sz w:val="22"/>
          <w:szCs w:val="22"/>
        </w:rPr>
      </w:pPr>
      <w:r>
        <w:rPr>
          <w:rFonts w:ascii="Arial" w:hAnsi="Arial" w:cs="Arial"/>
          <w:sz w:val="22"/>
          <w:szCs w:val="22"/>
        </w:rPr>
        <w:t>2.5 National/Local UK Context....</w:t>
      </w:r>
      <w:r w:rsidR="005C3752">
        <w:rPr>
          <w:rFonts w:ascii="Arial" w:hAnsi="Arial" w:cs="Arial"/>
          <w:sz w:val="22"/>
          <w:szCs w:val="22"/>
        </w:rPr>
        <w:t>.............</w:t>
      </w:r>
      <w:r w:rsidR="00C2502F">
        <w:rPr>
          <w:rFonts w:ascii="Arial" w:hAnsi="Arial" w:cs="Arial"/>
          <w:sz w:val="22"/>
          <w:szCs w:val="22"/>
        </w:rPr>
        <w:t>....................................................</w:t>
      </w:r>
      <w:r w:rsidR="00652A86">
        <w:rPr>
          <w:rFonts w:ascii="Arial" w:hAnsi="Arial" w:cs="Arial"/>
          <w:sz w:val="22"/>
          <w:szCs w:val="22"/>
        </w:rPr>
        <w:t>16</w:t>
      </w:r>
    </w:p>
    <w:p w14:paraId="4BCEFDDE" w14:textId="2D72B9B2" w:rsidR="00EE4F62" w:rsidRDefault="005C3752">
      <w:pPr>
        <w:rPr>
          <w:rFonts w:ascii="Arial" w:hAnsi="Arial" w:cs="Arial"/>
          <w:sz w:val="22"/>
          <w:szCs w:val="22"/>
        </w:rPr>
      </w:pPr>
      <w:r>
        <w:rPr>
          <w:rFonts w:ascii="Arial" w:hAnsi="Arial" w:cs="Arial"/>
          <w:sz w:val="22"/>
          <w:szCs w:val="22"/>
        </w:rPr>
        <w:t>2.6 Conclusion........................................</w:t>
      </w:r>
      <w:r w:rsidR="00C2502F">
        <w:rPr>
          <w:rFonts w:ascii="Arial" w:hAnsi="Arial" w:cs="Arial"/>
          <w:sz w:val="22"/>
          <w:szCs w:val="22"/>
        </w:rPr>
        <w:t>.............................................</w:t>
      </w:r>
      <w:r w:rsidR="00B75830">
        <w:rPr>
          <w:rFonts w:ascii="Arial" w:hAnsi="Arial" w:cs="Arial"/>
          <w:sz w:val="22"/>
          <w:szCs w:val="22"/>
        </w:rPr>
        <w:t>.</w:t>
      </w:r>
      <w:r w:rsidR="00C2502F">
        <w:rPr>
          <w:rFonts w:ascii="Arial" w:hAnsi="Arial" w:cs="Arial"/>
          <w:sz w:val="22"/>
          <w:szCs w:val="22"/>
        </w:rPr>
        <w:t>......</w:t>
      </w:r>
      <w:r>
        <w:rPr>
          <w:rFonts w:ascii="Arial" w:hAnsi="Arial" w:cs="Arial"/>
          <w:sz w:val="22"/>
          <w:szCs w:val="22"/>
        </w:rPr>
        <w:t>.</w:t>
      </w:r>
      <w:r w:rsidR="00652A86">
        <w:rPr>
          <w:rFonts w:ascii="Arial" w:hAnsi="Arial" w:cs="Arial"/>
          <w:sz w:val="22"/>
          <w:szCs w:val="22"/>
        </w:rPr>
        <w:t>17</w:t>
      </w:r>
    </w:p>
    <w:p w14:paraId="49393FFF" w14:textId="48B4754D" w:rsidR="005C3752" w:rsidRDefault="005C3752">
      <w:pPr>
        <w:rPr>
          <w:rFonts w:ascii="Arial" w:hAnsi="Arial" w:cs="Arial"/>
          <w:sz w:val="22"/>
          <w:szCs w:val="22"/>
        </w:rPr>
      </w:pPr>
      <w:r w:rsidRPr="009C0B7D">
        <w:rPr>
          <w:rFonts w:ascii="Arial" w:hAnsi="Arial" w:cs="Arial"/>
        </w:rPr>
        <w:t>CHAPTER 3</w:t>
      </w:r>
      <w:r>
        <w:rPr>
          <w:rFonts w:ascii="Arial" w:hAnsi="Arial" w:cs="Arial"/>
          <w:sz w:val="22"/>
          <w:szCs w:val="22"/>
        </w:rPr>
        <w:t>: Research Methodology</w:t>
      </w:r>
    </w:p>
    <w:p w14:paraId="518FF052" w14:textId="07E410B7" w:rsidR="005C3752" w:rsidRDefault="005C3752">
      <w:pPr>
        <w:rPr>
          <w:rFonts w:ascii="Arial" w:hAnsi="Arial" w:cs="Arial"/>
          <w:sz w:val="22"/>
          <w:szCs w:val="22"/>
        </w:rPr>
      </w:pPr>
      <w:r>
        <w:rPr>
          <w:rFonts w:ascii="Arial" w:hAnsi="Arial" w:cs="Arial"/>
          <w:sz w:val="22"/>
          <w:szCs w:val="22"/>
        </w:rPr>
        <w:t>3.1 Introduction.....................................</w:t>
      </w:r>
      <w:r w:rsidR="00461863">
        <w:rPr>
          <w:rFonts w:ascii="Arial" w:hAnsi="Arial" w:cs="Arial"/>
          <w:sz w:val="22"/>
          <w:szCs w:val="22"/>
        </w:rPr>
        <w:t>....................................................</w:t>
      </w:r>
      <w:r>
        <w:rPr>
          <w:rFonts w:ascii="Arial" w:hAnsi="Arial" w:cs="Arial"/>
          <w:sz w:val="22"/>
          <w:szCs w:val="22"/>
        </w:rPr>
        <w:t>...1</w:t>
      </w:r>
      <w:r w:rsidR="00652A86">
        <w:rPr>
          <w:rFonts w:ascii="Arial" w:hAnsi="Arial" w:cs="Arial"/>
          <w:sz w:val="22"/>
          <w:szCs w:val="22"/>
        </w:rPr>
        <w:t>8</w:t>
      </w:r>
    </w:p>
    <w:p w14:paraId="4BE9A14C" w14:textId="7742946B" w:rsidR="00EC1B1D" w:rsidRDefault="00EC1B1D" w:rsidP="0002072E">
      <w:pPr>
        <w:spacing w:line="360" w:lineRule="auto"/>
        <w:rPr>
          <w:rFonts w:ascii="Arial" w:eastAsia="Times New Roman" w:hAnsi="Arial" w:cs="Arial"/>
          <w:sz w:val="22"/>
          <w:szCs w:val="22"/>
        </w:rPr>
      </w:pPr>
      <w:r w:rsidRPr="00EC1B1D">
        <w:rPr>
          <w:rFonts w:ascii="Arial" w:eastAsia="Times New Roman" w:hAnsi="Arial" w:cs="Arial"/>
          <w:sz w:val="22"/>
          <w:szCs w:val="22"/>
        </w:rPr>
        <w:t>3.2 Search Strategy</w:t>
      </w:r>
      <w:r>
        <w:rPr>
          <w:rFonts w:ascii="Arial" w:eastAsia="Times New Roman" w:hAnsi="Arial" w:cs="Arial"/>
          <w:sz w:val="22"/>
          <w:szCs w:val="22"/>
        </w:rPr>
        <w:t>.................................</w:t>
      </w:r>
      <w:r w:rsidR="00461863" w:rsidRPr="00461863">
        <w:rPr>
          <w:rFonts w:ascii="Arial" w:hAnsi="Arial" w:cs="Arial"/>
          <w:sz w:val="22"/>
          <w:szCs w:val="22"/>
        </w:rPr>
        <w:t xml:space="preserve"> </w:t>
      </w:r>
      <w:r w:rsidR="00461863">
        <w:rPr>
          <w:rFonts w:ascii="Arial" w:hAnsi="Arial" w:cs="Arial"/>
          <w:sz w:val="22"/>
          <w:szCs w:val="22"/>
        </w:rPr>
        <w:t>...................................................</w:t>
      </w:r>
      <w:r>
        <w:rPr>
          <w:rFonts w:ascii="Arial" w:eastAsia="Times New Roman" w:hAnsi="Arial" w:cs="Arial"/>
          <w:sz w:val="22"/>
          <w:szCs w:val="22"/>
        </w:rPr>
        <w:t>1</w:t>
      </w:r>
      <w:r w:rsidR="00652A86">
        <w:rPr>
          <w:rFonts w:ascii="Arial" w:eastAsia="Times New Roman" w:hAnsi="Arial" w:cs="Arial"/>
          <w:sz w:val="22"/>
          <w:szCs w:val="22"/>
        </w:rPr>
        <w:t>8</w:t>
      </w:r>
    </w:p>
    <w:p w14:paraId="1CC0825A" w14:textId="74F175A6" w:rsidR="00EC1B1D" w:rsidRDefault="00EC1B1D" w:rsidP="0002072E">
      <w:pPr>
        <w:spacing w:line="360" w:lineRule="auto"/>
        <w:rPr>
          <w:rFonts w:ascii="Arial" w:eastAsia="Times New Roman" w:hAnsi="Arial" w:cs="Arial"/>
          <w:sz w:val="22"/>
          <w:szCs w:val="22"/>
        </w:rPr>
      </w:pPr>
      <w:r>
        <w:rPr>
          <w:rFonts w:ascii="Arial" w:eastAsia="Times New Roman" w:hAnsi="Arial" w:cs="Arial"/>
          <w:sz w:val="22"/>
          <w:szCs w:val="22"/>
        </w:rPr>
        <w:t>3.3 Searching for Information..................</w:t>
      </w:r>
      <w:r w:rsidR="00461863">
        <w:rPr>
          <w:rFonts w:ascii="Arial" w:hAnsi="Arial" w:cs="Arial"/>
          <w:sz w:val="22"/>
          <w:szCs w:val="22"/>
        </w:rPr>
        <w:t>....................................................</w:t>
      </w:r>
      <w:r>
        <w:rPr>
          <w:rFonts w:ascii="Arial" w:eastAsia="Times New Roman" w:hAnsi="Arial" w:cs="Arial"/>
          <w:sz w:val="22"/>
          <w:szCs w:val="22"/>
        </w:rPr>
        <w:t>1</w:t>
      </w:r>
      <w:r w:rsidR="00652A86">
        <w:rPr>
          <w:rFonts w:ascii="Arial" w:eastAsia="Times New Roman" w:hAnsi="Arial" w:cs="Arial"/>
          <w:sz w:val="22"/>
          <w:szCs w:val="22"/>
        </w:rPr>
        <w:t>9</w:t>
      </w:r>
    </w:p>
    <w:p w14:paraId="77A52A15" w14:textId="4CD5C046" w:rsidR="005C0A55" w:rsidRDefault="005C0A55" w:rsidP="0002072E">
      <w:pPr>
        <w:spacing w:line="360" w:lineRule="auto"/>
        <w:rPr>
          <w:rFonts w:ascii="Arial" w:eastAsia="Times New Roman" w:hAnsi="Arial" w:cs="Arial"/>
          <w:sz w:val="22"/>
          <w:szCs w:val="22"/>
        </w:rPr>
      </w:pPr>
      <w:r>
        <w:rPr>
          <w:rFonts w:ascii="Arial" w:eastAsia="Times New Roman" w:hAnsi="Arial" w:cs="Arial"/>
          <w:sz w:val="22"/>
          <w:szCs w:val="22"/>
        </w:rPr>
        <w:t>3.4 Research Validation........................</w:t>
      </w:r>
      <w:r w:rsidR="0007282B">
        <w:rPr>
          <w:rFonts w:ascii="Arial" w:eastAsia="Times New Roman" w:hAnsi="Arial" w:cs="Arial"/>
          <w:sz w:val="22"/>
          <w:szCs w:val="22"/>
        </w:rPr>
        <w:t>.</w:t>
      </w:r>
      <w:r>
        <w:rPr>
          <w:rFonts w:ascii="Arial" w:eastAsia="Times New Roman" w:hAnsi="Arial" w:cs="Arial"/>
          <w:sz w:val="22"/>
          <w:szCs w:val="22"/>
        </w:rPr>
        <w:t>..</w:t>
      </w:r>
      <w:r w:rsidR="00461863">
        <w:rPr>
          <w:rFonts w:ascii="Arial" w:hAnsi="Arial" w:cs="Arial"/>
          <w:sz w:val="22"/>
          <w:szCs w:val="22"/>
        </w:rPr>
        <w:t>....................................................</w:t>
      </w:r>
      <w:r w:rsidR="0007282B">
        <w:rPr>
          <w:rFonts w:ascii="Arial" w:eastAsia="Times New Roman" w:hAnsi="Arial" w:cs="Arial"/>
          <w:sz w:val="22"/>
          <w:szCs w:val="22"/>
        </w:rPr>
        <w:t>19</w:t>
      </w:r>
    </w:p>
    <w:p w14:paraId="4293FB96" w14:textId="00F7BECE" w:rsidR="00D02FF0" w:rsidRDefault="00D02FF0" w:rsidP="0002072E">
      <w:pPr>
        <w:spacing w:line="360" w:lineRule="auto"/>
        <w:rPr>
          <w:rFonts w:ascii="Arial" w:eastAsia="Times New Roman" w:hAnsi="Arial" w:cs="Arial"/>
          <w:sz w:val="22"/>
          <w:szCs w:val="22"/>
        </w:rPr>
      </w:pPr>
      <w:r>
        <w:rPr>
          <w:rFonts w:ascii="Arial" w:eastAsia="Times New Roman" w:hAnsi="Arial" w:cs="Arial"/>
          <w:sz w:val="22"/>
          <w:szCs w:val="22"/>
        </w:rPr>
        <w:t>3.5 Inclusion and Exclusion Criteria........</w:t>
      </w:r>
      <w:r w:rsidR="0007282B">
        <w:rPr>
          <w:rFonts w:ascii="Arial" w:eastAsia="Times New Roman" w:hAnsi="Arial" w:cs="Arial"/>
          <w:sz w:val="22"/>
          <w:szCs w:val="22"/>
        </w:rPr>
        <w:t>.</w:t>
      </w:r>
      <w:r w:rsidR="00BF267D">
        <w:rPr>
          <w:rFonts w:ascii="Arial" w:hAnsi="Arial" w:cs="Arial"/>
          <w:sz w:val="22"/>
          <w:szCs w:val="22"/>
        </w:rPr>
        <w:t>...................................................</w:t>
      </w:r>
      <w:r w:rsidR="0007282B">
        <w:rPr>
          <w:rFonts w:ascii="Arial" w:eastAsia="Times New Roman" w:hAnsi="Arial" w:cs="Arial"/>
          <w:sz w:val="22"/>
          <w:szCs w:val="22"/>
        </w:rPr>
        <w:t>20</w:t>
      </w:r>
    </w:p>
    <w:p w14:paraId="501D1A78" w14:textId="74FF0214" w:rsidR="00D02FF0" w:rsidRDefault="00D02FF0" w:rsidP="0002072E">
      <w:pPr>
        <w:spacing w:line="360" w:lineRule="auto"/>
        <w:rPr>
          <w:rFonts w:ascii="Arial" w:eastAsia="Times New Roman" w:hAnsi="Arial" w:cs="Arial"/>
          <w:sz w:val="22"/>
          <w:szCs w:val="22"/>
        </w:rPr>
      </w:pPr>
      <w:r>
        <w:rPr>
          <w:rFonts w:ascii="Arial" w:eastAsia="Times New Roman" w:hAnsi="Arial" w:cs="Arial"/>
          <w:sz w:val="22"/>
          <w:szCs w:val="22"/>
        </w:rPr>
        <w:t>3.6 Analysing Research..........................</w:t>
      </w:r>
      <w:r w:rsidR="0007282B">
        <w:rPr>
          <w:rFonts w:ascii="Arial" w:eastAsia="Times New Roman" w:hAnsi="Arial" w:cs="Arial"/>
          <w:sz w:val="22"/>
          <w:szCs w:val="22"/>
        </w:rPr>
        <w:t>.</w:t>
      </w:r>
      <w:r w:rsidR="00BF267D">
        <w:rPr>
          <w:rFonts w:ascii="Arial" w:hAnsi="Arial" w:cs="Arial"/>
          <w:sz w:val="22"/>
          <w:szCs w:val="22"/>
        </w:rPr>
        <w:t>....................................................</w:t>
      </w:r>
      <w:r w:rsidR="0007282B">
        <w:rPr>
          <w:rFonts w:ascii="Arial" w:eastAsia="Times New Roman" w:hAnsi="Arial" w:cs="Arial"/>
          <w:sz w:val="22"/>
          <w:szCs w:val="22"/>
        </w:rPr>
        <w:t>21</w:t>
      </w:r>
    </w:p>
    <w:p w14:paraId="471E88C9" w14:textId="1CF422D8" w:rsidR="00C9519F" w:rsidRDefault="00C9519F" w:rsidP="0002072E">
      <w:pPr>
        <w:spacing w:line="360" w:lineRule="auto"/>
        <w:rPr>
          <w:rFonts w:ascii="Arial" w:eastAsia="Times New Roman" w:hAnsi="Arial" w:cs="Arial"/>
          <w:sz w:val="22"/>
          <w:szCs w:val="22"/>
        </w:rPr>
      </w:pPr>
      <w:r>
        <w:rPr>
          <w:rFonts w:ascii="Arial" w:eastAsia="Times New Roman" w:hAnsi="Arial" w:cs="Arial"/>
          <w:sz w:val="22"/>
          <w:szCs w:val="22"/>
        </w:rPr>
        <w:t>3.7 Ethical Considerations......................</w:t>
      </w:r>
      <w:r w:rsidR="00BF267D">
        <w:rPr>
          <w:rFonts w:ascii="Arial" w:hAnsi="Arial" w:cs="Arial"/>
          <w:sz w:val="22"/>
          <w:szCs w:val="22"/>
        </w:rPr>
        <w:t>....................................................</w:t>
      </w:r>
      <w:r w:rsidR="00270730">
        <w:rPr>
          <w:rFonts w:ascii="Arial" w:eastAsia="Times New Roman" w:hAnsi="Arial" w:cs="Arial"/>
          <w:sz w:val="22"/>
          <w:szCs w:val="22"/>
        </w:rPr>
        <w:t>.21</w:t>
      </w:r>
    </w:p>
    <w:p w14:paraId="282D55BB" w14:textId="15D003E0" w:rsidR="00C9519F" w:rsidRDefault="00C9519F" w:rsidP="0002072E">
      <w:pPr>
        <w:spacing w:line="360" w:lineRule="auto"/>
        <w:rPr>
          <w:rFonts w:ascii="Arial" w:eastAsia="Times New Roman" w:hAnsi="Arial" w:cs="Arial"/>
          <w:sz w:val="22"/>
          <w:szCs w:val="22"/>
        </w:rPr>
      </w:pPr>
      <w:r>
        <w:rPr>
          <w:rFonts w:ascii="Arial" w:eastAsia="Times New Roman" w:hAnsi="Arial" w:cs="Arial"/>
          <w:sz w:val="22"/>
          <w:szCs w:val="22"/>
        </w:rPr>
        <w:t>3.8 Chapter Conclusion.....................</w:t>
      </w:r>
      <w:r w:rsidR="00270730">
        <w:rPr>
          <w:rFonts w:ascii="Arial" w:eastAsia="Times New Roman" w:hAnsi="Arial" w:cs="Arial"/>
          <w:sz w:val="22"/>
          <w:szCs w:val="22"/>
        </w:rPr>
        <w:t>.</w:t>
      </w:r>
      <w:r>
        <w:rPr>
          <w:rFonts w:ascii="Arial" w:eastAsia="Times New Roman" w:hAnsi="Arial" w:cs="Arial"/>
          <w:sz w:val="22"/>
          <w:szCs w:val="22"/>
        </w:rPr>
        <w:t>.....</w:t>
      </w:r>
      <w:r w:rsidR="00BF267D">
        <w:rPr>
          <w:rFonts w:ascii="Arial" w:hAnsi="Arial" w:cs="Arial"/>
          <w:sz w:val="22"/>
          <w:szCs w:val="22"/>
        </w:rPr>
        <w:t>....................................................</w:t>
      </w:r>
      <w:r w:rsidR="00270730">
        <w:rPr>
          <w:rFonts w:ascii="Arial" w:eastAsia="Times New Roman" w:hAnsi="Arial" w:cs="Arial"/>
          <w:sz w:val="22"/>
          <w:szCs w:val="22"/>
        </w:rPr>
        <w:t>22</w:t>
      </w:r>
    </w:p>
    <w:p w14:paraId="528429BA" w14:textId="677C0D11" w:rsidR="00C9519F" w:rsidRDefault="00C9519F" w:rsidP="0002072E">
      <w:pPr>
        <w:spacing w:line="360" w:lineRule="auto"/>
        <w:rPr>
          <w:rFonts w:ascii="Arial" w:eastAsia="Times New Roman" w:hAnsi="Arial" w:cs="Arial"/>
          <w:sz w:val="22"/>
          <w:szCs w:val="22"/>
        </w:rPr>
      </w:pPr>
      <w:r w:rsidRPr="006D4996">
        <w:rPr>
          <w:rFonts w:ascii="Arial" w:eastAsia="Times New Roman" w:hAnsi="Arial" w:cs="Arial"/>
        </w:rPr>
        <w:t>C</w:t>
      </w:r>
      <w:r w:rsidR="006D4996" w:rsidRPr="006D4996">
        <w:rPr>
          <w:rFonts w:ascii="Arial" w:eastAsia="Times New Roman" w:hAnsi="Arial" w:cs="Arial"/>
        </w:rPr>
        <w:t>HAPTER</w:t>
      </w:r>
      <w:r w:rsidRPr="006D4996">
        <w:rPr>
          <w:rFonts w:ascii="Arial" w:eastAsia="Times New Roman" w:hAnsi="Arial" w:cs="Arial"/>
          <w:sz w:val="28"/>
          <w:szCs w:val="28"/>
        </w:rPr>
        <w:t xml:space="preserve"> 4</w:t>
      </w:r>
      <w:r w:rsidRPr="00527A79">
        <w:rPr>
          <w:rFonts w:ascii="Arial" w:eastAsia="Times New Roman" w:hAnsi="Arial" w:cs="Arial"/>
        </w:rPr>
        <w:t>:</w:t>
      </w:r>
      <w:r>
        <w:rPr>
          <w:rFonts w:ascii="Arial" w:eastAsia="Times New Roman" w:hAnsi="Arial" w:cs="Arial"/>
          <w:sz w:val="22"/>
          <w:szCs w:val="22"/>
        </w:rPr>
        <w:t xml:space="preserve"> Findings and Discussions </w:t>
      </w:r>
    </w:p>
    <w:p w14:paraId="2EA17B31" w14:textId="4C13A5FD" w:rsidR="00AC4DB8" w:rsidRDefault="00AC4DB8" w:rsidP="0002072E">
      <w:pPr>
        <w:spacing w:line="360" w:lineRule="auto"/>
        <w:rPr>
          <w:rFonts w:ascii="Arial" w:eastAsia="Times New Roman" w:hAnsi="Arial" w:cs="Arial"/>
          <w:sz w:val="22"/>
          <w:szCs w:val="22"/>
        </w:rPr>
      </w:pPr>
      <w:r>
        <w:rPr>
          <w:rFonts w:ascii="Arial" w:eastAsia="Times New Roman" w:hAnsi="Arial" w:cs="Arial"/>
          <w:sz w:val="22"/>
          <w:szCs w:val="22"/>
        </w:rPr>
        <w:t>4.1:  Introduction..............................</w:t>
      </w:r>
      <w:r w:rsidR="00270730">
        <w:rPr>
          <w:rFonts w:ascii="Arial" w:eastAsia="Times New Roman" w:hAnsi="Arial" w:cs="Arial"/>
          <w:sz w:val="22"/>
          <w:szCs w:val="22"/>
        </w:rPr>
        <w:t>.</w:t>
      </w:r>
      <w:r>
        <w:rPr>
          <w:rFonts w:ascii="Arial" w:eastAsia="Times New Roman" w:hAnsi="Arial" w:cs="Arial"/>
          <w:sz w:val="22"/>
          <w:szCs w:val="22"/>
        </w:rPr>
        <w:t>......</w:t>
      </w:r>
      <w:r w:rsidR="00F27429">
        <w:rPr>
          <w:rFonts w:ascii="Arial" w:hAnsi="Arial" w:cs="Arial"/>
          <w:sz w:val="22"/>
          <w:szCs w:val="22"/>
        </w:rPr>
        <w:t>....................................................</w:t>
      </w:r>
      <w:r>
        <w:rPr>
          <w:rFonts w:ascii="Arial" w:eastAsia="Times New Roman" w:hAnsi="Arial" w:cs="Arial"/>
          <w:sz w:val="22"/>
          <w:szCs w:val="22"/>
        </w:rPr>
        <w:t>.2</w:t>
      </w:r>
      <w:r w:rsidR="00270730">
        <w:rPr>
          <w:rFonts w:ascii="Arial" w:eastAsia="Times New Roman" w:hAnsi="Arial" w:cs="Arial"/>
          <w:sz w:val="22"/>
          <w:szCs w:val="22"/>
        </w:rPr>
        <w:t>3</w:t>
      </w:r>
    </w:p>
    <w:p w14:paraId="1AED05B9" w14:textId="1C3E0215" w:rsidR="00AC4DB8" w:rsidRDefault="00AC4DB8" w:rsidP="0002072E">
      <w:pPr>
        <w:spacing w:line="360" w:lineRule="auto"/>
        <w:rPr>
          <w:rFonts w:ascii="Arial" w:eastAsia="Times New Roman" w:hAnsi="Arial" w:cs="Arial"/>
          <w:sz w:val="22"/>
          <w:szCs w:val="22"/>
        </w:rPr>
      </w:pPr>
      <w:r>
        <w:rPr>
          <w:rFonts w:ascii="Arial" w:eastAsia="Times New Roman" w:hAnsi="Arial" w:cs="Arial"/>
          <w:sz w:val="22"/>
          <w:szCs w:val="22"/>
        </w:rPr>
        <w:t>4.2: Thematic Analysis</w:t>
      </w:r>
      <w:r w:rsidR="004A40C3">
        <w:rPr>
          <w:rFonts w:ascii="Arial" w:eastAsia="Times New Roman" w:hAnsi="Arial" w:cs="Arial"/>
          <w:sz w:val="22"/>
          <w:szCs w:val="22"/>
        </w:rPr>
        <w:t>.........................</w:t>
      </w:r>
      <w:r w:rsidR="00982045">
        <w:rPr>
          <w:rFonts w:ascii="Arial" w:eastAsia="Times New Roman" w:hAnsi="Arial" w:cs="Arial"/>
          <w:sz w:val="22"/>
          <w:szCs w:val="22"/>
        </w:rPr>
        <w:t>.</w:t>
      </w:r>
      <w:r w:rsidR="004A40C3">
        <w:rPr>
          <w:rFonts w:ascii="Arial" w:eastAsia="Times New Roman" w:hAnsi="Arial" w:cs="Arial"/>
          <w:sz w:val="22"/>
          <w:szCs w:val="22"/>
        </w:rPr>
        <w:t>..</w:t>
      </w:r>
      <w:r w:rsidR="00982045">
        <w:rPr>
          <w:rFonts w:ascii="Arial" w:eastAsia="Times New Roman" w:hAnsi="Arial" w:cs="Arial"/>
          <w:sz w:val="22"/>
          <w:szCs w:val="22"/>
        </w:rPr>
        <w:t>.</w:t>
      </w:r>
      <w:r w:rsidR="00F27429">
        <w:rPr>
          <w:rFonts w:ascii="Arial" w:hAnsi="Arial" w:cs="Arial"/>
          <w:sz w:val="22"/>
          <w:szCs w:val="22"/>
        </w:rPr>
        <w:t>....................................................</w:t>
      </w:r>
      <w:r w:rsidR="00982045">
        <w:rPr>
          <w:rFonts w:ascii="Arial" w:eastAsia="Times New Roman" w:hAnsi="Arial" w:cs="Arial"/>
          <w:sz w:val="22"/>
          <w:szCs w:val="22"/>
        </w:rPr>
        <w:t>23</w:t>
      </w:r>
    </w:p>
    <w:p w14:paraId="5F269635" w14:textId="313D3BB7" w:rsidR="004A40C3" w:rsidRDefault="004A40C3" w:rsidP="0002072E">
      <w:pPr>
        <w:spacing w:line="360" w:lineRule="auto"/>
        <w:rPr>
          <w:rFonts w:ascii="Arial" w:eastAsia="Times New Roman" w:hAnsi="Arial" w:cs="Arial"/>
          <w:sz w:val="22"/>
          <w:szCs w:val="22"/>
        </w:rPr>
      </w:pPr>
      <w:r>
        <w:rPr>
          <w:rFonts w:ascii="Arial" w:eastAsia="Times New Roman" w:hAnsi="Arial" w:cs="Arial"/>
          <w:sz w:val="22"/>
          <w:szCs w:val="22"/>
        </w:rPr>
        <w:lastRenderedPageBreak/>
        <w:t>4.3: Theme 1: Workplace Stress and Burnout</w:t>
      </w:r>
      <w:r w:rsidR="00476993">
        <w:rPr>
          <w:rFonts w:ascii="Arial" w:eastAsia="Times New Roman" w:hAnsi="Arial" w:cs="Arial"/>
          <w:sz w:val="22"/>
          <w:szCs w:val="22"/>
        </w:rPr>
        <w:t>....</w:t>
      </w:r>
      <w:r w:rsidR="00F27429">
        <w:rPr>
          <w:rFonts w:ascii="Arial" w:hAnsi="Arial" w:cs="Arial"/>
          <w:sz w:val="22"/>
          <w:szCs w:val="22"/>
        </w:rPr>
        <w:t>........................................</w:t>
      </w:r>
      <w:r w:rsidR="00476993">
        <w:rPr>
          <w:rFonts w:ascii="Arial" w:eastAsia="Times New Roman" w:hAnsi="Arial" w:cs="Arial"/>
          <w:sz w:val="22"/>
          <w:szCs w:val="22"/>
        </w:rPr>
        <w:t>..</w:t>
      </w:r>
      <w:r w:rsidR="00982045">
        <w:rPr>
          <w:rFonts w:ascii="Arial" w:eastAsia="Times New Roman" w:hAnsi="Arial" w:cs="Arial"/>
          <w:sz w:val="22"/>
          <w:szCs w:val="22"/>
        </w:rPr>
        <w:t>24</w:t>
      </w:r>
    </w:p>
    <w:p w14:paraId="3FBFF54D" w14:textId="7A9D885B" w:rsidR="00EF1778" w:rsidRPr="00972754" w:rsidRDefault="00972754" w:rsidP="00D60867">
      <w:pPr>
        <w:pStyle w:val="ListParagraph"/>
        <w:numPr>
          <w:ilvl w:val="0"/>
          <w:numId w:val="9"/>
        </w:numPr>
        <w:spacing w:line="360" w:lineRule="auto"/>
        <w:rPr>
          <w:rFonts w:ascii="Arial" w:eastAsia="Times New Roman" w:hAnsi="Arial" w:cs="Arial"/>
          <w:sz w:val="22"/>
          <w:szCs w:val="22"/>
        </w:rPr>
      </w:pPr>
      <w:r>
        <w:rPr>
          <w:rFonts w:ascii="Arial" w:eastAsia="Times New Roman" w:hAnsi="Arial" w:cs="Arial"/>
          <w:sz w:val="22"/>
          <w:szCs w:val="22"/>
        </w:rPr>
        <w:t>Definition</w:t>
      </w:r>
    </w:p>
    <w:p w14:paraId="0DB27554" w14:textId="38308E32" w:rsidR="000C7920" w:rsidRDefault="000C7920" w:rsidP="00D60867">
      <w:pPr>
        <w:pStyle w:val="ListParagraph"/>
        <w:numPr>
          <w:ilvl w:val="0"/>
          <w:numId w:val="9"/>
        </w:numPr>
        <w:spacing w:line="360" w:lineRule="auto"/>
        <w:rPr>
          <w:rFonts w:ascii="Arial" w:eastAsia="Times New Roman" w:hAnsi="Arial" w:cs="Arial"/>
          <w:sz w:val="22"/>
          <w:szCs w:val="22"/>
        </w:rPr>
      </w:pPr>
      <w:r>
        <w:rPr>
          <w:rFonts w:ascii="Arial" w:eastAsia="Times New Roman" w:hAnsi="Arial" w:cs="Arial"/>
          <w:sz w:val="22"/>
          <w:szCs w:val="22"/>
        </w:rPr>
        <w:t>Background Information</w:t>
      </w:r>
    </w:p>
    <w:p w14:paraId="5EE3D4A1" w14:textId="6FEEBF09" w:rsidR="000C7920" w:rsidRDefault="00972754" w:rsidP="00D60867">
      <w:pPr>
        <w:pStyle w:val="ListParagraph"/>
        <w:numPr>
          <w:ilvl w:val="0"/>
          <w:numId w:val="9"/>
        </w:numPr>
        <w:spacing w:line="360" w:lineRule="auto"/>
        <w:rPr>
          <w:rFonts w:ascii="Arial" w:eastAsia="Times New Roman" w:hAnsi="Arial" w:cs="Arial"/>
          <w:sz w:val="22"/>
          <w:szCs w:val="22"/>
        </w:rPr>
      </w:pPr>
      <w:r>
        <w:rPr>
          <w:rFonts w:ascii="Arial" w:eastAsia="Times New Roman" w:hAnsi="Arial" w:cs="Arial"/>
          <w:sz w:val="22"/>
          <w:szCs w:val="22"/>
        </w:rPr>
        <w:t>Impact on Research Question</w:t>
      </w:r>
    </w:p>
    <w:p w14:paraId="37331D6E" w14:textId="040C6171" w:rsidR="00972754" w:rsidRDefault="00CC3303" w:rsidP="00D60867">
      <w:pPr>
        <w:pStyle w:val="ListParagraph"/>
        <w:numPr>
          <w:ilvl w:val="0"/>
          <w:numId w:val="9"/>
        </w:numPr>
        <w:spacing w:line="360" w:lineRule="auto"/>
        <w:rPr>
          <w:rFonts w:ascii="Arial" w:eastAsia="Times New Roman" w:hAnsi="Arial" w:cs="Arial"/>
          <w:sz w:val="22"/>
          <w:szCs w:val="22"/>
        </w:rPr>
      </w:pPr>
      <w:r>
        <w:rPr>
          <w:rFonts w:ascii="Arial" w:eastAsia="Times New Roman" w:hAnsi="Arial" w:cs="Arial"/>
          <w:sz w:val="22"/>
          <w:szCs w:val="22"/>
        </w:rPr>
        <w:t>Statistical Information</w:t>
      </w:r>
    </w:p>
    <w:p w14:paraId="0ADA4491" w14:textId="7B75C191" w:rsidR="00CC3303" w:rsidRDefault="00CC3303" w:rsidP="00D60867">
      <w:pPr>
        <w:pStyle w:val="ListParagraph"/>
        <w:numPr>
          <w:ilvl w:val="0"/>
          <w:numId w:val="9"/>
        </w:numPr>
        <w:spacing w:line="360" w:lineRule="auto"/>
        <w:rPr>
          <w:rFonts w:ascii="Arial" w:eastAsia="Times New Roman" w:hAnsi="Arial" w:cs="Arial"/>
          <w:sz w:val="22"/>
          <w:szCs w:val="22"/>
        </w:rPr>
      </w:pPr>
      <w:r>
        <w:rPr>
          <w:rFonts w:ascii="Arial" w:eastAsia="Times New Roman" w:hAnsi="Arial" w:cs="Arial"/>
          <w:sz w:val="22"/>
          <w:szCs w:val="22"/>
        </w:rPr>
        <w:t>Theories, Policies, and Legislation</w:t>
      </w:r>
    </w:p>
    <w:p w14:paraId="799C440A" w14:textId="41D1097E" w:rsidR="00CC3303" w:rsidRDefault="00900726" w:rsidP="00D60867">
      <w:pPr>
        <w:pStyle w:val="ListParagraph"/>
        <w:numPr>
          <w:ilvl w:val="0"/>
          <w:numId w:val="9"/>
        </w:numPr>
        <w:spacing w:line="360" w:lineRule="auto"/>
        <w:rPr>
          <w:rFonts w:ascii="Arial" w:eastAsia="Times New Roman" w:hAnsi="Arial" w:cs="Arial"/>
          <w:sz w:val="22"/>
          <w:szCs w:val="22"/>
        </w:rPr>
      </w:pPr>
      <w:r>
        <w:rPr>
          <w:rFonts w:ascii="Arial" w:eastAsia="Times New Roman" w:hAnsi="Arial" w:cs="Arial"/>
          <w:sz w:val="22"/>
          <w:szCs w:val="22"/>
        </w:rPr>
        <w:t>Policy and Legislation</w:t>
      </w:r>
    </w:p>
    <w:p w14:paraId="659F3CC5" w14:textId="2D575D93" w:rsidR="00900726" w:rsidRDefault="00900726" w:rsidP="00D60867">
      <w:pPr>
        <w:pStyle w:val="ListParagraph"/>
        <w:numPr>
          <w:ilvl w:val="0"/>
          <w:numId w:val="9"/>
        </w:numPr>
        <w:spacing w:line="360" w:lineRule="auto"/>
        <w:rPr>
          <w:rFonts w:ascii="Arial" w:eastAsia="Times New Roman" w:hAnsi="Arial" w:cs="Arial"/>
          <w:sz w:val="22"/>
          <w:szCs w:val="22"/>
        </w:rPr>
      </w:pPr>
      <w:r>
        <w:rPr>
          <w:rFonts w:ascii="Arial" w:eastAsia="Times New Roman" w:hAnsi="Arial" w:cs="Arial"/>
          <w:sz w:val="22"/>
          <w:szCs w:val="22"/>
        </w:rPr>
        <w:t xml:space="preserve">Implications </w:t>
      </w:r>
    </w:p>
    <w:p w14:paraId="20AA9F40" w14:textId="7FE676AF" w:rsidR="00900726" w:rsidRDefault="00900726" w:rsidP="00D60867">
      <w:pPr>
        <w:pStyle w:val="ListParagraph"/>
        <w:numPr>
          <w:ilvl w:val="0"/>
          <w:numId w:val="9"/>
        </w:numPr>
        <w:spacing w:line="360" w:lineRule="auto"/>
        <w:rPr>
          <w:rFonts w:ascii="Arial" w:eastAsia="Times New Roman" w:hAnsi="Arial" w:cs="Arial"/>
          <w:sz w:val="22"/>
          <w:szCs w:val="22"/>
        </w:rPr>
      </w:pPr>
      <w:r>
        <w:rPr>
          <w:rFonts w:ascii="Arial" w:eastAsia="Times New Roman" w:hAnsi="Arial" w:cs="Arial"/>
          <w:sz w:val="22"/>
          <w:szCs w:val="22"/>
        </w:rPr>
        <w:t>Examples from Reviewed Articles</w:t>
      </w:r>
    </w:p>
    <w:p w14:paraId="6344DDD1" w14:textId="3A526520" w:rsidR="00900726" w:rsidRDefault="00900726" w:rsidP="00D60867">
      <w:pPr>
        <w:pStyle w:val="ListParagraph"/>
        <w:numPr>
          <w:ilvl w:val="0"/>
          <w:numId w:val="9"/>
        </w:numPr>
        <w:spacing w:line="360" w:lineRule="auto"/>
        <w:rPr>
          <w:rFonts w:ascii="Arial" w:eastAsia="Times New Roman" w:hAnsi="Arial" w:cs="Arial"/>
          <w:sz w:val="22"/>
          <w:szCs w:val="22"/>
        </w:rPr>
      </w:pPr>
      <w:r>
        <w:rPr>
          <w:rFonts w:ascii="Arial" w:eastAsia="Times New Roman" w:hAnsi="Arial" w:cs="Arial"/>
          <w:sz w:val="22"/>
          <w:szCs w:val="22"/>
        </w:rPr>
        <w:t xml:space="preserve">Connections to </w:t>
      </w:r>
      <w:r w:rsidR="00317B4D">
        <w:rPr>
          <w:rFonts w:ascii="Arial" w:eastAsia="Times New Roman" w:hAnsi="Arial" w:cs="Arial"/>
          <w:sz w:val="22"/>
          <w:szCs w:val="22"/>
        </w:rPr>
        <w:t>O</w:t>
      </w:r>
      <w:r>
        <w:rPr>
          <w:rFonts w:ascii="Arial" w:eastAsia="Times New Roman" w:hAnsi="Arial" w:cs="Arial"/>
          <w:sz w:val="22"/>
          <w:szCs w:val="22"/>
        </w:rPr>
        <w:t xml:space="preserve">ther Themes </w:t>
      </w:r>
    </w:p>
    <w:p w14:paraId="08A0433F" w14:textId="0E18BCBC" w:rsidR="00AF1281" w:rsidRPr="00AF1281" w:rsidRDefault="00317B4D" w:rsidP="00D60867">
      <w:pPr>
        <w:pStyle w:val="ListParagraph"/>
        <w:numPr>
          <w:ilvl w:val="0"/>
          <w:numId w:val="9"/>
        </w:numPr>
        <w:spacing w:line="360" w:lineRule="auto"/>
        <w:rPr>
          <w:rFonts w:ascii="Arial" w:eastAsia="Times New Roman" w:hAnsi="Arial" w:cs="Arial"/>
          <w:sz w:val="22"/>
          <w:szCs w:val="22"/>
        </w:rPr>
      </w:pPr>
      <w:r>
        <w:rPr>
          <w:rFonts w:ascii="Arial" w:eastAsia="Times New Roman" w:hAnsi="Arial" w:cs="Arial"/>
          <w:sz w:val="22"/>
          <w:szCs w:val="22"/>
        </w:rPr>
        <w:t xml:space="preserve">Evaluation </w:t>
      </w:r>
    </w:p>
    <w:p w14:paraId="2180ACC0" w14:textId="7522D122" w:rsidR="00E517D5" w:rsidRDefault="00AF1281" w:rsidP="0002072E">
      <w:pPr>
        <w:spacing w:line="360" w:lineRule="auto"/>
        <w:rPr>
          <w:rFonts w:ascii="Arial" w:eastAsia="Times New Roman" w:hAnsi="Arial" w:cs="Arial"/>
          <w:sz w:val="22"/>
          <w:szCs w:val="22"/>
        </w:rPr>
      </w:pPr>
      <w:r>
        <w:rPr>
          <w:rFonts w:ascii="Arial" w:eastAsia="Times New Roman" w:hAnsi="Arial" w:cs="Arial"/>
          <w:sz w:val="22"/>
          <w:szCs w:val="22"/>
        </w:rPr>
        <w:t>4.4: Theme 2: Emotional and Psychological Impact on Healthcare Workers</w:t>
      </w:r>
      <w:r w:rsidR="00430BFD">
        <w:rPr>
          <w:rFonts w:ascii="Arial" w:eastAsia="Times New Roman" w:hAnsi="Arial" w:cs="Arial"/>
          <w:sz w:val="22"/>
          <w:szCs w:val="22"/>
        </w:rPr>
        <w:t>......</w:t>
      </w:r>
      <w:r w:rsidR="00A77851">
        <w:rPr>
          <w:rFonts w:ascii="Arial" w:eastAsia="Times New Roman" w:hAnsi="Arial" w:cs="Arial"/>
          <w:sz w:val="22"/>
          <w:szCs w:val="22"/>
        </w:rPr>
        <w:t>.</w:t>
      </w:r>
      <w:r w:rsidR="00430BFD">
        <w:rPr>
          <w:rFonts w:ascii="Arial" w:eastAsia="Times New Roman" w:hAnsi="Arial" w:cs="Arial"/>
          <w:sz w:val="22"/>
          <w:szCs w:val="22"/>
        </w:rPr>
        <w:t>2</w:t>
      </w:r>
      <w:r w:rsidR="00A77851">
        <w:rPr>
          <w:rFonts w:ascii="Arial" w:eastAsia="Times New Roman" w:hAnsi="Arial" w:cs="Arial"/>
          <w:sz w:val="22"/>
          <w:szCs w:val="22"/>
        </w:rPr>
        <w:t>8</w:t>
      </w:r>
    </w:p>
    <w:p w14:paraId="213A0C64" w14:textId="249C76A7" w:rsidR="00AF1281" w:rsidRPr="00E517D5" w:rsidRDefault="00AF1281" w:rsidP="00E517D5">
      <w:pPr>
        <w:pStyle w:val="ListParagraph"/>
        <w:numPr>
          <w:ilvl w:val="0"/>
          <w:numId w:val="8"/>
        </w:numPr>
        <w:spacing w:line="360" w:lineRule="auto"/>
        <w:rPr>
          <w:rFonts w:ascii="Arial" w:eastAsia="Times New Roman" w:hAnsi="Arial" w:cs="Arial"/>
          <w:sz w:val="22"/>
          <w:szCs w:val="22"/>
        </w:rPr>
      </w:pPr>
      <w:r w:rsidRPr="00E517D5">
        <w:rPr>
          <w:rFonts w:ascii="Arial" w:eastAsia="Times New Roman" w:hAnsi="Arial" w:cs="Arial"/>
          <w:sz w:val="22"/>
          <w:szCs w:val="22"/>
        </w:rPr>
        <w:t>Definition</w:t>
      </w:r>
    </w:p>
    <w:p w14:paraId="75B7CE99" w14:textId="4F73310A" w:rsidR="00AF1281" w:rsidRPr="00AF1281" w:rsidRDefault="00AF1281" w:rsidP="0002072E">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Background Information</w:t>
      </w:r>
    </w:p>
    <w:p w14:paraId="2028980C" w14:textId="5E3C690F" w:rsidR="00AF1281" w:rsidRPr="00AF1281" w:rsidRDefault="00AF1281" w:rsidP="0002072E">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Impact on Research Question</w:t>
      </w:r>
    </w:p>
    <w:p w14:paraId="3653FF10" w14:textId="635F4335" w:rsidR="00AF1281" w:rsidRPr="00AF1281" w:rsidRDefault="00AF1281" w:rsidP="0002072E">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Statistical Information</w:t>
      </w:r>
    </w:p>
    <w:p w14:paraId="1C8571C5" w14:textId="7DC20371" w:rsidR="00AF1281" w:rsidRPr="00AF1281" w:rsidRDefault="00AF1281" w:rsidP="0002072E">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Theories, Policies, and Legislation</w:t>
      </w:r>
    </w:p>
    <w:p w14:paraId="7694FF96" w14:textId="4524CC57" w:rsidR="00AF1281" w:rsidRPr="00AF1281" w:rsidRDefault="00AF1281" w:rsidP="0002072E">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Policy and Legislation</w:t>
      </w:r>
    </w:p>
    <w:p w14:paraId="170CEB59" w14:textId="74250238" w:rsidR="00AF1281" w:rsidRPr="00AF1281" w:rsidRDefault="00AF1281" w:rsidP="0002072E">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 xml:space="preserve">Implications </w:t>
      </w:r>
    </w:p>
    <w:p w14:paraId="1E5F313C" w14:textId="77777777" w:rsidR="00AF1281" w:rsidRDefault="00AF1281" w:rsidP="00AF1281">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Examples from Reviewed Articles</w:t>
      </w:r>
    </w:p>
    <w:p w14:paraId="7CA610B1" w14:textId="03603F0B" w:rsidR="00AF1281" w:rsidRPr="00AF1281" w:rsidRDefault="00AF1281" w:rsidP="00AF1281">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Connections to Other Themes</w:t>
      </w:r>
    </w:p>
    <w:p w14:paraId="09DB49D8" w14:textId="20CA571C" w:rsidR="00AF1281" w:rsidRPr="00AF1281" w:rsidRDefault="00AF1281" w:rsidP="00AF1281">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 xml:space="preserve">Evaluation </w:t>
      </w:r>
    </w:p>
    <w:p w14:paraId="3CAC9A64" w14:textId="203F0413" w:rsidR="00AF1281" w:rsidRDefault="00025984" w:rsidP="0002072E">
      <w:pPr>
        <w:spacing w:line="360" w:lineRule="auto"/>
        <w:rPr>
          <w:rFonts w:ascii="Arial" w:eastAsia="Times New Roman" w:hAnsi="Arial" w:cs="Arial"/>
          <w:sz w:val="22"/>
          <w:szCs w:val="22"/>
        </w:rPr>
      </w:pPr>
      <w:r>
        <w:rPr>
          <w:rFonts w:ascii="Arial" w:eastAsia="Times New Roman" w:hAnsi="Arial" w:cs="Arial"/>
          <w:sz w:val="22"/>
          <w:szCs w:val="22"/>
        </w:rPr>
        <w:t>4.5: Theme 3: Organisational Support, Leadership, and Interventions</w:t>
      </w:r>
      <w:r w:rsidR="00430BFD">
        <w:rPr>
          <w:rFonts w:ascii="Arial" w:eastAsia="Times New Roman" w:hAnsi="Arial" w:cs="Arial"/>
          <w:sz w:val="22"/>
          <w:szCs w:val="22"/>
        </w:rPr>
        <w:t>.</w:t>
      </w:r>
      <w:r w:rsidR="00412C00">
        <w:rPr>
          <w:rFonts w:ascii="Arial" w:eastAsia="Times New Roman" w:hAnsi="Arial" w:cs="Arial"/>
          <w:sz w:val="22"/>
          <w:szCs w:val="22"/>
        </w:rPr>
        <w:t>......</w:t>
      </w:r>
      <w:r w:rsidR="00430BFD">
        <w:rPr>
          <w:rFonts w:ascii="Arial" w:eastAsia="Times New Roman" w:hAnsi="Arial" w:cs="Arial"/>
          <w:sz w:val="22"/>
          <w:szCs w:val="22"/>
        </w:rPr>
        <w:t>.....33</w:t>
      </w:r>
    </w:p>
    <w:p w14:paraId="39AE46C0" w14:textId="77777777" w:rsidR="00025984" w:rsidRPr="00E517D5" w:rsidRDefault="00025984" w:rsidP="00025984">
      <w:pPr>
        <w:pStyle w:val="ListParagraph"/>
        <w:numPr>
          <w:ilvl w:val="0"/>
          <w:numId w:val="8"/>
        </w:numPr>
        <w:spacing w:line="360" w:lineRule="auto"/>
        <w:rPr>
          <w:rFonts w:ascii="Arial" w:eastAsia="Times New Roman" w:hAnsi="Arial" w:cs="Arial"/>
          <w:sz w:val="22"/>
          <w:szCs w:val="22"/>
        </w:rPr>
      </w:pPr>
      <w:r w:rsidRPr="00E517D5">
        <w:rPr>
          <w:rFonts w:ascii="Arial" w:eastAsia="Times New Roman" w:hAnsi="Arial" w:cs="Arial"/>
          <w:sz w:val="22"/>
          <w:szCs w:val="22"/>
        </w:rPr>
        <w:t>Definition</w:t>
      </w:r>
    </w:p>
    <w:p w14:paraId="6DDCF71C" w14:textId="77777777" w:rsidR="00025984" w:rsidRPr="00AF1281" w:rsidRDefault="00025984" w:rsidP="00025984">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Background Information</w:t>
      </w:r>
    </w:p>
    <w:p w14:paraId="5100D253" w14:textId="77777777" w:rsidR="00025984" w:rsidRPr="00AF1281" w:rsidRDefault="00025984" w:rsidP="00025984">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Impact on Research Question</w:t>
      </w:r>
    </w:p>
    <w:p w14:paraId="27919C3C" w14:textId="77777777" w:rsidR="00025984" w:rsidRPr="00AF1281" w:rsidRDefault="00025984" w:rsidP="00025984">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Statistical Information</w:t>
      </w:r>
    </w:p>
    <w:p w14:paraId="18237AB9" w14:textId="77777777" w:rsidR="00025984" w:rsidRPr="00AF1281" w:rsidRDefault="00025984" w:rsidP="00025984">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Theories, Policies, and Legislation</w:t>
      </w:r>
    </w:p>
    <w:p w14:paraId="2427C547" w14:textId="77777777" w:rsidR="00025984" w:rsidRPr="00AF1281" w:rsidRDefault="00025984" w:rsidP="00025984">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Policy and Legislation</w:t>
      </w:r>
    </w:p>
    <w:p w14:paraId="24C805DE" w14:textId="77777777" w:rsidR="00025984" w:rsidRPr="00AF1281" w:rsidRDefault="00025984" w:rsidP="00025984">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 xml:space="preserve">Implications </w:t>
      </w:r>
    </w:p>
    <w:p w14:paraId="2895DDA8" w14:textId="77777777" w:rsidR="00025984" w:rsidRDefault="00025984" w:rsidP="00025984">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Examples from Reviewed Articles</w:t>
      </w:r>
    </w:p>
    <w:p w14:paraId="18653EDD" w14:textId="77777777" w:rsidR="00025984" w:rsidRPr="00AF1281" w:rsidRDefault="00025984" w:rsidP="00025984">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Connections to Other Themes</w:t>
      </w:r>
    </w:p>
    <w:p w14:paraId="7F296D09" w14:textId="77777777" w:rsidR="00025984" w:rsidRDefault="00025984" w:rsidP="00025984">
      <w:pPr>
        <w:pStyle w:val="ListParagraph"/>
        <w:numPr>
          <w:ilvl w:val="0"/>
          <w:numId w:val="7"/>
        </w:numPr>
        <w:spacing w:line="360" w:lineRule="auto"/>
        <w:rPr>
          <w:rFonts w:ascii="Arial" w:eastAsia="Times New Roman" w:hAnsi="Arial" w:cs="Arial"/>
          <w:sz w:val="22"/>
          <w:szCs w:val="22"/>
        </w:rPr>
      </w:pPr>
      <w:r w:rsidRPr="00AF1281">
        <w:rPr>
          <w:rFonts w:ascii="Arial" w:eastAsia="Times New Roman" w:hAnsi="Arial" w:cs="Arial"/>
          <w:sz w:val="22"/>
          <w:szCs w:val="22"/>
        </w:rPr>
        <w:t xml:space="preserve">Evaluation </w:t>
      </w:r>
    </w:p>
    <w:p w14:paraId="565B21DC" w14:textId="18172DFC" w:rsidR="00A77851" w:rsidRDefault="00CA2BF6" w:rsidP="00CA2BF6">
      <w:pPr>
        <w:spacing w:line="360" w:lineRule="auto"/>
        <w:rPr>
          <w:rFonts w:ascii="Arial" w:hAnsi="Arial" w:cs="Arial"/>
          <w:sz w:val="22"/>
          <w:szCs w:val="22"/>
        </w:rPr>
      </w:pPr>
      <w:r w:rsidRPr="00CA2BF6">
        <w:rPr>
          <w:rFonts w:ascii="Arial" w:hAnsi="Arial" w:cs="Arial"/>
          <w:sz w:val="22"/>
          <w:szCs w:val="22"/>
        </w:rPr>
        <w:t>4.6: Conclusion</w:t>
      </w:r>
      <w:r w:rsidR="00A77851">
        <w:rPr>
          <w:rFonts w:ascii="Arial" w:hAnsi="Arial" w:cs="Arial"/>
          <w:sz w:val="22"/>
          <w:szCs w:val="22"/>
        </w:rPr>
        <w:t>.............................</w:t>
      </w:r>
      <w:r w:rsidR="0093272A">
        <w:rPr>
          <w:rFonts w:ascii="Arial" w:hAnsi="Arial" w:cs="Arial"/>
          <w:sz w:val="22"/>
          <w:szCs w:val="22"/>
        </w:rPr>
        <w:t>..............................................</w:t>
      </w:r>
      <w:r w:rsidR="00A77851">
        <w:rPr>
          <w:rFonts w:ascii="Arial" w:hAnsi="Arial" w:cs="Arial"/>
          <w:sz w:val="22"/>
          <w:szCs w:val="22"/>
        </w:rPr>
        <w:t>...................36</w:t>
      </w:r>
    </w:p>
    <w:p w14:paraId="65644118" w14:textId="0C6F7BF6" w:rsidR="00CA2BF6" w:rsidRDefault="009C0B7D" w:rsidP="00CA2BF6">
      <w:pPr>
        <w:spacing w:line="360" w:lineRule="auto"/>
        <w:rPr>
          <w:rFonts w:ascii="Arial" w:hAnsi="Arial" w:cs="Arial"/>
          <w:sz w:val="22"/>
          <w:szCs w:val="22"/>
        </w:rPr>
      </w:pPr>
      <w:r>
        <w:rPr>
          <w:rFonts w:ascii="Arial" w:hAnsi="Arial" w:cs="Arial"/>
        </w:rPr>
        <w:lastRenderedPageBreak/>
        <w:t>CHAPTER 5</w:t>
      </w:r>
      <w:r w:rsidR="00C9402E" w:rsidRPr="005D4AF2">
        <w:rPr>
          <w:rFonts w:ascii="Arial" w:hAnsi="Arial" w:cs="Arial"/>
          <w:sz w:val="28"/>
          <w:szCs w:val="28"/>
        </w:rPr>
        <w:t xml:space="preserve"> :</w:t>
      </w:r>
      <w:r w:rsidR="00C9402E">
        <w:rPr>
          <w:rFonts w:ascii="Arial" w:hAnsi="Arial" w:cs="Arial"/>
          <w:sz w:val="22"/>
          <w:szCs w:val="22"/>
        </w:rPr>
        <w:t xml:space="preserve"> Conclusion and Recommendations </w:t>
      </w:r>
    </w:p>
    <w:p w14:paraId="23DCF9C6" w14:textId="1752B97A" w:rsidR="00C9402E" w:rsidRDefault="00983070" w:rsidP="00CA2BF6">
      <w:pPr>
        <w:spacing w:line="360" w:lineRule="auto"/>
        <w:rPr>
          <w:rFonts w:ascii="Arial" w:hAnsi="Arial" w:cs="Arial"/>
          <w:sz w:val="22"/>
          <w:szCs w:val="22"/>
        </w:rPr>
      </w:pPr>
      <w:r>
        <w:rPr>
          <w:rFonts w:ascii="Arial" w:hAnsi="Arial" w:cs="Arial"/>
          <w:sz w:val="22"/>
          <w:szCs w:val="22"/>
        </w:rPr>
        <w:t xml:space="preserve">5.1: Conclusion </w:t>
      </w:r>
      <w:r w:rsidR="00594799">
        <w:rPr>
          <w:rFonts w:ascii="Arial" w:hAnsi="Arial" w:cs="Arial"/>
          <w:sz w:val="22"/>
          <w:szCs w:val="22"/>
        </w:rPr>
        <w:t>............................................</w:t>
      </w:r>
      <w:r w:rsidR="009D0EA1">
        <w:rPr>
          <w:rFonts w:ascii="Arial" w:hAnsi="Arial" w:cs="Arial"/>
          <w:sz w:val="22"/>
          <w:szCs w:val="22"/>
        </w:rPr>
        <w:t>............................................</w:t>
      </w:r>
      <w:r w:rsidR="00A23C6A">
        <w:rPr>
          <w:rFonts w:ascii="Arial" w:hAnsi="Arial" w:cs="Arial"/>
          <w:sz w:val="22"/>
          <w:szCs w:val="22"/>
        </w:rPr>
        <w:t>38</w:t>
      </w:r>
    </w:p>
    <w:p w14:paraId="42786776" w14:textId="5BA23AE9" w:rsidR="00983070" w:rsidRDefault="00983070" w:rsidP="00CA2BF6">
      <w:pPr>
        <w:spacing w:line="360" w:lineRule="auto"/>
        <w:rPr>
          <w:rFonts w:ascii="Arial" w:hAnsi="Arial" w:cs="Arial"/>
          <w:sz w:val="22"/>
          <w:szCs w:val="22"/>
        </w:rPr>
      </w:pPr>
      <w:r>
        <w:rPr>
          <w:rFonts w:ascii="Arial" w:hAnsi="Arial" w:cs="Arial"/>
          <w:sz w:val="22"/>
          <w:szCs w:val="22"/>
        </w:rPr>
        <w:t xml:space="preserve">5.2 : Recommendations </w:t>
      </w:r>
      <w:r w:rsidR="00594799">
        <w:rPr>
          <w:rFonts w:ascii="Arial" w:hAnsi="Arial" w:cs="Arial"/>
          <w:sz w:val="22"/>
          <w:szCs w:val="22"/>
        </w:rPr>
        <w:t>..............................</w:t>
      </w:r>
      <w:r w:rsidR="009D0EA1">
        <w:rPr>
          <w:rFonts w:ascii="Arial" w:hAnsi="Arial" w:cs="Arial"/>
          <w:sz w:val="22"/>
          <w:szCs w:val="22"/>
        </w:rPr>
        <w:t>............................................</w:t>
      </w:r>
      <w:r w:rsidR="00594799">
        <w:rPr>
          <w:rFonts w:ascii="Arial" w:hAnsi="Arial" w:cs="Arial"/>
          <w:sz w:val="22"/>
          <w:szCs w:val="22"/>
        </w:rPr>
        <w:t>.39</w:t>
      </w:r>
    </w:p>
    <w:p w14:paraId="75D53905" w14:textId="7A6A7374" w:rsidR="005F73C4" w:rsidRPr="00AA2A91" w:rsidRDefault="00123FB8" w:rsidP="00AA2A91">
      <w:pPr>
        <w:pStyle w:val="ListParagraph"/>
        <w:numPr>
          <w:ilvl w:val="0"/>
          <w:numId w:val="8"/>
        </w:numPr>
        <w:spacing w:line="360" w:lineRule="auto"/>
        <w:rPr>
          <w:rFonts w:ascii="Arial" w:hAnsi="Arial" w:cs="Arial"/>
          <w:sz w:val="22"/>
          <w:szCs w:val="22"/>
        </w:rPr>
      </w:pPr>
      <w:r w:rsidRPr="00AA2A91">
        <w:rPr>
          <w:rFonts w:ascii="Arial" w:hAnsi="Arial" w:cs="Arial"/>
          <w:sz w:val="22"/>
          <w:szCs w:val="22"/>
        </w:rPr>
        <w:t>5.2.1 Recommendation 1</w:t>
      </w:r>
      <w:r w:rsidR="00D93B64" w:rsidRPr="00AA2A91">
        <w:rPr>
          <w:rFonts w:ascii="Arial" w:hAnsi="Arial" w:cs="Arial"/>
          <w:sz w:val="22"/>
          <w:szCs w:val="22"/>
        </w:rPr>
        <w:t>:</w:t>
      </w:r>
      <w:r w:rsidR="005F73C4" w:rsidRPr="00AA2A91">
        <w:rPr>
          <w:rFonts w:ascii="Arial" w:hAnsi="Arial" w:cs="Arial"/>
          <w:sz w:val="22"/>
          <w:szCs w:val="22"/>
        </w:rPr>
        <w:t xml:space="preserve"> Improve Staffing Levels and Workload Management</w:t>
      </w:r>
    </w:p>
    <w:p w14:paraId="26938020" w14:textId="75BF9DFB" w:rsidR="00123FB8" w:rsidRDefault="005F73C4" w:rsidP="00123FB8">
      <w:pPr>
        <w:pStyle w:val="ListParagraph"/>
        <w:numPr>
          <w:ilvl w:val="0"/>
          <w:numId w:val="8"/>
        </w:numPr>
        <w:spacing w:line="360" w:lineRule="auto"/>
        <w:rPr>
          <w:rFonts w:ascii="Arial" w:hAnsi="Arial" w:cs="Arial"/>
          <w:sz w:val="22"/>
          <w:szCs w:val="22"/>
        </w:rPr>
      </w:pPr>
      <w:r>
        <w:rPr>
          <w:rFonts w:ascii="Arial" w:hAnsi="Arial" w:cs="Arial"/>
          <w:sz w:val="22"/>
          <w:szCs w:val="22"/>
        </w:rPr>
        <w:t>5.2.2 Recommendation 2: Strengthen Organisational Support and Leadership</w:t>
      </w:r>
    </w:p>
    <w:p w14:paraId="2AA5B2CF" w14:textId="61D5392B" w:rsidR="00AA2A91" w:rsidRDefault="00AA2A91" w:rsidP="00AA2A91">
      <w:pPr>
        <w:pStyle w:val="ListParagraph"/>
        <w:numPr>
          <w:ilvl w:val="0"/>
          <w:numId w:val="8"/>
        </w:numPr>
        <w:spacing w:line="360" w:lineRule="auto"/>
        <w:rPr>
          <w:rFonts w:ascii="Arial" w:hAnsi="Arial" w:cs="Arial"/>
          <w:sz w:val="22"/>
          <w:szCs w:val="22"/>
        </w:rPr>
      </w:pPr>
      <w:r>
        <w:rPr>
          <w:rFonts w:ascii="Arial" w:hAnsi="Arial" w:cs="Arial"/>
          <w:sz w:val="22"/>
          <w:szCs w:val="22"/>
        </w:rPr>
        <w:t>5.2.3 Recommendation 3:  Promote Mental Health Awareness and Resilience Training</w:t>
      </w:r>
    </w:p>
    <w:p w14:paraId="6EB267B8" w14:textId="5D4BF252" w:rsidR="008B4CB7" w:rsidRDefault="008B4CB7" w:rsidP="005254C4">
      <w:pPr>
        <w:spacing w:line="360" w:lineRule="auto"/>
        <w:rPr>
          <w:rFonts w:ascii="Arial" w:hAnsi="Arial" w:cs="Arial"/>
          <w:sz w:val="22"/>
          <w:szCs w:val="22"/>
        </w:rPr>
      </w:pPr>
      <w:r w:rsidRPr="008B4CB7">
        <w:rPr>
          <w:rFonts w:ascii="Arial" w:hAnsi="Arial" w:cs="Arial"/>
          <w:sz w:val="22"/>
          <w:szCs w:val="22"/>
        </w:rPr>
        <w:t>5.3 Limitations and Future Research</w:t>
      </w:r>
      <w:r w:rsidR="00366B15">
        <w:rPr>
          <w:rFonts w:ascii="Arial" w:hAnsi="Arial" w:cs="Arial"/>
          <w:sz w:val="22"/>
          <w:szCs w:val="22"/>
        </w:rPr>
        <w:t>..............</w:t>
      </w:r>
      <w:r w:rsidR="006E5C76">
        <w:rPr>
          <w:rFonts w:ascii="Arial" w:hAnsi="Arial" w:cs="Arial"/>
          <w:sz w:val="22"/>
          <w:szCs w:val="22"/>
        </w:rPr>
        <w:t>...........................................</w:t>
      </w:r>
      <w:r w:rsidR="00366B15">
        <w:rPr>
          <w:rFonts w:ascii="Arial" w:hAnsi="Arial" w:cs="Arial"/>
          <w:sz w:val="22"/>
          <w:szCs w:val="22"/>
        </w:rPr>
        <w:t>41</w:t>
      </w:r>
    </w:p>
    <w:p w14:paraId="4F084B0E" w14:textId="6FE91EB5" w:rsidR="00366B15" w:rsidRDefault="00C93072" w:rsidP="005254C4">
      <w:pPr>
        <w:spacing w:line="360" w:lineRule="auto"/>
        <w:rPr>
          <w:rFonts w:ascii="Arial" w:hAnsi="Arial" w:cs="Arial"/>
          <w:sz w:val="22"/>
          <w:szCs w:val="22"/>
        </w:rPr>
      </w:pPr>
      <w:r>
        <w:rPr>
          <w:rFonts w:ascii="Arial" w:hAnsi="Arial" w:cs="Arial"/>
          <w:sz w:val="22"/>
          <w:szCs w:val="22"/>
        </w:rPr>
        <w:t xml:space="preserve"> </w:t>
      </w:r>
      <w:r w:rsidR="005254C4">
        <w:rPr>
          <w:rFonts w:ascii="Arial" w:hAnsi="Arial" w:cs="Arial"/>
          <w:sz w:val="22"/>
          <w:szCs w:val="22"/>
        </w:rPr>
        <w:t xml:space="preserve">References </w:t>
      </w:r>
      <w:r w:rsidR="00366B15">
        <w:rPr>
          <w:rFonts w:ascii="Arial" w:hAnsi="Arial" w:cs="Arial"/>
          <w:sz w:val="22"/>
          <w:szCs w:val="22"/>
        </w:rPr>
        <w:t>.......................................</w:t>
      </w:r>
      <w:r w:rsidR="00CA1852">
        <w:rPr>
          <w:rFonts w:ascii="Arial" w:hAnsi="Arial" w:cs="Arial"/>
          <w:sz w:val="22"/>
          <w:szCs w:val="22"/>
        </w:rPr>
        <w:t>....</w:t>
      </w:r>
      <w:r w:rsidR="00366B15">
        <w:rPr>
          <w:rFonts w:ascii="Arial" w:hAnsi="Arial" w:cs="Arial"/>
          <w:sz w:val="22"/>
          <w:szCs w:val="22"/>
        </w:rPr>
        <w:t>..</w:t>
      </w:r>
      <w:r w:rsidR="00ED2A12">
        <w:rPr>
          <w:rFonts w:ascii="Arial" w:hAnsi="Arial" w:cs="Arial"/>
          <w:sz w:val="22"/>
          <w:szCs w:val="22"/>
        </w:rPr>
        <w:t>.</w:t>
      </w:r>
      <w:r w:rsidR="00366B15">
        <w:rPr>
          <w:rFonts w:ascii="Arial" w:hAnsi="Arial" w:cs="Arial"/>
          <w:sz w:val="22"/>
          <w:szCs w:val="22"/>
        </w:rPr>
        <w:t>.....</w:t>
      </w:r>
      <w:r w:rsidR="006E5C76">
        <w:rPr>
          <w:rFonts w:ascii="Arial" w:hAnsi="Arial" w:cs="Arial"/>
          <w:sz w:val="22"/>
          <w:szCs w:val="22"/>
        </w:rPr>
        <w:t>...........................................</w:t>
      </w:r>
      <w:r w:rsidR="00366B15">
        <w:rPr>
          <w:rFonts w:ascii="Arial" w:hAnsi="Arial" w:cs="Arial"/>
          <w:sz w:val="22"/>
          <w:szCs w:val="22"/>
        </w:rPr>
        <w:t>43</w:t>
      </w:r>
    </w:p>
    <w:p w14:paraId="6F248B64" w14:textId="03E47F02" w:rsidR="005254C4" w:rsidRDefault="00ED2A12" w:rsidP="005254C4">
      <w:pPr>
        <w:spacing w:line="360" w:lineRule="auto"/>
        <w:rPr>
          <w:rFonts w:ascii="Arial" w:hAnsi="Arial" w:cs="Arial"/>
          <w:sz w:val="22"/>
          <w:szCs w:val="22"/>
        </w:rPr>
      </w:pPr>
      <w:r>
        <w:rPr>
          <w:rFonts w:ascii="Arial" w:hAnsi="Arial" w:cs="Arial"/>
          <w:sz w:val="22"/>
          <w:szCs w:val="22"/>
        </w:rPr>
        <w:t xml:space="preserve"> </w:t>
      </w:r>
      <w:r w:rsidR="00D85772">
        <w:rPr>
          <w:rFonts w:ascii="Arial" w:hAnsi="Arial" w:cs="Arial"/>
          <w:sz w:val="22"/>
          <w:szCs w:val="22"/>
        </w:rPr>
        <w:t>Appendices</w:t>
      </w:r>
      <w:r w:rsidR="00366B15">
        <w:rPr>
          <w:rFonts w:ascii="Arial" w:hAnsi="Arial" w:cs="Arial"/>
          <w:sz w:val="22"/>
          <w:szCs w:val="22"/>
        </w:rPr>
        <w:t>.........................................</w:t>
      </w:r>
      <w:r w:rsidR="00CA1852">
        <w:rPr>
          <w:rFonts w:ascii="Arial" w:hAnsi="Arial" w:cs="Arial"/>
          <w:sz w:val="22"/>
          <w:szCs w:val="22"/>
        </w:rPr>
        <w:t>....</w:t>
      </w:r>
      <w:r w:rsidR="00366B15">
        <w:rPr>
          <w:rFonts w:ascii="Arial" w:hAnsi="Arial" w:cs="Arial"/>
          <w:sz w:val="22"/>
          <w:szCs w:val="22"/>
        </w:rPr>
        <w:t>...</w:t>
      </w:r>
      <w:r>
        <w:rPr>
          <w:rFonts w:ascii="Arial" w:hAnsi="Arial" w:cs="Arial"/>
          <w:sz w:val="22"/>
          <w:szCs w:val="22"/>
        </w:rPr>
        <w:t>.</w:t>
      </w:r>
      <w:r w:rsidR="00366B15">
        <w:rPr>
          <w:rFonts w:ascii="Arial" w:hAnsi="Arial" w:cs="Arial"/>
          <w:sz w:val="22"/>
          <w:szCs w:val="22"/>
        </w:rPr>
        <w:t>...</w:t>
      </w:r>
      <w:r w:rsidR="006E5C76">
        <w:rPr>
          <w:rFonts w:ascii="Arial" w:hAnsi="Arial" w:cs="Arial"/>
          <w:sz w:val="22"/>
          <w:szCs w:val="22"/>
        </w:rPr>
        <w:t>...........................................</w:t>
      </w:r>
      <w:r w:rsidR="00366B15">
        <w:rPr>
          <w:rFonts w:ascii="Arial" w:hAnsi="Arial" w:cs="Arial"/>
          <w:sz w:val="22"/>
          <w:szCs w:val="22"/>
        </w:rPr>
        <w:t>50</w:t>
      </w:r>
    </w:p>
    <w:p w14:paraId="7F1798D1" w14:textId="02E770F1" w:rsidR="00644A46" w:rsidRDefault="00644A46" w:rsidP="00644A46">
      <w:pPr>
        <w:pStyle w:val="ListParagraph"/>
        <w:numPr>
          <w:ilvl w:val="0"/>
          <w:numId w:val="10"/>
        </w:numPr>
        <w:spacing w:line="360" w:lineRule="auto"/>
        <w:rPr>
          <w:rFonts w:ascii="Arial" w:hAnsi="Arial" w:cs="Arial"/>
          <w:sz w:val="22"/>
          <w:szCs w:val="22"/>
        </w:rPr>
      </w:pPr>
      <w:r w:rsidRPr="00644A46">
        <w:rPr>
          <w:rFonts w:ascii="Arial" w:hAnsi="Arial" w:cs="Arial"/>
          <w:sz w:val="22"/>
          <w:szCs w:val="22"/>
        </w:rPr>
        <w:t>Appendix 1</w:t>
      </w:r>
      <w:r w:rsidR="00F8190E">
        <w:rPr>
          <w:rFonts w:ascii="Arial" w:hAnsi="Arial" w:cs="Arial"/>
          <w:sz w:val="22"/>
          <w:szCs w:val="22"/>
        </w:rPr>
        <w:t>...........</w:t>
      </w:r>
      <w:r w:rsidR="00D84C95">
        <w:rPr>
          <w:rFonts w:ascii="Arial" w:hAnsi="Arial" w:cs="Arial"/>
          <w:sz w:val="22"/>
          <w:szCs w:val="22"/>
        </w:rPr>
        <w:t>.......................</w:t>
      </w:r>
      <w:r w:rsidR="00F8190E">
        <w:rPr>
          <w:rFonts w:ascii="Arial" w:hAnsi="Arial" w:cs="Arial"/>
          <w:sz w:val="22"/>
          <w:szCs w:val="22"/>
        </w:rPr>
        <w:t>.......</w:t>
      </w:r>
      <w:r w:rsidR="00042B8E">
        <w:rPr>
          <w:rFonts w:ascii="Arial" w:hAnsi="Arial" w:cs="Arial"/>
          <w:sz w:val="22"/>
          <w:szCs w:val="22"/>
        </w:rPr>
        <w:t>............................................</w:t>
      </w:r>
      <w:r w:rsidR="00F8190E">
        <w:rPr>
          <w:rFonts w:ascii="Arial" w:hAnsi="Arial" w:cs="Arial"/>
          <w:sz w:val="22"/>
          <w:szCs w:val="22"/>
        </w:rPr>
        <w:t>50</w:t>
      </w:r>
    </w:p>
    <w:p w14:paraId="5472A210" w14:textId="440B5C79" w:rsidR="00644A46" w:rsidRDefault="00644A46" w:rsidP="00644A46">
      <w:pPr>
        <w:pStyle w:val="ListParagraph"/>
        <w:numPr>
          <w:ilvl w:val="0"/>
          <w:numId w:val="10"/>
        </w:numPr>
        <w:spacing w:line="360" w:lineRule="auto"/>
        <w:rPr>
          <w:rFonts w:ascii="Arial" w:hAnsi="Arial" w:cs="Arial"/>
          <w:sz w:val="22"/>
          <w:szCs w:val="22"/>
        </w:rPr>
      </w:pPr>
      <w:r>
        <w:rPr>
          <w:rFonts w:ascii="Arial" w:hAnsi="Arial" w:cs="Arial"/>
          <w:sz w:val="22"/>
          <w:szCs w:val="22"/>
        </w:rPr>
        <w:t>Appendix 2</w:t>
      </w:r>
      <w:r w:rsidR="00F8190E">
        <w:rPr>
          <w:rFonts w:ascii="Arial" w:hAnsi="Arial" w:cs="Arial"/>
          <w:sz w:val="22"/>
          <w:szCs w:val="22"/>
        </w:rPr>
        <w:t>..........</w:t>
      </w:r>
      <w:r w:rsidR="00D84C95">
        <w:rPr>
          <w:rFonts w:ascii="Arial" w:hAnsi="Arial" w:cs="Arial"/>
          <w:sz w:val="22"/>
          <w:szCs w:val="22"/>
        </w:rPr>
        <w:t>.......................</w:t>
      </w:r>
      <w:r w:rsidR="00F8190E">
        <w:rPr>
          <w:rFonts w:ascii="Arial" w:hAnsi="Arial" w:cs="Arial"/>
          <w:sz w:val="22"/>
          <w:szCs w:val="22"/>
        </w:rPr>
        <w:t>........</w:t>
      </w:r>
      <w:r w:rsidR="00042B8E">
        <w:rPr>
          <w:rFonts w:ascii="Arial" w:hAnsi="Arial" w:cs="Arial"/>
          <w:sz w:val="22"/>
          <w:szCs w:val="22"/>
        </w:rPr>
        <w:t>............................................</w:t>
      </w:r>
      <w:r w:rsidR="006E0C1F">
        <w:rPr>
          <w:rFonts w:ascii="Arial" w:hAnsi="Arial" w:cs="Arial"/>
          <w:sz w:val="22"/>
          <w:szCs w:val="22"/>
        </w:rPr>
        <w:t>52</w:t>
      </w:r>
    </w:p>
    <w:p w14:paraId="6CD42B08" w14:textId="039346AF" w:rsidR="0067189E" w:rsidRPr="0086742E" w:rsidRDefault="006E0C1F" w:rsidP="0086742E">
      <w:pPr>
        <w:pStyle w:val="ListParagraph"/>
        <w:numPr>
          <w:ilvl w:val="0"/>
          <w:numId w:val="10"/>
        </w:numPr>
        <w:spacing w:line="360" w:lineRule="auto"/>
        <w:rPr>
          <w:rFonts w:ascii="Arial" w:hAnsi="Arial" w:cs="Arial"/>
          <w:sz w:val="22"/>
          <w:szCs w:val="22"/>
        </w:rPr>
      </w:pPr>
      <w:r>
        <w:rPr>
          <w:rFonts w:ascii="Arial" w:hAnsi="Arial" w:cs="Arial"/>
          <w:sz w:val="22"/>
          <w:szCs w:val="22"/>
        </w:rPr>
        <w:t>Appendix 3</w:t>
      </w:r>
      <w:r w:rsidR="0086742E">
        <w:rPr>
          <w:rFonts w:ascii="Arial" w:hAnsi="Arial" w:cs="Arial"/>
          <w:sz w:val="22"/>
          <w:szCs w:val="22"/>
        </w:rPr>
        <w:t>..............</w:t>
      </w:r>
      <w:r w:rsidR="00D84C95">
        <w:rPr>
          <w:rFonts w:ascii="Arial" w:hAnsi="Arial" w:cs="Arial"/>
          <w:sz w:val="22"/>
          <w:szCs w:val="22"/>
        </w:rPr>
        <w:t>.......................</w:t>
      </w:r>
      <w:r w:rsidR="0086742E">
        <w:rPr>
          <w:rFonts w:ascii="Arial" w:hAnsi="Arial" w:cs="Arial"/>
          <w:sz w:val="22"/>
          <w:szCs w:val="22"/>
        </w:rPr>
        <w:t>....</w:t>
      </w:r>
      <w:r w:rsidR="00042B8E">
        <w:rPr>
          <w:rFonts w:ascii="Arial" w:hAnsi="Arial" w:cs="Arial"/>
          <w:sz w:val="22"/>
          <w:szCs w:val="22"/>
        </w:rPr>
        <w:t>............................................</w:t>
      </w:r>
      <w:r w:rsidR="0086742E">
        <w:rPr>
          <w:rFonts w:ascii="Arial" w:hAnsi="Arial" w:cs="Arial"/>
          <w:sz w:val="22"/>
          <w:szCs w:val="22"/>
        </w:rPr>
        <w:t>54</w:t>
      </w:r>
    </w:p>
    <w:p w14:paraId="7AA21CE3" w14:textId="29B48586" w:rsidR="006E0C1F" w:rsidRDefault="0067189E" w:rsidP="00644A46">
      <w:pPr>
        <w:pStyle w:val="ListParagraph"/>
        <w:numPr>
          <w:ilvl w:val="0"/>
          <w:numId w:val="10"/>
        </w:numPr>
        <w:spacing w:line="360" w:lineRule="auto"/>
        <w:rPr>
          <w:rFonts w:ascii="Arial" w:hAnsi="Arial" w:cs="Arial"/>
          <w:sz w:val="22"/>
          <w:szCs w:val="22"/>
        </w:rPr>
      </w:pPr>
      <w:r>
        <w:rPr>
          <w:rFonts w:ascii="Arial" w:hAnsi="Arial" w:cs="Arial"/>
          <w:sz w:val="22"/>
          <w:szCs w:val="22"/>
        </w:rPr>
        <w:t>Appendix 4</w:t>
      </w:r>
      <w:r w:rsidR="006E0C1F">
        <w:rPr>
          <w:rFonts w:ascii="Arial" w:hAnsi="Arial" w:cs="Arial"/>
          <w:sz w:val="22"/>
          <w:szCs w:val="22"/>
        </w:rPr>
        <w:t>.............</w:t>
      </w:r>
      <w:r w:rsidR="00D84C95">
        <w:rPr>
          <w:rFonts w:ascii="Arial" w:hAnsi="Arial" w:cs="Arial"/>
          <w:sz w:val="22"/>
          <w:szCs w:val="22"/>
        </w:rPr>
        <w:t>.......................</w:t>
      </w:r>
      <w:r w:rsidR="006E0C1F">
        <w:rPr>
          <w:rFonts w:ascii="Arial" w:hAnsi="Arial" w:cs="Arial"/>
          <w:sz w:val="22"/>
          <w:szCs w:val="22"/>
        </w:rPr>
        <w:t>.....</w:t>
      </w:r>
      <w:r w:rsidR="00042B8E">
        <w:rPr>
          <w:rFonts w:ascii="Arial" w:hAnsi="Arial" w:cs="Arial"/>
          <w:sz w:val="22"/>
          <w:szCs w:val="22"/>
        </w:rPr>
        <w:t>............................................</w:t>
      </w:r>
      <w:r w:rsidR="0086742E">
        <w:rPr>
          <w:rFonts w:ascii="Arial" w:hAnsi="Arial" w:cs="Arial"/>
          <w:sz w:val="22"/>
          <w:szCs w:val="22"/>
        </w:rPr>
        <w:t>56</w:t>
      </w:r>
    </w:p>
    <w:p w14:paraId="785BCAAF" w14:textId="3BF0FC16" w:rsidR="00644A46" w:rsidRPr="00644A46" w:rsidRDefault="00644A46" w:rsidP="00644A46">
      <w:pPr>
        <w:spacing w:line="360" w:lineRule="auto"/>
        <w:ind w:left="360"/>
        <w:rPr>
          <w:rFonts w:ascii="Arial" w:hAnsi="Arial" w:cs="Arial"/>
          <w:sz w:val="22"/>
          <w:szCs w:val="22"/>
        </w:rPr>
      </w:pPr>
    </w:p>
    <w:p w14:paraId="1242AF36" w14:textId="338E21C6" w:rsidR="00AA2A91" w:rsidRPr="00AA2A91" w:rsidRDefault="00AA2A91" w:rsidP="00AA2A91">
      <w:pPr>
        <w:spacing w:line="360" w:lineRule="auto"/>
        <w:rPr>
          <w:rFonts w:ascii="Arial" w:hAnsi="Arial" w:cs="Arial"/>
          <w:sz w:val="22"/>
          <w:szCs w:val="22"/>
        </w:rPr>
      </w:pPr>
    </w:p>
    <w:p w14:paraId="1FCF0BB9" w14:textId="77777777" w:rsidR="00CA2BF6" w:rsidRPr="00CA2BF6" w:rsidRDefault="00CA2BF6" w:rsidP="00CA2BF6">
      <w:pPr>
        <w:spacing w:line="360" w:lineRule="auto"/>
        <w:rPr>
          <w:rFonts w:ascii="Arial" w:eastAsia="Times New Roman" w:hAnsi="Arial" w:cs="Arial"/>
          <w:sz w:val="22"/>
          <w:szCs w:val="22"/>
        </w:rPr>
      </w:pPr>
    </w:p>
    <w:p w14:paraId="44ABCDA3" w14:textId="77777777" w:rsidR="00AF1281" w:rsidRDefault="00AF1281" w:rsidP="0002072E">
      <w:pPr>
        <w:spacing w:line="360" w:lineRule="auto"/>
        <w:rPr>
          <w:rFonts w:ascii="Arial" w:eastAsia="Times New Roman" w:hAnsi="Arial" w:cs="Arial"/>
          <w:sz w:val="22"/>
          <w:szCs w:val="22"/>
        </w:rPr>
      </w:pPr>
    </w:p>
    <w:p w14:paraId="58080F9A" w14:textId="77777777" w:rsidR="00AC4DB8" w:rsidRDefault="00AC4DB8" w:rsidP="0002072E">
      <w:pPr>
        <w:spacing w:line="360" w:lineRule="auto"/>
        <w:rPr>
          <w:rFonts w:ascii="Arial" w:eastAsia="Times New Roman" w:hAnsi="Arial" w:cs="Arial"/>
          <w:sz w:val="22"/>
          <w:szCs w:val="22"/>
        </w:rPr>
      </w:pPr>
    </w:p>
    <w:p w14:paraId="3D926ECE" w14:textId="77777777" w:rsidR="00C9519F" w:rsidRDefault="00C9519F" w:rsidP="0002072E">
      <w:pPr>
        <w:spacing w:line="360" w:lineRule="auto"/>
        <w:rPr>
          <w:rFonts w:ascii="Arial" w:eastAsia="Times New Roman" w:hAnsi="Arial" w:cs="Arial"/>
          <w:sz w:val="22"/>
          <w:szCs w:val="22"/>
        </w:rPr>
      </w:pPr>
    </w:p>
    <w:p w14:paraId="5CDA82D4" w14:textId="77777777" w:rsidR="00C9519F" w:rsidRDefault="00C9519F" w:rsidP="0002072E">
      <w:pPr>
        <w:spacing w:line="360" w:lineRule="auto"/>
        <w:rPr>
          <w:rFonts w:ascii="Arial" w:eastAsia="Times New Roman" w:hAnsi="Arial" w:cs="Arial"/>
          <w:sz w:val="22"/>
          <w:szCs w:val="22"/>
        </w:rPr>
      </w:pPr>
    </w:p>
    <w:p w14:paraId="409AEEA8" w14:textId="77777777" w:rsidR="00C9519F" w:rsidRDefault="00C9519F" w:rsidP="0002072E">
      <w:pPr>
        <w:spacing w:line="360" w:lineRule="auto"/>
        <w:rPr>
          <w:rFonts w:ascii="Arial" w:eastAsia="Times New Roman" w:hAnsi="Arial" w:cs="Arial"/>
          <w:sz w:val="22"/>
          <w:szCs w:val="22"/>
        </w:rPr>
      </w:pPr>
    </w:p>
    <w:p w14:paraId="32CEEF69" w14:textId="77777777" w:rsidR="00D02FF0" w:rsidRDefault="00D02FF0" w:rsidP="0002072E">
      <w:pPr>
        <w:spacing w:line="360" w:lineRule="auto"/>
        <w:rPr>
          <w:rFonts w:ascii="Arial" w:eastAsia="Times New Roman" w:hAnsi="Arial" w:cs="Arial"/>
          <w:sz w:val="22"/>
          <w:szCs w:val="22"/>
        </w:rPr>
      </w:pPr>
    </w:p>
    <w:p w14:paraId="6106DA1A" w14:textId="77777777" w:rsidR="00D02FF0" w:rsidRDefault="00D02FF0" w:rsidP="0002072E">
      <w:pPr>
        <w:spacing w:line="360" w:lineRule="auto"/>
        <w:rPr>
          <w:rFonts w:ascii="Arial" w:eastAsia="Times New Roman" w:hAnsi="Arial" w:cs="Arial"/>
          <w:sz w:val="22"/>
          <w:szCs w:val="22"/>
        </w:rPr>
      </w:pPr>
    </w:p>
    <w:p w14:paraId="61700729" w14:textId="77777777" w:rsidR="008D5747" w:rsidRDefault="008D5747">
      <w:pPr>
        <w:rPr>
          <w:rFonts w:ascii="Arial" w:eastAsia="Times New Roman" w:hAnsi="Arial" w:cs="Arial"/>
          <w:sz w:val="22"/>
          <w:szCs w:val="22"/>
        </w:rPr>
      </w:pPr>
    </w:p>
    <w:p w14:paraId="55F53FD2" w14:textId="77777777" w:rsidR="00306A1B" w:rsidRPr="003F449B" w:rsidRDefault="00306A1B">
      <w:pPr>
        <w:rPr>
          <w:rFonts w:ascii="Arial" w:hAnsi="Arial" w:cs="Arial"/>
          <w:sz w:val="22"/>
          <w:szCs w:val="22"/>
        </w:rPr>
      </w:pPr>
    </w:p>
    <w:p w14:paraId="21CF8889" w14:textId="77777777" w:rsidR="008D5747" w:rsidRPr="003F449B" w:rsidRDefault="008D5747">
      <w:pPr>
        <w:rPr>
          <w:rFonts w:ascii="Arial" w:hAnsi="Arial" w:cs="Arial"/>
          <w:sz w:val="22"/>
          <w:szCs w:val="22"/>
        </w:rPr>
      </w:pPr>
    </w:p>
    <w:p w14:paraId="648719B5" w14:textId="77777777" w:rsidR="000F4CD1" w:rsidRDefault="000F4CD1" w:rsidP="00864031">
      <w:pPr>
        <w:spacing w:line="360" w:lineRule="auto"/>
        <w:rPr>
          <w:rFonts w:ascii="Arial" w:hAnsi="Arial" w:cs="Arial"/>
          <w:b/>
          <w:bCs/>
          <w:sz w:val="22"/>
          <w:szCs w:val="22"/>
        </w:rPr>
      </w:pPr>
    </w:p>
    <w:p w14:paraId="68361950" w14:textId="77777777" w:rsidR="003A192C" w:rsidRPr="00BC612D" w:rsidRDefault="003A192C" w:rsidP="00864031">
      <w:pPr>
        <w:spacing w:line="360" w:lineRule="auto"/>
        <w:rPr>
          <w:rFonts w:ascii="Arial" w:hAnsi="Arial" w:cs="Arial"/>
          <w:b/>
          <w:bCs/>
          <w:sz w:val="28"/>
          <w:szCs w:val="28"/>
        </w:rPr>
      </w:pPr>
      <w:r w:rsidRPr="00BC612D">
        <w:rPr>
          <w:rFonts w:ascii="Arial" w:hAnsi="Arial" w:cs="Arial"/>
          <w:b/>
          <w:bCs/>
          <w:sz w:val="28"/>
          <w:szCs w:val="28"/>
        </w:rPr>
        <w:lastRenderedPageBreak/>
        <w:t>CHAPTER 1: Introduction</w:t>
      </w:r>
    </w:p>
    <w:p w14:paraId="7E75F56A" w14:textId="77777777" w:rsidR="003A192C" w:rsidRPr="0002530C" w:rsidRDefault="003A192C" w:rsidP="003A192C">
      <w:pPr>
        <w:pStyle w:val="ListParagraph"/>
        <w:numPr>
          <w:ilvl w:val="1"/>
          <w:numId w:val="2"/>
        </w:numPr>
        <w:spacing w:line="360" w:lineRule="auto"/>
        <w:rPr>
          <w:rFonts w:ascii="Arial" w:hAnsi="Arial" w:cs="Arial"/>
          <w:b/>
          <w:bCs/>
          <w:sz w:val="22"/>
          <w:szCs w:val="22"/>
        </w:rPr>
      </w:pPr>
      <w:r w:rsidRPr="0002530C">
        <w:rPr>
          <w:rFonts w:ascii="Arial" w:hAnsi="Arial" w:cs="Arial"/>
          <w:b/>
          <w:bCs/>
          <w:sz w:val="22"/>
          <w:szCs w:val="22"/>
        </w:rPr>
        <w:t xml:space="preserve">Introduction </w:t>
      </w:r>
    </w:p>
    <w:p w14:paraId="0E54DE2B"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The wellbeing of healthcare workers has become a critical area of academic and professional interest, particularly as global health systems have experienced unprecedented strain in recent years. According to Maslach and Leiter (2016), healthcare environments are inherently demanding, often characterised by long working hours, high emotional involvement, and continual pressure to deliver safe and effective care. These pressures have intensified through contemporary developments such as the COVID-19 pandemic, chronic staff shortages, and increasing patient complexity. As noted by the World Health Organization (2022), these factors have significantly increased the risk of occupational burnout and deteriorating mental health among healthcare professionals. Furthermore, Shanafelt et al. (2017) emphasise that the mental health of healthcare workers has shifted from a peripheral concern to a central priority for policymakers, health leaders, and researchers.</w:t>
      </w:r>
    </w:p>
    <w:p w14:paraId="68DBD86F"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This dissertation seeks to examine the hidden or “invisible” struggles experienced by healthcare workers, aiming to understand how burnout develops, how it manifests, and what strategies may be employed to mitigate its effects. Rotenstein et al. (2018) argue that exploring both organisational and individual dimensions of mental health can provide a deeper understanding of the lived experiences of healthcare staff and the structural conditions that shape them. The ultimate goal is to identify meaningful approaches that can support sustainable wellbeing and improve working conditions within healthcare settings, as highlighted by Dyrbye et al. (2020). In doing so, the dissertation contributes to ongoing debates around workforce resilience, occupational stress, and the future of safe, compassionate healthcare delivery (West et al., 2018).</w:t>
      </w:r>
    </w:p>
    <w:p w14:paraId="550AF8BC" w14:textId="77777777" w:rsidR="003A192C" w:rsidRPr="0002530C" w:rsidRDefault="003A192C" w:rsidP="003A192C">
      <w:pPr>
        <w:pStyle w:val="ListParagraph"/>
        <w:numPr>
          <w:ilvl w:val="1"/>
          <w:numId w:val="2"/>
        </w:numPr>
        <w:spacing w:line="360" w:lineRule="auto"/>
        <w:rPr>
          <w:rFonts w:ascii="Arial" w:hAnsi="Arial" w:cs="Arial"/>
          <w:b/>
          <w:bCs/>
          <w:sz w:val="22"/>
          <w:szCs w:val="22"/>
        </w:rPr>
      </w:pPr>
      <w:r w:rsidRPr="0002530C">
        <w:rPr>
          <w:rFonts w:ascii="Arial" w:hAnsi="Arial" w:cs="Arial"/>
          <w:b/>
          <w:bCs/>
          <w:sz w:val="22"/>
          <w:szCs w:val="22"/>
        </w:rPr>
        <w:t xml:space="preserve">Definitions and Terminology </w:t>
      </w:r>
    </w:p>
    <w:p w14:paraId="20F5190B"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For clarity and consistency, several key terms require definition. Burnout is defined by Maslach et al. (2001) as a psychological syndrome emerging as a prolonged response to chronic interpersonal stressors at work, typically involving emotional exhaustion, depersonalisation, and reduced personal accomplishment. Research by Schaufeli et al. (2009) supports this definition and highlights its relevance for understanding how sustained workplace stress affects healthcare workers’ cognitive, emotional, and physical wellbeing.</w:t>
      </w:r>
    </w:p>
    <w:p w14:paraId="75CE7F2E"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 xml:space="preserve">Mental health (MH) is described by the World Health Organization (2014) as a state of wellbeing in which individuals realise their abilities, cope with normal stresses, work productively, and contribute to their community. According to Keyes (2002), mental health in </w:t>
      </w:r>
      <w:r w:rsidRPr="00BC612D">
        <w:rPr>
          <w:rFonts w:ascii="Arial" w:hAnsi="Arial" w:cs="Arial"/>
          <w:sz w:val="22"/>
          <w:szCs w:val="22"/>
        </w:rPr>
        <w:lastRenderedPageBreak/>
        <w:t>healthcare encompasses emotional resilience, stress management, and psychological safety. Healthcare workers (HCWs), as defined by Bodenheimer and Sinsky (2014), include doctors, nurses, allied health professionals, support staff, and others involved in delivering clinical or non-clinical care. Hall et al. (2016) note that the experiences of stress and burnout may vary across these professional groups due to their differing responsibilities and roles.</w:t>
      </w:r>
    </w:p>
    <w:p w14:paraId="0DF1ECCB"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Several acronyms and abbreviations will be used throughout the dissertation:</w:t>
      </w:r>
    </w:p>
    <w:p w14:paraId="1515DC93" w14:textId="77777777" w:rsidR="003A192C" w:rsidRPr="00C326E7" w:rsidRDefault="003A192C" w:rsidP="003A192C">
      <w:pPr>
        <w:pStyle w:val="ListParagraph"/>
        <w:numPr>
          <w:ilvl w:val="0"/>
          <w:numId w:val="3"/>
        </w:numPr>
        <w:spacing w:line="360" w:lineRule="auto"/>
        <w:rPr>
          <w:rFonts w:ascii="Arial" w:hAnsi="Arial" w:cs="Arial"/>
          <w:sz w:val="22"/>
          <w:szCs w:val="22"/>
        </w:rPr>
      </w:pPr>
      <w:r w:rsidRPr="00C326E7">
        <w:rPr>
          <w:rFonts w:ascii="Arial" w:hAnsi="Arial" w:cs="Arial"/>
          <w:sz w:val="22"/>
          <w:szCs w:val="22"/>
        </w:rPr>
        <w:t>NHS – National Health Service</w:t>
      </w:r>
    </w:p>
    <w:p w14:paraId="02BBA90E" w14:textId="77777777" w:rsidR="003A192C" w:rsidRPr="00C326E7" w:rsidRDefault="003A192C" w:rsidP="003A192C">
      <w:pPr>
        <w:pStyle w:val="ListParagraph"/>
        <w:numPr>
          <w:ilvl w:val="0"/>
          <w:numId w:val="3"/>
        </w:numPr>
        <w:spacing w:line="360" w:lineRule="auto"/>
        <w:rPr>
          <w:rFonts w:ascii="Arial" w:hAnsi="Arial" w:cs="Arial"/>
          <w:sz w:val="22"/>
          <w:szCs w:val="22"/>
        </w:rPr>
      </w:pPr>
      <w:r w:rsidRPr="00C326E7">
        <w:rPr>
          <w:rFonts w:ascii="Arial" w:hAnsi="Arial" w:cs="Arial"/>
          <w:sz w:val="22"/>
          <w:szCs w:val="22"/>
        </w:rPr>
        <w:t>HCWs – Healthcare Workers</w:t>
      </w:r>
    </w:p>
    <w:p w14:paraId="745133A8" w14:textId="77777777" w:rsidR="003A192C" w:rsidRPr="00C326E7" w:rsidRDefault="003A192C" w:rsidP="003A192C">
      <w:pPr>
        <w:pStyle w:val="ListParagraph"/>
        <w:numPr>
          <w:ilvl w:val="0"/>
          <w:numId w:val="3"/>
        </w:numPr>
        <w:spacing w:line="360" w:lineRule="auto"/>
        <w:rPr>
          <w:rFonts w:ascii="Arial" w:hAnsi="Arial" w:cs="Arial"/>
          <w:sz w:val="22"/>
          <w:szCs w:val="22"/>
        </w:rPr>
      </w:pPr>
      <w:r w:rsidRPr="00C326E7">
        <w:rPr>
          <w:rFonts w:ascii="Arial" w:hAnsi="Arial" w:cs="Arial"/>
          <w:sz w:val="22"/>
          <w:szCs w:val="22"/>
        </w:rPr>
        <w:t>HSC – Health and Social Care</w:t>
      </w:r>
    </w:p>
    <w:p w14:paraId="6A37AF5D" w14:textId="77777777" w:rsidR="003A192C" w:rsidRPr="00C326E7" w:rsidRDefault="003A192C" w:rsidP="003A192C">
      <w:pPr>
        <w:pStyle w:val="ListParagraph"/>
        <w:numPr>
          <w:ilvl w:val="0"/>
          <w:numId w:val="3"/>
        </w:numPr>
        <w:spacing w:line="360" w:lineRule="auto"/>
        <w:rPr>
          <w:rFonts w:ascii="Arial" w:hAnsi="Arial" w:cs="Arial"/>
          <w:sz w:val="22"/>
          <w:szCs w:val="22"/>
        </w:rPr>
      </w:pPr>
      <w:r w:rsidRPr="00C326E7">
        <w:rPr>
          <w:rFonts w:ascii="Arial" w:hAnsi="Arial" w:cs="Arial"/>
          <w:sz w:val="22"/>
          <w:szCs w:val="22"/>
        </w:rPr>
        <w:t>MH – Mental Health</w:t>
      </w:r>
    </w:p>
    <w:p w14:paraId="754F72CD" w14:textId="77777777" w:rsidR="003A192C" w:rsidRPr="00C326E7" w:rsidRDefault="003A192C" w:rsidP="003A192C">
      <w:pPr>
        <w:pStyle w:val="ListParagraph"/>
        <w:numPr>
          <w:ilvl w:val="0"/>
          <w:numId w:val="3"/>
        </w:numPr>
        <w:spacing w:line="360" w:lineRule="auto"/>
        <w:rPr>
          <w:rFonts w:ascii="Arial" w:hAnsi="Arial" w:cs="Arial"/>
          <w:sz w:val="22"/>
          <w:szCs w:val="22"/>
        </w:rPr>
      </w:pPr>
      <w:r w:rsidRPr="00C326E7">
        <w:rPr>
          <w:rFonts w:ascii="Arial" w:hAnsi="Arial" w:cs="Arial"/>
          <w:sz w:val="22"/>
          <w:szCs w:val="22"/>
        </w:rPr>
        <w:t>WHO – World Health Organization</w:t>
      </w:r>
    </w:p>
    <w:p w14:paraId="03F41185"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Clarifying these terms ensures that readers unfamiliar with occupational health terminology can follow the analysis and appreciate the nuances of burnout and mental health within healthcare environments.</w:t>
      </w:r>
    </w:p>
    <w:p w14:paraId="4550D623" w14:textId="77777777" w:rsidR="003A192C" w:rsidRPr="0002530C" w:rsidRDefault="003A192C" w:rsidP="00864031">
      <w:pPr>
        <w:spacing w:line="360" w:lineRule="auto"/>
        <w:rPr>
          <w:rFonts w:ascii="Arial" w:hAnsi="Arial" w:cs="Arial"/>
          <w:b/>
          <w:bCs/>
          <w:sz w:val="22"/>
          <w:szCs w:val="22"/>
        </w:rPr>
      </w:pPr>
      <w:r w:rsidRPr="0002530C">
        <w:rPr>
          <w:rFonts w:ascii="Arial" w:hAnsi="Arial" w:cs="Arial"/>
          <w:b/>
          <w:bCs/>
          <w:sz w:val="22"/>
          <w:szCs w:val="22"/>
        </w:rPr>
        <w:t xml:space="preserve">1.3 Rationale for Research </w:t>
      </w:r>
    </w:p>
    <w:p w14:paraId="4933C6BE"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The decision to focus on burnout and mental health among healthcare workers is supported by growing evidence that occupational stress has reached critical levels in healthcare settings. According to The King’s Fund (2021), chronic understaffing, rising patient demand, and the lingering effects of the pandemic have created a workforce under immense strain. Research by Cañadas-De la Fuente et al. (2015) further highlights the timeliness and importance of studying these issues. Additionally, Brotheridge and Lee (2003) note that the emotional labour inherent in healthcare—such as managing distressing situations and supporting vulnerable patients—can exacerbate mental health risks, a point reinforced by Mealer et al. (2009).</w:t>
      </w:r>
    </w:p>
    <w:p w14:paraId="625C528B"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Burnout not only affects individual wellbeing but also compromises patient safety, staff retention, and quality of care, as reported by Dyrbye et al. (2017). Despite substantial research, gaps remain in understanding how healthcare workers themselves experience burnout, particularly when workplace cultures discourage open discussions about mental health, as noted by Shapiro et al. (2018). Furthermore, Rotenstein et al. (2018) observe that most studies focus on quantitative measures, with less attention to the qualitative, day-to-day struggles that remain largely invisible.</w:t>
      </w:r>
    </w:p>
    <w:p w14:paraId="0AD79171"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 xml:space="preserve">This research aims to address these gaps by examining burnout and mental health through a holistic lens, incorporating emotional, organisational, and systemic perspectives. As </w:t>
      </w:r>
      <w:r w:rsidRPr="00BC612D">
        <w:rPr>
          <w:rFonts w:ascii="Arial" w:hAnsi="Arial" w:cs="Arial"/>
          <w:sz w:val="22"/>
          <w:szCs w:val="22"/>
        </w:rPr>
        <w:lastRenderedPageBreak/>
        <w:t>argued by Shanafelt and Noseworthy (2017), such an approach can inform more compassionate and effective strategies to support healthcare workers, ultimately improving workforce wellbeing and the quality of care.</w:t>
      </w:r>
    </w:p>
    <w:p w14:paraId="0AF34198" w14:textId="3A7AC464" w:rsidR="003A192C" w:rsidRPr="000B1102" w:rsidRDefault="003A192C" w:rsidP="000B1102">
      <w:pPr>
        <w:pStyle w:val="ListParagraph"/>
        <w:numPr>
          <w:ilvl w:val="1"/>
          <w:numId w:val="5"/>
        </w:numPr>
        <w:spacing w:line="360" w:lineRule="auto"/>
        <w:rPr>
          <w:rFonts w:ascii="Arial" w:hAnsi="Arial" w:cs="Arial"/>
          <w:b/>
          <w:bCs/>
          <w:sz w:val="22"/>
          <w:szCs w:val="22"/>
        </w:rPr>
      </w:pPr>
      <w:r w:rsidRPr="000B1102">
        <w:rPr>
          <w:rFonts w:ascii="Arial" w:hAnsi="Arial" w:cs="Arial"/>
          <w:b/>
          <w:bCs/>
          <w:sz w:val="22"/>
          <w:szCs w:val="22"/>
        </w:rPr>
        <w:t xml:space="preserve">Aim and Objectives </w:t>
      </w:r>
    </w:p>
    <w:p w14:paraId="312817C5"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The overarching aim of this research is to investigate the causes, experiences, and consequences of burnout and mental health challenges among healthcare workers, and to identify strategies for improving wellbeing within healthcare organisations. This aim reflects the need to understand burnout not as an individual failing, but as a complex phenomenon shaped by organisational environments, cultural expectations, and systemic pressures.</w:t>
      </w:r>
    </w:p>
    <w:p w14:paraId="6A24B934"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To achieve this aim, the research is guided by the following objectives:</w:t>
      </w:r>
    </w:p>
    <w:p w14:paraId="1DE1FB86" w14:textId="77777777" w:rsidR="003A192C" w:rsidRPr="00C326E7" w:rsidRDefault="003A192C" w:rsidP="003A192C">
      <w:pPr>
        <w:pStyle w:val="ListParagraph"/>
        <w:numPr>
          <w:ilvl w:val="0"/>
          <w:numId w:val="4"/>
        </w:numPr>
        <w:spacing w:line="360" w:lineRule="auto"/>
        <w:rPr>
          <w:rFonts w:ascii="Arial" w:hAnsi="Arial" w:cs="Arial"/>
          <w:sz w:val="22"/>
          <w:szCs w:val="22"/>
        </w:rPr>
      </w:pPr>
      <w:r w:rsidRPr="00FD07BD">
        <w:rPr>
          <w:rFonts w:ascii="Arial" w:hAnsi="Arial" w:cs="Arial"/>
          <w:b/>
          <w:bCs/>
          <w:sz w:val="22"/>
          <w:szCs w:val="22"/>
        </w:rPr>
        <w:t>Objective 1</w:t>
      </w:r>
      <w:r w:rsidRPr="00C326E7">
        <w:rPr>
          <w:rFonts w:ascii="Arial" w:hAnsi="Arial" w:cs="Arial"/>
          <w:sz w:val="22"/>
          <w:szCs w:val="22"/>
        </w:rPr>
        <w:t>: To explore the key factors contributing to burnout and mental health difficulties among healthcare workers within contemporary healthcare environments.</w:t>
      </w:r>
    </w:p>
    <w:p w14:paraId="017B1249" w14:textId="77777777" w:rsidR="003A192C" w:rsidRPr="00C326E7" w:rsidRDefault="003A192C" w:rsidP="003A192C">
      <w:pPr>
        <w:pStyle w:val="ListParagraph"/>
        <w:numPr>
          <w:ilvl w:val="0"/>
          <w:numId w:val="4"/>
        </w:numPr>
        <w:spacing w:line="360" w:lineRule="auto"/>
        <w:rPr>
          <w:rFonts w:ascii="Arial" w:hAnsi="Arial" w:cs="Arial"/>
          <w:sz w:val="22"/>
          <w:szCs w:val="22"/>
        </w:rPr>
      </w:pPr>
      <w:r w:rsidRPr="00FD07BD">
        <w:rPr>
          <w:rFonts w:ascii="Arial" w:hAnsi="Arial" w:cs="Arial"/>
          <w:b/>
          <w:bCs/>
          <w:sz w:val="22"/>
          <w:szCs w:val="22"/>
        </w:rPr>
        <w:t>Objective 2</w:t>
      </w:r>
      <w:r w:rsidRPr="00C326E7">
        <w:rPr>
          <w:rFonts w:ascii="Arial" w:hAnsi="Arial" w:cs="Arial"/>
          <w:sz w:val="22"/>
          <w:szCs w:val="22"/>
        </w:rPr>
        <w:t>: To examine healthcare workers’ personal experiences and perceptions of burnout, with attention to emotional labour, workplace culture, and professional identity.</w:t>
      </w:r>
    </w:p>
    <w:p w14:paraId="69791C63" w14:textId="77777777" w:rsidR="003A192C" w:rsidRPr="00C326E7" w:rsidRDefault="003A192C" w:rsidP="003A192C">
      <w:pPr>
        <w:pStyle w:val="ListParagraph"/>
        <w:numPr>
          <w:ilvl w:val="0"/>
          <w:numId w:val="4"/>
        </w:numPr>
        <w:spacing w:line="360" w:lineRule="auto"/>
        <w:rPr>
          <w:rFonts w:ascii="Arial" w:hAnsi="Arial" w:cs="Arial"/>
          <w:sz w:val="22"/>
          <w:szCs w:val="22"/>
        </w:rPr>
      </w:pPr>
      <w:r w:rsidRPr="00FD07BD">
        <w:rPr>
          <w:rFonts w:ascii="Arial" w:hAnsi="Arial" w:cs="Arial"/>
          <w:b/>
          <w:bCs/>
          <w:sz w:val="22"/>
          <w:szCs w:val="22"/>
        </w:rPr>
        <w:t>Objective 3</w:t>
      </w:r>
      <w:r w:rsidRPr="00C326E7">
        <w:rPr>
          <w:rFonts w:ascii="Arial" w:hAnsi="Arial" w:cs="Arial"/>
          <w:sz w:val="22"/>
          <w:szCs w:val="22"/>
        </w:rPr>
        <w:t>: To identify the organisational practices, policies, or cultural elements that may exacerbate or alleviate burnout among healthcare staff.</w:t>
      </w:r>
    </w:p>
    <w:p w14:paraId="6642DFB3" w14:textId="77777777" w:rsidR="003A192C" w:rsidRPr="00C326E7" w:rsidRDefault="003A192C" w:rsidP="003A192C">
      <w:pPr>
        <w:pStyle w:val="ListParagraph"/>
        <w:numPr>
          <w:ilvl w:val="0"/>
          <w:numId w:val="4"/>
        </w:numPr>
        <w:spacing w:line="360" w:lineRule="auto"/>
        <w:rPr>
          <w:rFonts w:ascii="Arial" w:hAnsi="Arial" w:cs="Arial"/>
          <w:sz w:val="22"/>
          <w:szCs w:val="22"/>
        </w:rPr>
      </w:pPr>
      <w:r w:rsidRPr="00FD07BD">
        <w:rPr>
          <w:rFonts w:ascii="Arial" w:hAnsi="Arial" w:cs="Arial"/>
          <w:b/>
          <w:bCs/>
          <w:sz w:val="22"/>
          <w:szCs w:val="22"/>
        </w:rPr>
        <w:t>Objective 4</w:t>
      </w:r>
      <w:r w:rsidRPr="00C326E7">
        <w:rPr>
          <w:rFonts w:ascii="Arial" w:hAnsi="Arial" w:cs="Arial"/>
          <w:sz w:val="22"/>
          <w:szCs w:val="22"/>
        </w:rPr>
        <w:t>: To evaluate potential strategies and interventions that could support improved mental health and resilience among healthcare workers, and to consider how these may be implemented effectively in practice.</w:t>
      </w:r>
    </w:p>
    <w:p w14:paraId="2E8CC440"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Together, these objectives provide a structured pathway for investigating the research problem. They ensure the dissertation remains focused, coherent, and aligned with its overarching aim, while also contributing meaningful insight to ongoing discussions surrounding workforce wellbeing in healthcare.</w:t>
      </w:r>
    </w:p>
    <w:p w14:paraId="69518624" w14:textId="77777777" w:rsidR="003A192C" w:rsidRPr="00FD07BD" w:rsidRDefault="003A192C" w:rsidP="00864031">
      <w:pPr>
        <w:spacing w:line="360" w:lineRule="auto"/>
        <w:rPr>
          <w:rFonts w:ascii="Arial" w:hAnsi="Arial" w:cs="Arial"/>
          <w:b/>
          <w:bCs/>
          <w:sz w:val="22"/>
          <w:szCs w:val="22"/>
        </w:rPr>
      </w:pPr>
      <w:r w:rsidRPr="00FD07BD">
        <w:rPr>
          <w:rFonts w:ascii="Arial" w:hAnsi="Arial" w:cs="Arial"/>
          <w:b/>
          <w:bCs/>
          <w:sz w:val="22"/>
          <w:szCs w:val="22"/>
        </w:rPr>
        <w:t xml:space="preserve">1.5 Conclusion </w:t>
      </w:r>
    </w:p>
    <w:p w14:paraId="77940A70"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This chapter has introduced the central focus of the dissertation: the invisible struggles of burnout and mental health challenges experienced by healthcare workers. It has outlined the relevance of the topic, established key terminology and acronyms, justified the rationale for the study, and set out the research aim and objectives. Addressing burnout is vital not only for the wellbeing of healthcare workers but also for the sustainability and quality of healthcare delivery.</w:t>
      </w:r>
    </w:p>
    <w:p w14:paraId="05615218"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 xml:space="preserve">The next chapter will present a comprehensive review of relevant literature. Chapter 2 will examine existing research on burnout, mental health, workplace stress, and resilience within </w:t>
      </w:r>
      <w:r w:rsidRPr="00BC612D">
        <w:rPr>
          <w:rFonts w:ascii="Arial" w:hAnsi="Arial" w:cs="Arial"/>
          <w:sz w:val="22"/>
          <w:szCs w:val="22"/>
        </w:rPr>
        <w:lastRenderedPageBreak/>
        <w:t>healthcare settings, highlighting theoretical frameworks, empirical findings, and current debates that inform the study and provide the foundation for the dissertation’s analysis.</w:t>
      </w:r>
    </w:p>
    <w:p w14:paraId="01970950" w14:textId="77777777" w:rsidR="003A192C" w:rsidRDefault="003A192C" w:rsidP="00864031">
      <w:pPr>
        <w:spacing w:line="360" w:lineRule="auto"/>
        <w:rPr>
          <w:rFonts w:ascii="Arial" w:hAnsi="Arial" w:cs="Arial"/>
          <w:sz w:val="22"/>
          <w:szCs w:val="22"/>
        </w:rPr>
      </w:pPr>
    </w:p>
    <w:p w14:paraId="74D7AEEC" w14:textId="77777777" w:rsidR="003A192C" w:rsidRDefault="003A192C" w:rsidP="00864031">
      <w:pPr>
        <w:spacing w:line="360" w:lineRule="auto"/>
        <w:rPr>
          <w:rFonts w:ascii="Arial" w:hAnsi="Arial" w:cs="Arial"/>
          <w:sz w:val="22"/>
          <w:szCs w:val="22"/>
        </w:rPr>
      </w:pPr>
    </w:p>
    <w:p w14:paraId="70535E7D" w14:textId="77777777" w:rsidR="003A192C" w:rsidRDefault="003A192C" w:rsidP="00864031">
      <w:pPr>
        <w:spacing w:line="360" w:lineRule="auto"/>
        <w:rPr>
          <w:rFonts w:ascii="Arial" w:hAnsi="Arial" w:cs="Arial"/>
          <w:sz w:val="22"/>
          <w:szCs w:val="22"/>
        </w:rPr>
      </w:pPr>
    </w:p>
    <w:p w14:paraId="0A5F4030" w14:textId="77777777" w:rsidR="003A192C" w:rsidRDefault="003A192C" w:rsidP="00864031">
      <w:pPr>
        <w:spacing w:line="360" w:lineRule="auto"/>
        <w:rPr>
          <w:rFonts w:ascii="Arial" w:hAnsi="Arial" w:cs="Arial"/>
          <w:sz w:val="22"/>
          <w:szCs w:val="22"/>
        </w:rPr>
      </w:pPr>
    </w:p>
    <w:p w14:paraId="1A81EB3F" w14:textId="77777777" w:rsidR="003A192C" w:rsidRDefault="003A192C" w:rsidP="00864031">
      <w:pPr>
        <w:spacing w:line="360" w:lineRule="auto"/>
        <w:rPr>
          <w:rFonts w:ascii="Arial" w:hAnsi="Arial" w:cs="Arial"/>
          <w:sz w:val="22"/>
          <w:szCs w:val="22"/>
        </w:rPr>
      </w:pPr>
    </w:p>
    <w:p w14:paraId="4B630AEF" w14:textId="77777777" w:rsidR="003A192C" w:rsidRDefault="003A192C" w:rsidP="00864031">
      <w:pPr>
        <w:spacing w:line="360" w:lineRule="auto"/>
        <w:rPr>
          <w:rFonts w:ascii="Arial" w:hAnsi="Arial" w:cs="Arial"/>
          <w:sz w:val="22"/>
          <w:szCs w:val="22"/>
        </w:rPr>
      </w:pPr>
    </w:p>
    <w:p w14:paraId="7A2967F2" w14:textId="77777777" w:rsidR="003A192C" w:rsidRDefault="003A192C" w:rsidP="00864031">
      <w:pPr>
        <w:spacing w:line="360" w:lineRule="auto"/>
        <w:rPr>
          <w:rFonts w:ascii="Arial" w:hAnsi="Arial" w:cs="Arial"/>
          <w:sz w:val="22"/>
          <w:szCs w:val="22"/>
        </w:rPr>
      </w:pPr>
    </w:p>
    <w:p w14:paraId="1D434A30" w14:textId="77777777" w:rsidR="003A192C" w:rsidRDefault="003A192C" w:rsidP="00864031">
      <w:pPr>
        <w:spacing w:line="360" w:lineRule="auto"/>
        <w:rPr>
          <w:rFonts w:ascii="Arial" w:hAnsi="Arial" w:cs="Arial"/>
          <w:sz w:val="22"/>
          <w:szCs w:val="22"/>
        </w:rPr>
      </w:pPr>
    </w:p>
    <w:p w14:paraId="43C424A7" w14:textId="77777777" w:rsidR="003A192C" w:rsidRDefault="003A192C" w:rsidP="00864031">
      <w:pPr>
        <w:spacing w:line="360" w:lineRule="auto"/>
        <w:rPr>
          <w:rFonts w:ascii="Arial" w:hAnsi="Arial" w:cs="Arial"/>
          <w:sz w:val="22"/>
          <w:szCs w:val="22"/>
        </w:rPr>
      </w:pPr>
    </w:p>
    <w:p w14:paraId="76B41106" w14:textId="77777777" w:rsidR="003A192C" w:rsidRDefault="003A192C" w:rsidP="00864031">
      <w:pPr>
        <w:spacing w:line="360" w:lineRule="auto"/>
        <w:rPr>
          <w:rFonts w:ascii="Arial" w:hAnsi="Arial" w:cs="Arial"/>
          <w:sz w:val="22"/>
          <w:szCs w:val="22"/>
        </w:rPr>
      </w:pPr>
    </w:p>
    <w:p w14:paraId="52C741F0" w14:textId="77777777" w:rsidR="003A192C" w:rsidRDefault="003A192C" w:rsidP="00864031">
      <w:pPr>
        <w:spacing w:line="360" w:lineRule="auto"/>
        <w:rPr>
          <w:rFonts w:ascii="Arial" w:hAnsi="Arial" w:cs="Arial"/>
          <w:sz w:val="22"/>
          <w:szCs w:val="22"/>
        </w:rPr>
      </w:pPr>
    </w:p>
    <w:p w14:paraId="51AC6652" w14:textId="77777777" w:rsidR="003A192C" w:rsidRDefault="003A192C" w:rsidP="00864031">
      <w:pPr>
        <w:spacing w:line="360" w:lineRule="auto"/>
        <w:rPr>
          <w:rFonts w:ascii="Arial" w:hAnsi="Arial" w:cs="Arial"/>
          <w:sz w:val="22"/>
          <w:szCs w:val="22"/>
        </w:rPr>
      </w:pPr>
    </w:p>
    <w:p w14:paraId="304AFD5A" w14:textId="77777777" w:rsidR="003A192C" w:rsidRDefault="003A192C" w:rsidP="00864031">
      <w:pPr>
        <w:spacing w:line="360" w:lineRule="auto"/>
        <w:rPr>
          <w:rFonts w:ascii="Arial" w:hAnsi="Arial" w:cs="Arial"/>
          <w:sz w:val="22"/>
          <w:szCs w:val="22"/>
        </w:rPr>
      </w:pPr>
    </w:p>
    <w:p w14:paraId="64295E95" w14:textId="77777777" w:rsidR="003A192C" w:rsidRDefault="003A192C" w:rsidP="00864031">
      <w:pPr>
        <w:spacing w:line="360" w:lineRule="auto"/>
        <w:rPr>
          <w:rFonts w:ascii="Arial" w:hAnsi="Arial" w:cs="Arial"/>
          <w:sz w:val="22"/>
          <w:szCs w:val="22"/>
        </w:rPr>
      </w:pPr>
    </w:p>
    <w:p w14:paraId="0287CBC0" w14:textId="77777777" w:rsidR="003A192C" w:rsidRDefault="003A192C" w:rsidP="00864031">
      <w:pPr>
        <w:spacing w:line="360" w:lineRule="auto"/>
        <w:rPr>
          <w:rFonts w:ascii="Arial" w:hAnsi="Arial" w:cs="Arial"/>
          <w:sz w:val="22"/>
          <w:szCs w:val="22"/>
        </w:rPr>
      </w:pPr>
    </w:p>
    <w:p w14:paraId="52D6638A" w14:textId="77777777" w:rsidR="003A192C" w:rsidRDefault="003A192C" w:rsidP="00864031">
      <w:pPr>
        <w:spacing w:line="360" w:lineRule="auto"/>
        <w:rPr>
          <w:rFonts w:ascii="Arial" w:hAnsi="Arial" w:cs="Arial"/>
          <w:sz w:val="22"/>
          <w:szCs w:val="22"/>
        </w:rPr>
      </w:pPr>
    </w:p>
    <w:p w14:paraId="1E36CF3F" w14:textId="77777777" w:rsidR="003A192C" w:rsidRDefault="003A192C" w:rsidP="00864031">
      <w:pPr>
        <w:spacing w:line="360" w:lineRule="auto"/>
        <w:rPr>
          <w:rFonts w:ascii="Arial" w:hAnsi="Arial" w:cs="Arial"/>
          <w:sz w:val="22"/>
          <w:szCs w:val="22"/>
        </w:rPr>
      </w:pPr>
    </w:p>
    <w:p w14:paraId="5BC1034F" w14:textId="77777777" w:rsidR="003A192C" w:rsidRDefault="003A192C" w:rsidP="00864031">
      <w:pPr>
        <w:spacing w:line="360" w:lineRule="auto"/>
        <w:rPr>
          <w:rFonts w:ascii="Arial" w:hAnsi="Arial" w:cs="Arial"/>
          <w:sz w:val="22"/>
          <w:szCs w:val="22"/>
        </w:rPr>
      </w:pPr>
    </w:p>
    <w:p w14:paraId="67E6FDAB" w14:textId="77777777" w:rsidR="003A192C" w:rsidRDefault="003A192C" w:rsidP="00864031">
      <w:pPr>
        <w:spacing w:line="360" w:lineRule="auto"/>
        <w:rPr>
          <w:rFonts w:ascii="Arial" w:hAnsi="Arial" w:cs="Arial"/>
          <w:sz w:val="22"/>
          <w:szCs w:val="22"/>
        </w:rPr>
      </w:pPr>
    </w:p>
    <w:p w14:paraId="11244810" w14:textId="77777777" w:rsidR="003A192C" w:rsidRDefault="003A192C" w:rsidP="00864031">
      <w:pPr>
        <w:spacing w:line="360" w:lineRule="auto"/>
        <w:rPr>
          <w:rFonts w:ascii="Arial" w:hAnsi="Arial" w:cs="Arial"/>
          <w:sz w:val="22"/>
          <w:szCs w:val="22"/>
        </w:rPr>
      </w:pPr>
    </w:p>
    <w:p w14:paraId="275B3E1D" w14:textId="77777777" w:rsidR="003A192C" w:rsidRDefault="003A192C" w:rsidP="00864031">
      <w:pPr>
        <w:spacing w:line="360" w:lineRule="auto"/>
        <w:rPr>
          <w:rFonts w:ascii="Arial" w:hAnsi="Arial" w:cs="Arial"/>
          <w:sz w:val="22"/>
          <w:szCs w:val="22"/>
        </w:rPr>
      </w:pPr>
    </w:p>
    <w:p w14:paraId="4BEEFA57" w14:textId="77777777" w:rsidR="003A192C" w:rsidRDefault="003A192C" w:rsidP="00864031">
      <w:pPr>
        <w:spacing w:line="360" w:lineRule="auto"/>
        <w:rPr>
          <w:rFonts w:ascii="Arial" w:hAnsi="Arial" w:cs="Arial"/>
          <w:sz w:val="22"/>
          <w:szCs w:val="22"/>
        </w:rPr>
      </w:pPr>
    </w:p>
    <w:p w14:paraId="581B0BB0" w14:textId="77777777" w:rsidR="00ED270A" w:rsidRPr="00BC612D" w:rsidRDefault="00ED270A" w:rsidP="00864031">
      <w:pPr>
        <w:spacing w:line="360" w:lineRule="auto"/>
        <w:rPr>
          <w:rFonts w:ascii="Arial" w:hAnsi="Arial" w:cs="Arial"/>
          <w:sz w:val="22"/>
          <w:szCs w:val="22"/>
        </w:rPr>
      </w:pPr>
    </w:p>
    <w:p w14:paraId="4BB1B152" w14:textId="77777777" w:rsidR="00ED270A" w:rsidRDefault="00ED270A" w:rsidP="00864031">
      <w:pPr>
        <w:spacing w:line="360" w:lineRule="auto"/>
        <w:rPr>
          <w:rFonts w:ascii="Arial" w:hAnsi="Arial" w:cs="Arial"/>
          <w:b/>
          <w:bCs/>
          <w:sz w:val="28"/>
          <w:szCs w:val="28"/>
        </w:rPr>
      </w:pPr>
    </w:p>
    <w:p w14:paraId="1A4CE415" w14:textId="0C1639BD" w:rsidR="003A192C" w:rsidRPr="00BC612D" w:rsidRDefault="003A192C" w:rsidP="00864031">
      <w:pPr>
        <w:spacing w:line="360" w:lineRule="auto"/>
        <w:rPr>
          <w:rFonts w:ascii="Arial" w:hAnsi="Arial" w:cs="Arial"/>
          <w:b/>
          <w:bCs/>
          <w:sz w:val="28"/>
          <w:szCs w:val="28"/>
        </w:rPr>
      </w:pPr>
      <w:r w:rsidRPr="00BC612D">
        <w:rPr>
          <w:rFonts w:ascii="Arial" w:hAnsi="Arial" w:cs="Arial"/>
          <w:b/>
          <w:bCs/>
          <w:sz w:val="28"/>
          <w:szCs w:val="28"/>
        </w:rPr>
        <w:lastRenderedPageBreak/>
        <w:t>CHAPTER 2: Background Information and Analysis</w:t>
      </w:r>
    </w:p>
    <w:p w14:paraId="12D6BEF1" w14:textId="77777777" w:rsidR="003A192C" w:rsidRPr="00164163" w:rsidRDefault="003A192C" w:rsidP="00864031">
      <w:pPr>
        <w:spacing w:line="360" w:lineRule="auto"/>
        <w:rPr>
          <w:rFonts w:ascii="Arial" w:hAnsi="Arial" w:cs="Arial"/>
          <w:b/>
          <w:bCs/>
          <w:sz w:val="22"/>
          <w:szCs w:val="22"/>
        </w:rPr>
      </w:pPr>
      <w:r w:rsidRPr="00164163">
        <w:rPr>
          <w:rFonts w:ascii="Arial" w:hAnsi="Arial" w:cs="Arial"/>
          <w:b/>
          <w:bCs/>
          <w:sz w:val="22"/>
          <w:szCs w:val="22"/>
        </w:rPr>
        <w:t xml:space="preserve">2.1 Introduction </w:t>
      </w:r>
    </w:p>
    <w:p w14:paraId="5367E334"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The purpose of this chapter is to provide the necessary background and context for understanding burnout and mental health challenges among healthcare workers. According to Shanafelt and Noseworthy (2017), a comprehensive understanding of historical, theoretical, and contextual factors is essential for addressing occupational stress in healthcare. This chapter sets the foundation for the research by exploring the origins and evolution of the topic, key theoretical frameworks, and both international and UK-specific perspectives.</w:t>
      </w:r>
    </w:p>
    <w:p w14:paraId="53841433"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By examining historical developments, significant contributions from researchers and organisations, and the application of key psychological and occupational theories, the chapter contextualises burnout and mental health within healthcare settings. Furthermore, it considers the global and national landscapes, highlighting international trends, comparative practices, and UK policy frameworks. This background provides the foundation for subsequent research methods and analysis, ensuring that the study is both evidence-based and relevant to contemporary healthcare challenges.</w:t>
      </w:r>
    </w:p>
    <w:p w14:paraId="0D07C3A5" w14:textId="77777777" w:rsidR="003A192C" w:rsidRPr="00164163" w:rsidRDefault="003A192C" w:rsidP="00864031">
      <w:pPr>
        <w:spacing w:line="360" w:lineRule="auto"/>
        <w:rPr>
          <w:rFonts w:ascii="Arial" w:hAnsi="Arial" w:cs="Arial"/>
          <w:b/>
          <w:bCs/>
          <w:sz w:val="22"/>
          <w:szCs w:val="22"/>
        </w:rPr>
      </w:pPr>
      <w:r w:rsidRPr="00164163">
        <w:rPr>
          <w:rFonts w:ascii="Arial" w:hAnsi="Arial" w:cs="Arial"/>
          <w:b/>
          <w:bCs/>
          <w:sz w:val="22"/>
          <w:szCs w:val="22"/>
        </w:rPr>
        <w:t xml:space="preserve">2.2 Historical Background </w:t>
      </w:r>
    </w:p>
    <w:p w14:paraId="7DE93F9E" w14:textId="3CEBE19C"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 xml:space="preserve">The concept of burnout was first formally identified by Freudenberger (1974), who described it as a state of physical and emotional exhaustion resulting from chronic workplace stress. This early work laid the foundation for understanding how occupational stress affects performance and wellbeing. Maslach and Jackson (1981) later expanded the concept, introducing the Maslach Burnout Inventory (MBI), which remains one of the most widely used instruments for assessing burnout in healthcare professionals (Maslach et al., 2001). Over time, the notion of burnout has evolved from a narrow occupational phenomenon to a multidimensional construct encompassing emotional exhaustion, depersonalisation, and reduced personal </w:t>
      </w:r>
      <w:r w:rsidR="00A6613F">
        <w:rPr>
          <w:rFonts w:ascii="Arial" w:hAnsi="Arial" w:cs="Arial"/>
          <w:sz w:val="22"/>
          <w:szCs w:val="22"/>
        </w:rPr>
        <w:t>accomplishment.</w:t>
      </w:r>
    </w:p>
    <w:p w14:paraId="783A96D1"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Key historical milestones have shaped the contemporary understanding of burnout. In the 1980s and 1990s, research began to emphasise the psychological and organisational aspects of workplace stress, highlighting the influence of workload, role conflict, and lack of support on healthcare worker wellbeing (Leiter &amp; Maslach, 2000). The COVID-19 pandemic has further accelerated recognition of burnout as a critical public health issue, with studies documenting widespread mental health impacts among healthcare workers worldwide (Pappa et al., 2020).</w:t>
      </w:r>
    </w:p>
    <w:p w14:paraId="7AB8CAE1"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lastRenderedPageBreak/>
        <w:t>Significant contributors to the field include Herbert Freudenberger, whose early clinical observations informed burnout research, and Christina Maslach, whose work provided the theoretical framework and measurement tools still in use today. Organisations such as the World Health Organization have also played a role by identifying burnout as an occupational phenomenon in the International Classification of Diseases (ICD-11) and promoting strategies for workplace mental health (WHO, 2019).</w:t>
      </w:r>
    </w:p>
    <w:p w14:paraId="1E4C1CCA"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Overall, the historical development of burnout highlights the increasing recognition of occupational stress as both an individual and systemic issue. Understanding this evolution is crucial for contextualising current research and identifying effective interventions for healthcare workers, particularly in high-pressure environments such as hospitals and emergency care settings (Shanafelt et al., 2017; Dyrbye et al., 2020).</w:t>
      </w:r>
    </w:p>
    <w:p w14:paraId="68F93F62" w14:textId="77777777" w:rsidR="003A192C" w:rsidRPr="00164163" w:rsidRDefault="003A192C" w:rsidP="00864031">
      <w:pPr>
        <w:spacing w:line="360" w:lineRule="auto"/>
        <w:rPr>
          <w:rFonts w:ascii="Arial" w:hAnsi="Arial" w:cs="Arial"/>
          <w:b/>
          <w:bCs/>
          <w:sz w:val="22"/>
          <w:szCs w:val="22"/>
        </w:rPr>
      </w:pPr>
      <w:r w:rsidRPr="00164163">
        <w:rPr>
          <w:rFonts w:ascii="Arial" w:hAnsi="Arial" w:cs="Arial"/>
          <w:b/>
          <w:bCs/>
          <w:sz w:val="22"/>
          <w:szCs w:val="22"/>
        </w:rPr>
        <w:t xml:space="preserve">2.3 Theoretical Background </w:t>
      </w:r>
    </w:p>
    <w:p w14:paraId="3D016FD0"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Burnout and mental health in healthcare are underpinned by several key theories and concepts. One foundational framework is the Job Demands-Resources (JD-R) model, which posits that burnout results from an imbalance between job demands (e.g., workload, emotional strain) and available resources (e.g., support, autonomy) (Demerouti et al., 2001). According to Bakker and Demerouti (2017), this model helps explain why some healthcare workers experience burnout under identical working conditions, emphasising the role of organisational support and personal coping mechanisms.</w:t>
      </w:r>
    </w:p>
    <w:p w14:paraId="7B2B56E6"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Another relevant theory is the Conservation of Resources (COR) theory, which suggests that stress occurs when individuals perceive a threat to their resources or experience resource loss (Hobfoll, 1989). Research by Lee and Ashforth (1996) applied COR theory to healthcare, demonstrating that emotional exhaustion arises when healthcare professionals cannot replenish their personal or professional resources effectively.</w:t>
      </w:r>
    </w:p>
    <w:p w14:paraId="48B1BBAD" w14:textId="786C34B2"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 xml:space="preserve">Emotional labour theory is also significant, particularly in nursing and patient-facing roles. According to Hochschild (1983), emotional labour involves managing feelings and expressions to meet organisational expectations, which can contribute to psychological strain. Studies by </w:t>
      </w:r>
      <w:r w:rsidR="00F740CB" w:rsidRPr="00832FD9">
        <w:rPr>
          <w:rFonts w:ascii="Arial" w:eastAsia="Times New Roman" w:hAnsi="Arial" w:cs="Arial"/>
          <w:sz w:val="22"/>
          <w:szCs w:val="22"/>
        </w:rPr>
        <w:t>Partridge,</w:t>
      </w:r>
      <w:r w:rsidR="006E03B2" w:rsidRPr="00832FD9">
        <w:rPr>
          <w:rFonts w:ascii="Arial" w:eastAsia="Times New Roman" w:hAnsi="Arial" w:cs="Arial"/>
          <w:sz w:val="22"/>
          <w:szCs w:val="22"/>
        </w:rPr>
        <w:t>et al</w:t>
      </w:r>
      <w:r w:rsidRPr="00832FD9">
        <w:rPr>
          <w:rFonts w:ascii="Arial" w:hAnsi="Arial" w:cs="Arial"/>
          <w:sz w:val="22"/>
          <w:szCs w:val="22"/>
        </w:rPr>
        <w:t xml:space="preserve"> </w:t>
      </w:r>
      <w:r w:rsidRPr="00BC612D">
        <w:rPr>
          <w:rFonts w:ascii="Arial" w:hAnsi="Arial" w:cs="Arial"/>
          <w:sz w:val="22"/>
          <w:szCs w:val="22"/>
        </w:rPr>
        <w:t>(20</w:t>
      </w:r>
      <w:r w:rsidR="006E03B2">
        <w:rPr>
          <w:rFonts w:ascii="Arial" w:hAnsi="Arial" w:cs="Arial"/>
          <w:sz w:val="22"/>
          <w:szCs w:val="22"/>
        </w:rPr>
        <w:t>24</w:t>
      </w:r>
      <w:r w:rsidRPr="00BC612D">
        <w:rPr>
          <w:rFonts w:ascii="Arial" w:hAnsi="Arial" w:cs="Arial"/>
          <w:sz w:val="22"/>
          <w:szCs w:val="22"/>
        </w:rPr>
        <w:t>) highlight the link between emotional labour and burnout among healthcare workers, particularly in high-stress environments.</w:t>
      </w:r>
    </w:p>
    <w:p w14:paraId="6579BAEE" w14:textId="762B05B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 xml:space="preserve">These theories have been widely applied in empirical research. For example, studies using the JD-R model have explored how workload and social support predict burnout among nurses (Bakker et al., 2005). COR theory has informed interventions targeting resilience and coping strategies in physicians and allied health professionals (Mealer et al., 2009). </w:t>
      </w:r>
      <w:r w:rsidRPr="00BC612D">
        <w:rPr>
          <w:rFonts w:ascii="Arial" w:hAnsi="Arial" w:cs="Arial"/>
          <w:sz w:val="22"/>
          <w:szCs w:val="22"/>
        </w:rPr>
        <w:lastRenderedPageBreak/>
        <w:t>Emotional labour research has guided policies to improve staff wellbeing and reduce turnover in healthcare organisations.</w:t>
      </w:r>
    </w:p>
    <w:p w14:paraId="0A05298F"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Critically, each theory has limitations. The JD-R model, while flexible, may oversimplify complex organisational and cultural factors. COR theory emphasises resource loss but may underplay external systemic pressures, such as staffing shortages or policy constraints. Emotional labour theory focuses on individual emotional management but may neglect organisational responsibility for employee wellbeing. Debates continue regarding the best frameworks for understanding burnout, with scholars advocating for integrated models that consider both individual and systemic factors (Shanafelt &amp; Noseworthy, 2017; West et al., 2018).</w:t>
      </w:r>
    </w:p>
    <w:p w14:paraId="03181869" w14:textId="77777777" w:rsidR="003A192C" w:rsidRPr="00164163" w:rsidRDefault="003A192C" w:rsidP="00864031">
      <w:pPr>
        <w:spacing w:line="360" w:lineRule="auto"/>
        <w:rPr>
          <w:rFonts w:ascii="Arial" w:hAnsi="Arial" w:cs="Arial"/>
          <w:b/>
          <w:bCs/>
          <w:sz w:val="22"/>
          <w:szCs w:val="22"/>
        </w:rPr>
      </w:pPr>
      <w:r w:rsidRPr="00164163">
        <w:rPr>
          <w:rFonts w:ascii="Arial" w:hAnsi="Arial" w:cs="Arial"/>
          <w:b/>
          <w:bCs/>
          <w:sz w:val="22"/>
          <w:szCs w:val="22"/>
        </w:rPr>
        <w:t xml:space="preserve">2.4 International Context </w:t>
      </w:r>
    </w:p>
    <w:p w14:paraId="4E6D363B"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Burnout and healthcare worker mental health are recognised as global issues, affecting countries across all regions. According to the WHO (2022), burnout is prevalent in both high-income and low-income countries, with variations in prevalence influenced by healthcare infrastructure, staffing ratios, and cultural attitudes toward mental health.</w:t>
      </w:r>
    </w:p>
    <w:p w14:paraId="4EC65737"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In the United States, research indicates high levels of physician burnout, prompting organisations such as the American Medical Association to develop national wellbeing initiatives (Shanafelt et al., 2017). Similarly, in Canada, programs targeting resilience and stress management have been integrated into hospital systems (Hall et al., 2016).</w:t>
      </w:r>
    </w:p>
    <w:p w14:paraId="2A0CCB66"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European countries have also taken diverse approaches. For example, Sweden has implemented structured work-hour policies and occupational health support to reduce burnout, whereas Italy has focused on training interventions for emotional resilience among nurses (Cañadas-De la Fuente et al., 2015; Giorgi et al., 2018). In contrast, low- and middle-income countries often face systemic challenges, including staff shortages and limited access to mental health support, which exacerbate occupational stress (Buchan et al., 2015).</w:t>
      </w:r>
    </w:p>
    <w:p w14:paraId="47E3C98B"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Comparative analysis reveals that high-resource countries often prioritise individual resilience and organisational support, whereas lower-resource contexts may rely more on community and peer support networks (WHO, 2022). Global initiatives such as the WHO’s “Mental Health at Work” programme encourage cross-country collaboration to share best practices, emphasising both preventive strategies and organisational interventions (WHO, 2020).</w:t>
      </w:r>
    </w:p>
    <w:p w14:paraId="08B7A9E6"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 xml:space="preserve">Case studies illustrate successes and challenges. For example, hospitals in the United States that implemented structured mentorship and wellbeing programmes reported </w:t>
      </w:r>
      <w:r w:rsidRPr="00BC612D">
        <w:rPr>
          <w:rFonts w:ascii="Arial" w:hAnsi="Arial" w:cs="Arial"/>
          <w:sz w:val="22"/>
          <w:szCs w:val="22"/>
        </w:rPr>
        <w:lastRenderedPageBreak/>
        <w:t>reductions in burnout and improved retention rates (Shanafelt &amp; Noseworthy, 2017). In contrast, studies from sub-Saharan Africa highlight persistent stress due to high patient-to-staff ratios and limited resources, demonstrating that systemic factors strongly influence outcomes (Buchan et al., 2015).</w:t>
      </w:r>
    </w:p>
    <w:p w14:paraId="08FD8C36" w14:textId="77777777" w:rsidR="003A192C" w:rsidRPr="00164163" w:rsidRDefault="003A192C" w:rsidP="00864031">
      <w:pPr>
        <w:spacing w:line="360" w:lineRule="auto"/>
        <w:rPr>
          <w:rFonts w:ascii="Arial" w:hAnsi="Arial" w:cs="Arial"/>
          <w:b/>
          <w:bCs/>
          <w:sz w:val="22"/>
          <w:szCs w:val="22"/>
        </w:rPr>
      </w:pPr>
      <w:r w:rsidRPr="00164163">
        <w:rPr>
          <w:rFonts w:ascii="Arial" w:hAnsi="Arial" w:cs="Arial"/>
          <w:b/>
          <w:bCs/>
          <w:sz w:val="22"/>
          <w:szCs w:val="22"/>
        </w:rPr>
        <w:t>2.5 National/Local UK Context</w:t>
      </w:r>
    </w:p>
    <w:p w14:paraId="01F8BB2E"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In the UK, burnout and mental health among healthcare workers have received increasing attention. According to The King’s Fund (2021), NHS staff experience high levels of stress, linked to understaffing, long hours, and increasing patient demand. Research by West et al. (2018) highlights that burnout affects staff retention, patient care, and overall organisational performance.</w:t>
      </w:r>
    </w:p>
    <w:p w14:paraId="3E3172BB"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Key national policies aim to address these issues. The NHS Health and Wellbeing Framework (NHS England, 2019) provides guidelines for promoting staff mental health through wellbeing initiatives, counselling services, and leadership engagement. Additionally, the Health and Safety at Work Act (1974) and Management of Health and Safety at Work Regulations (1999) mandate employers to protect employee mental health alongside physical safet</w:t>
      </w:r>
      <w:r w:rsidRPr="00E7161B">
        <w:rPr>
          <w:rFonts w:ascii="Arial" w:hAnsi="Arial" w:cs="Arial"/>
          <w:sz w:val="22"/>
          <w:szCs w:val="22"/>
        </w:rPr>
        <w:t xml:space="preserve">y, </w:t>
      </w:r>
      <w:r w:rsidRPr="00E7161B">
        <w:rPr>
          <w:rFonts w:ascii="Arial" w:eastAsia="Times New Roman" w:hAnsi="Arial" w:cs="Arial"/>
          <w:sz w:val="22"/>
          <w:szCs w:val="22"/>
        </w:rPr>
        <w:t>As an employer, you have a general legal duty to protect the health, safety, and wellbeing of your employees—and this responsibility applies to mental health just as much as it does to physical health. An employer must take all reasonably practicable steps to safeguard workers and anyone else who may be affected by their work.</w:t>
      </w:r>
      <w:r w:rsidRPr="00E7161B">
        <w:rPr>
          <w:rFonts w:ascii="Arial" w:hAnsi="Arial" w:cs="Arial"/>
          <w:sz w:val="22"/>
          <w:szCs w:val="22"/>
        </w:rPr>
        <w:t xml:space="preserve"> These framework</w:t>
      </w:r>
      <w:r w:rsidRPr="00BC612D">
        <w:rPr>
          <w:rFonts w:ascii="Arial" w:hAnsi="Arial" w:cs="Arial"/>
          <w:sz w:val="22"/>
          <w:szCs w:val="22"/>
        </w:rPr>
        <w:t>s have encouraged NHS Trusts to implement wellbeing programmes, mindfulness training, and peer-support initiatives (Robertson et al., 2015).</w:t>
      </w:r>
    </w:p>
    <w:p w14:paraId="0A0B516C"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Local variations exist in how mental health support is delivered. For example, some NHS Trusts have embedded dedicated occupational health teams and resilience workshops, while others rely on external counselling services or employee assistance programmes (Crawford et al., 2019). Regional differences may reflect funding, leadership priorities, or workforce composition. Research by Mills et al. (2020) indicates that hospitals with proactive mental health strategies experience lower staff turnover and improved patient care outcomes, underscoring the impact of organisational culture.</w:t>
      </w:r>
    </w:p>
    <w:p w14:paraId="6AB328C4" w14:textId="77777777" w:rsidR="003A41A8" w:rsidRDefault="003A192C" w:rsidP="00864031">
      <w:pPr>
        <w:spacing w:line="360" w:lineRule="auto"/>
        <w:rPr>
          <w:rFonts w:ascii="Arial" w:hAnsi="Arial" w:cs="Arial"/>
          <w:sz w:val="22"/>
          <w:szCs w:val="22"/>
        </w:rPr>
      </w:pPr>
      <w:r w:rsidRPr="00BC612D">
        <w:rPr>
          <w:rFonts w:ascii="Arial" w:hAnsi="Arial" w:cs="Arial"/>
          <w:sz w:val="22"/>
          <w:szCs w:val="22"/>
        </w:rPr>
        <w:t>Professional organisations such as the Royal College of Nursing and the British Medical Association also provide resources and guidance to support staff wellbeing. These bodies advocate for systemic approaches, including workload management, flexible working, and the destigmatisation of mental health issues (BMA, 2021). Collectively, national and local strategies illustrate a commitment to improving healthcare worker wellbeing, although challenges remain in ensuring consistent implementation across regions and disciplines.</w:t>
      </w:r>
    </w:p>
    <w:p w14:paraId="6A63507A" w14:textId="5CCE201F" w:rsidR="003A192C" w:rsidRPr="003A41A8" w:rsidRDefault="003A192C" w:rsidP="00864031">
      <w:pPr>
        <w:spacing w:line="360" w:lineRule="auto"/>
        <w:rPr>
          <w:rFonts w:ascii="Arial" w:hAnsi="Arial" w:cs="Arial"/>
          <w:sz w:val="22"/>
          <w:szCs w:val="22"/>
        </w:rPr>
      </w:pPr>
      <w:r w:rsidRPr="00164163">
        <w:rPr>
          <w:rFonts w:ascii="Arial" w:hAnsi="Arial" w:cs="Arial"/>
          <w:b/>
          <w:bCs/>
          <w:sz w:val="22"/>
          <w:szCs w:val="22"/>
        </w:rPr>
        <w:lastRenderedPageBreak/>
        <w:t xml:space="preserve">2.6 Conclusion </w:t>
      </w:r>
    </w:p>
    <w:p w14:paraId="7F134D94" w14:textId="77777777" w:rsidR="003A192C" w:rsidRPr="00BC612D" w:rsidRDefault="003A192C" w:rsidP="00864031">
      <w:pPr>
        <w:spacing w:line="360" w:lineRule="auto"/>
        <w:rPr>
          <w:rFonts w:ascii="Arial" w:hAnsi="Arial" w:cs="Arial"/>
          <w:sz w:val="22"/>
          <w:szCs w:val="22"/>
        </w:rPr>
      </w:pPr>
      <w:r w:rsidRPr="00BC612D">
        <w:rPr>
          <w:rFonts w:ascii="Arial" w:hAnsi="Arial" w:cs="Arial"/>
          <w:sz w:val="22"/>
          <w:szCs w:val="22"/>
        </w:rPr>
        <w:t>This chapter has provided a comprehensive overview of the background and context for studying burnout and mental health among healthcare workers. Historically, burnout has evolved from early clinical observations to a well-defined occupational phenomenon, with significant contributions from researchers and organisations shaping contemporary understanding (Freudenberger, 1974; Maslach et al., 2001). Theoretical frameworks such as the JD-R model, COR theory, and emotional labour theory offer explanations for the mechanisms underlying burnout, while also highlighting ongoing debates and limitations.</w:t>
      </w:r>
    </w:p>
    <w:p w14:paraId="2294313C" w14:textId="77777777" w:rsidR="003A192C" w:rsidRDefault="003A192C" w:rsidP="00864031">
      <w:pPr>
        <w:spacing w:line="360" w:lineRule="auto"/>
        <w:rPr>
          <w:rFonts w:ascii="Arial" w:hAnsi="Arial" w:cs="Arial"/>
          <w:sz w:val="22"/>
          <w:szCs w:val="22"/>
        </w:rPr>
      </w:pPr>
      <w:r w:rsidRPr="00BC612D">
        <w:rPr>
          <w:rFonts w:ascii="Arial" w:hAnsi="Arial" w:cs="Arial"/>
          <w:sz w:val="22"/>
          <w:szCs w:val="22"/>
        </w:rPr>
        <w:t>The international section emphasised that burnout is a global concern, with approaches varying according to resources, policies, and cultural contexts. The UK context illustrates the interplay between national frameworks, local organisational practices, and workforce wellbeing initiatives. Together, this background information provides a solid foundation for the methodology chapter</w:t>
      </w:r>
      <w:r>
        <w:rPr>
          <w:rFonts w:ascii="Arial" w:hAnsi="Arial" w:cs="Arial"/>
          <w:sz w:val="22"/>
          <w:szCs w:val="22"/>
        </w:rPr>
        <w:t xml:space="preserve"> 3</w:t>
      </w:r>
      <w:r w:rsidRPr="00BC612D">
        <w:rPr>
          <w:rFonts w:ascii="Arial" w:hAnsi="Arial" w:cs="Arial"/>
          <w:sz w:val="22"/>
          <w:szCs w:val="22"/>
        </w:rPr>
        <w:t xml:space="preserve"> informing the research design, participant selection, and data collection strategies used to investigate burnout and mental health among healthcare workers.</w:t>
      </w:r>
    </w:p>
    <w:p w14:paraId="5340BDDC" w14:textId="77777777" w:rsidR="000C4179" w:rsidRDefault="000C4179" w:rsidP="00864031">
      <w:pPr>
        <w:spacing w:line="360" w:lineRule="auto"/>
        <w:rPr>
          <w:rFonts w:ascii="Arial" w:hAnsi="Arial" w:cs="Arial"/>
          <w:sz w:val="22"/>
          <w:szCs w:val="22"/>
        </w:rPr>
      </w:pPr>
    </w:p>
    <w:p w14:paraId="77D5B29B" w14:textId="77777777" w:rsidR="000C4179" w:rsidRDefault="000C4179" w:rsidP="00864031">
      <w:pPr>
        <w:spacing w:line="360" w:lineRule="auto"/>
        <w:rPr>
          <w:rFonts w:ascii="Arial" w:hAnsi="Arial" w:cs="Arial"/>
          <w:sz w:val="22"/>
          <w:szCs w:val="22"/>
        </w:rPr>
      </w:pPr>
    </w:p>
    <w:p w14:paraId="02267B2F" w14:textId="77777777" w:rsidR="000C4179" w:rsidRDefault="000C4179" w:rsidP="00864031">
      <w:pPr>
        <w:spacing w:line="360" w:lineRule="auto"/>
        <w:rPr>
          <w:rFonts w:ascii="Arial" w:hAnsi="Arial" w:cs="Arial"/>
          <w:sz w:val="22"/>
          <w:szCs w:val="22"/>
        </w:rPr>
      </w:pPr>
    </w:p>
    <w:p w14:paraId="3DF1E71D" w14:textId="77777777" w:rsidR="000C4179" w:rsidRDefault="000C4179" w:rsidP="00864031">
      <w:pPr>
        <w:spacing w:line="360" w:lineRule="auto"/>
        <w:rPr>
          <w:rFonts w:ascii="Arial" w:hAnsi="Arial" w:cs="Arial"/>
          <w:sz w:val="22"/>
          <w:szCs w:val="22"/>
        </w:rPr>
      </w:pPr>
    </w:p>
    <w:p w14:paraId="0F069728" w14:textId="77777777" w:rsidR="000C4179" w:rsidRDefault="000C4179" w:rsidP="00864031">
      <w:pPr>
        <w:spacing w:line="360" w:lineRule="auto"/>
        <w:rPr>
          <w:rFonts w:ascii="Arial" w:hAnsi="Arial" w:cs="Arial"/>
          <w:sz w:val="22"/>
          <w:szCs w:val="22"/>
        </w:rPr>
      </w:pPr>
    </w:p>
    <w:p w14:paraId="0B66C655" w14:textId="77777777" w:rsidR="000C4179" w:rsidRDefault="000C4179" w:rsidP="00864031">
      <w:pPr>
        <w:spacing w:line="360" w:lineRule="auto"/>
        <w:rPr>
          <w:rFonts w:ascii="Arial" w:hAnsi="Arial" w:cs="Arial"/>
          <w:sz w:val="22"/>
          <w:szCs w:val="22"/>
        </w:rPr>
      </w:pPr>
    </w:p>
    <w:p w14:paraId="46BDE767" w14:textId="77777777" w:rsidR="000C4179" w:rsidRDefault="000C4179" w:rsidP="00864031">
      <w:pPr>
        <w:spacing w:line="360" w:lineRule="auto"/>
        <w:rPr>
          <w:rFonts w:ascii="Arial" w:hAnsi="Arial" w:cs="Arial"/>
          <w:sz w:val="22"/>
          <w:szCs w:val="22"/>
        </w:rPr>
      </w:pPr>
    </w:p>
    <w:p w14:paraId="41CF82F8" w14:textId="77777777" w:rsidR="000C4179" w:rsidRDefault="000C4179" w:rsidP="00864031">
      <w:pPr>
        <w:spacing w:line="360" w:lineRule="auto"/>
        <w:rPr>
          <w:rFonts w:ascii="Arial" w:hAnsi="Arial" w:cs="Arial"/>
          <w:sz w:val="22"/>
          <w:szCs w:val="22"/>
        </w:rPr>
      </w:pPr>
    </w:p>
    <w:p w14:paraId="4821AF90" w14:textId="77777777" w:rsidR="000C4179" w:rsidRDefault="000C4179" w:rsidP="00864031">
      <w:pPr>
        <w:spacing w:line="360" w:lineRule="auto"/>
        <w:rPr>
          <w:rFonts w:ascii="Arial" w:hAnsi="Arial" w:cs="Arial"/>
          <w:sz w:val="22"/>
          <w:szCs w:val="22"/>
        </w:rPr>
      </w:pPr>
    </w:p>
    <w:p w14:paraId="2351D511" w14:textId="77777777" w:rsidR="000C4179" w:rsidRDefault="000C4179" w:rsidP="00864031">
      <w:pPr>
        <w:spacing w:line="360" w:lineRule="auto"/>
        <w:rPr>
          <w:rFonts w:ascii="Arial" w:hAnsi="Arial" w:cs="Arial"/>
          <w:sz w:val="22"/>
          <w:szCs w:val="22"/>
        </w:rPr>
      </w:pPr>
    </w:p>
    <w:p w14:paraId="369E4A5C" w14:textId="77777777" w:rsidR="003B279E" w:rsidRDefault="003B279E" w:rsidP="003B279E">
      <w:pPr>
        <w:rPr>
          <w:rFonts w:ascii="Arial" w:hAnsi="Arial" w:cs="Arial"/>
          <w:sz w:val="22"/>
          <w:szCs w:val="22"/>
        </w:rPr>
      </w:pPr>
    </w:p>
    <w:p w14:paraId="7118B8DA" w14:textId="77777777" w:rsidR="00ED270A" w:rsidRDefault="00ED270A" w:rsidP="003B279E">
      <w:pPr>
        <w:rPr>
          <w:rFonts w:ascii="Arial" w:hAnsi="Arial" w:cs="Arial"/>
          <w:sz w:val="22"/>
          <w:szCs w:val="22"/>
        </w:rPr>
      </w:pPr>
    </w:p>
    <w:p w14:paraId="592E778F" w14:textId="77777777" w:rsidR="003B279E" w:rsidRDefault="003B279E" w:rsidP="003B279E">
      <w:pPr>
        <w:rPr>
          <w:rFonts w:ascii="Arial" w:hAnsi="Arial" w:cs="Arial"/>
          <w:sz w:val="22"/>
          <w:szCs w:val="22"/>
        </w:rPr>
      </w:pPr>
    </w:p>
    <w:p w14:paraId="27CFF2B6" w14:textId="77777777" w:rsidR="00ED270A" w:rsidRDefault="00ED270A" w:rsidP="003B279E">
      <w:pPr>
        <w:rPr>
          <w:rFonts w:ascii="Arial" w:eastAsia="Times New Roman" w:hAnsi="Arial" w:cs="Arial"/>
          <w:b/>
          <w:bCs/>
          <w:sz w:val="28"/>
          <w:szCs w:val="28"/>
        </w:rPr>
      </w:pPr>
    </w:p>
    <w:p w14:paraId="0A9B14E8" w14:textId="77777777" w:rsidR="00ED270A" w:rsidRDefault="00ED270A" w:rsidP="003B279E">
      <w:pPr>
        <w:rPr>
          <w:rFonts w:ascii="Arial" w:eastAsia="Times New Roman" w:hAnsi="Arial" w:cs="Arial"/>
          <w:b/>
          <w:bCs/>
          <w:sz w:val="28"/>
          <w:szCs w:val="28"/>
        </w:rPr>
      </w:pPr>
    </w:p>
    <w:p w14:paraId="1BA5C100" w14:textId="29BB1ED8" w:rsidR="00592E10" w:rsidRPr="00664902" w:rsidRDefault="00592E10" w:rsidP="003B279E">
      <w:pPr>
        <w:rPr>
          <w:rFonts w:ascii="Arial" w:eastAsia="Times New Roman" w:hAnsi="Arial" w:cs="Arial"/>
          <w:b/>
          <w:bCs/>
          <w:sz w:val="28"/>
          <w:szCs w:val="28"/>
        </w:rPr>
      </w:pPr>
      <w:r w:rsidRPr="00664902">
        <w:rPr>
          <w:rFonts w:ascii="Arial" w:eastAsia="Times New Roman" w:hAnsi="Arial" w:cs="Arial"/>
          <w:b/>
          <w:bCs/>
          <w:sz w:val="28"/>
          <w:szCs w:val="28"/>
        </w:rPr>
        <w:lastRenderedPageBreak/>
        <w:t>CHAPTER 3: Research Methodology</w:t>
      </w:r>
    </w:p>
    <w:p w14:paraId="40E9D4D2" w14:textId="77777777" w:rsidR="00592E10" w:rsidRPr="00F26745" w:rsidRDefault="00592E10" w:rsidP="00864031">
      <w:pPr>
        <w:spacing w:line="360" w:lineRule="auto"/>
        <w:rPr>
          <w:rFonts w:ascii="Arial" w:eastAsia="Times New Roman" w:hAnsi="Arial" w:cs="Arial"/>
          <w:b/>
          <w:bCs/>
          <w:sz w:val="22"/>
          <w:szCs w:val="22"/>
        </w:rPr>
      </w:pPr>
      <w:r w:rsidRPr="00F26745">
        <w:rPr>
          <w:rFonts w:ascii="Arial" w:eastAsia="Times New Roman" w:hAnsi="Arial" w:cs="Arial"/>
          <w:b/>
          <w:bCs/>
          <w:sz w:val="22"/>
          <w:szCs w:val="22"/>
        </w:rPr>
        <w:t>3.1 Introduction</w:t>
      </w:r>
    </w:p>
    <w:p w14:paraId="6596627D" w14:textId="77777777"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This chapter outlines the methodology used to investigate burnout and mental health challenges among healthcare workers. The purpose of this chapter is to explain how the research was conducted using a desk-based, literature-based research approach. Secondary research was selected as it allows for the exploration of existing academic studies, policy reports, and professional literature relating to occupational stress, emotional labour, and workforce wellbeing within healthcare environments.</w:t>
      </w:r>
    </w:p>
    <w:p w14:paraId="554D4C52" w14:textId="511B340A"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The methodology poster</w:t>
      </w:r>
      <w:r w:rsidR="00353D35">
        <w:rPr>
          <w:rFonts w:ascii="Arial" w:eastAsia="Times New Roman" w:hAnsi="Arial" w:cs="Arial"/>
          <w:sz w:val="22"/>
          <w:szCs w:val="22"/>
        </w:rPr>
        <w:t xml:space="preserve"> (</w:t>
      </w:r>
      <w:r w:rsidR="007E3E16">
        <w:rPr>
          <w:rFonts w:ascii="Arial" w:eastAsia="Times New Roman" w:hAnsi="Arial" w:cs="Arial"/>
          <w:sz w:val="22"/>
          <w:szCs w:val="22"/>
        </w:rPr>
        <w:t xml:space="preserve">appendix 4) </w:t>
      </w:r>
      <w:r w:rsidR="00353D35">
        <w:rPr>
          <w:rFonts w:ascii="Arial" w:eastAsia="Times New Roman" w:hAnsi="Arial" w:cs="Arial"/>
          <w:sz w:val="22"/>
          <w:szCs w:val="22"/>
        </w:rPr>
        <w:t xml:space="preserve"> </w:t>
      </w:r>
      <w:r w:rsidRPr="009D1D64">
        <w:rPr>
          <w:rFonts w:ascii="Arial" w:eastAsia="Times New Roman" w:hAnsi="Arial" w:cs="Arial"/>
          <w:sz w:val="22"/>
          <w:szCs w:val="22"/>
        </w:rPr>
        <w:t>developed for this research provides a visual summary of the research process. This chapter expands upon each section of the poster, providing a detailed explanation of how information was identified, selected, evaluated, and analysed.</w:t>
      </w:r>
    </w:p>
    <w:p w14:paraId="1175C9BF" w14:textId="77777777"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The research methods outlined in this chapter are essential in ensuring that the literature selected directly supports the research aim of investigating the causes, experiences, and consequences of burnout among healthcare workers. The systematic approach to searching, validating, and analysing sources forms the foundation for the thematic findings presented in Chapter 4. By applying structured research methods, the study ensures reliability, credibility, and academic rigour.</w:t>
      </w:r>
    </w:p>
    <w:p w14:paraId="6EC963B3" w14:textId="77777777" w:rsidR="00592E10" w:rsidRPr="00F26745" w:rsidRDefault="00592E10" w:rsidP="00864031">
      <w:pPr>
        <w:spacing w:line="360" w:lineRule="auto"/>
        <w:rPr>
          <w:rFonts w:ascii="Arial" w:eastAsia="Times New Roman" w:hAnsi="Arial" w:cs="Arial"/>
          <w:b/>
          <w:bCs/>
          <w:sz w:val="22"/>
          <w:szCs w:val="22"/>
        </w:rPr>
      </w:pPr>
      <w:r w:rsidRPr="00F26745">
        <w:rPr>
          <w:rFonts w:ascii="Arial" w:eastAsia="Times New Roman" w:hAnsi="Arial" w:cs="Arial"/>
          <w:b/>
          <w:bCs/>
          <w:sz w:val="22"/>
          <w:szCs w:val="22"/>
        </w:rPr>
        <w:t>3.2 Search Strategy</w:t>
      </w:r>
    </w:p>
    <w:p w14:paraId="3F02B686" w14:textId="77777777"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A search strategy is a structured and systematic plan used to identify relevant academic sources that address a specific research topic. According to Booth et al. (2016), a well-developed search strategy improves research reliability by ensuring that literature selection is transparent, consistent, and replicable.</w:t>
      </w:r>
    </w:p>
    <w:p w14:paraId="66210D1E" w14:textId="77777777"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The search strategy for this dissertation was developed using keywords derived directly from the research aim and objectives. Primary keywords included burnout, mental health, healthcare workers, occupational stress, emotional labour, and workforce wellbeing. Additional professional and academic synonyms such as psychological distress, workplace resilience, and staff wellbeing were also used to broaden the search results.</w:t>
      </w:r>
    </w:p>
    <w:p w14:paraId="1D011AF5" w14:textId="77777777" w:rsidR="00592E10" w:rsidRPr="00983C9A"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Boolean operators were applied to refine search results. The operator AND was used to narrow searches by combining terms such as burnout AND healthcare workers. The operator OR was used to include related terms, for example mental health OR psychological wellbeing. The operator NOT was used to remove irrelevant results where necessary</w:t>
      </w:r>
      <w:r>
        <w:rPr>
          <w:rFonts w:ascii="Arial" w:eastAsia="Times New Roman" w:hAnsi="Arial" w:cs="Arial"/>
          <w:sz w:val="22"/>
          <w:szCs w:val="22"/>
        </w:rPr>
        <w:t>, f</w:t>
      </w:r>
      <w:r w:rsidRPr="00983C9A">
        <w:rPr>
          <w:rFonts w:ascii="Arial" w:eastAsia="Times New Roman" w:hAnsi="Arial" w:cs="Arial"/>
          <w:sz w:val="22"/>
          <w:szCs w:val="22"/>
        </w:rPr>
        <w:t xml:space="preserve">or example, one search conducted using Google Scholar used the search string </w:t>
      </w:r>
      <w:r w:rsidRPr="00983C9A">
        <w:rPr>
          <w:rStyle w:val="Strong"/>
          <w:rFonts w:ascii="Arial" w:eastAsia="Times New Roman" w:hAnsi="Arial" w:cs="Arial"/>
          <w:sz w:val="22"/>
          <w:szCs w:val="22"/>
        </w:rPr>
        <w:t xml:space="preserve">“burnout </w:t>
      </w:r>
      <w:r w:rsidRPr="00983C9A">
        <w:rPr>
          <w:rStyle w:val="Strong"/>
          <w:rFonts w:ascii="Arial" w:eastAsia="Times New Roman" w:hAnsi="Arial" w:cs="Arial"/>
          <w:sz w:val="22"/>
          <w:szCs w:val="22"/>
        </w:rPr>
        <w:lastRenderedPageBreak/>
        <w:t>AND healthcare workers AND mental health AND UK”</w:t>
      </w:r>
      <w:r w:rsidRPr="00983C9A">
        <w:rPr>
          <w:rFonts w:ascii="Arial" w:eastAsia="Times New Roman" w:hAnsi="Arial" w:cs="Arial"/>
          <w:sz w:val="22"/>
          <w:szCs w:val="22"/>
        </w:rPr>
        <w:t xml:space="preserve">. This search initially produced approximately </w:t>
      </w:r>
      <w:r w:rsidRPr="00983C9A">
        <w:rPr>
          <w:rStyle w:val="Strong"/>
          <w:rFonts w:ascii="Arial" w:eastAsia="Times New Roman" w:hAnsi="Arial" w:cs="Arial"/>
          <w:sz w:val="22"/>
          <w:szCs w:val="22"/>
        </w:rPr>
        <w:t>1,200 results</w:t>
      </w:r>
      <w:r w:rsidRPr="00983C9A">
        <w:rPr>
          <w:rFonts w:ascii="Arial" w:eastAsia="Times New Roman" w:hAnsi="Arial" w:cs="Arial"/>
          <w:sz w:val="22"/>
          <w:szCs w:val="22"/>
        </w:rPr>
        <w:t xml:space="preserve">. To improve relevance, additional filters were applied including publication date within the last ten years and peer-reviewed journal articles. After filtering, approximately </w:t>
      </w:r>
      <w:r w:rsidRPr="00983C9A">
        <w:rPr>
          <w:rStyle w:val="Strong"/>
          <w:rFonts w:ascii="Arial" w:eastAsia="Times New Roman" w:hAnsi="Arial" w:cs="Arial"/>
          <w:sz w:val="22"/>
          <w:szCs w:val="22"/>
        </w:rPr>
        <w:t>120 relevant sources</w:t>
      </w:r>
      <w:r w:rsidRPr="00983C9A">
        <w:rPr>
          <w:rFonts w:ascii="Arial" w:eastAsia="Times New Roman" w:hAnsi="Arial" w:cs="Arial"/>
          <w:sz w:val="22"/>
          <w:szCs w:val="22"/>
        </w:rPr>
        <w:t xml:space="preserve"> remained, which were then further reviewed for relevance to the research objectives.</w:t>
      </w:r>
    </w:p>
    <w:p w14:paraId="4E73E16D" w14:textId="77777777"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 xml:space="preserve">A structured search plan was implemented to record effective keyword combinations and refine search results over time. A source tracking table was created to document useful literature, search terms, and relevance to research objectives. This table is presented in </w:t>
      </w:r>
      <w:r w:rsidRPr="00E5797C">
        <w:rPr>
          <w:rFonts w:ascii="Arial" w:eastAsia="Times New Roman" w:hAnsi="Arial" w:cs="Arial"/>
          <w:b/>
          <w:bCs/>
          <w:sz w:val="22"/>
          <w:szCs w:val="22"/>
        </w:rPr>
        <w:t>Appendix 1</w:t>
      </w:r>
      <w:r w:rsidRPr="009D1D64">
        <w:rPr>
          <w:rFonts w:ascii="Arial" w:eastAsia="Times New Roman" w:hAnsi="Arial" w:cs="Arial"/>
          <w:sz w:val="22"/>
          <w:szCs w:val="22"/>
        </w:rPr>
        <w:t>.</w:t>
      </w:r>
    </w:p>
    <w:p w14:paraId="4E9BE3D2" w14:textId="77777777" w:rsidR="00592E10" w:rsidRPr="00F26745" w:rsidRDefault="00592E10" w:rsidP="00864031">
      <w:pPr>
        <w:spacing w:line="360" w:lineRule="auto"/>
        <w:rPr>
          <w:rFonts w:ascii="Arial" w:eastAsia="Times New Roman" w:hAnsi="Arial" w:cs="Arial"/>
          <w:b/>
          <w:bCs/>
          <w:sz w:val="22"/>
          <w:szCs w:val="22"/>
        </w:rPr>
      </w:pPr>
      <w:r w:rsidRPr="00F26745">
        <w:rPr>
          <w:rFonts w:ascii="Arial" w:eastAsia="Times New Roman" w:hAnsi="Arial" w:cs="Arial"/>
          <w:b/>
          <w:bCs/>
          <w:sz w:val="22"/>
          <w:szCs w:val="22"/>
        </w:rPr>
        <w:t>3.3 Searching for Information</w:t>
      </w:r>
    </w:p>
    <w:p w14:paraId="4D7FC53B" w14:textId="77777777"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Academic databases and reputable research platforms were used to locate credible and relevant literature. These included Google Scholar, PubMed, and university library databases. These platforms were selected because they provide access to peer-reviewed journal articles, academic textbooks, and healthcare policy reports. Peer-reviewed sources were prioritised as they undergo academic evaluation, improving reliability and credibility.</w:t>
      </w:r>
    </w:p>
    <w:p w14:paraId="39BE4F63" w14:textId="77777777"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Search filters were applied to improve relevance. Sources were limited to publications primarily within the last ten years to ensure currency and relevance to modern healthcare environments. UK-focused research was prioritised to align with the national healthcare context discussed in Chapter 2. Peer-reviewed articles and official policy documents were also prioritised to maintain academic quality</w:t>
      </w:r>
      <w:r>
        <w:rPr>
          <w:rFonts w:ascii="Arial" w:eastAsia="Times New Roman" w:hAnsi="Arial" w:cs="Arial"/>
          <w:sz w:val="22"/>
          <w:szCs w:val="22"/>
        </w:rPr>
        <w:t>.</w:t>
      </w:r>
    </w:p>
    <w:p w14:paraId="54F85278" w14:textId="77777777"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The search process required several adjustments. Initial searches produced broad results relating to general workplace stress rather than healthcare-specific burnout. Keywords were refined by including professional terminology such as emotional labour and healthcare workforce resilience. This improved search precision and ensured alignment with the research objectives.</w:t>
      </w:r>
    </w:p>
    <w:p w14:paraId="5580A6B3" w14:textId="77777777"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 xml:space="preserve">Throughout the research process, all selected sources were recorded in a source tracking table. The table summarises key findings, evaluates research credibility, and documents how each source contributes to the research aim. This table is included as </w:t>
      </w:r>
      <w:r w:rsidRPr="00397BE6">
        <w:rPr>
          <w:rFonts w:ascii="Arial" w:eastAsia="Times New Roman" w:hAnsi="Arial" w:cs="Arial"/>
          <w:b/>
          <w:bCs/>
          <w:sz w:val="22"/>
          <w:szCs w:val="22"/>
        </w:rPr>
        <w:t>Appendix 1</w:t>
      </w:r>
      <w:r w:rsidRPr="009D1D64">
        <w:rPr>
          <w:rFonts w:ascii="Arial" w:eastAsia="Times New Roman" w:hAnsi="Arial" w:cs="Arial"/>
          <w:sz w:val="22"/>
          <w:szCs w:val="22"/>
        </w:rPr>
        <w:t xml:space="preserve">. A summary table highlighting key thematic similarities between selected sources is presented as </w:t>
      </w:r>
      <w:r w:rsidRPr="00F56906">
        <w:rPr>
          <w:rFonts w:ascii="Arial" w:eastAsia="Times New Roman" w:hAnsi="Arial" w:cs="Arial"/>
          <w:b/>
          <w:bCs/>
          <w:sz w:val="22"/>
          <w:szCs w:val="22"/>
        </w:rPr>
        <w:t>Appendix 2</w:t>
      </w:r>
      <w:r w:rsidRPr="009D1D64">
        <w:rPr>
          <w:rFonts w:ascii="Arial" w:eastAsia="Times New Roman" w:hAnsi="Arial" w:cs="Arial"/>
          <w:sz w:val="22"/>
          <w:szCs w:val="22"/>
        </w:rPr>
        <w:t>.</w:t>
      </w:r>
    </w:p>
    <w:p w14:paraId="43880A74" w14:textId="0860C675" w:rsidR="00592E10" w:rsidRPr="00F26745" w:rsidRDefault="00592E10" w:rsidP="00864031">
      <w:pPr>
        <w:spacing w:line="360" w:lineRule="auto"/>
        <w:rPr>
          <w:rFonts w:ascii="Arial" w:eastAsia="Times New Roman" w:hAnsi="Arial" w:cs="Arial"/>
          <w:b/>
          <w:bCs/>
          <w:sz w:val="22"/>
          <w:szCs w:val="22"/>
        </w:rPr>
      </w:pPr>
      <w:r w:rsidRPr="00F26745">
        <w:rPr>
          <w:rFonts w:ascii="Arial" w:eastAsia="Times New Roman" w:hAnsi="Arial" w:cs="Arial"/>
          <w:b/>
          <w:bCs/>
          <w:sz w:val="22"/>
          <w:szCs w:val="22"/>
        </w:rPr>
        <w:t>3.4 Research Validation</w:t>
      </w:r>
    </w:p>
    <w:p w14:paraId="5505CD6B" w14:textId="77777777"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 xml:space="preserve">Research validation was conducted to ensure that selected literature was credible, relevant, and academically reliable. Skimming techniques were initially used to assess sources </w:t>
      </w:r>
      <w:r w:rsidRPr="009D1D64">
        <w:rPr>
          <w:rFonts w:ascii="Arial" w:eastAsia="Times New Roman" w:hAnsi="Arial" w:cs="Arial"/>
          <w:sz w:val="22"/>
          <w:szCs w:val="22"/>
        </w:rPr>
        <w:lastRenderedPageBreak/>
        <w:t>quickly. This involved reviewing titles, abstracts, introductions, and conclusions to determine whether the research directly addressed burnout and mental health among healthcare workers.</w:t>
      </w:r>
    </w:p>
    <w:p w14:paraId="5AA6746F" w14:textId="77777777"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The CRAAP test was applied to assess the quality of selected literature. This evaluation framework examines Currency, Relevance, Authority, Accuracy, and Purpose. Currency ensured that research reflected contemporary healthcare environments. Relevance assessed whether studies aligned with research objectives. Authority examined author expertise and institutional credibility. Accuracy evaluated research methodology and evidence quality. Purpose assessed potential bias or underlying research motivations.</w:t>
      </w:r>
    </w:p>
    <w:p w14:paraId="3ECDBC1D" w14:textId="77777777"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While not all sources satisfied every CRAAP criterion equally, priority was given to sources demonstrating strong academic authority and relevance to healthcare workforce wellbeing.</w:t>
      </w:r>
      <w:r>
        <w:rPr>
          <w:rFonts w:ascii="Arial" w:eastAsia="Times New Roman" w:hAnsi="Arial" w:cs="Arial"/>
          <w:sz w:val="22"/>
          <w:szCs w:val="22"/>
        </w:rPr>
        <w:t xml:space="preserve"> For example, one study identified during the initial search was published in 2005 and discussed occupational stress in general workplace settings. Although the topic was partially relevant, the source was excluded because it did not meet the currency criterion of the CRAAP test and did not focus specifically on healthcare workers. In contrast, a 2022 NHS workforce wellbeing report was included because it met the criteria for authority, relevance, and currency, as it was published by a recognised healthcare organisation and directly addressed staff wellbeing within the UK healthcare system.</w:t>
      </w:r>
    </w:p>
    <w:p w14:paraId="75B66CB0" w14:textId="77777777" w:rsidR="00592E10" w:rsidRPr="009D1D64" w:rsidRDefault="00592E10"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Decision-making during source selection involved evaluating whether research provided insight into organisational causes of burnout, healthcare worker experiences, or evidence-based intervention strategies. Sources that addressed these key research themes were included to support comprehensive analysis.</w:t>
      </w:r>
    </w:p>
    <w:p w14:paraId="696E131F" w14:textId="617B5D8B" w:rsidR="00EB1714" w:rsidRPr="00115138" w:rsidRDefault="00592E10" w:rsidP="0044312B">
      <w:pPr>
        <w:spacing w:line="360" w:lineRule="auto"/>
        <w:rPr>
          <w:rFonts w:ascii="Arial" w:eastAsia="Times New Roman" w:hAnsi="Arial" w:cs="Arial"/>
          <w:b/>
          <w:bCs/>
          <w:sz w:val="22"/>
          <w:szCs w:val="22"/>
        </w:rPr>
      </w:pPr>
      <w:r w:rsidRPr="00AD0D79">
        <w:rPr>
          <w:rFonts w:ascii="Arial" w:eastAsia="Times New Roman" w:hAnsi="Arial" w:cs="Arial"/>
          <w:b/>
          <w:bCs/>
          <w:sz w:val="22"/>
          <w:szCs w:val="22"/>
        </w:rPr>
        <w:t>3.5 Inclusion and Exclusion Criteria</w:t>
      </w:r>
      <w:r w:rsidR="00115138">
        <w:rPr>
          <w:rFonts w:ascii="Arial" w:eastAsia="Times New Roman" w:hAnsi="Arial" w:cs="Arial"/>
          <w:b/>
          <w:bCs/>
          <w:sz w:val="22"/>
          <w:szCs w:val="22"/>
        </w:rPr>
        <w:t xml:space="preserve">: </w:t>
      </w:r>
      <w:r w:rsidRPr="009D1D64">
        <w:rPr>
          <w:rFonts w:ascii="Arial" w:eastAsia="Times New Roman" w:hAnsi="Arial" w:cs="Arial"/>
          <w:sz w:val="22"/>
          <w:szCs w:val="22"/>
        </w:rPr>
        <w:t xml:space="preserve">Clear inclusion and exclusion criteria were established to maintain research focus and ensure academic </w:t>
      </w:r>
      <w:r w:rsidR="0044312B">
        <w:rPr>
          <w:rFonts w:ascii="Arial" w:eastAsia="Times New Roman" w:hAnsi="Arial" w:cs="Arial"/>
          <w:sz w:val="22"/>
          <w:szCs w:val="22"/>
        </w:rPr>
        <w:t>quality.</w:t>
      </w:r>
    </w:p>
    <w:tbl>
      <w:tblPr>
        <w:tblStyle w:val="TableGrid"/>
        <w:tblW w:w="0" w:type="auto"/>
        <w:tblLook w:val="04A0" w:firstRow="1" w:lastRow="0" w:firstColumn="1" w:lastColumn="0" w:noHBand="0" w:noVBand="1"/>
      </w:tblPr>
      <w:tblGrid>
        <w:gridCol w:w="4508"/>
        <w:gridCol w:w="4508"/>
      </w:tblGrid>
      <w:tr w:rsidR="000F4CD1" w14:paraId="11C6FD3D" w14:textId="77777777" w:rsidTr="00864031">
        <w:tc>
          <w:tcPr>
            <w:tcW w:w="4508" w:type="dxa"/>
          </w:tcPr>
          <w:p w14:paraId="123CA0A9" w14:textId="77777777" w:rsidR="000F4CD1" w:rsidRPr="001960A6" w:rsidRDefault="000F4CD1" w:rsidP="00864031">
            <w:pPr>
              <w:spacing w:line="360" w:lineRule="auto"/>
              <w:rPr>
                <w:rFonts w:ascii="Arial" w:eastAsia="Times New Roman" w:hAnsi="Arial" w:cs="Arial"/>
                <w:b/>
                <w:bCs/>
                <w:sz w:val="22"/>
                <w:szCs w:val="22"/>
              </w:rPr>
            </w:pPr>
            <w:r w:rsidRPr="001960A6">
              <w:rPr>
                <w:rFonts w:ascii="Arial" w:eastAsia="Times New Roman" w:hAnsi="Arial" w:cs="Arial"/>
                <w:b/>
                <w:bCs/>
                <w:sz w:val="22"/>
                <w:szCs w:val="22"/>
              </w:rPr>
              <w:t>Included Sources</w:t>
            </w:r>
          </w:p>
        </w:tc>
        <w:tc>
          <w:tcPr>
            <w:tcW w:w="4508" w:type="dxa"/>
          </w:tcPr>
          <w:p w14:paraId="3AEC2EAA" w14:textId="77777777" w:rsidR="000F4CD1" w:rsidRPr="00BC62DE" w:rsidRDefault="000F4CD1" w:rsidP="00864031">
            <w:pPr>
              <w:spacing w:line="360" w:lineRule="auto"/>
              <w:rPr>
                <w:rFonts w:ascii="Arial" w:eastAsia="Times New Roman" w:hAnsi="Arial" w:cs="Arial"/>
                <w:b/>
                <w:bCs/>
                <w:sz w:val="22"/>
                <w:szCs w:val="22"/>
              </w:rPr>
            </w:pPr>
            <w:r w:rsidRPr="00BC62DE">
              <w:rPr>
                <w:rFonts w:ascii="Arial" w:eastAsia="Times New Roman" w:hAnsi="Arial" w:cs="Arial"/>
                <w:b/>
                <w:bCs/>
                <w:sz w:val="22"/>
                <w:szCs w:val="22"/>
              </w:rPr>
              <w:t>Excluded Sources</w:t>
            </w:r>
          </w:p>
        </w:tc>
      </w:tr>
      <w:tr w:rsidR="000F4CD1" w14:paraId="32C11416" w14:textId="77777777" w:rsidTr="00864031">
        <w:tc>
          <w:tcPr>
            <w:tcW w:w="4508" w:type="dxa"/>
          </w:tcPr>
          <w:p w14:paraId="19EDB998"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t xml:space="preserve">Peer-reviewed </w:t>
            </w:r>
          </w:p>
          <w:p w14:paraId="4FF5CB0B"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t>journal articles</w:t>
            </w:r>
          </w:p>
        </w:tc>
        <w:tc>
          <w:tcPr>
            <w:tcW w:w="4508" w:type="dxa"/>
          </w:tcPr>
          <w:p w14:paraId="237B4222"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t xml:space="preserve">Opinion blogs and </w:t>
            </w:r>
          </w:p>
          <w:p w14:paraId="4AA4E3B9"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t>non-academic websites</w:t>
            </w:r>
          </w:p>
        </w:tc>
      </w:tr>
      <w:tr w:rsidR="000F4CD1" w14:paraId="1AA911F1" w14:textId="77777777" w:rsidTr="00864031">
        <w:tc>
          <w:tcPr>
            <w:tcW w:w="4508" w:type="dxa"/>
          </w:tcPr>
          <w:p w14:paraId="342C6EB4"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t>Healthcare policy reports and academic books</w:t>
            </w:r>
          </w:p>
        </w:tc>
        <w:tc>
          <w:tcPr>
            <w:tcW w:w="4508" w:type="dxa"/>
          </w:tcPr>
          <w:p w14:paraId="279FB9A5"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t>Sources published more</w:t>
            </w:r>
          </w:p>
          <w:p w14:paraId="35A1C902"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t xml:space="preserve"> than 10 years ago</w:t>
            </w:r>
          </w:p>
        </w:tc>
      </w:tr>
      <w:tr w:rsidR="000F4CD1" w14:paraId="6CB87EE1" w14:textId="77777777" w:rsidTr="00864031">
        <w:tc>
          <w:tcPr>
            <w:tcW w:w="4508" w:type="dxa"/>
          </w:tcPr>
          <w:p w14:paraId="63221793"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t xml:space="preserve">Research focusing on </w:t>
            </w:r>
          </w:p>
          <w:p w14:paraId="2DEF581E"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t>healthcare workers</w:t>
            </w:r>
          </w:p>
        </w:tc>
        <w:tc>
          <w:tcPr>
            <w:tcW w:w="4508" w:type="dxa"/>
          </w:tcPr>
          <w:p w14:paraId="52143816"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t xml:space="preserve">Studies unrelated to healthcare environments </w:t>
            </w:r>
          </w:p>
        </w:tc>
      </w:tr>
      <w:tr w:rsidR="000F4CD1" w14:paraId="78D17BAC" w14:textId="77777777" w:rsidTr="00864031">
        <w:tc>
          <w:tcPr>
            <w:tcW w:w="4508" w:type="dxa"/>
          </w:tcPr>
          <w:p w14:paraId="7CE8643D"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t>Studies discussing burnout, mental health, or workplace wellbeing</w:t>
            </w:r>
          </w:p>
        </w:tc>
        <w:tc>
          <w:tcPr>
            <w:tcW w:w="4508" w:type="dxa"/>
          </w:tcPr>
          <w:p w14:paraId="7A5A6494"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t>Articles lacking clear methodology or academic credibility</w:t>
            </w:r>
          </w:p>
        </w:tc>
      </w:tr>
      <w:tr w:rsidR="000F4CD1" w14:paraId="29B2A958" w14:textId="77777777" w:rsidTr="00864031">
        <w:tc>
          <w:tcPr>
            <w:tcW w:w="4508" w:type="dxa"/>
          </w:tcPr>
          <w:p w14:paraId="178263B5"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t>Research published within</w:t>
            </w:r>
          </w:p>
          <w:p w14:paraId="0037D1BA" w14:textId="77777777" w:rsidR="000F4CD1" w:rsidRDefault="000F4CD1" w:rsidP="00864031">
            <w:pPr>
              <w:spacing w:line="360" w:lineRule="auto"/>
              <w:rPr>
                <w:rFonts w:ascii="Arial" w:eastAsia="Times New Roman" w:hAnsi="Arial" w:cs="Arial"/>
                <w:sz w:val="22"/>
                <w:szCs w:val="22"/>
              </w:rPr>
            </w:pPr>
            <w:r>
              <w:rPr>
                <w:rFonts w:ascii="Arial" w:eastAsia="Times New Roman" w:hAnsi="Arial" w:cs="Arial"/>
                <w:sz w:val="22"/>
                <w:szCs w:val="22"/>
              </w:rPr>
              <w:lastRenderedPageBreak/>
              <w:t xml:space="preserve"> the last 10 years</w:t>
            </w:r>
          </w:p>
        </w:tc>
        <w:tc>
          <w:tcPr>
            <w:tcW w:w="4508" w:type="dxa"/>
          </w:tcPr>
          <w:p w14:paraId="78757E2B" w14:textId="77777777" w:rsidR="000F4CD1" w:rsidRDefault="000F4CD1" w:rsidP="00864031">
            <w:pPr>
              <w:spacing w:line="360" w:lineRule="auto"/>
              <w:rPr>
                <w:rFonts w:ascii="Arial" w:eastAsia="Times New Roman" w:hAnsi="Arial" w:cs="Arial"/>
                <w:sz w:val="22"/>
                <w:szCs w:val="22"/>
              </w:rPr>
            </w:pPr>
            <w:r w:rsidRPr="004C7880">
              <w:rPr>
                <w:rFonts w:ascii="Arial" w:eastAsia="Times New Roman" w:hAnsi="Arial" w:cs="Arial"/>
                <w:sz w:val="22"/>
                <w:szCs w:val="22"/>
              </w:rPr>
              <w:lastRenderedPageBreak/>
              <w:t xml:space="preserve">Sources that were </w:t>
            </w:r>
          </w:p>
          <w:p w14:paraId="4E764144" w14:textId="77777777" w:rsidR="000F4CD1" w:rsidRPr="004C7880" w:rsidRDefault="000F4CD1" w:rsidP="00864031">
            <w:pPr>
              <w:spacing w:line="360" w:lineRule="auto"/>
              <w:rPr>
                <w:rFonts w:ascii="Arial" w:eastAsia="Times New Roman" w:hAnsi="Arial" w:cs="Arial"/>
                <w:sz w:val="22"/>
                <w:szCs w:val="22"/>
              </w:rPr>
            </w:pPr>
            <w:r w:rsidRPr="004C7880">
              <w:rPr>
                <w:rFonts w:ascii="Arial" w:eastAsia="Times New Roman" w:hAnsi="Arial" w:cs="Arial"/>
                <w:sz w:val="22"/>
                <w:szCs w:val="22"/>
              </w:rPr>
              <w:lastRenderedPageBreak/>
              <w:t>not fully accessible</w:t>
            </w:r>
          </w:p>
        </w:tc>
      </w:tr>
    </w:tbl>
    <w:p w14:paraId="496F1783" w14:textId="2293757C" w:rsidR="00B72328" w:rsidRDefault="00B72328" w:rsidP="00864031">
      <w:pPr>
        <w:spacing w:line="360" w:lineRule="auto"/>
        <w:rPr>
          <w:rFonts w:ascii="Arial" w:eastAsia="Times New Roman" w:hAnsi="Arial" w:cs="Arial"/>
          <w:sz w:val="22"/>
          <w:szCs w:val="22"/>
        </w:rPr>
      </w:pPr>
      <w:r>
        <w:rPr>
          <w:rFonts w:ascii="Arial" w:eastAsia="Times New Roman" w:hAnsi="Arial" w:cs="Arial"/>
          <w:sz w:val="22"/>
          <w:szCs w:val="22"/>
        </w:rPr>
        <w:lastRenderedPageBreak/>
        <w:t>These criteria ensured that the selected literature remained relevant, reliable, and directly aligned with the research aim and objectives.</w:t>
      </w:r>
    </w:p>
    <w:p w14:paraId="45E5E0D8" w14:textId="77777777" w:rsidR="00B72328" w:rsidRPr="00F26745" w:rsidRDefault="00B72328" w:rsidP="00864031">
      <w:pPr>
        <w:spacing w:line="360" w:lineRule="auto"/>
        <w:rPr>
          <w:rFonts w:ascii="Arial" w:eastAsia="Times New Roman" w:hAnsi="Arial" w:cs="Arial"/>
          <w:b/>
          <w:bCs/>
          <w:sz w:val="22"/>
          <w:szCs w:val="22"/>
        </w:rPr>
      </w:pPr>
      <w:r w:rsidRPr="00F26745">
        <w:rPr>
          <w:rFonts w:ascii="Arial" w:eastAsia="Times New Roman" w:hAnsi="Arial" w:cs="Arial"/>
          <w:b/>
          <w:bCs/>
          <w:sz w:val="22"/>
          <w:szCs w:val="22"/>
        </w:rPr>
        <w:t>3.6 Analysing Research</w:t>
      </w:r>
    </w:p>
    <w:p w14:paraId="1EEF99A9" w14:textId="77777777" w:rsidR="00B72328" w:rsidRPr="009D1D64" w:rsidRDefault="00B72328"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A thematic coding approach was used to analyse selected literature. Thematic analysis is widely used in secondary research as it allows researchers to identify patterns and recurring concepts across multiple studies. According to Braun and Clarke (2006), thematic analysis supports structured interpretation of qualitative data.</w:t>
      </w:r>
    </w:p>
    <w:p w14:paraId="68E69E0B" w14:textId="77777777" w:rsidR="00B72328" w:rsidRPr="009D1D64" w:rsidRDefault="00B72328"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The research analysis began with detailed reading of selected sources. Repeated ideas, key concepts, and recurring terminology relating to burnout causes, workplace culture, and mental health interventions were identified and coded. Initial codes included workload pressure, emotional labour, organisational support, workplace stigma, and resilience strategies.</w:t>
      </w:r>
    </w:p>
    <w:p w14:paraId="7249E7EE" w14:textId="77777777" w:rsidR="00B72328" w:rsidRPr="009D1D64" w:rsidRDefault="00B72328"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These codes were grouped into broader themes aligned with the research objectives. Themes included organisational causes of burnout, lived experiences of healthcare workers, workplace culture influences, and intervention strategies supporting mental wellbeing.</w:t>
      </w:r>
      <w:r>
        <w:rPr>
          <w:rFonts w:ascii="Arial" w:eastAsia="Times New Roman" w:hAnsi="Arial" w:cs="Arial"/>
          <w:sz w:val="22"/>
          <w:szCs w:val="22"/>
        </w:rPr>
        <w:t xml:space="preserve"> </w:t>
      </w:r>
      <w:r w:rsidRPr="009D1D64">
        <w:rPr>
          <w:rFonts w:ascii="Arial" w:eastAsia="Times New Roman" w:hAnsi="Arial" w:cs="Arial"/>
          <w:sz w:val="22"/>
          <w:szCs w:val="22"/>
        </w:rPr>
        <w:t>To organise analysis, tools such as tables, colour coding, and spreadsheets were used to track coding development and thematic relationships. These organisational methods improved clarity and ensured transparency in data interpretation. The final thematic categories informed the structure of Chapter 4 findings.</w:t>
      </w:r>
    </w:p>
    <w:p w14:paraId="185390CC" w14:textId="77777777" w:rsidR="00B72328" w:rsidRPr="00F26745" w:rsidRDefault="00B72328" w:rsidP="00864031">
      <w:pPr>
        <w:spacing w:line="360" w:lineRule="auto"/>
        <w:rPr>
          <w:rFonts w:ascii="Arial" w:eastAsia="Times New Roman" w:hAnsi="Arial" w:cs="Arial"/>
          <w:b/>
          <w:bCs/>
          <w:sz w:val="22"/>
          <w:szCs w:val="22"/>
        </w:rPr>
      </w:pPr>
      <w:r w:rsidRPr="00F26745">
        <w:rPr>
          <w:rFonts w:ascii="Arial" w:eastAsia="Times New Roman" w:hAnsi="Arial" w:cs="Arial"/>
          <w:b/>
          <w:bCs/>
          <w:sz w:val="22"/>
          <w:szCs w:val="22"/>
        </w:rPr>
        <w:t>3.7 Ethical Considerations</w:t>
      </w:r>
    </w:p>
    <w:p w14:paraId="58E694D6" w14:textId="77777777" w:rsidR="00B72328" w:rsidRPr="009D1D64" w:rsidRDefault="00B72328"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This research was conducted using secondary data sources, meaning no primary data collection involving human participants took place. Secondary research minimises ethical risk while allowing comprehensive analysis of existing literature.</w:t>
      </w:r>
      <w:r>
        <w:rPr>
          <w:rFonts w:ascii="Arial" w:eastAsia="Times New Roman" w:hAnsi="Arial" w:cs="Arial"/>
          <w:sz w:val="22"/>
          <w:szCs w:val="22"/>
        </w:rPr>
        <w:t xml:space="preserve"> </w:t>
      </w:r>
      <w:r w:rsidRPr="009D1D64">
        <w:rPr>
          <w:rFonts w:ascii="Arial" w:eastAsia="Times New Roman" w:hAnsi="Arial" w:cs="Arial"/>
          <w:sz w:val="22"/>
          <w:szCs w:val="22"/>
        </w:rPr>
        <w:t>Academic integrity was maintained through accurate citation of all sources using Harvard referencing. All research findings were interpreted objectively, ensuring that author perspectives were not misrepresented. Plagiarism was avoided through careful paraphrasing and referencing.</w:t>
      </w:r>
    </w:p>
    <w:p w14:paraId="75EA3FF2" w14:textId="3D9A91A3" w:rsidR="000F07B6" w:rsidRPr="00BF0B30" w:rsidRDefault="00B72328" w:rsidP="00864031">
      <w:pPr>
        <w:spacing w:line="360" w:lineRule="auto"/>
        <w:rPr>
          <w:rFonts w:ascii="Arial" w:eastAsia="Times New Roman" w:hAnsi="Arial" w:cs="Arial"/>
          <w:sz w:val="22"/>
          <w:szCs w:val="22"/>
        </w:rPr>
      </w:pPr>
      <w:r w:rsidRPr="009D1D64">
        <w:rPr>
          <w:rFonts w:ascii="Arial" w:eastAsia="Times New Roman" w:hAnsi="Arial" w:cs="Arial"/>
          <w:sz w:val="22"/>
          <w:szCs w:val="22"/>
        </w:rPr>
        <w:t>Transparency was prioritised throughout the research process. Source selection decisions were documented within the source tracking table (Appendix 1). The summary table (Appendix 2) demonstrates thematic consistency between key sources, improving research credibility.</w:t>
      </w:r>
      <w:r>
        <w:rPr>
          <w:rFonts w:ascii="Arial" w:eastAsia="Times New Roman" w:hAnsi="Arial" w:cs="Arial"/>
          <w:sz w:val="22"/>
          <w:szCs w:val="22"/>
        </w:rPr>
        <w:t xml:space="preserve"> </w:t>
      </w:r>
      <w:r w:rsidRPr="009D1D64">
        <w:rPr>
          <w:rFonts w:ascii="Arial" w:eastAsia="Times New Roman" w:hAnsi="Arial" w:cs="Arial"/>
          <w:sz w:val="22"/>
          <w:szCs w:val="22"/>
        </w:rPr>
        <w:t>The researcher also maintained objectivity by selecting literature representing diverse perspectives on burnout and workplace mental health. This approach supports balanced and unbiased research findings.</w:t>
      </w:r>
    </w:p>
    <w:p w14:paraId="19799ABE" w14:textId="1280E552" w:rsidR="00B72328" w:rsidRPr="00F26745" w:rsidRDefault="00B72328" w:rsidP="00864031">
      <w:pPr>
        <w:spacing w:line="360" w:lineRule="auto"/>
        <w:rPr>
          <w:rFonts w:ascii="Arial" w:eastAsia="Times New Roman" w:hAnsi="Arial" w:cs="Arial"/>
          <w:b/>
          <w:bCs/>
          <w:sz w:val="22"/>
          <w:szCs w:val="22"/>
        </w:rPr>
      </w:pPr>
      <w:r w:rsidRPr="00F26745">
        <w:rPr>
          <w:rFonts w:ascii="Arial" w:eastAsia="Times New Roman" w:hAnsi="Arial" w:cs="Arial"/>
          <w:b/>
          <w:bCs/>
          <w:sz w:val="22"/>
          <w:szCs w:val="22"/>
        </w:rPr>
        <w:lastRenderedPageBreak/>
        <w:t>3.8 Chapter Conclusion</w:t>
      </w:r>
    </w:p>
    <w:p w14:paraId="69323580" w14:textId="77777777" w:rsidR="00B72328" w:rsidRDefault="00B72328" w:rsidP="00864031">
      <w:pPr>
        <w:spacing w:line="360" w:lineRule="auto"/>
        <w:rPr>
          <w:rFonts w:ascii="Arial" w:eastAsia="Times New Roman" w:hAnsi="Arial" w:cs="Arial"/>
          <w:sz w:val="22"/>
          <w:szCs w:val="22"/>
        </w:rPr>
      </w:pPr>
      <w:r>
        <w:rPr>
          <w:rFonts w:ascii="Arial" w:eastAsia="Times New Roman" w:hAnsi="Arial" w:cs="Arial"/>
          <w:sz w:val="22"/>
          <w:szCs w:val="22"/>
        </w:rPr>
        <w:t>This chapter has explained the research methodology used to investigate burnout and mental health challenges among healthcare workers. The chapter outlined the structured search strategy, academic database selection, and validation processes used to identify credible literature. The inclusion and exclusion criteria ensured research focus and quality, while thematic coding supported systematic data analysis.</w:t>
      </w:r>
    </w:p>
    <w:p w14:paraId="463B5E78" w14:textId="77777777" w:rsidR="00B72328" w:rsidRDefault="00B72328" w:rsidP="00864031">
      <w:pPr>
        <w:spacing w:line="360" w:lineRule="auto"/>
        <w:rPr>
          <w:rFonts w:ascii="Arial" w:eastAsia="Times New Roman" w:hAnsi="Arial" w:cs="Arial"/>
          <w:sz w:val="22"/>
          <w:szCs w:val="22"/>
        </w:rPr>
      </w:pPr>
      <w:r>
        <w:rPr>
          <w:rFonts w:ascii="Arial" w:eastAsia="Times New Roman" w:hAnsi="Arial" w:cs="Arial"/>
          <w:sz w:val="22"/>
          <w:szCs w:val="22"/>
        </w:rPr>
        <w:t>The use of source tracking and summary tables strengthens transparency and supports research reliability. These structured research methods provide a strong academic foundation for analysing burnout causes, healthcare worker experiences, and intervention strategies.</w:t>
      </w:r>
    </w:p>
    <w:p w14:paraId="6EA3FBCE" w14:textId="77777777" w:rsidR="00B72328" w:rsidRDefault="00B72328" w:rsidP="00864031">
      <w:pPr>
        <w:spacing w:line="360" w:lineRule="auto"/>
        <w:rPr>
          <w:rFonts w:ascii="Arial" w:eastAsia="Times New Roman" w:hAnsi="Arial" w:cs="Arial"/>
          <w:sz w:val="22"/>
          <w:szCs w:val="22"/>
        </w:rPr>
      </w:pPr>
      <w:r>
        <w:rPr>
          <w:rFonts w:ascii="Arial" w:eastAsia="Times New Roman" w:hAnsi="Arial" w:cs="Arial"/>
          <w:sz w:val="22"/>
          <w:szCs w:val="22"/>
        </w:rPr>
        <w:t>The thematic coding process described in this chapter enabled the identification of recurring patterns across the literature, which were organised into key themes relating to organisational drivers of burnout, the emotional and psychological impact on healthcare workers, and workplace strategies to support staff wellbeing.</w:t>
      </w:r>
    </w:p>
    <w:p w14:paraId="2400025A" w14:textId="77777777" w:rsidR="00B72328" w:rsidRPr="009D1D64" w:rsidRDefault="00B72328" w:rsidP="00864031">
      <w:pPr>
        <w:spacing w:line="360" w:lineRule="auto"/>
        <w:rPr>
          <w:rFonts w:ascii="Arial" w:eastAsia="Times New Roman" w:hAnsi="Arial" w:cs="Arial"/>
          <w:sz w:val="22"/>
          <w:szCs w:val="22"/>
        </w:rPr>
      </w:pPr>
      <w:r>
        <w:rPr>
          <w:rFonts w:ascii="Arial" w:eastAsia="Times New Roman" w:hAnsi="Arial" w:cs="Arial"/>
          <w:sz w:val="22"/>
          <w:szCs w:val="22"/>
        </w:rPr>
        <w:t>The following chapter will present and critically discuss these themes, linking the findings directly to the research aim and objectives and the wider literature on healthcare workforce wellbeing.</w:t>
      </w:r>
    </w:p>
    <w:p w14:paraId="59468AF2" w14:textId="77777777" w:rsidR="0010545F" w:rsidRDefault="0010545F">
      <w:pPr>
        <w:rPr>
          <w:rFonts w:ascii="Arial" w:hAnsi="Arial" w:cs="Arial"/>
          <w:b/>
          <w:bCs/>
          <w:sz w:val="22"/>
          <w:szCs w:val="22"/>
        </w:rPr>
      </w:pPr>
      <w:r>
        <w:rPr>
          <w:rFonts w:ascii="Arial" w:hAnsi="Arial" w:cs="Arial"/>
          <w:b/>
          <w:bCs/>
          <w:sz w:val="22"/>
          <w:szCs w:val="22"/>
        </w:rPr>
        <w:br w:type="page"/>
      </w:r>
    </w:p>
    <w:p w14:paraId="3AD9D409" w14:textId="3BC34704" w:rsidR="008D5747" w:rsidRPr="007F10B0" w:rsidRDefault="0084531B" w:rsidP="009714F1">
      <w:pPr>
        <w:spacing w:line="360" w:lineRule="auto"/>
        <w:rPr>
          <w:rFonts w:ascii="Arial" w:hAnsi="Arial" w:cs="Arial"/>
          <w:b/>
          <w:bCs/>
          <w:sz w:val="28"/>
          <w:szCs w:val="28"/>
        </w:rPr>
      </w:pPr>
      <w:r>
        <w:rPr>
          <w:rFonts w:ascii="Arial" w:hAnsi="Arial" w:cs="Arial"/>
          <w:b/>
          <w:bCs/>
          <w:sz w:val="28"/>
          <w:szCs w:val="28"/>
        </w:rPr>
        <w:lastRenderedPageBreak/>
        <w:t xml:space="preserve">CHAPTER 4 </w:t>
      </w:r>
      <w:r w:rsidR="008D5747" w:rsidRPr="007F10B0">
        <w:rPr>
          <w:rFonts w:ascii="Arial" w:hAnsi="Arial" w:cs="Arial"/>
          <w:b/>
          <w:bCs/>
          <w:sz w:val="28"/>
          <w:szCs w:val="28"/>
        </w:rPr>
        <w:t xml:space="preserve">: Findings and Discussions </w:t>
      </w:r>
    </w:p>
    <w:p w14:paraId="3EBB7D32" w14:textId="26B9E7C6" w:rsidR="008D5747" w:rsidRPr="001C6D6F" w:rsidRDefault="008D5747" w:rsidP="009714F1">
      <w:pPr>
        <w:spacing w:line="360" w:lineRule="auto"/>
        <w:rPr>
          <w:rFonts w:ascii="Arial" w:hAnsi="Arial" w:cs="Arial"/>
          <w:b/>
          <w:bCs/>
          <w:sz w:val="22"/>
          <w:szCs w:val="22"/>
        </w:rPr>
      </w:pPr>
      <w:r w:rsidRPr="001C6D6F">
        <w:rPr>
          <w:rFonts w:ascii="Arial" w:hAnsi="Arial" w:cs="Arial"/>
          <w:b/>
          <w:bCs/>
          <w:sz w:val="22"/>
          <w:szCs w:val="22"/>
        </w:rPr>
        <w:t>4.1:  Introduction</w:t>
      </w:r>
    </w:p>
    <w:p w14:paraId="635E734C" w14:textId="1D44A2EF"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This chapter presents and discusses the key </w:t>
      </w:r>
      <w:r w:rsidR="00CD50DC" w:rsidRPr="003F449B">
        <w:rPr>
          <w:rFonts w:ascii="Arial" w:hAnsi="Arial" w:cs="Arial"/>
          <w:sz w:val="22"/>
          <w:szCs w:val="22"/>
        </w:rPr>
        <w:t>f</w:t>
      </w:r>
      <w:r w:rsidR="00CD50DC">
        <w:rPr>
          <w:rFonts w:ascii="Arial" w:hAnsi="Arial" w:cs="Arial"/>
          <w:sz w:val="22"/>
          <w:szCs w:val="22"/>
        </w:rPr>
        <w:t xml:space="preserve">indings </w:t>
      </w:r>
      <w:r w:rsidR="00080B4B">
        <w:rPr>
          <w:rFonts w:ascii="Arial" w:hAnsi="Arial" w:cs="Arial"/>
          <w:sz w:val="22"/>
          <w:szCs w:val="22"/>
        </w:rPr>
        <w:t xml:space="preserve">obtained </w:t>
      </w:r>
      <w:r w:rsidRPr="003F449B">
        <w:rPr>
          <w:rFonts w:ascii="Arial" w:hAnsi="Arial" w:cs="Arial"/>
          <w:sz w:val="22"/>
          <w:szCs w:val="22"/>
        </w:rPr>
        <w:t>from the secondary literature reviewed in this study. The purpose of this chapter is to synthesise the evidence relating to burnout and mental health among healthcare workers and to interpret these findings in relation to the research aim and objectives outlined in Chapter 1. Using a thematic analysis approach  the chapter identifies recurring patterns and themes within the literature, including contributing factors to burnout, the impact on healthcare staff, and potential organisational and individual interventions. The discussion critically evaluates the evidence base, highlighting areas of agreement, gaps in knowledge, and implications for healthcare practice and policy.</w:t>
      </w:r>
    </w:p>
    <w:p w14:paraId="19C1792D" w14:textId="434E3289" w:rsidR="008D5747" w:rsidRPr="001C6D6F" w:rsidRDefault="008D5747" w:rsidP="009714F1">
      <w:pPr>
        <w:spacing w:line="360" w:lineRule="auto"/>
        <w:rPr>
          <w:rFonts w:ascii="Arial" w:hAnsi="Arial" w:cs="Arial"/>
          <w:b/>
          <w:bCs/>
          <w:sz w:val="22"/>
          <w:szCs w:val="22"/>
        </w:rPr>
      </w:pPr>
      <w:r w:rsidRPr="001C6D6F">
        <w:rPr>
          <w:rFonts w:ascii="Arial" w:hAnsi="Arial" w:cs="Arial"/>
          <w:b/>
          <w:bCs/>
          <w:sz w:val="22"/>
          <w:szCs w:val="22"/>
        </w:rPr>
        <w:t>4.2: Thematic Analysis</w:t>
      </w:r>
    </w:p>
    <w:p w14:paraId="2AE636D3" w14:textId="0576CE9D"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Thematic analysis is a qualitative method used to identify, analyse and report patterns (themes) within data. It is widely used in secondary research because it provides a structured but flexible way of interpreting existing literature. Braun and Clarke (2019) explain that thematic analysis involves familiarisation with the data, generating codes, searching for themes, reviewing themes and clearly defining them. Similarly, Castleberry and Nolen (2018) emphasise that this approach improves transparency and depth when analysing healthcare research.</w:t>
      </w:r>
    </w:p>
    <w:p w14:paraId="0151417C" w14:textId="04163E48"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In this study, thematic analysis was applied to the selected peer-reviewed literature to identify repeated patterns relating to burnout and mental health among healthcare workers. Following the process outlined in Chapter 3, </w:t>
      </w:r>
      <w:r w:rsidR="00194CF2" w:rsidRPr="00DB69E3">
        <w:rPr>
          <w:rFonts w:ascii="Arial" w:eastAsia="Times New Roman" w:hAnsi="Arial" w:cs="Arial"/>
          <w:sz w:val="22"/>
          <w:szCs w:val="22"/>
        </w:rPr>
        <w:t>Key findings from each article were carefully reviewed and coded.</w:t>
      </w:r>
      <w:r w:rsidR="00A13340">
        <w:rPr>
          <w:rFonts w:ascii="Arial" w:eastAsia="Times New Roman" w:hAnsi="Arial" w:cs="Arial"/>
          <w:sz w:val="22"/>
          <w:szCs w:val="22"/>
        </w:rPr>
        <w:t xml:space="preserve"> </w:t>
      </w:r>
      <w:r w:rsidR="000C1DDC" w:rsidRPr="00EF76D3">
        <w:rPr>
          <w:rFonts w:ascii="Arial" w:eastAsia="Times New Roman" w:hAnsi="Arial" w:cs="Arial"/>
          <w:b/>
          <w:bCs/>
          <w:sz w:val="22"/>
          <w:szCs w:val="22"/>
        </w:rPr>
        <w:t>A total of 10 peer-reviewed studies</w:t>
      </w:r>
      <w:r w:rsidR="000C1DDC" w:rsidRPr="00EF76D3">
        <w:rPr>
          <w:rFonts w:ascii="Arial" w:eastAsia="Times New Roman" w:hAnsi="Arial" w:cs="Arial"/>
          <w:sz w:val="22"/>
          <w:szCs w:val="22"/>
        </w:rPr>
        <w:t xml:space="preserve"> were included, allowing for systematic comparison across sources. Initial codes were generated from each study and iteratively refined into broader categories, which were then consolidated into three final themes following repeated review to ensure consistency and relevance to the research question.</w:t>
      </w:r>
      <w:r w:rsidR="00B07DF5" w:rsidRPr="00DB69E3">
        <w:rPr>
          <w:rFonts w:ascii="Arial" w:eastAsia="Times New Roman" w:hAnsi="Arial" w:cs="Arial"/>
          <w:sz w:val="22"/>
          <w:szCs w:val="22"/>
        </w:rPr>
        <w:t xml:space="preserve"> </w:t>
      </w:r>
      <w:r w:rsidRPr="003F449B">
        <w:rPr>
          <w:rFonts w:ascii="Arial" w:hAnsi="Arial" w:cs="Arial"/>
          <w:sz w:val="22"/>
          <w:szCs w:val="22"/>
        </w:rPr>
        <w:t xml:space="preserve">(Braun and Clarke, 2019). </w:t>
      </w:r>
      <w:r w:rsidR="0004284A">
        <w:rPr>
          <w:rFonts w:ascii="Arial" w:hAnsi="Arial" w:cs="Arial"/>
          <w:sz w:val="22"/>
          <w:szCs w:val="22"/>
        </w:rPr>
        <w:t xml:space="preserve">The coding process presented in </w:t>
      </w:r>
      <w:r w:rsidR="0004284A" w:rsidRPr="00F8015C">
        <w:rPr>
          <w:rFonts w:ascii="Arial" w:hAnsi="Arial" w:cs="Arial"/>
          <w:b/>
          <w:bCs/>
          <w:sz w:val="22"/>
          <w:szCs w:val="22"/>
        </w:rPr>
        <w:t>Appendix 2</w:t>
      </w:r>
      <w:r w:rsidR="00B51984" w:rsidRPr="00F8015C">
        <w:rPr>
          <w:rFonts w:ascii="Arial" w:hAnsi="Arial" w:cs="Arial"/>
          <w:b/>
          <w:bCs/>
          <w:sz w:val="22"/>
          <w:szCs w:val="22"/>
        </w:rPr>
        <w:t xml:space="preserve"> </w:t>
      </w:r>
      <w:r w:rsidR="00B51984">
        <w:rPr>
          <w:rFonts w:ascii="Arial" w:hAnsi="Arial" w:cs="Arial"/>
          <w:sz w:val="22"/>
          <w:szCs w:val="22"/>
        </w:rPr>
        <w:t>(Results Summary Table)</w:t>
      </w:r>
      <w:r w:rsidR="0004284A">
        <w:rPr>
          <w:rFonts w:ascii="Arial" w:hAnsi="Arial" w:cs="Arial"/>
          <w:sz w:val="22"/>
          <w:szCs w:val="22"/>
        </w:rPr>
        <w:t xml:space="preserve"> further demonstrates how recurring patterns were systematically identified and developed into key themes.</w:t>
      </w:r>
      <w:r w:rsidRPr="003F449B">
        <w:rPr>
          <w:rFonts w:ascii="Arial" w:hAnsi="Arial" w:cs="Arial"/>
          <w:sz w:val="22"/>
          <w:szCs w:val="22"/>
        </w:rPr>
        <w:t xml:space="preserve"> which shows how data were systematically compared across sources.</w:t>
      </w:r>
    </w:p>
    <w:p w14:paraId="20BD42EC" w14:textId="377B6EB9"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From this process, several key themes emerged. These include organisational drivers of burnout (for example workload and staffing pressures), the emotional and psychological impact on healthcare workers, and the importance of organisational and individual support strategies. These themes form the structure for the following sections, where the findings are </w:t>
      </w:r>
      <w:r w:rsidRPr="003F449B">
        <w:rPr>
          <w:rFonts w:ascii="Arial" w:hAnsi="Arial" w:cs="Arial"/>
          <w:sz w:val="22"/>
          <w:szCs w:val="22"/>
        </w:rPr>
        <w:lastRenderedPageBreak/>
        <w:t>discussed in relation to the research objectives and current literature (Castleberry and Nolen, 2018).</w:t>
      </w:r>
    </w:p>
    <w:p w14:paraId="4C342367" w14:textId="2E9780FA" w:rsidR="008D5747" w:rsidRPr="001C6D6F" w:rsidRDefault="008D5747" w:rsidP="009714F1">
      <w:pPr>
        <w:spacing w:line="360" w:lineRule="auto"/>
        <w:rPr>
          <w:rFonts w:ascii="Arial" w:hAnsi="Arial" w:cs="Arial"/>
          <w:b/>
          <w:bCs/>
          <w:sz w:val="22"/>
          <w:szCs w:val="22"/>
        </w:rPr>
      </w:pPr>
      <w:r w:rsidRPr="001C6D6F">
        <w:rPr>
          <w:rFonts w:ascii="Arial" w:hAnsi="Arial" w:cs="Arial"/>
          <w:b/>
          <w:bCs/>
          <w:sz w:val="22"/>
          <w:szCs w:val="22"/>
        </w:rPr>
        <w:t>4.3: Theme 1: Workplace Stress and Burnout</w:t>
      </w:r>
    </w:p>
    <w:p w14:paraId="17C73C71" w14:textId="111E5289" w:rsidR="008D5747" w:rsidRPr="001C6D6F" w:rsidRDefault="008D5747" w:rsidP="009714F1">
      <w:pPr>
        <w:spacing w:line="360" w:lineRule="auto"/>
        <w:rPr>
          <w:rFonts w:ascii="Arial" w:hAnsi="Arial" w:cs="Arial"/>
          <w:b/>
          <w:bCs/>
          <w:sz w:val="22"/>
          <w:szCs w:val="22"/>
        </w:rPr>
      </w:pPr>
      <w:r w:rsidRPr="001C6D6F">
        <w:rPr>
          <w:rFonts w:ascii="Arial" w:hAnsi="Arial" w:cs="Arial"/>
          <w:b/>
          <w:bCs/>
          <w:sz w:val="22"/>
          <w:szCs w:val="22"/>
        </w:rPr>
        <w:t>Definition</w:t>
      </w:r>
    </w:p>
    <w:p w14:paraId="63F56855" w14:textId="1FA84F05" w:rsidR="008D5747" w:rsidRDefault="008D5747" w:rsidP="009714F1">
      <w:pPr>
        <w:spacing w:line="360" w:lineRule="auto"/>
        <w:rPr>
          <w:rFonts w:ascii="Arial" w:hAnsi="Arial" w:cs="Arial"/>
          <w:sz w:val="22"/>
          <w:szCs w:val="22"/>
        </w:rPr>
      </w:pPr>
      <w:r w:rsidRPr="003F449B">
        <w:rPr>
          <w:rFonts w:ascii="Arial" w:hAnsi="Arial" w:cs="Arial"/>
          <w:sz w:val="22"/>
          <w:szCs w:val="22"/>
        </w:rPr>
        <w:t xml:space="preserve">Workplace stress and burnout represent significant occupational health concerns within healthcare settings. Burnout is commonly defined as a psychological syndrome resulting from prolonged exposure to chronic workplace stressors that have not been successfully managed (Christina Maslach et al, 2016). It is typically characterised by three core dimensions: emotional exhaustion, depersonalisation, and reduced personal accomplishment. Emotional exhaustion refers to feelings of being emotionally overextended, while depersonalisation involves a detached or negative response toward patients or colleagues. </w:t>
      </w:r>
    </w:p>
    <w:p w14:paraId="019BC59B" w14:textId="67710F0C" w:rsidR="008D5747" w:rsidRPr="003F449B" w:rsidRDefault="00A37237" w:rsidP="009714F1">
      <w:pPr>
        <w:spacing w:line="360" w:lineRule="auto"/>
        <w:rPr>
          <w:rFonts w:ascii="Arial" w:hAnsi="Arial" w:cs="Arial"/>
          <w:sz w:val="22"/>
          <w:szCs w:val="22"/>
        </w:rPr>
      </w:pPr>
      <w:r>
        <w:rPr>
          <w:rFonts w:ascii="Arial" w:hAnsi="Arial" w:cs="Arial"/>
          <w:sz w:val="22"/>
          <w:szCs w:val="22"/>
        </w:rPr>
        <w:t>As further recognised by the World Health Organization (2019), burnout is classified as an occupational phenomenon</w:t>
      </w:r>
      <w:r w:rsidR="003F4548">
        <w:rPr>
          <w:rFonts w:ascii="Arial" w:hAnsi="Arial" w:cs="Arial"/>
          <w:sz w:val="22"/>
          <w:szCs w:val="22"/>
        </w:rPr>
        <w:t xml:space="preserve"> </w:t>
      </w:r>
      <w:r w:rsidR="008D5747" w:rsidRPr="003F449B">
        <w:rPr>
          <w:rFonts w:ascii="Arial" w:hAnsi="Arial" w:cs="Arial"/>
          <w:sz w:val="22"/>
          <w:szCs w:val="22"/>
        </w:rPr>
        <w:t>in the International Classification of Diseases (ICD-11). The organisation defines burnout as a syndrome resulting from chronic workplace stress that has not been successfully managed. According to the WHO, burnout is characterised by three key dimensions: feelings of energy depletion or exhaustion, increased mental distance or cynicism towards one’s job, and reduced professional efficacy. Importantly, the WHO emphasises that burnout specifically relates to occupational contexts rather than other areas of life (WHO, 2019).</w:t>
      </w:r>
    </w:p>
    <w:p w14:paraId="0A9ABCE7" w14:textId="71B53F7F"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Within healthcare environments, workplace stress often arises from high job demands, time pressures, staff shortages, and emotional labour associated with patient care. These stressors can accumulate over time and contribute to burnout, negatively affecting both staff wellbeing and the quality of patient care.</w:t>
      </w:r>
    </w:p>
    <w:p w14:paraId="58288001" w14:textId="09C97C13" w:rsidR="008D5747" w:rsidRPr="00855695" w:rsidRDefault="008D5747" w:rsidP="009714F1">
      <w:pPr>
        <w:spacing w:line="360" w:lineRule="auto"/>
        <w:rPr>
          <w:rFonts w:ascii="Arial" w:hAnsi="Arial" w:cs="Arial"/>
          <w:b/>
          <w:bCs/>
          <w:sz w:val="22"/>
          <w:szCs w:val="22"/>
        </w:rPr>
      </w:pPr>
      <w:r w:rsidRPr="00855695">
        <w:rPr>
          <w:rFonts w:ascii="Arial" w:hAnsi="Arial" w:cs="Arial"/>
          <w:b/>
          <w:bCs/>
          <w:sz w:val="22"/>
          <w:szCs w:val="22"/>
        </w:rPr>
        <w:t>Background Information</w:t>
      </w:r>
    </w:p>
    <w:p w14:paraId="7E953478" w14:textId="3C7EA93E"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Historically, burnout has been recognised as a growing issue in high-pressure professions such as healthcare, education, and social services. Early research into burnout emerged in the 1970s; however, the topic has gained increasing attention in recent decades due to rising workloads, workforce shortages, and organisational pressures within healthcare systems.</w:t>
      </w:r>
    </w:p>
    <w:p w14:paraId="636C7B8C" w14:textId="58B30665"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In the United Kingdom, the issue has become particularly prominent within the NHS and other healthcare sectors where increasing demand for healthcare services has placed significant pressure on healthcare professionals. Reports from organisations such as The </w:t>
      </w:r>
      <w:r w:rsidRPr="003F449B">
        <w:rPr>
          <w:rFonts w:ascii="Arial" w:hAnsi="Arial" w:cs="Arial"/>
          <w:sz w:val="22"/>
          <w:szCs w:val="22"/>
        </w:rPr>
        <w:lastRenderedPageBreak/>
        <w:t>King’s Fund highlight how workforce challenges and resource constraints contribute to high levels of occupational stress among NHS staff (The King’s Fund, 2022). These developments have intensified academic and policy discussions surrounding burnout and staff wellbeing.</w:t>
      </w:r>
    </w:p>
    <w:p w14:paraId="69F34408" w14:textId="0975AAB2"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Impact on Research Question</w:t>
      </w:r>
    </w:p>
    <w:p w14:paraId="0C25FB35" w14:textId="1EE5E549"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This theme is directly relevant to the research question, as workplace stress and burnout represent the core issue explored within this dissertation. Understanding the factors that contribute to burnout among healthcare workers is essential for identifying potential strategies to improve staff wellbeing and organisational performance.</w:t>
      </w:r>
    </w:p>
    <w:p w14:paraId="5A2D2999" w14:textId="106DD286"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prevalence of workplace stress within healthcare settings highlights the importance of examining how organisational environments influen</w:t>
      </w:r>
      <w:r w:rsidR="0063102C">
        <w:rPr>
          <w:rFonts w:ascii="Arial" w:hAnsi="Arial" w:cs="Arial"/>
          <w:sz w:val="22"/>
          <w:szCs w:val="22"/>
        </w:rPr>
        <w:t>ce MH</w:t>
      </w:r>
      <w:r w:rsidRPr="003F449B">
        <w:rPr>
          <w:rFonts w:ascii="Arial" w:hAnsi="Arial" w:cs="Arial"/>
          <w:sz w:val="22"/>
          <w:szCs w:val="22"/>
        </w:rPr>
        <w:t xml:space="preserve"> outcomes. By analysing the causes and consequences of burnout, this theme contributes to answering the research question by identifying key workplace stressors and highlighting areas where interventions may be required.</w:t>
      </w:r>
    </w:p>
    <w:p w14:paraId="030FD505" w14:textId="46CC8398"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Statistical Information</w:t>
      </w:r>
    </w:p>
    <w:p w14:paraId="733D1614" w14:textId="5C035757" w:rsidR="008D5747" w:rsidRPr="00C530C4" w:rsidRDefault="008D5747" w:rsidP="009714F1">
      <w:pPr>
        <w:spacing w:line="360" w:lineRule="auto"/>
        <w:rPr>
          <w:rFonts w:ascii="Arial" w:hAnsi="Arial" w:cs="Arial"/>
          <w:sz w:val="22"/>
          <w:szCs w:val="22"/>
        </w:rPr>
      </w:pPr>
      <w:r w:rsidRPr="003F449B">
        <w:rPr>
          <w:rFonts w:ascii="Arial" w:hAnsi="Arial" w:cs="Arial"/>
          <w:sz w:val="22"/>
          <w:szCs w:val="22"/>
        </w:rPr>
        <w:t xml:space="preserve">Empirical evidence demonstrates that burnout is highly prevalent among healthcare professionals. A large systematic review conducted by Rotenstein et al. (2018) examined 182 studies assessing physician burnout and reported prevalence estimates ranging from </w:t>
      </w:r>
      <w:r w:rsidRPr="00223461">
        <w:rPr>
          <w:rFonts w:ascii="Arial" w:hAnsi="Arial" w:cs="Arial"/>
          <w:b/>
          <w:bCs/>
          <w:sz w:val="22"/>
          <w:szCs w:val="22"/>
        </w:rPr>
        <w:t>0% to 80.5%</w:t>
      </w:r>
      <w:r w:rsidRPr="00223461">
        <w:rPr>
          <w:rFonts w:ascii="Arial" w:hAnsi="Arial" w:cs="Arial"/>
          <w:sz w:val="22"/>
          <w:szCs w:val="22"/>
        </w:rPr>
        <w:t>,</w:t>
      </w:r>
      <w:r w:rsidRPr="003F449B">
        <w:rPr>
          <w:rFonts w:ascii="Arial" w:hAnsi="Arial" w:cs="Arial"/>
          <w:sz w:val="22"/>
          <w:szCs w:val="22"/>
        </w:rPr>
        <w:t xml:space="preserve"> highlighting the widespread nature of burnout across healthcare settings. Although the reported rates vary depending on measurement methods and healthcare contexts, the review consistently found substantial levels of emotional exhaustion and depersonalisation among healthcare professionals</w:t>
      </w:r>
      <w:r w:rsidR="00903EE3">
        <w:rPr>
          <w:rFonts w:ascii="Arial" w:hAnsi="Arial" w:cs="Arial"/>
          <w:sz w:val="22"/>
          <w:szCs w:val="22"/>
        </w:rPr>
        <w:t xml:space="preserve"> as shown in </w:t>
      </w:r>
      <w:r w:rsidRPr="00A408AE">
        <w:rPr>
          <w:rFonts w:ascii="Arial" w:hAnsi="Arial" w:cs="Arial"/>
          <w:b/>
          <w:bCs/>
          <w:sz w:val="22"/>
          <w:szCs w:val="22"/>
        </w:rPr>
        <w:t>(figure 4.1 see appendix 3)</w:t>
      </w:r>
      <w:r w:rsidR="00592F2D">
        <w:rPr>
          <w:rFonts w:ascii="Arial" w:hAnsi="Arial" w:cs="Arial"/>
          <w:sz w:val="22"/>
          <w:szCs w:val="22"/>
        </w:rPr>
        <w:t>,</w:t>
      </w:r>
      <w:r w:rsidR="00592F2D" w:rsidRPr="00592F2D">
        <w:rPr>
          <w:rFonts w:eastAsia="Times New Roman"/>
        </w:rPr>
        <w:t xml:space="preserve"> </w:t>
      </w:r>
      <w:r w:rsidR="00592F2D" w:rsidRPr="004506C2">
        <w:rPr>
          <w:rFonts w:ascii="Arial" w:eastAsia="Times New Roman" w:hAnsi="Arial" w:cs="Arial"/>
          <w:sz w:val="22"/>
          <w:szCs w:val="22"/>
        </w:rPr>
        <w:t>which illustrates the variation in burnout prevalence across studies. This visual evidence highlights the widespread nature of burnout despite differences in measurement approaches</w:t>
      </w:r>
      <w:r w:rsidR="00592F2D">
        <w:rPr>
          <w:rFonts w:eastAsia="Times New Roman"/>
        </w:rPr>
        <w:t>.</w:t>
      </w:r>
      <w:r w:rsidR="00903EE3" w:rsidRPr="00903EE3">
        <w:rPr>
          <w:rFonts w:eastAsia="Times New Roman"/>
        </w:rPr>
        <w:t xml:space="preserve"> </w:t>
      </w:r>
      <w:r w:rsidR="00903EE3" w:rsidRPr="00806A12">
        <w:rPr>
          <w:rFonts w:ascii="Arial" w:eastAsia="Times New Roman" w:hAnsi="Arial" w:cs="Arial"/>
          <w:sz w:val="22"/>
          <w:szCs w:val="22"/>
        </w:rPr>
        <w:t xml:space="preserve">This supports the argument that burnout is not an isolated problem but a </w:t>
      </w:r>
      <w:r w:rsidR="00903EE3" w:rsidRPr="0064118E">
        <w:rPr>
          <w:rStyle w:val="Strong"/>
          <w:rFonts w:ascii="Arial" w:eastAsia="Times New Roman" w:hAnsi="Arial" w:cs="Arial"/>
          <w:b w:val="0"/>
          <w:bCs w:val="0"/>
          <w:sz w:val="22"/>
          <w:szCs w:val="22"/>
        </w:rPr>
        <w:t>systemic concern within healthcare organisations</w:t>
      </w:r>
      <w:r w:rsidR="00903EE3" w:rsidRPr="0064118E">
        <w:rPr>
          <w:rFonts w:ascii="Arial" w:eastAsia="Times New Roman" w:hAnsi="Arial" w:cs="Arial"/>
          <w:b/>
          <w:bCs/>
          <w:sz w:val="22"/>
          <w:szCs w:val="22"/>
        </w:rPr>
        <w:t>,</w:t>
      </w:r>
      <w:r w:rsidR="00903EE3" w:rsidRPr="00806A12">
        <w:rPr>
          <w:rFonts w:ascii="Arial" w:eastAsia="Times New Roman" w:hAnsi="Arial" w:cs="Arial"/>
          <w:sz w:val="22"/>
          <w:szCs w:val="22"/>
        </w:rPr>
        <w:t xml:space="preserve"> reinforcing the need for organisational-level interventions.</w:t>
      </w:r>
      <w:r w:rsidR="00840809" w:rsidRPr="00806A12">
        <w:rPr>
          <w:rFonts w:ascii="Arial" w:hAnsi="Arial" w:cs="Arial"/>
          <w:sz w:val="22"/>
          <w:szCs w:val="22"/>
        </w:rPr>
        <w:t xml:space="preserve"> </w:t>
      </w:r>
      <w:r w:rsidRPr="00806A12">
        <w:rPr>
          <w:rFonts w:ascii="Arial" w:hAnsi="Arial" w:cs="Arial"/>
          <w:sz w:val="22"/>
          <w:szCs w:val="22"/>
        </w:rPr>
        <w:t>Further research has supported these findings. Dyrbye et al. (2020) reported that burnout remains a significant concern within healthcare workforces, with high levels of emotional exhaustion and reduced professional satisfaction observed among physicians. Similarly, Hall et al. (2016) identified strong associations between healthcare worker burnout and negative outcomes such a</w:t>
      </w:r>
      <w:r w:rsidRPr="003F449B">
        <w:rPr>
          <w:rFonts w:ascii="Arial" w:hAnsi="Arial" w:cs="Arial"/>
          <w:sz w:val="22"/>
          <w:szCs w:val="22"/>
        </w:rPr>
        <w:t>s decreased staff wellbeing and reduced patient safety. These findings demonstrate that burnout represents a major occupational health issue affecting healthcare professionals globally.</w:t>
      </w:r>
      <w:r w:rsidR="00AC79D3">
        <w:rPr>
          <w:rFonts w:ascii="Arial" w:hAnsi="Arial" w:cs="Arial"/>
          <w:sz w:val="22"/>
          <w:szCs w:val="22"/>
        </w:rPr>
        <w:t xml:space="preserve"> </w:t>
      </w:r>
      <w:r w:rsidR="00AC79D3" w:rsidRPr="001A3B99">
        <w:rPr>
          <w:rFonts w:ascii="Arial" w:eastAsia="Times New Roman" w:hAnsi="Arial" w:cs="Arial"/>
          <w:sz w:val="22"/>
          <w:szCs w:val="22"/>
        </w:rPr>
        <w:t>While multiple factors contribute to burnout, the literature consistently indicates that</w:t>
      </w:r>
      <w:r w:rsidR="00AC79D3" w:rsidRPr="00C530C4">
        <w:rPr>
          <w:rFonts w:ascii="Arial" w:eastAsia="Times New Roman" w:hAnsi="Arial" w:cs="Arial"/>
          <w:b/>
          <w:bCs/>
          <w:sz w:val="22"/>
          <w:szCs w:val="22"/>
        </w:rPr>
        <w:t xml:space="preserve"> </w:t>
      </w:r>
      <w:r w:rsidR="00AC79D3" w:rsidRPr="00C530C4">
        <w:rPr>
          <w:rStyle w:val="Strong"/>
          <w:rFonts w:ascii="Arial" w:eastAsia="Times New Roman" w:hAnsi="Arial" w:cs="Arial"/>
          <w:b w:val="0"/>
          <w:bCs w:val="0"/>
          <w:sz w:val="22"/>
          <w:szCs w:val="22"/>
        </w:rPr>
        <w:t xml:space="preserve">organisational factors such as workload and </w:t>
      </w:r>
      <w:r w:rsidR="00AC79D3" w:rsidRPr="00C530C4">
        <w:rPr>
          <w:rStyle w:val="Strong"/>
          <w:rFonts w:ascii="Arial" w:eastAsia="Times New Roman" w:hAnsi="Arial" w:cs="Arial"/>
          <w:b w:val="0"/>
          <w:bCs w:val="0"/>
          <w:sz w:val="22"/>
          <w:szCs w:val="22"/>
        </w:rPr>
        <w:lastRenderedPageBreak/>
        <w:t>staffing pressures have the greatest impact</w:t>
      </w:r>
      <w:r w:rsidR="00AC79D3" w:rsidRPr="00C530C4">
        <w:rPr>
          <w:rFonts w:ascii="Arial" w:eastAsia="Times New Roman" w:hAnsi="Arial" w:cs="Arial"/>
          <w:b/>
          <w:bCs/>
          <w:sz w:val="22"/>
          <w:szCs w:val="22"/>
        </w:rPr>
        <w:t xml:space="preserve">, </w:t>
      </w:r>
      <w:r w:rsidR="00AC79D3" w:rsidRPr="00C530C4">
        <w:rPr>
          <w:rFonts w:ascii="Arial" w:eastAsia="Times New Roman" w:hAnsi="Arial" w:cs="Arial"/>
          <w:sz w:val="22"/>
          <w:szCs w:val="22"/>
        </w:rPr>
        <w:t>as they directly shape working conditions and are often beyond individual control. This highlights the need for system-level interventions within healthcare organisations.</w:t>
      </w:r>
    </w:p>
    <w:p w14:paraId="4BE04EA7" w14:textId="06AAFF72"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Overall, these statistics highlight the substantial prevalence of burnout within healthcare environments and emphasise the importance of identifying organisational and systemic factors that contribute to this issue.</w:t>
      </w:r>
    </w:p>
    <w:p w14:paraId="77EF72B6" w14:textId="51D3B71C"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Theories, Policies, and Legislation</w:t>
      </w:r>
    </w:p>
    <w:p w14:paraId="72B95200" w14:textId="16D5E266" w:rsidR="008D5747" w:rsidRPr="00002A40" w:rsidRDefault="008D5747" w:rsidP="009714F1">
      <w:pPr>
        <w:pStyle w:val="ListParagraph"/>
        <w:numPr>
          <w:ilvl w:val="0"/>
          <w:numId w:val="1"/>
        </w:numPr>
        <w:spacing w:line="360" w:lineRule="auto"/>
        <w:rPr>
          <w:rFonts w:ascii="Arial" w:hAnsi="Arial" w:cs="Arial"/>
          <w:sz w:val="22"/>
          <w:szCs w:val="22"/>
        </w:rPr>
      </w:pPr>
      <w:r w:rsidRPr="003F449B">
        <w:rPr>
          <w:rFonts w:ascii="Arial" w:hAnsi="Arial" w:cs="Arial"/>
          <w:sz w:val="22"/>
          <w:szCs w:val="22"/>
        </w:rPr>
        <w:t xml:space="preserve">Theoretical Framework: JD-R Model </w:t>
      </w:r>
    </w:p>
    <w:p w14:paraId="6D357CF4" w14:textId="7B79FB99" w:rsidR="008D5747" w:rsidRPr="004E324F" w:rsidRDefault="008D5747" w:rsidP="009714F1">
      <w:pPr>
        <w:spacing w:line="360" w:lineRule="auto"/>
        <w:rPr>
          <w:rFonts w:ascii="Arial" w:hAnsi="Arial" w:cs="Arial"/>
          <w:sz w:val="22"/>
          <w:szCs w:val="22"/>
        </w:rPr>
      </w:pPr>
      <w:r w:rsidRPr="003F449B">
        <w:rPr>
          <w:rFonts w:ascii="Arial" w:hAnsi="Arial" w:cs="Arial"/>
          <w:sz w:val="22"/>
          <w:szCs w:val="22"/>
        </w:rPr>
        <w:t>One of the most relevant theoretical models explaining burnout in the workplace is the Job Demands–Resources (JD-R) model,</w:t>
      </w:r>
      <w:r w:rsidRPr="00891AB8">
        <w:rPr>
          <w:rFonts w:ascii="Arial" w:hAnsi="Arial" w:cs="Arial"/>
          <w:b/>
          <w:bCs/>
          <w:sz w:val="22"/>
          <w:szCs w:val="22"/>
        </w:rPr>
        <w:t>(see Appendix figure 4.2</w:t>
      </w:r>
      <w:r w:rsidRPr="003F449B">
        <w:rPr>
          <w:rFonts w:ascii="Arial" w:hAnsi="Arial" w:cs="Arial"/>
          <w:sz w:val="22"/>
          <w:szCs w:val="22"/>
        </w:rPr>
        <w:t>)developed by Arnold B. Bakker and Evangelia Demerouti (2017). The JD-R model proposes that burnout develops when job demands such as workload, emotional pressure, and time constraints exceed the resources available to employees, including managerial support, autonomy, and adequate staffing levels.</w:t>
      </w:r>
      <w:r w:rsidR="004E324F">
        <w:rPr>
          <w:rFonts w:ascii="Arial" w:hAnsi="Arial" w:cs="Arial"/>
          <w:sz w:val="22"/>
          <w:szCs w:val="22"/>
        </w:rPr>
        <w:t xml:space="preserve"> </w:t>
      </w:r>
      <w:r w:rsidR="004E324F" w:rsidRPr="004E324F">
        <w:rPr>
          <w:rFonts w:ascii="Arial" w:eastAsia="Times New Roman" w:hAnsi="Arial" w:cs="Arial"/>
          <w:sz w:val="22"/>
          <w:szCs w:val="22"/>
        </w:rPr>
        <w:t xml:space="preserve">This supports the theme that </w:t>
      </w:r>
      <w:r w:rsidR="004E324F" w:rsidRPr="00C75B55">
        <w:rPr>
          <w:rStyle w:val="Strong"/>
          <w:rFonts w:ascii="Arial" w:eastAsia="Times New Roman" w:hAnsi="Arial" w:cs="Arial"/>
          <w:b w:val="0"/>
          <w:bCs w:val="0"/>
          <w:sz w:val="22"/>
          <w:szCs w:val="22"/>
        </w:rPr>
        <w:t>organisational factors are key drivers of burnout</w:t>
      </w:r>
      <w:r w:rsidR="004E324F" w:rsidRPr="00C75B55">
        <w:rPr>
          <w:rFonts w:ascii="Arial" w:eastAsia="Times New Roman" w:hAnsi="Arial" w:cs="Arial"/>
          <w:b/>
          <w:bCs/>
          <w:sz w:val="22"/>
          <w:szCs w:val="22"/>
        </w:rPr>
        <w:t xml:space="preserve">, </w:t>
      </w:r>
      <w:r w:rsidR="004E324F" w:rsidRPr="00C75B55">
        <w:rPr>
          <w:rFonts w:ascii="Arial" w:eastAsia="Times New Roman" w:hAnsi="Arial" w:cs="Arial"/>
          <w:sz w:val="22"/>
          <w:szCs w:val="22"/>
        </w:rPr>
        <w:t>emphasising the importance of workplace support</w:t>
      </w:r>
      <w:r w:rsidR="004E324F" w:rsidRPr="004E324F">
        <w:rPr>
          <w:rFonts w:ascii="Arial" w:eastAsia="Times New Roman" w:hAnsi="Arial" w:cs="Arial"/>
          <w:sz w:val="22"/>
          <w:szCs w:val="22"/>
        </w:rPr>
        <w:t xml:space="preserve"> systems.</w:t>
      </w:r>
    </w:p>
    <w:p w14:paraId="12AF2EF8" w14:textId="1BC98343"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However, while the JD-R model effectively explains the structural causes of burnout, some researchers argue that it may overlook individual coping differences and psychological resilience among healthcare professionals.</w:t>
      </w:r>
    </w:p>
    <w:p w14:paraId="36BCEC22" w14:textId="1FF3ED8A"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Within healthcare environments, high job demands combined with limited organisational resources can significantly increase the risk of burnout. The JD-R model therefore provides a useful framework for understanding how organisational conditions influence staff wellbeing.</w:t>
      </w:r>
    </w:p>
    <w:p w14:paraId="216A12BF" w14:textId="70F4923B"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Policy and Legislation</w:t>
      </w:r>
    </w:p>
    <w:p w14:paraId="14E63C59" w14:textId="0ABC1835"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Several UK policies emphasise the importance of protecting employee health and wellbeing. For example, the Health and Safety at Work Act 1974 places a legal responsibility on employers to ensure the health, safety, and welfare of employees within the workplace. This includes addressing risks associated with occupational stress.</w:t>
      </w:r>
    </w:p>
    <w:p w14:paraId="79D4232D" w14:textId="61515A66"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Additionally, NHS workforce strategies developed by organisations such as NHS England have increasingly focused on improving staff wellbeing through initiatives such as mental health support services, wellbeing hubs, and flexible working arrangements.</w:t>
      </w:r>
    </w:p>
    <w:p w14:paraId="40C34129" w14:textId="19AD704C"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Implications</w:t>
      </w:r>
    </w:p>
    <w:p w14:paraId="42C92490" w14:textId="5CC5D552"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lastRenderedPageBreak/>
        <w:t>The implications of workplace stress and burnout for healthcare organisations are significant. On a negative level, burnout can lead to reduced job satisfaction, increased absenteeism, and higher staff turnover. These outcomes not only affect healthcare professionals themselves but may also compromise patient safety and the quality of care delivered.</w:t>
      </w:r>
    </w:p>
    <w:p w14:paraId="5E728373" w14:textId="46335980"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However, recognising burnout as a systemic organisational issue also presents opportunities for positive change. Increased awareness of the problem has led to the development of wellbeing programmes, improved </w:t>
      </w:r>
      <w:r w:rsidR="00302C73">
        <w:rPr>
          <w:rFonts w:ascii="Arial" w:hAnsi="Arial" w:cs="Arial"/>
          <w:sz w:val="22"/>
          <w:szCs w:val="22"/>
        </w:rPr>
        <w:t>MH</w:t>
      </w:r>
      <w:r w:rsidRPr="003F449B">
        <w:rPr>
          <w:rFonts w:ascii="Arial" w:hAnsi="Arial" w:cs="Arial"/>
          <w:sz w:val="22"/>
          <w:szCs w:val="22"/>
        </w:rPr>
        <w:t xml:space="preserve"> support services, and policy initiatives aimed at protecting healthcare workers. Addressing workplace stress effectively may therefore contribute to improved staff retention, enhanced job satisfaction, and better patient outcomes.</w:t>
      </w:r>
    </w:p>
    <w:p w14:paraId="5FA42EF8" w14:textId="30AEE01F"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Examples from Reviewed Articles</w:t>
      </w:r>
    </w:p>
    <w:p w14:paraId="38AAC7A5" w14:textId="77777777"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Several articles included in the results summary table provide evidence supporting this theme for example, a study by West et al. (2016) examined burnout among physicians and found that excessive workload and lack of organisational support were key contributors to emotional exhaustion. The authors emphasised that addressing these factors through organisational interventions could significantly reduce burnout levels.</w:t>
      </w:r>
    </w:p>
    <w:p w14:paraId="224FEA60" w14:textId="4D1CFCFF"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Similarly, research by </w:t>
      </w:r>
      <w:r w:rsidR="00671190">
        <w:rPr>
          <w:rFonts w:ascii="Arial" w:hAnsi="Arial" w:cs="Arial"/>
          <w:sz w:val="22"/>
          <w:szCs w:val="22"/>
        </w:rPr>
        <w:t xml:space="preserve">Dyrbye et al. (2020) </w:t>
      </w:r>
      <w:r w:rsidRPr="003F449B">
        <w:rPr>
          <w:rFonts w:ascii="Arial" w:hAnsi="Arial" w:cs="Arial"/>
          <w:sz w:val="22"/>
          <w:szCs w:val="22"/>
        </w:rPr>
        <w:t>highlighted how workplace stressors such as emotional labour and long working hours contribute to psychological strain among healthcare professionals. Their findings reinforce the importance of supportive organisational environments in protecting staff wellbeing.</w:t>
      </w:r>
    </w:p>
    <w:p w14:paraId="15906586" w14:textId="0E46F8A3" w:rsidR="007B2F5E" w:rsidRPr="003F449B" w:rsidRDefault="008D5747" w:rsidP="009714F1">
      <w:pPr>
        <w:spacing w:line="360" w:lineRule="auto"/>
        <w:rPr>
          <w:rFonts w:ascii="Arial" w:hAnsi="Arial" w:cs="Arial"/>
          <w:sz w:val="22"/>
          <w:szCs w:val="22"/>
        </w:rPr>
      </w:pPr>
      <w:r w:rsidRPr="003F449B">
        <w:rPr>
          <w:rFonts w:ascii="Arial" w:hAnsi="Arial" w:cs="Arial"/>
          <w:sz w:val="22"/>
          <w:szCs w:val="22"/>
        </w:rPr>
        <w:t>In contrast,</w:t>
      </w:r>
      <w:r w:rsidR="00E80A88">
        <w:rPr>
          <w:rFonts w:ascii="Arial" w:hAnsi="Arial" w:cs="Arial"/>
          <w:sz w:val="22"/>
          <w:szCs w:val="22"/>
        </w:rPr>
        <w:t xml:space="preserve"> Pappa et al. (2020) </w:t>
      </w:r>
      <w:r w:rsidRPr="003F449B">
        <w:rPr>
          <w:rFonts w:ascii="Arial" w:hAnsi="Arial" w:cs="Arial"/>
          <w:sz w:val="22"/>
          <w:szCs w:val="22"/>
        </w:rPr>
        <w:t>emphasised the role of leadership and workplace culture in reducing burnout, suggesting that organisational change may be more effective than individual coping strategies alone</w:t>
      </w:r>
      <w:r w:rsidR="00C83CE8">
        <w:rPr>
          <w:rFonts w:ascii="Arial" w:hAnsi="Arial" w:cs="Arial"/>
          <w:sz w:val="22"/>
          <w:szCs w:val="22"/>
        </w:rPr>
        <w:t xml:space="preserve">, </w:t>
      </w:r>
      <w:r w:rsidR="00E837FC">
        <w:rPr>
          <w:rFonts w:ascii="Arial" w:hAnsi="Arial" w:cs="Arial"/>
          <w:sz w:val="22"/>
          <w:szCs w:val="22"/>
        </w:rPr>
        <w:t>whereas other studies focus more on individual coping strategies. This difference may reflect the level of analysis, with organisational studies considering systemic factors, while others prioritise individual responsibility. However, the organisational perspective is more convincing, as it addresses the root causes of burnout, such as workload and staffing pressures, rather than focusing solely on managing symptoms.</w:t>
      </w:r>
      <w:r w:rsidRPr="003F449B">
        <w:rPr>
          <w:rFonts w:ascii="Arial" w:hAnsi="Arial" w:cs="Arial"/>
          <w:sz w:val="22"/>
          <w:szCs w:val="22"/>
        </w:rPr>
        <w:t xml:space="preserve"> </w:t>
      </w:r>
      <w:r w:rsidR="00EF01C0">
        <w:rPr>
          <w:rFonts w:ascii="Arial" w:hAnsi="Arial" w:cs="Arial"/>
          <w:sz w:val="22"/>
          <w:szCs w:val="22"/>
        </w:rPr>
        <w:t xml:space="preserve">The studies </w:t>
      </w:r>
      <w:r w:rsidRPr="003F449B">
        <w:rPr>
          <w:rFonts w:ascii="Arial" w:hAnsi="Arial" w:cs="Arial"/>
          <w:sz w:val="22"/>
          <w:szCs w:val="22"/>
        </w:rPr>
        <w:t>collectively demonstrate that workplace conditions play a critical role in influencing burnout outcomes.</w:t>
      </w:r>
    </w:p>
    <w:p w14:paraId="7491BCEC" w14:textId="77777777" w:rsidR="008D5747" w:rsidRPr="004E47FA" w:rsidRDefault="008D5747" w:rsidP="009714F1">
      <w:pPr>
        <w:spacing w:line="360" w:lineRule="auto"/>
        <w:rPr>
          <w:rFonts w:ascii="Arial" w:hAnsi="Arial" w:cs="Arial"/>
          <w:b/>
          <w:bCs/>
          <w:sz w:val="22"/>
          <w:szCs w:val="22"/>
        </w:rPr>
      </w:pPr>
      <w:r w:rsidRPr="004E47FA">
        <w:rPr>
          <w:rFonts w:ascii="Arial" w:hAnsi="Arial" w:cs="Arial"/>
          <w:b/>
          <w:bCs/>
          <w:sz w:val="22"/>
          <w:szCs w:val="22"/>
        </w:rPr>
        <w:t>Connections to Other Themes</w:t>
      </w:r>
    </w:p>
    <w:p w14:paraId="0C110AA1" w14:textId="4FE8E9E5"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This theme is closely connected to other themes identified within the thematic analysis. For example, the issue of workplace stress directly overlaps with Theme 2: Emotional and Psychological Impact on </w:t>
      </w:r>
      <w:r w:rsidR="00BC363B">
        <w:rPr>
          <w:rFonts w:ascii="Arial" w:hAnsi="Arial" w:cs="Arial"/>
          <w:sz w:val="22"/>
          <w:szCs w:val="22"/>
        </w:rPr>
        <w:t>HCW</w:t>
      </w:r>
      <w:r w:rsidRPr="003F449B">
        <w:rPr>
          <w:rFonts w:ascii="Arial" w:hAnsi="Arial" w:cs="Arial"/>
          <w:sz w:val="22"/>
          <w:szCs w:val="22"/>
        </w:rPr>
        <w:t>, as prolonged exposure to workplace stress can contribute to emotional exhaustion and mental health difficulties.</w:t>
      </w:r>
    </w:p>
    <w:p w14:paraId="7703954E" w14:textId="0EE9ACC4"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lastRenderedPageBreak/>
        <w:t>Additionally, Theme 1 links to discussions surrounding organisational support and intervention strategies explored later in the dissertation. These interconnections highlight how workplace stress is not an isolated issue but forms part of a broader system of organisational and psychological factors affecting healthcare worker wellbeing.</w:t>
      </w:r>
    </w:p>
    <w:p w14:paraId="5D6C7F80" w14:textId="2C90D3C7"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 xml:space="preserve">Evaluation </w:t>
      </w:r>
    </w:p>
    <w:p w14:paraId="6F8B6FFC" w14:textId="355BD82B"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Overall, the literature demonstrates that burnout is a widespread issue within healthcare professions and is strongly influenced by workplace conditions. Studies consistently highlight that excessive workloads, time pressures, and organisational challenges contribute significantly to burnout among healthcare workers. </w:t>
      </w:r>
      <w:r w:rsidR="00506870" w:rsidRPr="00AC3CE3">
        <w:rPr>
          <w:rFonts w:ascii="Arial" w:eastAsia="Times New Roman" w:hAnsi="Arial" w:cs="Arial"/>
          <w:sz w:val="22"/>
          <w:szCs w:val="22"/>
        </w:rPr>
        <w:t xml:space="preserve">Among these factors, organisational pressures such as workload and staffing shortages appear to have the greatest impact, as they directly shape daily working conditions and are largely beyond individual control. This suggests that interventions focusing solely on individual coping strategies are unlikely to be sufficient without broader structural </w:t>
      </w:r>
      <w:r w:rsidR="00AC3CE3" w:rsidRPr="00AC3CE3">
        <w:rPr>
          <w:rFonts w:ascii="Arial" w:eastAsia="Times New Roman" w:hAnsi="Arial" w:cs="Arial"/>
          <w:sz w:val="22"/>
          <w:szCs w:val="22"/>
        </w:rPr>
        <w:t>change.</w:t>
      </w:r>
      <w:r w:rsidR="00AC3CE3" w:rsidRPr="003F449B">
        <w:rPr>
          <w:rFonts w:ascii="Arial" w:hAnsi="Arial" w:cs="Arial"/>
          <w:sz w:val="22"/>
          <w:szCs w:val="22"/>
        </w:rPr>
        <w:t xml:space="preserve"> The</w:t>
      </w:r>
      <w:r w:rsidRPr="003F449B">
        <w:rPr>
          <w:rFonts w:ascii="Arial" w:hAnsi="Arial" w:cs="Arial"/>
          <w:sz w:val="22"/>
          <w:szCs w:val="22"/>
        </w:rPr>
        <w:t xml:space="preserve"> Job Demands–Resources model further supports this by illustrating how an imbalance between job demands and available resources can lead to emotional exhaustion (Bakker &amp; Demerouti, 2017). However, while the literature clearly identifies workplace stressors as major contributors, there is some variation in reported burnout prevalence, suggesting that contextual factors such as healthcare systems and organisational cultures may influence the severity of burnout experienced by staff.</w:t>
      </w:r>
    </w:p>
    <w:p w14:paraId="5B2D7E9A" w14:textId="34C0F5F5"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4.4: Theme 2: Emotional and Psychological Impact on Healthcare Workers</w:t>
      </w:r>
    </w:p>
    <w:p w14:paraId="7EAD6EF3" w14:textId="5664F0DA" w:rsidR="008D5747" w:rsidRPr="001775C2" w:rsidRDefault="00002A40" w:rsidP="009714F1">
      <w:pPr>
        <w:spacing w:line="360" w:lineRule="auto"/>
        <w:rPr>
          <w:rFonts w:ascii="Arial" w:hAnsi="Arial" w:cs="Arial"/>
          <w:b/>
          <w:bCs/>
          <w:sz w:val="22"/>
          <w:szCs w:val="22"/>
        </w:rPr>
      </w:pPr>
      <w:r w:rsidRPr="001775C2">
        <w:rPr>
          <w:rFonts w:ascii="Arial" w:hAnsi="Arial" w:cs="Arial"/>
          <w:b/>
          <w:bCs/>
          <w:sz w:val="22"/>
          <w:szCs w:val="22"/>
        </w:rPr>
        <w:t>D</w:t>
      </w:r>
      <w:r w:rsidR="008D5747" w:rsidRPr="001775C2">
        <w:rPr>
          <w:rFonts w:ascii="Arial" w:hAnsi="Arial" w:cs="Arial"/>
          <w:b/>
          <w:bCs/>
          <w:sz w:val="22"/>
          <w:szCs w:val="22"/>
        </w:rPr>
        <w:t>efinition</w:t>
      </w:r>
    </w:p>
    <w:p w14:paraId="418FF293" w14:textId="77777777" w:rsidR="003B558F" w:rsidRDefault="008D5747" w:rsidP="009714F1">
      <w:pPr>
        <w:spacing w:line="360" w:lineRule="auto"/>
        <w:rPr>
          <w:rFonts w:ascii="Arial" w:hAnsi="Arial" w:cs="Arial"/>
          <w:sz w:val="22"/>
          <w:szCs w:val="22"/>
        </w:rPr>
      </w:pPr>
      <w:r w:rsidRPr="003F449B">
        <w:rPr>
          <w:rFonts w:ascii="Arial" w:hAnsi="Arial" w:cs="Arial"/>
          <w:sz w:val="22"/>
          <w:szCs w:val="22"/>
        </w:rPr>
        <w:t>The emotional and psychological impact on healthcare workers refers to the mental and emotional strain experienced as a result of working in demanding healthcare environments. Healthcare professionals are frequently exposed to high workloads, emotional interactions with patients, and stressful clinical situations, all of which can contribute to psychological distress. Emotional and psychological impacts may include stress, anxiety, depression, emotional exhaustion, and reduced job satisfaction.</w:t>
      </w:r>
      <w:r w:rsidR="0057570B">
        <w:rPr>
          <w:rFonts w:ascii="Arial" w:hAnsi="Arial" w:cs="Arial"/>
          <w:sz w:val="22"/>
          <w:szCs w:val="22"/>
        </w:rPr>
        <w:t xml:space="preserve"> </w:t>
      </w:r>
    </w:p>
    <w:p w14:paraId="63150FB5" w14:textId="79DEC826" w:rsidR="008D5747" w:rsidRPr="003F449B" w:rsidRDefault="0057570B" w:rsidP="009714F1">
      <w:pPr>
        <w:spacing w:line="360" w:lineRule="auto"/>
        <w:rPr>
          <w:rFonts w:ascii="Arial" w:hAnsi="Arial" w:cs="Arial"/>
          <w:sz w:val="22"/>
          <w:szCs w:val="22"/>
        </w:rPr>
      </w:pPr>
      <w:r w:rsidRPr="00DE5890">
        <w:rPr>
          <w:rFonts w:ascii="Arial" w:eastAsia="Times New Roman" w:hAnsi="Arial" w:cs="Arial"/>
          <w:sz w:val="22"/>
          <w:szCs w:val="22"/>
        </w:rPr>
        <w:t>As previously defined, burnout is characterised by emotional exhaustion and reduced wellbeing; however, in this context, it is particularly influenced by</w:t>
      </w:r>
      <w:r w:rsidRPr="00DE5890">
        <w:rPr>
          <w:rFonts w:ascii="Arial" w:eastAsia="Times New Roman" w:hAnsi="Arial" w:cs="Arial"/>
          <w:b/>
          <w:bCs/>
          <w:sz w:val="22"/>
          <w:szCs w:val="22"/>
        </w:rPr>
        <w:t xml:space="preserve"> </w:t>
      </w:r>
      <w:r w:rsidRPr="00DE5890">
        <w:rPr>
          <w:rStyle w:val="Strong"/>
          <w:rFonts w:ascii="Arial" w:eastAsia="Times New Roman" w:hAnsi="Arial" w:cs="Arial"/>
          <w:b w:val="0"/>
          <w:bCs w:val="0"/>
          <w:sz w:val="22"/>
          <w:szCs w:val="22"/>
        </w:rPr>
        <w:t>ongoing workplace pressures and emotional demands</w:t>
      </w:r>
      <w:r w:rsidRPr="00DE5890">
        <w:rPr>
          <w:rFonts w:ascii="Arial" w:eastAsia="Times New Roman" w:hAnsi="Arial" w:cs="Arial"/>
          <w:b/>
          <w:bCs/>
          <w:sz w:val="22"/>
          <w:szCs w:val="22"/>
        </w:rPr>
        <w:t>,</w:t>
      </w:r>
      <w:r w:rsidRPr="00DE5890">
        <w:rPr>
          <w:rFonts w:ascii="Arial" w:eastAsia="Times New Roman" w:hAnsi="Arial" w:cs="Arial"/>
          <w:sz w:val="22"/>
          <w:szCs w:val="22"/>
        </w:rPr>
        <w:t xml:space="preserve"> highlighting the cumulative nature of stress in healthcare settings</w:t>
      </w:r>
      <w:r w:rsidR="003B558F" w:rsidRPr="00DE5890">
        <w:rPr>
          <w:rFonts w:ascii="Arial" w:eastAsia="Times New Roman" w:hAnsi="Arial" w:cs="Arial"/>
          <w:sz w:val="22"/>
          <w:szCs w:val="22"/>
        </w:rPr>
        <w:t xml:space="preserve"> </w:t>
      </w:r>
      <w:r w:rsidR="008D5747" w:rsidRPr="003F449B">
        <w:rPr>
          <w:rFonts w:ascii="Arial" w:hAnsi="Arial" w:cs="Arial"/>
          <w:sz w:val="22"/>
          <w:szCs w:val="22"/>
        </w:rPr>
        <w:t>(Rotenstein et al., 2018). Emotional exhaustion in particular is considered a key indicator of burnout, reflecting feelings of being overwhelmed and emotionally drained due to ongoing work pressures (Dyrbye et al., 2020). These psychological effects can significantly influence both the wellbeing of healthcare professionals and the quality of care delivered to patients.</w:t>
      </w:r>
    </w:p>
    <w:p w14:paraId="7300D4F2" w14:textId="504B837F"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lastRenderedPageBreak/>
        <w:t>Background Information</w:t>
      </w:r>
    </w:p>
    <w:p w14:paraId="5D177CA7" w14:textId="620ECF7E"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psychological wellbeing of healthcare workers has become an increasingly important topic within healthcare research and policy discussions. Healthcare professionals often work in high-pressure environments where they are responsible for managing complex patient needs, making critical decisions, and coping with emotionally demanding situations. Over time, these pressures can lead to chronic stress and psychological fatigue.</w:t>
      </w:r>
    </w:p>
    <w:p w14:paraId="08E2C29F" w14:textId="668C74F3"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Research has consistently shown that healthcare professionals experience higher levels of stress compared to many other occupational groups (Dyrbye et al., 2020). In recent years, concerns about the mental health of healthcare workers have intensified due to increasing healthcare demands, staff shortages, and organisational pressures within healthcare systems. Reports from The King’s Fund highlight that workforce shortages and rising patient demand within the NHS have placed considerable pressure on healthcare staff, contributing to increased levels of stress and burnout (The King’s Fund, 2025).</w:t>
      </w:r>
    </w:p>
    <w:p w14:paraId="04B4D252" w14:textId="7F5C4CAA"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psychological impact of healthcare work became particularly visible during the COVID-19 pandemic, which exposed healthcare workers to unprecedented workloads and emotional challenges. Evidence from global studies has demonstrated significantly increased levels of anxiety, depression, and insomnia among healthcare workers during this period (Pappa et al., 2020). These findings highlight the importance of understanding and addressing the psychological consequences of working in healthcare environments.</w:t>
      </w:r>
    </w:p>
    <w:p w14:paraId="05322A9B" w14:textId="75863FEA"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Impact on Research Question</w:t>
      </w:r>
    </w:p>
    <w:p w14:paraId="4151F21A" w14:textId="16F1618C"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This theme is directly relevant to the research question as it explores the emotional and psychological consequences of burnout among healthcare workers. While workplace stress represents a major contributing factor, the psychological outcomes associated with burnout are equally important in understanding its overall impact.</w:t>
      </w:r>
    </w:p>
    <w:p w14:paraId="45B5CE1A" w14:textId="69DB891C"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presence of psychological distress among healthcare workers can have significant implications for both individuals and healthcare organisations. Emotional exhaustion, stress, and reduced wellbeing may affect professional performance, job satisfaction, and workforce retention. As highlighted by Hall et al. (2016), burnout and poor staff wellbeing can also negatively influence patient safety and healthcare outcomes. Therefore, examining the emotional and psychological effects of burnout is essential for understanding the broader implications of this issue within healthcare systems.</w:t>
      </w:r>
    </w:p>
    <w:p w14:paraId="7D256183" w14:textId="77777777" w:rsidR="00216017" w:rsidRDefault="00216017" w:rsidP="009714F1">
      <w:pPr>
        <w:spacing w:line="360" w:lineRule="auto"/>
        <w:rPr>
          <w:rFonts w:ascii="Arial" w:hAnsi="Arial" w:cs="Arial"/>
          <w:b/>
          <w:bCs/>
          <w:sz w:val="22"/>
          <w:szCs w:val="22"/>
        </w:rPr>
      </w:pPr>
    </w:p>
    <w:p w14:paraId="0643F61F" w14:textId="77777777" w:rsidR="00216017" w:rsidRDefault="00216017" w:rsidP="009714F1">
      <w:pPr>
        <w:spacing w:line="360" w:lineRule="auto"/>
        <w:rPr>
          <w:rFonts w:ascii="Arial" w:hAnsi="Arial" w:cs="Arial"/>
          <w:b/>
          <w:bCs/>
          <w:sz w:val="22"/>
          <w:szCs w:val="22"/>
        </w:rPr>
      </w:pPr>
    </w:p>
    <w:p w14:paraId="1436595E" w14:textId="1E1AD401"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lastRenderedPageBreak/>
        <w:t>Statistical Information</w:t>
      </w:r>
    </w:p>
    <w:p w14:paraId="5213FD6F" w14:textId="0D542712"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Statistical evidence highlights the significant psychological burden experienced by healthcare workers. Research has consistently shown that healthcare professionals report high levels of stress, anxiety, and other mental health difficulties due to demanding working conditions. A large meta-analysis conducted by Pappa et al. (2020) examined the mental health outcomes of healthcare workers and found that approximately 23.2% experienced symptoms of anxiety, 22.8% experienced depression, and 38.9% reported insomnia. These findings demonstrate the considerable psychological strain associated with working in healthcare environments.</w:t>
      </w:r>
    </w:p>
    <w:p w14:paraId="0A9F3989" w14:textId="054ED913" w:rsidR="00BF37C4" w:rsidRPr="00063F11" w:rsidRDefault="008D5747" w:rsidP="00063F11">
      <w:pPr>
        <w:pStyle w:val="NormalWeb"/>
        <w:spacing w:line="360" w:lineRule="auto"/>
        <w:rPr>
          <w:rFonts w:ascii="Arial" w:hAnsi="Arial" w:cs="Arial"/>
          <w:sz w:val="22"/>
          <w:szCs w:val="22"/>
        </w:rPr>
      </w:pPr>
      <w:r w:rsidRPr="00063F11">
        <w:rPr>
          <w:rFonts w:ascii="Arial" w:hAnsi="Arial" w:cs="Arial"/>
          <w:sz w:val="22"/>
          <w:szCs w:val="22"/>
        </w:rPr>
        <w:t xml:space="preserve">Within the United Kingdom, workforce data further emphasises the scale of the issue. According to the NHS Staff Survey, </w:t>
      </w:r>
      <w:r w:rsidRPr="00063F11">
        <w:rPr>
          <w:rFonts w:ascii="Arial" w:hAnsi="Arial" w:cs="Arial"/>
          <w:b/>
          <w:bCs/>
          <w:sz w:val="22"/>
          <w:szCs w:val="22"/>
        </w:rPr>
        <w:t>(figure 4.3)</w:t>
      </w:r>
      <w:r w:rsidRPr="00063F11">
        <w:rPr>
          <w:rFonts w:ascii="Arial" w:hAnsi="Arial" w:cs="Arial"/>
          <w:sz w:val="22"/>
          <w:szCs w:val="22"/>
        </w:rPr>
        <w:t xml:space="preserve"> approximately 44.8% of NHS staff reported feeling unwell due to work-related stress during the previous 12 months (NHS Employers, 202</w:t>
      </w:r>
      <w:r w:rsidR="007569FD">
        <w:rPr>
          <w:rFonts w:ascii="Arial" w:hAnsi="Arial" w:cs="Arial"/>
          <w:sz w:val="22"/>
          <w:szCs w:val="22"/>
        </w:rPr>
        <w:t>4</w:t>
      </w:r>
      <w:r w:rsidRPr="00063F11">
        <w:rPr>
          <w:rFonts w:ascii="Arial" w:hAnsi="Arial" w:cs="Arial"/>
          <w:sz w:val="22"/>
          <w:szCs w:val="22"/>
        </w:rPr>
        <w:t xml:space="preserve">). </w:t>
      </w:r>
      <w:r w:rsidR="008F3A09" w:rsidRPr="00063F11">
        <w:rPr>
          <w:rFonts w:ascii="Arial" w:hAnsi="Arial" w:cs="Arial"/>
          <w:sz w:val="22"/>
          <w:szCs w:val="22"/>
        </w:rPr>
        <w:t xml:space="preserve"> </w:t>
      </w:r>
      <w:r w:rsidR="00BF37C4" w:rsidRPr="00063F11">
        <w:rPr>
          <w:rFonts w:ascii="Arial" w:hAnsi="Arial" w:cs="Arial"/>
          <w:sz w:val="22"/>
          <w:szCs w:val="22"/>
        </w:rPr>
        <w:t>Further evidence reinforces the severity of this concern. A 2024 UNISON survey reported that 31% of NHS staff had taken time off work due to mental health issues within the past year, illustrating the tangible impact of workplace stress on staff absence and wellbeing. This suggests that the issue extends beyond workforce shortages alone, reflecting deeper systemic pressures within the healthcare system. The persistence of burnout, despite ongoing recruitment and retention initiatives, indicates that current strategies may not sufficiently address the underlying causes of staff distress.</w:t>
      </w:r>
    </w:p>
    <w:p w14:paraId="196EE7DB" w14:textId="77777777" w:rsidR="00BF37C4" w:rsidRPr="00063F11" w:rsidRDefault="00BF37C4" w:rsidP="00063F11">
      <w:pPr>
        <w:pStyle w:val="NormalWeb"/>
        <w:spacing w:line="360" w:lineRule="auto"/>
        <w:rPr>
          <w:rFonts w:ascii="Arial" w:hAnsi="Arial" w:cs="Arial"/>
          <w:sz w:val="22"/>
          <w:szCs w:val="22"/>
        </w:rPr>
      </w:pPr>
      <w:r w:rsidRPr="00063F11">
        <w:rPr>
          <w:rFonts w:ascii="Arial" w:hAnsi="Arial" w:cs="Arial"/>
          <w:sz w:val="22"/>
          <w:szCs w:val="22"/>
        </w:rPr>
        <w:t>These findings strengthen the argument that workplace conditions play a critical role in influencing staff mental health and wellbeing, and that without meaningful organisational change, the sustainability of the workforce remains at risk.</w:t>
      </w:r>
    </w:p>
    <w:p w14:paraId="4EC1810B" w14:textId="77777777" w:rsidR="00BF37C4" w:rsidRPr="00063F11" w:rsidRDefault="00BF37C4" w:rsidP="00063F11">
      <w:pPr>
        <w:pStyle w:val="NormalWeb"/>
        <w:spacing w:line="360" w:lineRule="auto"/>
        <w:rPr>
          <w:rFonts w:ascii="Arial" w:hAnsi="Arial" w:cs="Arial"/>
          <w:sz w:val="22"/>
          <w:szCs w:val="22"/>
        </w:rPr>
      </w:pPr>
      <w:r w:rsidRPr="00063F11">
        <w:rPr>
          <w:rFonts w:ascii="Arial" w:hAnsi="Arial" w:cs="Arial"/>
          <w:sz w:val="22"/>
          <w:szCs w:val="22"/>
        </w:rPr>
        <w:t>Global evidence also supports these concerns. The World Health Organization (WHO, 2024) has identified workplace stress as a significant occupational health risk, emphasising that poor working conditions, excessive workload, and limited organisational support can contribute to mental health difficulties among employees. In the healthcare sector, these risks are often intensified due to the emotional demands and responsibilities associated with patient care.</w:t>
      </w:r>
    </w:p>
    <w:p w14:paraId="70805D95" w14:textId="77777777" w:rsidR="00BF37C4" w:rsidRPr="00063F11" w:rsidRDefault="00BF37C4" w:rsidP="00063F11">
      <w:pPr>
        <w:pStyle w:val="NormalWeb"/>
        <w:spacing w:line="360" w:lineRule="auto"/>
        <w:rPr>
          <w:rFonts w:ascii="Arial" w:hAnsi="Arial" w:cs="Arial"/>
          <w:sz w:val="22"/>
          <w:szCs w:val="22"/>
        </w:rPr>
      </w:pPr>
      <w:r w:rsidRPr="00063F11">
        <w:rPr>
          <w:rFonts w:ascii="Arial" w:hAnsi="Arial" w:cs="Arial"/>
          <w:sz w:val="22"/>
          <w:szCs w:val="22"/>
        </w:rPr>
        <w:t xml:space="preserve">In addition, reports from The King’s Fund (2025) highlight that increasing patient demand and ongoing workforce shortages within the NHS have placed considerable pressure on healthcare staff. These pressures contribute to higher levels of stress, emotional fatigue, and psychological distress among healthcare workers. Collectively, this body of evidence demonstrates that the emotional and psychological impact of healthcare work represents a </w:t>
      </w:r>
      <w:r w:rsidRPr="00063F11">
        <w:rPr>
          <w:rFonts w:ascii="Arial" w:hAnsi="Arial" w:cs="Arial"/>
          <w:sz w:val="22"/>
          <w:szCs w:val="22"/>
        </w:rPr>
        <w:lastRenderedPageBreak/>
        <w:t>significant challenge for healthcare systems and emphasises the need for effective and sustainable support strategies.</w:t>
      </w:r>
    </w:p>
    <w:p w14:paraId="71496603" w14:textId="6AD1F1C8"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Theories, Policies, and Legislation</w:t>
      </w:r>
    </w:p>
    <w:p w14:paraId="28610A00" w14:textId="190DC1A4" w:rsidR="008D5747" w:rsidRPr="00A32CBA" w:rsidRDefault="008D5747" w:rsidP="009714F1">
      <w:pPr>
        <w:pStyle w:val="ListParagraph"/>
        <w:numPr>
          <w:ilvl w:val="0"/>
          <w:numId w:val="1"/>
        </w:numPr>
        <w:spacing w:line="360" w:lineRule="auto"/>
        <w:rPr>
          <w:rFonts w:ascii="Arial" w:hAnsi="Arial" w:cs="Arial"/>
          <w:sz w:val="22"/>
          <w:szCs w:val="22"/>
        </w:rPr>
      </w:pPr>
      <w:r w:rsidRPr="003F449B">
        <w:rPr>
          <w:rFonts w:ascii="Arial" w:hAnsi="Arial" w:cs="Arial"/>
          <w:sz w:val="22"/>
          <w:szCs w:val="22"/>
        </w:rPr>
        <w:t>Theoretical Framework: Maslach Burnout Theory:</w:t>
      </w:r>
    </w:p>
    <w:p w14:paraId="206814EB" w14:textId="7E827DC0"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Maslach’s Burnout Theory provides a framework for understanding the psychological effects of burnout among healthcare professionals. The theory identifies three primary dimensions of burnout: emotional exhaustion, depersonalisation, and reduced personal accomplishment (Maslach &amp; Leiter, 2016). Emotional exhaustion refers to feelings of emotional depletion caused by prolonged work stress, while depersonalisation involves a detached or cynical attitude towards patients and colleagues. Reduced personal accomplishment reflects feelings of reduced professional effectiveness and achievement. These psychological outcomes are frequently reported among healthcare workers experiencing prolonged exposure to stressful working conditions.</w:t>
      </w:r>
    </w:p>
    <w:p w14:paraId="4C73F083" w14:textId="49544D81"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Although Maslach’s framework remains widely used in burnout research, some scholars suggest that the model focuses primarily on individual psychological outcomes and may not fully capture organisational factors contributing to burnout. This theoretical perspective is important for this research as it helps explain how workplace conditions contribute to burnout among healthcare professionals.</w:t>
      </w:r>
    </w:p>
    <w:p w14:paraId="7937F78D" w14:textId="0270D86E"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Policy and Legislation</w:t>
      </w:r>
    </w:p>
    <w:p w14:paraId="4BB595CD" w14:textId="2BEF2506"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Several international and national policies emphasise the importance of protecting employee mental health. The World Health Organization has highlighted workplace stress as a major occupational health concern and recommends that organisations implement strategies to promote positive mental health in the workplace (WHO, 2024).</w:t>
      </w:r>
    </w:p>
    <w:p w14:paraId="1B48EB77" w14:textId="6BD757BE"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Within the United Kingdom, a number of policies and legislative frameworks aim to protect the wellbeing of healthcare staff. The Health and Safety at Work etc. Act (1974) places a legal duty on employers to ensure, as far as reasonably practicable, the health, safety, and welfare of employees, including protection from work-related stress. In addition, the Management of Health and Safety at Work Regulations (1999) require organisations to assess and manage workplace risks, including psychosocial risks that may affect employees’ mental health. </w:t>
      </w:r>
    </w:p>
    <w:p w14:paraId="14629A1A" w14:textId="3A7EDABE"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Within the healthcare sector, increasing attention has also been given to staff wellbeing through workforce strategies and organisational initiatives. For example, NHS organisations have introduced wellbeing programmes and support services designed to help healthcare </w:t>
      </w:r>
      <w:r w:rsidRPr="003F449B">
        <w:rPr>
          <w:rFonts w:ascii="Arial" w:hAnsi="Arial" w:cs="Arial"/>
          <w:sz w:val="22"/>
          <w:szCs w:val="22"/>
        </w:rPr>
        <w:lastRenderedPageBreak/>
        <w:t>professionals manage stress and maintain psychological health (Ravalier, 2022). These initiatives reflect growing recognition of the importance of supporting staff wellbeing within healthcare environments.</w:t>
      </w:r>
    </w:p>
    <w:p w14:paraId="1A34CDCA" w14:textId="190B30F5"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Implications</w:t>
      </w:r>
    </w:p>
    <w:p w14:paraId="5C4B17E3" w14:textId="4211C7CD"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emotional and psychological impact of burnout can have significant consequences for both healthcare workers and healthcare organisations. At an individual level, healthcare professionals experiencing psychological distress may develop symptoms such as anxiety, depression, and emotional exhaustion. These effects can reduce job satisfaction and increase the risk of burnout.</w:t>
      </w:r>
    </w:p>
    <w:p w14:paraId="005F32E0" w14:textId="038B970B"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At an organisational level, poor staff wellbeing may contribute to increased absenteeism, staff turnover, and reduced workforce productivity. Research has also shown that burnout can negatively affect patient safety and the quality of healthcare services (Hall et al., 2016). However, recognising these challenges has also encouraged healthcare organisations to implement mental health support programmes and wellbeing initiatives designed to improve working conditions and support healthcare workers.</w:t>
      </w:r>
    </w:p>
    <w:p w14:paraId="3727509D" w14:textId="78945859" w:rsidR="008D5747" w:rsidRDefault="008D5747" w:rsidP="009714F1">
      <w:pPr>
        <w:spacing w:line="360" w:lineRule="auto"/>
        <w:rPr>
          <w:rFonts w:ascii="Arial" w:hAnsi="Arial" w:cs="Arial"/>
          <w:b/>
          <w:bCs/>
          <w:sz w:val="22"/>
          <w:szCs w:val="22"/>
        </w:rPr>
      </w:pPr>
      <w:r w:rsidRPr="001775C2">
        <w:rPr>
          <w:rFonts w:ascii="Arial" w:hAnsi="Arial" w:cs="Arial"/>
          <w:b/>
          <w:bCs/>
          <w:sz w:val="22"/>
          <w:szCs w:val="22"/>
        </w:rPr>
        <w:t>Examples from Reviewed Articles</w:t>
      </w:r>
    </w:p>
    <w:p w14:paraId="01EF9981" w14:textId="4E00406D" w:rsidR="00496632" w:rsidRPr="000F5900" w:rsidRDefault="00496632" w:rsidP="009714F1">
      <w:pPr>
        <w:spacing w:line="360" w:lineRule="auto"/>
        <w:rPr>
          <w:rFonts w:ascii="Arial" w:hAnsi="Arial" w:cs="Arial"/>
          <w:sz w:val="22"/>
          <w:szCs w:val="22"/>
        </w:rPr>
      </w:pPr>
      <w:r w:rsidRPr="000F5900">
        <w:rPr>
          <w:rFonts w:ascii="Arial" w:hAnsi="Arial" w:cs="Arial"/>
          <w:sz w:val="22"/>
          <w:szCs w:val="22"/>
        </w:rPr>
        <w:t>Several studies included in the results summary table provide strong evidence supporting the emotional and psychological impact of burnout among healthcare workers. For example, Rotenstein et al. (2018) conducted a systematic review examining burnout prevalence among physicians and identified substantial levels of emotional exhaustion and psychological distress across multiple healthcare settings. Similarly, Pappa et al. (2020) reported high levels of anxiety, depression, and sleep disturbances among healthcare workers in their meta-analysis, further demonstrating the significant psychological burden associated with high-pressure environments.</w:t>
      </w:r>
    </w:p>
    <w:p w14:paraId="47EF798C" w14:textId="004F5677" w:rsidR="00496632" w:rsidRPr="000F5900" w:rsidRDefault="00496632" w:rsidP="009714F1">
      <w:pPr>
        <w:spacing w:line="360" w:lineRule="auto"/>
        <w:rPr>
          <w:rFonts w:ascii="Arial" w:hAnsi="Arial" w:cs="Arial"/>
          <w:sz w:val="22"/>
          <w:szCs w:val="22"/>
        </w:rPr>
      </w:pPr>
      <w:r w:rsidRPr="000F5900">
        <w:rPr>
          <w:rFonts w:ascii="Arial" w:hAnsi="Arial" w:cs="Arial"/>
          <w:sz w:val="22"/>
          <w:szCs w:val="22"/>
        </w:rPr>
        <w:t>While both studies highlight similar outcomes, their findings differ slightly in focus. Rotenstein et al. (2018) primarily examine burnout as a workplace syndrome, whereas Pappa et al. (2020) focus more broadly on clinical mental health conditions. This variation may be due to differences in research scope and measurement tools. However, the findings of Pappa et al. (2020) are particularly compelling, as they provide quantifiable mental health outcomes, strengthening the argument that burnout extends beyond occupational stress to more severe psychological consequences.</w:t>
      </w:r>
    </w:p>
    <w:p w14:paraId="0861BF6E" w14:textId="16BAD899" w:rsidR="00496632" w:rsidRPr="000F5900" w:rsidRDefault="00496632" w:rsidP="009714F1">
      <w:pPr>
        <w:spacing w:line="360" w:lineRule="auto"/>
        <w:rPr>
          <w:rFonts w:ascii="Arial" w:hAnsi="Arial" w:cs="Arial"/>
          <w:sz w:val="22"/>
          <w:szCs w:val="22"/>
        </w:rPr>
      </w:pPr>
      <w:r w:rsidRPr="000F5900">
        <w:rPr>
          <w:rFonts w:ascii="Arial" w:hAnsi="Arial" w:cs="Arial"/>
          <w:sz w:val="22"/>
          <w:szCs w:val="22"/>
        </w:rPr>
        <w:t>In contrast,</w:t>
      </w:r>
      <w:r w:rsidR="0089034A">
        <w:rPr>
          <w:rFonts w:ascii="Arial" w:hAnsi="Arial" w:cs="Arial"/>
          <w:sz w:val="22"/>
          <w:szCs w:val="22"/>
        </w:rPr>
        <w:t xml:space="preserve"> Dyrbye et al. (2020) </w:t>
      </w:r>
      <w:r w:rsidRPr="000F5900">
        <w:rPr>
          <w:rFonts w:ascii="Arial" w:hAnsi="Arial" w:cs="Arial"/>
          <w:sz w:val="22"/>
          <w:szCs w:val="22"/>
        </w:rPr>
        <w:t xml:space="preserve">shifts the focus towards organisational responses, identifying that high levels of work-related stress and emotional exhaustion persist despite the introduction of wellbeing initiatives within NHS organisations. This suggests that while </w:t>
      </w:r>
      <w:r w:rsidRPr="000F5900">
        <w:rPr>
          <w:rFonts w:ascii="Arial" w:hAnsi="Arial" w:cs="Arial"/>
          <w:sz w:val="22"/>
          <w:szCs w:val="22"/>
        </w:rPr>
        <w:lastRenderedPageBreak/>
        <w:t>support strategies are present, they may not be sufficiently effective in addressing the root causes of burnout. Supporting this, global evidence from the World Health Organization (2024) highlights workplace stress as a major occupational health risk, identifying excessive workload, poor work–life balance, and limited organisational support as key contributing factors.</w:t>
      </w:r>
    </w:p>
    <w:p w14:paraId="28F993CA" w14:textId="77777777" w:rsidR="00496632" w:rsidRPr="000F5900" w:rsidRDefault="00496632" w:rsidP="009714F1">
      <w:pPr>
        <w:spacing w:line="360" w:lineRule="auto"/>
        <w:rPr>
          <w:rFonts w:ascii="Arial" w:hAnsi="Arial" w:cs="Arial"/>
          <w:sz w:val="22"/>
          <w:szCs w:val="22"/>
        </w:rPr>
      </w:pPr>
      <w:r w:rsidRPr="000F5900">
        <w:rPr>
          <w:rFonts w:ascii="Arial" w:hAnsi="Arial" w:cs="Arial"/>
          <w:sz w:val="22"/>
          <w:szCs w:val="22"/>
        </w:rPr>
        <w:t>Collectively, these findings reinforce the argument that the emotional and psychological impact of burnout is both widespread and multifaceted, with organisational factors playing a critical role in shaping mental health outcomes among healthcare workers.</w:t>
      </w:r>
    </w:p>
    <w:p w14:paraId="3BA00A89" w14:textId="77B7117A"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Connections to Other Themes</w:t>
      </w:r>
    </w:p>
    <w:p w14:paraId="57D6F34D" w14:textId="773EAD57"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This theme is closely connected to Theme 1: Workplace Stress and Burnout, as workplace stress is a key factor contributing to emotional and psychological strain among healthcare workers. High workloads, staffing shortages, and demanding working conditions can lead to both burnout and mental health difficulties.</w:t>
      </w:r>
    </w:p>
    <w:p w14:paraId="09640E0A" w14:textId="65D1F770"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Furthermore, this theme also relates to discussions surrounding organisational support and leadership, as effective workplace interventions may help reduce psychological strain and improve staff wellbeing. These connections demonstrate that burnout and mental health issues are influenced by a combination of organisational, psychological, and systemic factors within healthcare environments.</w:t>
      </w:r>
    </w:p>
    <w:p w14:paraId="38FB9C81" w14:textId="3A3DB6E1"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Evaluation</w:t>
      </w:r>
    </w:p>
    <w:p w14:paraId="1C77EA54" w14:textId="09845869"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 literature consistently indicates that workplace stress and burnout can have significant emotional and psychological consequences for healthcare workers. Evidence shows increased rates of anxiety, depression, and sleep disturbances among healthcare professionals working in demanding clinical environments (Pappa et al., 2020). In addition, research within the NHS context highlights the growing concern surrounding staff wellbeing and mental health (Ravalier, 2022; The King’s Fund, 2025). Maslach’s burnout framework helps explain these psychological effects by identifying emotional exhaustion as a central component of burnout. Nevertheless, while the research provides strong evidence of psychological impact, some studies suggest that organisational support and workplace interventions may help mitigate these negative outcomes.</w:t>
      </w:r>
    </w:p>
    <w:p w14:paraId="2F7F7A26" w14:textId="78EC8A13"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4.5: Theme 3: Organisational Support, Leadership, and Interventions</w:t>
      </w:r>
    </w:p>
    <w:p w14:paraId="1E4E2465" w14:textId="694C96AF"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Definition</w:t>
      </w:r>
    </w:p>
    <w:p w14:paraId="6E6C3F15" w14:textId="4BE0A3E2"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Organisational support refers to the strategies, policies, and resources provided by healthcare institutions to maintain staff wellbeing, reduce burnout, and foster resilience </w:t>
      </w:r>
      <w:r w:rsidRPr="003F449B">
        <w:rPr>
          <w:rFonts w:ascii="Arial" w:hAnsi="Arial" w:cs="Arial"/>
          <w:sz w:val="22"/>
          <w:szCs w:val="22"/>
        </w:rPr>
        <w:lastRenderedPageBreak/>
        <w:t>(Shanafelt &amp; Noseworthy, 2017). Leadership in this context is defined as the role of managers, supervisors, and executives in promoting a culture of psychological safety, recognition, and support. Interventions are structured programmes or initiatives aimed at improving mental health outcomes and reducing occupational stress (West et al., 2018).</w:t>
      </w:r>
    </w:p>
    <w:p w14:paraId="7311703F" w14:textId="586E68A6"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Background Information</w:t>
      </w:r>
    </w:p>
    <w:p w14:paraId="0BF74837" w14:textId="5A444061"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Historically, healthcare organisations have focused primarily on clinical outcomes rather than staff wellbeing. However, recent research emphasises that effective organisational support and leadership are crucial in mitigating burnout and improving patient care (West et al., 2018). Organisational interventions, including wellbeing programmes, workload management, mentorship, and leadership development, have been implemented in both UK and international healthcare settings, reflecting a growing recognition of their importance (The King’s Fund, 2025).</w:t>
      </w:r>
    </w:p>
    <w:p w14:paraId="3DE8CB7B" w14:textId="2B84685C"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Impact on Research Question</w:t>
      </w:r>
    </w:p>
    <w:p w14:paraId="0AC89ADA" w14:textId="4CD3F697"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This theme is directly relevant to the dissertation title, “Invisible Struggles: Addressing Burnout and Mental Health Among Healthcare Workers”, because it explores the organisational and systemic factors that can alleviate burnout. Understanding leadership and support mechanisms helps answer how healthcare institutions can improve staff wellbeing and reduce occupational stress, complementing the individual-focused insights from Themes 1 and 2.</w:t>
      </w:r>
    </w:p>
    <w:p w14:paraId="0AB4D341" w14:textId="6E256444" w:rsidR="00A32CBA"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Statistical Information</w:t>
      </w:r>
    </w:p>
    <w:p w14:paraId="20D5CDC8" w14:textId="443A46A4"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Evidence shows that organisational interventions can significantly reduce burnout. West et al. (2018) found that structured programs including workload adjustment, peer support, and leadership engagement lowered burnout scores among physicians by 15–20% in controlled studies. Shanafelt and Noseworthy (2017) highlight that hospitals with executive commitment to staff wellbeing had higher staff retention and lower rates of emotional exhaustion. These statistics underline the measurable benefits of organisational and leadership interventions.</w:t>
      </w:r>
    </w:p>
    <w:p w14:paraId="6639AE04" w14:textId="2E1B735C"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Theories, Policies, and Legislation</w:t>
      </w:r>
    </w:p>
    <w:p w14:paraId="1C478BD4" w14:textId="32FAD32B" w:rsidR="008D5747" w:rsidRPr="00A32CBA" w:rsidRDefault="008D5747" w:rsidP="009714F1">
      <w:pPr>
        <w:pStyle w:val="ListParagraph"/>
        <w:numPr>
          <w:ilvl w:val="0"/>
          <w:numId w:val="1"/>
        </w:numPr>
        <w:spacing w:line="360" w:lineRule="auto"/>
        <w:rPr>
          <w:rFonts w:ascii="Arial" w:hAnsi="Arial" w:cs="Arial"/>
          <w:sz w:val="22"/>
          <w:szCs w:val="22"/>
        </w:rPr>
      </w:pPr>
      <w:r w:rsidRPr="003F449B">
        <w:rPr>
          <w:rFonts w:ascii="Arial" w:hAnsi="Arial" w:cs="Arial"/>
          <w:sz w:val="22"/>
          <w:szCs w:val="22"/>
        </w:rPr>
        <w:t>Theoretical Framework: Perceived Organisational Support</w:t>
      </w:r>
    </w:p>
    <w:p w14:paraId="52D640EC" w14:textId="298DC331"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Perceived Organisational Support (POS) theory </w:t>
      </w:r>
      <w:r w:rsidRPr="000A33E8">
        <w:rPr>
          <w:rFonts w:ascii="Arial" w:hAnsi="Arial" w:cs="Arial"/>
          <w:b/>
          <w:bCs/>
          <w:sz w:val="22"/>
          <w:szCs w:val="22"/>
        </w:rPr>
        <w:t>(figure 4.4)</w:t>
      </w:r>
      <w:r w:rsidRPr="003F449B">
        <w:rPr>
          <w:rFonts w:ascii="Arial" w:hAnsi="Arial" w:cs="Arial"/>
          <w:sz w:val="22"/>
          <w:szCs w:val="22"/>
        </w:rPr>
        <w:t xml:space="preserve"> developed by Eisenberger et al. In (1986) explains how employees’ perceptions of support from their organisation influence their wellbeing and work engagement. </w:t>
      </w:r>
      <w:r w:rsidR="005004A7">
        <w:rPr>
          <w:rFonts w:ascii="Arial" w:hAnsi="Arial" w:cs="Arial"/>
          <w:sz w:val="22"/>
          <w:szCs w:val="22"/>
        </w:rPr>
        <w:t>This highlights the importance of supportive workplace environments in mitigating burnout</w:t>
      </w:r>
      <w:r w:rsidR="00041083">
        <w:rPr>
          <w:rFonts w:ascii="Arial" w:hAnsi="Arial" w:cs="Arial"/>
          <w:sz w:val="22"/>
          <w:szCs w:val="22"/>
        </w:rPr>
        <w:t xml:space="preserve">. </w:t>
      </w:r>
      <w:r w:rsidRPr="003F449B">
        <w:rPr>
          <w:rFonts w:ascii="Arial" w:hAnsi="Arial" w:cs="Arial"/>
          <w:sz w:val="22"/>
          <w:szCs w:val="22"/>
        </w:rPr>
        <w:t xml:space="preserve">When healthcare workers feel that their </w:t>
      </w:r>
      <w:r w:rsidRPr="003F449B">
        <w:rPr>
          <w:rFonts w:ascii="Arial" w:hAnsi="Arial" w:cs="Arial"/>
          <w:sz w:val="22"/>
          <w:szCs w:val="22"/>
        </w:rPr>
        <w:lastRenderedPageBreak/>
        <w:t>organisation values their contributions and cares about their wellbeing, they are more likely to experience increased job satisfaction and lower levels of burnout (Kurtessis et al., 2017). In healthcare settings, organisational support may include effective leadership, access to mental health resources, manageable workloads, and supportive workplace cultures. Research suggests that organisations that actively promote staff wellbeing can reduce burnout and improve workforce retention.</w:t>
      </w:r>
    </w:p>
    <w:p w14:paraId="46C36CF0" w14:textId="61106F12" w:rsidR="00366B15" w:rsidRPr="00216017" w:rsidRDefault="008D5747" w:rsidP="009714F1">
      <w:pPr>
        <w:spacing w:line="360" w:lineRule="auto"/>
        <w:rPr>
          <w:rFonts w:ascii="Arial" w:hAnsi="Arial" w:cs="Arial"/>
          <w:sz w:val="22"/>
          <w:szCs w:val="22"/>
        </w:rPr>
      </w:pPr>
      <w:r w:rsidRPr="003F449B">
        <w:rPr>
          <w:rFonts w:ascii="Arial" w:hAnsi="Arial" w:cs="Arial"/>
          <w:sz w:val="22"/>
          <w:szCs w:val="22"/>
        </w:rPr>
        <w:t>Nevertheless, organisational support initiatives may have limited impact if structural issues such as staff shortages and excessive workloads are not simultaneously addressed.</w:t>
      </w:r>
    </w:p>
    <w:p w14:paraId="3930A739" w14:textId="7410E238"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Policy and Legislation</w:t>
      </w:r>
    </w:p>
    <w:p w14:paraId="08D19FEF" w14:textId="14FFAB0C"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In the UK, the NHS Health and Wellbeing Framework (2019) provides guidelines for staff wellbeing initiatives. The Health and Safety at Work Act (1974) and Management of Health and Safety at Work Regulations (1999) require employers to safeguard both physical and mental health, emphasising the legal responsibility of organisations to address occupational stress.</w:t>
      </w:r>
    </w:p>
    <w:p w14:paraId="7D607CA0" w14:textId="4D2B0DDD"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Implications</w:t>
      </w:r>
    </w:p>
    <w:p w14:paraId="266185B6" w14:textId="5D0A17CE"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Positive implications include improved staff resilience, lower turnover, better patient outcomes, and enhanced organisational culture (West et al., 2018). Negative implications may arise if interventions are poorly implemented or leadership commitment is inconsistent, potentially causing staff disengagement or cynicism (Shanafelt &amp; Noseworthy, 2017).</w:t>
      </w:r>
    </w:p>
    <w:p w14:paraId="46CE5EF5" w14:textId="3D67AB7F" w:rsidR="008D5747" w:rsidRDefault="008D5747" w:rsidP="009714F1">
      <w:pPr>
        <w:spacing w:line="360" w:lineRule="auto"/>
        <w:rPr>
          <w:rFonts w:ascii="Arial" w:hAnsi="Arial" w:cs="Arial"/>
          <w:b/>
          <w:bCs/>
          <w:sz w:val="22"/>
          <w:szCs w:val="22"/>
        </w:rPr>
      </w:pPr>
      <w:r w:rsidRPr="001775C2">
        <w:rPr>
          <w:rFonts w:ascii="Arial" w:hAnsi="Arial" w:cs="Arial"/>
          <w:b/>
          <w:bCs/>
          <w:sz w:val="22"/>
          <w:szCs w:val="22"/>
        </w:rPr>
        <w:t>Examples from Articles</w:t>
      </w:r>
    </w:p>
    <w:p w14:paraId="3358F187" w14:textId="075B3598" w:rsidR="00F41118" w:rsidRPr="003D7CF3" w:rsidRDefault="00F41118" w:rsidP="009714F1">
      <w:pPr>
        <w:spacing w:line="360" w:lineRule="auto"/>
        <w:rPr>
          <w:rFonts w:ascii="Arial" w:hAnsi="Arial" w:cs="Arial"/>
          <w:b/>
          <w:bCs/>
          <w:sz w:val="22"/>
          <w:szCs w:val="22"/>
        </w:rPr>
      </w:pPr>
      <w:r w:rsidRPr="00F41118">
        <w:rPr>
          <w:rFonts w:ascii="Arial" w:hAnsi="Arial" w:cs="Arial"/>
          <w:sz w:val="22"/>
          <w:szCs w:val="22"/>
        </w:rPr>
        <w:t>West et al. (2018) examined organisational interventions aimed at reducing physician burnout and found that strategies such as mentorship, resilience training, and workload adjustments were effective in improving staff wellbeing. Similarly, Shanafelt and Noseworthy (2017) emphasised the importance of executive leadership in fostering a supportive work environment and promoting psychological safety among healthcare professionals. While both studies highlight organisational responsibility, their approaches differ slightly, with West et al. (2018) focusing on practical interventions, whereas Shanafelt and Noseworthy (2017) place greater emphasis on leadership and organisational culture. This difference may reflect variations in research focus, with some studies prioritising measurable interventions and others examining broader organisational influences.</w:t>
      </w:r>
      <w:r w:rsidR="003D7CF3">
        <w:rPr>
          <w:rFonts w:ascii="Arial" w:hAnsi="Arial" w:cs="Arial"/>
          <w:sz w:val="22"/>
          <w:szCs w:val="22"/>
        </w:rPr>
        <w:t xml:space="preserve"> </w:t>
      </w:r>
      <w:r w:rsidR="003D7CF3" w:rsidRPr="003D7CF3">
        <w:rPr>
          <w:rStyle w:val="Strong"/>
          <w:rFonts w:ascii="Arial" w:eastAsia="Times New Roman" w:hAnsi="Arial" w:cs="Arial"/>
          <w:b w:val="0"/>
          <w:bCs w:val="0"/>
          <w:sz w:val="22"/>
          <w:szCs w:val="22"/>
        </w:rPr>
        <w:t>This variation may be due to differences in methodological focus; however, studies that provide measurable intervention outcomes (such as West et al., 2018) may be considered more practically applicable than those focusing solely on leadership theory.</w:t>
      </w:r>
    </w:p>
    <w:p w14:paraId="29070B9C" w14:textId="08558B4E" w:rsidR="00F41118" w:rsidRPr="00F41118" w:rsidRDefault="00F41118" w:rsidP="009714F1">
      <w:pPr>
        <w:spacing w:line="360" w:lineRule="auto"/>
        <w:rPr>
          <w:rFonts w:ascii="Arial" w:hAnsi="Arial" w:cs="Arial"/>
          <w:sz w:val="22"/>
          <w:szCs w:val="22"/>
        </w:rPr>
      </w:pPr>
      <w:r w:rsidRPr="00F41118">
        <w:rPr>
          <w:rFonts w:ascii="Arial" w:hAnsi="Arial" w:cs="Arial"/>
          <w:sz w:val="22"/>
          <w:szCs w:val="22"/>
        </w:rPr>
        <w:lastRenderedPageBreak/>
        <w:t>However, the findings of</w:t>
      </w:r>
      <w:r w:rsidR="00E43263">
        <w:rPr>
          <w:rFonts w:ascii="Arial" w:hAnsi="Arial" w:cs="Arial"/>
          <w:sz w:val="22"/>
          <w:szCs w:val="22"/>
        </w:rPr>
        <w:t xml:space="preserve"> </w:t>
      </w:r>
      <w:r w:rsidR="00F20A5E">
        <w:rPr>
          <w:rFonts w:ascii="Arial" w:hAnsi="Arial" w:cs="Arial"/>
          <w:sz w:val="22"/>
          <w:szCs w:val="22"/>
        </w:rPr>
        <w:t>Dyrbye et al. (2020)</w:t>
      </w:r>
      <w:r w:rsidRPr="00F41118">
        <w:rPr>
          <w:rFonts w:ascii="Arial" w:hAnsi="Arial" w:cs="Arial"/>
          <w:sz w:val="22"/>
          <w:szCs w:val="22"/>
        </w:rPr>
        <w:t xml:space="preserve"> may be considered more directly applicable in practice, as they provide specific, evidence-based strategies that can be implemented within healthcare settings. In contrast, the leadership-focused approach, while important, may be more difficult to operationalise without clear structural changes.</w:t>
      </w:r>
    </w:p>
    <w:p w14:paraId="655275AA" w14:textId="00868611" w:rsidR="00F41118" w:rsidRPr="00F41118" w:rsidRDefault="00F41118" w:rsidP="009714F1">
      <w:pPr>
        <w:spacing w:line="360" w:lineRule="auto"/>
        <w:rPr>
          <w:rFonts w:ascii="Arial" w:hAnsi="Arial" w:cs="Arial"/>
          <w:sz w:val="22"/>
          <w:szCs w:val="22"/>
        </w:rPr>
      </w:pPr>
      <w:r w:rsidRPr="00F41118">
        <w:rPr>
          <w:rFonts w:ascii="Arial" w:hAnsi="Arial" w:cs="Arial"/>
          <w:sz w:val="22"/>
          <w:szCs w:val="22"/>
        </w:rPr>
        <w:t>Collectively, these studies demonstrate the central role of organisational and systemic support in addressing burnout, complementing the individual and psychological factors identified in Themes 1 and 2, and highlighting the importance of coordinated, organisation-wide approaches to workforce wellbeing.</w:t>
      </w:r>
      <w:r w:rsidR="00285B83">
        <w:rPr>
          <w:rFonts w:ascii="Arial" w:hAnsi="Arial" w:cs="Arial"/>
          <w:sz w:val="22"/>
          <w:szCs w:val="22"/>
        </w:rPr>
        <w:t xml:space="preserve"> </w:t>
      </w:r>
    </w:p>
    <w:p w14:paraId="271BC001" w14:textId="58F970F9"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Connections to Other Themes</w:t>
      </w:r>
    </w:p>
    <w:p w14:paraId="4E433D78" w14:textId="7ED696F5"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Theme 3 overlaps with Theme 1 and Theme 2. Organisational support directly influences burnout rates (Theme 1) and mitigates psychological stress (Theme 2). Strong leadership and effective interventions provide the structural environment needed for individual coping strategies and emotional wellbeing to be effective.</w:t>
      </w:r>
    </w:p>
    <w:p w14:paraId="21474B12" w14:textId="6C9DA084"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Evaluation</w:t>
      </w:r>
    </w:p>
    <w:p w14:paraId="72199100" w14:textId="5CFF66A5" w:rsidR="008D5747" w:rsidRPr="00AC66DC" w:rsidRDefault="008D5747" w:rsidP="009714F1">
      <w:pPr>
        <w:spacing w:line="360" w:lineRule="auto"/>
        <w:rPr>
          <w:rFonts w:ascii="Arial" w:hAnsi="Arial" w:cs="Arial"/>
          <w:sz w:val="22"/>
          <w:szCs w:val="22"/>
        </w:rPr>
      </w:pPr>
      <w:r w:rsidRPr="003F449B">
        <w:rPr>
          <w:rFonts w:ascii="Arial" w:hAnsi="Arial" w:cs="Arial"/>
          <w:sz w:val="22"/>
          <w:szCs w:val="22"/>
        </w:rPr>
        <w:t xml:space="preserve">The literature suggests that organisational support and effective leadership play a crucial role in reducing burnout and improving staff wellbeing within healthcare settings. Evidence indicates that leadership engagement, wellbeing initiatives, and organisational interventions can significantly reduce burnout levels and improve workforce resilience. The concept of perceived organisational support further emphasises the importance of employees feeling valued and supported by their organisation. </w:t>
      </w:r>
      <w:r w:rsidR="00AC66DC" w:rsidRPr="00AC66DC">
        <w:rPr>
          <w:rFonts w:ascii="Arial" w:eastAsia="Times New Roman" w:hAnsi="Arial" w:cs="Arial"/>
          <w:sz w:val="22"/>
          <w:szCs w:val="22"/>
        </w:rPr>
        <w:t>However, the effectiveness of these interventions is often dependent on the extent to which underlying structural issues are addressed. This indicates that while leadership and support programmes are beneficial, they must be implemented alongside systemic changes to workload and staffing in order to produce sustainable outcomes.</w:t>
      </w:r>
    </w:p>
    <w:p w14:paraId="007D8632" w14:textId="7809F68F" w:rsidR="008D5747" w:rsidRPr="001775C2" w:rsidRDefault="008D5747" w:rsidP="009714F1">
      <w:pPr>
        <w:spacing w:line="360" w:lineRule="auto"/>
        <w:rPr>
          <w:rFonts w:ascii="Arial" w:hAnsi="Arial" w:cs="Arial"/>
          <w:b/>
          <w:bCs/>
          <w:sz w:val="22"/>
          <w:szCs w:val="22"/>
        </w:rPr>
      </w:pPr>
      <w:r w:rsidRPr="001775C2">
        <w:rPr>
          <w:rFonts w:ascii="Arial" w:hAnsi="Arial" w:cs="Arial"/>
          <w:b/>
          <w:bCs/>
          <w:sz w:val="22"/>
          <w:szCs w:val="22"/>
        </w:rPr>
        <w:t>4.6: Conclusion</w:t>
      </w:r>
    </w:p>
    <w:p w14:paraId="78C78D8D" w14:textId="4A455770" w:rsidR="008D5747" w:rsidRPr="003F449B" w:rsidRDefault="008D5747" w:rsidP="009714F1">
      <w:pPr>
        <w:spacing w:line="360" w:lineRule="auto"/>
        <w:rPr>
          <w:rFonts w:ascii="Arial" w:hAnsi="Arial" w:cs="Arial"/>
          <w:sz w:val="22"/>
          <w:szCs w:val="22"/>
        </w:rPr>
      </w:pPr>
      <w:r w:rsidRPr="003F449B">
        <w:rPr>
          <w:rFonts w:ascii="Arial" w:hAnsi="Arial" w:cs="Arial"/>
          <w:sz w:val="22"/>
          <w:szCs w:val="22"/>
        </w:rPr>
        <w:t xml:space="preserve">This chapter has presented the key findings from the thematic analysis of literature concerning burnout and mental health among healthcare workers. Three main themes were identified: burnout prevalence and workplace stress, emotional and psychological impacts, and organisational support and leadership interventions. Theme 1 emphasised the high prevalence of burnout, with studies reporting rates up to 80.5% in certain healthcare settings, illustrating the widespread nature of occupational stress (Rotenstein et al., 2018). Theme 2 explored the emotional and psychological consequences of sustained workplace pressures, including anxiety, depression, and insomnia, highlighting the personal impact on healthcare professionals (Pappa et al., 2020). Theme 3 examined the role of organisational </w:t>
      </w:r>
      <w:r w:rsidRPr="003F449B">
        <w:rPr>
          <w:rFonts w:ascii="Arial" w:hAnsi="Arial" w:cs="Arial"/>
          <w:sz w:val="22"/>
          <w:szCs w:val="22"/>
        </w:rPr>
        <w:lastRenderedPageBreak/>
        <w:t>interventions and leadership, showing that supportive policies, wellbeing programmes, and proactive leadership can significantly reduce burnout and enhance resilience among staff (West et al., 2018; Shanafelt &amp; Noseworthy, 2017).</w:t>
      </w:r>
    </w:p>
    <w:p w14:paraId="6069ADC7" w14:textId="4AF9F11F" w:rsidR="008D5747" w:rsidRPr="000C700F" w:rsidRDefault="008D5747" w:rsidP="009714F1">
      <w:pPr>
        <w:spacing w:line="360" w:lineRule="auto"/>
        <w:rPr>
          <w:rFonts w:ascii="Arial" w:hAnsi="Arial" w:cs="Arial"/>
          <w:sz w:val="22"/>
          <w:szCs w:val="22"/>
        </w:rPr>
      </w:pPr>
      <w:r w:rsidRPr="003F449B">
        <w:rPr>
          <w:rFonts w:ascii="Arial" w:hAnsi="Arial" w:cs="Arial"/>
          <w:sz w:val="22"/>
          <w:szCs w:val="22"/>
        </w:rPr>
        <w:t xml:space="preserve">Overall, these findings demonstrate that burnout is a multidimensional issue influenced by individual, organisational, and systemic factors. </w:t>
      </w:r>
      <w:r w:rsidR="00C2265D" w:rsidRPr="00D26D94">
        <w:rPr>
          <w:rFonts w:ascii="Arial" w:eastAsia="Times New Roman" w:hAnsi="Arial" w:cs="Arial"/>
          <w:sz w:val="22"/>
          <w:szCs w:val="22"/>
        </w:rPr>
        <w:t xml:space="preserve">However, evidence consistently suggests that </w:t>
      </w:r>
      <w:r w:rsidR="00C2265D" w:rsidRPr="00B93A18">
        <w:rPr>
          <w:rStyle w:val="Strong"/>
          <w:rFonts w:ascii="Arial" w:eastAsia="Times New Roman" w:hAnsi="Arial" w:cs="Arial"/>
          <w:b w:val="0"/>
          <w:bCs w:val="0"/>
          <w:sz w:val="22"/>
          <w:szCs w:val="22"/>
        </w:rPr>
        <w:t>organisational factors, such as workload and staffing pressures, have the greatest impact</w:t>
      </w:r>
      <w:r w:rsidR="00C2265D" w:rsidRPr="00B93A18">
        <w:rPr>
          <w:rFonts w:ascii="Arial" w:eastAsia="Times New Roman" w:hAnsi="Arial" w:cs="Arial"/>
          <w:b/>
          <w:bCs/>
          <w:sz w:val="22"/>
          <w:szCs w:val="22"/>
        </w:rPr>
        <w:t xml:space="preserve">, </w:t>
      </w:r>
      <w:r w:rsidR="00C2265D" w:rsidRPr="00D26D94">
        <w:rPr>
          <w:rFonts w:ascii="Arial" w:eastAsia="Times New Roman" w:hAnsi="Arial" w:cs="Arial"/>
          <w:sz w:val="22"/>
          <w:szCs w:val="22"/>
        </w:rPr>
        <w:t>as they directly shape the working conditions experienced by healthcare professionals (Dyrbye et al., 2020; West et al., 2018). This is significant because, unlike individual factors, organisational issues are</w:t>
      </w:r>
      <w:r w:rsidR="00C2265D" w:rsidRPr="00B93A18">
        <w:rPr>
          <w:rFonts w:ascii="Arial" w:eastAsia="Times New Roman" w:hAnsi="Arial" w:cs="Arial"/>
          <w:b/>
          <w:bCs/>
          <w:sz w:val="22"/>
          <w:szCs w:val="22"/>
        </w:rPr>
        <w:t xml:space="preserve"> </w:t>
      </w:r>
      <w:r w:rsidR="00C2265D" w:rsidRPr="00B93A18">
        <w:rPr>
          <w:rStyle w:val="Strong"/>
          <w:rFonts w:ascii="Arial" w:eastAsia="Times New Roman" w:hAnsi="Arial" w:cs="Arial"/>
          <w:b w:val="0"/>
          <w:bCs w:val="0"/>
          <w:sz w:val="22"/>
          <w:szCs w:val="22"/>
        </w:rPr>
        <w:t>structural and persistent</w:t>
      </w:r>
      <w:r w:rsidR="00C2265D" w:rsidRPr="00B93A18">
        <w:rPr>
          <w:rFonts w:ascii="Arial" w:eastAsia="Times New Roman" w:hAnsi="Arial" w:cs="Arial"/>
          <w:b/>
          <w:bCs/>
          <w:sz w:val="22"/>
          <w:szCs w:val="22"/>
        </w:rPr>
        <w:t xml:space="preserve">, </w:t>
      </w:r>
      <w:r w:rsidR="00C2265D" w:rsidRPr="00B93A18">
        <w:rPr>
          <w:rFonts w:ascii="Arial" w:eastAsia="Times New Roman" w:hAnsi="Arial" w:cs="Arial"/>
          <w:sz w:val="22"/>
          <w:szCs w:val="22"/>
        </w:rPr>
        <w:t>making them more difficult for individuals to manage independently. As a result, this highlig</w:t>
      </w:r>
      <w:r w:rsidR="00C2265D" w:rsidRPr="00D26D94">
        <w:rPr>
          <w:rFonts w:ascii="Arial" w:eastAsia="Times New Roman" w:hAnsi="Arial" w:cs="Arial"/>
          <w:sz w:val="22"/>
          <w:szCs w:val="22"/>
        </w:rPr>
        <w:t xml:space="preserve">hts the need for </w:t>
      </w:r>
      <w:r w:rsidR="00C2265D" w:rsidRPr="00B93A18">
        <w:rPr>
          <w:rStyle w:val="Strong"/>
          <w:rFonts w:ascii="Arial" w:eastAsia="Times New Roman" w:hAnsi="Arial" w:cs="Arial"/>
          <w:b w:val="0"/>
          <w:bCs w:val="0"/>
          <w:sz w:val="22"/>
          <w:szCs w:val="22"/>
        </w:rPr>
        <w:t>organisational-level interventions</w:t>
      </w:r>
      <w:r w:rsidR="00C2265D" w:rsidRPr="00D26D94">
        <w:rPr>
          <w:rFonts w:ascii="Arial" w:eastAsia="Times New Roman" w:hAnsi="Arial" w:cs="Arial"/>
          <w:sz w:val="22"/>
          <w:szCs w:val="22"/>
        </w:rPr>
        <w:t>, such as improved staffing levels and supportive leadership, to effectively reduce burnout and improve workforce wellbeing.</w:t>
      </w:r>
      <w:r w:rsidR="00DE30F7" w:rsidRPr="00D26D94">
        <w:rPr>
          <w:rFonts w:ascii="Arial" w:eastAsia="Times New Roman" w:hAnsi="Arial" w:cs="Arial"/>
          <w:sz w:val="22"/>
          <w:szCs w:val="22"/>
        </w:rPr>
        <w:t xml:space="preserve"> </w:t>
      </w:r>
      <w:r w:rsidRPr="003F449B">
        <w:rPr>
          <w:rFonts w:ascii="Arial" w:hAnsi="Arial" w:cs="Arial"/>
          <w:sz w:val="22"/>
          <w:szCs w:val="22"/>
        </w:rPr>
        <w:t>The themes collectively reinforce the dissertation’s aim to understand invisible struggles in healthcare, providing evidence-based insights</w:t>
      </w:r>
      <w:r w:rsidR="00BA59FC">
        <w:rPr>
          <w:rFonts w:ascii="Arial" w:hAnsi="Arial" w:cs="Arial"/>
          <w:sz w:val="22"/>
          <w:szCs w:val="22"/>
        </w:rPr>
        <w:t xml:space="preserve">. </w:t>
      </w:r>
      <w:r w:rsidR="000C700F" w:rsidRPr="000C700F">
        <w:rPr>
          <w:rFonts w:ascii="Arial" w:eastAsia="Times New Roman" w:hAnsi="Arial" w:cs="Arial"/>
          <w:sz w:val="22"/>
          <w:szCs w:val="22"/>
        </w:rPr>
        <w:t>This further emphasises that addressing burnout requires a shift from individual-level approaches to system-wide organisational strategies, which will be explored in the recommendations presented in Chapter 5.</w:t>
      </w:r>
      <w:r w:rsidRPr="000C700F">
        <w:rPr>
          <w:rFonts w:ascii="Arial" w:hAnsi="Arial" w:cs="Arial"/>
          <w:sz w:val="22"/>
          <w:szCs w:val="22"/>
        </w:rPr>
        <w:t xml:space="preserve"> </w:t>
      </w:r>
    </w:p>
    <w:p w14:paraId="717B6983" w14:textId="77777777" w:rsidR="007F68BD" w:rsidRDefault="007F68BD" w:rsidP="009714F1">
      <w:pPr>
        <w:spacing w:line="360" w:lineRule="auto"/>
        <w:rPr>
          <w:rFonts w:ascii="Arial" w:hAnsi="Arial" w:cs="Arial"/>
          <w:b/>
          <w:bCs/>
          <w:sz w:val="22"/>
          <w:szCs w:val="22"/>
        </w:rPr>
      </w:pPr>
    </w:p>
    <w:p w14:paraId="59D7DC9E" w14:textId="77777777" w:rsidR="007F68BD" w:rsidRDefault="007F68BD" w:rsidP="009714F1">
      <w:pPr>
        <w:spacing w:line="360" w:lineRule="auto"/>
        <w:rPr>
          <w:rFonts w:ascii="Arial" w:hAnsi="Arial" w:cs="Arial"/>
          <w:b/>
          <w:bCs/>
          <w:sz w:val="22"/>
          <w:szCs w:val="22"/>
        </w:rPr>
      </w:pPr>
    </w:p>
    <w:p w14:paraId="70E20A98" w14:textId="77777777" w:rsidR="007F68BD" w:rsidRDefault="007F68BD" w:rsidP="009714F1">
      <w:pPr>
        <w:spacing w:line="360" w:lineRule="auto"/>
        <w:rPr>
          <w:rFonts w:ascii="Arial" w:hAnsi="Arial" w:cs="Arial"/>
          <w:b/>
          <w:bCs/>
          <w:sz w:val="22"/>
          <w:szCs w:val="22"/>
        </w:rPr>
      </w:pPr>
    </w:p>
    <w:p w14:paraId="3E995062" w14:textId="77777777" w:rsidR="007F68BD" w:rsidRDefault="007F68BD" w:rsidP="009714F1">
      <w:pPr>
        <w:spacing w:line="360" w:lineRule="auto"/>
        <w:rPr>
          <w:rFonts w:ascii="Arial" w:hAnsi="Arial" w:cs="Arial"/>
          <w:b/>
          <w:bCs/>
          <w:sz w:val="22"/>
          <w:szCs w:val="22"/>
        </w:rPr>
      </w:pPr>
    </w:p>
    <w:p w14:paraId="0F1B4A4A" w14:textId="77777777" w:rsidR="007F68BD" w:rsidRDefault="007F68BD" w:rsidP="009714F1">
      <w:pPr>
        <w:spacing w:line="360" w:lineRule="auto"/>
        <w:rPr>
          <w:rFonts w:ascii="Arial" w:hAnsi="Arial" w:cs="Arial"/>
          <w:b/>
          <w:bCs/>
          <w:sz w:val="22"/>
          <w:szCs w:val="22"/>
        </w:rPr>
      </w:pPr>
    </w:p>
    <w:p w14:paraId="332EB292" w14:textId="77777777" w:rsidR="007F68BD" w:rsidRDefault="007F68BD" w:rsidP="009714F1">
      <w:pPr>
        <w:spacing w:line="360" w:lineRule="auto"/>
        <w:rPr>
          <w:rFonts w:ascii="Arial" w:hAnsi="Arial" w:cs="Arial"/>
          <w:b/>
          <w:bCs/>
          <w:sz w:val="22"/>
          <w:szCs w:val="22"/>
        </w:rPr>
      </w:pPr>
    </w:p>
    <w:p w14:paraId="110C707F" w14:textId="77777777" w:rsidR="007F68BD" w:rsidRDefault="007F68BD" w:rsidP="009714F1">
      <w:pPr>
        <w:spacing w:line="360" w:lineRule="auto"/>
        <w:rPr>
          <w:rFonts w:ascii="Arial" w:hAnsi="Arial" w:cs="Arial"/>
          <w:b/>
          <w:bCs/>
          <w:sz w:val="22"/>
          <w:szCs w:val="22"/>
        </w:rPr>
      </w:pPr>
    </w:p>
    <w:p w14:paraId="4F4B3BE7" w14:textId="77777777" w:rsidR="007F68BD" w:rsidRDefault="007F68BD" w:rsidP="009714F1">
      <w:pPr>
        <w:spacing w:line="360" w:lineRule="auto"/>
        <w:rPr>
          <w:rFonts w:ascii="Arial" w:hAnsi="Arial" w:cs="Arial"/>
          <w:b/>
          <w:bCs/>
          <w:sz w:val="22"/>
          <w:szCs w:val="22"/>
        </w:rPr>
      </w:pPr>
    </w:p>
    <w:p w14:paraId="58145943" w14:textId="77777777" w:rsidR="007F68BD" w:rsidRDefault="007F68BD" w:rsidP="009714F1">
      <w:pPr>
        <w:spacing w:line="360" w:lineRule="auto"/>
        <w:rPr>
          <w:rFonts w:ascii="Arial" w:hAnsi="Arial" w:cs="Arial"/>
          <w:b/>
          <w:bCs/>
          <w:sz w:val="22"/>
          <w:szCs w:val="22"/>
        </w:rPr>
      </w:pPr>
    </w:p>
    <w:p w14:paraId="6C53123C" w14:textId="77777777" w:rsidR="007F68BD" w:rsidRDefault="007F68BD" w:rsidP="009714F1">
      <w:pPr>
        <w:spacing w:line="360" w:lineRule="auto"/>
        <w:rPr>
          <w:rFonts w:ascii="Arial" w:hAnsi="Arial" w:cs="Arial"/>
          <w:b/>
          <w:bCs/>
          <w:sz w:val="22"/>
          <w:szCs w:val="22"/>
        </w:rPr>
      </w:pPr>
    </w:p>
    <w:p w14:paraId="036CAEC2" w14:textId="77777777" w:rsidR="007F68BD" w:rsidRDefault="007F68BD" w:rsidP="009714F1">
      <w:pPr>
        <w:spacing w:line="360" w:lineRule="auto"/>
        <w:rPr>
          <w:rFonts w:ascii="Arial" w:hAnsi="Arial" w:cs="Arial"/>
          <w:b/>
          <w:bCs/>
          <w:sz w:val="22"/>
          <w:szCs w:val="22"/>
        </w:rPr>
      </w:pPr>
    </w:p>
    <w:p w14:paraId="793E0F4E" w14:textId="77777777" w:rsidR="007F68BD" w:rsidRDefault="007F68BD" w:rsidP="009714F1">
      <w:pPr>
        <w:spacing w:line="360" w:lineRule="auto"/>
        <w:rPr>
          <w:rFonts w:ascii="Arial" w:hAnsi="Arial" w:cs="Arial"/>
          <w:b/>
          <w:bCs/>
          <w:sz w:val="22"/>
          <w:szCs w:val="22"/>
        </w:rPr>
      </w:pPr>
    </w:p>
    <w:p w14:paraId="3C10BB8E" w14:textId="77777777" w:rsidR="007F68BD" w:rsidRDefault="007F68BD" w:rsidP="009714F1">
      <w:pPr>
        <w:spacing w:line="360" w:lineRule="auto"/>
        <w:rPr>
          <w:rFonts w:ascii="Arial" w:hAnsi="Arial" w:cs="Arial"/>
          <w:b/>
          <w:bCs/>
          <w:sz w:val="22"/>
          <w:szCs w:val="22"/>
        </w:rPr>
      </w:pPr>
    </w:p>
    <w:p w14:paraId="6C2906F2" w14:textId="77777777" w:rsidR="00216017" w:rsidRDefault="00216017" w:rsidP="009714F1">
      <w:pPr>
        <w:spacing w:line="360" w:lineRule="auto"/>
        <w:rPr>
          <w:rFonts w:ascii="Arial" w:hAnsi="Arial" w:cs="Arial"/>
          <w:b/>
          <w:bCs/>
          <w:sz w:val="28"/>
          <w:szCs w:val="28"/>
        </w:rPr>
      </w:pPr>
    </w:p>
    <w:p w14:paraId="1A9E1196" w14:textId="4E81FF39" w:rsidR="008D5747" w:rsidRPr="00785594" w:rsidRDefault="008D5747" w:rsidP="009714F1">
      <w:pPr>
        <w:spacing w:line="360" w:lineRule="auto"/>
        <w:rPr>
          <w:rFonts w:ascii="Arial" w:hAnsi="Arial" w:cs="Arial"/>
          <w:b/>
          <w:bCs/>
          <w:sz w:val="28"/>
          <w:szCs w:val="28"/>
        </w:rPr>
      </w:pPr>
      <w:r w:rsidRPr="00785594">
        <w:rPr>
          <w:rFonts w:ascii="Arial" w:hAnsi="Arial" w:cs="Arial"/>
          <w:b/>
          <w:bCs/>
          <w:sz w:val="28"/>
          <w:szCs w:val="28"/>
        </w:rPr>
        <w:lastRenderedPageBreak/>
        <w:t>C</w:t>
      </w:r>
      <w:r w:rsidR="0084531B">
        <w:rPr>
          <w:rFonts w:ascii="Arial" w:hAnsi="Arial" w:cs="Arial"/>
          <w:b/>
          <w:bCs/>
          <w:sz w:val="28"/>
          <w:szCs w:val="28"/>
        </w:rPr>
        <w:t>HAPTER 5</w:t>
      </w:r>
      <w:r w:rsidRPr="00785594">
        <w:rPr>
          <w:rFonts w:ascii="Arial" w:hAnsi="Arial" w:cs="Arial"/>
          <w:b/>
          <w:bCs/>
          <w:sz w:val="28"/>
          <w:szCs w:val="28"/>
        </w:rPr>
        <w:t xml:space="preserve"> : Conclusion and Recommendations </w:t>
      </w:r>
    </w:p>
    <w:p w14:paraId="3D156097" w14:textId="77777777" w:rsidR="008D5747" w:rsidRDefault="008D5747" w:rsidP="009714F1">
      <w:pPr>
        <w:spacing w:line="360" w:lineRule="auto"/>
        <w:rPr>
          <w:rFonts w:ascii="Arial" w:hAnsi="Arial" w:cs="Arial"/>
          <w:sz w:val="22"/>
          <w:szCs w:val="22"/>
        </w:rPr>
      </w:pPr>
      <w:r w:rsidRPr="001775C2">
        <w:rPr>
          <w:rFonts w:ascii="Arial" w:hAnsi="Arial" w:cs="Arial"/>
          <w:b/>
          <w:bCs/>
          <w:sz w:val="22"/>
          <w:szCs w:val="22"/>
        </w:rPr>
        <w:t>5.1: Conclusion</w:t>
      </w:r>
      <w:r w:rsidRPr="003F449B">
        <w:rPr>
          <w:rFonts w:ascii="Arial" w:hAnsi="Arial" w:cs="Arial"/>
          <w:sz w:val="22"/>
          <w:szCs w:val="22"/>
        </w:rPr>
        <w:t xml:space="preserve"> </w:t>
      </w:r>
    </w:p>
    <w:p w14:paraId="25EB8A0C" w14:textId="111800DF"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 xml:space="preserve">This dissertation examined the issue of burnout and mental health among healthcare workers. In Chapter 1, the study introduced the background to the research by highlighting the growing concern surrounding burnout within healthcare environments. The chapter outlined the </w:t>
      </w:r>
    </w:p>
    <w:p w14:paraId="6732B88A" w14:textId="4C075686" w:rsidR="001D0E72" w:rsidRPr="007B7D7B" w:rsidRDefault="001D0E72" w:rsidP="007B7D7B">
      <w:pPr>
        <w:pStyle w:val="ListParagraph"/>
        <w:numPr>
          <w:ilvl w:val="0"/>
          <w:numId w:val="1"/>
        </w:numPr>
        <w:spacing w:line="360" w:lineRule="auto"/>
        <w:rPr>
          <w:rFonts w:ascii="Arial" w:hAnsi="Arial" w:cs="Arial"/>
          <w:sz w:val="22"/>
          <w:szCs w:val="22"/>
        </w:rPr>
      </w:pPr>
      <w:r w:rsidRPr="007B7D7B">
        <w:rPr>
          <w:rFonts w:ascii="Arial" w:hAnsi="Arial" w:cs="Arial"/>
          <w:sz w:val="22"/>
          <w:szCs w:val="22"/>
        </w:rPr>
        <w:t>Research aim, which was to explore the factors contributing to burnout among healthcare professionals and to examine the impact this has on their mental health and wellbeing.</w:t>
      </w:r>
    </w:p>
    <w:p w14:paraId="0E45D421" w14:textId="0BCA30F1" w:rsidR="001D0E72" w:rsidRPr="007B7D7B" w:rsidRDefault="001D0E72" w:rsidP="007B7D7B">
      <w:pPr>
        <w:pStyle w:val="ListParagraph"/>
        <w:numPr>
          <w:ilvl w:val="0"/>
          <w:numId w:val="1"/>
        </w:numPr>
        <w:spacing w:line="360" w:lineRule="auto"/>
        <w:rPr>
          <w:rFonts w:ascii="Arial" w:hAnsi="Arial" w:cs="Arial"/>
          <w:sz w:val="22"/>
          <w:szCs w:val="22"/>
        </w:rPr>
      </w:pPr>
      <w:r w:rsidRPr="007B7D7B">
        <w:rPr>
          <w:rFonts w:ascii="Arial" w:hAnsi="Arial" w:cs="Arial"/>
          <w:sz w:val="22"/>
          <w:szCs w:val="22"/>
        </w:rPr>
        <w:t xml:space="preserve"> The research objectives focused on identifying key causes of burnout, understanding its effects on healthcare staff, and exploring potential organisational strategies to support employee wellbeing.</w:t>
      </w:r>
    </w:p>
    <w:p w14:paraId="52FE0160" w14:textId="2F97133E"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Chapter 2 reviewed existing academic literature and theoretical frameworks related to burnout. The literature highlighted that factors such as excessive workload, staffing shortages, and emotional demands are major contributors to burnout within healthcare settings.</w:t>
      </w:r>
    </w:p>
    <w:p w14:paraId="27FE25A1" w14:textId="64CFFDA2"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Chapter 3 described the research methodology, explaining the use of secondary research and thematic analysis to systematically review relevant literature.</w:t>
      </w:r>
    </w:p>
    <w:p w14:paraId="7A54F368" w14:textId="7745966E" w:rsidR="001D0E72" w:rsidRDefault="001D0E72" w:rsidP="007B7D7B">
      <w:pPr>
        <w:spacing w:line="360" w:lineRule="auto"/>
        <w:rPr>
          <w:rFonts w:ascii="Arial" w:hAnsi="Arial" w:cs="Arial"/>
          <w:sz w:val="22"/>
          <w:szCs w:val="22"/>
        </w:rPr>
      </w:pPr>
      <w:r w:rsidRPr="007B7D7B">
        <w:rPr>
          <w:rFonts w:ascii="Arial" w:hAnsi="Arial" w:cs="Arial"/>
          <w:sz w:val="22"/>
          <w:szCs w:val="22"/>
        </w:rPr>
        <w:t xml:space="preserve">In Chapter 4, the findings were presented through key themes, including organisational drivers of burnout, the psychological impact on </w:t>
      </w:r>
      <w:r w:rsidR="00EB5A5D">
        <w:rPr>
          <w:rFonts w:ascii="Arial" w:hAnsi="Arial" w:cs="Arial"/>
          <w:sz w:val="22"/>
          <w:szCs w:val="22"/>
        </w:rPr>
        <w:t>HCW</w:t>
      </w:r>
      <w:r w:rsidR="006D293B">
        <w:rPr>
          <w:rFonts w:ascii="Arial" w:hAnsi="Arial" w:cs="Arial"/>
          <w:sz w:val="22"/>
          <w:szCs w:val="22"/>
        </w:rPr>
        <w:t>s</w:t>
      </w:r>
      <w:r w:rsidRPr="007B7D7B">
        <w:rPr>
          <w:rFonts w:ascii="Arial" w:hAnsi="Arial" w:cs="Arial"/>
          <w:sz w:val="22"/>
          <w:szCs w:val="22"/>
        </w:rPr>
        <w:t>, and the importance of organisational support and intervention strategies. These findings demonstrate that burnout is a significant and complex issue affecting healthcare professionals. Overall, the research aim and objectives outlined in Chapter 1 were successfully addressed, highlighting the importance of organisational support and effective workplace strategies to promote the wellbeing of healthcare staff.</w:t>
      </w:r>
    </w:p>
    <w:p w14:paraId="4627F917" w14:textId="77777777" w:rsidR="0049424A" w:rsidRDefault="0049424A" w:rsidP="007B7D7B">
      <w:pPr>
        <w:spacing w:line="360" w:lineRule="auto"/>
        <w:rPr>
          <w:rFonts w:ascii="Arial" w:eastAsia="Times New Roman" w:hAnsi="Arial" w:cs="Arial"/>
          <w:sz w:val="22"/>
          <w:szCs w:val="22"/>
        </w:rPr>
      </w:pPr>
      <w:r>
        <w:rPr>
          <w:rFonts w:ascii="Arial" w:eastAsia="Times New Roman" w:hAnsi="Arial" w:cs="Arial"/>
          <w:sz w:val="22"/>
          <w:szCs w:val="22"/>
        </w:rPr>
        <w:t>T</w:t>
      </w:r>
      <w:r w:rsidR="00496C89" w:rsidRPr="00496C89">
        <w:rPr>
          <w:rFonts w:ascii="Arial" w:eastAsia="Times New Roman" w:hAnsi="Arial" w:cs="Arial"/>
          <w:sz w:val="22"/>
          <w:szCs w:val="22"/>
        </w:rPr>
        <w:t>he findings of this research highlight that burnout</w:t>
      </w:r>
      <w:r w:rsidR="0034297E">
        <w:rPr>
          <w:rFonts w:ascii="Arial" w:eastAsia="Times New Roman" w:hAnsi="Arial" w:cs="Arial"/>
          <w:sz w:val="22"/>
          <w:szCs w:val="22"/>
        </w:rPr>
        <w:t xml:space="preserve"> and mental health a</w:t>
      </w:r>
      <w:r w:rsidR="00017DA9">
        <w:rPr>
          <w:rFonts w:ascii="Arial" w:eastAsia="Times New Roman" w:hAnsi="Arial" w:cs="Arial"/>
          <w:sz w:val="22"/>
          <w:szCs w:val="22"/>
        </w:rPr>
        <w:t xml:space="preserve">mong </w:t>
      </w:r>
      <w:r w:rsidR="000525EB">
        <w:rPr>
          <w:rFonts w:ascii="Arial" w:eastAsia="Times New Roman" w:hAnsi="Arial" w:cs="Arial"/>
          <w:sz w:val="22"/>
          <w:szCs w:val="22"/>
        </w:rPr>
        <w:t>HCWs</w:t>
      </w:r>
      <w:r w:rsidR="00017DA9">
        <w:rPr>
          <w:rFonts w:ascii="Arial" w:eastAsia="Times New Roman" w:hAnsi="Arial" w:cs="Arial"/>
          <w:sz w:val="22"/>
          <w:szCs w:val="22"/>
        </w:rPr>
        <w:t xml:space="preserve"> </w:t>
      </w:r>
      <w:r w:rsidR="0034297E">
        <w:rPr>
          <w:rFonts w:ascii="Arial" w:eastAsia="Times New Roman" w:hAnsi="Arial" w:cs="Arial"/>
          <w:sz w:val="22"/>
          <w:szCs w:val="22"/>
        </w:rPr>
        <w:t xml:space="preserve"> </w:t>
      </w:r>
      <w:r w:rsidR="00496C89" w:rsidRPr="00496C89">
        <w:rPr>
          <w:rFonts w:ascii="Arial" w:eastAsia="Times New Roman" w:hAnsi="Arial" w:cs="Arial"/>
          <w:sz w:val="22"/>
          <w:szCs w:val="22"/>
        </w:rPr>
        <w:t xml:space="preserve">is not simply an individual issue but is largely shaped by organisational and systemic factors within healthcare </w:t>
      </w:r>
      <w:r w:rsidR="00776D2C" w:rsidRPr="00496C89">
        <w:rPr>
          <w:rFonts w:ascii="Arial" w:eastAsia="Times New Roman" w:hAnsi="Arial" w:cs="Arial"/>
          <w:sz w:val="22"/>
          <w:szCs w:val="22"/>
        </w:rPr>
        <w:t>environments.</w:t>
      </w:r>
      <w:r w:rsidR="00776D2C">
        <w:rPr>
          <w:rFonts w:ascii="Arial" w:eastAsia="Times New Roman" w:hAnsi="Arial" w:cs="Arial"/>
          <w:sz w:val="22"/>
          <w:szCs w:val="22"/>
        </w:rPr>
        <w:t xml:space="preserve"> </w:t>
      </w:r>
    </w:p>
    <w:p w14:paraId="026796E8" w14:textId="2E1DBEA8" w:rsidR="007F1BD7" w:rsidRPr="00776D2C" w:rsidRDefault="00776D2C" w:rsidP="007B7D7B">
      <w:pPr>
        <w:spacing w:line="360" w:lineRule="auto"/>
        <w:rPr>
          <w:rFonts w:ascii="Arial" w:eastAsia="Times New Roman" w:hAnsi="Arial" w:cs="Arial"/>
          <w:sz w:val="22"/>
          <w:szCs w:val="22"/>
        </w:rPr>
      </w:pPr>
      <w:r>
        <w:rPr>
          <w:rFonts w:ascii="Arial" w:eastAsia="Times New Roman" w:hAnsi="Arial" w:cs="Arial"/>
          <w:sz w:val="22"/>
          <w:szCs w:val="22"/>
        </w:rPr>
        <w:t>In</w:t>
      </w:r>
      <w:r w:rsidR="00807B97">
        <w:rPr>
          <w:rFonts w:ascii="Arial" w:eastAsia="Times New Roman" w:hAnsi="Arial" w:cs="Arial"/>
          <w:sz w:val="22"/>
          <w:szCs w:val="22"/>
        </w:rPr>
        <w:t xml:space="preserve"> conclusion, addressing </w:t>
      </w:r>
      <w:r w:rsidR="00807B97" w:rsidRPr="00776D2C">
        <w:rPr>
          <w:rFonts w:ascii="Arial" w:eastAsia="Times New Roman" w:hAnsi="Arial" w:cs="Arial"/>
          <w:i/>
          <w:iCs/>
          <w:sz w:val="22"/>
          <w:szCs w:val="22"/>
        </w:rPr>
        <w:t>The Invisible Struggles Burnout And Mental Health Among Healthcare Workers i</w:t>
      </w:r>
      <w:r w:rsidR="00807B97">
        <w:rPr>
          <w:rFonts w:ascii="Arial" w:eastAsia="Times New Roman" w:hAnsi="Arial" w:cs="Arial"/>
          <w:sz w:val="22"/>
          <w:szCs w:val="22"/>
        </w:rPr>
        <w:t xml:space="preserve">s essential not only for protecting staff wellbeing but also for ensuring safe and effective patient care. This research reinforces the need for healthcare organisations and policymakers to prioritise workforce wellbeing as a central component of healthcare delivery. By implementing evidence-based organisational strategies and fostering </w:t>
      </w:r>
      <w:r w:rsidR="00807B97">
        <w:rPr>
          <w:rFonts w:ascii="Arial" w:eastAsia="Times New Roman" w:hAnsi="Arial" w:cs="Arial"/>
          <w:sz w:val="22"/>
          <w:szCs w:val="22"/>
        </w:rPr>
        <w:lastRenderedPageBreak/>
        <w:t>supportive workplace cultures, it is possible to reduce burnout and improve both staff outcomes and service quality. Therefore, tackling burnout should remain a key priority for future healthcare practice, policy, and research.</w:t>
      </w:r>
    </w:p>
    <w:p w14:paraId="638A6B82" w14:textId="3FBC0CC9" w:rsidR="001D0E72" w:rsidRPr="001775C2" w:rsidRDefault="001D0E72" w:rsidP="007B7D7B">
      <w:pPr>
        <w:spacing w:line="360" w:lineRule="auto"/>
        <w:rPr>
          <w:rFonts w:ascii="Arial" w:hAnsi="Arial" w:cs="Arial"/>
          <w:b/>
          <w:bCs/>
          <w:sz w:val="22"/>
          <w:szCs w:val="22"/>
        </w:rPr>
      </w:pPr>
      <w:r w:rsidRPr="001775C2">
        <w:rPr>
          <w:rFonts w:ascii="Arial" w:hAnsi="Arial" w:cs="Arial"/>
          <w:b/>
          <w:bCs/>
          <w:sz w:val="22"/>
          <w:szCs w:val="22"/>
        </w:rPr>
        <w:t>5.2 Recommendations</w:t>
      </w:r>
    </w:p>
    <w:p w14:paraId="54709753" w14:textId="011CD65E" w:rsidR="001D0E72" w:rsidRPr="002E1107" w:rsidRDefault="00FF0F20" w:rsidP="007B7D7B">
      <w:pPr>
        <w:spacing w:line="360" w:lineRule="auto"/>
        <w:rPr>
          <w:rFonts w:ascii="Arial" w:hAnsi="Arial" w:cs="Arial"/>
          <w:sz w:val="22"/>
          <w:szCs w:val="22"/>
        </w:rPr>
      </w:pPr>
      <w:r w:rsidRPr="002E1107">
        <w:rPr>
          <w:rFonts w:ascii="Arial" w:eastAsia="Times New Roman" w:hAnsi="Arial" w:cs="Arial"/>
          <w:sz w:val="22"/>
          <w:szCs w:val="22"/>
        </w:rPr>
        <w:t>Based on the findings presented in Chapter 4,</w:t>
      </w:r>
      <w:r w:rsidR="001D0E72" w:rsidRPr="002E1107">
        <w:rPr>
          <w:rFonts w:ascii="Arial" w:hAnsi="Arial" w:cs="Arial"/>
          <w:sz w:val="22"/>
          <w:szCs w:val="22"/>
        </w:rPr>
        <w:t xml:space="preserve">several recommendations can be made to help address burnout and support the </w:t>
      </w:r>
      <w:r w:rsidR="008F1C72">
        <w:rPr>
          <w:rFonts w:ascii="Arial" w:hAnsi="Arial" w:cs="Arial"/>
          <w:sz w:val="22"/>
          <w:szCs w:val="22"/>
        </w:rPr>
        <w:t xml:space="preserve">MH </w:t>
      </w:r>
      <w:r w:rsidR="001D0E72" w:rsidRPr="002E1107">
        <w:rPr>
          <w:rFonts w:ascii="Arial" w:hAnsi="Arial" w:cs="Arial"/>
          <w:sz w:val="22"/>
          <w:szCs w:val="22"/>
        </w:rPr>
        <w:t xml:space="preserve">and wellbeing of </w:t>
      </w:r>
      <w:r w:rsidR="00D729ED">
        <w:rPr>
          <w:rFonts w:ascii="Arial" w:hAnsi="Arial" w:cs="Arial"/>
          <w:sz w:val="22"/>
          <w:szCs w:val="22"/>
        </w:rPr>
        <w:t>HCWs.</w:t>
      </w:r>
      <w:r w:rsidR="001D0E72" w:rsidRPr="002E1107">
        <w:rPr>
          <w:rFonts w:ascii="Arial" w:hAnsi="Arial" w:cs="Arial"/>
          <w:sz w:val="22"/>
          <w:szCs w:val="22"/>
        </w:rPr>
        <w:t xml:space="preserve"> The literature reviewed throughout this dissertation highlighted that burnout</w:t>
      </w:r>
      <w:r w:rsidR="007240E3">
        <w:rPr>
          <w:rFonts w:ascii="Arial" w:hAnsi="Arial" w:cs="Arial"/>
          <w:sz w:val="22"/>
          <w:szCs w:val="22"/>
        </w:rPr>
        <w:t xml:space="preserve"> and mental health among HCWs </w:t>
      </w:r>
      <w:r w:rsidR="001D0E72" w:rsidRPr="002E1107">
        <w:rPr>
          <w:rFonts w:ascii="Arial" w:hAnsi="Arial" w:cs="Arial"/>
          <w:sz w:val="22"/>
          <w:szCs w:val="22"/>
        </w:rPr>
        <w:t>is influenced by a combination of organisational pressures, psychological demands, and limited workplace support. Research consistently demonstrates that workplace conditions such as workload pressure, staffing shortages and organisational culture play a major role in the development of burnout among healthcare professionals ( Bakker and Demerouti, 2017). Therefore, effective strategies to reduce burnout must focus on both organisational change and individual support mechanisms. The following recommendations provide practical strategies that healthcare organisations may implement in order to reduce burnout and improve staff wellbeing.</w:t>
      </w:r>
    </w:p>
    <w:p w14:paraId="05808AE8" w14:textId="435738DC" w:rsidR="001D0E72" w:rsidRPr="007B7D7B" w:rsidRDefault="001D0E72" w:rsidP="007B7D7B">
      <w:pPr>
        <w:spacing w:line="360" w:lineRule="auto"/>
        <w:rPr>
          <w:rFonts w:ascii="Arial" w:hAnsi="Arial" w:cs="Arial"/>
          <w:sz w:val="22"/>
          <w:szCs w:val="22"/>
        </w:rPr>
      </w:pPr>
      <w:r w:rsidRPr="001775C2">
        <w:rPr>
          <w:rFonts w:ascii="Arial" w:hAnsi="Arial" w:cs="Arial"/>
          <w:b/>
          <w:bCs/>
          <w:sz w:val="22"/>
          <w:szCs w:val="22"/>
        </w:rPr>
        <w:t xml:space="preserve">5.2.1 Recommendation 1: </w:t>
      </w:r>
      <w:r w:rsidRPr="007B7D7B">
        <w:rPr>
          <w:rFonts w:ascii="Arial" w:hAnsi="Arial" w:cs="Arial"/>
          <w:sz w:val="22"/>
          <w:szCs w:val="22"/>
        </w:rPr>
        <w:t>Improve Staffing Levels and Workload Management</w:t>
      </w:r>
    </w:p>
    <w:p w14:paraId="27951BC4" w14:textId="75C3D7D5"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One of the most consistent findings within the literature reviewed in this study</w:t>
      </w:r>
      <w:r w:rsidR="009C37B0">
        <w:rPr>
          <w:rFonts w:ascii="Arial" w:hAnsi="Arial" w:cs="Arial"/>
          <w:sz w:val="22"/>
          <w:szCs w:val="22"/>
        </w:rPr>
        <w:t xml:space="preserve"> (chapter 4)</w:t>
      </w:r>
      <w:r w:rsidRPr="007B7D7B">
        <w:rPr>
          <w:rFonts w:ascii="Arial" w:hAnsi="Arial" w:cs="Arial"/>
          <w:sz w:val="22"/>
          <w:szCs w:val="22"/>
        </w:rPr>
        <w:t xml:space="preserve"> was that excessive workload and staffing shortages are major contributors to burnout among healthcare professionals. High patient demand, long working hours and insufficient staffing levels place significant pressure on healthcare workers, which can lead to emotional exhaustion, reduced job satisfaction and increased turnover intentions (Dyrbye et al., 2020; West et al., 2018). Healthcare organisations should therefore prioritise improving staffing levels and implementing effective workload management strategies.</w:t>
      </w:r>
    </w:p>
    <w:p w14:paraId="070B44A1" w14:textId="1DDA9D54"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This may involve recruiting additional staff, improving workforce planning and ensuring that work schedules are designed to reduce excessive working hours and allow adequate rest periods. Flexible working arrangements may also help healthcare workers maintain a better work–life balance and reduce work-related stress. Research suggests that improving workload management and ensuring adequate staffing can significantly reduce burnout and improve staff wellbeing within healthcare settings (Shanafelt and Noseworthy, 2017).</w:t>
      </w:r>
    </w:p>
    <w:p w14:paraId="56548C02" w14:textId="77777777"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 xml:space="preserve">However, a key barrier to this recommendation is the ongoing shortage of healthcare professionals and financial constraints within healthcare systems. Workforce shortages have been widely reported across healthcare systems and can limit the ability of organisations to increase staffing levels quickly (Aiken et al., 2018). To overcome these barriers, healthcare organisations should focus on long-term workforce planning, investment in staff retention </w:t>
      </w:r>
      <w:r w:rsidRPr="007B7D7B">
        <w:rPr>
          <w:rFonts w:ascii="Arial" w:hAnsi="Arial" w:cs="Arial"/>
          <w:sz w:val="22"/>
          <w:szCs w:val="22"/>
        </w:rPr>
        <w:lastRenderedPageBreak/>
        <w:t>strategies and improving working conditions in order to encourage employees to remain within the profession. National workforce strategies and policy support may also be necessary to address systemic staffing shortages.</w:t>
      </w:r>
    </w:p>
    <w:p w14:paraId="64A30783" w14:textId="047B8DEC" w:rsidR="001D0E72" w:rsidRPr="007B7D7B" w:rsidRDefault="001D0E72" w:rsidP="007B7D7B">
      <w:pPr>
        <w:spacing w:line="360" w:lineRule="auto"/>
        <w:rPr>
          <w:rFonts w:ascii="Arial" w:hAnsi="Arial" w:cs="Arial"/>
          <w:sz w:val="22"/>
          <w:szCs w:val="22"/>
        </w:rPr>
      </w:pPr>
      <w:r w:rsidRPr="00357646">
        <w:rPr>
          <w:rFonts w:ascii="Arial" w:hAnsi="Arial" w:cs="Arial"/>
          <w:b/>
          <w:bCs/>
          <w:sz w:val="22"/>
          <w:szCs w:val="22"/>
        </w:rPr>
        <w:t>5.2.2 Recommendation 2:</w:t>
      </w:r>
      <w:r w:rsidRPr="007B7D7B">
        <w:rPr>
          <w:rFonts w:ascii="Arial" w:hAnsi="Arial" w:cs="Arial"/>
          <w:sz w:val="22"/>
          <w:szCs w:val="22"/>
        </w:rPr>
        <w:t xml:space="preserve"> Strengthen Organisational Support and Leadership</w:t>
      </w:r>
    </w:p>
    <w:p w14:paraId="01C50630" w14:textId="0AA504AB" w:rsidR="001D0E72" w:rsidRPr="004B3144" w:rsidRDefault="001D0E72" w:rsidP="007B7D7B">
      <w:pPr>
        <w:spacing w:line="360" w:lineRule="auto"/>
        <w:rPr>
          <w:rFonts w:ascii="Arial" w:hAnsi="Arial" w:cs="Arial"/>
          <w:sz w:val="22"/>
          <w:szCs w:val="22"/>
        </w:rPr>
      </w:pPr>
      <w:r w:rsidRPr="004B3144">
        <w:rPr>
          <w:rFonts w:ascii="Arial" w:hAnsi="Arial" w:cs="Arial"/>
          <w:sz w:val="22"/>
          <w:szCs w:val="22"/>
        </w:rPr>
        <w:t xml:space="preserve">Another important </w:t>
      </w:r>
      <w:r w:rsidR="00F87FA6" w:rsidRPr="004B3144">
        <w:rPr>
          <w:rFonts w:ascii="Arial" w:eastAsia="Times New Roman" w:hAnsi="Arial" w:cs="Arial"/>
          <w:sz w:val="22"/>
          <w:szCs w:val="22"/>
        </w:rPr>
        <w:t>Findings from Chapter 4 highlighted that organisational culture and leadership play a significant role in influencing employee wellbeing.</w:t>
      </w:r>
      <w:r w:rsidRPr="004B3144">
        <w:rPr>
          <w:rFonts w:ascii="Arial" w:hAnsi="Arial" w:cs="Arial"/>
          <w:sz w:val="22"/>
          <w:szCs w:val="22"/>
        </w:rPr>
        <w:t xml:space="preserve"> </w:t>
      </w:r>
      <w:r w:rsidR="003A491C" w:rsidRPr="004B3144">
        <w:rPr>
          <w:rFonts w:ascii="Arial" w:hAnsi="Arial" w:cs="Arial"/>
          <w:sz w:val="22"/>
          <w:szCs w:val="22"/>
        </w:rPr>
        <w:t xml:space="preserve">According to </w:t>
      </w:r>
      <w:r w:rsidR="00407498" w:rsidRPr="004B3144">
        <w:rPr>
          <w:rFonts w:ascii="Arial" w:hAnsi="Arial" w:cs="Arial"/>
          <w:sz w:val="22"/>
          <w:szCs w:val="22"/>
        </w:rPr>
        <w:t>Eisenberger et al.(2020) HCW</w:t>
      </w:r>
      <w:r w:rsidR="00EB6E16" w:rsidRPr="004B3144">
        <w:rPr>
          <w:rFonts w:ascii="Arial" w:hAnsi="Arial" w:cs="Arial"/>
          <w:sz w:val="22"/>
          <w:szCs w:val="22"/>
        </w:rPr>
        <w:t>s</w:t>
      </w:r>
      <w:r w:rsidR="00407498" w:rsidRPr="004B3144">
        <w:rPr>
          <w:rFonts w:ascii="Arial" w:hAnsi="Arial" w:cs="Arial"/>
          <w:sz w:val="22"/>
          <w:szCs w:val="22"/>
        </w:rPr>
        <w:t xml:space="preserve"> </w:t>
      </w:r>
      <w:r w:rsidRPr="004B3144">
        <w:rPr>
          <w:rFonts w:ascii="Arial" w:hAnsi="Arial" w:cs="Arial"/>
          <w:sz w:val="22"/>
          <w:szCs w:val="22"/>
        </w:rPr>
        <w:t>who perceive strong organisational support are more likely to experience higher job satisfaction and lower levels of burnout</w:t>
      </w:r>
      <w:r w:rsidR="001E1787" w:rsidRPr="004B3144">
        <w:rPr>
          <w:rFonts w:ascii="Arial" w:hAnsi="Arial" w:cs="Arial"/>
          <w:sz w:val="22"/>
          <w:szCs w:val="22"/>
        </w:rPr>
        <w:t xml:space="preserve"> and mental stress</w:t>
      </w:r>
      <w:r w:rsidRPr="004B3144">
        <w:rPr>
          <w:rFonts w:ascii="Arial" w:hAnsi="Arial" w:cs="Arial"/>
          <w:sz w:val="22"/>
          <w:szCs w:val="22"/>
        </w:rPr>
        <w:t>. Supportive leadership can help create a positive working environment where employees feel valued and supported in managing workplace pressures.</w:t>
      </w:r>
    </w:p>
    <w:p w14:paraId="7EDF828E" w14:textId="01CA017E" w:rsidR="001D0E72" w:rsidRPr="004B3144" w:rsidRDefault="001D0E72" w:rsidP="007B7D7B">
      <w:pPr>
        <w:spacing w:line="360" w:lineRule="auto"/>
        <w:rPr>
          <w:rFonts w:ascii="Arial" w:hAnsi="Arial" w:cs="Arial"/>
          <w:sz w:val="22"/>
          <w:szCs w:val="22"/>
        </w:rPr>
      </w:pPr>
      <w:r w:rsidRPr="004B3144">
        <w:rPr>
          <w:rFonts w:ascii="Arial" w:hAnsi="Arial" w:cs="Arial"/>
          <w:sz w:val="22"/>
          <w:szCs w:val="22"/>
        </w:rPr>
        <w:t>Healthcare organisations should therefore focus on strengthening organisational support structures and promoting supportive leadership practices. Practical strategies may include providing regular supervision and feedback, encouraging open communication between staff and management and creating a workplace culture where employees feel comfortable discussing mental health concerns. Leadership training programmes may also help managers recognise early signs of burnout and provide appropriate support for staff experiencing stress or emotional exhaustion (Montgomery et al., 2019).</w:t>
      </w:r>
    </w:p>
    <w:p w14:paraId="3A049A03" w14:textId="3014083F" w:rsidR="001D0E72" w:rsidRPr="004B3144" w:rsidRDefault="001D0E72" w:rsidP="007B7D7B">
      <w:pPr>
        <w:spacing w:line="360" w:lineRule="auto"/>
        <w:rPr>
          <w:rFonts w:ascii="Arial" w:hAnsi="Arial" w:cs="Arial"/>
          <w:sz w:val="22"/>
          <w:szCs w:val="22"/>
        </w:rPr>
      </w:pPr>
      <w:r w:rsidRPr="004B3144">
        <w:rPr>
          <w:rFonts w:ascii="Arial" w:hAnsi="Arial" w:cs="Arial"/>
          <w:sz w:val="22"/>
          <w:szCs w:val="22"/>
        </w:rPr>
        <w:t>Despite the benefits of organisational support initiatives, barriers may arise due to time constraints, limited resources and varying levels of management engagement. In addition, some healthcare workers may feel reluctant to access support services due to stigma associated with mental health concerns. To overcome these challenges, organisations should promote awareness of available wellbeing services and ensure that support initiatives are accessible to all staff. Leadership commitment is also essential in ensuring that staff wellbeing remains a priority within healthcare organisations</w:t>
      </w:r>
      <w:r w:rsidR="007B7D7B" w:rsidRPr="004B3144">
        <w:rPr>
          <w:rFonts w:ascii="Arial" w:hAnsi="Arial" w:cs="Arial"/>
          <w:sz w:val="22"/>
          <w:szCs w:val="22"/>
        </w:rPr>
        <w:t>.</w:t>
      </w:r>
    </w:p>
    <w:p w14:paraId="5490C6AC" w14:textId="3D58D121" w:rsidR="001D0E72" w:rsidRPr="00357646" w:rsidRDefault="001D0E72" w:rsidP="007B7D7B">
      <w:pPr>
        <w:spacing w:line="360" w:lineRule="auto"/>
        <w:rPr>
          <w:rFonts w:ascii="Arial" w:hAnsi="Arial" w:cs="Arial"/>
          <w:b/>
          <w:bCs/>
          <w:sz w:val="22"/>
          <w:szCs w:val="22"/>
        </w:rPr>
      </w:pPr>
      <w:r w:rsidRPr="000D0DE6">
        <w:rPr>
          <w:rFonts w:ascii="Arial" w:hAnsi="Arial" w:cs="Arial"/>
          <w:b/>
          <w:bCs/>
          <w:sz w:val="22"/>
          <w:szCs w:val="22"/>
        </w:rPr>
        <w:t>5.2.3 Recommendation 3:</w:t>
      </w:r>
      <w:r w:rsidR="00357646">
        <w:rPr>
          <w:rFonts w:ascii="Arial" w:hAnsi="Arial" w:cs="Arial"/>
          <w:b/>
          <w:bCs/>
          <w:sz w:val="22"/>
          <w:szCs w:val="22"/>
        </w:rPr>
        <w:t xml:space="preserve"> </w:t>
      </w:r>
      <w:r w:rsidRPr="007B7D7B">
        <w:rPr>
          <w:rFonts w:ascii="Arial" w:hAnsi="Arial" w:cs="Arial"/>
          <w:sz w:val="22"/>
          <w:szCs w:val="22"/>
        </w:rPr>
        <w:t xml:space="preserve"> Promote Mental Health Awareness and Resilience Training</w:t>
      </w:r>
    </w:p>
    <w:p w14:paraId="6DDBCFE7" w14:textId="4C0AD121" w:rsidR="001D0E72" w:rsidRPr="00D20F64" w:rsidRDefault="001D0E72" w:rsidP="007B7D7B">
      <w:pPr>
        <w:spacing w:line="360" w:lineRule="auto"/>
        <w:rPr>
          <w:rFonts w:ascii="Arial" w:hAnsi="Arial" w:cs="Arial"/>
          <w:sz w:val="22"/>
          <w:szCs w:val="22"/>
        </w:rPr>
      </w:pPr>
      <w:r w:rsidRPr="00D20F64">
        <w:rPr>
          <w:rFonts w:ascii="Arial" w:hAnsi="Arial" w:cs="Arial"/>
          <w:sz w:val="22"/>
          <w:szCs w:val="22"/>
        </w:rPr>
        <w:t>A further recommendation</w:t>
      </w:r>
      <w:r w:rsidR="00A633B2" w:rsidRPr="00D20F64">
        <w:rPr>
          <w:rFonts w:ascii="Arial" w:hAnsi="Arial" w:cs="Arial"/>
          <w:sz w:val="22"/>
          <w:szCs w:val="22"/>
        </w:rPr>
        <w:t xml:space="preserve"> is </w:t>
      </w:r>
      <w:r w:rsidR="0038533D" w:rsidRPr="00D20F64">
        <w:rPr>
          <w:rFonts w:ascii="Arial" w:hAnsi="Arial" w:cs="Arial"/>
          <w:sz w:val="22"/>
          <w:szCs w:val="22"/>
        </w:rPr>
        <w:t xml:space="preserve"> </w:t>
      </w:r>
      <w:r w:rsidR="0038533D" w:rsidRPr="00D20F64">
        <w:rPr>
          <w:rFonts w:ascii="Arial" w:eastAsia="Times New Roman" w:hAnsi="Arial" w:cs="Arial"/>
          <w:sz w:val="22"/>
          <w:szCs w:val="22"/>
        </w:rPr>
        <w:t xml:space="preserve">as identified in Chapter 4, the emotional and psychological impact of healthcare work highlights the need for greater </w:t>
      </w:r>
      <w:r w:rsidR="00E1364D">
        <w:rPr>
          <w:rFonts w:ascii="Arial" w:eastAsia="Times New Roman" w:hAnsi="Arial" w:cs="Arial"/>
          <w:sz w:val="22"/>
          <w:szCs w:val="22"/>
        </w:rPr>
        <w:t xml:space="preserve">MH </w:t>
      </w:r>
      <w:r w:rsidR="0038533D" w:rsidRPr="00D20F64">
        <w:rPr>
          <w:rFonts w:ascii="Arial" w:eastAsia="Times New Roman" w:hAnsi="Arial" w:cs="Arial"/>
          <w:sz w:val="22"/>
          <w:szCs w:val="22"/>
        </w:rPr>
        <w:t xml:space="preserve"> awareness and resilience support.</w:t>
      </w:r>
      <w:r w:rsidR="0038533D" w:rsidRPr="00D20F64">
        <w:rPr>
          <w:rFonts w:ascii="Arial" w:hAnsi="Arial" w:cs="Arial"/>
          <w:sz w:val="22"/>
          <w:szCs w:val="22"/>
        </w:rPr>
        <w:t xml:space="preserve"> </w:t>
      </w:r>
      <w:r w:rsidRPr="00D20F64">
        <w:rPr>
          <w:rFonts w:ascii="Arial" w:hAnsi="Arial" w:cs="Arial"/>
          <w:sz w:val="22"/>
          <w:szCs w:val="22"/>
        </w:rPr>
        <w:t xml:space="preserve"> is to increase mental health awareness and provide resilience training programmes for healthcare workers. Healthcare professionals are frequently exposed to emotionally demanding situations, including high patient mortality, complex clinical decision-making and emotionally challenging patient interactions. These experiences can negatively affect psychological wellbeing if adequate coping strategies are not available (Pappa et al., 2020).</w:t>
      </w:r>
    </w:p>
    <w:p w14:paraId="76B6C743" w14:textId="49F7A27A" w:rsidR="001D0E72" w:rsidRPr="00D20F64" w:rsidRDefault="001D0E72" w:rsidP="007B7D7B">
      <w:pPr>
        <w:spacing w:line="360" w:lineRule="auto"/>
        <w:rPr>
          <w:rFonts w:ascii="Arial" w:hAnsi="Arial" w:cs="Arial"/>
          <w:sz w:val="22"/>
          <w:szCs w:val="22"/>
        </w:rPr>
      </w:pPr>
      <w:r w:rsidRPr="00D20F64">
        <w:rPr>
          <w:rFonts w:ascii="Arial" w:hAnsi="Arial" w:cs="Arial"/>
          <w:sz w:val="22"/>
          <w:szCs w:val="22"/>
        </w:rPr>
        <w:t xml:space="preserve">Resilience training programmes can include stress management techniques, mindfulness practices and workshops designed to help employees develop coping strategies for </w:t>
      </w:r>
      <w:r w:rsidRPr="00D20F64">
        <w:rPr>
          <w:rFonts w:ascii="Arial" w:hAnsi="Arial" w:cs="Arial"/>
          <w:sz w:val="22"/>
          <w:szCs w:val="22"/>
        </w:rPr>
        <w:lastRenderedPageBreak/>
        <w:t>managing challenging work environments. Evidence suggests that resilience-focused interventions can improve psychological wellbeing and reduce symptoms of burnout among healthcare professionals (West et al., 2018). Educational initiatives may also help healthcare workers recognise early signs of burnout and seek support before symptoms become more severe.</w:t>
      </w:r>
    </w:p>
    <w:p w14:paraId="07019D02" w14:textId="65786A25" w:rsidR="001D0E72" w:rsidRDefault="001D0E72" w:rsidP="007B7D7B">
      <w:pPr>
        <w:spacing w:line="360" w:lineRule="auto"/>
        <w:rPr>
          <w:rFonts w:ascii="Arial" w:hAnsi="Arial" w:cs="Arial"/>
          <w:sz w:val="22"/>
          <w:szCs w:val="22"/>
        </w:rPr>
      </w:pPr>
      <w:r w:rsidRPr="00D20F64">
        <w:rPr>
          <w:rFonts w:ascii="Arial" w:hAnsi="Arial" w:cs="Arial"/>
          <w:sz w:val="22"/>
          <w:szCs w:val="22"/>
        </w:rPr>
        <w:t>However, implementing resilience and mental health programmes may present certain challenges. Healthcare workers often face demanding schedules and may have limited time to participate in training sessions. In addition, financial and organisational constraints may limit the availability of wellbeing programmes. To overcome these barriers, healthcare organisations should integrate wellbeing training into existing professional development programmes and provide flexible learning options such as online training or short workshops. Embedding wellbeing initiatives within routine training programmes may also help ensure that staff are able to access these resources more easily.</w:t>
      </w:r>
    </w:p>
    <w:p w14:paraId="04EC1E85" w14:textId="737C4D47" w:rsidR="00C9351D" w:rsidRPr="00D20F64" w:rsidRDefault="00C9351D" w:rsidP="007B7D7B">
      <w:pPr>
        <w:spacing w:line="360" w:lineRule="auto"/>
        <w:rPr>
          <w:rFonts w:ascii="Arial" w:hAnsi="Arial" w:cs="Arial"/>
          <w:sz w:val="22"/>
          <w:szCs w:val="22"/>
        </w:rPr>
      </w:pPr>
      <w:r>
        <w:rPr>
          <w:rFonts w:ascii="Arial" w:hAnsi="Arial" w:cs="Arial"/>
          <w:sz w:val="22"/>
          <w:szCs w:val="22"/>
        </w:rPr>
        <w:t>Overall, these recommendations directly reflect the key findings of this research and demonstrate that reducing burnout requires a coordinated approach involving organisational change, leadership engagement, and individual support strategies.</w:t>
      </w:r>
    </w:p>
    <w:p w14:paraId="63F0FC03" w14:textId="77777777" w:rsidR="001D0E72" w:rsidRPr="0002697B" w:rsidRDefault="001D0E72" w:rsidP="007B7D7B">
      <w:pPr>
        <w:spacing w:line="360" w:lineRule="auto"/>
        <w:rPr>
          <w:rFonts w:ascii="Arial" w:hAnsi="Arial" w:cs="Arial"/>
          <w:b/>
          <w:bCs/>
          <w:sz w:val="22"/>
          <w:szCs w:val="22"/>
        </w:rPr>
      </w:pPr>
      <w:r w:rsidRPr="0002697B">
        <w:rPr>
          <w:rFonts w:ascii="Arial" w:hAnsi="Arial" w:cs="Arial"/>
          <w:b/>
          <w:bCs/>
          <w:sz w:val="22"/>
          <w:szCs w:val="22"/>
        </w:rPr>
        <w:t>5.3 Limitations and Future Research</w:t>
      </w:r>
    </w:p>
    <w:p w14:paraId="41C61835" w14:textId="380E6C51"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Although this study provides valuable insights into burnout and mental health among healthcare workers, several limitations should be acknowledged. Firstly, the research was based on a secondary literature review rather than primary data collection. This means that the findings rely on previously published studies and existing evidence rather than direct experiences from healthcare professionals. As a result, the study may not fully capture the most recent workplace experiences or organisational practices within specific healthcare settings.</w:t>
      </w:r>
    </w:p>
    <w:p w14:paraId="0A40DC08" w14:textId="1AF899A3"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Another limitation is that the studies reviewed were conducted in different countries and healthcare systems. While many of the challenges associated with burnout appear to be consistent across healthcare environments, differences in organisational structures, policies and resources may influence how burnout is experienced and managed. This may limit the ability to generalise the findings to all healthcare settings.</w:t>
      </w:r>
    </w:p>
    <w:p w14:paraId="34F1A037" w14:textId="1F8F7678" w:rsidR="001D0E72" w:rsidRPr="007B7D7B" w:rsidRDefault="001D0E72" w:rsidP="007B7D7B">
      <w:pPr>
        <w:spacing w:line="360" w:lineRule="auto"/>
        <w:rPr>
          <w:rFonts w:ascii="Arial" w:hAnsi="Arial" w:cs="Arial"/>
          <w:sz w:val="22"/>
          <w:szCs w:val="22"/>
        </w:rPr>
      </w:pPr>
      <w:r w:rsidRPr="007B7D7B">
        <w:rPr>
          <w:rFonts w:ascii="Arial" w:hAnsi="Arial" w:cs="Arial"/>
          <w:sz w:val="22"/>
          <w:szCs w:val="22"/>
        </w:rPr>
        <w:t>In addition, the thematic analysis approach used in this research involved interpreting findings from multiple studies. Although this method allows for the identification of common themes within the literature, the interpretation of themes may involve a degree of researcher subjectivity.</w:t>
      </w:r>
    </w:p>
    <w:p w14:paraId="349C356C" w14:textId="77777777" w:rsidR="001D0E72" w:rsidRDefault="001D0E72" w:rsidP="007B7D7B">
      <w:pPr>
        <w:spacing w:line="360" w:lineRule="auto"/>
        <w:rPr>
          <w:rFonts w:ascii="Arial" w:hAnsi="Arial" w:cs="Arial"/>
          <w:sz w:val="22"/>
          <w:szCs w:val="22"/>
        </w:rPr>
      </w:pPr>
      <w:r w:rsidRPr="007B7D7B">
        <w:rPr>
          <w:rFonts w:ascii="Arial" w:hAnsi="Arial" w:cs="Arial"/>
          <w:sz w:val="22"/>
          <w:szCs w:val="22"/>
        </w:rPr>
        <w:lastRenderedPageBreak/>
        <w:t>Future research could address these limitations by conducting primary research with healthcare professionals to gain deeper insights into their personal experiences of burnout and mental health in the workplace. Qualitative methods such as interviews or focus groups may provide more detailed perspectives on the challenges faced by healthcare workers. Further research may also explore the effectiveness of organisational interventions designed to reduce burnout and improve employee wellbeing within healthcare organisations.</w:t>
      </w:r>
    </w:p>
    <w:p w14:paraId="7B8B523B" w14:textId="77777777" w:rsidR="009A6445" w:rsidRDefault="009A6445" w:rsidP="007B7D7B">
      <w:pPr>
        <w:spacing w:line="360" w:lineRule="auto"/>
        <w:rPr>
          <w:rFonts w:ascii="Arial" w:hAnsi="Arial" w:cs="Arial"/>
          <w:sz w:val="22"/>
          <w:szCs w:val="22"/>
        </w:rPr>
      </w:pPr>
    </w:p>
    <w:p w14:paraId="3A2DD8EA" w14:textId="77777777" w:rsidR="009A6445" w:rsidRDefault="009A6445" w:rsidP="007B7D7B">
      <w:pPr>
        <w:spacing w:line="360" w:lineRule="auto"/>
        <w:rPr>
          <w:rFonts w:ascii="Arial" w:hAnsi="Arial" w:cs="Arial"/>
          <w:sz w:val="22"/>
          <w:szCs w:val="22"/>
        </w:rPr>
      </w:pPr>
    </w:p>
    <w:p w14:paraId="4401F073" w14:textId="77777777" w:rsidR="009A6445" w:rsidRDefault="009A6445" w:rsidP="007B7D7B">
      <w:pPr>
        <w:spacing w:line="360" w:lineRule="auto"/>
        <w:rPr>
          <w:rFonts w:ascii="Arial" w:hAnsi="Arial" w:cs="Arial"/>
          <w:sz w:val="22"/>
          <w:szCs w:val="22"/>
        </w:rPr>
      </w:pPr>
    </w:p>
    <w:p w14:paraId="3CFD4602" w14:textId="77777777" w:rsidR="009A6445" w:rsidRDefault="009A6445" w:rsidP="007B7D7B">
      <w:pPr>
        <w:spacing w:line="360" w:lineRule="auto"/>
        <w:rPr>
          <w:rFonts w:ascii="Arial" w:hAnsi="Arial" w:cs="Arial"/>
          <w:sz w:val="22"/>
          <w:szCs w:val="22"/>
        </w:rPr>
      </w:pPr>
    </w:p>
    <w:p w14:paraId="7CCC6832" w14:textId="77777777" w:rsidR="009A6445" w:rsidRDefault="009A6445" w:rsidP="007B7D7B">
      <w:pPr>
        <w:spacing w:line="360" w:lineRule="auto"/>
        <w:rPr>
          <w:rFonts w:ascii="Arial" w:hAnsi="Arial" w:cs="Arial"/>
          <w:sz w:val="22"/>
          <w:szCs w:val="22"/>
        </w:rPr>
      </w:pPr>
    </w:p>
    <w:p w14:paraId="50CA0706" w14:textId="77777777" w:rsidR="00A668C4" w:rsidRDefault="00A668C4" w:rsidP="007B7D7B">
      <w:pPr>
        <w:spacing w:line="360" w:lineRule="auto"/>
        <w:rPr>
          <w:rFonts w:ascii="Arial" w:hAnsi="Arial" w:cs="Arial"/>
          <w:sz w:val="22"/>
          <w:szCs w:val="22"/>
        </w:rPr>
      </w:pPr>
    </w:p>
    <w:p w14:paraId="46B8E31C" w14:textId="77777777" w:rsidR="00A668C4" w:rsidRDefault="00A668C4" w:rsidP="007B7D7B">
      <w:pPr>
        <w:spacing w:line="360" w:lineRule="auto"/>
        <w:rPr>
          <w:rFonts w:ascii="Arial" w:hAnsi="Arial" w:cs="Arial"/>
          <w:sz w:val="22"/>
          <w:szCs w:val="22"/>
        </w:rPr>
      </w:pPr>
    </w:p>
    <w:p w14:paraId="5E687D7F" w14:textId="77777777" w:rsidR="00A668C4" w:rsidRDefault="00A668C4" w:rsidP="007B7D7B">
      <w:pPr>
        <w:spacing w:line="360" w:lineRule="auto"/>
        <w:rPr>
          <w:rFonts w:ascii="Arial" w:hAnsi="Arial" w:cs="Arial"/>
          <w:sz w:val="22"/>
          <w:szCs w:val="22"/>
        </w:rPr>
      </w:pPr>
    </w:p>
    <w:p w14:paraId="3D65721B" w14:textId="77777777" w:rsidR="00A668C4" w:rsidRDefault="00A668C4" w:rsidP="007B7D7B">
      <w:pPr>
        <w:spacing w:line="360" w:lineRule="auto"/>
        <w:rPr>
          <w:rFonts w:ascii="Arial" w:hAnsi="Arial" w:cs="Arial"/>
          <w:sz w:val="22"/>
          <w:szCs w:val="22"/>
        </w:rPr>
      </w:pPr>
    </w:p>
    <w:p w14:paraId="667735A5" w14:textId="77777777" w:rsidR="00477748" w:rsidRDefault="00477748" w:rsidP="007B7D7B">
      <w:pPr>
        <w:spacing w:line="360" w:lineRule="auto"/>
        <w:rPr>
          <w:rFonts w:ascii="Arial" w:hAnsi="Arial" w:cs="Arial"/>
          <w:b/>
          <w:bCs/>
          <w:sz w:val="22"/>
          <w:szCs w:val="22"/>
        </w:rPr>
      </w:pPr>
    </w:p>
    <w:p w14:paraId="0FF4A4F2" w14:textId="77777777" w:rsidR="00477748" w:rsidRDefault="00477748" w:rsidP="007B7D7B">
      <w:pPr>
        <w:spacing w:line="360" w:lineRule="auto"/>
        <w:rPr>
          <w:rFonts w:ascii="Arial" w:hAnsi="Arial" w:cs="Arial"/>
          <w:b/>
          <w:bCs/>
          <w:sz w:val="22"/>
          <w:szCs w:val="22"/>
        </w:rPr>
      </w:pPr>
    </w:p>
    <w:p w14:paraId="37247439" w14:textId="77777777" w:rsidR="00477748" w:rsidRDefault="00477748" w:rsidP="007B7D7B">
      <w:pPr>
        <w:spacing w:line="360" w:lineRule="auto"/>
        <w:rPr>
          <w:rFonts w:ascii="Arial" w:hAnsi="Arial" w:cs="Arial"/>
          <w:b/>
          <w:bCs/>
          <w:sz w:val="22"/>
          <w:szCs w:val="22"/>
        </w:rPr>
      </w:pPr>
    </w:p>
    <w:p w14:paraId="67C90FB2" w14:textId="77777777" w:rsidR="003A41A8" w:rsidRDefault="003A41A8" w:rsidP="007B7D7B">
      <w:pPr>
        <w:spacing w:line="360" w:lineRule="auto"/>
        <w:rPr>
          <w:rFonts w:ascii="Arial" w:hAnsi="Arial" w:cs="Arial"/>
          <w:b/>
          <w:bCs/>
          <w:sz w:val="22"/>
          <w:szCs w:val="22"/>
        </w:rPr>
      </w:pPr>
    </w:p>
    <w:p w14:paraId="0162F816" w14:textId="77777777" w:rsidR="00092D2C" w:rsidRDefault="00092D2C" w:rsidP="007B7D7B">
      <w:pPr>
        <w:spacing w:line="360" w:lineRule="auto"/>
        <w:rPr>
          <w:rFonts w:ascii="Arial" w:hAnsi="Arial" w:cs="Arial"/>
          <w:b/>
          <w:bCs/>
          <w:sz w:val="22"/>
          <w:szCs w:val="22"/>
        </w:rPr>
      </w:pPr>
    </w:p>
    <w:p w14:paraId="1AF42046" w14:textId="77777777" w:rsidR="001F438D" w:rsidRDefault="001F438D" w:rsidP="007B7D7B">
      <w:pPr>
        <w:spacing w:line="360" w:lineRule="auto"/>
        <w:rPr>
          <w:rFonts w:ascii="Arial" w:hAnsi="Arial" w:cs="Arial"/>
          <w:b/>
          <w:bCs/>
          <w:sz w:val="28"/>
          <w:szCs w:val="28"/>
        </w:rPr>
      </w:pPr>
    </w:p>
    <w:p w14:paraId="28A1AA9C" w14:textId="77777777" w:rsidR="001F438D" w:rsidRDefault="001F438D" w:rsidP="007B7D7B">
      <w:pPr>
        <w:spacing w:line="360" w:lineRule="auto"/>
        <w:rPr>
          <w:rFonts w:ascii="Arial" w:hAnsi="Arial" w:cs="Arial"/>
          <w:b/>
          <w:bCs/>
          <w:sz w:val="28"/>
          <w:szCs w:val="28"/>
        </w:rPr>
      </w:pPr>
    </w:p>
    <w:p w14:paraId="6E8148D4" w14:textId="77777777" w:rsidR="001F438D" w:rsidRDefault="001F438D" w:rsidP="007B7D7B">
      <w:pPr>
        <w:spacing w:line="360" w:lineRule="auto"/>
        <w:rPr>
          <w:rFonts w:ascii="Arial" w:hAnsi="Arial" w:cs="Arial"/>
          <w:b/>
          <w:bCs/>
          <w:sz w:val="28"/>
          <w:szCs w:val="28"/>
        </w:rPr>
      </w:pPr>
    </w:p>
    <w:p w14:paraId="0CE4533B" w14:textId="77777777" w:rsidR="001F438D" w:rsidRDefault="001F438D" w:rsidP="007B7D7B">
      <w:pPr>
        <w:spacing w:line="360" w:lineRule="auto"/>
        <w:rPr>
          <w:rFonts w:ascii="Arial" w:hAnsi="Arial" w:cs="Arial"/>
          <w:b/>
          <w:bCs/>
          <w:sz w:val="28"/>
          <w:szCs w:val="28"/>
        </w:rPr>
      </w:pPr>
    </w:p>
    <w:p w14:paraId="458BE0F7" w14:textId="77777777" w:rsidR="001F438D" w:rsidRDefault="001F438D" w:rsidP="007B7D7B">
      <w:pPr>
        <w:spacing w:line="360" w:lineRule="auto"/>
        <w:rPr>
          <w:rFonts w:ascii="Arial" w:hAnsi="Arial" w:cs="Arial"/>
          <w:b/>
          <w:bCs/>
          <w:sz w:val="28"/>
          <w:szCs w:val="28"/>
        </w:rPr>
      </w:pPr>
    </w:p>
    <w:p w14:paraId="7E333761" w14:textId="77777777" w:rsidR="001F438D" w:rsidRDefault="001F438D" w:rsidP="007B7D7B">
      <w:pPr>
        <w:spacing w:line="360" w:lineRule="auto"/>
        <w:rPr>
          <w:rFonts w:ascii="Arial" w:hAnsi="Arial" w:cs="Arial"/>
          <w:b/>
          <w:bCs/>
          <w:sz w:val="28"/>
          <w:szCs w:val="28"/>
        </w:rPr>
      </w:pPr>
    </w:p>
    <w:p w14:paraId="219CCA81" w14:textId="7E863885" w:rsidR="00557BC7" w:rsidRDefault="00557BC7" w:rsidP="007B7D7B">
      <w:pPr>
        <w:spacing w:line="360" w:lineRule="auto"/>
        <w:rPr>
          <w:rFonts w:ascii="Arial" w:hAnsi="Arial" w:cs="Arial"/>
          <w:b/>
          <w:bCs/>
          <w:sz w:val="22"/>
          <w:szCs w:val="22"/>
        </w:rPr>
      </w:pPr>
      <w:r w:rsidRPr="000617D1">
        <w:rPr>
          <w:rFonts w:ascii="Arial" w:hAnsi="Arial" w:cs="Arial"/>
          <w:b/>
          <w:bCs/>
          <w:sz w:val="28"/>
          <w:szCs w:val="28"/>
        </w:rPr>
        <w:lastRenderedPageBreak/>
        <w:t>References</w:t>
      </w:r>
      <w:r>
        <w:rPr>
          <w:rFonts w:ascii="Arial" w:hAnsi="Arial" w:cs="Arial"/>
          <w:b/>
          <w:bCs/>
          <w:sz w:val="22"/>
          <w:szCs w:val="22"/>
        </w:rPr>
        <w:t xml:space="preserve"> </w:t>
      </w:r>
    </w:p>
    <w:p w14:paraId="0E6415C5"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Aiken, L.H. </w:t>
      </w:r>
      <w:r w:rsidRPr="004D351F">
        <w:rPr>
          <w:rFonts w:ascii="Arial" w:hAnsi="Arial" w:cs="Arial"/>
          <w:i/>
          <w:iCs/>
          <w:sz w:val="22"/>
          <w:szCs w:val="22"/>
        </w:rPr>
        <w:t>et al</w:t>
      </w:r>
      <w:r w:rsidRPr="007C7A97">
        <w:rPr>
          <w:rFonts w:ascii="Arial" w:hAnsi="Arial" w:cs="Arial"/>
          <w:sz w:val="22"/>
          <w:szCs w:val="22"/>
        </w:rPr>
        <w:t xml:space="preserve">. (2018) ‘Nursing skill mix in European hospitals: cross-sectional study of the association with mortality, patient ratings and quality of care’, </w:t>
      </w:r>
      <w:r w:rsidRPr="007C7A97">
        <w:rPr>
          <w:rStyle w:val="Emphasis"/>
          <w:rFonts w:ascii="Arial" w:hAnsi="Arial" w:cs="Arial"/>
          <w:sz w:val="22"/>
          <w:szCs w:val="22"/>
        </w:rPr>
        <w:t>BMJ Quality &amp; Safety</w:t>
      </w:r>
      <w:r w:rsidRPr="007C7A97">
        <w:rPr>
          <w:rFonts w:ascii="Arial" w:hAnsi="Arial" w:cs="Arial"/>
          <w:sz w:val="22"/>
          <w:szCs w:val="22"/>
        </w:rPr>
        <w:t>, 26(7), pp. 559–568.</w:t>
      </w:r>
    </w:p>
    <w:p w14:paraId="30A3DDB7"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Ahmed, S.K. (2021) ‘Using thematic analysis in qualitative research’, </w:t>
      </w:r>
      <w:r w:rsidRPr="007C7A97">
        <w:rPr>
          <w:rStyle w:val="Emphasis"/>
          <w:rFonts w:ascii="Arial" w:hAnsi="Arial" w:cs="Arial"/>
          <w:sz w:val="22"/>
          <w:szCs w:val="22"/>
        </w:rPr>
        <w:t>Journal of Education and Learning</w:t>
      </w:r>
      <w:r w:rsidRPr="007C7A97">
        <w:rPr>
          <w:rFonts w:ascii="Arial" w:hAnsi="Arial" w:cs="Arial"/>
          <w:sz w:val="22"/>
          <w:szCs w:val="22"/>
        </w:rPr>
        <w:t xml:space="preserve">, 10(3), pp. 107–115. Available at: </w:t>
      </w:r>
      <w:hyperlink r:id="rId8" w:history="1">
        <w:r w:rsidRPr="007C7A97">
          <w:rPr>
            <w:rStyle w:val="Hyperlink"/>
            <w:rFonts w:ascii="Arial" w:hAnsi="Arial" w:cs="Arial"/>
            <w:sz w:val="22"/>
            <w:szCs w:val="22"/>
          </w:rPr>
          <w:t>https://doi.org/10.5539/jel.v10n3p107</w:t>
        </w:r>
      </w:hyperlink>
    </w:p>
    <w:p w14:paraId="197D8355"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Aveyard, H. (2019) </w:t>
      </w:r>
      <w:r w:rsidRPr="007C7A97">
        <w:rPr>
          <w:rStyle w:val="Emphasis"/>
          <w:rFonts w:ascii="Arial" w:hAnsi="Arial" w:cs="Arial"/>
          <w:sz w:val="22"/>
          <w:szCs w:val="22"/>
        </w:rPr>
        <w:t>Doing a literature review in health and social care: a practical guide</w:t>
      </w:r>
      <w:r w:rsidRPr="007C7A97">
        <w:rPr>
          <w:rFonts w:ascii="Arial" w:hAnsi="Arial" w:cs="Arial"/>
          <w:sz w:val="22"/>
          <w:szCs w:val="22"/>
        </w:rPr>
        <w:t>. 4th edn. Maidenhead: Open University Press.</w:t>
      </w:r>
    </w:p>
    <w:p w14:paraId="7F242326"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Bakker, A.B. and Demerouti, E. (2001) ‘The job demands-resources model of burnout’, </w:t>
      </w:r>
      <w:r w:rsidRPr="007C7A97">
        <w:rPr>
          <w:rStyle w:val="Emphasis"/>
          <w:rFonts w:ascii="Arial" w:hAnsi="Arial" w:cs="Arial"/>
          <w:sz w:val="22"/>
          <w:szCs w:val="22"/>
        </w:rPr>
        <w:t>Journal of Applied Psychology</w:t>
      </w:r>
      <w:r w:rsidRPr="007C7A97">
        <w:rPr>
          <w:rFonts w:ascii="Arial" w:hAnsi="Arial" w:cs="Arial"/>
          <w:sz w:val="22"/>
          <w:szCs w:val="22"/>
        </w:rPr>
        <w:t xml:space="preserve">, 86(3), pp. 499–512. Available at: </w:t>
      </w:r>
      <w:hyperlink r:id="rId9" w:history="1">
        <w:r w:rsidRPr="007C7A97">
          <w:rPr>
            <w:rStyle w:val="Hyperlink"/>
            <w:rFonts w:ascii="Arial" w:hAnsi="Arial" w:cs="Arial"/>
            <w:sz w:val="22"/>
            <w:szCs w:val="22"/>
          </w:rPr>
          <w:t>https://doi.org/10.1037/0021-9010.86.3.499</w:t>
        </w:r>
      </w:hyperlink>
    </w:p>
    <w:p w14:paraId="28656FC1"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Bakker, A.B., Demerouti, E. and Verbeke, W. (2004) ‘Using the job demands-resources model to predict burnout and performance’, </w:t>
      </w:r>
      <w:r w:rsidRPr="007C7A97">
        <w:rPr>
          <w:rStyle w:val="Emphasis"/>
          <w:rFonts w:ascii="Arial" w:hAnsi="Arial" w:cs="Arial"/>
          <w:sz w:val="22"/>
          <w:szCs w:val="22"/>
        </w:rPr>
        <w:t>Human Resource Management</w:t>
      </w:r>
      <w:r w:rsidRPr="007C7A97">
        <w:rPr>
          <w:rFonts w:ascii="Arial" w:hAnsi="Arial" w:cs="Arial"/>
          <w:sz w:val="22"/>
          <w:szCs w:val="22"/>
        </w:rPr>
        <w:t xml:space="preserve">, 43(1), pp. 83–104. Available at: </w:t>
      </w:r>
      <w:hyperlink r:id="rId10" w:history="1">
        <w:r w:rsidRPr="007C7A97">
          <w:rPr>
            <w:rStyle w:val="Hyperlink"/>
            <w:rFonts w:ascii="Arial" w:hAnsi="Arial" w:cs="Arial"/>
            <w:sz w:val="22"/>
            <w:szCs w:val="22"/>
          </w:rPr>
          <w:t>https://doi.org/10.1002/hrm.20004</w:t>
        </w:r>
      </w:hyperlink>
    </w:p>
    <w:p w14:paraId="567CF7D5"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Bakker, A.B., Demerouti, E. and Euwema, M.C. (2005) ‘Job resources buffer the impact of job demands on burnout’, </w:t>
      </w:r>
      <w:r w:rsidRPr="007C7A97">
        <w:rPr>
          <w:rStyle w:val="Emphasis"/>
          <w:rFonts w:ascii="Arial" w:hAnsi="Arial" w:cs="Arial"/>
          <w:sz w:val="22"/>
          <w:szCs w:val="22"/>
        </w:rPr>
        <w:t>Journal of Occupational Health Psychology</w:t>
      </w:r>
      <w:r w:rsidRPr="007C7A97">
        <w:rPr>
          <w:rFonts w:ascii="Arial" w:hAnsi="Arial" w:cs="Arial"/>
          <w:sz w:val="22"/>
          <w:szCs w:val="22"/>
        </w:rPr>
        <w:t xml:space="preserve">, 10(2), pp. 170–180. Available at: </w:t>
      </w:r>
      <w:hyperlink r:id="rId11" w:history="1">
        <w:r w:rsidRPr="007C7A97">
          <w:rPr>
            <w:rStyle w:val="Hyperlink"/>
            <w:rFonts w:ascii="Arial" w:hAnsi="Arial" w:cs="Arial"/>
            <w:sz w:val="22"/>
            <w:szCs w:val="22"/>
          </w:rPr>
          <w:t>https://doi.org/10.1037/1076-8998.10.2.170</w:t>
        </w:r>
      </w:hyperlink>
    </w:p>
    <w:p w14:paraId="133C937A"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Bakker, A.B. and Demerouti, E. (2017) ‘Job demands–resources theory: taking stock and looking forward’, </w:t>
      </w:r>
      <w:r w:rsidRPr="007C7A97">
        <w:rPr>
          <w:rStyle w:val="Emphasis"/>
          <w:rFonts w:ascii="Arial" w:hAnsi="Arial" w:cs="Arial"/>
          <w:sz w:val="22"/>
          <w:szCs w:val="22"/>
        </w:rPr>
        <w:t>Journal of Occupational Health Psychology</w:t>
      </w:r>
      <w:r w:rsidRPr="007C7A97">
        <w:rPr>
          <w:rFonts w:ascii="Arial" w:hAnsi="Arial" w:cs="Arial"/>
          <w:sz w:val="22"/>
          <w:szCs w:val="22"/>
        </w:rPr>
        <w:t xml:space="preserve">, 22(3), pp. 273–285. Available at: </w:t>
      </w:r>
      <w:hyperlink r:id="rId12" w:history="1">
        <w:r w:rsidRPr="007C7A97">
          <w:rPr>
            <w:rStyle w:val="Hyperlink"/>
            <w:rFonts w:ascii="Arial" w:hAnsi="Arial" w:cs="Arial"/>
            <w:sz w:val="22"/>
            <w:szCs w:val="22"/>
          </w:rPr>
          <w:t>https://doi.org/10.1037/ocp0000056</w:t>
        </w:r>
      </w:hyperlink>
    </w:p>
    <w:p w14:paraId="15F274C8"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Blakeslee, S. (2004) ‘The CRAAP test’, </w:t>
      </w:r>
      <w:r w:rsidRPr="007C7A97">
        <w:rPr>
          <w:rStyle w:val="Emphasis"/>
          <w:rFonts w:ascii="Arial" w:hAnsi="Arial" w:cs="Arial"/>
          <w:sz w:val="22"/>
          <w:szCs w:val="22"/>
        </w:rPr>
        <w:t>LOEX Quarterly</w:t>
      </w:r>
      <w:r w:rsidRPr="007C7A97">
        <w:rPr>
          <w:rFonts w:ascii="Arial" w:hAnsi="Arial" w:cs="Arial"/>
          <w:sz w:val="22"/>
          <w:szCs w:val="22"/>
        </w:rPr>
        <w:t xml:space="preserve">, 31(3), pp. 6–7. Available at: </w:t>
      </w:r>
      <w:hyperlink r:id="rId13" w:history="1">
        <w:r w:rsidRPr="007C7A97">
          <w:rPr>
            <w:rStyle w:val="Hyperlink"/>
            <w:rFonts w:ascii="Arial" w:hAnsi="Arial" w:cs="Arial"/>
            <w:sz w:val="22"/>
            <w:szCs w:val="22"/>
          </w:rPr>
          <w:t>https://commons.emich.edu/loexquarterly/vol31/iss3/4/</w:t>
        </w:r>
      </w:hyperlink>
      <w:r w:rsidRPr="007C7A97">
        <w:rPr>
          <w:rFonts w:ascii="Arial" w:hAnsi="Arial" w:cs="Arial"/>
          <w:sz w:val="22"/>
          <w:szCs w:val="22"/>
        </w:rPr>
        <w:t xml:space="preserve"> (Accessed: 10 February 2026).</w:t>
      </w:r>
    </w:p>
    <w:p w14:paraId="1176DEBF"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Bodenheimer, T. and Sinsky, C. (2014) ‘From triple to quadruple aim: care of the patient requires care of the provider’, </w:t>
      </w:r>
      <w:r w:rsidRPr="007C7A97">
        <w:rPr>
          <w:rStyle w:val="Emphasis"/>
          <w:rFonts w:ascii="Arial" w:hAnsi="Arial" w:cs="Arial"/>
          <w:sz w:val="22"/>
          <w:szCs w:val="22"/>
        </w:rPr>
        <w:t>Annals of Family Medicine</w:t>
      </w:r>
      <w:r w:rsidRPr="007C7A97">
        <w:rPr>
          <w:rFonts w:ascii="Arial" w:hAnsi="Arial" w:cs="Arial"/>
          <w:sz w:val="22"/>
          <w:szCs w:val="22"/>
        </w:rPr>
        <w:t xml:space="preserve">, 12(6), pp. 573–576. Available at: </w:t>
      </w:r>
      <w:hyperlink r:id="rId14" w:history="1">
        <w:r w:rsidRPr="007C7A97">
          <w:rPr>
            <w:rStyle w:val="Hyperlink"/>
            <w:rFonts w:ascii="Arial" w:hAnsi="Arial" w:cs="Arial"/>
            <w:sz w:val="22"/>
            <w:szCs w:val="22"/>
          </w:rPr>
          <w:t>https://doi.org/10.1370/afm.1713</w:t>
        </w:r>
      </w:hyperlink>
    </w:p>
    <w:p w14:paraId="184C00CF"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Booth, A., Sutton, A. and Papaioannou, D. (2016) </w:t>
      </w:r>
      <w:r w:rsidRPr="007C7A97">
        <w:rPr>
          <w:rStyle w:val="Emphasis"/>
          <w:rFonts w:ascii="Arial" w:hAnsi="Arial" w:cs="Arial"/>
          <w:sz w:val="22"/>
          <w:szCs w:val="22"/>
        </w:rPr>
        <w:t>Systematic approaches to a successful literature review</w:t>
      </w:r>
      <w:r w:rsidRPr="007C7A97">
        <w:rPr>
          <w:rFonts w:ascii="Arial" w:hAnsi="Arial" w:cs="Arial"/>
          <w:sz w:val="22"/>
          <w:szCs w:val="22"/>
        </w:rPr>
        <w:t>. 2nd edn. London: Sage.</w:t>
      </w:r>
    </w:p>
    <w:p w14:paraId="36C7BA40"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lastRenderedPageBreak/>
        <w:t xml:space="preserve">Braun, V. and Clarke, V. (2006) ‘Using thematic analysis in psychology’, </w:t>
      </w:r>
      <w:r w:rsidRPr="007C7A97">
        <w:rPr>
          <w:rStyle w:val="Emphasis"/>
          <w:rFonts w:ascii="Arial" w:hAnsi="Arial" w:cs="Arial"/>
          <w:sz w:val="22"/>
          <w:szCs w:val="22"/>
        </w:rPr>
        <w:t>Qualitative Research in Psychology</w:t>
      </w:r>
      <w:r w:rsidRPr="007C7A97">
        <w:rPr>
          <w:rFonts w:ascii="Arial" w:hAnsi="Arial" w:cs="Arial"/>
          <w:sz w:val="22"/>
          <w:szCs w:val="22"/>
        </w:rPr>
        <w:t xml:space="preserve">, 3(2), pp. 77–101. Available at: </w:t>
      </w:r>
      <w:hyperlink r:id="rId15" w:history="1">
        <w:r w:rsidRPr="007C7A97">
          <w:rPr>
            <w:rStyle w:val="Hyperlink"/>
            <w:rFonts w:ascii="Arial" w:hAnsi="Arial" w:cs="Arial"/>
            <w:sz w:val="22"/>
            <w:szCs w:val="22"/>
          </w:rPr>
          <w:t>https://doi.org/10.1191/1478088706qp063oa</w:t>
        </w:r>
      </w:hyperlink>
    </w:p>
    <w:p w14:paraId="2740F3CE"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Braun, V. and Clarke, V. (2019) ‘Reflecting on reflexive thematic analysis’, </w:t>
      </w:r>
      <w:r w:rsidRPr="007C7A97">
        <w:rPr>
          <w:rStyle w:val="Emphasis"/>
          <w:rFonts w:ascii="Arial" w:hAnsi="Arial" w:cs="Arial"/>
          <w:sz w:val="22"/>
          <w:szCs w:val="22"/>
        </w:rPr>
        <w:t>Qualitative Research in Sport, Exercise and Health</w:t>
      </w:r>
      <w:r w:rsidRPr="007C7A97">
        <w:rPr>
          <w:rFonts w:ascii="Arial" w:hAnsi="Arial" w:cs="Arial"/>
          <w:sz w:val="22"/>
          <w:szCs w:val="22"/>
        </w:rPr>
        <w:t xml:space="preserve">, 11(4), pp. 589–597. Available at: </w:t>
      </w:r>
      <w:hyperlink r:id="rId16" w:history="1">
        <w:r w:rsidRPr="007C7A97">
          <w:rPr>
            <w:rStyle w:val="Hyperlink"/>
            <w:rFonts w:ascii="Arial" w:hAnsi="Arial" w:cs="Arial"/>
            <w:sz w:val="22"/>
            <w:szCs w:val="22"/>
          </w:rPr>
          <w:t>https://doi.org/10.1080/2159676X.2019.1628806</w:t>
        </w:r>
      </w:hyperlink>
    </w:p>
    <w:p w14:paraId="01D5F56A"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Brooks, S.K. </w:t>
      </w:r>
      <w:r w:rsidRPr="004D351F">
        <w:rPr>
          <w:rFonts w:ascii="Arial" w:hAnsi="Arial" w:cs="Arial"/>
          <w:i/>
          <w:iCs/>
          <w:sz w:val="22"/>
          <w:szCs w:val="22"/>
        </w:rPr>
        <w:t>et al</w:t>
      </w:r>
      <w:r w:rsidRPr="007C7A97">
        <w:rPr>
          <w:rFonts w:ascii="Arial" w:hAnsi="Arial" w:cs="Arial"/>
          <w:sz w:val="22"/>
          <w:szCs w:val="22"/>
        </w:rPr>
        <w:t xml:space="preserve">. (2020) ‘The psychological impact of quarantine and how to reduce it: rapid review of the evidence’, </w:t>
      </w:r>
      <w:r w:rsidRPr="007C7A97">
        <w:rPr>
          <w:rStyle w:val="Emphasis"/>
          <w:rFonts w:ascii="Arial" w:hAnsi="Arial" w:cs="Arial"/>
          <w:sz w:val="22"/>
          <w:szCs w:val="22"/>
        </w:rPr>
        <w:t>The Lancet</w:t>
      </w:r>
      <w:r w:rsidRPr="007C7A97">
        <w:rPr>
          <w:rFonts w:ascii="Arial" w:hAnsi="Arial" w:cs="Arial"/>
          <w:sz w:val="22"/>
          <w:szCs w:val="22"/>
        </w:rPr>
        <w:t xml:space="preserve">, 395(10227), pp. 912–920. Available at: </w:t>
      </w:r>
      <w:hyperlink r:id="rId17" w:history="1">
        <w:r w:rsidRPr="007C7A97">
          <w:rPr>
            <w:rStyle w:val="Hyperlink"/>
            <w:rFonts w:ascii="Arial" w:hAnsi="Arial" w:cs="Arial"/>
            <w:sz w:val="22"/>
            <w:szCs w:val="22"/>
          </w:rPr>
          <w:t>https://doi.org/10.1016/S0140-6736(20)30460-8</w:t>
        </w:r>
      </w:hyperlink>
    </w:p>
    <w:p w14:paraId="0834933E"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Cañadas-De la Fuente, G.A.</w:t>
      </w:r>
      <w:r w:rsidRPr="004D351F">
        <w:rPr>
          <w:rFonts w:ascii="Arial" w:hAnsi="Arial" w:cs="Arial"/>
          <w:i/>
          <w:iCs/>
          <w:sz w:val="22"/>
          <w:szCs w:val="22"/>
        </w:rPr>
        <w:t xml:space="preserve"> et al</w:t>
      </w:r>
      <w:r w:rsidRPr="007C7A97">
        <w:rPr>
          <w:rFonts w:ascii="Arial" w:hAnsi="Arial" w:cs="Arial"/>
          <w:sz w:val="22"/>
          <w:szCs w:val="22"/>
        </w:rPr>
        <w:t xml:space="preserve">. (2015) ‘Risk factors and prevalence of burnout in nursing professionals: a systematic review’, </w:t>
      </w:r>
      <w:r w:rsidRPr="007C7A97">
        <w:rPr>
          <w:rStyle w:val="Emphasis"/>
          <w:rFonts w:ascii="Arial" w:hAnsi="Arial" w:cs="Arial"/>
          <w:sz w:val="22"/>
          <w:szCs w:val="22"/>
        </w:rPr>
        <w:t>International Journal of Nursing Studies</w:t>
      </w:r>
      <w:r w:rsidRPr="007C7A97">
        <w:rPr>
          <w:rFonts w:ascii="Arial" w:hAnsi="Arial" w:cs="Arial"/>
          <w:sz w:val="22"/>
          <w:szCs w:val="22"/>
        </w:rPr>
        <w:t>, 52(1), pp. 240–249.</w:t>
      </w:r>
    </w:p>
    <w:p w14:paraId="640159AF"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Cañadas-De la Fuente, G.A.</w:t>
      </w:r>
      <w:r w:rsidRPr="00866D3E">
        <w:rPr>
          <w:rFonts w:ascii="Arial" w:hAnsi="Arial" w:cs="Arial"/>
          <w:i/>
          <w:iCs/>
          <w:sz w:val="22"/>
          <w:szCs w:val="22"/>
        </w:rPr>
        <w:t xml:space="preserve"> et al</w:t>
      </w:r>
      <w:r w:rsidRPr="007C7A97">
        <w:rPr>
          <w:rFonts w:ascii="Arial" w:hAnsi="Arial" w:cs="Arial"/>
          <w:sz w:val="22"/>
          <w:szCs w:val="22"/>
        </w:rPr>
        <w:t xml:space="preserve">. (2018) ‘Prevalence of burnout in a sample of Spanish nurses’, </w:t>
      </w:r>
      <w:r w:rsidRPr="007C7A97">
        <w:rPr>
          <w:rStyle w:val="Emphasis"/>
          <w:rFonts w:ascii="Arial" w:hAnsi="Arial" w:cs="Arial"/>
          <w:sz w:val="22"/>
          <w:szCs w:val="22"/>
        </w:rPr>
        <w:t>Medicina Clínica</w:t>
      </w:r>
      <w:r w:rsidRPr="007C7A97">
        <w:rPr>
          <w:rFonts w:ascii="Arial" w:hAnsi="Arial" w:cs="Arial"/>
          <w:sz w:val="22"/>
          <w:szCs w:val="22"/>
        </w:rPr>
        <w:t>, 150(6), pp. 213–219.</w:t>
      </w:r>
    </w:p>
    <w:p w14:paraId="22DA8D32"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Castleberry, A. and Nolen, A. (2018) ‘Thematic analysis of qualitative research data: is it as easy as it sounds?’, </w:t>
      </w:r>
      <w:r w:rsidRPr="007C7A97">
        <w:rPr>
          <w:rStyle w:val="Emphasis"/>
          <w:rFonts w:ascii="Arial" w:hAnsi="Arial" w:cs="Arial"/>
          <w:sz w:val="22"/>
          <w:szCs w:val="22"/>
        </w:rPr>
        <w:t>Currents in Pharmacy Teaching and Learning</w:t>
      </w:r>
      <w:r w:rsidRPr="007C7A97">
        <w:rPr>
          <w:rFonts w:ascii="Arial" w:hAnsi="Arial" w:cs="Arial"/>
          <w:sz w:val="22"/>
          <w:szCs w:val="22"/>
        </w:rPr>
        <w:t xml:space="preserve">, 10(6), pp. 807–815. Available at: </w:t>
      </w:r>
      <w:hyperlink r:id="rId18" w:history="1">
        <w:r w:rsidRPr="007C7A97">
          <w:rPr>
            <w:rStyle w:val="Hyperlink"/>
            <w:rFonts w:ascii="Arial" w:hAnsi="Arial" w:cs="Arial"/>
            <w:sz w:val="22"/>
            <w:szCs w:val="22"/>
          </w:rPr>
          <w:t>https://doi.org/10.1016/j.cptl.2018.03.019</w:t>
        </w:r>
      </w:hyperlink>
    </w:p>
    <w:p w14:paraId="356780AB"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Creswell, J.W. and Creswell, J.D. (2018) </w:t>
      </w:r>
      <w:r w:rsidRPr="007C7A97">
        <w:rPr>
          <w:rStyle w:val="Emphasis"/>
          <w:rFonts w:ascii="Arial" w:hAnsi="Arial" w:cs="Arial"/>
          <w:sz w:val="22"/>
          <w:szCs w:val="22"/>
        </w:rPr>
        <w:t>Research design: qualitative, quantitative, and mixed methods approaches</w:t>
      </w:r>
      <w:r w:rsidRPr="007C7A97">
        <w:rPr>
          <w:rFonts w:ascii="Arial" w:hAnsi="Arial" w:cs="Arial"/>
          <w:sz w:val="22"/>
          <w:szCs w:val="22"/>
        </w:rPr>
        <w:t>. 5th edn. London: Sage.</w:t>
      </w:r>
    </w:p>
    <w:p w14:paraId="5EC0013A"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Dall’Ora, C.</w:t>
      </w:r>
      <w:r w:rsidRPr="00866D3E">
        <w:rPr>
          <w:rFonts w:ascii="Arial" w:hAnsi="Arial" w:cs="Arial"/>
          <w:i/>
          <w:iCs/>
          <w:sz w:val="22"/>
          <w:szCs w:val="22"/>
        </w:rPr>
        <w:t xml:space="preserve"> et al</w:t>
      </w:r>
      <w:r w:rsidRPr="007C7A97">
        <w:rPr>
          <w:rFonts w:ascii="Arial" w:hAnsi="Arial" w:cs="Arial"/>
          <w:sz w:val="22"/>
          <w:szCs w:val="22"/>
        </w:rPr>
        <w:t xml:space="preserve">. (2015) ‘Association of 12-hour shifts and nurses’ job satisfaction, burnout and intention to leave’, </w:t>
      </w:r>
      <w:r w:rsidRPr="007C7A97">
        <w:rPr>
          <w:rStyle w:val="Emphasis"/>
          <w:rFonts w:ascii="Arial" w:hAnsi="Arial" w:cs="Arial"/>
          <w:sz w:val="22"/>
          <w:szCs w:val="22"/>
        </w:rPr>
        <w:t>BMJ Open</w:t>
      </w:r>
      <w:r w:rsidRPr="007C7A97">
        <w:rPr>
          <w:rFonts w:ascii="Arial" w:hAnsi="Arial" w:cs="Arial"/>
          <w:sz w:val="22"/>
          <w:szCs w:val="22"/>
        </w:rPr>
        <w:t xml:space="preserve">, 5(9), e008331. Available at: </w:t>
      </w:r>
      <w:hyperlink r:id="rId19" w:history="1">
        <w:r w:rsidRPr="007C7A97">
          <w:rPr>
            <w:rStyle w:val="Hyperlink"/>
            <w:rFonts w:ascii="Arial" w:hAnsi="Arial" w:cs="Arial"/>
            <w:sz w:val="22"/>
            <w:szCs w:val="22"/>
          </w:rPr>
          <w:t>https://doi.org/10.1136/bmjopen-2015-008331</w:t>
        </w:r>
      </w:hyperlink>
    </w:p>
    <w:p w14:paraId="06FBF780"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Demerouti, E., Geurts, S.A. and Kompier, M. (2004) ‘Positive and negative work–home interaction’, </w:t>
      </w:r>
      <w:r w:rsidRPr="007C7A97">
        <w:rPr>
          <w:rStyle w:val="Emphasis"/>
          <w:rFonts w:ascii="Arial" w:hAnsi="Arial" w:cs="Arial"/>
          <w:sz w:val="22"/>
          <w:szCs w:val="22"/>
        </w:rPr>
        <w:t>Equal Opportunities International</w:t>
      </w:r>
      <w:r w:rsidRPr="007C7A97">
        <w:rPr>
          <w:rFonts w:ascii="Arial" w:hAnsi="Arial" w:cs="Arial"/>
          <w:sz w:val="22"/>
          <w:szCs w:val="22"/>
        </w:rPr>
        <w:t>, 24(1–2), pp. 1–35.</w:t>
      </w:r>
    </w:p>
    <w:p w14:paraId="0B528C6C"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Demerouti, E., Mostert, K. and Bakker, A.B. (2010) ‘Burnout and work engagement’, </w:t>
      </w:r>
      <w:r w:rsidRPr="007C7A97">
        <w:rPr>
          <w:rStyle w:val="Emphasis"/>
          <w:rFonts w:ascii="Arial" w:hAnsi="Arial" w:cs="Arial"/>
          <w:sz w:val="22"/>
          <w:szCs w:val="22"/>
        </w:rPr>
        <w:t>Journal of Occupational Health Psychology</w:t>
      </w:r>
      <w:r w:rsidRPr="007C7A97">
        <w:rPr>
          <w:rFonts w:ascii="Arial" w:hAnsi="Arial" w:cs="Arial"/>
          <w:sz w:val="22"/>
          <w:szCs w:val="22"/>
        </w:rPr>
        <w:t>, 15(3), pp. 209–222.</w:t>
      </w:r>
    </w:p>
    <w:p w14:paraId="78E1B112"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Dolea, C. and Adams, O. (2005) ‘Motivation of health care workers’, </w:t>
      </w:r>
      <w:r w:rsidRPr="007C7A97">
        <w:rPr>
          <w:rStyle w:val="Emphasis"/>
          <w:rFonts w:ascii="Arial" w:hAnsi="Arial" w:cs="Arial"/>
          <w:sz w:val="22"/>
          <w:szCs w:val="22"/>
        </w:rPr>
        <w:t>Cahiers de Sociologie et de Démographie Médicale</w:t>
      </w:r>
      <w:r w:rsidRPr="007C7A97">
        <w:rPr>
          <w:rFonts w:ascii="Arial" w:hAnsi="Arial" w:cs="Arial"/>
          <w:sz w:val="22"/>
          <w:szCs w:val="22"/>
        </w:rPr>
        <w:t>, 45(1), pp. 135–161.</w:t>
      </w:r>
    </w:p>
    <w:p w14:paraId="0552F555"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lastRenderedPageBreak/>
        <w:t xml:space="preserve">Dolea, C., Stormont, L. and Adams, O. (2009) ‘Improving the retention of health workers’, </w:t>
      </w:r>
      <w:r w:rsidRPr="007C7A97">
        <w:rPr>
          <w:rStyle w:val="Emphasis"/>
          <w:rFonts w:ascii="Arial" w:hAnsi="Arial" w:cs="Arial"/>
          <w:sz w:val="22"/>
          <w:szCs w:val="22"/>
        </w:rPr>
        <w:t>Human Resources for Health</w:t>
      </w:r>
      <w:r w:rsidRPr="007C7A97">
        <w:rPr>
          <w:rFonts w:ascii="Arial" w:hAnsi="Arial" w:cs="Arial"/>
          <w:sz w:val="22"/>
          <w:szCs w:val="22"/>
        </w:rPr>
        <w:t>, 7(1), p. 1.</w:t>
      </w:r>
    </w:p>
    <w:p w14:paraId="5A9A5FAC"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Dyrbye, L.N. </w:t>
      </w:r>
      <w:r w:rsidRPr="00866D3E">
        <w:rPr>
          <w:rFonts w:ascii="Arial" w:hAnsi="Arial" w:cs="Arial"/>
          <w:i/>
          <w:iCs/>
          <w:sz w:val="22"/>
          <w:szCs w:val="22"/>
        </w:rPr>
        <w:t>et al</w:t>
      </w:r>
      <w:r w:rsidRPr="007C7A97">
        <w:rPr>
          <w:rFonts w:ascii="Arial" w:hAnsi="Arial" w:cs="Arial"/>
          <w:sz w:val="22"/>
          <w:szCs w:val="22"/>
        </w:rPr>
        <w:t xml:space="preserve">. (2020) ‘Burnout among healthcare professionals: a systematic review’, </w:t>
      </w:r>
      <w:r w:rsidRPr="007C7A97">
        <w:rPr>
          <w:rStyle w:val="Emphasis"/>
          <w:rFonts w:ascii="Arial" w:hAnsi="Arial" w:cs="Arial"/>
          <w:sz w:val="22"/>
          <w:szCs w:val="22"/>
        </w:rPr>
        <w:t>Journal of General Internal Medicine</w:t>
      </w:r>
      <w:r w:rsidRPr="007C7A97">
        <w:rPr>
          <w:rFonts w:ascii="Arial" w:hAnsi="Arial" w:cs="Arial"/>
          <w:sz w:val="22"/>
          <w:szCs w:val="22"/>
        </w:rPr>
        <w:t xml:space="preserve">, 35(2), pp. 421–429. Available at: </w:t>
      </w:r>
      <w:hyperlink r:id="rId20" w:history="1">
        <w:r w:rsidRPr="007C7A97">
          <w:rPr>
            <w:rStyle w:val="Hyperlink"/>
            <w:rFonts w:ascii="Arial" w:hAnsi="Arial" w:cs="Arial"/>
            <w:sz w:val="22"/>
            <w:szCs w:val="22"/>
          </w:rPr>
          <w:t>https://doi.org/10.1007/s11606-019-05376-x</w:t>
        </w:r>
      </w:hyperlink>
    </w:p>
    <w:p w14:paraId="6F552040"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Eisenberger, R. </w:t>
      </w:r>
      <w:r w:rsidRPr="00866D3E">
        <w:rPr>
          <w:rFonts w:ascii="Arial" w:hAnsi="Arial" w:cs="Arial"/>
          <w:i/>
          <w:iCs/>
          <w:sz w:val="22"/>
          <w:szCs w:val="22"/>
        </w:rPr>
        <w:t>et al</w:t>
      </w:r>
      <w:r w:rsidRPr="007C7A97">
        <w:rPr>
          <w:rFonts w:ascii="Arial" w:hAnsi="Arial" w:cs="Arial"/>
          <w:sz w:val="22"/>
          <w:szCs w:val="22"/>
        </w:rPr>
        <w:t xml:space="preserve">. (2020) ‘Perceived organisational support: contributions to perceived organisational support and employee retention’, </w:t>
      </w:r>
      <w:r w:rsidRPr="007C7A97">
        <w:rPr>
          <w:rStyle w:val="Emphasis"/>
          <w:rFonts w:ascii="Arial" w:hAnsi="Arial" w:cs="Arial"/>
          <w:sz w:val="22"/>
          <w:szCs w:val="22"/>
        </w:rPr>
        <w:t>Journal of Applied Psychology</w:t>
      </w:r>
      <w:r w:rsidRPr="007C7A97">
        <w:rPr>
          <w:rFonts w:ascii="Arial" w:hAnsi="Arial" w:cs="Arial"/>
          <w:sz w:val="22"/>
          <w:szCs w:val="22"/>
        </w:rPr>
        <w:t>, 105(3), pp. 263–279.</w:t>
      </w:r>
    </w:p>
    <w:p w14:paraId="2FC31E21"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Freudenberger, H.J. (1974) ‘Staff burn-out’, </w:t>
      </w:r>
      <w:r w:rsidRPr="007C7A97">
        <w:rPr>
          <w:rStyle w:val="Emphasis"/>
          <w:rFonts w:ascii="Arial" w:hAnsi="Arial" w:cs="Arial"/>
          <w:sz w:val="22"/>
          <w:szCs w:val="22"/>
        </w:rPr>
        <w:t>Journal of Social Issues</w:t>
      </w:r>
      <w:r w:rsidRPr="007C7A97">
        <w:rPr>
          <w:rFonts w:ascii="Arial" w:hAnsi="Arial" w:cs="Arial"/>
          <w:sz w:val="22"/>
          <w:szCs w:val="22"/>
        </w:rPr>
        <w:t>, 30(1), pp. 159–165.</w:t>
      </w:r>
    </w:p>
    <w:p w14:paraId="6B679A99"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Ghasemi Kooktapeh, Z. </w:t>
      </w:r>
      <w:r w:rsidRPr="00D9095B">
        <w:rPr>
          <w:rFonts w:ascii="Arial" w:hAnsi="Arial" w:cs="Arial"/>
          <w:i/>
          <w:iCs/>
          <w:sz w:val="22"/>
          <w:szCs w:val="22"/>
        </w:rPr>
        <w:t>et</w:t>
      </w:r>
      <w:r w:rsidRPr="007C7A97">
        <w:rPr>
          <w:rFonts w:ascii="Arial" w:hAnsi="Arial" w:cs="Arial"/>
          <w:sz w:val="22"/>
          <w:szCs w:val="22"/>
        </w:rPr>
        <w:t xml:space="preserve"> </w:t>
      </w:r>
      <w:r w:rsidRPr="00D9095B">
        <w:rPr>
          <w:rFonts w:ascii="Arial" w:hAnsi="Arial" w:cs="Arial"/>
          <w:i/>
          <w:iCs/>
          <w:sz w:val="22"/>
          <w:szCs w:val="22"/>
        </w:rPr>
        <w:t>al</w:t>
      </w:r>
      <w:r w:rsidRPr="007C7A97">
        <w:rPr>
          <w:rFonts w:ascii="Arial" w:hAnsi="Arial" w:cs="Arial"/>
          <w:sz w:val="22"/>
          <w:szCs w:val="22"/>
        </w:rPr>
        <w:t xml:space="preserve">. (2023) ‘Job burnout among nurses: a systematic review and meta-analysis’, </w:t>
      </w:r>
      <w:r w:rsidRPr="007C7A97">
        <w:rPr>
          <w:rStyle w:val="Emphasis"/>
          <w:rFonts w:ascii="Arial" w:hAnsi="Arial" w:cs="Arial"/>
          <w:sz w:val="22"/>
          <w:szCs w:val="22"/>
        </w:rPr>
        <w:t>arXiv preprint</w:t>
      </w:r>
      <w:r w:rsidRPr="007C7A97">
        <w:rPr>
          <w:rFonts w:ascii="Arial" w:hAnsi="Arial" w:cs="Arial"/>
          <w:sz w:val="22"/>
          <w:szCs w:val="22"/>
        </w:rPr>
        <w:t xml:space="preserve">. Available at: </w:t>
      </w:r>
      <w:hyperlink r:id="rId21" w:history="1">
        <w:r w:rsidRPr="007C7A97">
          <w:rPr>
            <w:rStyle w:val="Hyperlink"/>
            <w:rFonts w:ascii="Arial" w:hAnsi="Arial" w:cs="Arial"/>
            <w:sz w:val="22"/>
            <w:szCs w:val="22"/>
          </w:rPr>
          <w:t>https://arxiv.org/abs/2312.14853</w:t>
        </w:r>
      </w:hyperlink>
    </w:p>
    <w:p w14:paraId="00A2CBC8"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Gov.UK (2025) </w:t>
      </w:r>
      <w:r w:rsidRPr="007C7A97">
        <w:rPr>
          <w:rStyle w:val="Emphasis"/>
          <w:rFonts w:ascii="Arial" w:hAnsi="Arial" w:cs="Arial"/>
          <w:sz w:val="22"/>
          <w:szCs w:val="22"/>
        </w:rPr>
        <w:t>Work-related stress and the law</w:t>
      </w:r>
      <w:r w:rsidRPr="007C7A97">
        <w:rPr>
          <w:rFonts w:ascii="Arial" w:hAnsi="Arial" w:cs="Arial"/>
          <w:sz w:val="22"/>
          <w:szCs w:val="22"/>
        </w:rPr>
        <w:t xml:space="preserve">. Available at: </w:t>
      </w:r>
      <w:hyperlink r:id="rId22" w:history="1">
        <w:r w:rsidRPr="007C7A97">
          <w:rPr>
            <w:rStyle w:val="Hyperlink"/>
            <w:rFonts w:ascii="Arial" w:hAnsi="Arial" w:cs="Arial"/>
            <w:sz w:val="22"/>
            <w:szCs w:val="22"/>
          </w:rPr>
          <w:t>https://workright.campaign.gov.uk</w:t>
        </w:r>
      </w:hyperlink>
      <w:r w:rsidRPr="007C7A97">
        <w:rPr>
          <w:rFonts w:ascii="Arial" w:hAnsi="Arial" w:cs="Arial"/>
          <w:sz w:val="22"/>
          <w:szCs w:val="22"/>
        </w:rPr>
        <w:t xml:space="preserve"> (Accessed: 26 November 2025).</w:t>
      </w:r>
    </w:p>
    <w:p w14:paraId="0070763A"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Grandey, A.</w:t>
      </w:r>
      <w:r w:rsidRPr="00D9095B">
        <w:rPr>
          <w:rFonts w:ascii="Arial" w:hAnsi="Arial" w:cs="Arial"/>
          <w:i/>
          <w:iCs/>
          <w:sz w:val="22"/>
          <w:szCs w:val="22"/>
        </w:rPr>
        <w:t xml:space="preserve"> et al</w:t>
      </w:r>
      <w:r w:rsidRPr="007C7A97">
        <w:rPr>
          <w:rFonts w:ascii="Arial" w:hAnsi="Arial" w:cs="Arial"/>
          <w:sz w:val="22"/>
          <w:szCs w:val="22"/>
        </w:rPr>
        <w:t xml:space="preserve">. (2012) ‘A climate of authenticity alleviates burnout from emotional labor’, </w:t>
      </w:r>
      <w:r w:rsidRPr="007C7A97">
        <w:rPr>
          <w:rStyle w:val="Emphasis"/>
          <w:rFonts w:ascii="Arial" w:hAnsi="Arial" w:cs="Arial"/>
          <w:sz w:val="22"/>
          <w:szCs w:val="22"/>
        </w:rPr>
        <w:t>Journal of Occupational Health Psychology</w:t>
      </w:r>
      <w:r w:rsidRPr="007C7A97">
        <w:rPr>
          <w:rFonts w:ascii="Arial" w:hAnsi="Arial" w:cs="Arial"/>
          <w:sz w:val="22"/>
          <w:szCs w:val="22"/>
        </w:rPr>
        <w:t>, 17(1), pp. 1–14.</w:t>
      </w:r>
    </w:p>
    <w:p w14:paraId="757435E2"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Hall, C.E.</w:t>
      </w:r>
      <w:r w:rsidRPr="00D9095B">
        <w:rPr>
          <w:rFonts w:ascii="Arial" w:hAnsi="Arial" w:cs="Arial"/>
          <w:i/>
          <w:iCs/>
          <w:sz w:val="22"/>
          <w:szCs w:val="22"/>
        </w:rPr>
        <w:t xml:space="preserve"> et al</w:t>
      </w:r>
      <w:r w:rsidRPr="007C7A97">
        <w:rPr>
          <w:rFonts w:ascii="Arial" w:hAnsi="Arial" w:cs="Arial"/>
          <w:sz w:val="22"/>
          <w:szCs w:val="22"/>
        </w:rPr>
        <w:t xml:space="preserve">. (2022) ‘The mental health of staff working on intensive care units’, </w:t>
      </w:r>
      <w:r w:rsidRPr="007C7A97">
        <w:rPr>
          <w:rStyle w:val="Emphasis"/>
          <w:rFonts w:ascii="Arial" w:hAnsi="Arial" w:cs="Arial"/>
          <w:sz w:val="22"/>
          <w:szCs w:val="22"/>
        </w:rPr>
        <w:t>British Journal of Anaesthesia</w:t>
      </w:r>
      <w:r w:rsidRPr="007C7A97">
        <w:rPr>
          <w:rFonts w:ascii="Arial" w:hAnsi="Arial" w:cs="Arial"/>
          <w:sz w:val="22"/>
          <w:szCs w:val="22"/>
        </w:rPr>
        <w:t>, 128(6), pp. 971–979.</w:t>
      </w:r>
    </w:p>
    <w:p w14:paraId="064407E4"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Hall, L.H.</w:t>
      </w:r>
      <w:r w:rsidRPr="00D9095B">
        <w:rPr>
          <w:rFonts w:ascii="Arial" w:hAnsi="Arial" w:cs="Arial"/>
          <w:i/>
          <w:iCs/>
          <w:sz w:val="22"/>
          <w:szCs w:val="22"/>
        </w:rPr>
        <w:t xml:space="preserve"> et al.</w:t>
      </w:r>
      <w:r w:rsidRPr="007C7A97">
        <w:rPr>
          <w:rFonts w:ascii="Arial" w:hAnsi="Arial" w:cs="Arial"/>
          <w:sz w:val="22"/>
          <w:szCs w:val="22"/>
        </w:rPr>
        <w:t xml:space="preserve"> (2016) ‘Healthcare staff wellbeing, burnout, and patient safety: a systematic review’, </w:t>
      </w:r>
      <w:r w:rsidRPr="007C7A97">
        <w:rPr>
          <w:rStyle w:val="Emphasis"/>
          <w:rFonts w:ascii="Arial" w:hAnsi="Arial" w:cs="Arial"/>
          <w:sz w:val="22"/>
          <w:szCs w:val="22"/>
        </w:rPr>
        <w:t>PLOS ONE</w:t>
      </w:r>
      <w:r w:rsidRPr="007C7A97">
        <w:rPr>
          <w:rFonts w:ascii="Arial" w:hAnsi="Arial" w:cs="Arial"/>
          <w:sz w:val="22"/>
          <w:szCs w:val="22"/>
        </w:rPr>
        <w:t xml:space="preserve">, 11(7), e0159015. Available at: </w:t>
      </w:r>
      <w:hyperlink r:id="rId23" w:history="1">
        <w:r w:rsidRPr="007C7A97">
          <w:rPr>
            <w:rStyle w:val="Hyperlink"/>
            <w:rFonts w:ascii="Arial" w:hAnsi="Arial" w:cs="Arial"/>
            <w:sz w:val="22"/>
            <w:szCs w:val="22"/>
          </w:rPr>
          <w:t>https://doi.org/10.1371/journal.pone.0159015</w:t>
        </w:r>
      </w:hyperlink>
    </w:p>
    <w:p w14:paraId="7AEF6674"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Hart, C. (2018) </w:t>
      </w:r>
      <w:r w:rsidRPr="007C7A97">
        <w:rPr>
          <w:rStyle w:val="Emphasis"/>
          <w:rFonts w:ascii="Arial" w:hAnsi="Arial" w:cs="Arial"/>
          <w:sz w:val="22"/>
          <w:szCs w:val="22"/>
        </w:rPr>
        <w:t>Doing a literature review: releasing the research imagination</w:t>
      </w:r>
      <w:r w:rsidRPr="007C7A97">
        <w:rPr>
          <w:rFonts w:ascii="Arial" w:hAnsi="Arial" w:cs="Arial"/>
          <w:sz w:val="22"/>
          <w:szCs w:val="22"/>
        </w:rPr>
        <w:t>. 2nd edn. London: Sage.</w:t>
      </w:r>
    </w:p>
    <w:p w14:paraId="4D3A6BEC"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Health and Safety at Work etc. Act 1974. London: HMSO. Available at: </w:t>
      </w:r>
      <w:hyperlink r:id="rId24" w:history="1">
        <w:r w:rsidRPr="007C7A97">
          <w:rPr>
            <w:rStyle w:val="Hyperlink"/>
            <w:rFonts w:ascii="Arial" w:hAnsi="Arial" w:cs="Arial"/>
            <w:sz w:val="22"/>
            <w:szCs w:val="22"/>
          </w:rPr>
          <w:t>https://www.legislation.gov.uk/ukpga/1974/37/contents</w:t>
        </w:r>
      </w:hyperlink>
      <w:r w:rsidRPr="007C7A97">
        <w:rPr>
          <w:rFonts w:ascii="Arial" w:hAnsi="Arial" w:cs="Arial"/>
          <w:sz w:val="22"/>
          <w:szCs w:val="22"/>
        </w:rPr>
        <w:t xml:space="preserve"> (Accessed: 7 March 2026).</w:t>
      </w:r>
    </w:p>
    <w:p w14:paraId="554B1945"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Hobfoll, S.E. (1989) ‘Conservation of resources’, </w:t>
      </w:r>
      <w:r w:rsidRPr="007C7A97">
        <w:rPr>
          <w:rStyle w:val="Emphasis"/>
          <w:rFonts w:ascii="Arial" w:hAnsi="Arial" w:cs="Arial"/>
          <w:sz w:val="22"/>
          <w:szCs w:val="22"/>
        </w:rPr>
        <w:t>American Psychologist</w:t>
      </w:r>
      <w:r w:rsidRPr="007C7A97">
        <w:rPr>
          <w:rFonts w:ascii="Arial" w:hAnsi="Arial" w:cs="Arial"/>
          <w:sz w:val="22"/>
          <w:szCs w:val="22"/>
        </w:rPr>
        <w:t>, 44(3), pp. 513–524.</w:t>
      </w:r>
    </w:p>
    <w:p w14:paraId="3D15526B"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Hochschild, A.R. (1983) </w:t>
      </w:r>
      <w:r w:rsidRPr="007C7A97">
        <w:rPr>
          <w:rStyle w:val="Emphasis"/>
          <w:rFonts w:ascii="Arial" w:hAnsi="Arial" w:cs="Arial"/>
          <w:sz w:val="22"/>
          <w:szCs w:val="22"/>
        </w:rPr>
        <w:t>The managed heart</w:t>
      </w:r>
      <w:r w:rsidRPr="007C7A97">
        <w:rPr>
          <w:rFonts w:ascii="Arial" w:hAnsi="Arial" w:cs="Arial"/>
          <w:sz w:val="22"/>
          <w:szCs w:val="22"/>
        </w:rPr>
        <w:t>. Berkeley: University of California Press.</w:t>
      </w:r>
    </w:p>
    <w:p w14:paraId="7607B15A"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lastRenderedPageBreak/>
        <w:t xml:space="preserve">Hülsheger, U.R. </w:t>
      </w:r>
      <w:r w:rsidRPr="00D9095B">
        <w:rPr>
          <w:rFonts w:ascii="Arial" w:hAnsi="Arial" w:cs="Arial"/>
          <w:i/>
          <w:iCs/>
          <w:sz w:val="22"/>
          <w:szCs w:val="22"/>
        </w:rPr>
        <w:t>et al</w:t>
      </w:r>
      <w:r w:rsidRPr="007C7A97">
        <w:rPr>
          <w:rFonts w:ascii="Arial" w:hAnsi="Arial" w:cs="Arial"/>
          <w:sz w:val="22"/>
          <w:szCs w:val="22"/>
        </w:rPr>
        <w:t xml:space="preserve">. (2013) ‘Benefits of mindfulness at work’, </w:t>
      </w:r>
      <w:r w:rsidRPr="007C7A97">
        <w:rPr>
          <w:rStyle w:val="Emphasis"/>
          <w:rFonts w:ascii="Arial" w:hAnsi="Arial" w:cs="Arial"/>
          <w:sz w:val="22"/>
          <w:szCs w:val="22"/>
        </w:rPr>
        <w:t>Journal of Applied Psychology</w:t>
      </w:r>
      <w:r w:rsidRPr="007C7A97">
        <w:rPr>
          <w:rFonts w:ascii="Arial" w:hAnsi="Arial" w:cs="Arial"/>
          <w:sz w:val="22"/>
          <w:szCs w:val="22"/>
        </w:rPr>
        <w:t>, 98(2), pp. 310–325.</w:t>
      </w:r>
    </w:p>
    <w:p w14:paraId="202BCBC6"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Jesson, J., Matheson, L. and Lacey, F.M. (2011) </w:t>
      </w:r>
      <w:r w:rsidRPr="007C7A97">
        <w:rPr>
          <w:rStyle w:val="Emphasis"/>
          <w:rFonts w:ascii="Arial" w:hAnsi="Arial" w:cs="Arial"/>
          <w:sz w:val="22"/>
          <w:szCs w:val="22"/>
        </w:rPr>
        <w:t>Doing your literature review: traditional and systematic techniques</w:t>
      </w:r>
      <w:r w:rsidRPr="007C7A97">
        <w:rPr>
          <w:rFonts w:ascii="Arial" w:hAnsi="Arial" w:cs="Arial"/>
          <w:sz w:val="22"/>
          <w:szCs w:val="22"/>
        </w:rPr>
        <w:t>. London: Sage.</w:t>
      </w:r>
    </w:p>
    <w:p w14:paraId="4B352AFE"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Kitchenham, B. and Charters, S. (2007) </w:t>
      </w:r>
      <w:r w:rsidRPr="007C7A97">
        <w:rPr>
          <w:rStyle w:val="Emphasis"/>
          <w:rFonts w:ascii="Arial" w:hAnsi="Arial" w:cs="Arial"/>
          <w:sz w:val="22"/>
          <w:szCs w:val="22"/>
        </w:rPr>
        <w:t>Guidelines for performing systematic literature reviews in software engineering</w:t>
      </w:r>
      <w:r w:rsidRPr="007C7A97">
        <w:rPr>
          <w:rFonts w:ascii="Arial" w:hAnsi="Arial" w:cs="Arial"/>
          <w:sz w:val="22"/>
          <w:szCs w:val="22"/>
        </w:rPr>
        <w:t>. Durham: Durham University.</w:t>
      </w:r>
    </w:p>
    <w:p w14:paraId="51BF37BA"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Kinman, G. and Teoh, K. (2018) </w:t>
      </w:r>
      <w:r w:rsidRPr="007C7A97">
        <w:rPr>
          <w:rStyle w:val="Emphasis"/>
          <w:rFonts w:ascii="Arial" w:hAnsi="Arial" w:cs="Arial"/>
          <w:sz w:val="22"/>
          <w:szCs w:val="22"/>
        </w:rPr>
        <w:t>What could make a difference to the mental health of UK doctors?</w:t>
      </w:r>
      <w:r w:rsidRPr="007C7A97">
        <w:rPr>
          <w:rFonts w:ascii="Arial" w:hAnsi="Arial" w:cs="Arial"/>
          <w:sz w:val="22"/>
          <w:szCs w:val="22"/>
        </w:rPr>
        <w:t xml:space="preserve"> London: Society of Occupational Medicine. Available at: </w:t>
      </w:r>
      <w:hyperlink r:id="rId25" w:history="1">
        <w:r w:rsidRPr="007C7A97">
          <w:rPr>
            <w:rStyle w:val="Hyperlink"/>
            <w:rFonts w:ascii="Arial" w:hAnsi="Arial" w:cs="Arial"/>
            <w:sz w:val="22"/>
            <w:szCs w:val="22"/>
          </w:rPr>
          <w:t>https://eprints.bbk.ac.uk/id/eprint/24540/</w:t>
        </w:r>
      </w:hyperlink>
      <w:r w:rsidRPr="007C7A97">
        <w:rPr>
          <w:rFonts w:ascii="Arial" w:hAnsi="Arial" w:cs="Arial"/>
          <w:sz w:val="22"/>
          <w:szCs w:val="22"/>
        </w:rPr>
        <w:t xml:space="preserve"> (Accessed: 5 March 2026).</w:t>
      </w:r>
    </w:p>
    <w:p w14:paraId="2FC9B22A"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Kurtessis, J.N.</w:t>
      </w:r>
      <w:r w:rsidRPr="00D9095B">
        <w:rPr>
          <w:rFonts w:ascii="Arial" w:hAnsi="Arial" w:cs="Arial"/>
          <w:i/>
          <w:iCs/>
          <w:sz w:val="22"/>
          <w:szCs w:val="22"/>
        </w:rPr>
        <w:t xml:space="preserve"> et al</w:t>
      </w:r>
      <w:r w:rsidRPr="007C7A97">
        <w:rPr>
          <w:rFonts w:ascii="Arial" w:hAnsi="Arial" w:cs="Arial"/>
          <w:sz w:val="22"/>
          <w:szCs w:val="22"/>
        </w:rPr>
        <w:t xml:space="preserve">. (2017) ‘Perceived organisational support: a meta-analytic evaluation of organisational support theory’, </w:t>
      </w:r>
      <w:r w:rsidRPr="007C7A97">
        <w:rPr>
          <w:rStyle w:val="Emphasis"/>
          <w:rFonts w:ascii="Arial" w:hAnsi="Arial" w:cs="Arial"/>
          <w:sz w:val="22"/>
          <w:szCs w:val="22"/>
        </w:rPr>
        <w:t>Journal of Management</w:t>
      </w:r>
      <w:r w:rsidRPr="007C7A97">
        <w:rPr>
          <w:rFonts w:ascii="Arial" w:hAnsi="Arial" w:cs="Arial"/>
          <w:sz w:val="22"/>
          <w:szCs w:val="22"/>
        </w:rPr>
        <w:t>, 43(6), pp. 1854–1884.</w:t>
      </w:r>
    </w:p>
    <w:p w14:paraId="67C4B5B2"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Machi, L.A. and McEvoy, B.T. (2016) </w:t>
      </w:r>
      <w:r w:rsidRPr="007C7A97">
        <w:rPr>
          <w:rStyle w:val="Emphasis"/>
          <w:rFonts w:ascii="Arial" w:hAnsi="Arial" w:cs="Arial"/>
          <w:sz w:val="22"/>
          <w:szCs w:val="22"/>
        </w:rPr>
        <w:t>The literature review: six steps to success</w:t>
      </w:r>
      <w:r w:rsidRPr="007C7A97">
        <w:rPr>
          <w:rFonts w:ascii="Arial" w:hAnsi="Arial" w:cs="Arial"/>
          <w:sz w:val="22"/>
          <w:szCs w:val="22"/>
        </w:rPr>
        <w:t>. 3rd edn. Thousand Oaks: Corwin Press.</w:t>
      </w:r>
    </w:p>
    <w:p w14:paraId="007B4F99"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Maslach, C., Jackson, S.E. and Leiter, M.P. (1996) </w:t>
      </w:r>
      <w:r w:rsidRPr="007C7A97">
        <w:rPr>
          <w:rStyle w:val="Emphasis"/>
          <w:rFonts w:ascii="Arial" w:hAnsi="Arial" w:cs="Arial"/>
          <w:sz w:val="22"/>
          <w:szCs w:val="22"/>
        </w:rPr>
        <w:t>Maslach burnout inventory manual</w:t>
      </w:r>
      <w:r w:rsidRPr="007C7A97">
        <w:rPr>
          <w:rFonts w:ascii="Arial" w:hAnsi="Arial" w:cs="Arial"/>
          <w:sz w:val="22"/>
          <w:szCs w:val="22"/>
        </w:rPr>
        <w:t>. 3rd edn. Palo Alto: Consulting Psychologists Press.</w:t>
      </w:r>
    </w:p>
    <w:p w14:paraId="15A96392"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Maslach, C. and Leiter, M.P. (2008) ‘Early predictors of job burnout’, </w:t>
      </w:r>
      <w:r w:rsidRPr="007C7A97">
        <w:rPr>
          <w:rStyle w:val="Emphasis"/>
          <w:rFonts w:ascii="Arial" w:hAnsi="Arial" w:cs="Arial"/>
          <w:sz w:val="22"/>
          <w:szCs w:val="22"/>
        </w:rPr>
        <w:t>Journal of Applied Psychology</w:t>
      </w:r>
      <w:r w:rsidRPr="007C7A97">
        <w:rPr>
          <w:rFonts w:ascii="Arial" w:hAnsi="Arial" w:cs="Arial"/>
          <w:sz w:val="22"/>
          <w:szCs w:val="22"/>
        </w:rPr>
        <w:t>, 93(3), pp. 498–512.</w:t>
      </w:r>
    </w:p>
    <w:p w14:paraId="1E5D9A5B"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Maslach, C. and Leiter, M.P. (2016) ‘Understanding the burnout experience: recent research and its implications for psychiatry’, </w:t>
      </w:r>
      <w:r w:rsidRPr="007C7A97">
        <w:rPr>
          <w:rStyle w:val="Emphasis"/>
          <w:rFonts w:ascii="Arial" w:hAnsi="Arial" w:cs="Arial"/>
          <w:sz w:val="22"/>
          <w:szCs w:val="22"/>
        </w:rPr>
        <w:t>World Psychiatry</w:t>
      </w:r>
      <w:r w:rsidRPr="007C7A97">
        <w:rPr>
          <w:rFonts w:ascii="Arial" w:hAnsi="Arial" w:cs="Arial"/>
          <w:sz w:val="22"/>
          <w:szCs w:val="22"/>
        </w:rPr>
        <w:t>, 15(2), pp. 103–111.</w:t>
      </w:r>
    </w:p>
    <w:p w14:paraId="07F74A86"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Management of Health and Safety at Work Regulations 1999. London: HMSO. Available at: </w:t>
      </w:r>
      <w:hyperlink r:id="rId26" w:history="1">
        <w:r w:rsidRPr="007C7A97">
          <w:rPr>
            <w:rStyle w:val="Hyperlink"/>
            <w:rFonts w:ascii="Arial" w:hAnsi="Arial" w:cs="Arial"/>
            <w:sz w:val="22"/>
            <w:szCs w:val="22"/>
          </w:rPr>
          <w:t>https://www.legislation.gov.uk/uksi/1999/3242/contents</w:t>
        </w:r>
      </w:hyperlink>
      <w:r w:rsidRPr="007C7A97">
        <w:rPr>
          <w:rFonts w:ascii="Arial" w:hAnsi="Arial" w:cs="Arial"/>
          <w:sz w:val="22"/>
          <w:szCs w:val="22"/>
        </w:rPr>
        <w:t xml:space="preserve"> (Accessed: 7 March 2026).</w:t>
      </w:r>
    </w:p>
    <w:p w14:paraId="34F2AE04"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Mealer, M.</w:t>
      </w:r>
      <w:r w:rsidRPr="00A6764D">
        <w:rPr>
          <w:rFonts w:ascii="Arial" w:hAnsi="Arial" w:cs="Arial"/>
          <w:i/>
          <w:iCs/>
          <w:sz w:val="22"/>
          <w:szCs w:val="22"/>
        </w:rPr>
        <w:t xml:space="preserve"> et al</w:t>
      </w:r>
      <w:r w:rsidRPr="007C7A97">
        <w:rPr>
          <w:rFonts w:ascii="Arial" w:hAnsi="Arial" w:cs="Arial"/>
          <w:sz w:val="22"/>
          <w:szCs w:val="22"/>
        </w:rPr>
        <w:t xml:space="preserve">. (2009) ‘Burnout syndrome in critical care nurses’, </w:t>
      </w:r>
      <w:r w:rsidRPr="007C7A97">
        <w:rPr>
          <w:rStyle w:val="Emphasis"/>
          <w:rFonts w:ascii="Arial" w:hAnsi="Arial" w:cs="Arial"/>
          <w:sz w:val="22"/>
          <w:szCs w:val="22"/>
        </w:rPr>
        <w:t>American Journal of Critical Care</w:t>
      </w:r>
      <w:r w:rsidRPr="007C7A97">
        <w:rPr>
          <w:rFonts w:ascii="Arial" w:hAnsi="Arial" w:cs="Arial"/>
          <w:sz w:val="22"/>
          <w:szCs w:val="22"/>
        </w:rPr>
        <w:t>, 18(3), pp. 200–208.</w:t>
      </w:r>
    </w:p>
    <w:p w14:paraId="5D0A9B8B"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Membrive-Jiménez, M.J. et al. (2020) ‘Burnout in nursing managers’, </w:t>
      </w:r>
      <w:r w:rsidRPr="007C7A97">
        <w:rPr>
          <w:rStyle w:val="Emphasis"/>
          <w:rFonts w:ascii="Arial" w:hAnsi="Arial" w:cs="Arial"/>
          <w:sz w:val="22"/>
          <w:szCs w:val="22"/>
        </w:rPr>
        <w:t>International Journal of Environmental Research and Public Health</w:t>
      </w:r>
      <w:r w:rsidRPr="007C7A97">
        <w:rPr>
          <w:rFonts w:ascii="Arial" w:hAnsi="Arial" w:cs="Arial"/>
          <w:sz w:val="22"/>
          <w:szCs w:val="22"/>
        </w:rPr>
        <w:t>, 17(11), p. 3983.</w:t>
      </w:r>
    </w:p>
    <w:p w14:paraId="7AFDFBA5"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Moher, D. </w:t>
      </w:r>
      <w:r w:rsidRPr="00A6764D">
        <w:rPr>
          <w:rFonts w:ascii="Arial" w:hAnsi="Arial" w:cs="Arial"/>
          <w:i/>
          <w:iCs/>
          <w:sz w:val="22"/>
          <w:szCs w:val="22"/>
        </w:rPr>
        <w:t>et al</w:t>
      </w:r>
      <w:r w:rsidRPr="007C7A97">
        <w:rPr>
          <w:rFonts w:ascii="Arial" w:hAnsi="Arial" w:cs="Arial"/>
          <w:sz w:val="22"/>
          <w:szCs w:val="22"/>
        </w:rPr>
        <w:t xml:space="preserve">. (2009) ‘Preferred reporting items for systematic reviews and meta-analyses: the PRISMA statement’, </w:t>
      </w:r>
      <w:r w:rsidRPr="007C7A97">
        <w:rPr>
          <w:rStyle w:val="Emphasis"/>
          <w:rFonts w:ascii="Arial" w:hAnsi="Arial" w:cs="Arial"/>
          <w:sz w:val="22"/>
          <w:szCs w:val="22"/>
        </w:rPr>
        <w:t>PLoS Medicine</w:t>
      </w:r>
      <w:r w:rsidRPr="007C7A97">
        <w:rPr>
          <w:rFonts w:ascii="Arial" w:hAnsi="Arial" w:cs="Arial"/>
          <w:sz w:val="22"/>
          <w:szCs w:val="22"/>
        </w:rPr>
        <w:t xml:space="preserve">, 6(7). Available at: </w:t>
      </w:r>
      <w:hyperlink r:id="rId27" w:history="1">
        <w:r w:rsidRPr="007C7A97">
          <w:rPr>
            <w:rStyle w:val="Hyperlink"/>
            <w:rFonts w:ascii="Arial" w:hAnsi="Arial" w:cs="Arial"/>
            <w:sz w:val="22"/>
            <w:szCs w:val="22"/>
          </w:rPr>
          <w:t>https://doi.org/10.1371/journal.pmed.1000097</w:t>
        </w:r>
      </w:hyperlink>
    </w:p>
    <w:p w14:paraId="7CABF0DC"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lastRenderedPageBreak/>
        <w:t>Montgomery, A.</w:t>
      </w:r>
      <w:r w:rsidRPr="00A6764D">
        <w:rPr>
          <w:rFonts w:ascii="Arial" w:hAnsi="Arial" w:cs="Arial"/>
          <w:i/>
          <w:iCs/>
          <w:sz w:val="22"/>
          <w:szCs w:val="22"/>
        </w:rPr>
        <w:t xml:space="preserve"> et al</w:t>
      </w:r>
      <w:r w:rsidRPr="007C7A97">
        <w:rPr>
          <w:rFonts w:ascii="Arial" w:hAnsi="Arial" w:cs="Arial"/>
          <w:sz w:val="22"/>
          <w:szCs w:val="22"/>
        </w:rPr>
        <w:t xml:space="preserve">. (2019) ‘Burnout in healthcare: the case for organisational change’, </w:t>
      </w:r>
      <w:r w:rsidRPr="007C7A97">
        <w:rPr>
          <w:rStyle w:val="Emphasis"/>
          <w:rFonts w:ascii="Arial" w:hAnsi="Arial" w:cs="Arial"/>
          <w:sz w:val="22"/>
          <w:szCs w:val="22"/>
        </w:rPr>
        <w:t>BMJ</w:t>
      </w:r>
      <w:r w:rsidRPr="007C7A97">
        <w:rPr>
          <w:rFonts w:ascii="Arial" w:hAnsi="Arial" w:cs="Arial"/>
          <w:sz w:val="22"/>
          <w:szCs w:val="22"/>
        </w:rPr>
        <w:t>, 366, l4774.</w:t>
      </w:r>
    </w:p>
    <w:p w14:paraId="6B4414CA"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Moss, M. (2025) ‘Mitigating burnout: the role of healthcare organizations’, </w:t>
      </w:r>
      <w:r w:rsidRPr="007C7A97">
        <w:rPr>
          <w:rStyle w:val="Emphasis"/>
          <w:rFonts w:ascii="Arial" w:hAnsi="Arial" w:cs="Arial"/>
          <w:sz w:val="22"/>
          <w:szCs w:val="22"/>
        </w:rPr>
        <w:t>ATS Scholar</w:t>
      </w:r>
      <w:r w:rsidRPr="007C7A97">
        <w:rPr>
          <w:rFonts w:ascii="Arial" w:hAnsi="Arial" w:cs="Arial"/>
          <w:sz w:val="22"/>
          <w:szCs w:val="22"/>
        </w:rPr>
        <w:t xml:space="preserve">, 6(3), pp. 267–279. Available at: </w:t>
      </w:r>
      <w:hyperlink r:id="rId28" w:history="1">
        <w:r w:rsidRPr="007C7A97">
          <w:rPr>
            <w:rStyle w:val="Hyperlink"/>
            <w:rFonts w:ascii="Arial" w:hAnsi="Arial" w:cs="Arial"/>
            <w:sz w:val="22"/>
            <w:szCs w:val="22"/>
          </w:rPr>
          <w:t>https://doi.org/10.34197/ats-scholar.2024-0153PS</w:t>
        </w:r>
      </w:hyperlink>
    </w:p>
    <w:p w14:paraId="2DDE86BD"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NHS England (2021) </w:t>
      </w:r>
      <w:r w:rsidRPr="007C7A97">
        <w:rPr>
          <w:rStyle w:val="Emphasis"/>
          <w:rFonts w:ascii="Arial" w:hAnsi="Arial" w:cs="Arial"/>
          <w:sz w:val="22"/>
          <w:szCs w:val="22"/>
        </w:rPr>
        <w:t>NHS health and wellbeing framework</w:t>
      </w:r>
      <w:r w:rsidRPr="007C7A97">
        <w:rPr>
          <w:rFonts w:ascii="Arial" w:hAnsi="Arial" w:cs="Arial"/>
          <w:sz w:val="22"/>
          <w:szCs w:val="22"/>
        </w:rPr>
        <w:t>.</w:t>
      </w:r>
      <w:r>
        <w:rPr>
          <w:rFonts w:ascii="Arial" w:hAnsi="Arial" w:cs="Arial"/>
          <w:sz w:val="22"/>
          <w:szCs w:val="22"/>
        </w:rPr>
        <w:t xml:space="preserve"> Available at: </w:t>
      </w:r>
      <w:hyperlink r:id="rId29" w:history="1">
        <w:r w:rsidRPr="007F20A4">
          <w:rPr>
            <w:rStyle w:val="Hyperlink"/>
            <w:rFonts w:ascii="Arial" w:hAnsi="Arial" w:cs="Arial"/>
            <w:sz w:val="22"/>
            <w:szCs w:val="22"/>
          </w:rPr>
          <w:t>https://www.nhsemployers.org/publications/nhs-health-and-wellbeing-framework</w:t>
        </w:r>
      </w:hyperlink>
      <w:r>
        <w:rPr>
          <w:rFonts w:ascii="Arial" w:hAnsi="Arial" w:cs="Arial"/>
          <w:sz w:val="22"/>
          <w:szCs w:val="22"/>
        </w:rPr>
        <w:t xml:space="preserve"> (Accessed: 6 March 2026).</w:t>
      </w:r>
    </w:p>
    <w:p w14:paraId="4CE3D627" w14:textId="7694AB22"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NHS Employers (202</w:t>
      </w:r>
      <w:r w:rsidR="00087CE5">
        <w:rPr>
          <w:rFonts w:ascii="Arial" w:hAnsi="Arial" w:cs="Arial"/>
          <w:sz w:val="22"/>
          <w:szCs w:val="22"/>
        </w:rPr>
        <w:t>4</w:t>
      </w:r>
      <w:r w:rsidRPr="007C7A97">
        <w:rPr>
          <w:rFonts w:ascii="Arial" w:hAnsi="Arial" w:cs="Arial"/>
          <w:sz w:val="22"/>
          <w:szCs w:val="22"/>
        </w:rPr>
        <w:t xml:space="preserve">) </w:t>
      </w:r>
      <w:r w:rsidRPr="007C7A97">
        <w:rPr>
          <w:rStyle w:val="Emphasis"/>
          <w:rFonts w:ascii="Arial" w:hAnsi="Arial" w:cs="Arial"/>
          <w:sz w:val="22"/>
          <w:szCs w:val="22"/>
        </w:rPr>
        <w:t>NHS staff survey results: work-related stress</w:t>
      </w:r>
      <w:r w:rsidRPr="007C7A97">
        <w:rPr>
          <w:rFonts w:ascii="Arial" w:hAnsi="Arial" w:cs="Arial"/>
          <w:sz w:val="22"/>
          <w:szCs w:val="22"/>
        </w:rPr>
        <w:t xml:space="preserve">. Available at: </w:t>
      </w:r>
      <w:hyperlink r:id="rId30" w:history="1">
        <w:r w:rsidRPr="007C7A97">
          <w:rPr>
            <w:rStyle w:val="Hyperlink"/>
            <w:rFonts w:ascii="Arial" w:hAnsi="Arial" w:cs="Arial"/>
            <w:sz w:val="22"/>
            <w:szCs w:val="22"/>
          </w:rPr>
          <w:t>https://www.nhsemployers.org</w:t>
        </w:r>
      </w:hyperlink>
      <w:r w:rsidRPr="007C7A97">
        <w:rPr>
          <w:rFonts w:ascii="Arial" w:hAnsi="Arial" w:cs="Arial"/>
          <w:sz w:val="22"/>
          <w:szCs w:val="22"/>
        </w:rPr>
        <w:t xml:space="preserve"> (Accessed: 8 March 2026).</w:t>
      </w:r>
    </w:p>
    <w:p w14:paraId="5B9B79AC"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Nowell, L.S. </w:t>
      </w:r>
      <w:r w:rsidRPr="00A6764D">
        <w:rPr>
          <w:rFonts w:ascii="Arial" w:hAnsi="Arial" w:cs="Arial"/>
          <w:i/>
          <w:iCs/>
          <w:sz w:val="22"/>
          <w:szCs w:val="22"/>
        </w:rPr>
        <w:t>et al.</w:t>
      </w:r>
      <w:r w:rsidRPr="007C7A97">
        <w:rPr>
          <w:rFonts w:ascii="Arial" w:hAnsi="Arial" w:cs="Arial"/>
          <w:sz w:val="22"/>
          <w:szCs w:val="22"/>
        </w:rPr>
        <w:t xml:space="preserve"> (2017) ‘Thematic analysis: striving to meet the trustworthiness criteria’, </w:t>
      </w:r>
      <w:r w:rsidRPr="007C7A97">
        <w:rPr>
          <w:rStyle w:val="Emphasis"/>
          <w:rFonts w:ascii="Arial" w:hAnsi="Arial" w:cs="Arial"/>
          <w:sz w:val="22"/>
          <w:szCs w:val="22"/>
        </w:rPr>
        <w:t>International Journal of Qualitative Methods</w:t>
      </w:r>
      <w:r w:rsidRPr="007C7A97">
        <w:rPr>
          <w:rFonts w:ascii="Arial" w:hAnsi="Arial" w:cs="Arial"/>
          <w:sz w:val="22"/>
          <w:szCs w:val="22"/>
        </w:rPr>
        <w:t xml:space="preserve">, 16(1), pp. 1–13. Available at: </w:t>
      </w:r>
      <w:hyperlink r:id="rId31" w:history="1">
        <w:r w:rsidRPr="007C7A97">
          <w:rPr>
            <w:rStyle w:val="Hyperlink"/>
            <w:rFonts w:ascii="Arial" w:hAnsi="Arial" w:cs="Arial"/>
            <w:sz w:val="22"/>
            <w:szCs w:val="22"/>
          </w:rPr>
          <w:t>https://doi.org/10.1177/1609406917733847</w:t>
        </w:r>
      </w:hyperlink>
    </w:p>
    <w:p w14:paraId="76979DB6"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O’Connor, K., Neff, D.M. and Pitman, S. (2018) ‘Burnout in mental health professionals’, </w:t>
      </w:r>
      <w:r w:rsidRPr="007C7A97">
        <w:rPr>
          <w:rStyle w:val="Emphasis"/>
          <w:rFonts w:ascii="Arial" w:hAnsi="Arial" w:cs="Arial"/>
          <w:sz w:val="22"/>
          <w:szCs w:val="22"/>
        </w:rPr>
        <w:t>European Psychiatry</w:t>
      </w:r>
      <w:r w:rsidRPr="007C7A97">
        <w:rPr>
          <w:rFonts w:ascii="Arial" w:hAnsi="Arial" w:cs="Arial"/>
          <w:sz w:val="22"/>
          <w:szCs w:val="22"/>
        </w:rPr>
        <w:t>, 53, pp. 74–99.</w:t>
      </w:r>
    </w:p>
    <w:p w14:paraId="318A5457"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Pappa, S. </w:t>
      </w:r>
      <w:r w:rsidRPr="00A6764D">
        <w:rPr>
          <w:rFonts w:ascii="Arial" w:hAnsi="Arial" w:cs="Arial"/>
          <w:i/>
          <w:iCs/>
          <w:sz w:val="22"/>
          <w:szCs w:val="22"/>
        </w:rPr>
        <w:t>et al</w:t>
      </w:r>
      <w:r w:rsidRPr="007C7A97">
        <w:rPr>
          <w:rFonts w:ascii="Arial" w:hAnsi="Arial" w:cs="Arial"/>
          <w:sz w:val="22"/>
          <w:szCs w:val="22"/>
        </w:rPr>
        <w:t xml:space="preserve">. (2020) ‘Prevalence of depression, anxiety and insomnia among healthcare workers during the COVID-19 pandemic’, </w:t>
      </w:r>
      <w:r w:rsidRPr="007C7A97">
        <w:rPr>
          <w:rStyle w:val="Emphasis"/>
          <w:rFonts w:ascii="Arial" w:hAnsi="Arial" w:cs="Arial"/>
          <w:sz w:val="22"/>
          <w:szCs w:val="22"/>
        </w:rPr>
        <w:t>Brain, Behaviour, and Immunity</w:t>
      </w:r>
      <w:r w:rsidRPr="007C7A97">
        <w:rPr>
          <w:rFonts w:ascii="Arial" w:hAnsi="Arial" w:cs="Arial"/>
          <w:sz w:val="22"/>
          <w:szCs w:val="22"/>
        </w:rPr>
        <w:t xml:space="preserve">, 88, pp. 901–907. Available at: </w:t>
      </w:r>
      <w:hyperlink r:id="rId32" w:history="1">
        <w:r w:rsidRPr="007C7A97">
          <w:rPr>
            <w:rStyle w:val="Hyperlink"/>
            <w:rFonts w:ascii="Arial" w:hAnsi="Arial" w:cs="Arial"/>
            <w:sz w:val="22"/>
            <w:szCs w:val="22"/>
          </w:rPr>
          <w:t>https://doi.org/10.1016/j.bbi.2020.05.026</w:t>
        </w:r>
      </w:hyperlink>
    </w:p>
    <w:p w14:paraId="22D265CC"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Partridge, B.L. </w:t>
      </w:r>
      <w:r w:rsidRPr="00A6764D">
        <w:rPr>
          <w:rFonts w:ascii="Arial" w:hAnsi="Arial" w:cs="Arial"/>
          <w:i/>
          <w:iCs/>
          <w:sz w:val="22"/>
          <w:szCs w:val="22"/>
        </w:rPr>
        <w:t>et al</w:t>
      </w:r>
      <w:r w:rsidRPr="007C7A97">
        <w:rPr>
          <w:rFonts w:ascii="Arial" w:hAnsi="Arial" w:cs="Arial"/>
          <w:sz w:val="22"/>
          <w:szCs w:val="22"/>
        </w:rPr>
        <w:t xml:space="preserve">. (2024) ‘Burnout amongst chiropractic faculty, practitioners, and trainees: a scoping review’, </w:t>
      </w:r>
      <w:r w:rsidRPr="007C7A97">
        <w:rPr>
          <w:rStyle w:val="Emphasis"/>
          <w:rFonts w:ascii="Arial" w:hAnsi="Arial" w:cs="Arial"/>
          <w:sz w:val="22"/>
          <w:szCs w:val="22"/>
        </w:rPr>
        <w:t>Chiropractic &amp; Manual Therapies</w:t>
      </w:r>
      <w:r w:rsidRPr="007C7A97">
        <w:rPr>
          <w:rFonts w:ascii="Arial" w:hAnsi="Arial" w:cs="Arial"/>
          <w:sz w:val="22"/>
          <w:szCs w:val="22"/>
        </w:rPr>
        <w:t xml:space="preserve">, 32, p. 29. Available at: </w:t>
      </w:r>
      <w:hyperlink r:id="rId33" w:history="1">
        <w:r w:rsidRPr="007C7A97">
          <w:rPr>
            <w:rStyle w:val="Hyperlink"/>
            <w:rFonts w:ascii="Arial" w:hAnsi="Arial" w:cs="Arial"/>
            <w:sz w:val="22"/>
            <w:szCs w:val="22"/>
          </w:rPr>
          <w:t>https://doi.org/10.1186/s12998-024-00550-3</w:t>
        </w:r>
      </w:hyperlink>
    </w:p>
    <w:p w14:paraId="7C9814ED"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Portoghese, I.</w:t>
      </w:r>
      <w:r w:rsidRPr="00001390">
        <w:rPr>
          <w:rFonts w:ascii="Arial" w:hAnsi="Arial" w:cs="Arial"/>
          <w:i/>
          <w:iCs/>
          <w:sz w:val="22"/>
          <w:szCs w:val="22"/>
        </w:rPr>
        <w:t xml:space="preserve"> et al</w:t>
      </w:r>
      <w:r w:rsidRPr="007C7A97">
        <w:rPr>
          <w:rFonts w:ascii="Arial" w:hAnsi="Arial" w:cs="Arial"/>
          <w:sz w:val="22"/>
          <w:szCs w:val="22"/>
        </w:rPr>
        <w:t xml:space="preserve">. (2014) ‘Burnout and workload among healthcare workers’, </w:t>
      </w:r>
      <w:r w:rsidRPr="007C7A97">
        <w:rPr>
          <w:rStyle w:val="Emphasis"/>
          <w:rFonts w:ascii="Arial" w:hAnsi="Arial" w:cs="Arial"/>
          <w:sz w:val="22"/>
          <w:szCs w:val="22"/>
        </w:rPr>
        <w:t>Safety and Health at Work</w:t>
      </w:r>
      <w:r w:rsidRPr="007C7A97">
        <w:rPr>
          <w:rFonts w:ascii="Arial" w:hAnsi="Arial" w:cs="Arial"/>
          <w:sz w:val="22"/>
          <w:szCs w:val="22"/>
        </w:rPr>
        <w:t>, 5(3), pp. 152–157.</w:t>
      </w:r>
    </w:p>
    <w:p w14:paraId="7167D5C9"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Ravalier, J. (2022) </w:t>
      </w:r>
      <w:r w:rsidRPr="007C7A97">
        <w:rPr>
          <w:rStyle w:val="Emphasis"/>
          <w:rFonts w:ascii="Arial" w:hAnsi="Arial" w:cs="Arial"/>
          <w:sz w:val="22"/>
          <w:szCs w:val="22"/>
        </w:rPr>
        <w:t>Managing stress in health and social care</w:t>
      </w:r>
      <w:r w:rsidRPr="007C7A97">
        <w:rPr>
          <w:rFonts w:ascii="Arial" w:hAnsi="Arial" w:cs="Arial"/>
          <w:sz w:val="22"/>
          <w:szCs w:val="22"/>
        </w:rPr>
        <w:t>. London: Routledge.</w:t>
      </w:r>
    </w:p>
    <w:p w14:paraId="37816C71"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Resnik, D.B. (2020) </w:t>
      </w:r>
      <w:r w:rsidRPr="007C7A97">
        <w:rPr>
          <w:rStyle w:val="Emphasis"/>
          <w:rFonts w:ascii="Arial" w:hAnsi="Arial" w:cs="Arial"/>
          <w:sz w:val="22"/>
          <w:szCs w:val="22"/>
        </w:rPr>
        <w:t>The ethics of research with human subjects</w:t>
      </w:r>
      <w:r w:rsidRPr="007C7A97">
        <w:rPr>
          <w:rFonts w:ascii="Arial" w:hAnsi="Arial" w:cs="Arial"/>
          <w:sz w:val="22"/>
          <w:szCs w:val="22"/>
        </w:rPr>
        <w:t>. Cham: Springer.</w:t>
      </w:r>
    </w:p>
    <w:p w14:paraId="7B29FE98"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Rotenstein, L.S.</w:t>
      </w:r>
      <w:r w:rsidRPr="00001390">
        <w:rPr>
          <w:rFonts w:ascii="Arial" w:hAnsi="Arial" w:cs="Arial"/>
          <w:i/>
          <w:iCs/>
          <w:sz w:val="22"/>
          <w:szCs w:val="22"/>
        </w:rPr>
        <w:t xml:space="preserve"> et al</w:t>
      </w:r>
      <w:r w:rsidRPr="007C7A97">
        <w:rPr>
          <w:rFonts w:ascii="Arial" w:hAnsi="Arial" w:cs="Arial"/>
          <w:sz w:val="22"/>
          <w:szCs w:val="22"/>
        </w:rPr>
        <w:t xml:space="preserve">. (2018) ‘Prevalence of burnout among physicians: a systematic review’, </w:t>
      </w:r>
      <w:r w:rsidRPr="007C7A97">
        <w:rPr>
          <w:rStyle w:val="Emphasis"/>
          <w:rFonts w:ascii="Arial" w:hAnsi="Arial" w:cs="Arial"/>
          <w:sz w:val="22"/>
          <w:szCs w:val="22"/>
        </w:rPr>
        <w:t>JAMA</w:t>
      </w:r>
      <w:r w:rsidRPr="007C7A97">
        <w:rPr>
          <w:rFonts w:ascii="Arial" w:hAnsi="Arial" w:cs="Arial"/>
          <w:sz w:val="22"/>
          <w:szCs w:val="22"/>
        </w:rPr>
        <w:t xml:space="preserve">, 320(11), pp. 1131–1150. Available at: </w:t>
      </w:r>
      <w:hyperlink r:id="rId34" w:history="1">
        <w:r w:rsidRPr="007C7A97">
          <w:rPr>
            <w:rStyle w:val="Hyperlink"/>
            <w:rFonts w:ascii="Arial" w:hAnsi="Arial" w:cs="Arial"/>
            <w:sz w:val="22"/>
            <w:szCs w:val="22"/>
          </w:rPr>
          <w:t>https://pubmed.ncbi.nlm.nih.gov/30326495/</w:t>
        </w:r>
      </w:hyperlink>
    </w:p>
    <w:p w14:paraId="1518FB5E"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lastRenderedPageBreak/>
        <w:t xml:space="preserve">Saunders, M., Lewis, P. and Thornhill, A. (2019) </w:t>
      </w:r>
      <w:r w:rsidRPr="007C7A97">
        <w:rPr>
          <w:rStyle w:val="Emphasis"/>
          <w:rFonts w:ascii="Arial" w:hAnsi="Arial" w:cs="Arial"/>
          <w:sz w:val="22"/>
          <w:szCs w:val="22"/>
        </w:rPr>
        <w:t>Research methods for business students</w:t>
      </w:r>
      <w:r w:rsidRPr="007C7A97">
        <w:rPr>
          <w:rFonts w:ascii="Arial" w:hAnsi="Arial" w:cs="Arial"/>
          <w:sz w:val="22"/>
          <w:szCs w:val="22"/>
        </w:rPr>
        <w:t>. 8th edn. Harlow: Pearson.</w:t>
      </w:r>
    </w:p>
    <w:p w14:paraId="7A6FF912"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Schaufeli, W.B., Bakker, A.B. and Van Rhenen, W. (2009) ‘How changes in job demands and resources predict burnout, work engagement and sickness absenteeism’, </w:t>
      </w:r>
      <w:r w:rsidRPr="007C7A97">
        <w:rPr>
          <w:rStyle w:val="Emphasis"/>
          <w:rFonts w:ascii="Arial" w:hAnsi="Arial" w:cs="Arial"/>
          <w:sz w:val="22"/>
          <w:szCs w:val="22"/>
        </w:rPr>
        <w:t>Journal of Organizational Behavior</w:t>
      </w:r>
      <w:r w:rsidRPr="007C7A97">
        <w:rPr>
          <w:rFonts w:ascii="Arial" w:hAnsi="Arial" w:cs="Arial"/>
          <w:sz w:val="22"/>
          <w:szCs w:val="22"/>
        </w:rPr>
        <w:t xml:space="preserve">, 30(7), pp. 893–917. Available at: </w:t>
      </w:r>
      <w:hyperlink r:id="rId35" w:history="1">
        <w:r w:rsidRPr="007C7A97">
          <w:rPr>
            <w:rStyle w:val="Hyperlink"/>
            <w:rFonts w:ascii="Arial" w:hAnsi="Arial" w:cs="Arial"/>
            <w:sz w:val="22"/>
            <w:szCs w:val="22"/>
          </w:rPr>
          <w:t>https://doi.org/10.1002/job.595</w:t>
        </w:r>
      </w:hyperlink>
    </w:p>
    <w:p w14:paraId="34B32306"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Shanafelt, T.D.</w:t>
      </w:r>
      <w:r w:rsidRPr="000D29A4">
        <w:rPr>
          <w:rFonts w:ascii="Arial" w:hAnsi="Arial" w:cs="Arial"/>
          <w:i/>
          <w:iCs/>
          <w:sz w:val="22"/>
          <w:szCs w:val="22"/>
        </w:rPr>
        <w:t xml:space="preserve"> et al</w:t>
      </w:r>
      <w:r w:rsidRPr="007C7A97">
        <w:rPr>
          <w:rFonts w:ascii="Arial" w:hAnsi="Arial" w:cs="Arial"/>
          <w:sz w:val="22"/>
          <w:szCs w:val="22"/>
        </w:rPr>
        <w:t xml:space="preserve">. (2012) ‘Burnout and work-life balance among physicians’, </w:t>
      </w:r>
      <w:r w:rsidRPr="007C7A97">
        <w:rPr>
          <w:rStyle w:val="Emphasis"/>
          <w:rFonts w:ascii="Arial" w:hAnsi="Arial" w:cs="Arial"/>
          <w:sz w:val="22"/>
          <w:szCs w:val="22"/>
        </w:rPr>
        <w:t>Archives of Internal Medicine</w:t>
      </w:r>
      <w:r w:rsidRPr="007C7A97">
        <w:rPr>
          <w:rFonts w:ascii="Arial" w:hAnsi="Arial" w:cs="Arial"/>
          <w:sz w:val="22"/>
          <w:szCs w:val="22"/>
        </w:rPr>
        <w:t>, 172(18), pp. 1377–1385.</w:t>
      </w:r>
    </w:p>
    <w:p w14:paraId="57535DD7"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Shanafelt, T.D., Ripp, J. and Trockel, M. (2020) ‘Understanding sources of anxiety among healthcare professionals’, </w:t>
      </w:r>
      <w:r w:rsidRPr="007C7A97">
        <w:rPr>
          <w:rStyle w:val="Emphasis"/>
          <w:rFonts w:ascii="Arial" w:hAnsi="Arial" w:cs="Arial"/>
          <w:sz w:val="22"/>
          <w:szCs w:val="22"/>
        </w:rPr>
        <w:t>JAMA</w:t>
      </w:r>
      <w:r w:rsidRPr="007C7A97">
        <w:rPr>
          <w:rFonts w:ascii="Arial" w:hAnsi="Arial" w:cs="Arial"/>
          <w:sz w:val="22"/>
          <w:szCs w:val="22"/>
        </w:rPr>
        <w:t>, 323(21), pp. 2133–2134.</w:t>
      </w:r>
    </w:p>
    <w:p w14:paraId="3443F7F1"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Shanafelt, T.D. and Noseworthy, J.H. (2017) ‘Executive leadership and physician well-being: nine organisational strategies to promote engagement and reduce burnout’, </w:t>
      </w:r>
      <w:r w:rsidRPr="007C7A97">
        <w:rPr>
          <w:rStyle w:val="Emphasis"/>
          <w:rFonts w:ascii="Arial" w:hAnsi="Arial" w:cs="Arial"/>
          <w:sz w:val="22"/>
          <w:szCs w:val="22"/>
        </w:rPr>
        <w:t>Mayo Clinic Proceedings</w:t>
      </w:r>
      <w:r w:rsidRPr="007C7A97">
        <w:rPr>
          <w:rFonts w:ascii="Arial" w:hAnsi="Arial" w:cs="Arial"/>
          <w:sz w:val="22"/>
          <w:szCs w:val="22"/>
        </w:rPr>
        <w:t xml:space="preserve">, 92(1), pp. 129–146. Available at: </w:t>
      </w:r>
      <w:hyperlink r:id="rId36" w:history="1">
        <w:r w:rsidRPr="007C7A97">
          <w:rPr>
            <w:rStyle w:val="Hyperlink"/>
            <w:rFonts w:ascii="Arial" w:hAnsi="Arial" w:cs="Arial"/>
            <w:sz w:val="22"/>
            <w:szCs w:val="22"/>
          </w:rPr>
          <w:t>https://doi.org/10.1016/j.mayocp.2016.10.004</w:t>
        </w:r>
      </w:hyperlink>
    </w:p>
    <w:p w14:paraId="2E8BB58A"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Shapiro, S.L. </w:t>
      </w:r>
      <w:r w:rsidRPr="000D29A4">
        <w:rPr>
          <w:rFonts w:ascii="Arial" w:hAnsi="Arial" w:cs="Arial"/>
          <w:i/>
          <w:iCs/>
          <w:sz w:val="22"/>
          <w:szCs w:val="22"/>
        </w:rPr>
        <w:t>et al</w:t>
      </w:r>
      <w:r w:rsidRPr="007C7A97">
        <w:rPr>
          <w:rFonts w:ascii="Arial" w:hAnsi="Arial" w:cs="Arial"/>
          <w:sz w:val="22"/>
          <w:szCs w:val="22"/>
        </w:rPr>
        <w:t xml:space="preserve">. (2005) ‘Mindfulness-based stress reduction’, </w:t>
      </w:r>
      <w:r w:rsidRPr="007C7A97">
        <w:rPr>
          <w:rStyle w:val="Emphasis"/>
          <w:rFonts w:ascii="Arial" w:hAnsi="Arial" w:cs="Arial"/>
          <w:sz w:val="22"/>
          <w:szCs w:val="22"/>
        </w:rPr>
        <w:t>International Journal of Stress Management</w:t>
      </w:r>
      <w:r w:rsidRPr="007C7A97">
        <w:rPr>
          <w:rFonts w:ascii="Arial" w:hAnsi="Arial" w:cs="Arial"/>
          <w:sz w:val="22"/>
          <w:szCs w:val="22"/>
        </w:rPr>
        <w:t>, 12(2), pp. 164–176.</w:t>
      </w:r>
    </w:p>
    <w:p w14:paraId="40C03292"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Snyder, H. (2019) ‘Literature review as a research methodology: an overview and guidelines’, </w:t>
      </w:r>
      <w:r w:rsidRPr="007C7A97">
        <w:rPr>
          <w:rStyle w:val="Emphasis"/>
          <w:rFonts w:ascii="Arial" w:hAnsi="Arial" w:cs="Arial"/>
          <w:sz w:val="22"/>
          <w:szCs w:val="22"/>
        </w:rPr>
        <w:t>Journal of Business Research</w:t>
      </w:r>
      <w:r w:rsidRPr="007C7A97">
        <w:rPr>
          <w:rFonts w:ascii="Arial" w:hAnsi="Arial" w:cs="Arial"/>
          <w:sz w:val="22"/>
          <w:szCs w:val="22"/>
        </w:rPr>
        <w:t xml:space="preserve">, 104, pp. 333–339. Available at: </w:t>
      </w:r>
      <w:hyperlink r:id="rId37" w:history="1">
        <w:r w:rsidRPr="007C7A97">
          <w:rPr>
            <w:rStyle w:val="Hyperlink"/>
            <w:rFonts w:ascii="Arial" w:hAnsi="Arial" w:cs="Arial"/>
            <w:sz w:val="22"/>
            <w:szCs w:val="22"/>
          </w:rPr>
          <w:t>https://doi.org/10.1016/j.jbusres.2019.07.039</w:t>
        </w:r>
      </w:hyperlink>
    </w:p>
    <w:p w14:paraId="2860D0CD"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Taris, T.W. </w:t>
      </w:r>
      <w:r w:rsidRPr="000D29A4">
        <w:rPr>
          <w:rFonts w:ascii="Arial" w:hAnsi="Arial" w:cs="Arial"/>
          <w:i/>
          <w:iCs/>
          <w:sz w:val="22"/>
          <w:szCs w:val="22"/>
        </w:rPr>
        <w:t>et al</w:t>
      </w:r>
      <w:r w:rsidRPr="007C7A97">
        <w:rPr>
          <w:rFonts w:ascii="Arial" w:hAnsi="Arial" w:cs="Arial"/>
          <w:sz w:val="22"/>
          <w:szCs w:val="22"/>
        </w:rPr>
        <w:t xml:space="preserve">. (2005) ‘Causal relationships in burnout’, </w:t>
      </w:r>
      <w:r w:rsidRPr="007C7A97">
        <w:rPr>
          <w:rStyle w:val="Emphasis"/>
          <w:rFonts w:ascii="Arial" w:hAnsi="Arial" w:cs="Arial"/>
          <w:sz w:val="22"/>
          <w:szCs w:val="22"/>
        </w:rPr>
        <w:t>Work &amp; Stress</w:t>
      </w:r>
      <w:r w:rsidRPr="007C7A97">
        <w:rPr>
          <w:rFonts w:ascii="Arial" w:hAnsi="Arial" w:cs="Arial"/>
          <w:sz w:val="22"/>
          <w:szCs w:val="22"/>
        </w:rPr>
        <w:t>, 19(3), pp. 238–255.</w:t>
      </w:r>
    </w:p>
    <w:p w14:paraId="25370012"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The King’s Fund (2021) </w:t>
      </w:r>
      <w:r w:rsidRPr="007C7A97">
        <w:rPr>
          <w:rStyle w:val="Emphasis"/>
          <w:rFonts w:ascii="Arial" w:hAnsi="Arial" w:cs="Arial"/>
          <w:sz w:val="22"/>
          <w:szCs w:val="22"/>
        </w:rPr>
        <w:t>Burnt-out staff: NHS staff survey response</w:t>
      </w:r>
      <w:r w:rsidRPr="007C7A97">
        <w:rPr>
          <w:rFonts w:ascii="Arial" w:hAnsi="Arial" w:cs="Arial"/>
          <w:sz w:val="22"/>
          <w:szCs w:val="22"/>
        </w:rPr>
        <w:t>.</w:t>
      </w:r>
      <w:r>
        <w:rPr>
          <w:rFonts w:ascii="Arial" w:hAnsi="Arial" w:cs="Arial"/>
          <w:sz w:val="22"/>
          <w:szCs w:val="22"/>
        </w:rPr>
        <w:t xml:space="preserve"> Available at: </w:t>
      </w:r>
      <w:hyperlink r:id="rId38" w:history="1">
        <w:r w:rsidRPr="007F20A4">
          <w:rPr>
            <w:rStyle w:val="Hyperlink"/>
            <w:rFonts w:ascii="Arial" w:hAnsi="Arial" w:cs="Arial"/>
            <w:sz w:val="22"/>
            <w:szCs w:val="22"/>
          </w:rPr>
          <w:t>https://www.kingsfund.org.uk/insight-and-analysis/long-reads/burnout-belief-reforming-the-nhs</w:t>
        </w:r>
      </w:hyperlink>
      <w:r>
        <w:rPr>
          <w:rFonts w:ascii="Arial" w:hAnsi="Arial" w:cs="Arial"/>
          <w:sz w:val="22"/>
          <w:szCs w:val="22"/>
        </w:rPr>
        <w:t xml:space="preserve"> ( Accessed: 5 March 2026).</w:t>
      </w:r>
    </w:p>
    <w:p w14:paraId="4A0A83D6"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The King’s Fund (2025) </w:t>
      </w:r>
      <w:r w:rsidRPr="007C7A97">
        <w:rPr>
          <w:rStyle w:val="Emphasis"/>
          <w:rFonts w:ascii="Arial" w:hAnsi="Arial" w:cs="Arial"/>
          <w:sz w:val="22"/>
          <w:szCs w:val="22"/>
        </w:rPr>
        <w:t>Burnout, belief and reforming the NHS workforce</w:t>
      </w:r>
      <w:r w:rsidRPr="007C7A97">
        <w:rPr>
          <w:rFonts w:ascii="Arial" w:hAnsi="Arial" w:cs="Arial"/>
          <w:sz w:val="22"/>
          <w:szCs w:val="22"/>
        </w:rPr>
        <w:t xml:space="preserve">. Available at: </w:t>
      </w:r>
      <w:hyperlink r:id="rId39" w:history="1">
        <w:r w:rsidRPr="007C7A97">
          <w:rPr>
            <w:rStyle w:val="Hyperlink"/>
            <w:rFonts w:ascii="Arial" w:hAnsi="Arial" w:cs="Arial"/>
            <w:sz w:val="22"/>
            <w:szCs w:val="22"/>
          </w:rPr>
          <w:t>https://www.kingsfund.org.uk/insight-and-analysis/long-reads/burnout-belief-reforming-the-nhs</w:t>
        </w:r>
      </w:hyperlink>
      <w:r w:rsidRPr="007C7A97">
        <w:rPr>
          <w:rFonts w:ascii="Arial" w:hAnsi="Arial" w:cs="Arial"/>
          <w:sz w:val="22"/>
          <w:szCs w:val="22"/>
        </w:rPr>
        <w:t xml:space="preserve"> (Accessed: 9 March 2026).</w:t>
      </w:r>
    </w:p>
    <w:p w14:paraId="107085A8"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Torraco, R.J. (2016) ‘Writing integrative literature reviews: using the past and present to explore the future’, </w:t>
      </w:r>
      <w:r w:rsidRPr="007C7A97">
        <w:rPr>
          <w:rStyle w:val="Emphasis"/>
          <w:rFonts w:ascii="Arial" w:hAnsi="Arial" w:cs="Arial"/>
          <w:sz w:val="22"/>
          <w:szCs w:val="22"/>
        </w:rPr>
        <w:t>Human Resource Development Review</w:t>
      </w:r>
      <w:r w:rsidRPr="007C7A97">
        <w:rPr>
          <w:rFonts w:ascii="Arial" w:hAnsi="Arial" w:cs="Arial"/>
          <w:sz w:val="22"/>
          <w:szCs w:val="22"/>
        </w:rPr>
        <w:t xml:space="preserve">, 15(4), pp. 404–428. Available at: </w:t>
      </w:r>
      <w:hyperlink r:id="rId40" w:history="1">
        <w:r w:rsidRPr="007C7A97">
          <w:rPr>
            <w:rStyle w:val="Hyperlink"/>
            <w:rFonts w:ascii="Arial" w:hAnsi="Arial" w:cs="Arial"/>
            <w:sz w:val="22"/>
            <w:szCs w:val="22"/>
          </w:rPr>
          <w:t>https://doi.org/10.1177/1534484316671606</w:t>
        </w:r>
      </w:hyperlink>
    </w:p>
    <w:p w14:paraId="47C43A80"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lastRenderedPageBreak/>
        <w:t xml:space="preserve">University of Hull (2023) </w:t>
      </w:r>
      <w:r w:rsidRPr="007C7A97">
        <w:rPr>
          <w:rStyle w:val="Emphasis"/>
          <w:rFonts w:ascii="Arial" w:hAnsi="Arial" w:cs="Arial"/>
          <w:sz w:val="22"/>
          <w:szCs w:val="22"/>
        </w:rPr>
        <w:t>Evaluating information using the CRAAP test</w:t>
      </w:r>
      <w:r w:rsidRPr="007C7A97">
        <w:rPr>
          <w:rFonts w:ascii="Arial" w:hAnsi="Arial" w:cs="Arial"/>
          <w:sz w:val="22"/>
          <w:szCs w:val="22"/>
        </w:rPr>
        <w:t xml:space="preserve">. Available at: </w:t>
      </w:r>
      <w:hyperlink r:id="rId41" w:history="1">
        <w:r w:rsidRPr="007C7A97">
          <w:rPr>
            <w:rStyle w:val="Hyperlink"/>
            <w:rFonts w:ascii="Arial" w:hAnsi="Arial" w:cs="Arial"/>
            <w:sz w:val="22"/>
            <w:szCs w:val="22"/>
          </w:rPr>
          <w:t>https://libguides.hull.ac.uk/research/evaluation</w:t>
        </w:r>
      </w:hyperlink>
      <w:r w:rsidRPr="007C7A97">
        <w:rPr>
          <w:rFonts w:ascii="Arial" w:hAnsi="Arial" w:cs="Arial"/>
          <w:sz w:val="22"/>
          <w:szCs w:val="22"/>
        </w:rPr>
        <w:t xml:space="preserve"> (Accessed: 13 February 2026).</w:t>
      </w:r>
    </w:p>
    <w:p w14:paraId="4E050A61"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University of Salford (2022) </w:t>
      </w:r>
      <w:r w:rsidRPr="007C7A97">
        <w:rPr>
          <w:rStyle w:val="Emphasis"/>
          <w:rFonts w:ascii="Arial" w:hAnsi="Arial" w:cs="Arial"/>
          <w:sz w:val="22"/>
          <w:szCs w:val="22"/>
        </w:rPr>
        <w:t>Using Boolean operators in database searching</w:t>
      </w:r>
      <w:r w:rsidRPr="007C7A97">
        <w:rPr>
          <w:rFonts w:ascii="Arial" w:hAnsi="Arial" w:cs="Arial"/>
          <w:sz w:val="22"/>
          <w:szCs w:val="22"/>
        </w:rPr>
        <w:t xml:space="preserve">. Available at: </w:t>
      </w:r>
      <w:hyperlink r:id="rId42" w:history="1">
        <w:r w:rsidRPr="007C7A97">
          <w:rPr>
            <w:rStyle w:val="Hyperlink"/>
            <w:rFonts w:ascii="Arial" w:hAnsi="Arial" w:cs="Arial"/>
            <w:sz w:val="22"/>
            <w:szCs w:val="22"/>
          </w:rPr>
          <w:t>https://www.salford.ac.uk/library/help-and-support/searching/boolean-operators</w:t>
        </w:r>
      </w:hyperlink>
      <w:r w:rsidRPr="007C7A97">
        <w:rPr>
          <w:rFonts w:ascii="Arial" w:hAnsi="Arial" w:cs="Arial"/>
          <w:sz w:val="22"/>
          <w:szCs w:val="22"/>
        </w:rPr>
        <w:t xml:space="preserve"> (Accessed: 13 February 2026).</w:t>
      </w:r>
    </w:p>
    <w:p w14:paraId="326C08D3"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University of Winchester (2023) </w:t>
      </w:r>
      <w:r w:rsidRPr="007C7A97">
        <w:rPr>
          <w:rStyle w:val="Emphasis"/>
          <w:rFonts w:ascii="Arial" w:hAnsi="Arial" w:cs="Arial"/>
          <w:sz w:val="22"/>
          <w:szCs w:val="22"/>
        </w:rPr>
        <w:t>Skimming and scanning academic texts</w:t>
      </w:r>
      <w:r w:rsidRPr="007C7A97">
        <w:rPr>
          <w:rFonts w:ascii="Arial" w:hAnsi="Arial" w:cs="Arial"/>
          <w:sz w:val="22"/>
          <w:szCs w:val="22"/>
        </w:rPr>
        <w:t xml:space="preserve">. Available at: </w:t>
      </w:r>
      <w:hyperlink r:id="rId43" w:history="1">
        <w:r w:rsidRPr="007C7A97">
          <w:rPr>
            <w:rStyle w:val="Hyperlink"/>
            <w:rFonts w:ascii="Arial" w:hAnsi="Arial" w:cs="Arial"/>
            <w:sz w:val="22"/>
            <w:szCs w:val="22"/>
          </w:rPr>
          <w:t>https://www.winchester.ac.uk/library/skills/skimming-and-scanning</w:t>
        </w:r>
      </w:hyperlink>
      <w:r w:rsidRPr="007C7A97">
        <w:rPr>
          <w:rFonts w:ascii="Arial" w:hAnsi="Arial" w:cs="Arial"/>
          <w:sz w:val="22"/>
          <w:szCs w:val="22"/>
        </w:rPr>
        <w:t xml:space="preserve"> (Accessed: 13 February 2026).</w:t>
      </w:r>
    </w:p>
    <w:p w14:paraId="759B5B78"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Walton, M., Murray, E. and Christian, M.D. (2020) ‘Mental health care for medical staff and affiliated healthcare workers during the COVID-19 pandemic’, </w:t>
      </w:r>
      <w:r w:rsidRPr="007C7A97">
        <w:rPr>
          <w:rStyle w:val="Emphasis"/>
          <w:rFonts w:ascii="Arial" w:hAnsi="Arial" w:cs="Arial"/>
          <w:sz w:val="22"/>
          <w:szCs w:val="22"/>
        </w:rPr>
        <w:t>European Heart Journal: Acute Cardiovascular Care</w:t>
      </w:r>
      <w:r w:rsidRPr="007C7A97">
        <w:rPr>
          <w:rFonts w:ascii="Arial" w:hAnsi="Arial" w:cs="Arial"/>
          <w:sz w:val="22"/>
          <w:szCs w:val="22"/>
        </w:rPr>
        <w:t xml:space="preserve">, 9(3), pp. 241–247. Available at: </w:t>
      </w:r>
      <w:hyperlink r:id="rId44" w:history="1">
        <w:r w:rsidRPr="007C7A97">
          <w:rPr>
            <w:rStyle w:val="Hyperlink"/>
            <w:rFonts w:ascii="Arial" w:hAnsi="Arial" w:cs="Arial"/>
            <w:sz w:val="22"/>
            <w:szCs w:val="22"/>
          </w:rPr>
          <w:t>https://doi.org/10.1177/2048872620922795</w:t>
        </w:r>
      </w:hyperlink>
    </w:p>
    <w:p w14:paraId="6410FC1C"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West, C.P. </w:t>
      </w:r>
      <w:r w:rsidRPr="0008584C">
        <w:rPr>
          <w:rFonts w:ascii="Arial" w:hAnsi="Arial" w:cs="Arial"/>
          <w:i/>
          <w:iCs/>
          <w:sz w:val="22"/>
          <w:szCs w:val="22"/>
        </w:rPr>
        <w:t>et al</w:t>
      </w:r>
      <w:r w:rsidRPr="007C7A97">
        <w:rPr>
          <w:rFonts w:ascii="Arial" w:hAnsi="Arial" w:cs="Arial"/>
          <w:sz w:val="22"/>
          <w:szCs w:val="22"/>
        </w:rPr>
        <w:t xml:space="preserve">. (2018) ‘Physician burnout’, </w:t>
      </w:r>
      <w:r w:rsidRPr="007C7A97">
        <w:rPr>
          <w:rStyle w:val="Emphasis"/>
          <w:rFonts w:ascii="Arial" w:hAnsi="Arial" w:cs="Arial"/>
          <w:sz w:val="22"/>
          <w:szCs w:val="22"/>
        </w:rPr>
        <w:t>Journal of Internal Medicine</w:t>
      </w:r>
      <w:r w:rsidRPr="007C7A97">
        <w:rPr>
          <w:rFonts w:ascii="Arial" w:hAnsi="Arial" w:cs="Arial"/>
          <w:sz w:val="22"/>
          <w:szCs w:val="22"/>
        </w:rPr>
        <w:t>, 283(6), pp. 516–529.</w:t>
      </w:r>
    </w:p>
    <w:p w14:paraId="7AA49F33"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West, C.P. </w:t>
      </w:r>
      <w:r w:rsidRPr="00DA0F4D">
        <w:rPr>
          <w:rFonts w:ascii="Arial" w:hAnsi="Arial" w:cs="Arial"/>
          <w:i/>
          <w:iCs/>
          <w:sz w:val="22"/>
          <w:szCs w:val="22"/>
        </w:rPr>
        <w:t>et al</w:t>
      </w:r>
      <w:r w:rsidRPr="007C7A97">
        <w:rPr>
          <w:rFonts w:ascii="Arial" w:hAnsi="Arial" w:cs="Arial"/>
          <w:sz w:val="22"/>
          <w:szCs w:val="22"/>
        </w:rPr>
        <w:t xml:space="preserve">. (2020) ‘Resilience and burnout’, </w:t>
      </w:r>
      <w:r w:rsidRPr="007C7A97">
        <w:rPr>
          <w:rStyle w:val="Emphasis"/>
          <w:rFonts w:ascii="Arial" w:hAnsi="Arial" w:cs="Arial"/>
          <w:sz w:val="22"/>
          <w:szCs w:val="22"/>
        </w:rPr>
        <w:t>JAMA Network Open</w:t>
      </w:r>
      <w:r w:rsidRPr="007C7A97">
        <w:rPr>
          <w:rFonts w:ascii="Arial" w:hAnsi="Arial" w:cs="Arial"/>
          <w:sz w:val="22"/>
          <w:szCs w:val="22"/>
        </w:rPr>
        <w:t>, 3(7), e209385.</w:t>
      </w:r>
    </w:p>
    <w:p w14:paraId="187C7059"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West, C.P., Dyrbye, L.N., Erwin, P.J. and Shanafelt, T.D. (2018) ‘Interventions to prevent and reduce physician burnout: a systematic review and meta-analysis’, </w:t>
      </w:r>
      <w:r w:rsidRPr="007C7A97">
        <w:rPr>
          <w:rStyle w:val="Emphasis"/>
          <w:rFonts w:ascii="Arial" w:hAnsi="Arial" w:cs="Arial"/>
          <w:sz w:val="22"/>
          <w:szCs w:val="22"/>
        </w:rPr>
        <w:t>The Lancet</w:t>
      </w:r>
      <w:r w:rsidRPr="007C7A97">
        <w:rPr>
          <w:rFonts w:ascii="Arial" w:hAnsi="Arial" w:cs="Arial"/>
          <w:sz w:val="22"/>
          <w:szCs w:val="22"/>
        </w:rPr>
        <w:t xml:space="preserve">, 388(10057), pp. 2272–2281. Available at: </w:t>
      </w:r>
      <w:hyperlink r:id="rId45" w:history="1">
        <w:r w:rsidRPr="007C7A97">
          <w:rPr>
            <w:rStyle w:val="Hyperlink"/>
            <w:rFonts w:ascii="Arial" w:hAnsi="Arial" w:cs="Arial"/>
            <w:sz w:val="22"/>
            <w:szCs w:val="22"/>
          </w:rPr>
          <w:t>https://pubmed.ncbi.nlm.nih.gov/29505159/</w:t>
        </w:r>
      </w:hyperlink>
      <w:r w:rsidRPr="007C7A97">
        <w:rPr>
          <w:rFonts w:ascii="Arial" w:hAnsi="Arial" w:cs="Arial"/>
          <w:sz w:val="22"/>
          <w:szCs w:val="22"/>
        </w:rPr>
        <w:t xml:space="preserve"> (Accessed: 6 March 2026).</w:t>
      </w:r>
    </w:p>
    <w:p w14:paraId="78EED3BB" w14:textId="77777777" w:rsidR="00F248D4" w:rsidRPr="007C7A97" w:rsidRDefault="00F248D4" w:rsidP="0094409E">
      <w:pPr>
        <w:pStyle w:val="NormalWeb"/>
        <w:spacing w:line="360" w:lineRule="auto"/>
        <w:rPr>
          <w:rFonts w:ascii="Arial" w:hAnsi="Arial" w:cs="Arial"/>
          <w:sz w:val="22"/>
          <w:szCs w:val="22"/>
        </w:rPr>
      </w:pPr>
      <w:r w:rsidRPr="007C7A97">
        <w:rPr>
          <w:rFonts w:ascii="Arial" w:hAnsi="Arial" w:cs="Arial"/>
          <w:sz w:val="22"/>
          <w:szCs w:val="22"/>
        </w:rPr>
        <w:t xml:space="preserve">World Health Organization (2019) </w:t>
      </w:r>
      <w:r w:rsidRPr="007C7A97">
        <w:rPr>
          <w:rStyle w:val="Emphasis"/>
          <w:rFonts w:ascii="Arial" w:hAnsi="Arial" w:cs="Arial"/>
          <w:sz w:val="22"/>
          <w:szCs w:val="22"/>
        </w:rPr>
        <w:t>Burn-out an occupational phenomenon: international classification of diseases</w:t>
      </w:r>
      <w:r w:rsidRPr="007C7A97">
        <w:rPr>
          <w:rFonts w:ascii="Arial" w:hAnsi="Arial" w:cs="Arial"/>
          <w:sz w:val="22"/>
          <w:szCs w:val="22"/>
        </w:rPr>
        <w:t xml:space="preserve">. Available at: </w:t>
      </w:r>
      <w:hyperlink r:id="rId46" w:history="1">
        <w:r w:rsidRPr="007C7A97">
          <w:rPr>
            <w:rStyle w:val="Hyperlink"/>
            <w:rFonts w:ascii="Arial" w:hAnsi="Arial" w:cs="Arial"/>
            <w:sz w:val="22"/>
            <w:szCs w:val="22"/>
          </w:rPr>
          <w:t>https://www.who.int/news/item/28-05-2019-burn-out-an-occupational-phenomenon-international-classification-of-diseases</w:t>
        </w:r>
      </w:hyperlink>
      <w:r w:rsidRPr="007C7A97">
        <w:rPr>
          <w:rFonts w:ascii="Arial" w:hAnsi="Arial" w:cs="Arial"/>
          <w:sz w:val="22"/>
          <w:szCs w:val="22"/>
        </w:rPr>
        <w:t xml:space="preserve"> (Accessed: 6 March 2026).</w:t>
      </w:r>
    </w:p>
    <w:p w14:paraId="773CBDE0" w14:textId="182681EE" w:rsidR="00087CE5" w:rsidRDefault="00F248D4" w:rsidP="00092D2C">
      <w:pPr>
        <w:pStyle w:val="NormalWeb"/>
        <w:spacing w:line="360" w:lineRule="auto"/>
        <w:rPr>
          <w:rFonts w:ascii="Arial" w:hAnsi="Arial" w:cs="Arial"/>
          <w:sz w:val="22"/>
          <w:szCs w:val="22"/>
        </w:rPr>
      </w:pPr>
      <w:r w:rsidRPr="007C7A97">
        <w:rPr>
          <w:rFonts w:ascii="Arial" w:hAnsi="Arial" w:cs="Arial"/>
          <w:sz w:val="22"/>
          <w:szCs w:val="22"/>
        </w:rPr>
        <w:t xml:space="preserve">World Health Organization (2024) </w:t>
      </w:r>
      <w:r w:rsidRPr="007C7A97">
        <w:rPr>
          <w:rStyle w:val="Emphasis"/>
          <w:rFonts w:ascii="Arial" w:hAnsi="Arial" w:cs="Arial"/>
          <w:sz w:val="22"/>
          <w:szCs w:val="22"/>
        </w:rPr>
        <w:t>Mental health at work</w:t>
      </w:r>
      <w:r w:rsidRPr="007C7A97">
        <w:rPr>
          <w:rFonts w:ascii="Arial" w:hAnsi="Arial" w:cs="Arial"/>
          <w:sz w:val="22"/>
          <w:szCs w:val="22"/>
        </w:rPr>
        <w:t xml:space="preserve">. Available at: </w:t>
      </w:r>
      <w:hyperlink r:id="rId47" w:history="1">
        <w:r w:rsidRPr="007C7A97">
          <w:rPr>
            <w:rStyle w:val="Hyperlink"/>
            <w:rFonts w:ascii="Arial" w:hAnsi="Arial" w:cs="Arial"/>
            <w:sz w:val="22"/>
            <w:szCs w:val="22"/>
          </w:rPr>
          <w:t>https://www.who.int/news-room/fact-sheets/detail/mental-health-at-work</w:t>
        </w:r>
      </w:hyperlink>
      <w:r w:rsidRPr="007C7A97">
        <w:rPr>
          <w:rFonts w:ascii="Arial" w:hAnsi="Arial" w:cs="Arial"/>
          <w:sz w:val="22"/>
          <w:szCs w:val="22"/>
        </w:rPr>
        <w:t xml:space="preserve"> (Accessed: 4 March 2026).</w:t>
      </w:r>
    </w:p>
    <w:p w14:paraId="50362AC0" w14:textId="77777777" w:rsidR="00092D2C" w:rsidRPr="00092D2C" w:rsidRDefault="00092D2C" w:rsidP="00092D2C">
      <w:pPr>
        <w:pStyle w:val="NormalWeb"/>
        <w:spacing w:line="360" w:lineRule="auto"/>
        <w:rPr>
          <w:rFonts w:ascii="Arial" w:hAnsi="Arial" w:cs="Arial"/>
          <w:sz w:val="22"/>
          <w:szCs w:val="22"/>
        </w:rPr>
      </w:pPr>
    </w:p>
    <w:p w14:paraId="5EBBA6B4" w14:textId="77777777" w:rsidR="00087CE5" w:rsidRDefault="00087CE5" w:rsidP="007B7D7B">
      <w:pPr>
        <w:spacing w:line="360" w:lineRule="auto"/>
        <w:rPr>
          <w:rFonts w:ascii="Arial" w:hAnsi="Arial" w:cs="Arial"/>
          <w:b/>
          <w:bCs/>
          <w:sz w:val="22"/>
          <w:szCs w:val="22"/>
        </w:rPr>
      </w:pPr>
    </w:p>
    <w:p w14:paraId="51638CFC" w14:textId="77777777" w:rsidR="001B2FE0" w:rsidRDefault="001B2FE0" w:rsidP="00966759">
      <w:pPr>
        <w:rPr>
          <w:rFonts w:ascii="Arial" w:hAnsi="Arial" w:cs="Arial"/>
          <w:sz w:val="22"/>
          <w:szCs w:val="22"/>
        </w:rPr>
      </w:pPr>
    </w:p>
    <w:p w14:paraId="515794FD" w14:textId="0010A5E4" w:rsidR="00963E96" w:rsidRPr="000617D1" w:rsidRDefault="00477748" w:rsidP="00966759">
      <w:pPr>
        <w:rPr>
          <w:rFonts w:ascii="Arial" w:hAnsi="Arial" w:cs="Arial"/>
          <w:b/>
          <w:bCs/>
          <w:sz w:val="28"/>
          <w:szCs w:val="28"/>
        </w:rPr>
      </w:pPr>
      <w:r w:rsidRPr="000617D1">
        <w:rPr>
          <w:rFonts w:ascii="Arial" w:hAnsi="Arial" w:cs="Arial"/>
          <w:b/>
          <w:bCs/>
          <w:sz w:val="28"/>
          <w:szCs w:val="28"/>
        </w:rPr>
        <w:lastRenderedPageBreak/>
        <w:t xml:space="preserve">Appendices </w:t>
      </w:r>
    </w:p>
    <w:p w14:paraId="2B29D924" w14:textId="054F6162" w:rsidR="00292F7E" w:rsidRPr="006E5B28" w:rsidRDefault="00292F7E" w:rsidP="00966759">
      <w:pPr>
        <w:rPr>
          <w:rFonts w:ascii="Arial" w:hAnsi="Arial" w:cs="Arial"/>
          <w:b/>
          <w:bCs/>
          <w:sz w:val="22"/>
          <w:szCs w:val="22"/>
        </w:rPr>
      </w:pPr>
      <w:r w:rsidRPr="006E5B28">
        <w:rPr>
          <w:rFonts w:ascii="Arial" w:hAnsi="Arial" w:cs="Arial"/>
          <w:b/>
          <w:bCs/>
          <w:sz w:val="22"/>
          <w:szCs w:val="22"/>
        </w:rPr>
        <w:t>Appendix 1 — Source Tracking Table</w:t>
      </w:r>
    </w:p>
    <w:tbl>
      <w:tblPr>
        <w:tblStyle w:val="TableGrid"/>
        <w:tblW w:w="0" w:type="auto"/>
        <w:tblLook w:val="04A0" w:firstRow="1" w:lastRow="0" w:firstColumn="1" w:lastColumn="0" w:noHBand="0" w:noVBand="1"/>
      </w:tblPr>
      <w:tblGrid>
        <w:gridCol w:w="754"/>
        <w:gridCol w:w="1015"/>
        <w:gridCol w:w="1082"/>
        <w:gridCol w:w="1158"/>
        <w:gridCol w:w="1755"/>
        <w:gridCol w:w="3252"/>
      </w:tblGrid>
      <w:tr w:rsidR="00292F7E" w:rsidRPr="006E5B28" w14:paraId="7BE0DF17" w14:textId="77777777" w:rsidTr="00966759">
        <w:tc>
          <w:tcPr>
            <w:tcW w:w="1066" w:type="dxa"/>
          </w:tcPr>
          <w:p w14:paraId="7F7C1244" w14:textId="77777777" w:rsidR="00292F7E" w:rsidRPr="006E5B28" w:rsidRDefault="00292F7E" w:rsidP="00966759">
            <w:pPr>
              <w:rPr>
                <w:rFonts w:ascii="Arial" w:hAnsi="Arial" w:cs="Arial"/>
                <w:b/>
                <w:bCs/>
                <w:sz w:val="22"/>
                <w:szCs w:val="22"/>
              </w:rPr>
            </w:pPr>
            <w:r w:rsidRPr="006E5B28">
              <w:rPr>
                <w:rFonts w:ascii="Arial" w:hAnsi="Arial" w:cs="Arial"/>
                <w:b/>
                <w:bCs/>
                <w:sz w:val="22"/>
                <w:szCs w:val="22"/>
              </w:rPr>
              <w:t>Saved?</w:t>
            </w:r>
          </w:p>
        </w:tc>
        <w:tc>
          <w:tcPr>
            <w:tcW w:w="1464" w:type="dxa"/>
          </w:tcPr>
          <w:p w14:paraId="55D5B2E3" w14:textId="77777777" w:rsidR="00292F7E" w:rsidRPr="006E5B28" w:rsidRDefault="00292F7E" w:rsidP="00966759">
            <w:pPr>
              <w:rPr>
                <w:rFonts w:ascii="Arial" w:hAnsi="Arial" w:cs="Arial"/>
                <w:b/>
                <w:bCs/>
                <w:sz w:val="22"/>
                <w:szCs w:val="22"/>
              </w:rPr>
            </w:pPr>
            <w:r w:rsidRPr="006E5B28">
              <w:rPr>
                <w:rFonts w:ascii="Arial" w:hAnsi="Arial" w:cs="Arial"/>
                <w:b/>
                <w:bCs/>
                <w:sz w:val="22"/>
                <w:szCs w:val="22"/>
              </w:rPr>
              <w:t xml:space="preserve">Author and Year </w:t>
            </w:r>
          </w:p>
        </w:tc>
        <w:tc>
          <w:tcPr>
            <w:tcW w:w="1579" w:type="dxa"/>
          </w:tcPr>
          <w:p w14:paraId="023C95CC" w14:textId="77777777" w:rsidR="00292F7E" w:rsidRPr="006E5B28" w:rsidRDefault="00292F7E" w:rsidP="00966759">
            <w:pPr>
              <w:rPr>
                <w:rFonts w:ascii="Arial" w:hAnsi="Arial" w:cs="Arial"/>
                <w:b/>
                <w:bCs/>
                <w:sz w:val="22"/>
                <w:szCs w:val="22"/>
              </w:rPr>
            </w:pPr>
            <w:r w:rsidRPr="006E5B28">
              <w:rPr>
                <w:rFonts w:ascii="Arial" w:hAnsi="Arial" w:cs="Arial"/>
                <w:b/>
                <w:bCs/>
                <w:sz w:val="22"/>
                <w:szCs w:val="22"/>
              </w:rPr>
              <w:t xml:space="preserve">Title </w:t>
            </w:r>
          </w:p>
        </w:tc>
        <w:tc>
          <w:tcPr>
            <w:tcW w:w="1686" w:type="dxa"/>
          </w:tcPr>
          <w:p w14:paraId="694B52BA" w14:textId="77777777" w:rsidR="00292F7E" w:rsidRPr="006E5B28" w:rsidRDefault="00292F7E" w:rsidP="00966759">
            <w:pPr>
              <w:rPr>
                <w:rFonts w:ascii="Arial" w:hAnsi="Arial" w:cs="Arial"/>
                <w:b/>
                <w:bCs/>
                <w:sz w:val="22"/>
                <w:szCs w:val="22"/>
              </w:rPr>
            </w:pPr>
            <w:r w:rsidRPr="006E5B28">
              <w:rPr>
                <w:rFonts w:ascii="Arial" w:hAnsi="Arial" w:cs="Arial"/>
                <w:b/>
                <w:bCs/>
                <w:sz w:val="22"/>
                <w:szCs w:val="22"/>
              </w:rPr>
              <w:t xml:space="preserve">Summary </w:t>
            </w:r>
          </w:p>
        </w:tc>
        <w:tc>
          <w:tcPr>
            <w:tcW w:w="2451" w:type="dxa"/>
          </w:tcPr>
          <w:p w14:paraId="09B19C71" w14:textId="77777777" w:rsidR="00292F7E" w:rsidRPr="006E5B28" w:rsidRDefault="00292F7E" w:rsidP="00966759">
            <w:pPr>
              <w:rPr>
                <w:rFonts w:ascii="Arial" w:hAnsi="Arial" w:cs="Arial"/>
                <w:b/>
                <w:bCs/>
                <w:sz w:val="22"/>
                <w:szCs w:val="22"/>
              </w:rPr>
            </w:pPr>
            <w:r w:rsidRPr="006E5B28">
              <w:rPr>
                <w:rFonts w:ascii="Arial" w:hAnsi="Arial" w:cs="Arial"/>
                <w:b/>
                <w:bCs/>
                <w:sz w:val="22"/>
                <w:szCs w:val="22"/>
              </w:rPr>
              <w:t>CRAAP</w:t>
            </w:r>
          </w:p>
        </w:tc>
        <w:tc>
          <w:tcPr>
            <w:tcW w:w="770" w:type="dxa"/>
          </w:tcPr>
          <w:p w14:paraId="7DCB509F" w14:textId="77777777" w:rsidR="00292F7E" w:rsidRPr="006E5B28" w:rsidRDefault="00292F7E" w:rsidP="00966759">
            <w:pPr>
              <w:rPr>
                <w:rFonts w:ascii="Arial" w:hAnsi="Arial" w:cs="Arial"/>
                <w:b/>
                <w:bCs/>
                <w:sz w:val="22"/>
                <w:szCs w:val="22"/>
              </w:rPr>
            </w:pPr>
            <w:r w:rsidRPr="006E5B28">
              <w:rPr>
                <w:rFonts w:ascii="Arial" w:hAnsi="Arial" w:cs="Arial"/>
                <w:b/>
                <w:bCs/>
                <w:sz w:val="22"/>
                <w:szCs w:val="22"/>
              </w:rPr>
              <w:t>Link</w:t>
            </w:r>
          </w:p>
        </w:tc>
      </w:tr>
      <w:tr w:rsidR="00292F7E" w:rsidRPr="006E5B28" w14:paraId="217ACE76" w14:textId="77777777" w:rsidTr="00966759">
        <w:tc>
          <w:tcPr>
            <w:tcW w:w="1066" w:type="dxa"/>
          </w:tcPr>
          <w:p w14:paraId="7CDB74CE" w14:textId="77777777" w:rsidR="00292F7E" w:rsidRPr="006E5B28" w:rsidRDefault="00292F7E" w:rsidP="00966759">
            <w:pPr>
              <w:rPr>
                <w:rFonts w:ascii="Arial" w:hAnsi="Arial" w:cs="Arial"/>
                <w:sz w:val="22"/>
                <w:szCs w:val="22"/>
              </w:rPr>
            </w:pPr>
            <w:r w:rsidRPr="006E5B28">
              <w:rPr>
                <w:rFonts w:ascii="Arial" w:hAnsi="Arial" w:cs="Arial"/>
                <w:sz w:val="22"/>
                <w:szCs w:val="22"/>
              </w:rPr>
              <w:t>Yes</w:t>
            </w:r>
          </w:p>
        </w:tc>
        <w:tc>
          <w:tcPr>
            <w:tcW w:w="1464" w:type="dxa"/>
          </w:tcPr>
          <w:p w14:paraId="0A1D01FE" w14:textId="77777777" w:rsidR="00292F7E" w:rsidRPr="006E5B28" w:rsidRDefault="00292F7E" w:rsidP="00966759">
            <w:pPr>
              <w:rPr>
                <w:rFonts w:ascii="Arial" w:hAnsi="Arial" w:cs="Arial"/>
                <w:sz w:val="22"/>
                <w:szCs w:val="22"/>
              </w:rPr>
            </w:pPr>
            <w:r w:rsidRPr="006E5B28">
              <w:rPr>
                <w:rFonts w:ascii="Arial" w:hAnsi="Arial" w:cs="Arial"/>
                <w:sz w:val="22"/>
                <w:szCs w:val="22"/>
              </w:rPr>
              <w:t>Rotenstein et al. (2018)</w:t>
            </w:r>
          </w:p>
        </w:tc>
        <w:tc>
          <w:tcPr>
            <w:tcW w:w="1579" w:type="dxa"/>
          </w:tcPr>
          <w:p w14:paraId="15E22A31" w14:textId="77777777" w:rsidR="00292F7E" w:rsidRPr="006E5B28" w:rsidRDefault="00292F7E" w:rsidP="00966759">
            <w:pPr>
              <w:rPr>
                <w:rFonts w:ascii="Arial" w:hAnsi="Arial" w:cs="Arial"/>
                <w:sz w:val="22"/>
                <w:szCs w:val="22"/>
              </w:rPr>
            </w:pPr>
            <w:r w:rsidRPr="006E5B28">
              <w:rPr>
                <w:rFonts w:ascii="Arial" w:hAnsi="Arial" w:cs="Arial"/>
                <w:sz w:val="22"/>
                <w:szCs w:val="22"/>
              </w:rPr>
              <w:t>Prevalence of Burnout Among Physicians</w:t>
            </w:r>
          </w:p>
        </w:tc>
        <w:tc>
          <w:tcPr>
            <w:tcW w:w="1686" w:type="dxa"/>
          </w:tcPr>
          <w:p w14:paraId="20796721" w14:textId="77777777" w:rsidR="00292F7E" w:rsidRPr="006E5B28" w:rsidRDefault="00292F7E" w:rsidP="00966759">
            <w:pPr>
              <w:rPr>
                <w:rFonts w:ascii="Arial" w:hAnsi="Arial" w:cs="Arial"/>
                <w:sz w:val="22"/>
                <w:szCs w:val="22"/>
              </w:rPr>
            </w:pPr>
            <w:r w:rsidRPr="006E5B28">
              <w:rPr>
                <w:rFonts w:ascii="Arial" w:hAnsi="Arial" w:cs="Arial"/>
                <w:sz w:val="22"/>
                <w:szCs w:val="22"/>
              </w:rPr>
              <w:t>Large systematic review showing widespread burnout among healthcare professionals.</w:t>
            </w:r>
          </w:p>
        </w:tc>
        <w:tc>
          <w:tcPr>
            <w:tcW w:w="2451" w:type="dxa"/>
          </w:tcPr>
          <w:p w14:paraId="6C7621D8" w14:textId="77777777" w:rsidR="00292F7E" w:rsidRPr="006E5B28" w:rsidRDefault="00292F7E" w:rsidP="00966759">
            <w:pPr>
              <w:rPr>
                <w:rFonts w:ascii="Arial" w:hAnsi="Arial" w:cs="Arial"/>
                <w:sz w:val="22"/>
                <w:szCs w:val="22"/>
              </w:rPr>
            </w:pPr>
            <w:r w:rsidRPr="006E5B28">
              <w:rPr>
                <w:rFonts w:ascii="Arial" w:hAnsi="Arial" w:cs="Arial"/>
                <w:b/>
                <w:bCs/>
                <w:sz w:val="22"/>
                <w:szCs w:val="22"/>
              </w:rPr>
              <w:t>Currency</w:t>
            </w:r>
            <w:r w:rsidRPr="006E5B28">
              <w:rPr>
                <w:rFonts w:ascii="Arial" w:hAnsi="Arial" w:cs="Arial"/>
                <w:sz w:val="22"/>
                <w:szCs w:val="22"/>
              </w:rPr>
              <w:t xml:space="preserve">: High </w:t>
            </w:r>
          </w:p>
          <w:p w14:paraId="0AFD58E7" w14:textId="77777777" w:rsidR="00292F7E" w:rsidRPr="006E5B28" w:rsidRDefault="00292F7E" w:rsidP="00966759">
            <w:pPr>
              <w:rPr>
                <w:rFonts w:ascii="Arial" w:hAnsi="Arial" w:cs="Arial"/>
                <w:sz w:val="22"/>
                <w:szCs w:val="22"/>
              </w:rPr>
            </w:pPr>
            <w:r w:rsidRPr="006E5B28">
              <w:rPr>
                <w:rFonts w:ascii="Arial" w:hAnsi="Arial" w:cs="Arial"/>
                <w:b/>
                <w:bCs/>
                <w:sz w:val="22"/>
                <w:szCs w:val="22"/>
              </w:rPr>
              <w:t>Relevance</w:t>
            </w:r>
            <w:r w:rsidRPr="006E5B28">
              <w:rPr>
                <w:rFonts w:ascii="Arial" w:hAnsi="Arial" w:cs="Arial"/>
                <w:sz w:val="22"/>
                <w:szCs w:val="22"/>
              </w:rPr>
              <w:t xml:space="preserve">: Strong </w:t>
            </w:r>
            <w:r w:rsidRPr="006E5B28">
              <w:rPr>
                <w:rFonts w:ascii="Arial" w:hAnsi="Arial" w:cs="Arial"/>
                <w:b/>
                <w:bCs/>
                <w:sz w:val="22"/>
                <w:szCs w:val="22"/>
              </w:rPr>
              <w:t>Authority</w:t>
            </w:r>
            <w:r w:rsidRPr="006E5B28">
              <w:rPr>
                <w:rFonts w:ascii="Arial" w:hAnsi="Arial" w:cs="Arial"/>
                <w:sz w:val="22"/>
                <w:szCs w:val="22"/>
              </w:rPr>
              <w:t xml:space="preserve">: Peer reviewed </w:t>
            </w:r>
            <w:r w:rsidRPr="006E5B28">
              <w:rPr>
                <w:rFonts w:ascii="Arial" w:hAnsi="Arial" w:cs="Arial"/>
                <w:b/>
                <w:bCs/>
                <w:sz w:val="22"/>
                <w:szCs w:val="22"/>
              </w:rPr>
              <w:t>Accuracy</w:t>
            </w:r>
            <w:r w:rsidRPr="006E5B28">
              <w:rPr>
                <w:rFonts w:ascii="Arial" w:hAnsi="Arial" w:cs="Arial"/>
                <w:sz w:val="22"/>
                <w:szCs w:val="22"/>
              </w:rPr>
              <w:t>:Systematic review</w:t>
            </w:r>
          </w:p>
          <w:p w14:paraId="34484BF1" w14:textId="77777777" w:rsidR="00292F7E" w:rsidRPr="006E5B28" w:rsidRDefault="00292F7E" w:rsidP="00966759">
            <w:pPr>
              <w:rPr>
                <w:rFonts w:ascii="Arial" w:hAnsi="Arial" w:cs="Arial"/>
                <w:sz w:val="22"/>
                <w:szCs w:val="22"/>
              </w:rPr>
            </w:pPr>
            <w:r w:rsidRPr="006E5B28">
              <w:rPr>
                <w:rFonts w:ascii="Arial" w:hAnsi="Arial" w:cs="Arial"/>
                <w:b/>
                <w:bCs/>
                <w:sz w:val="22"/>
                <w:szCs w:val="22"/>
              </w:rPr>
              <w:t>Purpose</w:t>
            </w:r>
            <w:r w:rsidRPr="006E5B28">
              <w:rPr>
                <w:rFonts w:ascii="Arial" w:hAnsi="Arial" w:cs="Arial"/>
                <w:sz w:val="22"/>
                <w:szCs w:val="22"/>
              </w:rPr>
              <w:t>: Academic</w:t>
            </w:r>
          </w:p>
        </w:tc>
        <w:tc>
          <w:tcPr>
            <w:tcW w:w="770" w:type="dxa"/>
          </w:tcPr>
          <w:p w14:paraId="549634F7" w14:textId="77777777" w:rsidR="00292F7E" w:rsidRPr="006E5B28" w:rsidRDefault="00292F7E" w:rsidP="00966759">
            <w:pPr>
              <w:rPr>
                <w:rFonts w:ascii="Arial" w:hAnsi="Arial" w:cs="Arial"/>
                <w:sz w:val="22"/>
                <w:szCs w:val="22"/>
              </w:rPr>
            </w:pPr>
            <w:hyperlink r:id="rId48" w:history="1">
              <w:r w:rsidRPr="006E5B28">
                <w:rPr>
                  <w:rStyle w:val="Hyperlink"/>
                  <w:rFonts w:ascii="Arial" w:hAnsi="Arial" w:cs="Arial"/>
                  <w:sz w:val="22"/>
                  <w:szCs w:val="22"/>
                </w:rPr>
                <w:t>https://pubmed.ncbi.nlm.nih.gov/30326495/</w:t>
              </w:r>
            </w:hyperlink>
            <w:r w:rsidRPr="006E5B28">
              <w:rPr>
                <w:rFonts w:ascii="Arial" w:hAnsi="Arial" w:cs="Arial"/>
                <w:sz w:val="22"/>
                <w:szCs w:val="22"/>
              </w:rPr>
              <w:t xml:space="preserve"> </w:t>
            </w:r>
          </w:p>
        </w:tc>
      </w:tr>
      <w:tr w:rsidR="00292F7E" w:rsidRPr="006E5B28" w14:paraId="1E6AC345" w14:textId="77777777" w:rsidTr="00966759">
        <w:tc>
          <w:tcPr>
            <w:tcW w:w="1066" w:type="dxa"/>
          </w:tcPr>
          <w:p w14:paraId="7F4F3977" w14:textId="77777777" w:rsidR="00292F7E" w:rsidRPr="006E5B28" w:rsidRDefault="00292F7E" w:rsidP="00966759">
            <w:pPr>
              <w:rPr>
                <w:rFonts w:ascii="Arial" w:hAnsi="Arial" w:cs="Arial"/>
                <w:sz w:val="22"/>
                <w:szCs w:val="22"/>
              </w:rPr>
            </w:pPr>
            <w:r w:rsidRPr="006E5B28">
              <w:rPr>
                <w:rFonts w:ascii="Arial" w:hAnsi="Arial" w:cs="Arial"/>
                <w:sz w:val="22"/>
                <w:szCs w:val="22"/>
              </w:rPr>
              <w:t>Yes</w:t>
            </w:r>
          </w:p>
        </w:tc>
        <w:tc>
          <w:tcPr>
            <w:tcW w:w="1464" w:type="dxa"/>
          </w:tcPr>
          <w:p w14:paraId="1D5C77B4" w14:textId="77777777" w:rsidR="00292F7E" w:rsidRPr="006E5B28" w:rsidRDefault="00292F7E" w:rsidP="00966759">
            <w:pPr>
              <w:rPr>
                <w:rFonts w:ascii="Arial" w:hAnsi="Arial" w:cs="Arial"/>
                <w:sz w:val="22"/>
                <w:szCs w:val="22"/>
              </w:rPr>
            </w:pPr>
            <w:r w:rsidRPr="006E5B28">
              <w:rPr>
                <w:rFonts w:ascii="Arial" w:hAnsi="Arial" w:cs="Arial"/>
                <w:sz w:val="22"/>
                <w:szCs w:val="22"/>
              </w:rPr>
              <w:t>West et al. (2018)</w:t>
            </w:r>
          </w:p>
        </w:tc>
        <w:tc>
          <w:tcPr>
            <w:tcW w:w="1579" w:type="dxa"/>
          </w:tcPr>
          <w:p w14:paraId="7F68F666" w14:textId="77777777" w:rsidR="00292F7E" w:rsidRPr="006E5B28" w:rsidRDefault="00292F7E" w:rsidP="00966759">
            <w:pPr>
              <w:rPr>
                <w:rFonts w:ascii="Arial" w:hAnsi="Arial" w:cs="Arial"/>
                <w:sz w:val="22"/>
                <w:szCs w:val="22"/>
              </w:rPr>
            </w:pPr>
            <w:r w:rsidRPr="006E5B28">
              <w:rPr>
                <w:rFonts w:ascii="Arial" w:hAnsi="Arial" w:cs="Arial"/>
                <w:sz w:val="22"/>
                <w:szCs w:val="22"/>
              </w:rPr>
              <w:t>Interventions to Prevent and Reduce Physician Burnout</w:t>
            </w:r>
          </w:p>
        </w:tc>
        <w:tc>
          <w:tcPr>
            <w:tcW w:w="1686" w:type="dxa"/>
          </w:tcPr>
          <w:p w14:paraId="78C1A83A" w14:textId="77777777" w:rsidR="00292F7E" w:rsidRPr="006E5B28" w:rsidRDefault="00292F7E" w:rsidP="00966759">
            <w:pPr>
              <w:rPr>
                <w:rFonts w:ascii="Arial" w:hAnsi="Arial" w:cs="Arial"/>
                <w:sz w:val="22"/>
                <w:szCs w:val="22"/>
              </w:rPr>
            </w:pPr>
            <w:r w:rsidRPr="006E5B28">
              <w:rPr>
                <w:rFonts w:ascii="Arial" w:hAnsi="Arial" w:cs="Arial"/>
                <w:sz w:val="22"/>
                <w:szCs w:val="22"/>
              </w:rPr>
              <w:t>Reviews organisational interventions that reduce burnout.</w:t>
            </w:r>
          </w:p>
        </w:tc>
        <w:tc>
          <w:tcPr>
            <w:tcW w:w="2451" w:type="dxa"/>
          </w:tcPr>
          <w:p w14:paraId="385FBEF8" w14:textId="77777777" w:rsidR="00292F7E" w:rsidRPr="006E5B28" w:rsidRDefault="00292F7E" w:rsidP="00966759">
            <w:pPr>
              <w:rPr>
                <w:rFonts w:ascii="Arial" w:hAnsi="Arial" w:cs="Arial"/>
                <w:sz w:val="22"/>
                <w:szCs w:val="22"/>
              </w:rPr>
            </w:pPr>
            <w:r w:rsidRPr="006E5B28">
              <w:rPr>
                <w:rFonts w:ascii="Arial" w:hAnsi="Arial" w:cs="Arial"/>
                <w:b/>
                <w:bCs/>
                <w:sz w:val="22"/>
                <w:szCs w:val="22"/>
              </w:rPr>
              <w:t>Currency</w:t>
            </w:r>
            <w:r w:rsidRPr="006E5B28">
              <w:rPr>
                <w:rFonts w:ascii="Arial" w:hAnsi="Arial" w:cs="Arial"/>
                <w:sz w:val="22"/>
                <w:szCs w:val="22"/>
              </w:rPr>
              <w:t xml:space="preserve">: High; </w:t>
            </w:r>
            <w:r w:rsidRPr="006E5B28">
              <w:rPr>
                <w:rFonts w:ascii="Arial" w:hAnsi="Arial" w:cs="Arial"/>
                <w:b/>
                <w:bCs/>
                <w:sz w:val="22"/>
                <w:szCs w:val="22"/>
              </w:rPr>
              <w:t>Relevance</w:t>
            </w:r>
            <w:r w:rsidRPr="006E5B28">
              <w:rPr>
                <w:rFonts w:ascii="Arial" w:hAnsi="Arial" w:cs="Arial"/>
                <w:sz w:val="22"/>
                <w:szCs w:val="22"/>
              </w:rPr>
              <w:t xml:space="preserve">: Strong </w:t>
            </w:r>
            <w:r w:rsidRPr="006E5B28">
              <w:rPr>
                <w:rFonts w:ascii="Arial" w:hAnsi="Arial" w:cs="Arial"/>
                <w:b/>
                <w:bCs/>
                <w:sz w:val="22"/>
                <w:szCs w:val="22"/>
              </w:rPr>
              <w:t>Authority</w:t>
            </w:r>
            <w:r w:rsidRPr="006E5B28">
              <w:rPr>
                <w:rFonts w:ascii="Arial" w:hAnsi="Arial" w:cs="Arial"/>
                <w:sz w:val="22"/>
                <w:szCs w:val="22"/>
              </w:rPr>
              <w:t xml:space="preserve">: JAMA </w:t>
            </w:r>
            <w:r w:rsidRPr="006E5B28">
              <w:rPr>
                <w:rFonts w:ascii="Arial" w:hAnsi="Arial" w:cs="Arial"/>
                <w:b/>
                <w:bCs/>
                <w:sz w:val="22"/>
                <w:szCs w:val="22"/>
              </w:rPr>
              <w:t>Accuracy</w:t>
            </w:r>
            <w:r w:rsidRPr="006E5B28">
              <w:rPr>
                <w:rFonts w:ascii="Arial" w:hAnsi="Arial" w:cs="Arial"/>
                <w:sz w:val="22"/>
                <w:szCs w:val="22"/>
              </w:rPr>
              <w:t>: Meta analysis</w:t>
            </w:r>
          </w:p>
          <w:p w14:paraId="4C2DFA59" w14:textId="77777777" w:rsidR="00292F7E" w:rsidRPr="006E5B28" w:rsidRDefault="00292F7E" w:rsidP="00966759">
            <w:pPr>
              <w:rPr>
                <w:rFonts w:ascii="Arial" w:hAnsi="Arial" w:cs="Arial"/>
                <w:sz w:val="22"/>
                <w:szCs w:val="22"/>
              </w:rPr>
            </w:pPr>
            <w:r w:rsidRPr="006E5B28">
              <w:rPr>
                <w:rFonts w:ascii="Arial" w:hAnsi="Arial" w:cs="Arial"/>
                <w:sz w:val="22"/>
                <w:szCs w:val="22"/>
              </w:rPr>
              <w:t xml:space="preserve"> </w:t>
            </w:r>
            <w:r w:rsidRPr="006E5B28">
              <w:rPr>
                <w:rFonts w:ascii="Arial" w:hAnsi="Arial" w:cs="Arial"/>
                <w:b/>
                <w:bCs/>
                <w:sz w:val="22"/>
                <w:szCs w:val="22"/>
              </w:rPr>
              <w:t>Purpose</w:t>
            </w:r>
            <w:r w:rsidRPr="006E5B28">
              <w:rPr>
                <w:rFonts w:ascii="Arial" w:hAnsi="Arial" w:cs="Arial"/>
                <w:sz w:val="22"/>
                <w:szCs w:val="22"/>
              </w:rPr>
              <w:t>: Academic</w:t>
            </w:r>
          </w:p>
        </w:tc>
        <w:tc>
          <w:tcPr>
            <w:tcW w:w="770" w:type="dxa"/>
          </w:tcPr>
          <w:p w14:paraId="1AEA0266" w14:textId="77777777" w:rsidR="00292F7E" w:rsidRPr="006E5B28" w:rsidRDefault="00292F7E" w:rsidP="00966759">
            <w:pPr>
              <w:rPr>
                <w:rFonts w:ascii="Arial" w:hAnsi="Arial" w:cs="Arial"/>
                <w:sz w:val="22"/>
                <w:szCs w:val="22"/>
              </w:rPr>
            </w:pPr>
            <w:hyperlink r:id="rId49" w:history="1">
              <w:r w:rsidRPr="006E5B28">
                <w:rPr>
                  <w:rStyle w:val="Hyperlink"/>
                  <w:rFonts w:ascii="Arial" w:hAnsi="Arial" w:cs="Arial"/>
                  <w:sz w:val="22"/>
                  <w:szCs w:val="22"/>
                </w:rPr>
                <w:t>https://pubmed.ncbi.nlm.nih.gov/29505159/</w:t>
              </w:r>
            </w:hyperlink>
            <w:r w:rsidRPr="006E5B28">
              <w:rPr>
                <w:rFonts w:ascii="Arial" w:hAnsi="Arial" w:cs="Arial"/>
                <w:sz w:val="22"/>
                <w:szCs w:val="22"/>
              </w:rPr>
              <w:t xml:space="preserve"> </w:t>
            </w:r>
          </w:p>
        </w:tc>
      </w:tr>
      <w:tr w:rsidR="00292F7E" w:rsidRPr="006E5B28" w14:paraId="33A8B4D3" w14:textId="77777777" w:rsidTr="00966759">
        <w:tc>
          <w:tcPr>
            <w:tcW w:w="1066" w:type="dxa"/>
          </w:tcPr>
          <w:p w14:paraId="00D1FB19" w14:textId="77777777" w:rsidR="00292F7E" w:rsidRPr="006E5B28" w:rsidRDefault="00292F7E" w:rsidP="00966759">
            <w:pPr>
              <w:rPr>
                <w:rFonts w:ascii="Arial" w:hAnsi="Arial" w:cs="Arial"/>
                <w:sz w:val="22"/>
                <w:szCs w:val="22"/>
              </w:rPr>
            </w:pPr>
            <w:r w:rsidRPr="006E5B28">
              <w:rPr>
                <w:rFonts w:ascii="Arial" w:hAnsi="Arial" w:cs="Arial"/>
                <w:sz w:val="22"/>
                <w:szCs w:val="22"/>
              </w:rPr>
              <w:t>Yes</w:t>
            </w:r>
          </w:p>
        </w:tc>
        <w:tc>
          <w:tcPr>
            <w:tcW w:w="1464" w:type="dxa"/>
          </w:tcPr>
          <w:p w14:paraId="129A9712" w14:textId="77777777" w:rsidR="00292F7E" w:rsidRPr="006E5B28" w:rsidRDefault="00292F7E" w:rsidP="00966759">
            <w:pPr>
              <w:rPr>
                <w:rFonts w:ascii="Arial" w:hAnsi="Arial" w:cs="Arial"/>
                <w:sz w:val="22"/>
                <w:szCs w:val="22"/>
              </w:rPr>
            </w:pPr>
            <w:r w:rsidRPr="006E5B28">
              <w:rPr>
                <w:rFonts w:ascii="Arial" w:hAnsi="Arial" w:cs="Arial"/>
                <w:sz w:val="22"/>
                <w:szCs w:val="22"/>
              </w:rPr>
              <w:t>Dyrbye et al. (2020)</w:t>
            </w:r>
          </w:p>
        </w:tc>
        <w:tc>
          <w:tcPr>
            <w:tcW w:w="1579" w:type="dxa"/>
          </w:tcPr>
          <w:p w14:paraId="4FA24EBA" w14:textId="77777777" w:rsidR="00292F7E" w:rsidRPr="006E5B28" w:rsidRDefault="00292F7E" w:rsidP="00966759">
            <w:pPr>
              <w:rPr>
                <w:rFonts w:ascii="Arial" w:hAnsi="Arial" w:cs="Arial"/>
                <w:sz w:val="22"/>
                <w:szCs w:val="22"/>
              </w:rPr>
            </w:pPr>
            <w:r w:rsidRPr="006E5B28">
              <w:rPr>
                <w:rFonts w:ascii="Arial" w:hAnsi="Arial" w:cs="Arial"/>
                <w:sz w:val="22"/>
                <w:szCs w:val="22"/>
              </w:rPr>
              <w:t>Physician Burnout and Well-being</w:t>
            </w:r>
          </w:p>
        </w:tc>
        <w:tc>
          <w:tcPr>
            <w:tcW w:w="1686" w:type="dxa"/>
          </w:tcPr>
          <w:p w14:paraId="20B31BF6" w14:textId="77777777" w:rsidR="00292F7E" w:rsidRPr="006E5B28" w:rsidRDefault="00292F7E" w:rsidP="00966759">
            <w:pPr>
              <w:rPr>
                <w:rFonts w:ascii="Arial" w:hAnsi="Arial" w:cs="Arial"/>
                <w:sz w:val="22"/>
                <w:szCs w:val="22"/>
              </w:rPr>
            </w:pPr>
            <w:r w:rsidRPr="006E5B28">
              <w:rPr>
                <w:rFonts w:ascii="Arial" w:eastAsia="Times New Roman" w:hAnsi="Arial" w:cs="Arial"/>
                <w:sz w:val="22"/>
                <w:szCs w:val="22"/>
              </w:rPr>
              <w:t>Explores drivers of burnout and workforce impact.</w:t>
            </w:r>
          </w:p>
        </w:tc>
        <w:tc>
          <w:tcPr>
            <w:tcW w:w="2451" w:type="dxa"/>
          </w:tcPr>
          <w:p w14:paraId="12447B32" w14:textId="77777777" w:rsidR="00292F7E" w:rsidRPr="006E5B28" w:rsidRDefault="00292F7E" w:rsidP="00966759">
            <w:pPr>
              <w:rPr>
                <w:rFonts w:ascii="Arial" w:hAnsi="Arial" w:cs="Arial"/>
                <w:sz w:val="22"/>
                <w:szCs w:val="22"/>
              </w:rPr>
            </w:pPr>
            <w:r w:rsidRPr="006E5B28">
              <w:rPr>
                <w:rFonts w:ascii="Arial" w:hAnsi="Arial" w:cs="Arial"/>
                <w:b/>
                <w:bCs/>
                <w:sz w:val="22"/>
                <w:szCs w:val="22"/>
              </w:rPr>
              <w:t>Currency</w:t>
            </w:r>
            <w:r w:rsidRPr="006E5B28">
              <w:rPr>
                <w:rFonts w:ascii="Arial" w:hAnsi="Arial" w:cs="Arial"/>
                <w:sz w:val="22"/>
                <w:szCs w:val="22"/>
              </w:rPr>
              <w:t xml:space="preserve">: High </w:t>
            </w:r>
            <w:r w:rsidRPr="006E5B28">
              <w:rPr>
                <w:rFonts w:ascii="Arial" w:hAnsi="Arial" w:cs="Arial"/>
                <w:b/>
                <w:bCs/>
                <w:sz w:val="22"/>
                <w:szCs w:val="22"/>
              </w:rPr>
              <w:t>Relevance</w:t>
            </w:r>
            <w:r w:rsidRPr="006E5B28">
              <w:rPr>
                <w:rFonts w:ascii="Arial" w:hAnsi="Arial" w:cs="Arial"/>
                <w:sz w:val="22"/>
                <w:szCs w:val="22"/>
              </w:rPr>
              <w:t xml:space="preserve">: Strong </w:t>
            </w:r>
            <w:r w:rsidRPr="006E5B28">
              <w:rPr>
                <w:rFonts w:ascii="Arial" w:hAnsi="Arial" w:cs="Arial"/>
                <w:b/>
                <w:bCs/>
                <w:sz w:val="22"/>
                <w:szCs w:val="22"/>
              </w:rPr>
              <w:t>Authority</w:t>
            </w:r>
            <w:r w:rsidRPr="006E5B28">
              <w:rPr>
                <w:rFonts w:ascii="Arial" w:hAnsi="Arial" w:cs="Arial"/>
                <w:sz w:val="22"/>
                <w:szCs w:val="22"/>
              </w:rPr>
              <w:t>: Medical journal</w:t>
            </w:r>
          </w:p>
          <w:p w14:paraId="6836E3EF" w14:textId="77777777" w:rsidR="00292F7E" w:rsidRPr="006E5B28" w:rsidRDefault="00292F7E" w:rsidP="00966759">
            <w:pPr>
              <w:rPr>
                <w:rFonts w:ascii="Arial" w:hAnsi="Arial" w:cs="Arial"/>
                <w:sz w:val="22"/>
                <w:szCs w:val="22"/>
              </w:rPr>
            </w:pPr>
            <w:r w:rsidRPr="006E5B28">
              <w:rPr>
                <w:rFonts w:ascii="Arial" w:hAnsi="Arial" w:cs="Arial"/>
                <w:sz w:val="22"/>
                <w:szCs w:val="22"/>
              </w:rPr>
              <w:t xml:space="preserve"> </w:t>
            </w:r>
            <w:r w:rsidRPr="006E5B28">
              <w:rPr>
                <w:rFonts w:ascii="Arial" w:hAnsi="Arial" w:cs="Arial"/>
                <w:b/>
                <w:bCs/>
                <w:sz w:val="22"/>
                <w:szCs w:val="22"/>
              </w:rPr>
              <w:t>Accuracy</w:t>
            </w:r>
            <w:r w:rsidRPr="006E5B28">
              <w:rPr>
                <w:rFonts w:ascii="Arial" w:hAnsi="Arial" w:cs="Arial"/>
                <w:sz w:val="22"/>
                <w:szCs w:val="22"/>
              </w:rPr>
              <w:t>: Evidence based</w:t>
            </w:r>
          </w:p>
          <w:p w14:paraId="1CD33F90" w14:textId="77777777" w:rsidR="00292F7E" w:rsidRPr="006E5B28" w:rsidRDefault="00292F7E" w:rsidP="00966759">
            <w:pPr>
              <w:rPr>
                <w:rFonts w:ascii="Arial" w:hAnsi="Arial" w:cs="Arial"/>
                <w:sz w:val="22"/>
                <w:szCs w:val="22"/>
              </w:rPr>
            </w:pPr>
            <w:r w:rsidRPr="006E5B28">
              <w:rPr>
                <w:rFonts w:ascii="Arial" w:hAnsi="Arial" w:cs="Arial"/>
                <w:sz w:val="22"/>
                <w:szCs w:val="22"/>
              </w:rPr>
              <w:t xml:space="preserve"> </w:t>
            </w:r>
            <w:r w:rsidRPr="006E5B28">
              <w:rPr>
                <w:rFonts w:ascii="Arial" w:hAnsi="Arial" w:cs="Arial"/>
                <w:b/>
                <w:bCs/>
                <w:sz w:val="22"/>
                <w:szCs w:val="22"/>
              </w:rPr>
              <w:t>Purpose</w:t>
            </w:r>
            <w:r w:rsidRPr="006E5B28">
              <w:rPr>
                <w:rFonts w:ascii="Arial" w:hAnsi="Arial" w:cs="Arial"/>
                <w:sz w:val="22"/>
                <w:szCs w:val="22"/>
              </w:rPr>
              <w:t>: Academic</w:t>
            </w:r>
          </w:p>
        </w:tc>
        <w:tc>
          <w:tcPr>
            <w:tcW w:w="770" w:type="dxa"/>
          </w:tcPr>
          <w:p w14:paraId="6F3A34D3" w14:textId="77777777" w:rsidR="00292F7E" w:rsidRPr="006E5B28" w:rsidRDefault="00292F7E" w:rsidP="00966759">
            <w:pPr>
              <w:rPr>
                <w:rFonts w:ascii="Arial" w:hAnsi="Arial" w:cs="Arial"/>
                <w:sz w:val="22"/>
                <w:szCs w:val="22"/>
              </w:rPr>
            </w:pPr>
          </w:p>
          <w:p w14:paraId="270987BA" w14:textId="77777777" w:rsidR="00292F7E" w:rsidRPr="006E5B28" w:rsidRDefault="00292F7E" w:rsidP="00966759">
            <w:pPr>
              <w:rPr>
                <w:rFonts w:ascii="Arial" w:hAnsi="Arial" w:cs="Arial"/>
                <w:sz w:val="22"/>
                <w:szCs w:val="22"/>
              </w:rPr>
            </w:pPr>
            <w:hyperlink r:id="rId50" w:history="1">
              <w:r w:rsidRPr="006E5B28">
                <w:rPr>
                  <w:rStyle w:val="Hyperlink"/>
                  <w:rFonts w:ascii="Arial" w:hAnsi="Arial" w:cs="Arial"/>
                  <w:sz w:val="22"/>
                  <w:szCs w:val="22"/>
                </w:rPr>
                <w:t>https://doi.org/10.1007/s11606-019-05376-x</w:t>
              </w:r>
            </w:hyperlink>
            <w:r w:rsidRPr="006E5B28">
              <w:rPr>
                <w:rFonts w:ascii="Arial" w:hAnsi="Arial" w:cs="Arial"/>
                <w:sz w:val="22"/>
                <w:szCs w:val="22"/>
              </w:rPr>
              <w:t xml:space="preserve"> </w:t>
            </w:r>
          </w:p>
        </w:tc>
      </w:tr>
      <w:tr w:rsidR="00292F7E" w:rsidRPr="006E5B28" w14:paraId="6AC936E7" w14:textId="77777777" w:rsidTr="00966759">
        <w:tc>
          <w:tcPr>
            <w:tcW w:w="1066" w:type="dxa"/>
          </w:tcPr>
          <w:p w14:paraId="6A2DDCB7" w14:textId="77777777" w:rsidR="00292F7E" w:rsidRPr="006E5B28" w:rsidRDefault="00292F7E" w:rsidP="00966759">
            <w:pPr>
              <w:rPr>
                <w:rFonts w:ascii="Arial" w:hAnsi="Arial" w:cs="Arial"/>
                <w:sz w:val="22"/>
                <w:szCs w:val="22"/>
              </w:rPr>
            </w:pPr>
            <w:r w:rsidRPr="006E5B28">
              <w:rPr>
                <w:rFonts w:ascii="Arial" w:hAnsi="Arial" w:cs="Arial"/>
                <w:sz w:val="22"/>
                <w:szCs w:val="22"/>
              </w:rPr>
              <w:t>Yes</w:t>
            </w:r>
          </w:p>
        </w:tc>
        <w:tc>
          <w:tcPr>
            <w:tcW w:w="1464" w:type="dxa"/>
          </w:tcPr>
          <w:p w14:paraId="7C793F0E" w14:textId="77777777" w:rsidR="00292F7E" w:rsidRPr="006E5B28" w:rsidRDefault="00292F7E" w:rsidP="00966759">
            <w:pPr>
              <w:rPr>
                <w:rFonts w:ascii="Arial" w:hAnsi="Arial" w:cs="Arial"/>
                <w:sz w:val="22"/>
                <w:szCs w:val="22"/>
              </w:rPr>
            </w:pPr>
            <w:r w:rsidRPr="006E5B28">
              <w:rPr>
                <w:rFonts w:ascii="Arial" w:hAnsi="Arial" w:cs="Arial"/>
                <w:sz w:val="22"/>
                <w:szCs w:val="22"/>
              </w:rPr>
              <w:t>Shanafelt &amp; Noseworthy (2017)</w:t>
            </w:r>
            <w:r w:rsidRPr="006E5B28">
              <w:rPr>
                <w:rFonts w:ascii="Arial" w:hAnsi="Arial" w:cs="Arial"/>
                <w:sz w:val="22"/>
                <w:szCs w:val="22"/>
              </w:rPr>
              <w:tab/>
            </w:r>
            <w:r w:rsidRPr="006E5B28">
              <w:rPr>
                <w:rFonts w:ascii="Arial" w:hAnsi="Arial" w:cs="Arial"/>
                <w:sz w:val="22"/>
                <w:szCs w:val="22"/>
              </w:rPr>
              <w:tab/>
            </w:r>
            <w:r w:rsidRPr="006E5B28">
              <w:rPr>
                <w:rFonts w:ascii="Arial" w:hAnsi="Arial" w:cs="Arial"/>
                <w:sz w:val="22"/>
                <w:szCs w:val="22"/>
              </w:rPr>
              <w:tab/>
            </w:r>
            <w:r w:rsidRPr="006E5B28">
              <w:rPr>
                <w:rFonts w:ascii="Arial" w:hAnsi="Arial" w:cs="Arial"/>
                <w:sz w:val="22"/>
                <w:szCs w:val="22"/>
              </w:rPr>
              <w:tab/>
            </w:r>
          </w:p>
        </w:tc>
        <w:tc>
          <w:tcPr>
            <w:tcW w:w="1579" w:type="dxa"/>
          </w:tcPr>
          <w:p w14:paraId="5274EF7A" w14:textId="77777777" w:rsidR="00292F7E" w:rsidRPr="006E5B28" w:rsidRDefault="00292F7E" w:rsidP="00966759">
            <w:pPr>
              <w:rPr>
                <w:rFonts w:ascii="Arial" w:hAnsi="Arial" w:cs="Arial"/>
                <w:sz w:val="22"/>
                <w:szCs w:val="22"/>
              </w:rPr>
            </w:pPr>
            <w:r w:rsidRPr="006E5B28">
              <w:rPr>
                <w:rFonts w:ascii="Arial" w:hAnsi="Arial" w:cs="Arial"/>
                <w:sz w:val="22"/>
                <w:szCs w:val="22"/>
              </w:rPr>
              <w:t>Executive Leadership and Physician Well-being</w:t>
            </w:r>
          </w:p>
        </w:tc>
        <w:tc>
          <w:tcPr>
            <w:tcW w:w="1686" w:type="dxa"/>
          </w:tcPr>
          <w:p w14:paraId="6B13EAAB" w14:textId="77777777" w:rsidR="00292F7E" w:rsidRPr="006E5B28" w:rsidRDefault="00292F7E" w:rsidP="00966759">
            <w:pPr>
              <w:rPr>
                <w:rFonts w:ascii="Arial" w:hAnsi="Arial" w:cs="Arial"/>
                <w:sz w:val="22"/>
                <w:szCs w:val="22"/>
              </w:rPr>
            </w:pPr>
            <w:r w:rsidRPr="006E5B28">
              <w:rPr>
                <w:rFonts w:ascii="Arial" w:hAnsi="Arial" w:cs="Arial"/>
                <w:sz w:val="22"/>
                <w:szCs w:val="22"/>
              </w:rPr>
              <w:t>Highlights importance of leadership in reducing burnout.</w:t>
            </w:r>
          </w:p>
        </w:tc>
        <w:tc>
          <w:tcPr>
            <w:tcW w:w="2451" w:type="dxa"/>
          </w:tcPr>
          <w:p w14:paraId="761E89AB" w14:textId="77777777" w:rsidR="00292F7E" w:rsidRPr="006E5B28" w:rsidRDefault="00292F7E" w:rsidP="00966759">
            <w:pPr>
              <w:rPr>
                <w:rFonts w:ascii="Arial" w:hAnsi="Arial" w:cs="Arial"/>
                <w:sz w:val="22"/>
                <w:szCs w:val="22"/>
              </w:rPr>
            </w:pPr>
            <w:r w:rsidRPr="006E5B28">
              <w:rPr>
                <w:rFonts w:ascii="Arial" w:hAnsi="Arial" w:cs="Arial"/>
                <w:b/>
                <w:bCs/>
                <w:sz w:val="22"/>
                <w:szCs w:val="22"/>
              </w:rPr>
              <w:t>Currency</w:t>
            </w:r>
            <w:r w:rsidRPr="006E5B28">
              <w:rPr>
                <w:rFonts w:ascii="Arial" w:hAnsi="Arial" w:cs="Arial"/>
                <w:sz w:val="22"/>
                <w:szCs w:val="22"/>
              </w:rPr>
              <w:t>: Good</w:t>
            </w:r>
          </w:p>
          <w:p w14:paraId="0C946660" w14:textId="77777777" w:rsidR="00292F7E" w:rsidRPr="006E5B28" w:rsidRDefault="00292F7E" w:rsidP="00966759">
            <w:pPr>
              <w:rPr>
                <w:rFonts w:ascii="Arial" w:hAnsi="Arial" w:cs="Arial"/>
                <w:sz w:val="22"/>
                <w:szCs w:val="22"/>
              </w:rPr>
            </w:pPr>
            <w:r w:rsidRPr="006E5B28">
              <w:rPr>
                <w:rFonts w:ascii="Arial" w:hAnsi="Arial" w:cs="Arial"/>
                <w:b/>
                <w:bCs/>
                <w:sz w:val="22"/>
                <w:szCs w:val="22"/>
              </w:rPr>
              <w:t>Relevance</w:t>
            </w:r>
            <w:r w:rsidRPr="006E5B28">
              <w:rPr>
                <w:rFonts w:ascii="Arial" w:hAnsi="Arial" w:cs="Arial"/>
                <w:sz w:val="22"/>
                <w:szCs w:val="22"/>
              </w:rPr>
              <w:t>: Strong</w:t>
            </w:r>
          </w:p>
          <w:p w14:paraId="34283117" w14:textId="77777777" w:rsidR="00292F7E" w:rsidRPr="006E5B28" w:rsidRDefault="00292F7E" w:rsidP="00966759">
            <w:pPr>
              <w:rPr>
                <w:rFonts w:ascii="Arial" w:hAnsi="Arial" w:cs="Arial"/>
                <w:sz w:val="22"/>
                <w:szCs w:val="22"/>
              </w:rPr>
            </w:pPr>
            <w:r w:rsidRPr="006E5B28">
              <w:rPr>
                <w:rFonts w:ascii="Arial" w:hAnsi="Arial" w:cs="Arial"/>
                <w:b/>
                <w:bCs/>
                <w:sz w:val="22"/>
                <w:szCs w:val="22"/>
              </w:rPr>
              <w:t>Authority</w:t>
            </w:r>
            <w:r w:rsidRPr="006E5B28">
              <w:rPr>
                <w:rFonts w:ascii="Arial" w:hAnsi="Arial" w:cs="Arial"/>
                <w:sz w:val="22"/>
                <w:szCs w:val="22"/>
              </w:rPr>
              <w:t xml:space="preserve">: Mayo Clinic Proceedings </w:t>
            </w:r>
            <w:r w:rsidRPr="006E5B28">
              <w:rPr>
                <w:rFonts w:ascii="Arial" w:hAnsi="Arial" w:cs="Arial"/>
                <w:b/>
                <w:bCs/>
                <w:sz w:val="22"/>
                <w:szCs w:val="22"/>
              </w:rPr>
              <w:t>Accuracy</w:t>
            </w:r>
            <w:r w:rsidRPr="006E5B28">
              <w:rPr>
                <w:rFonts w:ascii="Arial" w:hAnsi="Arial" w:cs="Arial"/>
                <w:sz w:val="22"/>
                <w:szCs w:val="22"/>
              </w:rPr>
              <w:t>: Evidence</w:t>
            </w:r>
          </w:p>
          <w:p w14:paraId="04F00C63" w14:textId="77777777" w:rsidR="00292F7E" w:rsidRPr="006E5B28" w:rsidRDefault="00292F7E" w:rsidP="00966759">
            <w:pPr>
              <w:rPr>
                <w:rFonts w:ascii="Arial" w:hAnsi="Arial" w:cs="Arial"/>
                <w:sz w:val="22"/>
                <w:szCs w:val="22"/>
              </w:rPr>
            </w:pPr>
            <w:r w:rsidRPr="006E5B28">
              <w:rPr>
                <w:rFonts w:ascii="Arial" w:hAnsi="Arial" w:cs="Arial"/>
                <w:sz w:val="22"/>
                <w:szCs w:val="22"/>
              </w:rPr>
              <w:t>based</w:t>
            </w:r>
          </w:p>
          <w:p w14:paraId="0817DAF4" w14:textId="77777777" w:rsidR="00292F7E" w:rsidRPr="006E5B28" w:rsidRDefault="00292F7E" w:rsidP="00966759">
            <w:pPr>
              <w:rPr>
                <w:rFonts w:ascii="Arial" w:hAnsi="Arial" w:cs="Arial"/>
                <w:sz w:val="22"/>
                <w:szCs w:val="22"/>
              </w:rPr>
            </w:pPr>
            <w:r w:rsidRPr="006E5B28">
              <w:rPr>
                <w:rFonts w:ascii="Arial" w:hAnsi="Arial" w:cs="Arial"/>
                <w:sz w:val="22"/>
                <w:szCs w:val="22"/>
              </w:rPr>
              <w:t xml:space="preserve"> </w:t>
            </w:r>
            <w:r w:rsidRPr="006E5B28">
              <w:rPr>
                <w:rFonts w:ascii="Arial" w:hAnsi="Arial" w:cs="Arial"/>
                <w:b/>
                <w:bCs/>
                <w:sz w:val="22"/>
                <w:szCs w:val="22"/>
              </w:rPr>
              <w:t>Purpose</w:t>
            </w:r>
            <w:r w:rsidRPr="006E5B28">
              <w:rPr>
                <w:rFonts w:ascii="Arial" w:hAnsi="Arial" w:cs="Arial"/>
                <w:sz w:val="22"/>
                <w:szCs w:val="22"/>
              </w:rPr>
              <w:t>: Academic</w:t>
            </w:r>
          </w:p>
        </w:tc>
        <w:tc>
          <w:tcPr>
            <w:tcW w:w="770" w:type="dxa"/>
          </w:tcPr>
          <w:p w14:paraId="163783D5" w14:textId="77777777" w:rsidR="00292F7E" w:rsidRPr="006E5B28" w:rsidRDefault="00292F7E" w:rsidP="00966759">
            <w:pPr>
              <w:rPr>
                <w:rFonts w:ascii="Arial" w:hAnsi="Arial" w:cs="Arial"/>
                <w:sz w:val="22"/>
                <w:szCs w:val="22"/>
              </w:rPr>
            </w:pPr>
            <w:hyperlink r:id="rId51" w:history="1">
              <w:r w:rsidRPr="006E5B28">
                <w:rPr>
                  <w:rStyle w:val="Hyperlink"/>
                  <w:rFonts w:ascii="Arial" w:hAnsi="Arial" w:cs="Arial"/>
                  <w:sz w:val="22"/>
                  <w:szCs w:val="22"/>
                </w:rPr>
                <w:t>https://doi.org/10.1016/j.mayocp.2016.10.004</w:t>
              </w:r>
            </w:hyperlink>
            <w:r w:rsidRPr="006E5B28">
              <w:rPr>
                <w:rFonts w:ascii="Arial" w:hAnsi="Arial" w:cs="Arial"/>
                <w:sz w:val="22"/>
                <w:szCs w:val="22"/>
              </w:rPr>
              <w:t xml:space="preserve"> </w:t>
            </w:r>
          </w:p>
        </w:tc>
      </w:tr>
      <w:tr w:rsidR="00292F7E" w:rsidRPr="006E5B28" w14:paraId="3EA6AEA2" w14:textId="77777777" w:rsidTr="00966759">
        <w:tc>
          <w:tcPr>
            <w:tcW w:w="1066" w:type="dxa"/>
          </w:tcPr>
          <w:p w14:paraId="444C226C" w14:textId="77777777" w:rsidR="00292F7E" w:rsidRPr="006E5B28" w:rsidRDefault="00292F7E" w:rsidP="00966759">
            <w:pPr>
              <w:rPr>
                <w:rFonts w:ascii="Arial" w:hAnsi="Arial" w:cs="Arial"/>
                <w:sz w:val="22"/>
                <w:szCs w:val="22"/>
              </w:rPr>
            </w:pPr>
            <w:r w:rsidRPr="006E5B28">
              <w:rPr>
                <w:rFonts w:ascii="Arial" w:hAnsi="Arial" w:cs="Arial"/>
                <w:sz w:val="22"/>
                <w:szCs w:val="22"/>
              </w:rPr>
              <w:t>Yes</w:t>
            </w:r>
          </w:p>
        </w:tc>
        <w:tc>
          <w:tcPr>
            <w:tcW w:w="1464" w:type="dxa"/>
          </w:tcPr>
          <w:p w14:paraId="37D14F4B" w14:textId="77777777" w:rsidR="00292F7E" w:rsidRPr="006E5B28" w:rsidRDefault="00292F7E" w:rsidP="00966759">
            <w:pPr>
              <w:rPr>
                <w:rFonts w:ascii="Arial" w:hAnsi="Arial" w:cs="Arial"/>
                <w:sz w:val="22"/>
                <w:szCs w:val="22"/>
              </w:rPr>
            </w:pPr>
            <w:r w:rsidRPr="006E5B28">
              <w:rPr>
                <w:rFonts w:ascii="Arial" w:hAnsi="Arial" w:cs="Arial"/>
                <w:sz w:val="22"/>
                <w:szCs w:val="22"/>
              </w:rPr>
              <w:t>Pappa et al. (2020)</w:t>
            </w:r>
          </w:p>
        </w:tc>
        <w:tc>
          <w:tcPr>
            <w:tcW w:w="1579" w:type="dxa"/>
          </w:tcPr>
          <w:p w14:paraId="73DBC3B7" w14:textId="77777777" w:rsidR="00292F7E" w:rsidRPr="006E5B28" w:rsidRDefault="00292F7E" w:rsidP="00966759">
            <w:pPr>
              <w:rPr>
                <w:rFonts w:ascii="Arial" w:hAnsi="Arial" w:cs="Arial"/>
                <w:sz w:val="22"/>
                <w:szCs w:val="22"/>
              </w:rPr>
            </w:pPr>
            <w:r w:rsidRPr="006E5B28">
              <w:rPr>
                <w:rFonts w:ascii="Arial" w:hAnsi="Arial" w:cs="Arial"/>
                <w:sz w:val="22"/>
                <w:szCs w:val="22"/>
              </w:rPr>
              <w:t>Prevalence of Depress</w:t>
            </w:r>
            <w:r w:rsidRPr="006E5B28">
              <w:rPr>
                <w:rFonts w:ascii="Arial" w:hAnsi="Arial" w:cs="Arial"/>
                <w:sz w:val="22"/>
                <w:szCs w:val="22"/>
              </w:rPr>
              <w:lastRenderedPageBreak/>
              <w:t>ion, Anxiety and Insomnia among Healthcare Workers</w:t>
            </w:r>
          </w:p>
        </w:tc>
        <w:tc>
          <w:tcPr>
            <w:tcW w:w="1686" w:type="dxa"/>
          </w:tcPr>
          <w:p w14:paraId="50F02AA8" w14:textId="77777777" w:rsidR="00292F7E" w:rsidRPr="006E5B28" w:rsidRDefault="00292F7E" w:rsidP="00966759">
            <w:pPr>
              <w:rPr>
                <w:rFonts w:ascii="Arial" w:hAnsi="Arial" w:cs="Arial"/>
                <w:sz w:val="22"/>
                <w:szCs w:val="22"/>
              </w:rPr>
            </w:pPr>
            <w:r w:rsidRPr="006E5B28">
              <w:rPr>
                <w:rFonts w:ascii="Arial" w:hAnsi="Arial" w:cs="Arial"/>
                <w:sz w:val="22"/>
                <w:szCs w:val="22"/>
              </w:rPr>
              <w:lastRenderedPageBreak/>
              <w:t xml:space="preserve">COVID-19 meta-analysis </w:t>
            </w:r>
            <w:r w:rsidRPr="006E5B28">
              <w:rPr>
                <w:rFonts w:ascii="Arial" w:hAnsi="Arial" w:cs="Arial"/>
                <w:sz w:val="22"/>
                <w:szCs w:val="22"/>
              </w:rPr>
              <w:lastRenderedPageBreak/>
              <w:t>showing high psychological distress.</w:t>
            </w:r>
          </w:p>
        </w:tc>
        <w:tc>
          <w:tcPr>
            <w:tcW w:w="2451" w:type="dxa"/>
          </w:tcPr>
          <w:p w14:paraId="28A14D84" w14:textId="77777777" w:rsidR="00292F7E" w:rsidRPr="006E5B28" w:rsidRDefault="00292F7E" w:rsidP="00966759">
            <w:pPr>
              <w:rPr>
                <w:rFonts w:ascii="Arial" w:hAnsi="Arial" w:cs="Arial"/>
                <w:sz w:val="22"/>
                <w:szCs w:val="22"/>
              </w:rPr>
            </w:pPr>
            <w:r w:rsidRPr="006E5B28">
              <w:rPr>
                <w:rFonts w:ascii="Arial" w:hAnsi="Arial" w:cs="Arial"/>
                <w:b/>
                <w:bCs/>
                <w:sz w:val="22"/>
                <w:szCs w:val="22"/>
              </w:rPr>
              <w:lastRenderedPageBreak/>
              <w:t>Currency</w:t>
            </w:r>
            <w:r w:rsidRPr="006E5B28">
              <w:rPr>
                <w:rFonts w:ascii="Arial" w:hAnsi="Arial" w:cs="Arial"/>
                <w:sz w:val="22"/>
                <w:szCs w:val="22"/>
              </w:rPr>
              <w:t xml:space="preserve">: High; </w:t>
            </w:r>
            <w:r w:rsidRPr="006E5B28">
              <w:rPr>
                <w:rFonts w:ascii="Arial" w:hAnsi="Arial" w:cs="Arial"/>
                <w:b/>
                <w:bCs/>
                <w:sz w:val="22"/>
                <w:szCs w:val="22"/>
              </w:rPr>
              <w:t>Relevance</w:t>
            </w:r>
            <w:r w:rsidRPr="006E5B28">
              <w:rPr>
                <w:rFonts w:ascii="Arial" w:hAnsi="Arial" w:cs="Arial"/>
                <w:sz w:val="22"/>
                <w:szCs w:val="22"/>
              </w:rPr>
              <w:t xml:space="preserve">: </w:t>
            </w:r>
            <w:r w:rsidRPr="006E5B28">
              <w:rPr>
                <w:rFonts w:ascii="Arial" w:hAnsi="Arial" w:cs="Arial"/>
                <w:sz w:val="22"/>
                <w:szCs w:val="22"/>
              </w:rPr>
              <w:lastRenderedPageBreak/>
              <w:t xml:space="preserve">Strong </w:t>
            </w:r>
            <w:r w:rsidRPr="006E5B28">
              <w:rPr>
                <w:rFonts w:ascii="Arial" w:hAnsi="Arial" w:cs="Arial"/>
                <w:b/>
                <w:bCs/>
                <w:sz w:val="22"/>
                <w:szCs w:val="22"/>
              </w:rPr>
              <w:t>Authority</w:t>
            </w:r>
            <w:r w:rsidRPr="006E5B28">
              <w:rPr>
                <w:rFonts w:ascii="Arial" w:hAnsi="Arial" w:cs="Arial"/>
                <w:sz w:val="22"/>
                <w:szCs w:val="22"/>
              </w:rPr>
              <w:t>: Peer reviewed</w:t>
            </w:r>
          </w:p>
          <w:p w14:paraId="4F279CAA" w14:textId="77777777" w:rsidR="00292F7E" w:rsidRPr="006E5B28" w:rsidRDefault="00292F7E" w:rsidP="00966759">
            <w:pPr>
              <w:rPr>
                <w:rFonts w:ascii="Arial" w:hAnsi="Arial" w:cs="Arial"/>
                <w:sz w:val="22"/>
                <w:szCs w:val="22"/>
              </w:rPr>
            </w:pPr>
            <w:r w:rsidRPr="006E5B28">
              <w:rPr>
                <w:rFonts w:ascii="Arial" w:hAnsi="Arial" w:cs="Arial"/>
                <w:b/>
                <w:bCs/>
                <w:sz w:val="22"/>
                <w:szCs w:val="22"/>
              </w:rPr>
              <w:t>Accuracy</w:t>
            </w:r>
            <w:r w:rsidRPr="006E5B28">
              <w:rPr>
                <w:rFonts w:ascii="Arial" w:hAnsi="Arial" w:cs="Arial"/>
                <w:sz w:val="22"/>
                <w:szCs w:val="22"/>
              </w:rPr>
              <w:t>: Meta analysis</w:t>
            </w:r>
          </w:p>
          <w:p w14:paraId="3DB20C2F" w14:textId="77777777" w:rsidR="00292F7E" w:rsidRPr="006E5B28" w:rsidRDefault="00292F7E" w:rsidP="00966759">
            <w:pPr>
              <w:rPr>
                <w:rFonts w:ascii="Arial" w:hAnsi="Arial" w:cs="Arial"/>
                <w:sz w:val="22"/>
                <w:szCs w:val="22"/>
              </w:rPr>
            </w:pPr>
            <w:r w:rsidRPr="006E5B28">
              <w:rPr>
                <w:rFonts w:ascii="Arial" w:hAnsi="Arial" w:cs="Arial"/>
                <w:sz w:val="22"/>
                <w:szCs w:val="22"/>
              </w:rPr>
              <w:t xml:space="preserve"> </w:t>
            </w:r>
            <w:r w:rsidRPr="006E5B28">
              <w:rPr>
                <w:rFonts w:ascii="Arial" w:hAnsi="Arial" w:cs="Arial"/>
                <w:b/>
                <w:bCs/>
                <w:sz w:val="22"/>
                <w:szCs w:val="22"/>
              </w:rPr>
              <w:t>Purpose</w:t>
            </w:r>
            <w:r w:rsidRPr="006E5B28">
              <w:rPr>
                <w:rFonts w:ascii="Arial" w:hAnsi="Arial" w:cs="Arial"/>
                <w:sz w:val="22"/>
                <w:szCs w:val="22"/>
              </w:rPr>
              <w:t>: Academic</w:t>
            </w:r>
          </w:p>
        </w:tc>
        <w:tc>
          <w:tcPr>
            <w:tcW w:w="770" w:type="dxa"/>
          </w:tcPr>
          <w:p w14:paraId="728A4C86" w14:textId="77777777" w:rsidR="00292F7E" w:rsidRPr="006E5B28" w:rsidRDefault="00292F7E" w:rsidP="00966759">
            <w:pPr>
              <w:rPr>
                <w:rFonts w:ascii="Arial" w:hAnsi="Arial" w:cs="Arial"/>
                <w:sz w:val="22"/>
                <w:szCs w:val="22"/>
              </w:rPr>
            </w:pPr>
            <w:hyperlink r:id="rId52" w:history="1">
              <w:r w:rsidRPr="006E5B28">
                <w:rPr>
                  <w:rStyle w:val="Hyperlink"/>
                  <w:rFonts w:ascii="Arial" w:hAnsi="Arial" w:cs="Arial"/>
                  <w:sz w:val="22"/>
                  <w:szCs w:val="22"/>
                </w:rPr>
                <w:t>https://pubmed.ncbi.nlm.nih.gov/32437915/</w:t>
              </w:r>
            </w:hyperlink>
            <w:r w:rsidRPr="006E5B28">
              <w:rPr>
                <w:rFonts w:ascii="Arial" w:hAnsi="Arial" w:cs="Arial"/>
                <w:sz w:val="22"/>
                <w:szCs w:val="22"/>
              </w:rPr>
              <w:t xml:space="preserve"> </w:t>
            </w:r>
          </w:p>
        </w:tc>
      </w:tr>
      <w:tr w:rsidR="00292F7E" w:rsidRPr="006E5B28" w14:paraId="68EFBBD2" w14:textId="77777777" w:rsidTr="00966759">
        <w:tc>
          <w:tcPr>
            <w:tcW w:w="1066" w:type="dxa"/>
          </w:tcPr>
          <w:p w14:paraId="1B8663BB" w14:textId="77777777" w:rsidR="00292F7E" w:rsidRPr="006E5B28" w:rsidRDefault="00292F7E" w:rsidP="00966759">
            <w:pPr>
              <w:rPr>
                <w:rFonts w:ascii="Arial" w:hAnsi="Arial" w:cs="Arial"/>
                <w:sz w:val="22"/>
                <w:szCs w:val="22"/>
              </w:rPr>
            </w:pPr>
            <w:r w:rsidRPr="006E5B28">
              <w:rPr>
                <w:rFonts w:ascii="Arial" w:hAnsi="Arial" w:cs="Arial"/>
                <w:sz w:val="22"/>
                <w:szCs w:val="22"/>
              </w:rPr>
              <w:t>Yes</w:t>
            </w:r>
          </w:p>
        </w:tc>
        <w:tc>
          <w:tcPr>
            <w:tcW w:w="1464" w:type="dxa"/>
          </w:tcPr>
          <w:p w14:paraId="0DACBF79" w14:textId="77777777" w:rsidR="00292F7E" w:rsidRPr="006E5B28" w:rsidRDefault="00292F7E" w:rsidP="00966759">
            <w:pPr>
              <w:rPr>
                <w:rFonts w:ascii="Arial" w:hAnsi="Arial" w:cs="Arial"/>
                <w:sz w:val="22"/>
                <w:szCs w:val="22"/>
              </w:rPr>
            </w:pPr>
            <w:r w:rsidRPr="006E5B28">
              <w:rPr>
                <w:rFonts w:ascii="Arial" w:hAnsi="Arial" w:cs="Arial"/>
                <w:sz w:val="22"/>
                <w:szCs w:val="22"/>
              </w:rPr>
              <w:t>The King’s Fund (2025)</w:t>
            </w:r>
          </w:p>
        </w:tc>
        <w:tc>
          <w:tcPr>
            <w:tcW w:w="1579" w:type="dxa"/>
          </w:tcPr>
          <w:p w14:paraId="373A43D3" w14:textId="77777777" w:rsidR="00292F7E" w:rsidRPr="006E5B28" w:rsidRDefault="00292F7E" w:rsidP="00966759">
            <w:pPr>
              <w:rPr>
                <w:rFonts w:ascii="Arial" w:hAnsi="Arial" w:cs="Arial"/>
                <w:sz w:val="22"/>
                <w:szCs w:val="22"/>
              </w:rPr>
            </w:pPr>
            <w:r w:rsidRPr="006E5B28">
              <w:rPr>
                <w:rFonts w:ascii="Arial" w:hAnsi="Arial" w:cs="Arial"/>
                <w:sz w:val="22"/>
                <w:szCs w:val="22"/>
              </w:rPr>
              <w:t>NHS Workforce and Staff Wellbeing</w:t>
            </w:r>
          </w:p>
        </w:tc>
        <w:tc>
          <w:tcPr>
            <w:tcW w:w="1686" w:type="dxa"/>
          </w:tcPr>
          <w:p w14:paraId="5148B856" w14:textId="77777777" w:rsidR="00292F7E" w:rsidRPr="006E5B28" w:rsidRDefault="00292F7E" w:rsidP="00966759">
            <w:pPr>
              <w:rPr>
                <w:rFonts w:ascii="Arial" w:hAnsi="Arial" w:cs="Arial"/>
                <w:sz w:val="22"/>
                <w:szCs w:val="22"/>
              </w:rPr>
            </w:pPr>
            <w:r w:rsidRPr="006E5B28">
              <w:rPr>
                <w:rFonts w:ascii="Arial" w:hAnsi="Arial" w:cs="Arial"/>
                <w:sz w:val="22"/>
                <w:szCs w:val="22"/>
              </w:rPr>
              <w:t>Reports high stress and staffing pressures in the NHS.</w:t>
            </w:r>
          </w:p>
        </w:tc>
        <w:tc>
          <w:tcPr>
            <w:tcW w:w="2451" w:type="dxa"/>
          </w:tcPr>
          <w:p w14:paraId="6DD4AE68" w14:textId="77777777" w:rsidR="00292F7E" w:rsidRPr="006E5B28" w:rsidRDefault="00292F7E" w:rsidP="00966759">
            <w:pPr>
              <w:rPr>
                <w:rFonts w:ascii="Arial" w:hAnsi="Arial" w:cs="Arial"/>
                <w:sz w:val="22"/>
                <w:szCs w:val="22"/>
              </w:rPr>
            </w:pPr>
            <w:r w:rsidRPr="006E5B28">
              <w:rPr>
                <w:rFonts w:ascii="Arial" w:hAnsi="Arial" w:cs="Arial"/>
                <w:b/>
                <w:bCs/>
                <w:sz w:val="22"/>
                <w:szCs w:val="22"/>
              </w:rPr>
              <w:t>Currency</w:t>
            </w:r>
            <w:r w:rsidRPr="006E5B28">
              <w:rPr>
                <w:rFonts w:ascii="Arial" w:hAnsi="Arial" w:cs="Arial"/>
                <w:sz w:val="22"/>
                <w:szCs w:val="22"/>
              </w:rPr>
              <w:t xml:space="preserve">: High </w:t>
            </w:r>
            <w:r w:rsidRPr="006E5B28">
              <w:rPr>
                <w:rFonts w:ascii="Arial" w:hAnsi="Arial" w:cs="Arial"/>
                <w:b/>
                <w:bCs/>
                <w:sz w:val="22"/>
                <w:szCs w:val="22"/>
              </w:rPr>
              <w:t>Relevance</w:t>
            </w:r>
            <w:r w:rsidRPr="006E5B28">
              <w:rPr>
                <w:rFonts w:ascii="Arial" w:hAnsi="Arial" w:cs="Arial"/>
                <w:sz w:val="22"/>
                <w:szCs w:val="22"/>
              </w:rPr>
              <w:t>: UK focused</w:t>
            </w:r>
          </w:p>
          <w:p w14:paraId="1333AC97" w14:textId="77777777" w:rsidR="00292F7E" w:rsidRPr="006E5B28" w:rsidRDefault="00292F7E" w:rsidP="00966759">
            <w:pPr>
              <w:rPr>
                <w:rFonts w:ascii="Arial" w:hAnsi="Arial" w:cs="Arial"/>
                <w:sz w:val="22"/>
                <w:szCs w:val="22"/>
              </w:rPr>
            </w:pPr>
            <w:r w:rsidRPr="006E5B28">
              <w:rPr>
                <w:rFonts w:ascii="Arial" w:hAnsi="Arial" w:cs="Arial"/>
                <w:sz w:val="22"/>
                <w:szCs w:val="22"/>
              </w:rPr>
              <w:t xml:space="preserve"> </w:t>
            </w:r>
            <w:r w:rsidRPr="006E5B28">
              <w:rPr>
                <w:rFonts w:ascii="Arial" w:hAnsi="Arial" w:cs="Arial"/>
                <w:b/>
                <w:bCs/>
                <w:sz w:val="22"/>
                <w:szCs w:val="22"/>
              </w:rPr>
              <w:t>Authority</w:t>
            </w:r>
            <w:r w:rsidRPr="006E5B28">
              <w:rPr>
                <w:rFonts w:ascii="Arial" w:hAnsi="Arial" w:cs="Arial"/>
                <w:sz w:val="22"/>
                <w:szCs w:val="22"/>
              </w:rPr>
              <w:t>: The King’s Fund</w:t>
            </w:r>
          </w:p>
          <w:p w14:paraId="4070EA68" w14:textId="77777777" w:rsidR="00292F7E" w:rsidRPr="006E5B28" w:rsidRDefault="00292F7E" w:rsidP="00966759">
            <w:pPr>
              <w:rPr>
                <w:rFonts w:ascii="Arial" w:hAnsi="Arial" w:cs="Arial"/>
                <w:sz w:val="22"/>
                <w:szCs w:val="22"/>
              </w:rPr>
            </w:pPr>
            <w:r w:rsidRPr="006E5B28">
              <w:rPr>
                <w:rFonts w:ascii="Arial" w:hAnsi="Arial" w:cs="Arial"/>
                <w:b/>
                <w:bCs/>
                <w:sz w:val="22"/>
                <w:szCs w:val="22"/>
              </w:rPr>
              <w:t>Accuracy</w:t>
            </w:r>
            <w:r w:rsidRPr="006E5B28">
              <w:rPr>
                <w:rFonts w:ascii="Arial" w:hAnsi="Arial" w:cs="Arial"/>
                <w:sz w:val="22"/>
                <w:szCs w:val="22"/>
              </w:rPr>
              <w:t>: Evidence based</w:t>
            </w:r>
          </w:p>
          <w:p w14:paraId="46DD718C" w14:textId="77777777" w:rsidR="00292F7E" w:rsidRPr="006E5B28" w:rsidRDefault="00292F7E" w:rsidP="00966759">
            <w:pPr>
              <w:rPr>
                <w:rFonts w:ascii="Arial" w:hAnsi="Arial" w:cs="Arial"/>
                <w:sz w:val="22"/>
                <w:szCs w:val="22"/>
              </w:rPr>
            </w:pPr>
            <w:r w:rsidRPr="006E5B28">
              <w:rPr>
                <w:rFonts w:ascii="Arial" w:hAnsi="Arial" w:cs="Arial"/>
                <w:sz w:val="22"/>
                <w:szCs w:val="22"/>
              </w:rPr>
              <w:t xml:space="preserve"> </w:t>
            </w:r>
            <w:r w:rsidRPr="006E5B28">
              <w:rPr>
                <w:rFonts w:ascii="Arial" w:hAnsi="Arial" w:cs="Arial"/>
                <w:b/>
                <w:bCs/>
                <w:sz w:val="22"/>
                <w:szCs w:val="22"/>
              </w:rPr>
              <w:t>Purpose</w:t>
            </w:r>
            <w:r w:rsidRPr="006E5B28">
              <w:rPr>
                <w:rFonts w:ascii="Arial" w:hAnsi="Arial" w:cs="Arial"/>
                <w:sz w:val="22"/>
                <w:szCs w:val="22"/>
              </w:rPr>
              <w:t>: Policy</w:t>
            </w:r>
          </w:p>
        </w:tc>
        <w:tc>
          <w:tcPr>
            <w:tcW w:w="770" w:type="dxa"/>
          </w:tcPr>
          <w:p w14:paraId="3859D290" w14:textId="77777777" w:rsidR="00292F7E" w:rsidRPr="006E5B28" w:rsidRDefault="00292F7E" w:rsidP="00966759">
            <w:pPr>
              <w:rPr>
                <w:rFonts w:ascii="Arial" w:hAnsi="Arial" w:cs="Arial"/>
                <w:sz w:val="22"/>
                <w:szCs w:val="22"/>
              </w:rPr>
            </w:pPr>
            <w:hyperlink r:id="rId53" w:history="1">
              <w:r w:rsidRPr="006E5B28">
                <w:rPr>
                  <w:rStyle w:val="Hyperlink"/>
                  <w:rFonts w:ascii="Arial" w:hAnsi="Arial" w:cs="Arial"/>
                  <w:sz w:val="22"/>
                  <w:szCs w:val="22"/>
                </w:rPr>
                <w:t>https://www.kingsfund.org.uk/insight-and-analysis/long-reads/burnout-belief-reforming-the-nhs</w:t>
              </w:r>
            </w:hyperlink>
            <w:r w:rsidRPr="006E5B28">
              <w:rPr>
                <w:rFonts w:ascii="Arial" w:hAnsi="Arial" w:cs="Arial"/>
                <w:sz w:val="22"/>
                <w:szCs w:val="22"/>
              </w:rPr>
              <w:t xml:space="preserve"> </w:t>
            </w:r>
          </w:p>
        </w:tc>
      </w:tr>
      <w:tr w:rsidR="00292F7E" w:rsidRPr="006E5B28" w14:paraId="1F29305D" w14:textId="77777777" w:rsidTr="00966759">
        <w:tc>
          <w:tcPr>
            <w:tcW w:w="1066" w:type="dxa"/>
          </w:tcPr>
          <w:p w14:paraId="50055B81" w14:textId="77777777" w:rsidR="00292F7E" w:rsidRPr="006E5B28" w:rsidRDefault="00292F7E" w:rsidP="00966759">
            <w:pPr>
              <w:rPr>
                <w:rFonts w:ascii="Arial" w:hAnsi="Arial" w:cs="Arial"/>
                <w:sz w:val="22"/>
                <w:szCs w:val="22"/>
              </w:rPr>
            </w:pPr>
            <w:r w:rsidRPr="006E5B28">
              <w:rPr>
                <w:rFonts w:ascii="Arial" w:hAnsi="Arial" w:cs="Arial"/>
                <w:sz w:val="22"/>
                <w:szCs w:val="22"/>
              </w:rPr>
              <w:t>Yes</w:t>
            </w:r>
          </w:p>
        </w:tc>
        <w:tc>
          <w:tcPr>
            <w:tcW w:w="1464" w:type="dxa"/>
          </w:tcPr>
          <w:p w14:paraId="78943322" w14:textId="77777777" w:rsidR="00292F7E" w:rsidRPr="006E5B28" w:rsidRDefault="00292F7E" w:rsidP="00966759">
            <w:pPr>
              <w:rPr>
                <w:rFonts w:ascii="Arial" w:hAnsi="Arial" w:cs="Arial"/>
                <w:sz w:val="22"/>
                <w:szCs w:val="22"/>
              </w:rPr>
            </w:pPr>
            <w:r w:rsidRPr="006E5B28">
              <w:rPr>
                <w:rFonts w:ascii="Arial" w:hAnsi="Arial" w:cs="Arial"/>
                <w:sz w:val="22"/>
                <w:szCs w:val="22"/>
              </w:rPr>
              <w:t>WHO (2024)</w:t>
            </w:r>
          </w:p>
        </w:tc>
        <w:tc>
          <w:tcPr>
            <w:tcW w:w="1579" w:type="dxa"/>
          </w:tcPr>
          <w:p w14:paraId="687AA64C" w14:textId="77777777" w:rsidR="00292F7E" w:rsidRPr="006E5B28" w:rsidRDefault="00292F7E" w:rsidP="00966759">
            <w:pPr>
              <w:rPr>
                <w:rFonts w:ascii="Arial" w:hAnsi="Arial" w:cs="Arial"/>
                <w:sz w:val="22"/>
                <w:szCs w:val="22"/>
              </w:rPr>
            </w:pPr>
            <w:r w:rsidRPr="006E5B28">
              <w:rPr>
                <w:rFonts w:ascii="Arial" w:hAnsi="Arial" w:cs="Arial"/>
                <w:sz w:val="22"/>
                <w:szCs w:val="22"/>
              </w:rPr>
              <w:t>Mental Health at Work</w:t>
            </w:r>
          </w:p>
        </w:tc>
        <w:tc>
          <w:tcPr>
            <w:tcW w:w="1686" w:type="dxa"/>
          </w:tcPr>
          <w:p w14:paraId="444A90B2" w14:textId="77777777" w:rsidR="00292F7E" w:rsidRPr="006E5B28" w:rsidRDefault="00292F7E" w:rsidP="00966759">
            <w:pPr>
              <w:rPr>
                <w:rFonts w:ascii="Arial" w:hAnsi="Arial" w:cs="Arial"/>
                <w:sz w:val="22"/>
                <w:szCs w:val="22"/>
              </w:rPr>
            </w:pPr>
            <w:r w:rsidRPr="006E5B28">
              <w:rPr>
                <w:rFonts w:ascii="Arial" w:hAnsi="Arial" w:cs="Arial"/>
                <w:sz w:val="22"/>
                <w:szCs w:val="22"/>
              </w:rPr>
              <w:t>Global guidance on workplace mental health risks.</w:t>
            </w:r>
          </w:p>
        </w:tc>
        <w:tc>
          <w:tcPr>
            <w:tcW w:w="2451" w:type="dxa"/>
          </w:tcPr>
          <w:p w14:paraId="7B9DC365" w14:textId="77777777" w:rsidR="00292F7E" w:rsidRPr="006E5B28" w:rsidRDefault="00292F7E" w:rsidP="00966759">
            <w:pPr>
              <w:rPr>
                <w:rFonts w:ascii="Arial" w:hAnsi="Arial" w:cs="Arial"/>
                <w:sz w:val="22"/>
                <w:szCs w:val="22"/>
              </w:rPr>
            </w:pPr>
            <w:r w:rsidRPr="006E5B28">
              <w:rPr>
                <w:rFonts w:ascii="Arial" w:hAnsi="Arial" w:cs="Arial"/>
                <w:b/>
                <w:bCs/>
                <w:sz w:val="22"/>
                <w:szCs w:val="22"/>
              </w:rPr>
              <w:t>Currency</w:t>
            </w:r>
            <w:r w:rsidRPr="006E5B28">
              <w:rPr>
                <w:rFonts w:ascii="Arial" w:hAnsi="Arial" w:cs="Arial"/>
                <w:sz w:val="22"/>
                <w:szCs w:val="22"/>
              </w:rPr>
              <w:t xml:space="preserve">: Very high </w:t>
            </w:r>
            <w:r w:rsidRPr="006E5B28">
              <w:rPr>
                <w:rFonts w:ascii="Arial" w:hAnsi="Arial" w:cs="Arial"/>
                <w:b/>
                <w:bCs/>
                <w:sz w:val="22"/>
                <w:szCs w:val="22"/>
              </w:rPr>
              <w:t>Relevance</w:t>
            </w:r>
            <w:r w:rsidRPr="006E5B28">
              <w:rPr>
                <w:rFonts w:ascii="Arial" w:hAnsi="Arial" w:cs="Arial"/>
                <w:sz w:val="22"/>
                <w:szCs w:val="22"/>
              </w:rPr>
              <w:t xml:space="preserve">: Strong </w:t>
            </w:r>
            <w:r w:rsidRPr="006E5B28">
              <w:rPr>
                <w:rFonts w:ascii="Arial" w:hAnsi="Arial" w:cs="Arial"/>
                <w:b/>
                <w:bCs/>
                <w:sz w:val="22"/>
                <w:szCs w:val="22"/>
              </w:rPr>
              <w:t>Authority</w:t>
            </w:r>
            <w:r w:rsidRPr="006E5B28">
              <w:rPr>
                <w:rFonts w:ascii="Arial" w:hAnsi="Arial" w:cs="Arial"/>
                <w:sz w:val="22"/>
                <w:szCs w:val="22"/>
              </w:rPr>
              <w:t xml:space="preserve">: World Health Organization </w:t>
            </w:r>
            <w:r w:rsidRPr="006E5B28">
              <w:rPr>
                <w:rFonts w:ascii="Arial" w:hAnsi="Arial" w:cs="Arial"/>
                <w:b/>
                <w:bCs/>
                <w:sz w:val="22"/>
                <w:szCs w:val="22"/>
              </w:rPr>
              <w:t>Accuracy</w:t>
            </w:r>
            <w:r w:rsidRPr="006E5B28">
              <w:rPr>
                <w:rFonts w:ascii="Arial" w:hAnsi="Arial" w:cs="Arial"/>
                <w:sz w:val="22"/>
                <w:szCs w:val="22"/>
              </w:rPr>
              <w:t>: Global report</w:t>
            </w:r>
          </w:p>
          <w:p w14:paraId="6E5DE583" w14:textId="77777777" w:rsidR="00292F7E" w:rsidRPr="006E5B28" w:rsidRDefault="00292F7E" w:rsidP="00966759">
            <w:pPr>
              <w:rPr>
                <w:rFonts w:ascii="Arial" w:hAnsi="Arial" w:cs="Arial"/>
                <w:sz w:val="22"/>
                <w:szCs w:val="22"/>
              </w:rPr>
            </w:pPr>
            <w:r w:rsidRPr="006E5B28">
              <w:rPr>
                <w:rFonts w:ascii="Arial" w:hAnsi="Arial" w:cs="Arial"/>
                <w:b/>
                <w:bCs/>
                <w:sz w:val="22"/>
                <w:szCs w:val="22"/>
              </w:rPr>
              <w:t>Purpose</w:t>
            </w:r>
            <w:r w:rsidRPr="006E5B28">
              <w:rPr>
                <w:rFonts w:ascii="Arial" w:hAnsi="Arial" w:cs="Arial"/>
                <w:sz w:val="22"/>
                <w:szCs w:val="22"/>
              </w:rPr>
              <w:t>: Guidance</w:t>
            </w:r>
          </w:p>
        </w:tc>
        <w:tc>
          <w:tcPr>
            <w:tcW w:w="770" w:type="dxa"/>
          </w:tcPr>
          <w:p w14:paraId="233ABB1E" w14:textId="77777777" w:rsidR="00292F7E" w:rsidRPr="006E5B28" w:rsidRDefault="00292F7E" w:rsidP="00966759">
            <w:pPr>
              <w:rPr>
                <w:rFonts w:ascii="Arial" w:hAnsi="Arial" w:cs="Arial"/>
                <w:sz w:val="22"/>
                <w:szCs w:val="22"/>
              </w:rPr>
            </w:pPr>
            <w:hyperlink r:id="rId54" w:history="1">
              <w:r w:rsidRPr="006E5B28">
                <w:rPr>
                  <w:rStyle w:val="Hyperlink"/>
                  <w:rFonts w:ascii="Arial" w:hAnsi="Arial" w:cs="Arial"/>
                  <w:sz w:val="22"/>
                  <w:szCs w:val="22"/>
                </w:rPr>
                <w:t>https://www.who.int/news-room/fact-sheets/detail/mental-health-at-work</w:t>
              </w:r>
            </w:hyperlink>
            <w:r w:rsidRPr="006E5B28">
              <w:rPr>
                <w:rFonts w:ascii="Arial" w:hAnsi="Arial" w:cs="Arial"/>
                <w:sz w:val="22"/>
                <w:szCs w:val="22"/>
              </w:rPr>
              <w:t xml:space="preserve"> </w:t>
            </w:r>
          </w:p>
        </w:tc>
      </w:tr>
      <w:tr w:rsidR="00292F7E" w:rsidRPr="006E5B28" w14:paraId="2BDC5FA2" w14:textId="77777777" w:rsidTr="00966759">
        <w:tc>
          <w:tcPr>
            <w:tcW w:w="1066" w:type="dxa"/>
          </w:tcPr>
          <w:p w14:paraId="0A3117AF" w14:textId="77777777" w:rsidR="00292F7E" w:rsidRPr="006E5B28" w:rsidRDefault="00292F7E" w:rsidP="00966759">
            <w:pPr>
              <w:rPr>
                <w:rFonts w:ascii="Arial" w:hAnsi="Arial" w:cs="Arial"/>
                <w:sz w:val="22"/>
                <w:szCs w:val="22"/>
              </w:rPr>
            </w:pPr>
            <w:r w:rsidRPr="006E5B28">
              <w:rPr>
                <w:rFonts w:ascii="Arial" w:hAnsi="Arial" w:cs="Arial"/>
                <w:sz w:val="22"/>
                <w:szCs w:val="22"/>
              </w:rPr>
              <w:t>Yes</w:t>
            </w:r>
          </w:p>
        </w:tc>
        <w:tc>
          <w:tcPr>
            <w:tcW w:w="1464" w:type="dxa"/>
          </w:tcPr>
          <w:p w14:paraId="18665B62" w14:textId="77777777" w:rsidR="00292F7E" w:rsidRPr="006E5B28" w:rsidRDefault="00292F7E" w:rsidP="00966759">
            <w:pPr>
              <w:rPr>
                <w:rFonts w:ascii="Arial" w:hAnsi="Arial" w:cs="Arial"/>
                <w:sz w:val="22"/>
                <w:szCs w:val="22"/>
              </w:rPr>
            </w:pPr>
            <w:r w:rsidRPr="006E5B28">
              <w:rPr>
                <w:rFonts w:ascii="Arial" w:eastAsia="Times New Roman" w:hAnsi="Arial" w:cs="Arial"/>
                <w:color w:val="222222"/>
                <w:sz w:val="22"/>
                <w:szCs w:val="22"/>
                <w:shd w:val="clear" w:color="auto" w:fill="FFFFFF"/>
              </w:rPr>
              <w:t>Ravalie.M.J (2022)</w:t>
            </w:r>
          </w:p>
        </w:tc>
        <w:tc>
          <w:tcPr>
            <w:tcW w:w="1579" w:type="dxa"/>
          </w:tcPr>
          <w:p w14:paraId="29CC8B08" w14:textId="77777777" w:rsidR="00292F7E" w:rsidRPr="006E5B28" w:rsidRDefault="00292F7E" w:rsidP="00966759">
            <w:pPr>
              <w:rPr>
                <w:rFonts w:ascii="Arial" w:hAnsi="Arial" w:cs="Arial"/>
                <w:sz w:val="22"/>
                <w:szCs w:val="22"/>
              </w:rPr>
            </w:pPr>
            <w:r w:rsidRPr="006E5B28">
              <w:rPr>
                <w:rFonts w:ascii="Arial" w:hAnsi="Arial" w:cs="Arial"/>
                <w:sz w:val="22"/>
                <w:szCs w:val="22"/>
              </w:rPr>
              <w:t>Staff Wellbeing in the NHS</w:t>
            </w:r>
          </w:p>
        </w:tc>
        <w:tc>
          <w:tcPr>
            <w:tcW w:w="1686" w:type="dxa"/>
          </w:tcPr>
          <w:p w14:paraId="26FE6FE0" w14:textId="77777777" w:rsidR="00292F7E" w:rsidRPr="006E5B28" w:rsidRDefault="00292F7E" w:rsidP="00966759">
            <w:pPr>
              <w:rPr>
                <w:rFonts w:ascii="Arial" w:hAnsi="Arial" w:cs="Arial"/>
                <w:sz w:val="22"/>
                <w:szCs w:val="22"/>
              </w:rPr>
            </w:pPr>
            <w:r w:rsidRPr="006E5B28">
              <w:rPr>
                <w:rFonts w:ascii="Arial" w:hAnsi="Arial" w:cs="Arial"/>
                <w:sz w:val="22"/>
                <w:szCs w:val="22"/>
              </w:rPr>
              <w:t>Examines organisational wellbeing initiatives.</w:t>
            </w:r>
          </w:p>
        </w:tc>
        <w:tc>
          <w:tcPr>
            <w:tcW w:w="2451" w:type="dxa"/>
          </w:tcPr>
          <w:p w14:paraId="0A16A02C" w14:textId="77777777" w:rsidR="00292F7E" w:rsidRPr="006E5B28" w:rsidRDefault="00292F7E" w:rsidP="00966759">
            <w:pPr>
              <w:rPr>
                <w:rFonts w:ascii="Arial" w:hAnsi="Arial" w:cs="Arial"/>
                <w:sz w:val="22"/>
                <w:szCs w:val="22"/>
              </w:rPr>
            </w:pPr>
            <w:r w:rsidRPr="006E5B28">
              <w:rPr>
                <w:rFonts w:ascii="Arial" w:hAnsi="Arial" w:cs="Arial"/>
                <w:b/>
                <w:bCs/>
                <w:sz w:val="22"/>
                <w:szCs w:val="22"/>
              </w:rPr>
              <w:t>Currency</w:t>
            </w:r>
            <w:r w:rsidRPr="006E5B28">
              <w:rPr>
                <w:rFonts w:ascii="Arial" w:hAnsi="Arial" w:cs="Arial"/>
                <w:sz w:val="22"/>
                <w:szCs w:val="22"/>
              </w:rPr>
              <w:t xml:space="preserve">: Good </w:t>
            </w:r>
            <w:r w:rsidRPr="006E5B28">
              <w:rPr>
                <w:rFonts w:ascii="Arial" w:hAnsi="Arial" w:cs="Arial"/>
                <w:b/>
                <w:bCs/>
                <w:sz w:val="22"/>
                <w:szCs w:val="22"/>
              </w:rPr>
              <w:t>Relevance</w:t>
            </w:r>
            <w:r w:rsidRPr="006E5B28">
              <w:rPr>
                <w:rFonts w:ascii="Arial" w:hAnsi="Arial" w:cs="Arial"/>
                <w:sz w:val="22"/>
                <w:szCs w:val="22"/>
              </w:rPr>
              <w:t>: NHS context</w:t>
            </w:r>
          </w:p>
          <w:p w14:paraId="210B6984" w14:textId="77777777" w:rsidR="00292F7E" w:rsidRPr="006E5B28" w:rsidRDefault="00292F7E" w:rsidP="00966759">
            <w:pPr>
              <w:rPr>
                <w:rFonts w:ascii="Arial" w:hAnsi="Arial" w:cs="Arial"/>
                <w:sz w:val="22"/>
                <w:szCs w:val="22"/>
              </w:rPr>
            </w:pPr>
            <w:r w:rsidRPr="006E5B28">
              <w:rPr>
                <w:rFonts w:ascii="Arial" w:hAnsi="Arial" w:cs="Arial"/>
                <w:sz w:val="22"/>
                <w:szCs w:val="22"/>
              </w:rPr>
              <w:t xml:space="preserve"> </w:t>
            </w:r>
            <w:r w:rsidRPr="006E5B28">
              <w:rPr>
                <w:rFonts w:ascii="Arial" w:hAnsi="Arial" w:cs="Arial"/>
                <w:b/>
                <w:bCs/>
                <w:sz w:val="22"/>
                <w:szCs w:val="22"/>
              </w:rPr>
              <w:t>Authority</w:t>
            </w:r>
            <w:r w:rsidRPr="006E5B28">
              <w:rPr>
                <w:rFonts w:ascii="Arial" w:hAnsi="Arial" w:cs="Arial"/>
                <w:sz w:val="22"/>
                <w:szCs w:val="22"/>
              </w:rPr>
              <w:t>: Peer-reviewed</w:t>
            </w:r>
          </w:p>
          <w:p w14:paraId="4DDBA2E7" w14:textId="77777777" w:rsidR="00292F7E" w:rsidRPr="006E5B28" w:rsidRDefault="00292F7E" w:rsidP="00966759">
            <w:pPr>
              <w:rPr>
                <w:rFonts w:ascii="Arial" w:hAnsi="Arial" w:cs="Arial"/>
                <w:sz w:val="22"/>
                <w:szCs w:val="22"/>
              </w:rPr>
            </w:pPr>
            <w:r w:rsidRPr="006E5B28">
              <w:rPr>
                <w:rFonts w:ascii="Arial" w:hAnsi="Arial" w:cs="Arial"/>
                <w:sz w:val="22"/>
                <w:szCs w:val="22"/>
              </w:rPr>
              <w:t xml:space="preserve"> </w:t>
            </w:r>
            <w:r w:rsidRPr="006E5B28">
              <w:rPr>
                <w:rFonts w:ascii="Arial" w:hAnsi="Arial" w:cs="Arial"/>
                <w:b/>
                <w:bCs/>
                <w:sz w:val="22"/>
                <w:szCs w:val="22"/>
              </w:rPr>
              <w:t>Accuracy</w:t>
            </w:r>
            <w:r w:rsidRPr="006E5B28">
              <w:rPr>
                <w:rFonts w:ascii="Arial" w:hAnsi="Arial" w:cs="Arial"/>
                <w:sz w:val="22"/>
                <w:szCs w:val="22"/>
              </w:rPr>
              <w:t xml:space="preserve">: Empirical </w:t>
            </w:r>
            <w:r w:rsidRPr="006E5B28">
              <w:rPr>
                <w:rFonts w:ascii="Arial" w:hAnsi="Arial" w:cs="Arial"/>
                <w:b/>
                <w:bCs/>
                <w:sz w:val="22"/>
                <w:szCs w:val="22"/>
              </w:rPr>
              <w:t>Purpose</w:t>
            </w:r>
            <w:r w:rsidRPr="006E5B28">
              <w:rPr>
                <w:rFonts w:ascii="Arial" w:hAnsi="Arial" w:cs="Arial"/>
                <w:sz w:val="22"/>
                <w:szCs w:val="22"/>
              </w:rPr>
              <w:t>: Academic</w:t>
            </w:r>
          </w:p>
        </w:tc>
        <w:tc>
          <w:tcPr>
            <w:tcW w:w="770" w:type="dxa"/>
          </w:tcPr>
          <w:p w14:paraId="7E05495D" w14:textId="77777777" w:rsidR="00292F7E" w:rsidRPr="006E5B28" w:rsidRDefault="00292F7E" w:rsidP="00966759">
            <w:pPr>
              <w:rPr>
                <w:rFonts w:ascii="Arial" w:hAnsi="Arial" w:cs="Arial"/>
                <w:sz w:val="22"/>
                <w:szCs w:val="22"/>
              </w:rPr>
            </w:pPr>
            <w:hyperlink r:id="rId55" w:history="1">
              <w:r w:rsidRPr="006E5B28">
                <w:rPr>
                  <w:rStyle w:val="Hyperlink"/>
                  <w:rFonts w:ascii="Arial" w:hAnsi="Arial" w:cs="Arial"/>
                  <w:sz w:val="22"/>
                  <w:szCs w:val="22"/>
                </w:rPr>
                <w:t>https://doi.org/10.3390/ijerph19084646</w:t>
              </w:r>
            </w:hyperlink>
            <w:r w:rsidRPr="006E5B28">
              <w:rPr>
                <w:rFonts w:ascii="Arial" w:hAnsi="Arial" w:cs="Arial"/>
                <w:sz w:val="22"/>
                <w:szCs w:val="22"/>
              </w:rPr>
              <w:t xml:space="preserve"> </w:t>
            </w:r>
          </w:p>
        </w:tc>
      </w:tr>
      <w:tr w:rsidR="00292F7E" w:rsidRPr="006E5B28" w14:paraId="7178A646" w14:textId="77777777" w:rsidTr="00966759">
        <w:tc>
          <w:tcPr>
            <w:tcW w:w="1066" w:type="dxa"/>
          </w:tcPr>
          <w:p w14:paraId="404DA471" w14:textId="77777777" w:rsidR="00292F7E" w:rsidRPr="006E5B28" w:rsidRDefault="00292F7E" w:rsidP="00966759">
            <w:pPr>
              <w:rPr>
                <w:rFonts w:ascii="Arial" w:hAnsi="Arial" w:cs="Arial"/>
                <w:sz w:val="22"/>
                <w:szCs w:val="22"/>
              </w:rPr>
            </w:pPr>
            <w:r w:rsidRPr="006E5B28">
              <w:rPr>
                <w:rFonts w:ascii="Arial" w:hAnsi="Arial" w:cs="Arial"/>
                <w:sz w:val="22"/>
                <w:szCs w:val="22"/>
              </w:rPr>
              <w:t>Yes</w:t>
            </w:r>
          </w:p>
        </w:tc>
        <w:tc>
          <w:tcPr>
            <w:tcW w:w="1464" w:type="dxa"/>
          </w:tcPr>
          <w:p w14:paraId="7DAA4DAD" w14:textId="77777777" w:rsidR="00292F7E" w:rsidRPr="006E5B28" w:rsidRDefault="00292F7E" w:rsidP="00966759">
            <w:pPr>
              <w:rPr>
                <w:rFonts w:ascii="Arial" w:hAnsi="Arial" w:cs="Arial"/>
                <w:sz w:val="22"/>
                <w:szCs w:val="22"/>
              </w:rPr>
            </w:pPr>
            <w:r w:rsidRPr="006E5B28">
              <w:rPr>
                <w:rFonts w:ascii="Arial" w:hAnsi="Arial" w:cs="Arial"/>
                <w:sz w:val="22"/>
                <w:szCs w:val="22"/>
              </w:rPr>
              <w:t>Hall et al. (2016)</w:t>
            </w:r>
          </w:p>
        </w:tc>
        <w:tc>
          <w:tcPr>
            <w:tcW w:w="1579" w:type="dxa"/>
          </w:tcPr>
          <w:p w14:paraId="0972E2C2" w14:textId="77777777" w:rsidR="00292F7E" w:rsidRPr="006E5B28" w:rsidRDefault="00292F7E" w:rsidP="00966759">
            <w:pPr>
              <w:rPr>
                <w:rFonts w:ascii="Arial" w:hAnsi="Arial" w:cs="Arial"/>
                <w:sz w:val="22"/>
                <w:szCs w:val="22"/>
              </w:rPr>
            </w:pPr>
            <w:r w:rsidRPr="006E5B28">
              <w:rPr>
                <w:rFonts w:ascii="Arial" w:hAnsi="Arial" w:cs="Arial"/>
                <w:sz w:val="22"/>
                <w:szCs w:val="22"/>
              </w:rPr>
              <w:t>Healthcare Staff Wellbeing and Patient Safety</w:t>
            </w:r>
          </w:p>
        </w:tc>
        <w:tc>
          <w:tcPr>
            <w:tcW w:w="1686" w:type="dxa"/>
          </w:tcPr>
          <w:p w14:paraId="1771D82A" w14:textId="77777777" w:rsidR="00292F7E" w:rsidRPr="006E5B28" w:rsidRDefault="00292F7E" w:rsidP="00966759">
            <w:pPr>
              <w:rPr>
                <w:rFonts w:ascii="Arial" w:hAnsi="Arial" w:cs="Arial"/>
                <w:sz w:val="22"/>
                <w:szCs w:val="22"/>
              </w:rPr>
            </w:pPr>
            <w:r w:rsidRPr="006E5B28">
              <w:rPr>
                <w:rFonts w:ascii="Arial" w:hAnsi="Arial" w:cs="Arial"/>
                <w:sz w:val="22"/>
                <w:szCs w:val="22"/>
              </w:rPr>
              <w:t>Links staff burnout with patient outcomes.</w:t>
            </w:r>
          </w:p>
        </w:tc>
        <w:tc>
          <w:tcPr>
            <w:tcW w:w="2451" w:type="dxa"/>
          </w:tcPr>
          <w:p w14:paraId="057E72C4" w14:textId="77777777" w:rsidR="00292F7E" w:rsidRPr="006E5B28" w:rsidRDefault="00292F7E" w:rsidP="00966759">
            <w:pPr>
              <w:rPr>
                <w:rFonts w:ascii="Arial" w:hAnsi="Arial" w:cs="Arial"/>
                <w:sz w:val="22"/>
                <w:szCs w:val="22"/>
              </w:rPr>
            </w:pPr>
            <w:r w:rsidRPr="006E5B28">
              <w:rPr>
                <w:rFonts w:ascii="Arial" w:hAnsi="Arial" w:cs="Arial"/>
                <w:b/>
                <w:bCs/>
                <w:sz w:val="22"/>
                <w:szCs w:val="22"/>
              </w:rPr>
              <w:t>Currency</w:t>
            </w:r>
            <w:r w:rsidRPr="006E5B28">
              <w:rPr>
                <w:rFonts w:ascii="Arial" w:hAnsi="Arial" w:cs="Arial"/>
                <w:sz w:val="22"/>
                <w:szCs w:val="22"/>
              </w:rPr>
              <w:t xml:space="preserve">: Acceptable </w:t>
            </w:r>
            <w:r w:rsidRPr="006E5B28">
              <w:rPr>
                <w:rFonts w:ascii="Arial" w:hAnsi="Arial" w:cs="Arial"/>
                <w:b/>
                <w:bCs/>
                <w:sz w:val="22"/>
                <w:szCs w:val="22"/>
              </w:rPr>
              <w:t>Relevance</w:t>
            </w:r>
            <w:r w:rsidRPr="006E5B28">
              <w:rPr>
                <w:rFonts w:ascii="Arial" w:hAnsi="Arial" w:cs="Arial"/>
                <w:sz w:val="22"/>
                <w:szCs w:val="22"/>
              </w:rPr>
              <w:t xml:space="preserve">: Strong </w:t>
            </w:r>
            <w:r w:rsidRPr="006E5B28">
              <w:rPr>
                <w:rFonts w:ascii="Arial" w:hAnsi="Arial" w:cs="Arial"/>
                <w:b/>
                <w:bCs/>
                <w:sz w:val="22"/>
                <w:szCs w:val="22"/>
              </w:rPr>
              <w:t>Authority</w:t>
            </w:r>
            <w:r w:rsidRPr="006E5B28">
              <w:rPr>
                <w:rFonts w:ascii="Arial" w:hAnsi="Arial" w:cs="Arial"/>
                <w:sz w:val="22"/>
                <w:szCs w:val="22"/>
              </w:rPr>
              <w:t xml:space="preserve">: BMJ </w:t>
            </w:r>
            <w:r w:rsidRPr="006E5B28">
              <w:rPr>
                <w:rFonts w:ascii="Arial" w:hAnsi="Arial" w:cs="Arial"/>
                <w:b/>
                <w:bCs/>
                <w:sz w:val="22"/>
                <w:szCs w:val="22"/>
              </w:rPr>
              <w:t>Accuracy</w:t>
            </w:r>
            <w:r w:rsidRPr="006E5B28">
              <w:rPr>
                <w:rFonts w:ascii="Arial" w:hAnsi="Arial" w:cs="Arial"/>
                <w:sz w:val="22"/>
                <w:szCs w:val="22"/>
              </w:rPr>
              <w:t xml:space="preserve">: Review </w:t>
            </w:r>
            <w:r w:rsidRPr="006E5B28">
              <w:rPr>
                <w:rFonts w:ascii="Arial" w:hAnsi="Arial" w:cs="Arial"/>
                <w:b/>
                <w:bCs/>
                <w:sz w:val="22"/>
                <w:szCs w:val="22"/>
              </w:rPr>
              <w:t>Purpose</w:t>
            </w:r>
            <w:r w:rsidRPr="006E5B28">
              <w:rPr>
                <w:rFonts w:ascii="Arial" w:hAnsi="Arial" w:cs="Arial"/>
                <w:sz w:val="22"/>
                <w:szCs w:val="22"/>
              </w:rPr>
              <w:t>: Academic</w:t>
            </w:r>
          </w:p>
        </w:tc>
        <w:tc>
          <w:tcPr>
            <w:tcW w:w="770" w:type="dxa"/>
          </w:tcPr>
          <w:p w14:paraId="5F0582D2" w14:textId="77777777" w:rsidR="00292F7E" w:rsidRPr="006E5B28" w:rsidRDefault="00292F7E" w:rsidP="00966759">
            <w:pPr>
              <w:rPr>
                <w:rFonts w:ascii="Arial" w:hAnsi="Arial" w:cs="Arial"/>
                <w:sz w:val="22"/>
                <w:szCs w:val="22"/>
              </w:rPr>
            </w:pPr>
            <w:hyperlink r:id="rId56" w:history="1">
              <w:r w:rsidRPr="006E5B28">
                <w:rPr>
                  <w:rStyle w:val="Hyperlink"/>
                  <w:rFonts w:ascii="Arial" w:hAnsi="Arial" w:cs="Arial"/>
                  <w:sz w:val="22"/>
                  <w:szCs w:val="22"/>
                </w:rPr>
                <w:t>https://doi.org/10.1371/journal.pone.0159015</w:t>
              </w:r>
            </w:hyperlink>
            <w:r w:rsidRPr="006E5B28">
              <w:rPr>
                <w:rFonts w:ascii="Arial" w:hAnsi="Arial" w:cs="Arial"/>
                <w:sz w:val="22"/>
                <w:szCs w:val="22"/>
              </w:rPr>
              <w:t xml:space="preserve"> </w:t>
            </w:r>
          </w:p>
        </w:tc>
      </w:tr>
      <w:tr w:rsidR="00292F7E" w:rsidRPr="006E5B28" w14:paraId="6949C4C6" w14:textId="77777777" w:rsidTr="00966759">
        <w:tc>
          <w:tcPr>
            <w:tcW w:w="1066" w:type="dxa"/>
          </w:tcPr>
          <w:p w14:paraId="3C8FD287" w14:textId="77777777" w:rsidR="00292F7E" w:rsidRPr="006E5B28" w:rsidRDefault="00292F7E" w:rsidP="00966759">
            <w:pPr>
              <w:rPr>
                <w:rFonts w:ascii="Arial" w:hAnsi="Arial" w:cs="Arial"/>
                <w:sz w:val="22"/>
                <w:szCs w:val="22"/>
              </w:rPr>
            </w:pPr>
            <w:r>
              <w:rPr>
                <w:rFonts w:ascii="Arial" w:hAnsi="Arial" w:cs="Arial"/>
                <w:sz w:val="22"/>
                <w:szCs w:val="22"/>
              </w:rPr>
              <w:t>Yes</w:t>
            </w:r>
          </w:p>
        </w:tc>
        <w:tc>
          <w:tcPr>
            <w:tcW w:w="1464" w:type="dxa"/>
          </w:tcPr>
          <w:p w14:paraId="748C4BB3" w14:textId="77777777" w:rsidR="00292F7E" w:rsidRPr="006E5B28" w:rsidRDefault="00292F7E" w:rsidP="00966759">
            <w:pPr>
              <w:rPr>
                <w:rFonts w:ascii="Arial" w:hAnsi="Arial" w:cs="Arial"/>
                <w:sz w:val="22"/>
                <w:szCs w:val="22"/>
              </w:rPr>
            </w:pPr>
            <w:r w:rsidRPr="006E5B28">
              <w:rPr>
                <w:rFonts w:ascii="Arial" w:eastAsia="Times New Roman" w:hAnsi="Arial" w:cs="Arial"/>
                <w:sz w:val="22"/>
                <w:szCs w:val="22"/>
              </w:rPr>
              <w:t>Bakker &amp; Demero</w:t>
            </w:r>
            <w:r w:rsidRPr="006E5B28">
              <w:rPr>
                <w:rFonts w:ascii="Arial" w:eastAsia="Times New Roman" w:hAnsi="Arial" w:cs="Arial"/>
                <w:sz w:val="22"/>
                <w:szCs w:val="22"/>
              </w:rPr>
              <w:lastRenderedPageBreak/>
              <w:t>uti (2017</w:t>
            </w:r>
            <w:r>
              <w:rPr>
                <w:rFonts w:ascii="Arial" w:eastAsia="Times New Roman" w:hAnsi="Arial" w:cs="Arial"/>
                <w:sz w:val="22"/>
                <w:szCs w:val="22"/>
              </w:rPr>
              <w:t>)</w:t>
            </w:r>
          </w:p>
        </w:tc>
        <w:tc>
          <w:tcPr>
            <w:tcW w:w="1579" w:type="dxa"/>
          </w:tcPr>
          <w:p w14:paraId="4540F6E1" w14:textId="77777777" w:rsidR="00292F7E" w:rsidRPr="006E5B28" w:rsidRDefault="00292F7E" w:rsidP="00966759">
            <w:pPr>
              <w:rPr>
                <w:rFonts w:ascii="Arial" w:hAnsi="Arial" w:cs="Arial"/>
                <w:sz w:val="22"/>
                <w:szCs w:val="22"/>
              </w:rPr>
            </w:pPr>
            <w:r w:rsidRPr="006E5B28">
              <w:rPr>
                <w:rFonts w:ascii="Arial" w:hAnsi="Arial" w:cs="Arial"/>
                <w:sz w:val="22"/>
                <w:szCs w:val="22"/>
              </w:rPr>
              <w:lastRenderedPageBreak/>
              <w:t>Job Demands–Resourc</w:t>
            </w:r>
            <w:r w:rsidRPr="006E5B28">
              <w:rPr>
                <w:rFonts w:ascii="Arial" w:hAnsi="Arial" w:cs="Arial"/>
                <w:sz w:val="22"/>
                <w:szCs w:val="22"/>
              </w:rPr>
              <w:lastRenderedPageBreak/>
              <w:t>es Theory</w:t>
            </w:r>
          </w:p>
        </w:tc>
        <w:tc>
          <w:tcPr>
            <w:tcW w:w="1686" w:type="dxa"/>
          </w:tcPr>
          <w:p w14:paraId="684C024F" w14:textId="77777777" w:rsidR="00292F7E" w:rsidRPr="006E5B28" w:rsidRDefault="00292F7E" w:rsidP="00966759">
            <w:pPr>
              <w:rPr>
                <w:rFonts w:ascii="Arial" w:hAnsi="Arial" w:cs="Arial"/>
                <w:sz w:val="22"/>
                <w:szCs w:val="22"/>
              </w:rPr>
            </w:pPr>
            <w:r w:rsidRPr="006E5B28">
              <w:rPr>
                <w:rFonts w:ascii="Arial" w:hAnsi="Arial" w:cs="Arial"/>
                <w:sz w:val="22"/>
                <w:szCs w:val="22"/>
              </w:rPr>
              <w:lastRenderedPageBreak/>
              <w:t xml:space="preserve">Theoretical model explaining burnout </w:t>
            </w:r>
            <w:r w:rsidRPr="006E5B28">
              <w:rPr>
                <w:rFonts w:ascii="Arial" w:hAnsi="Arial" w:cs="Arial"/>
                <w:sz w:val="22"/>
                <w:szCs w:val="22"/>
              </w:rPr>
              <w:lastRenderedPageBreak/>
              <w:t>mechanisms.</w:t>
            </w:r>
          </w:p>
        </w:tc>
        <w:tc>
          <w:tcPr>
            <w:tcW w:w="2451" w:type="dxa"/>
          </w:tcPr>
          <w:p w14:paraId="4701721B" w14:textId="77777777" w:rsidR="00292F7E" w:rsidRPr="006E5B28" w:rsidRDefault="00292F7E" w:rsidP="00966759">
            <w:pPr>
              <w:rPr>
                <w:rFonts w:ascii="Arial" w:hAnsi="Arial" w:cs="Arial"/>
                <w:sz w:val="22"/>
                <w:szCs w:val="22"/>
              </w:rPr>
            </w:pPr>
            <w:r w:rsidRPr="006E5B28">
              <w:rPr>
                <w:rFonts w:ascii="Arial" w:hAnsi="Arial" w:cs="Arial"/>
                <w:b/>
                <w:bCs/>
                <w:sz w:val="22"/>
                <w:szCs w:val="22"/>
              </w:rPr>
              <w:lastRenderedPageBreak/>
              <w:t>Currency</w:t>
            </w:r>
            <w:r w:rsidRPr="006E5B28">
              <w:rPr>
                <w:rFonts w:ascii="Arial" w:hAnsi="Arial" w:cs="Arial"/>
                <w:sz w:val="22"/>
                <w:szCs w:val="22"/>
              </w:rPr>
              <w:t xml:space="preserve">: Good </w:t>
            </w:r>
            <w:r w:rsidRPr="006E5B28">
              <w:rPr>
                <w:rFonts w:ascii="Arial" w:hAnsi="Arial" w:cs="Arial"/>
                <w:b/>
                <w:bCs/>
                <w:sz w:val="22"/>
                <w:szCs w:val="22"/>
              </w:rPr>
              <w:t>Relevance</w:t>
            </w:r>
            <w:r w:rsidRPr="006E5B28">
              <w:rPr>
                <w:rFonts w:ascii="Arial" w:hAnsi="Arial" w:cs="Arial"/>
                <w:sz w:val="22"/>
                <w:szCs w:val="22"/>
              </w:rPr>
              <w:t xml:space="preserve">:Theoretical </w:t>
            </w:r>
            <w:r w:rsidRPr="006E5B28">
              <w:rPr>
                <w:rFonts w:ascii="Arial" w:hAnsi="Arial" w:cs="Arial"/>
                <w:b/>
                <w:bCs/>
                <w:sz w:val="22"/>
                <w:szCs w:val="22"/>
              </w:rPr>
              <w:lastRenderedPageBreak/>
              <w:t>Authority</w:t>
            </w:r>
            <w:r w:rsidRPr="006E5B28">
              <w:rPr>
                <w:rFonts w:ascii="Arial" w:hAnsi="Arial" w:cs="Arial"/>
                <w:sz w:val="22"/>
                <w:szCs w:val="22"/>
              </w:rPr>
              <w:t xml:space="preserve">: Academic </w:t>
            </w:r>
            <w:r w:rsidRPr="006E5B28">
              <w:rPr>
                <w:rFonts w:ascii="Arial" w:hAnsi="Arial" w:cs="Arial"/>
                <w:b/>
                <w:bCs/>
                <w:sz w:val="22"/>
                <w:szCs w:val="22"/>
              </w:rPr>
              <w:t>Accuracy</w:t>
            </w:r>
            <w:r w:rsidRPr="006E5B28">
              <w:rPr>
                <w:rFonts w:ascii="Arial" w:hAnsi="Arial" w:cs="Arial"/>
                <w:sz w:val="22"/>
                <w:szCs w:val="22"/>
              </w:rPr>
              <w:t>: Review</w:t>
            </w:r>
          </w:p>
          <w:p w14:paraId="1D8354BF" w14:textId="77777777" w:rsidR="00292F7E" w:rsidRPr="006E5B28" w:rsidRDefault="00292F7E" w:rsidP="00966759">
            <w:pPr>
              <w:rPr>
                <w:rFonts w:ascii="Arial" w:hAnsi="Arial" w:cs="Arial"/>
                <w:sz w:val="22"/>
                <w:szCs w:val="22"/>
              </w:rPr>
            </w:pPr>
            <w:r w:rsidRPr="006E5B28">
              <w:rPr>
                <w:rFonts w:ascii="Arial" w:hAnsi="Arial" w:cs="Arial"/>
                <w:b/>
                <w:bCs/>
                <w:sz w:val="22"/>
                <w:szCs w:val="22"/>
              </w:rPr>
              <w:t>Purpose</w:t>
            </w:r>
            <w:r w:rsidRPr="006E5B28">
              <w:rPr>
                <w:rFonts w:ascii="Arial" w:hAnsi="Arial" w:cs="Arial"/>
                <w:sz w:val="22"/>
                <w:szCs w:val="22"/>
              </w:rPr>
              <w:t>: Theory</w:t>
            </w:r>
          </w:p>
        </w:tc>
        <w:tc>
          <w:tcPr>
            <w:tcW w:w="770" w:type="dxa"/>
          </w:tcPr>
          <w:p w14:paraId="5256DC2E" w14:textId="77777777" w:rsidR="00292F7E" w:rsidRPr="006E5B28" w:rsidRDefault="00292F7E" w:rsidP="00966759">
            <w:pPr>
              <w:rPr>
                <w:rFonts w:ascii="Arial" w:hAnsi="Arial" w:cs="Arial"/>
                <w:sz w:val="22"/>
                <w:szCs w:val="22"/>
              </w:rPr>
            </w:pPr>
            <w:hyperlink r:id="rId57" w:history="1">
              <w:r w:rsidRPr="006E5B28">
                <w:rPr>
                  <w:rStyle w:val="Hyperlink"/>
                  <w:rFonts w:ascii="Arial" w:hAnsi="Arial" w:cs="Arial"/>
                  <w:sz w:val="22"/>
                  <w:szCs w:val="22"/>
                </w:rPr>
                <w:t>https://doi.org/10.1037/ocp0000056</w:t>
              </w:r>
            </w:hyperlink>
            <w:r w:rsidRPr="006E5B28">
              <w:rPr>
                <w:rFonts w:ascii="Arial" w:hAnsi="Arial" w:cs="Arial"/>
                <w:sz w:val="22"/>
                <w:szCs w:val="22"/>
              </w:rPr>
              <w:t xml:space="preserve"> </w:t>
            </w:r>
          </w:p>
        </w:tc>
      </w:tr>
    </w:tbl>
    <w:p w14:paraId="4E0EC7A1" w14:textId="77777777" w:rsidR="00292F7E" w:rsidRDefault="00292F7E" w:rsidP="00966759"/>
    <w:p w14:paraId="280D5451" w14:textId="77777777" w:rsidR="00292F7E" w:rsidRDefault="00292F7E" w:rsidP="00966759"/>
    <w:p w14:paraId="596DD6D7" w14:textId="77777777" w:rsidR="00963E96" w:rsidRDefault="00963E96" w:rsidP="00966759">
      <w:pPr>
        <w:rPr>
          <w:rFonts w:ascii="Arial" w:hAnsi="Arial" w:cs="Arial"/>
          <w:b/>
          <w:bCs/>
          <w:sz w:val="22"/>
          <w:szCs w:val="22"/>
        </w:rPr>
      </w:pPr>
      <w:r w:rsidRPr="00FF3456">
        <w:rPr>
          <w:rFonts w:ascii="Arial" w:hAnsi="Arial" w:cs="Arial"/>
          <w:b/>
          <w:bCs/>
          <w:sz w:val="22"/>
          <w:szCs w:val="22"/>
        </w:rPr>
        <w:t>Appendix 2 — Summary Table (Top 5 Studies)</w:t>
      </w:r>
    </w:p>
    <w:tbl>
      <w:tblPr>
        <w:tblStyle w:val="TableGrid"/>
        <w:tblW w:w="9776" w:type="dxa"/>
        <w:tblLayout w:type="fixed"/>
        <w:tblLook w:val="04A0" w:firstRow="1" w:lastRow="0" w:firstColumn="1" w:lastColumn="0" w:noHBand="0" w:noVBand="1"/>
      </w:tblPr>
      <w:tblGrid>
        <w:gridCol w:w="952"/>
        <w:gridCol w:w="1015"/>
        <w:gridCol w:w="1005"/>
        <w:gridCol w:w="1328"/>
        <w:gridCol w:w="1507"/>
        <w:gridCol w:w="1418"/>
        <w:gridCol w:w="1417"/>
        <w:gridCol w:w="1134"/>
      </w:tblGrid>
      <w:tr w:rsidR="00963E96" w:rsidRPr="001611AC" w14:paraId="36FA5506" w14:textId="77777777" w:rsidTr="00392918">
        <w:tc>
          <w:tcPr>
            <w:tcW w:w="952" w:type="dxa"/>
          </w:tcPr>
          <w:p w14:paraId="65D7D257" w14:textId="77777777" w:rsidR="00963E96" w:rsidRPr="001611AC" w:rsidRDefault="00963E96" w:rsidP="00966759">
            <w:pPr>
              <w:rPr>
                <w:rFonts w:ascii="Arial" w:hAnsi="Arial" w:cs="Arial"/>
                <w:b/>
                <w:bCs/>
                <w:sz w:val="22"/>
                <w:szCs w:val="22"/>
              </w:rPr>
            </w:pPr>
            <w:r w:rsidRPr="001611AC">
              <w:rPr>
                <w:rFonts w:ascii="Arial" w:hAnsi="Arial" w:cs="Arial"/>
                <w:b/>
                <w:bCs/>
                <w:sz w:val="22"/>
                <w:szCs w:val="22"/>
              </w:rPr>
              <w:t>Author &amp; Year</w:t>
            </w:r>
          </w:p>
        </w:tc>
        <w:tc>
          <w:tcPr>
            <w:tcW w:w="1015" w:type="dxa"/>
          </w:tcPr>
          <w:p w14:paraId="23AD4473" w14:textId="77777777" w:rsidR="00963E96" w:rsidRPr="001611AC" w:rsidRDefault="00963E96" w:rsidP="00966759">
            <w:pPr>
              <w:rPr>
                <w:rFonts w:ascii="Arial" w:hAnsi="Arial" w:cs="Arial"/>
                <w:b/>
                <w:bCs/>
                <w:sz w:val="22"/>
                <w:szCs w:val="22"/>
              </w:rPr>
            </w:pPr>
            <w:r w:rsidRPr="001611AC">
              <w:rPr>
                <w:rFonts w:ascii="Arial" w:hAnsi="Arial" w:cs="Arial"/>
                <w:b/>
                <w:bCs/>
                <w:sz w:val="22"/>
                <w:szCs w:val="22"/>
              </w:rPr>
              <w:t xml:space="preserve">Article Title </w:t>
            </w:r>
          </w:p>
        </w:tc>
        <w:tc>
          <w:tcPr>
            <w:tcW w:w="1005" w:type="dxa"/>
          </w:tcPr>
          <w:p w14:paraId="4927B862" w14:textId="77777777" w:rsidR="00963E96" w:rsidRPr="001611AC" w:rsidRDefault="00963E96" w:rsidP="00966759">
            <w:pPr>
              <w:rPr>
                <w:rFonts w:ascii="Arial" w:hAnsi="Arial" w:cs="Arial"/>
                <w:b/>
                <w:bCs/>
                <w:sz w:val="22"/>
                <w:szCs w:val="22"/>
              </w:rPr>
            </w:pPr>
            <w:r w:rsidRPr="001611AC">
              <w:rPr>
                <w:rFonts w:ascii="Arial" w:hAnsi="Arial" w:cs="Arial"/>
                <w:b/>
                <w:bCs/>
                <w:sz w:val="22"/>
                <w:szCs w:val="22"/>
              </w:rPr>
              <w:t>Type of Study</w:t>
            </w:r>
          </w:p>
        </w:tc>
        <w:tc>
          <w:tcPr>
            <w:tcW w:w="1328" w:type="dxa"/>
          </w:tcPr>
          <w:p w14:paraId="13D961D1" w14:textId="77777777" w:rsidR="00963E96" w:rsidRPr="001611AC" w:rsidRDefault="00963E96" w:rsidP="00966759">
            <w:pPr>
              <w:rPr>
                <w:rFonts w:ascii="Arial" w:hAnsi="Arial" w:cs="Arial"/>
                <w:b/>
                <w:bCs/>
                <w:sz w:val="22"/>
                <w:szCs w:val="22"/>
              </w:rPr>
            </w:pPr>
            <w:r w:rsidRPr="001611AC">
              <w:rPr>
                <w:rFonts w:ascii="Arial" w:hAnsi="Arial" w:cs="Arial"/>
                <w:b/>
                <w:bCs/>
                <w:sz w:val="22"/>
                <w:szCs w:val="22"/>
              </w:rPr>
              <w:t>Research Method &amp; Sample Size</w:t>
            </w:r>
          </w:p>
        </w:tc>
        <w:tc>
          <w:tcPr>
            <w:tcW w:w="1507" w:type="dxa"/>
          </w:tcPr>
          <w:p w14:paraId="158A5D14" w14:textId="77777777" w:rsidR="00963E96" w:rsidRPr="001611AC" w:rsidRDefault="00963E96" w:rsidP="00966759">
            <w:pPr>
              <w:rPr>
                <w:rFonts w:ascii="Arial" w:hAnsi="Arial" w:cs="Arial"/>
                <w:b/>
                <w:bCs/>
                <w:sz w:val="22"/>
                <w:szCs w:val="22"/>
              </w:rPr>
            </w:pPr>
            <w:r w:rsidRPr="001611AC">
              <w:rPr>
                <w:rFonts w:ascii="Arial" w:hAnsi="Arial" w:cs="Arial"/>
                <w:b/>
                <w:bCs/>
                <w:sz w:val="22"/>
                <w:szCs w:val="22"/>
              </w:rPr>
              <w:t>Strengths &amp; Limitations</w:t>
            </w:r>
          </w:p>
        </w:tc>
        <w:tc>
          <w:tcPr>
            <w:tcW w:w="1418" w:type="dxa"/>
          </w:tcPr>
          <w:p w14:paraId="78218D0C" w14:textId="77777777" w:rsidR="00963E96" w:rsidRPr="001611AC" w:rsidRDefault="00963E96" w:rsidP="00966759">
            <w:pPr>
              <w:rPr>
                <w:rFonts w:ascii="Arial" w:hAnsi="Arial" w:cs="Arial"/>
                <w:b/>
                <w:bCs/>
                <w:sz w:val="22"/>
                <w:szCs w:val="22"/>
              </w:rPr>
            </w:pPr>
            <w:r w:rsidRPr="001611AC">
              <w:rPr>
                <w:rFonts w:ascii="Arial" w:hAnsi="Arial" w:cs="Arial"/>
                <w:b/>
                <w:bCs/>
                <w:sz w:val="22"/>
                <w:szCs w:val="22"/>
              </w:rPr>
              <w:t>Main Findings</w:t>
            </w:r>
          </w:p>
        </w:tc>
        <w:tc>
          <w:tcPr>
            <w:tcW w:w="1417" w:type="dxa"/>
          </w:tcPr>
          <w:p w14:paraId="3A2CFBD2" w14:textId="77777777" w:rsidR="00963E96" w:rsidRPr="001611AC" w:rsidRDefault="00963E96" w:rsidP="00966759">
            <w:pPr>
              <w:rPr>
                <w:rFonts w:ascii="Arial" w:hAnsi="Arial" w:cs="Arial"/>
                <w:b/>
                <w:bCs/>
                <w:sz w:val="22"/>
                <w:szCs w:val="22"/>
              </w:rPr>
            </w:pPr>
            <w:r w:rsidRPr="001611AC">
              <w:rPr>
                <w:rFonts w:ascii="Arial" w:hAnsi="Arial" w:cs="Arial"/>
                <w:b/>
                <w:bCs/>
                <w:sz w:val="22"/>
                <w:szCs w:val="22"/>
              </w:rPr>
              <w:t>Keywords &amp; Codes</w:t>
            </w:r>
          </w:p>
        </w:tc>
        <w:tc>
          <w:tcPr>
            <w:tcW w:w="1134" w:type="dxa"/>
          </w:tcPr>
          <w:p w14:paraId="6AC587DF" w14:textId="77777777" w:rsidR="00963E96" w:rsidRPr="001611AC" w:rsidRDefault="00963E96" w:rsidP="00966759">
            <w:pPr>
              <w:rPr>
                <w:rFonts w:ascii="Arial" w:hAnsi="Arial" w:cs="Arial"/>
                <w:b/>
                <w:bCs/>
                <w:sz w:val="22"/>
                <w:szCs w:val="22"/>
              </w:rPr>
            </w:pPr>
            <w:r w:rsidRPr="001611AC">
              <w:rPr>
                <w:rFonts w:ascii="Arial" w:hAnsi="Arial" w:cs="Arial"/>
                <w:b/>
                <w:bCs/>
                <w:sz w:val="22"/>
                <w:szCs w:val="22"/>
              </w:rPr>
              <w:t xml:space="preserve">Notes &amp; Comments </w:t>
            </w:r>
          </w:p>
        </w:tc>
      </w:tr>
      <w:tr w:rsidR="00963E96" w:rsidRPr="001611AC" w14:paraId="2BDCDEED" w14:textId="77777777" w:rsidTr="00392918">
        <w:tc>
          <w:tcPr>
            <w:tcW w:w="952" w:type="dxa"/>
          </w:tcPr>
          <w:p w14:paraId="3C9C86F2"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Rotenstein et al. (2018)</w:t>
            </w:r>
          </w:p>
        </w:tc>
        <w:tc>
          <w:tcPr>
            <w:tcW w:w="1015" w:type="dxa"/>
          </w:tcPr>
          <w:p w14:paraId="5BF1BB7E"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Prevalence of Burnout Among Physicians</w:t>
            </w:r>
          </w:p>
        </w:tc>
        <w:tc>
          <w:tcPr>
            <w:tcW w:w="1005" w:type="dxa"/>
          </w:tcPr>
          <w:p w14:paraId="63B2B8D9" w14:textId="77777777" w:rsidR="00963E96" w:rsidRPr="001611AC" w:rsidRDefault="00963E96" w:rsidP="00966759">
            <w:pPr>
              <w:rPr>
                <w:rFonts w:ascii="Arial" w:hAnsi="Arial" w:cs="Arial"/>
                <w:sz w:val="22"/>
                <w:szCs w:val="22"/>
              </w:rPr>
            </w:pPr>
            <w:r w:rsidRPr="001611AC">
              <w:rPr>
                <w:rFonts w:ascii="Arial" w:eastAsia="Times New Roman" w:hAnsi="Arial" w:cs="Arial"/>
                <w:sz w:val="22"/>
                <w:szCs w:val="22"/>
              </w:rPr>
              <w:t>Systematic Review &amp; Meta-analysis</w:t>
            </w:r>
          </w:p>
        </w:tc>
        <w:tc>
          <w:tcPr>
            <w:tcW w:w="1328" w:type="dxa"/>
          </w:tcPr>
          <w:p w14:paraId="5A6A4222"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182 studies</w:t>
            </w:r>
            <w:r>
              <w:rPr>
                <w:rFonts w:ascii="Arial" w:eastAsia="Times New Roman" w:hAnsi="Arial" w:cs="Arial"/>
                <w:sz w:val="22"/>
                <w:szCs w:val="22"/>
              </w:rPr>
              <w:t xml:space="preserve"> </w:t>
            </w:r>
            <w:r w:rsidRPr="001611AC">
              <w:rPr>
                <w:rFonts w:ascii="Arial" w:eastAsia="Times New Roman" w:hAnsi="Arial" w:cs="Arial"/>
                <w:sz w:val="22"/>
                <w:szCs w:val="22"/>
              </w:rPr>
              <w:t>100,000 physicians</w:t>
            </w:r>
          </w:p>
        </w:tc>
        <w:tc>
          <w:tcPr>
            <w:tcW w:w="1507" w:type="dxa"/>
          </w:tcPr>
          <w:p w14:paraId="3978025F" w14:textId="77777777" w:rsidR="00963E96" w:rsidRPr="001611AC" w:rsidRDefault="00963E96" w:rsidP="00966759">
            <w:pPr>
              <w:rPr>
                <w:rFonts w:ascii="Arial" w:hAnsi="Arial" w:cs="Arial"/>
                <w:b/>
                <w:bCs/>
                <w:sz w:val="22"/>
                <w:szCs w:val="22"/>
              </w:rPr>
            </w:pPr>
            <w:r w:rsidRPr="003F632F">
              <w:rPr>
                <w:rFonts w:ascii="Arial" w:eastAsia="Times New Roman" w:hAnsi="Arial" w:cs="Arial"/>
                <w:b/>
                <w:bCs/>
                <w:sz w:val="22"/>
                <w:szCs w:val="22"/>
              </w:rPr>
              <w:t>Strength</w:t>
            </w:r>
            <w:r w:rsidRPr="001611AC">
              <w:rPr>
                <w:rFonts w:ascii="Arial" w:eastAsia="Times New Roman" w:hAnsi="Arial" w:cs="Arial"/>
                <w:sz w:val="22"/>
                <w:szCs w:val="22"/>
              </w:rPr>
              <w:t xml:space="preserve">: very large sample </w:t>
            </w:r>
            <w:r w:rsidRPr="003F632F">
              <w:rPr>
                <w:rFonts w:ascii="Arial" w:eastAsia="Times New Roman" w:hAnsi="Arial" w:cs="Arial"/>
                <w:b/>
                <w:bCs/>
                <w:sz w:val="22"/>
                <w:szCs w:val="22"/>
              </w:rPr>
              <w:t>Limitation</w:t>
            </w:r>
            <w:r w:rsidRPr="001611AC">
              <w:rPr>
                <w:rFonts w:ascii="Arial" w:eastAsia="Times New Roman" w:hAnsi="Arial" w:cs="Arial"/>
                <w:sz w:val="22"/>
                <w:szCs w:val="22"/>
              </w:rPr>
              <w:t>: heterogeneity across studies</w:t>
            </w:r>
          </w:p>
        </w:tc>
        <w:tc>
          <w:tcPr>
            <w:tcW w:w="1418" w:type="dxa"/>
          </w:tcPr>
          <w:p w14:paraId="4BFFBF31" w14:textId="77777777" w:rsidR="00963E96" w:rsidRPr="001611AC" w:rsidRDefault="00963E96" w:rsidP="00966759">
            <w:pPr>
              <w:rPr>
                <w:rFonts w:ascii="Arial" w:hAnsi="Arial" w:cs="Arial"/>
                <w:sz w:val="22"/>
                <w:szCs w:val="22"/>
              </w:rPr>
            </w:pPr>
            <w:r w:rsidRPr="001611AC">
              <w:rPr>
                <w:rFonts w:ascii="Arial" w:eastAsia="Times New Roman" w:hAnsi="Arial" w:cs="Arial"/>
                <w:sz w:val="22"/>
                <w:szCs w:val="22"/>
              </w:rPr>
              <w:t>High levels of burnout and emotional exhaustion were consistently reported among healthcare professionals.</w:t>
            </w:r>
          </w:p>
        </w:tc>
        <w:tc>
          <w:tcPr>
            <w:tcW w:w="1417" w:type="dxa"/>
          </w:tcPr>
          <w:p w14:paraId="2D569BFC"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Burnout prevalence</w:t>
            </w:r>
            <w:r>
              <w:rPr>
                <w:rFonts w:ascii="Arial" w:eastAsia="Times New Roman" w:hAnsi="Arial" w:cs="Arial"/>
                <w:sz w:val="22"/>
                <w:szCs w:val="22"/>
              </w:rPr>
              <w:t>,</w:t>
            </w:r>
            <w:r w:rsidRPr="001611AC">
              <w:rPr>
                <w:rFonts w:ascii="Arial" w:eastAsia="Times New Roman" w:hAnsi="Arial" w:cs="Arial"/>
                <w:sz w:val="22"/>
                <w:szCs w:val="22"/>
              </w:rPr>
              <w:t xml:space="preserve"> Emotional exhaustion</w:t>
            </w:r>
            <w:r>
              <w:rPr>
                <w:rFonts w:ascii="Arial" w:eastAsia="Times New Roman" w:hAnsi="Arial" w:cs="Arial"/>
                <w:sz w:val="22"/>
                <w:szCs w:val="22"/>
              </w:rPr>
              <w:t>,</w:t>
            </w:r>
            <w:r w:rsidRPr="001611AC">
              <w:rPr>
                <w:rFonts w:ascii="Arial" w:eastAsia="Times New Roman" w:hAnsi="Arial" w:cs="Arial"/>
                <w:sz w:val="22"/>
                <w:szCs w:val="22"/>
              </w:rPr>
              <w:t xml:space="preserve"> Workforce stress</w:t>
            </w:r>
          </w:p>
        </w:tc>
        <w:tc>
          <w:tcPr>
            <w:tcW w:w="1134" w:type="dxa"/>
          </w:tcPr>
          <w:p w14:paraId="6EAADC93"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Key evidence demonstrating scale of the problem.</w:t>
            </w:r>
          </w:p>
        </w:tc>
      </w:tr>
      <w:tr w:rsidR="00963E96" w:rsidRPr="001611AC" w14:paraId="6B3F1225" w14:textId="77777777" w:rsidTr="00392918">
        <w:tc>
          <w:tcPr>
            <w:tcW w:w="952" w:type="dxa"/>
          </w:tcPr>
          <w:p w14:paraId="5360F6C0"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West et al. (2018)</w:t>
            </w:r>
          </w:p>
        </w:tc>
        <w:tc>
          <w:tcPr>
            <w:tcW w:w="1015" w:type="dxa"/>
          </w:tcPr>
          <w:p w14:paraId="49E6F69F"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Interventions to Prevent and Reduce Physician Burnout</w:t>
            </w:r>
          </w:p>
        </w:tc>
        <w:tc>
          <w:tcPr>
            <w:tcW w:w="1005" w:type="dxa"/>
          </w:tcPr>
          <w:p w14:paraId="3C90078E"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Meta-analysis</w:t>
            </w:r>
          </w:p>
        </w:tc>
        <w:tc>
          <w:tcPr>
            <w:tcW w:w="1328" w:type="dxa"/>
          </w:tcPr>
          <w:p w14:paraId="7C7EAB99"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15 RCTs</w:t>
            </w:r>
            <w:r>
              <w:rPr>
                <w:rFonts w:ascii="Arial" w:eastAsia="Times New Roman" w:hAnsi="Arial" w:cs="Arial"/>
                <w:sz w:val="22"/>
                <w:szCs w:val="22"/>
              </w:rPr>
              <w:t>(</w:t>
            </w:r>
            <w:r w:rsidRPr="006732AD">
              <w:rPr>
                <w:rStyle w:val="Strong"/>
                <w:rFonts w:eastAsia="Times New Roman"/>
                <w:b w:val="0"/>
                <w:bCs w:val="0"/>
              </w:rPr>
              <w:t>Randomised Controlled Trials</w:t>
            </w:r>
            <w:r>
              <w:rPr>
                <w:rStyle w:val="Strong"/>
                <w:rFonts w:eastAsia="Times New Roman"/>
                <w:b w:val="0"/>
                <w:bCs w:val="0"/>
              </w:rPr>
              <w:t>)</w:t>
            </w:r>
            <w:r w:rsidRPr="001611AC">
              <w:rPr>
                <w:rFonts w:ascii="Arial" w:eastAsia="Times New Roman" w:hAnsi="Arial" w:cs="Arial"/>
                <w:sz w:val="22"/>
                <w:szCs w:val="22"/>
              </w:rPr>
              <w:t xml:space="preserve"> 1,500 physicians</w:t>
            </w:r>
          </w:p>
        </w:tc>
        <w:tc>
          <w:tcPr>
            <w:tcW w:w="1507" w:type="dxa"/>
          </w:tcPr>
          <w:p w14:paraId="228A04B2" w14:textId="77777777" w:rsidR="00963E96" w:rsidRPr="001611AC" w:rsidRDefault="00963E96" w:rsidP="00966759">
            <w:pPr>
              <w:rPr>
                <w:rFonts w:ascii="Arial" w:hAnsi="Arial" w:cs="Arial"/>
                <w:b/>
                <w:bCs/>
                <w:sz w:val="22"/>
                <w:szCs w:val="22"/>
              </w:rPr>
            </w:pPr>
            <w:r w:rsidRPr="003F632F">
              <w:rPr>
                <w:rFonts w:ascii="Arial" w:eastAsia="Times New Roman" w:hAnsi="Arial" w:cs="Arial"/>
                <w:b/>
                <w:bCs/>
                <w:sz w:val="22"/>
                <w:szCs w:val="22"/>
              </w:rPr>
              <w:t>Strength</w:t>
            </w:r>
            <w:r w:rsidRPr="001611AC">
              <w:rPr>
                <w:rFonts w:ascii="Arial" w:eastAsia="Times New Roman" w:hAnsi="Arial" w:cs="Arial"/>
                <w:sz w:val="22"/>
                <w:szCs w:val="22"/>
              </w:rPr>
              <w:t xml:space="preserve">: intervention focus; </w:t>
            </w:r>
            <w:r w:rsidRPr="003F632F">
              <w:rPr>
                <w:rFonts w:ascii="Arial" w:eastAsia="Times New Roman" w:hAnsi="Arial" w:cs="Arial"/>
                <w:b/>
                <w:bCs/>
                <w:sz w:val="22"/>
                <w:szCs w:val="22"/>
              </w:rPr>
              <w:t>Limitation</w:t>
            </w:r>
            <w:r w:rsidRPr="001611AC">
              <w:rPr>
                <w:rFonts w:ascii="Arial" w:eastAsia="Times New Roman" w:hAnsi="Arial" w:cs="Arial"/>
                <w:sz w:val="22"/>
                <w:szCs w:val="22"/>
              </w:rPr>
              <w:t>: moderate sample sizes</w:t>
            </w:r>
          </w:p>
        </w:tc>
        <w:tc>
          <w:tcPr>
            <w:tcW w:w="1418" w:type="dxa"/>
          </w:tcPr>
          <w:p w14:paraId="23E2DABC"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Organisational interventions reduced burnout and improved wellbeing, particularly where workload was addressed.</w:t>
            </w:r>
          </w:p>
        </w:tc>
        <w:tc>
          <w:tcPr>
            <w:tcW w:w="1417" w:type="dxa"/>
          </w:tcPr>
          <w:p w14:paraId="50EE2F5E"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Organisational support Intervention effectiveness Workload</w:t>
            </w:r>
          </w:p>
        </w:tc>
        <w:tc>
          <w:tcPr>
            <w:tcW w:w="1134" w:type="dxa"/>
          </w:tcPr>
          <w:p w14:paraId="5C9C1784"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Strong support for system-level solutions.</w:t>
            </w:r>
          </w:p>
        </w:tc>
      </w:tr>
      <w:tr w:rsidR="00963E96" w:rsidRPr="001611AC" w14:paraId="4BCB3C3D" w14:textId="77777777" w:rsidTr="00392918">
        <w:tc>
          <w:tcPr>
            <w:tcW w:w="952" w:type="dxa"/>
          </w:tcPr>
          <w:p w14:paraId="6DA8048F"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Dyrbye et al. (2020)</w:t>
            </w:r>
          </w:p>
        </w:tc>
        <w:tc>
          <w:tcPr>
            <w:tcW w:w="1015" w:type="dxa"/>
          </w:tcPr>
          <w:p w14:paraId="61C3CA2C"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Physician Burnout and Well-being</w:t>
            </w:r>
          </w:p>
        </w:tc>
        <w:tc>
          <w:tcPr>
            <w:tcW w:w="1005" w:type="dxa"/>
          </w:tcPr>
          <w:p w14:paraId="2F2FED4D"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Narrative Review</w:t>
            </w:r>
          </w:p>
        </w:tc>
        <w:tc>
          <w:tcPr>
            <w:tcW w:w="1328" w:type="dxa"/>
          </w:tcPr>
          <w:p w14:paraId="5CAF6B5A"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Multi-study synthesis</w:t>
            </w:r>
          </w:p>
        </w:tc>
        <w:tc>
          <w:tcPr>
            <w:tcW w:w="1507" w:type="dxa"/>
          </w:tcPr>
          <w:p w14:paraId="50B6475E" w14:textId="77777777" w:rsidR="00963E96" w:rsidRPr="001611AC" w:rsidRDefault="00963E96" w:rsidP="00966759">
            <w:pPr>
              <w:rPr>
                <w:rFonts w:ascii="Arial" w:eastAsia="Times New Roman" w:hAnsi="Arial" w:cs="Arial"/>
                <w:sz w:val="22"/>
                <w:szCs w:val="22"/>
              </w:rPr>
            </w:pPr>
            <w:r w:rsidRPr="003F632F">
              <w:rPr>
                <w:rFonts w:ascii="Arial" w:eastAsia="Times New Roman" w:hAnsi="Arial" w:cs="Arial"/>
                <w:b/>
                <w:bCs/>
                <w:sz w:val="22"/>
                <w:szCs w:val="22"/>
              </w:rPr>
              <w:t>Strength</w:t>
            </w:r>
            <w:r w:rsidRPr="001611AC">
              <w:rPr>
                <w:rFonts w:ascii="Arial" w:eastAsia="Times New Roman" w:hAnsi="Arial" w:cs="Arial"/>
                <w:sz w:val="22"/>
                <w:szCs w:val="22"/>
              </w:rPr>
              <w:t xml:space="preserve">: comprehensive overview </w:t>
            </w:r>
            <w:r w:rsidRPr="003F632F">
              <w:rPr>
                <w:rFonts w:ascii="Arial" w:eastAsia="Times New Roman" w:hAnsi="Arial" w:cs="Arial"/>
                <w:b/>
                <w:bCs/>
                <w:sz w:val="22"/>
                <w:szCs w:val="22"/>
              </w:rPr>
              <w:t>Limitation</w:t>
            </w:r>
            <w:r w:rsidRPr="001611AC">
              <w:rPr>
                <w:rFonts w:ascii="Arial" w:eastAsia="Times New Roman" w:hAnsi="Arial" w:cs="Arial"/>
                <w:sz w:val="22"/>
                <w:szCs w:val="22"/>
              </w:rPr>
              <w:t>: not primary data</w:t>
            </w:r>
          </w:p>
        </w:tc>
        <w:tc>
          <w:tcPr>
            <w:tcW w:w="1418" w:type="dxa"/>
          </w:tcPr>
          <w:p w14:paraId="7BDCBBA9"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Workload pressures and lack of organisational support were major contributors to burnout.</w:t>
            </w:r>
          </w:p>
        </w:tc>
        <w:tc>
          <w:tcPr>
            <w:tcW w:w="1417" w:type="dxa"/>
          </w:tcPr>
          <w:p w14:paraId="5E182C6B"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Job demands Organisational factors Burnout drivers</w:t>
            </w:r>
          </w:p>
        </w:tc>
        <w:tc>
          <w:tcPr>
            <w:tcW w:w="1134" w:type="dxa"/>
          </w:tcPr>
          <w:p w14:paraId="606CDF9C"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Links well with JD-R</w:t>
            </w:r>
            <w:r>
              <w:rPr>
                <w:rFonts w:ascii="Arial" w:eastAsia="Times New Roman" w:hAnsi="Arial" w:cs="Arial"/>
                <w:sz w:val="22"/>
                <w:szCs w:val="22"/>
              </w:rPr>
              <w:t>(</w:t>
            </w:r>
            <w:r>
              <w:rPr>
                <w:rStyle w:val="Strong"/>
                <w:rFonts w:eastAsia="Times New Roman"/>
              </w:rPr>
              <w:t xml:space="preserve">Job Demands–Resources </w:t>
            </w:r>
            <w:r w:rsidRPr="000E6510">
              <w:rPr>
                <w:rStyle w:val="Strong"/>
                <w:rFonts w:eastAsia="Times New Roman"/>
                <w:b w:val="0"/>
                <w:bCs w:val="0"/>
              </w:rPr>
              <w:t>model</w:t>
            </w:r>
            <w:r>
              <w:rPr>
                <w:rStyle w:val="Strong"/>
                <w:rFonts w:eastAsia="Times New Roman"/>
                <w:b w:val="0"/>
                <w:bCs w:val="0"/>
              </w:rPr>
              <w:t>) theory</w:t>
            </w:r>
            <w:r w:rsidRPr="001611AC">
              <w:rPr>
                <w:rFonts w:ascii="Arial" w:eastAsia="Times New Roman" w:hAnsi="Arial" w:cs="Arial"/>
                <w:sz w:val="22"/>
                <w:szCs w:val="22"/>
              </w:rPr>
              <w:t xml:space="preserve"> in Chapter 3.</w:t>
            </w:r>
          </w:p>
        </w:tc>
      </w:tr>
      <w:tr w:rsidR="00963E96" w:rsidRPr="001611AC" w14:paraId="6D29918E" w14:textId="77777777" w:rsidTr="00392918">
        <w:tc>
          <w:tcPr>
            <w:tcW w:w="952" w:type="dxa"/>
          </w:tcPr>
          <w:p w14:paraId="4ED2BE76"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lastRenderedPageBreak/>
              <w:t>Pappa et al. (2020)</w:t>
            </w:r>
          </w:p>
        </w:tc>
        <w:tc>
          <w:tcPr>
            <w:tcW w:w="1015" w:type="dxa"/>
          </w:tcPr>
          <w:p w14:paraId="05E18798"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Prevalence of Depression, Anxiety and Insomnia among Healthcare Workers</w:t>
            </w:r>
          </w:p>
        </w:tc>
        <w:tc>
          <w:tcPr>
            <w:tcW w:w="1005" w:type="dxa"/>
          </w:tcPr>
          <w:p w14:paraId="381B73B6"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Systematic Review &amp; Meta-analysis</w:t>
            </w:r>
          </w:p>
        </w:tc>
        <w:tc>
          <w:tcPr>
            <w:tcW w:w="1328" w:type="dxa"/>
          </w:tcPr>
          <w:p w14:paraId="1032EE61"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13 studies 33,000 HCWs</w:t>
            </w:r>
          </w:p>
        </w:tc>
        <w:tc>
          <w:tcPr>
            <w:tcW w:w="1507" w:type="dxa"/>
          </w:tcPr>
          <w:p w14:paraId="0CEFA9E0" w14:textId="77777777" w:rsidR="00963E96" w:rsidRPr="001611AC" w:rsidRDefault="00963E96" w:rsidP="00966759">
            <w:pPr>
              <w:rPr>
                <w:rFonts w:ascii="Arial" w:hAnsi="Arial" w:cs="Arial"/>
                <w:b/>
                <w:bCs/>
                <w:sz w:val="22"/>
                <w:szCs w:val="22"/>
              </w:rPr>
            </w:pPr>
            <w:r w:rsidRPr="004E2B82">
              <w:rPr>
                <w:rFonts w:ascii="Arial" w:eastAsia="Times New Roman" w:hAnsi="Arial" w:cs="Arial"/>
                <w:b/>
                <w:bCs/>
                <w:sz w:val="22"/>
                <w:szCs w:val="22"/>
              </w:rPr>
              <w:t>Strength</w:t>
            </w:r>
            <w:r w:rsidRPr="001611AC">
              <w:rPr>
                <w:rFonts w:ascii="Arial" w:eastAsia="Times New Roman" w:hAnsi="Arial" w:cs="Arial"/>
                <w:sz w:val="22"/>
                <w:szCs w:val="22"/>
              </w:rPr>
              <w:t>: timely COVID context</w:t>
            </w:r>
            <w:r>
              <w:rPr>
                <w:rFonts w:ascii="Arial" w:eastAsia="Times New Roman" w:hAnsi="Arial" w:cs="Arial"/>
                <w:sz w:val="22"/>
                <w:szCs w:val="22"/>
              </w:rPr>
              <w:t xml:space="preserve"> </w:t>
            </w:r>
            <w:r w:rsidRPr="004E2B82">
              <w:rPr>
                <w:rFonts w:ascii="Arial" w:eastAsia="Times New Roman" w:hAnsi="Arial" w:cs="Arial"/>
                <w:b/>
                <w:bCs/>
                <w:sz w:val="22"/>
                <w:szCs w:val="22"/>
              </w:rPr>
              <w:t>Limitation</w:t>
            </w:r>
            <w:r w:rsidRPr="001611AC">
              <w:rPr>
                <w:rFonts w:ascii="Arial" w:eastAsia="Times New Roman" w:hAnsi="Arial" w:cs="Arial"/>
                <w:sz w:val="22"/>
                <w:szCs w:val="22"/>
              </w:rPr>
              <w:t>: cross-sectional data</w:t>
            </w:r>
          </w:p>
        </w:tc>
        <w:tc>
          <w:tcPr>
            <w:tcW w:w="1418" w:type="dxa"/>
          </w:tcPr>
          <w:p w14:paraId="6154B769"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Elevated anxiety, depression and psychological distress were widely observed among frontline staff.</w:t>
            </w:r>
          </w:p>
        </w:tc>
        <w:tc>
          <w:tcPr>
            <w:tcW w:w="1417" w:type="dxa"/>
          </w:tcPr>
          <w:p w14:paraId="0A0D2A76"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Psychological distress COVID impact Mental health</w:t>
            </w:r>
          </w:p>
        </w:tc>
        <w:tc>
          <w:tcPr>
            <w:tcW w:w="1134" w:type="dxa"/>
          </w:tcPr>
          <w:p w14:paraId="3622B940" w14:textId="77777777" w:rsidR="00963E96" w:rsidRPr="001611AC" w:rsidRDefault="00963E96" w:rsidP="00966759">
            <w:pPr>
              <w:rPr>
                <w:rFonts w:ascii="Arial" w:hAnsi="Arial" w:cs="Arial"/>
                <w:b/>
                <w:bCs/>
                <w:sz w:val="22"/>
                <w:szCs w:val="22"/>
              </w:rPr>
            </w:pPr>
            <w:r w:rsidRPr="001611AC">
              <w:rPr>
                <w:rFonts w:ascii="Arial" w:eastAsia="Times New Roman" w:hAnsi="Arial" w:cs="Arial"/>
                <w:sz w:val="22"/>
                <w:szCs w:val="22"/>
              </w:rPr>
              <w:t>Reinforces mental health burden theme</w:t>
            </w:r>
          </w:p>
        </w:tc>
      </w:tr>
      <w:tr w:rsidR="00963E96" w:rsidRPr="001611AC" w14:paraId="2322FBCD" w14:textId="77777777" w:rsidTr="00392918">
        <w:tc>
          <w:tcPr>
            <w:tcW w:w="952" w:type="dxa"/>
          </w:tcPr>
          <w:p w14:paraId="6EC1F576" w14:textId="77777777" w:rsidR="00963E96" w:rsidRPr="001611AC" w:rsidRDefault="00963E96" w:rsidP="00966759">
            <w:pPr>
              <w:rPr>
                <w:rFonts w:ascii="Arial" w:eastAsia="Times New Roman" w:hAnsi="Arial" w:cs="Arial"/>
                <w:sz w:val="22"/>
                <w:szCs w:val="22"/>
              </w:rPr>
            </w:pPr>
            <w:r w:rsidRPr="001611AC">
              <w:rPr>
                <w:rFonts w:ascii="Arial" w:eastAsia="Times New Roman" w:hAnsi="Arial" w:cs="Arial"/>
                <w:sz w:val="22"/>
                <w:szCs w:val="22"/>
              </w:rPr>
              <w:t>Shanafelt &amp; Noseworthy (2017)</w:t>
            </w:r>
          </w:p>
        </w:tc>
        <w:tc>
          <w:tcPr>
            <w:tcW w:w="1015" w:type="dxa"/>
          </w:tcPr>
          <w:p w14:paraId="21F299E5" w14:textId="77777777" w:rsidR="00963E96" w:rsidRPr="001611AC" w:rsidRDefault="00963E96" w:rsidP="00966759">
            <w:pPr>
              <w:rPr>
                <w:rFonts w:ascii="Arial" w:eastAsia="Times New Roman" w:hAnsi="Arial" w:cs="Arial"/>
                <w:sz w:val="22"/>
                <w:szCs w:val="22"/>
              </w:rPr>
            </w:pPr>
            <w:r w:rsidRPr="001611AC">
              <w:rPr>
                <w:rFonts w:ascii="Arial" w:eastAsia="Times New Roman" w:hAnsi="Arial" w:cs="Arial"/>
                <w:sz w:val="22"/>
                <w:szCs w:val="22"/>
              </w:rPr>
              <w:t>Executive Leadership and Physician Well-being</w:t>
            </w:r>
          </w:p>
        </w:tc>
        <w:tc>
          <w:tcPr>
            <w:tcW w:w="1005" w:type="dxa"/>
          </w:tcPr>
          <w:p w14:paraId="73069A90" w14:textId="77777777" w:rsidR="00963E96" w:rsidRPr="001611AC" w:rsidRDefault="00963E96" w:rsidP="00966759">
            <w:pPr>
              <w:rPr>
                <w:rFonts w:ascii="Arial" w:eastAsia="Times New Roman" w:hAnsi="Arial" w:cs="Arial"/>
                <w:sz w:val="22"/>
                <w:szCs w:val="22"/>
              </w:rPr>
            </w:pPr>
            <w:r w:rsidRPr="001611AC">
              <w:rPr>
                <w:rFonts w:ascii="Arial" w:eastAsia="Times New Roman" w:hAnsi="Arial" w:cs="Arial"/>
                <w:sz w:val="22"/>
                <w:szCs w:val="22"/>
              </w:rPr>
              <w:t>Evidence Review</w:t>
            </w:r>
          </w:p>
        </w:tc>
        <w:tc>
          <w:tcPr>
            <w:tcW w:w="1328" w:type="dxa"/>
          </w:tcPr>
          <w:p w14:paraId="5F64853D" w14:textId="77777777" w:rsidR="00963E96" w:rsidRPr="001611AC" w:rsidRDefault="00963E96" w:rsidP="00966759">
            <w:pPr>
              <w:rPr>
                <w:rFonts w:ascii="Arial" w:eastAsia="Times New Roman" w:hAnsi="Arial" w:cs="Arial"/>
                <w:sz w:val="22"/>
                <w:szCs w:val="22"/>
              </w:rPr>
            </w:pPr>
            <w:r w:rsidRPr="001611AC">
              <w:rPr>
                <w:rFonts w:ascii="Arial" w:eastAsia="Times New Roman" w:hAnsi="Arial" w:cs="Arial"/>
                <w:sz w:val="22"/>
                <w:szCs w:val="22"/>
              </w:rPr>
              <w:t>Multiple organisational case examples</w:t>
            </w:r>
          </w:p>
        </w:tc>
        <w:tc>
          <w:tcPr>
            <w:tcW w:w="1507" w:type="dxa"/>
          </w:tcPr>
          <w:p w14:paraId="2E5869D3" w14:textId="77777777" w:rsidR="00963E96" w:rsidRPr="001611AC" w:rsidRDefault="00963E96" w:rsidP="00966759">
            <w:pPr>
              <w:rPr>
                <w:rFonts w:ascii="Arial" w:eastAsia="Times New Roman" w:hAnsi="Arial" w:cs="Arial"/>
                <w:sz w:val="22"/>
                <w:szCs w:val="22"/>
              </w:rPr>
            </w:pPr>
            <w:r w:rsidRPr="004E2B82">
              <w:rPr>
                <w:rFonts w:ascii="Arial" w:eastAsia="Times New Roman" w:hAnsi="Arial" w:cs="Arial"/>
                <w:b/>
                <w:bCs/>
                <w:sz w:val="22"/>
                <w:szCs w:val="22"/>
              </w:rPr>
              <w:t>Strength</w:t>
            </w:r>
            <w:r w:rsidRPr="001611AC">
              <w:rPr>
                <w:rFonts w:ascii="Arial" w:eastAsia="Times New Roman" w:hAnsi="Arial" w:cs="Arial"/>
                <w:sz w:val="22"/>
                <w:szCs w:val="22"/>
              </w:rPr>
              <w:t xml:space="preserve">: leadership focus </w:t>
            </w:r>
            <w:r w:rsidRPr="004E2B82">
              <w:rPr>
                <w:rFonts w:ascii="Arial" w:eastAsia="Times New Roman" w:hAnsi="Arial" w:cs="Arial"/>
                <w:b/>
                <w:bCs/>
                <w:sz w:val="22"/>
                <w:szCs w:val="22"/>
              </w:rPr>
              <w:t>Limitation</w:t>
            </w:r>
            <w:r w:rsidRPr="001611AC">
              <w:rPr>
                <w:rFonts w:ascii="Arial" w:eastAsia="Times New Roman" w:hAnsi="Arial" w:cs="Arial"/>
                <w:sz w:val="22"/>
                <w:szCs w:val="22"/>
              </w:rPr>
              <w:t>: some non-experimental data</w:t>
            </w:r>
          </w:p>
        </w:tc>
        <w:tc>
          <w:tcPr>
            <w:tcW w:w="1418" w:type="dxa"/>
          </w:tcPr>
          <w:p w14:paraId="10E09660" w14:textId="77777777" w:rsidR="00963E96" w:rsidRPr="001611AC" w:rsidRDefault="00963E96" w:rsidP="00966759">
            <w:pPr>
              <w:rPr>
                <w:rFonts w:ascii="Arial" w:eastAsia="Times New Roman" w:hAnsi="Arial" w:cs="Arial"/>
                <w:sz w:val="22"/>
                <w:szCs w:val="22"/>
              </w:rPr>
            </w:pPr>
            <w:r w:rsidRPr="001611AC">
              <w:rPr>
                <w:rFonts w:ascii="Arial" w:eastAsia="Times New Roman" w:hAnsi="Arial" w:cs="Arial"/>
                <w:sz w:val="22"/>
                <w:szCs w:val="22"/>
              </w:rPr>
              <w:t>Supportive leadership and positive organisational culture were key factors in reducing burnout.</w:t>
            </w:r>
          </w:p>
        </w:tc>
        <w:tc>
          <w:tcPr>
            <w:tcW w:w="1417" w:type="dxa"/>
          </w:tcPr>
          <w:p w14:paraId="12F5A8BC" w14:textId="77777777" w:rsidR="00963E96" w:rsidRPr="001611AC" w:rsidRDefault="00963E96" w:rsidP="00966759">
            <w:pPr>
              <w:rPr>
                <w:rFonts w:ascii="Arial" w:eastAsia="Times New Roman" w:hAnsi="Arial" w:cs="Arial"/>
                <w:sz w:val="22"/>
                <w:szCs w:val="22"/>
              </w:rPr>
            </w:pPr>
            <w:r w:rsidRPr="001611AC">
              <w:rPr>
                <w:rFonts w:ascii="Arial" w:eastAsia="Times New Roman" w:hAnsi="Arial" w:cs="Arial"/>
                <w:sz w:val="22"/>
                <w:szCs w:val="22"/>
              </w:rPr>
              <w:t>Leadership support Organisational culture Wellbeing</w:t>
            </w:r>
          </w:p>
        </w:tc>
        <w:tc>
          <w:tcPr>
            <w:tcW w:w="1134" w:type="dxa"/>
          </w:tcPr>
          <w:p w14:paraId="7556EF30" w14:textId="77777777" w:rsidR="00963E96" w:rsidRPr="001611AC" w:rsidRDefault="00963E96" w:rsidP="00966759">
            <w:pPr>
              <w:rPr>
                <w:rFonts w:ascii="Arial" w:eastAsia="Times New Roman" w:hAnsi="Arial" w:cs="Arial"/>
                <w:sz w:val="22"/>
                <w:szCs w:val="22"/>
              </w:rPr>
            </w:pPr>
            <w:r w:rsidRPr="001611AC">
              <w:rPr>
                <w:rFonts w:ascii="Arial" w:eastAsia="Times New Roman" w:hAnsi="Arial" w:cs="Arial"/>
                <w:sz w:val="22"/>
                <w:szCs w:val="22"/>
              </w:rPr>
              <w:t>Useful for recommendations section.</w:t>
            </w:r>
          </w:p>
        </w:tc>
      </w:tr>
    </w:tbl>
    <w:p w14:paraId="4113AEE8" w14:textId="77777777" w:rsidR="00292F7E" w:rsidRDefault="00292F7E" w:rsidP="007B7D7B">
      <w:pPr>
        <w:spacing w:line="360" w:lineRule="auto"/>
        <w:rPr>
          <w:rFonts w:ascii="Arial" w:hAnsi="Arial" w:cs="Arial"/>
          <w:sz w:val="22"/>
          <w:szCs w:val="22"/>
        </w:rPr>
      </w:pPr>
    </w:p>
    <w:p w14:paraId="7630D11A" w14:textId="77777777" w:rsidR="00292F7E" w:rsidRDefault="00292F7E" w:rsidP="007B7D7B">
      <w:pPr>
        <w:spacing w:line="360" w:lineRule="auto"/>
        <w:rPr>
          <w:rFonts w:ascii="Arial" w:hAnsi="Arial" w:cs="Arial"/>
          <w:sz w:val="22"/>
          <w:szCs w:val="22"/>
        </w:rPr>
      </w:pPr>
    </w:p>
    <w:p w14:paraId="5665E9B0" w14:textId="77777777" w:rsidR="00477748" w:rsidRDefault="00477748" w:rsidP="007B7D7B">
      <w:pPr>
        <w:spacing w:line="360" w:lineRule="auto"/>
        <w:rPr>
          <w:rFonts w:ascii="Arial" w:hAnsi="Arial" w:cs="Arial"/>
          <w:b/>
          <w:bCs/>
          <w:sz w:val="22"/>
          <w:szCs w:val="22"/>
        </w:rPr>
      </w:pPr>
    </w:p>
    <w:p w14:paraId="6ED1E32C" w14:textId="77777777" w:rsidR="00F066A7" w:rsidRDefault="00F066A7" w:rsidP="007B7D7B">
      <w:pPr>
        <w:spacing w:line="360" w:lineRule="auto"/>
        <w:rPr>
          <w:rFonts w:ascii="Arial" w:hAnsi="Arial" w:cs="Arial"/>
          <w:b/>
          <w:bCs/>
          <w:sz w:val="22"/>
          <w:szCs w:val="22"/>
        </w:rPr>
      </w:pPr>
    </w:p>
    <w:p w14:paraId="2EDF4DB4" w14:textId="77777777" w:rsidR="00F066A7" w:rsidRDefault="00F066A7" w:rsidP="007B7D7B">
      <w:pPr>
        <w:spacing w:line="360" w:lineRule="auto"/>
        <w:rPr>
          <w:rFonts w:ascii="Arial" w:hAnsi="Arial" w:cs="Arial"/>
          <w:b/>
          <w:bCs/>
          <w:sz w:val="22"/>
          <w:szCs w:val="22"/>
        </w:rPr>
      </w:pPr>
    </w:p>
    <w:p w14:paraId="7E1464B7" w14:textId="77777777" w:rsidR="00F066A7" w:rsidRDefault="00F066A7" w:rsidP="007B7D7B">
      <w:pPr>
        <w:spacing w:line="360" w:lineRule="auto"/>
        <w:rPr>
          <w:rFonts w:ascii="Arial" w:hAnsi="Arial" w:cs="Arial"/>
          <w:b/>
          <w:bCs/>
          <w:sz w:val="22"/>
          <w:szCs w:val="22"/>
        </w:rPr>
      </w:pPr>
    </w:p>
    <w:p w14:paraId="1EC9415D" w14:textId="77777777" w:rsidR="00F066A7" w:rsidRDefault="00F066A7" w:rsidP="007B7D7B">
      <w:pPr>
        <w:spacing w:line="360" w:lineRule="auto"/>
        <w:rPr>
          <w:rFonts w:ascii="Arial" w:hAnsi="Arial" w:cs="Arial"/>
          <w:b/>
          <w:bCs/>
          <w:sz w:val="22"/>
          <w:szCs w:val="22"/>
        </w:rPr>
      </w:pPr>
    </w:p>
    <w:p w14:paraId="2A0B4C3D" w14:textId="77777777" w:rsidR="00F066A7" w:rsidRDefault="00F066A7" w:rsidP="007B7D7B">
      <w:pPr>
        <w:spacing w:line="360" w:lineRule="auto"/>
        <w:rPr>
          <w:rFonts w:ascii="Arial" w:hAnsi="Arial" w:cs="Arial"/>
          <w:b/>
          <w:bCs/>
          <w:sz w:val="22"/>
          <w:szCs w:val="22"/>
        </w:rPr>
      </w:pPr>
    </w:p>
    <w:p w14:paraId="4E2381B2" w14:textId="77777777" w:rsidR="00DF2A9D" w:rsidRDefault="00DF2A9D" w:rsidP="007B7D7B">
      <w:pPr>
        <w:spacing w:line="360" w:lineRule="auto"/>
        <w:rPr>
          <w:rFonts w:ascii="Arial" w:hAnsi="Arial" w:cs="Arial"/>
          <w:b/>
          <w:bCs/>
          <w:sz w:val="22"/>
          <w:szCs w:val="22"/>
        </w:rPr>
      </w:pPr>
    </w:p>
    <w:p w14:paraId="24AE26D9" w14:textId="77777777" w:rsidR="00DF2A9D" w:rsidRDefault="00DF2A9D" w:rsidP="007B7D7B">
      <w:pPr>
        <w:spacing w:line="360" w:lineRule="auto"/>
        <w:rPr>
          <w:rFonts w:ascii="Arial" w:hAnsi="Arial" w:cs="Arial"/>
          <w:b/>
          <w:bCs/>
          <w:sz w:val="22"/>
          <w:szCs w:val="22"/>
        </w:rPr>
      </w:pPr>
    </w:p>
    <w:p w14:paraId="6DC76685" w14:textId="77777777" w:rsidR="00DF2A9D" w:rsidRDefault="00DF2A9D" w:rsidP="007B7D7B">
      <w:pPr>
        <w:spacing w:line="360" w:lineRule="auto"/>
        <w:rPr>
          <w:rFonts w:ascii="Arial" w:hAnsi="Arial" w:cs="Arial"/>
          <w:b/>
          <w:bCs/>
          <w:sz w:val="22"/>
          <w:szCs w:val="22"/>
        </w:rPr>
      </w:pPr>
    </w:p>
    <w:p w14:paraId="56ECFE3E" w14:textId="77777777" w:rsidR="00DF2A9D" w:rsidRDefault="00DF2A9D" w:rsidP="007B7D7B">
      <w:pPr>
        <w:spacing w:line="360" w:lineRule="auto"/>
        <w:rPr>
          <w:rFonts w:ascii="Arial" w:hAnsi="Arial" w:cs="Arial"/>
          <w:b/>
          <w:bCs/>
          <w:sz w:val="22"/>
          <w:szCs w:val="22"/>
        </w:rPr>
      </w:pPr>
    </w:p>
    <w:p w14:paraId="7439ED6A" w14:textId="77777777" w:rsidR="00DF2A9D" w:rsidRDefault="00DF2A9D" w:rsidP="007B7D7B">
      <w:pPr>
        <w:spacing w:line="360" w:lineRule="auto"/>
        <w:rPr>
          <w:rFonts w:ascii="Arial" w:hAnsi="Arial" w:cs="Arial"/>
          <w:b/>
          <w:bCs/>
          <w:sz w:val="22"/>
          <w:szCs w:val="22"/>
        </w:rPr>
      </w:pPr>
    </w:p>
    <w:p w14:paraId="1264D7CF" w14:textId="77777777" w:rsidR="00DF2A9D" w:rsidRDefault="00DF2A9D" w:rsidP="007B7D7B">
      <w:pPr>
        <w:spacing w:line="360" w:lineRule="auto"/>
        <w:rPr>
          <w:rFonts w:ascii="Arial" w:hAnsi="Arial" w:cs="Arial"/>
          <w:b/>
          <w:bCs/>
          <w:sz w:val="22"/>
          <w:szCs w:val="22"/>
        </w:rPr>
      </w:pPr>
    </w:p>
    <w:p w14:paraId="5A6AE728" w14:textId="77777777" w:rsidR="00DF2A9D" w:rsidRDefault="00DF2A9D" w:rsidP="007B7D7B">
      <w:pPr>
        <w:spacing w:line="360" w:lineRule="auto"/>
        <w:rPr>
          <w:rFonts w:ascii="Arial" w:hAnsi="Arial" w:cs="Arial"/>
          <w:b/>
          <w:bCs/>
          <w:sz w:val="22"/>
          <w:szCs w:val="22"/>
        </w:rPr>
      </w:pPr>
    </w:p>
    <w:p w14:paraId="6D3AEB46" w14:textId="77777777" w:rsidR="00ED270A" w:rsidRDefault="00ED270A" w:rsidP="007B7D7B">
      <w:pPr>
        <w:spacing w:line="360" w:lineRule="auto"/>
        <w:rPr>
          <w:rFonts w:ascii="Arial" w:hAnsi="Arial" w:cs="Arial"/>
          <w:b/>
          <w:bCs/>
          <w:sz w:val="22"/>
          <w:szCs w:val="22"/>
        </w:rPr>
      </w:pPr>
    </w:p>
    <w:p w14:paraId="6D31C113" w14:textId="5EF1619F" w:rsidR="008A1FBC" w:rsidRPr="00CD7B45" w:rsidRDefault="008A1FBC" w:rsidP="007B7D7B">
      <w:pPr>
        <w:spacing w:line="360" w:lineRule="auto"/>
        <w:rPr>
          <w:rFonts w:ascii="Arial" w:hAnsi="Arial" w:cs="Arial"/>
          <w:b/>
          <w:bCs/>
          <w:sz w:val="22"/>
          <w:szCs w:val="22"/>
        </w:rPr>
      </w:pPr>
      <w:r w:rsidRPr="00CD7B45">
        <w:rPr>
          <w:rFonts w:ascii="Arial" w:hAnsi="Arial" w:cs="Arial"/>
          <w:b/>
          <w:bCs/>
          <w:sz w:val="22"/>
          <w:szCs w:val="22"/>
        </w:rPr>
        <w:lastRenderedPageBreak/>
        <w:t>Appendix 3 – Statistical Visuals</w:t>
      </w:r>
    </w:p>
    <w:p w14:paraId="415A93C7" w14:textId="7B12B9B5" w:rsidR="00B91294" w:rsidRPr="00540677" w:rsidRDefault="008A1FBC" w:rsidP="007B7D7B">
      <w:pPr>
        <w:spacing w:line="360" w:lineRule="auto"/>
        <w:rPr>
          <w:rFonts w:ascii="Arial" w:hAnsi="Arial" w:cs="Arial"/>
          <w:sz w:val="22"/>
          <w:szCs w:val="22"/>
        </w:rPr>
      </w:pPr>
      <w:r w:rsidRPr="004C5E86">
        <w:rPr>
          <w:rFonts w:ascii="Arial" w:hAnsi="Arial" w:cs="Arial"/>
          <w:b/>
          <w:bCs/>
          <w:sz w:val="22"/>
          <w:szCs w:val="22"/>
        </w:rPr>
        <w:t>Figure 4.1:</w:t>
      </w:r>
      <w:r>
        <w:rPr>
          <w:rFonts w:ascii="Arial" w:hAnsi="Arial" w:cs="Arial"/>
          <w:sz w:val="22"/>
          <w:szCs w:val="22"/>
        </w:rPr>
        <w:t xml:space="preserve"> Estimated burnout prevalence among physicians</w:t>
      </w:r>
    </w:p>
    <w:p w14:paraId="1425408C" w14:textId="186B4A8B" w:rsidR="00B91294" w:rsidRDefault="001D73AF" w:rsidP="007B7D7B">
      <w:pPr>
        <w:spacing w:line="360" w:lineRule="auto"/>
        <w:rPr>
          <w:rFonts w:ascii="Arial" w:hAnsi="Arial" w:cs="Arial"/>
          <w:i/>
          <w:iCs/>
          <w:sz w:val="22"/>
          <w:szCs w:val="22"/>
        </w:rPr>
      </w:pPr>
      <w:r w:rsidRPr="004C5E86">
        <w:rPr>
          <w:rFonts w:ascii="Arial" w:hAnsi="Arial" w:cs="Arial"/>
          <w:b/>
          <w:bCs/>
          <w:noProof/>
          <w:sz w:val="22"/>
          <w:szCs w:val="22"/>
        </w:rPr>
        <w:drawing>
          <wp:anchor distT="0" distB="0" distL="114300" distR="114300" simplePos="0" relativeHeight="251659264" behindDoc="0" locked="0" layoutInCell="1" allowOverlap="1" wp14:anchorId="77873E31" wp14:editId="0B62A370">
            <wp:simplePos x="0" y="0"/>
            <wp:positionH relativeFrom="column">
              <wp:posOffset>69850</wp:posOffset>
            </wp:positionH>
            <wp:positionV relativeFrom="paragraph">
              <wp:posOffset>130175</wp:posOffset>
            </wp:positionV>
            <wp:extent cx="1897380" cy="1470025"/>
            <wp:effectExtent l="0" t="0" r="7620" b="0"/>
            <wp:wrapTopAndBottom/>
            <wp:docPr id="1377971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971118" name="Picture 1377971118"/>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897380" cy="1470025"/>
                    </a:xfrm>
                    <a:prstGeom prst="rect">
                      <a:avLst/>
                    </a:prstGeom>
                  </pic:spPr>
                </pic:pic>
              </a:graphicData>
            </a:graphic>
            <wp14:sizeRelH relativeFrom="margin">
              <wp14:pctWidth>0</wp14:pctWidth>
            </wp14:sizeRelH>
            <wp14:sizeRelV relativeFrom="margin">
              <wp14:pctHeight>0</wp14:pctHeight>
            </wp14:sizeRelV>
          </wp:anchor>
        </w:drawing>
      </w:r>
    </w:p>
    <w:p w14:paraId="485BFA56" w14:textId="4C167221" w:rsidR="008A1FBC" w:rsidRPr="00973C3B" w:rsidRDefault="008A1FBC" w:rsidP="007B7D7B">
      <w:pPr>
        <w:spacing w:line="360" w:lineRule="auto"/>
        <w:rPr>
          <w:rFonts w:ascii="Arial" w:hAnsi="Arial" w:cs="Arial"/>
          <w:i/>
          <w:iCs/>
          <w:sz w:val="22"/>
          <w:szCs w:val="22"/>
        </w:rPr>
      </w:pPr>
      <w:r w:rsidRPr="009A6445">
        <w:rPr>
          <w:rFonts w:ascii="Arial" w:hAnsi="Arial" w:cs="Arial"/>
          <w:i/>
          <w:iCs/>
          <w:sz w:val="22"/>
          <w:szCs w:val="22"/>
        </w:rPr>
        <w:t>As shown in Figure 4.1, burnout affects a substantial proportion of healthcare professionals. This highlights the importance of understanding the workplace factors contributing to stress and emotional exhaustion among healthcare workers.</w:t>
      </w:r>
    </w:p>
    <w:p w14:paraId="0CCEF234" w14:textId="6A1CEAF5" w:rsidR="00AA3250" w:rsidRDefault="00AA3250" w:rsidP="007B7D7B">
      <w:pPr>
        <w:spacing w:line="360" w:lineRule="auto"/>
        <w:rPr>
          <w:rFonts w:ascii="Arial" w:hAnsi="Arial" w:cs="Arial"/>
          <w:sz w:val="22"/>
          <w:szCs w:val="22"/>
        </w:rPr>
      </w:pPr>
    </w:p>
    <w:p w14:paraId="778B648D" w14:textId="70D8F601" w:rsidR="003232B1" w:rsidRDefault="008A1FBC" w:rsidP="007B7D7B">
      <w:pPr>
        <w:spacing w:line="360" w:lineRule="auto"/>
        <w:rPr>
          <w:rFonts w:ascii="Arial" w:hAnsi="Arial" w:cs="Arial"/>
          <w:sz w:val="22"/>
          <w:szCs w:val="22"/>
        </w:rPr>
      </w:pPr>
      <w:r w:rsidRPr="00973C3B">
        <w:rPr>
          <w:rFonts w:ascii="Arial" w:hAnsi="Arial" w:cs="Arial"/>
          <w:b/>
          <w:bCs/>
          <w:sz w:val="22"/>
          <w:szCs w:val="22"/>
        </w:rPr>
        <w:t xml:space="preserve">Figure 4.2: </w:t>
      </w:r>
      <w:r>
        <w:rPr>
          <w:rFonts w:ascii="Arial" w:hAnsi="Arial" w:cs="Arial"/>
          <w:sz w:val="22"/>
          <w:szCs w:val="22"/>
        </w:rPr>
        <w:t>Job Demands–Resources (JD-R) Model</w:t>
      </w:r>
    </w:p>
    <w:p w14:paraId="7CC16F17" w14:textId="4E628B4F" w:rsidR="00A01002" w:rsidRDefault="006E397F" w:rsidP="007B7D7B">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3360" behindDoc="0" locked="0" layoutInCell="1" allowOverlap="1" wp14:anchorId="36EA6263" wp14:editId="605B2A3A">
            <wp:simplePos x="0" y="0"/>
            <wp:positionH relativeFrom="column">
              <wp:posOffset>147711</wp:posOffset>
            </wp:positionH>
            <wp:positionV relativeFrom="paragraph">
              <wp:posOffset>38100</wp:posOffset>
            </wp:positionV>
            <wp:extent cx="2576768" cy="1385179"/>
            <wp:effectExtent l="0" t="0" r="0" b="5715"/>
            <wp:wrapTopAndBottom/>
            <wp:docPr id="16659223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922349" name="Picture 1665922349"/>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576768" cy="1385179"/>
                    </a:xfrm>
                    <a:prstGeom prst="rect">
                      <a:avLst/>
                    </a:prstGeom>
                  </pic:spPr>
                </pic:pic>
              </a:graphicData>
            </a:graphic>
            <wp14:sizeRelH relativeFrom="margin">
              <wp14:pctWidth>0</wp14:pctWidth>
            </wp14:sizeRelH>
            <wp14:sizeRelV relativeFrom="margin">
              <wp14:pctHeight>0</wp14:pctHeight>
            </wp14:sizeRelV>
          </wp:anchor>
        </w:drawing>
      </w:r>
    </w:p>
    <w:p w14:paraId="418FAE68" w14:textId="0150C9A3" w:rsidR="008A1FBC" w:rsidRDefault="008A1FBC" w:rsidP="007B7D7B">
      <w:pPr>
        <w:spacing w:line="360" w:lineRule="auto"/>
        <w:rPr>
          <w:rFonts w:ascii="Arial" w:hAnsi="Arial" w:cs="Arial"/>
          <w:sz w:val="22"/>
          <w:szCs w:val="22"/>
        </w:rPr>
      </w:pPr>
      <w:r>
        <w:rPr>
          <w:rFonts w:ascii="Arial" w:hAnsi="Arial" w:cs="Arial"/>
          <w:sz w:val="22"/>
          <w:szCs w:val="22"/>
        </w:rPr>
        <w:t>Source: Bakker &amp; Demerouti (2017)</w:t>
      </w:r>
    </w:p>
    <w:p w14:paraId="5EACEA9A" w14:textId="630D7B9D" w:rsidR="008A1FBC" w:rsidRPr="008276E1" w:rsidRDefault="008A1FBC" w:rsidP="007B7D7B">
      <w:pPr>
        <w:spacing w:line="360" w:lineRule="auto"/>
        <w:rPr>
          <w:rFonts w:ascii="Arial" w:hAnsi="Arial" w:cs="Arial"/>
          <w:i/>
          <w:iCs/>
          <w:sz w:val="22"/>
          <w:szCs w:val="22"/>
        </w:rPr>
      </w:pPr>
      <w:r w:rsidRPr="003232B1">
        <w:rPr>
          <w:rFonts w:ascii="Arial" w:hAnsi="Arial" w:cs="Arial"/>
          <w:i/>
          <w:iCs/>
          <w:sz w:val="22"/>
          <w:szCs w:val="22"/>
        </w:rPr>
        <w:t>As illustrated in Figure 4.2, high job demands combined with insufficient organisational resources can lead to emotional exhaustion and burnout among healthcare workers.</w:t>
      </w:r>
    </w:p>
    <w:p w14:paraId="2AB0F315" w14:textId="32F2886A" w:rsidR="008A1FBC" w:rsidRDefault="008A1FBC" w:rsidP="007B7D7B">
      <w:pPr>
        <w:spacing w:line="360" w:lineRule="auto"/>
        <w:rPr>
          <w:rFonts w:ascii="Arial" w:hAnsi="Arial" w:cs="Arial"/>
          <w:sz w:val="22"/>
          <w:szCs w:val="22"/>
        </w:rPr>
      </w:pPr>
    </w:p>
    <w:p w14:paraId="03B4AB4C" w14:textId="77777777" w:rsidR="00931C48" w:rsidRDefault="00931C48" w:rsidP="007B7D7B">
      <w:pPr>
        <w:spacing w:line="360" w:lineRule="auto"/>
        <w:rPr>
          <w:rFonts w:ascii="Arial" w:hAnsi="Arial" w:cs="Arial"/>
          <w:b/>
          <w:bCs/>
          <w:sz w:val="22"/>
          <w:szCs w:val="22"/>
        </w:rPr>
      </w:pPr>
    </w:p>
    <w:p w14:paraId="665C5B46" w14:textId="77777777" w:rsidR="00931C48" w:rsidRDefault="00931C48" w:rsidP="007B7D7B">
      <w:pPr>
        <w:spacing w:line="360" w:lineRule="auto"/>
        <w:rPr>
          <w:rFonts w:ascii="Arial" w:hAnsi="Arial" w:cs="Arial"/>
          <w:b/>
          <w:bCs/>
          <w:sz w:val="22"/>
          <w:szCs w:val="22"/>
        </w:rPr>
      </w:pPr>
    </w:p>
    <w:p w14:paraId="60026AA3" w14:textId="77777777" w:rsidR="00931C48" w:rsidRDefault="00931C48" w:rsidP="007B7D7B">
      <w:pPr>
        <w:spacing w:line="360" w:lineRule="auto"/>
        <w:rPr>
          <w:rFonts w:ascii="Arial" w:hAnsi="Arial" w:cs="Arial"/>
          <w:b/>
          <w:bCs/>
          <w:sz w:val="22"/>
          <w:szCs w:val="22"/>
        </w:rPr>
      </w:pPr>
    </w:p>
    <w:p w14:paraId="4259067A" w14:textId="77777777" w:rsidR="00931C48" w:rsidRDefault="00931C48" w:rsidP="007B7D7B">
      <w:pPr>
        <w:spacing w:line="360" w:lineRule="auto"/>
        <w:rPr>
          <w:rFonts w:ascii="Arial" w:hAnsi="Arial" w:cs="Arial"/>
          <w:b/>
          <w:bCs/>
          <w:sz w:val="22"/>
          <w:szCs w:val="22"/>
        </w:rPr>
      </w:pPr>
    </w:p>
    <w:p w14:paraId="60EFD8FC" w14:textId="77777777" w:rsidR="00931C48" w:rsidRDefault="00931C48" w:rsidP="007B7D7B">
      <w:pPr>
        <w:spacing w:line="360" w:lineRule="auto"/>
        <w:rPr>
          <w:rFonts w:ascii="Arial" w:hAnsi="Arial" w:cs="Arial"/>
          <w:b/>
          <w:bCs/>
          <w:sz w:val="22"/>
          <w:szCs w:val="22"/>
        </w:rPr>
      </w:pPr>
    </w:p>
    <w:p w14:paraId="472C6188" w14:textId="75C3C342" w:rsidR="008276E1" w:rsidRDefault="008A1FBC" w:rsidP="007B7D7B">
      <w:pPr>
        <w:spacing w:line="360" w:lineRule="auto"/>
        <w:rPr>
          <w:rFonts w:ascii="Arial" w:hAnsi="Arial" w:cs="Arial"/>
          <w:sz w:val="22"/>
          <w:szCs w:val="22"/>
        </w:rPr>
      </w:pPr>
      <w:r w:rsidRPr="00973C3B">
        <w:rPr>
          <w:rFonts w:ascii="Arial" w:hAnsi="Arial" w:cs="Arial"/>
          <w:b/>
          <w:bCs/>
          <w:sz w:val="22"/>
          <w:szCs w:val="22"/>
        </w:rPr>
        <w:lastRenderedPageBreak/>
        <w:t xml:space="preserve">Figure 4.3: </w:t>
      </w:r>
      <w:r>
        <w:rPr>
          <w:rFonts w:ascii="Arial" w:hAnsi="Arial" w:cs="Arial"/>
          <w:sz w:val="22"/>
          <w:szCs w:val="22"/>
        </w:rPr>
        <w:t>Reported work-related stress among NHS staff Source: NHS Staff Survey</w:t>
      </w:r>
      <w:r w:rsidR="00086B5E">
        <w:rPr>
          <w:rFonts w:ascii="Arial" w:hAnsi="Arial" w:cs="Arial"/>
          <w:sz w:val="22"/>
          <w:szCs w:val="22"/>
        </w:rPr>
        <w:t xml:space="preserve"> </w:t>
      </w:r>
      <w:r>
        <w:rPr>
          <w:rFonts w:ascii="Arial" w:hAnsi="Arial" w:cs="Arial"/>
          <w:sz w:val="22"/>
          <w:szCs w:val="22"/>
        </w:rPr>
        <w:t>(202</w:t>
      </w:r>
      <w:r w:rsidR="00612633">
        <w:rPr>
          <w:rFonts w:ascii="Arial" w:hAnsi="Arial" w:cs="Arial"/>
          <w:sz w:val="22"/>
          <w:szCs w:val="22"/>
        </w:rPr>
        <w:t>4</w:t>
      </w:r>
      <w:r>
        <w:rPr>
          <w:rFonts w:ascii="Arial" w:hAnsi="Arial" w:cs="Arial"/>
          <w:sz w:val="22"/>
          <w:szCs w:val="22"/>
        </w:rPr>
        <w:t>)</w:t>
      </w:r>
      <w:r w:rsidR="00086B5E">
        <w:rPr>
          <w:rFonts w:ascii="Arial" w:hAnsi="Arial" w:cs="Arial"/>
          <w:sz w:val="22"/>
          <w:szCs w:val="22"/>
        </w:rPr>
        <w:t>.</w:t>
      </w:r>
    </w:p>
    <w:p w14:paraId="17C73FFA" w14:textId="2B54CB8F" w:rsidR="00022D2E" w:rsidRDefault="00DE5F6A" w:rsidP="007B7D7B">
      <w:pPr>
        <w:spacing w:line="360" w:lineRule="auto"/>
        <w:rPr>
          <w:rFonts w:ascii="Arial" w:hAnsi="Arial" w:cs="Arial"/>
          <w:i/>
          <w:iCs/>
          <w:sz w:val="22"/>
          <w:szCs w:val="22"/>
        </w:rPr>
      </w:pPr>
      <w:r w:rsidRPr="00973C3B">
        <w:rPr>
          <w:rFonts w:ascii="Arial" w:hAnsi="Arial" w:cs="Arial"/>
          <w:b/>
          <w:bCs/>
          <w:noProof/>
          <w:sz w:val="22"/>
          <w:szCs w:val="22"/>
        </w:rPr>
        <w:drawing>
          <wp:anchor distT="0" distB="0" distL="114300" distR="114300" simplePos="0" relativeHeight="251661312" behindDoc="0" locked="0" layoutInCell="1" allowOverlap="1" wp14:anchorId="1C22B341" wp14:editId="4DAFB2EE">
            <wp:simplePos x="0" y="0"/>
            <wp:positionH relativeFrom="column">
              <wp:posOffset>105410</wp:posOffset>
            </wp:positionH>
            <wp:positionV relativeFrom="paragraph">
              <wp:posOffset>-635</wp:posOffset>
            </wp:positionV>
            <wp:extent cx="2131695" cy="1645920"/>
            <wp:effectExtent l="0" t="0" r="1905" b="0"/>
            <wp:wrapTopAndBottom/>
            <wp:docPr id="11273509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50975" name="Picture 1127350975"/>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131695" cy="1645920"/>
                    </a:xfrm>
                    <a:prstGeom prst="rect">
                      <a:avLst/>
                    </a:prstGeom>
                  </pic:spPr>
                </pic:pic>
              </a:graphicData>
            </a:graphic>
            <wp14:sizeRelH relativeFrom="margin">
              <wp14:pctWidth>0</wp14:pctWidth>
            </wp14:sizeRelH>
            <wp14:sizeRelV relativeFrom="margin">
              <wp14:pctHeight>0</wp14:pctHeight>
            </wp14:sizeRelV>
          </wp:anchor>
        </w:drawing>
      </w:r>
    </w:p>
    <w:p w14:paraId="303C7B77" w14:textId="017244D5" w:rsidR="0007722E" w:rsidRDefault="008A1FBC" w:rsidP="007B7D7B">
      <w:pPr>
        <w:spacing w:line="360" w:lineRule="auto"/>
        <w:rPr>
          <w:rFonts w:ascii="Arial" w:hAnsi="Arial" w:cs="Arial"/>
          <w:i/>
          <w:iCs/>
          <w:sz w:val="22"/>
          <w:szCs w:val="22"/>
        </w:rPr>
      </w:pPr>
      <w:r w:rsidRPr="00F83868">
        <w:rPr>
          <w:rFonts w:ascii="Arial" w:hAnsi="Arial" w:cs="Arial"/>
          <w:i/>
          <w:iCs/>
          <w:sz w:val="22"/>
          <w:szCs w:val="22"/>
        </w:rPr>
        <w:t>As illustrated in Figure 4.3, a significant proportion of NHS staff report experiencing work-related stress. This reinforces the evidence that healthcare professionals face considerable psychological pressures in their roles.</w:t>
      </w:r>
    </w:p>
    <w:p w14:paraId="623C3B62" w14:textId="77777777" w:rsidR="00973A69" w:rsidRPr="00973C3B" w:rsidRDefault="00973A69" w:rsidP="007B7D7B">
      <w:pPr>
        <w:spacing w:line="360" w:lineRule="auto"/>
        <w:rPr>
          <w:rFonts w:ascii="Arial" w:hAnsi="Arial" w:cs="Arial"/>
          <w:i/>
          <w:iCs/>
          <w:sz w:val="22"/>
          <w:szCs w:val="22"/>
        </w:rPr>
      </w:pPr>
    </w:p>
    <w:p w14:paraId="70A49882" w14:textId="4158182A" w:rsidR="008A1FBC" w:rsidRDefault="008A1FBC" w:rsidP="007B7D7B">
      <w:pPr>
        <w:spacing w:line="360" w:lineRule="auto"/>
        <w:rPr>
          <w:rFonts w:ascii="Arial" w:hAnsi="Arial" w:cs="Arial"/>
          <w:sz w:val="22"/>
          <w:szCs w:val="22"/>
        </w:rPr>
      </w:pPr>
      <w:r w:rsidRPr="00973C3B">
        <w:rPr>
          <w:rFonts w:ascii="Arial" w:hAnsi="Arial" w:cs="Arial"/>
          <w:b/>
          <w:bCs/>
          <w:sz w:val="22"/>
          <w:szCs w:val="22"/>
        </w:rPr>
        <w:t>Figure 4.4</w:t>
      </w:r>
      <w:r>
        <w:rPr>
          <w:rFonts w:ascii="Arial" w:hAnsi="Arial" w:cs="Arial"/>
          <w:sz w:val="22"/>
          <w:szCs w:val="22"/>
        </w:rPr>
        <w:t xml:space="preserve"> Perceived Organisational Support (POS) theory developed by Eisenberger et al. In (1986)</w:t>
      </w:r>
    </w:p>
    <w:p w14:paraId="1C8278EE" w14:textId="1D4F9143" w:rsidR="00025A80" w:rsidRDefault="0007722E" w:rsidP="007B7D7B">
      <w:pPr>
        <w:spacing w:line="360" w:lineRule="auto"/>
        <w:rPr>
          <w:rFonts w:ascii="Arial" w:hAnsi="Arial" w:cs="Arial"/>
          <w:i/>
          <w:iCs/>
          <w:sz w:val="22"/>
          <w:szCs w:val="22"/>
        </w:rPr>
      </w:pPr>
      <w:r w:rsidRPr="00973C3B">
        <w:rPr>
          <w:rFonts w:ascii="Arial" w:hAnsi="Arial" w:cs="Arial"/>
          <w:b/>
          <w:bCs/>
          <w:noProof/>
          <w:sz w:val="22"/>
          <w:szCs w:val="22"/>
        </w:rPr>
        <w:drawing>
          <wp:anchor distT="0" distB="0" distL="114300" distR="114300" simplePos="0" relativeHeight="251662336" behindDoc="0" locked="0" layoutInCell="1" allowOverlap="1" wp14:anchorId="1F178847" wp14:editId="2A73FE53">
            <wp:simplePos x="0" y="0"/>
            <wp:positionH relativeFrom="column">
              <wp:posOffset>141605</wp:posOffset>
            </wp:positionH>
            <wp:positionV relativeFrom="paragraph">
              <wp:posOffset>113665</wp:posOffset>
            </wp:positionV>
            <wp:extent cx="2734310" cy="1618615"/>
            <wp:effectExtent l="0" t="0" r="8890" b="635"/>
            <wp:wrapTopAndBottom/>
            <wp:docPr id="1303386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38625" name="Picture 130338625"/>
                    <pic:cNvPicPr/>
                  </pic:nvPicPr>
                  <pic:blipFill>
                    <a:blip r:embed="rId61">
                      <a:extLst>
                        <a:ext uri="{28A0092B-C50C-407E-A947-70E740481C1C}">
                          <a14:useLocalDpi xmlns:a14="http://schemas.microsoft.com/office/drawing/2010/main" val="0"/>
                        </a:ext>
                      </a:extLst>
                    </a:blip>
                    <a:stretch>
                      <a:fillRect/>
                    </a:stretch>
                  </pic:blipFill>
                  <pic:spPr>
                    <a:xfrm>
                      <a:off x="0" y="0"/>
                      <a:ext cx="2734310" cy="1618615"/>
                    </a:xfrm>
                    <a:prstGeom prst="rect">
                      <a:avLst/>
                    </a:prstGeom>
                  </pic:spPr>
                </pic:pic>
              </a:graphicData>
            </a:graphic>
            <wp14:sizeRelH relativeFrom="margin">
              <wp14:pctWidth>0</wp14:pctWidth>
            </wp14:sizeRelH>
            <wp14:sizeRelV relativeFrom="margin">
              <wp14:pctHeight>0</wp14:pctHeight>
            </wp14:sizeRelV>
          </wp:anchor>
        </w:drawing>
      </w:r>
    </w:p>
    <w:p w14:paraId="6BCBF980" w14:textId="33DF6716" w:rsidR="008A1FBC" w:rsidRPr="00973C3B" w:rsidRDefault="008A1FBC" w:rsidP="007B7D7B">
      <w:pPr>
        <w:spacing w:line="360" w:lineRule="auto"/>
        <w:rPr>
          <w:rFonts w:ascii="Arial" w:hAnsi="Arial" w:cs="Arial"/>
          <w:i/>
          <w:iCs/>
          <w:sz w:val="22"/>
          <w:szCs w:val="22"/>
        </w:rPr>
      </w:pPr>
      <w:r w:rsidRPr="00973C3B">
        <w:rPr>
          <w:rFonts w:ascii="Arial" w:hAnsi="Arial" w:cs="Arial"/>
          <w:i/>
          <w:iCs/>
          <w:sz w:val="22"/>
          <w:szCs w:val="22"/>
        </w:rPr>
        <w:t>Figure 4.4 illustrates the concept of Perceived Organisational Support, demonstrating how employees’ perceptions of organisational care, recognition, and support can positively influence wellbeing, job satisfaction, and reduce burnout among healthcare professionals (Kurtessis et al., 2017).</w:t>
      </w:r>
    </w:p>
    <w:p w14:paraId="37F051D5" w14:textId="77777777" w:rsidR="00D81DB0" w:rsidRDefault="00D81DB0" w:rsidP="007B7D7B">
      <w:pPr>
        <w:spacing w:line="360" w:lineRule="auto"/>
        <w:rPr>
          <w:rFonts w:ascii="Arial" w:hAnsi="Arial" w:cs="Arial"/>
          <w:b/>
          <w:bCs/>
          <w:sz w:val="22"/>
          <w:szCs w:val="22"/>
        </w:rPr>
      </w:pPr>
    </w:p>
    <w:p w14:paraId="624B31C9" w14:textId="77777777" w:rsidR="00C4451A" w:rsidRDefault="00C4451A" w:rsidP="007B7D7B">
      <w:pPr>
        <w:spacing w:line="360" w:lineRule="auto"/>
        <w:rPr>
          <w:rFonts w:ascii="Arial" w:hAnsi="Arial" w:cs="Arial"/>
          <w:b/>
          <w:bCs/>
          <w:sz w:val="22"/>
          <w:szCs w:val="22"/>
        </w:rPr>
      </w:pPr>
    </w:p>
    <w:p w14:paraId="1D51323F" w14:textId="77777777" w:rsidR="00C4451A" w:rsidRDefault="00C4451A" w:rsidP="007B7D7B">
      <w:pPr>
        <w:spacing w:line="360" w:lineRule="auto"/>
        <w:rPr>
          <w:rFonts w:ascii="Arial" w:hAnsi="Arial" w:cs="Arial"/>
          <w:b/>
          <w:bCs/>
          <w:sz w:val="22"/>
          <w:szCs w:val="22"/>
        </w:rPr>
      </w:pPr>
    </w:p>
    <w:p w14:paraId="02DFB82A" w14:textId="77777777" w:rsidR="00C4451A" w:rsidRDefault="00C4451A" w:rsidP="007B7D7B">
      <w:pPr>
        <w:spacing w:line="360" w:lineRule="auto"/>
        <w:rPr>
          <w:rFonts w:ascii="Arial" w:hAnsi="Arial" w:cs="Arial"/>
          <w:b/>
          <w:bCs/>
          <w:sz w:val="22"/>
          <w:szCs w:val="22"/>
        </w:rPr>
      </w:pPr>
    </w:p>
    <w:p w14:paraId="64D44E5E" w14:textId="5BA8D66F" w:rsidR="00D81DB0" w:rsidRDefault="00D81DB0" w:rsidP="007B7D7B">
      <w:pPr>
        <w:spacing w:line="360" w:lineRule="auto"/>
        <w:rPr>
          <w:rFonts w:ascii="Arial" w:hAnsi="Arial" w:cs="Arial"/>
          <w:b/>
          <w:bCs/>
          <w:sz w:val="22"/>
          <w:szCs w:val="22"/>
        </w:rPr>
      </w:pPr>
      <w:r>
        <w:rPr>
          <w:rFonts w:ascii="Arial" w:hAnsi="Arial" w:cs="Arial"/>
          <w:b/>
          <w:bCs/>
          <w:sz w:val="22"/>
          <w:szCs w:val="22"/>
        </w:rPr>
        <w:lastRenderedPageBreak/>
        <w:t>Appendix 4</w:t>
      </w:r>
    </w:p>
    <w:p w14:paraId="162349B1" w14:textId="0593FB83" w:rsidR="005C6E0F" w:rsidRPr="00E73648" w:rsidRDefault="00F823F6" w:rsidP="007B7D7B">
      <w:pPr>
        <w:spacing w:line="360" w:lineRule="auto"/>
        <w:rPr>
          <w:rFonts w:ascii="Arial" w:hAnsi="Arial" w:cs="Arial"/>
          <w:b/>
          <w:bCs/>
          <w:sz w:val="22"/>
          <w:szCs w:val="22"/>
        </w:rPr>
      </w:pPr>
      <w:r>
        <w:rPr>
          <w:rFonts w:ascii="Arial" w:hAnsi="Arial" w:cs="Arial"/>
          <w:noProof/>
          <w:sz w:val="22"/>
          <w:szCs w:val="22"/>
        </w:rPr>
        <w:drawing>
          <wp:anchor distT="0" distB="0" distL="114300" distR="114300" simplePos="0" relativeHeight="251665408" behindDoc="0" locked="0" layoutInCell="1" allowOverlap="1" wp14:anchorId="7B9B3A9F" wp14:editId="12151412">
            <wp:simplePos x="0" y="0"/>
            <wp:positionH relativeFrom="column">
              <wp:posOffset>34290</wp:posOffset>
            </wp:positionH>
            <wp:positionV relativeFrom="paragraph">
              <wp:posOffset>126365</wp:posOffset>
            </wp:positionV>
            <wp:extent cx="5687060" cy="7700010"/>
            <wp:effectExtent l="0" t="0" r="8890" b="0"/>
            <wp:wrapTopAndBottom/>
            <wp:docPr id="185477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77137" name="Picture 185477137"/>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687060" cy="7700010"/>
                    </a:xfrm>
                    <a:prstGeom prst="rect">
                      <a:avLst/>
                    </a:prstGeom>
                  </pic:spPr>
                </pic:pic>
              </a:graphicData>
            </a:graphic>
            <wp14:sizeRelH relativeFrom="margin">
              <wp14:pctWidth>0</wp14:pctWidth>
            </wp14:sizeRelH>
            <wp14:sizeRelV relativeFrom="margin">
              <wp14:pctHeight>0</wp14:pctHeight>
            </wp14:sizeRelV>
          </wp:anchor>
        </w:drawing>
      </w:r>
    </w:p>
    <w:p w14:paraId="3CEA4AAC" w14:textId="74E29E7D" w:rsidR="008A1FBC" w:rsidRDefault="00EE7856" w:rsidP="007B7D7B">
      <w:pPr>
        <w:spacing w:line="360" w:lineRule="auto"/>
        <w:rPr>
          <w:rFonts w:ascii="Arial" w:hAnsi="Arial" w:cs="Arial"/>
          <w:sz w:val="22"/>
          <w:szCs w:val="22"/>
        </w:rPr>
      </w:pPr>
      <w:r>
        <w:rPr>
          <w:rFonts w:ascii="Arial" w:hAnsi="Arial" w:cs="Arial"/>
          <w:noProof/>
          <w:sz w:val="22"/>
          <w:szCs w:val="22"/>
        </w:rPr>
        <w:lastRenderedPageBreak/>
        <w:drawing>
          <wp:anchor distT="0" distB="0" distL="114300" distR="114300" simplePos="0" relativeHeight="251666432" behindDoc="0" locked="0" layoutInCell="1" allowOverlap="1" wp14:anchorId="0F61AE74" wp14:editId="51786059">
            <wp:simplePos x="0" y="0"/>
            <wp:positionH relativeFrom="column">
              <wp:posOffset>-106045</wp:posOffset>
            </wp:positionH>
            <wp:positionV relativeFrom="paragraph">
              <wp:posOffset>98425</wp:posOffset>
            </wp:positionV>
            <wp:extent cx="5859145" cy="8123555"/>
            <wp:effectExtent l="0" t="0" r="8255" b="0"/>
            <wp:wrapTopAndBottom/>
            <wp:docPr id="17690059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005904" name="Picture 1769005904"/>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859145" cy="8123555"/>
                    </a:xfrm>
                    <a:prstGeom prst="rect">
                      <a:avLst/>
                    </a:prstGeom>
                  </pic:spPr>
                </pic:pic>
              </a:graphicData>
            </a:graphic>
            <wp14:sizeRelH relativeFrom="margin">
              <wp14:pctWidth>0</wp14:pctWidth>
            </wp14:sizeRelH>
            <wp14:sizeRelV relativeFrom="margin">
              <wp14:pctHeight>0</wp14:pctHeight>
            </wp14:sizeRelV>
          </wp:anchor>
        </w:drawing>
      </w:r>
    </w:p>
    <w:p w14:paraId="033F8C4B" w14:textId="7D81BAA7" w:rsidR="008A1FBC" w:rsidRDefault="008A1FBC" w:rsidP="007B7D7B">
      <w:pPr>
        <w:spacing w:line="360" w:lineRule="auto"/>
        <w:rPr>
          <w:rFonts w:ascii="Arial" w:hAnsi="Arial" w:cs="Arial"/>
          <w:sz w:val="22"/>
          <w:szCs w:val="22"/>
        </w:rPr>
      </w:pPr>
    </w:p>
    <w:p w14:paraId="37F5CAA0" w14:textId="069C0F41" w:rsidR="008A1FBC" w:rsidRPr="007B7D7B" w:rsidRDefault="008A1FBC" w:rsidP="007B7D7B">
      <w:pPr>
        <w:spacing w:line="360" w:lineRule="auto"/>
        <w:rPr>
          <w:rFonts w:ascii="Arial" w:hAnsi="Arial" w:cs="Arial"/>
          <w:sz w:val="22"/>
          <w:szCs w:val="22"/>
        </w:rPr>
      </w:pPr>
    </w:p>
    <w:p w14:paraId="70932E41" w14:textId="77777777" w:rsidR="001D0E72" w:rsidRPr="007B7D7B" w:rsidRDefault="001D0E72" w:rsidP="007B7D7B">
      <w:pPr>
        <w:spacing w:line="360" w:lineRule="auto"/>
        <w:rPr>
          <w:rFonts w:ascii="Arial" w:hAnsi="Arial" w:cs="Arial"/>
          <w:sz w:val="22"/>
          <w:szCs w:val="22"/>
        </w:rPr>
      </w:pPr>
    </w:p>
    <w:p w14:paraId="78274410" w14:textId="77777777" w:rsidR="008D5747" w:rsidRPr="007B7D7B" w:rsidRDefault="008D5747" w:rsidP="007B7D7B">
      <w:pPr>
        <w:spacing w:line="360" w:lineRule="auto"/>
        <w:rPr>
          <w:rFonts w:ascii="Arial" w:hAnsi="Arial" w:cs="Arial"/>
          <w:sz w:val="22"/>
          <w:szCs w:val="22"/>
        </w:rPr>
      </w:pPr>
    </w:p>
    <w:p w14:paraId="156B1765" w14:textId="77777777" w:rsidR="008D5747" w:rsidRPr="007B7D7B" w:rsidRDefault="008D5747" w:rsidP="007B7D7B">
      <w:pPr>
        <w:spacing w:line="360" w:lineRule="auto"/>
        <w:rPr>
          <w:rFonts w:ascii="Arial" w:hAnsi="Arial" w:cs="Arial"/>
          <w:sz w:val="22"/>
          <w:szCs w:val="22"/>
        </w:rPr>
      </w:pPr>
    </w:p>
    <w:p w14:paraId="064D1AEA" w14:textId="77777777" w:rsidR="008D5747" w:rsidRPr="007B7D7B" w:rsidRDefault="008D5747" w:rsidP="007B7D7B">
      <w:pPr>
        <w:spacing w:line="360" w:lineRule="auto"/>
        <w:rPr>
          <w:rFonts w:ascii="Arial" w:hAnsi="Arial" w:cs="Arial"/>
          <w:sz w:val="22"/>
          <w:szCs w:val="22"/>
        </w:rPr>
      </w:pPr>
    </w:p>
    <w:sectPr w:rsidR="008D5747" w:rsidRPr="007B7D7B">
      <w:headerReference w:type="even" r:id="rId64"/>
      <w:headerReference w:type="default" r:id="rId65"/>
      <w:footerReference w:type="even" r:id="rId66"/>
      <w:footerReference w:type="default" r:id="rId67"/>
      <w:headerReference w:type="first" r:id="rId68"/>
      <w:footerReference w:type="firs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5F8804" w14:textId="77777777" w:rsidR="00B26654" w:rsidRDefault="00B26654" w:rsidP="00646FB4">
      <w:pPr>
        <w:spacing w:after="0" w:line="240" w:lineRule="auto"/>
      </w:pPr>
      <w:r>
        <w:separator/>
      </w:r>
    </w:p>
  </w:endnote>
  <w:endnote w:type="continuationSeparator" w:id="0">
    <w:p w14:paraId="55C84ADE" w14:textId="77777777" w:rsidR="00B26654" w:rsidRDefault="00B26654" w:rsidP="00646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49348912"/>
      <w:docPartObj>
        <w:docPartGallery w:val="Page Numbers (Bottom of Page)"/>
        <w:docPartUnique/>
      </w:docPartObj>
    </w:sdtPr>
    <w:sdtContent>
      <w:p w14:paraId="590E04CC" w14:textId="2CBCFFBA" w:rsidR="00646FB4" w:rsidRDefault="00646FB4" w:rsidP="00473A5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76E258" w14:textId="77777777" w:rsidR="00646FB4" w:rsidRDefault="00646F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99565183"/>
      <w:docPartObj>
        <w:docPartGallery w:val="Page Numbers (Bottom of Page)"/>
        <w:docPartUnique/>
      </w:docPartObj>
    </w:sdtPr>
    <w:sdtContent>
      <w:p w14:paraId="543ADCDF" w14:textId="3476FB60" w:rsidR="00646FB4" w:rsidRDefault="00646FB4" w:rsidP="00473A5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1EBBC0D0" w14:textId="77777777" w:rsidR="00646FB4" w:rsidRDefault="00646FB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2F222" w14:textId="77777777" w:rsidR="00646FB4" w:rsidRDefault="00646F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BF17C" w14:textId="77777777" w:rsidR="00B26654" w:rsidRDefault="00B26654" w:rsidP="00646FB4">
      <w:pPr>
        <w:spacing w:after="0" w:line="240" w:lineRule="auto"/>
      </w:pPr>
      <w:r>
        <w:separator/>
      </w:r>
    </w:p>
  </w:footnote>
  <w:footnote w:type="continuationSeparator" w:id="0">
    <w:p w14:paraId="31C2C0CC" w14:textId="77777777" w:rsidR="00B26654" w:rsidRDefault="00B26654" w:rsidP="00646F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4C42B" w14:textId="77777777" w:rsidR="00646FB4" w:rsidRDefault="00646F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FC508C" w14:textId="77777777" w:rsidR="00646FB4" w:rsidRDefault="00646F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FFF747" w14:textId="77777777" w:rsidR="00646FB4" w:rsidRDefault="00646F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D135D"/>
    <w:multiLevelType w:val="multilevel"/>
    <w:tmpl w:val="FFFFFFFF"/>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71D6BDA"/>
    <w:multiLevelType w:val="hybridMultilevel"/>
    <w:tmpl w:val="3FC4B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4066F9"/>
    <w:multiLevelType w:val="hybridMultilevel"/>
    <w:tmpl w:val="84229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6D24AF"/>
    <w:multiLevelType w:val="hybridMultilevel"/>
    <w:tmpl w:val="C92E9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8761A0"/>
    <w:multiLevelType w:val="hybridMultilevel"/>
    <w:tmpl w:val="CF860004"/>
    <w:lvl w:ilvl="0" w:tplc="FFFFFFFF">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9F27DC"/>
    <w:multiLevelType w:val="hybridMultilevel"/>
    <w:tmpl w:val="DD582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F959FF"/>
    <w:multiLevelType w:val="hybridMultilevel"/>
    <w:tmpl w:val="B4906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954486"/>
    <w:multiLevelType w:val="hybridMultilevel"/>
    <w:tmpl w:val="A3BCFF8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77E39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BD255A"/>
    <w:multiLevelType w:val="hybridMultilevel"/>
    <w:tmpl w:val="CA9EB88E"/>
    <w:lvl w:ilvl="0" w:tplc="FFFFFFFF">
      <w:start w:val="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2D7AC6"/>
    <w:multiLevelType w:val="multilevel"/>
    <w:tmpl w:val="FFFFFFFF"/>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8CF73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567B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2167198">
    <w:abstractNumId w:val="9"/>
  </w:num>
  <w:num w:numId="2" w16cid:durableId="1347750570">
    <w:abstractNumId w:val="10"/>
  </w:num>
  <w:num w:numId="3" w16cid:durableId="435634400">
    <w:abstractNumId w:val="3"/>
  </w:num>
  <w:num w:numId="4" w16cid:durableId="36971469">
    <w:abstractNumId w:val="1"/>
  </w:num>
  <w:num w:numId="5" w16cid:durableId="375348686">
    <w:abstractNumId w:val="0"/>
  </w:num>
  <w:num w:numId="6" w16cid:durableId="643198990">
    <w:abstractNumId w:val="2"/>
  </w:num>
  <w:num w:numId="7" w16cid:durableId="339091890">
    <w:abstractNumId w:val="4"/>
  </w:num>
  <w:num w:numId="8" w16cid:durableId="1044599297">
    <w:abstractNumId w:val="5"/>
  </w:num>
  <w:num w:numId="9" w16cid:durableId="2145075979">
    <w:abstractNumId w:val="7"/>
  </w:num>
  <w:num w:numId="10" w16cid:durableId="473641614">
    <w:abstractNumId w:val="6"/>
  </w:num>
  <w:num w:numId="11" w16cid:durableId="599486510">
    <w:abstractNumId w:val="11"/>
  </w:num>
  <w:num w:numId="12" w16cid:durableId="898630638">
    <w:abstractNumId w:val="8"/>
  </w:num>
  <w:num w:numId="13" w16cid:durableId="143860328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747"/>
    <w:rsid w:val="00002A40"/>
    <w:rsid w:val="00002B42"/>
    <w:rsid w:val="00015DA6"/>
    <w:rsid w:val="00017DA9"/>
    <w:rsid w:val="00022D2E"/>
    <w:rsid w:val="00022DD5"/>
    <w:rsid w:val="00023EEB"/>
    <w:rsid w:val="0002530C"/>
    <w:rsid w:val="00025984"/>
    <w:rsid w:val="00025A80"/>
    <w:rsid w:val="0002697B"/>
    <w:rsid w:val="00031B0F"/>
    <w:rsid w:val="0003626A"/>
    <w:rsid w:val="00041083"/>
    <w:rsid w:val="0004284A"/>
    <w:rsid w:val="000429E8"/>
    <w:rsid w:val="00042B8E"/>
    <w:rsid w:val="0004404B"/>
    <w:rsid w:val="00044F02"/>
    <w:rsid w:val="0005078B"/>
    <w:rsid w:val="000525EB"/>
    <w:rsid w:val="000617D1"/>
    <w:rsid w:val="0006272F"/>
    <w:rsid w:val="0006396C"/>
    <w:rsid w:val="00063F11"/>
    <w:rsid w:val="00071C0D"/>
    <w:rsid w:val="0007282B"/>
    <w:rsid w:val="0007722E"/>
    <w:rsid w:val="00080B4B"/>
    <w:rsid w:val="000841B9"/>
    <w:rsid w:val="00084BF7"/>
    <w:rsid w:val="00086B5E"/>
    <w:rsid w:val="00087CE5"/>
    <w:rsid w:val="00092D2C"/>
    <w:rsid w:val="000A33E8"/>
    <w:rsid w:val="000B1102"/>
    <w:rsid w:val="000C1DDC"/>
    <w:rsid w:val="000C4179"/>
    <w:rsid w:val="000C700F"/>
    <w:rsid w:val="000C7920"/>
    <w:rsid w:val="000D08AB"/>
    <w:rsid w:val="000D0A2C"/>
    <w:rsid w:val="000D0DE6"/>
    <w:rsid w:val="000E17E1"/>
    <w:rsid w:val="000F07B6"/>
    <w:rsid w:val="000F4CD1"/>
    <w:rsid w:val="000F5900"/>
    <w:rsid w:val="0010545F"/>
    <w:rsid w:val="001114A1"/>
    <w:rsid w:val="00115138"/>
    <w:rsid w:val="00115BA2"/>
    <w:rsid w:val="00123FB8"/>
    <w:rsid w:val="0012466E"/>
    <w:rsid w:val="00131451"/>
    <w:rsid w:val="00143D10"/>
    <w:rsid w:val="00147A33"/>
    <w:rsid w:val="00161317"/>
    <w:rsid w:val="00164163"/>
    <w:rsid w:val="00171677"/>
    <w:rsid w:val="00171992"/>
    <w:rsid w:val="001775C2"/>
    <w:rsid w:val="001809DD"/>
    <w:rsid w:val="0018584C"/>
    <w:rsid w:val="00194CF2"/>
    <w:rsid w:val="00195015"/>
    <w:rsid w:val="001A0AEE"/>
    <w:rsid w:val="001A3B99"/>
    <w:rsid w:val="001B1AEA"/>
    <w:rsid w:val="001B2FE0"/>
    <w:rsid w:val="001B3111"/>
    <w:rsid w:val="001B7CC4"/>
    <w:rsid w:val="001B7DDB"/>
    <w:rsid w:val="001C6D6F"/>
    <w:rsid w:val="001D0E72"/>
    <w:rsid w:val="001D66DA"/>
    <w:rsid w:val="001D73AF"/>
    <w:rsid w:val="001E1787"/>
    <w:rsid w:val="001F438D"/>
    <w:rsid w:val="001F637A"/>
    <w:rsid w:val="00203D72"/>
    <w:rsid w:val="00203EB2"/>
    <w:rsid w:val="00210F62"/>
    <w:rsid w:val="002144F1"/>
    <w:rsid w:val="002149F6"/>
    <w:rsid w:val="00216017"/>
    <w:rsid w:val="0022252B"/>
    <w:rsid w:val="00223461"/>
    <w:rsid w:val="00225678"/>
    <w:rsid w:val="00227350"/>
    <w:rsid w:val="00254C2F"/>
    <w:rsid w:val="00262685"/>
    <w:rsid w:val="00270730"/>
    <w:rsid w:val="00270BC6"/>
    <w:rsid w:val="00276AC9"/>
    <w:rsid w:val="00285B83"/>
    <w:rsid w:val="002906FF"/>
    <w:rsid w:val="00292F7E"/>
    <w:rsid w:val="002973B0"/>
    <w:rsid w:val="002A0018"/>
    <w:rsid w:val="002B0AEF"/>
    <w:rsid w:val="002C1497"/>
    <w:rsid w:val="002C30D8"/>
    <w:rsid w:val="002D44D0"/>
    <w:rsid w:val="002D5A19"/>
    <w:rsid w:val="002D6781"/>
    <w:rsid w:val="002E1107"/>
    <w:rsid w:val="002F6735"/>
    <w:rsid w:val="00302C73"/>
    <w:rsid w:val="00306A1B"/>
    <w:rsid w:val="00317B4D"/>
    <w:rsid w:val="003232B1"/>
    <w:rsid w:val="0034297E"/>
    <w:rsid w:val="003508E3"/>
    <w:rsid w:val="00353D35"/>
    <w:rsid w:val="00357646"/>
    <w:rsid w:val="003616EB"/>
    <w:rsid w:val="00363FB2"/>
    <w:rsid w:val="00366B15"/>
    <w:rsid w:val="003726F3"/>
    <w:rsid w:val="003745CA"/>
    <w:rsid w:val="0038533D"/>
    <w:rsid w:val="00392918"/>
    <w:rsid w:val="003946E5"/>
    <w:rsid w:val="003A192C"/>
    <w:rsid w:val="003A3986"/>
    <w:rsid w:val="003A41A8"/>
    <w:rsid w:val="003A491C"/>
    <w:rsid w:val="003A5940"/>
    <w:rsid w:val="003B279E"/>
    <w:rsid w:val="003B558F"/>
    <w:rsid w:val="003B6661"/>
    <w:rsid w:val="003C26A0"/>
    <w:rsid w:val="003D52A8"/>
    <w:rsid w:val="003D6DFB"/>
    <w:rsid w:val="003D7CF3"/>
    <w:rsid w:val="003E110A"/>
    <w:rsid w:val="003E23EA"/>
    <w:rsid w:val="003F32D7"/>
    <w:rsid w:val="003F449B"/>
    <w:rsid w:val="003F4548"/>
    <w:rsid w:val="003F45E0"/>
    <w:rsid w:val="00407498"/>
    <w:rsid w:val="00410DCB"/>
    <w:rsid w:val="00412C00"/>
    <w:rsid w:val="004272EA"/>
    <w:rsid w:val="00430BFD"/>
    <w:rsid w:val="00437DCA"/>
    <w:rsid w:val="00441AA6"/>
    <w:rsid w:val="0044312B"/>
    <w:rsid w:val="004506C2"/>
    <w:rsid w:val="004556F1"/>
    <w:rsid w:val="00461863"/>
    <w:rsid w:val="00466942"/>
    <w:rsid w:val="00466FDA"/>
    <w:rsid w:val="00467675"/>
    <w:rsid w:val="00476993"/>
    <w:rsid w:val="00476F32"/>
    <w:rsid w:val="00477748"/>
    <w:rsid w:val="004778C9"/>
    <w:rsid w:val="00484AF5"/>
    <w:rsid w:val="004906A8"/>
    <w:rsid w:val="00491AC8"/>
    <w:rsid w:val="0049424A"/>
    <w:rsid w:val="00496632"/>
    <w:rsid w:val="00496C89"/>
    <w:rsid w:val="004973F5"/>
    <w:rsid w:val="004A0F11"/>
    <w:rsid w:val="004A40C3"/>
    <w:rsid w:val="004A5E5C"/>
    <w:rsid w:val="004B3144"/>
    <w:rsid w:val="004C5E86"/>
    <w:rsid w:val="004D1310"/>
    <w:rsid w:val="004D6541"/>
    <w:rsid w:val="004E0D20"/>
    <w:rsid w:val="004E324F"/>
    <w:rsid w:val="004E47FA"/>
    <w:rsid w:val="004F5B9A"/>
    <w:rsid w:val="005004A7"/>
    <w:rsid w:val="00502FEC"/>
    <w:rsid w:val="00506785"/>
    <w:rsid w:val="00506870"/>
    <w:rsid w:val="00511272"/>
    <w:rsid w:val="005254C4"/>
    <w:rsid w:val="00527A79"/>
    <w:rsid w:val="00532090"/>
    <w:rsid w:val="00537E02"/>
    <w:rsid w:val="00540677"/>
    <w:rsid w:val="005417A2"/>
    <w:rsid w:val="00542F00"/>
    <w:rsid w:val="00557BC7"/>
    <w:rsid w:val="0057570B"/>
    <w:rsid w:val="00584F60"/>
    <w:rsid w:val="00587D63"/>
    <w:rsid w:val="00592E10"/>
    <w:rsid w:val="00592F2D"/>
    <w:rsid w:val="00594799"/>
    <w:rsid w:val="005B4D31"/>
    <w:rsid w:val="005C0A55"/>
    <w:rsid w:val="005C28E5"/>
    <w:rsid w:val="005C3752"/>
    <w:rsid w:val="005C6E0F"/>
    <w:rsid w:val="005C7288"/>
    <w:rsid w:val="005D4AF2"/>
    <w:rsid w:val="005F57A0"/>
    <w:rsid w:val="005F68D1"/>
    <w:rsid w:val="005F73C4"/>
    <w:rsid w:val="00601BAB"/>
    <w:rsid w:val="006024BC"/>
    <w:rsid w:val="00612633"/>
    <w:rsid w:val="006222C6"/>
    <w:rsid w:val="006268B5"/>
    <w:rsid w:val="0063102C"/>
    <w:rsid w:val="006325F9"/>
    <w:rsid w:val="0064118E"/>
    <w:rsid w:val="0064194F"/>
    <w:rsid w:val="00644A46"/>
    <w:rsid w:val="00646FB4"/>
    <w:rsid w:val="00650E0D"/>
    <w:rsid w:val="00652A86"/>
    <w:rsid w:val="006573CC"/>
    <w:rsid w:val="00664902"/>
    <w:rsid w:val="00671190"/>
    <w:rsid w:val="0067189E"/>
    <w:rsid w:val="00673579"/>
    <w:rsid w:val="00674C81"/>
    <w:rsid w:val="00696D71"/>
    <w:rsid w:val="0069763D"/>
    <w:rsid w:val="006A256A"/>
    <w:rsid w:val="006A606A"/>
    <w:rsid w:val="006B55B7"/>
    <w:rsid w:val="006C29CD"/>
    <w:rsid w:val="006D23EA"/>
    <w:rsid w:val="006D293B"/>
    <w:rsid w:val="006D4996"/>
    <w:rsid w:val="006D692F"/>
    <w:rsid w:val="006E03B2"/>
    <w:rsid w:val="006E0C1F"/>
    <w:rsid w:val="006E397F"/>
    <w:rsid w:val="006E5C76"/>
    <w:rsid w:val="006E7795"/>
    <w:rsid w:val="006E7AC3"/>
    <w:rsid w:val="00710DDE"/>
    <w:rsid w:val="0072310D"/>
    <w:rsid w:val="007240E3"/>
    <w:rsid w:val="007254E4"/>
    <w:rsid w:val="0074088F"/>
    <w:rsid w:val="007429B9"/>
    <w:rsid w:val="007569FD"/>
    <w:rsid w:val="00756C90"/>
    <w:rsid w:val="007644B1"/>
    <w:rsid w:val="00774EB0"/>
    <w:rsid w:val="00776D2C"/>
    <w:rsid w:val="0078225A"/>
    <w:rsid w:val="00783CFF"/>
    <w:rsid w:val="00785594"/>
    <w:rsid w:val="00787C2C"/>
    <w:rsid w:val="007949E9"/>
    <w:rsid w:val="007A4A8C"/>
    <w:rsid w:val="007A7237"/>
    <w:rsid w:val="007B2F5E"/>
    <w:rsid w:val="007B7D7B"/>
    <w:rsid w:val="007C4CEF"/>
    <w:rsid w:val="007C73C8"/>
    <w:rsid w:val="007E3634"/>
    <w:rsid w:val="007E3E16"/>
    <w:rsid w:val="007E6C1F"/>
    <w:rsid w:val="007F10B0"/>
    <w:rsid w:val="007F1BD7"/>
    <w:rsid w:val="007F68BD"/>
    <w:rsid w:val="007F69A6"/>
    <w:rsid w:val="007F7A36"/>
    <w:rsid w:val="008046E1"/>
    <w:rsid w:val="00806A12"/>
    <w:rsid w:val="00807B97"/>
    <w:rsid w:val="00816046"/>
    <w:rsid w:val="00824910"/>
    <w:rsid w:val="00825063"/>
    <w:rsid w:val="008276E1"/>
    <w:rsid w:val="00832FD9"/>
    <w:rsid w:val="00835B1A"/>
    <w:rsid w:val="00840809"/>
    <w:rsid w:val="00842E6F"/>
    <w:rsid w:val="00843272"/>
    <w:rsid w:val="0084531B"/>
    <w:rsid w:val="00855695"/>
    <w:rsid w:val="00860D55"/>
    <w:rsid w:val="0086742E"/>
    <w:rsid w:val="0089034A"/>
    <w:rsid w:val="00891AB8"/>
    <w:rsid w:val="00897AF4"/>
    <w:rsid w:val="008A1929"/>
    <w:rsid w:val="008A1FBC"/>
    <w:rsid w:val="008B1BD7"/>
    <w:rsid w:val="008B4CB7"/>
    <w:rsid w:val="008B70FF"/>
    <w:rsid w:val="008C3B25"/>
    <w:rsid w:val="008D5747"/>
    <w:rsid w:val="008D739E"/>
    <w:rsid w:val="008E0FF8"/>
    <w:rsid w:val="008E7FC1"/>
    <w:rsid w:val="008F0FD2"/>
    <w:rsid w:val="008F1C72"/>
    <w:rsid w:val="008F3A09"/>
    <w:rsid w:val="00900726"/>
    <w:rsid w:val="00901859"/>
    <w:rsid w:val="009037DF"/>
    <w:rsid w:val="00903EE3"/>
    <w:rsid w:val="00915070"/>
    <w:rsid w:val="0091718D"/>
    <w:rsid w:val="00924613"/>
    <w:rsid w:val="0092559C"/>
    <w:rsid w:val="00931C48"/>
    <w:rsid w:val="0093272A"/>
    <w:rsid w:val="009401F1"/>
    <w:rsid w:val="00955459"/>
    <w:rsid w:val="0095566B"/>
    <w:rsid w:val="009633DA"/>
    <w:rsid w:val="00963E96"/>
    <w:rsid w:val="00964858"/>
    <w:rsid w:val="009714F1"/>
    <w:rsid w:val="00971D87"/>
    <w:rsid w:val="00972754"/>
    <w:rsid w:val="00973A69"/>
    <w:rsid w:val="00973C3B"/>
    <w:rsid w:val="00982045"/>
    <w:rsid w:val="00983070"/>
    <w:rsid w:val="009A12E6"/>
    <w:rsid w:val="009A6445"/>
    <w:rsid w:val="009C0B7D"/>
    <w:rsid w:val="009C37B0"/>
    <w:rsid w:val="009D0EA1"/>
    <w:rsid w:val="009D55F7"/>
    <w:rsid w:val="009D5F84"/>
    <w:rsid w:val="009E7146"/>
    <w:rsid w:val="009F0BC9"/>
    <w:rsid w:val="009F114F"/>
    <w:rsid w:val="009F3318"/>
    <w:rsid w:val="009F51C9"/>
    <w:rsid w:val="00A00E27"/>
    <w:rsid w:val="00A01002"/>
    <w:rsid w:val="00A13340"/>
    <w:rsid w:val="00A23C6A"/>
    <w:rsid w:val="00A32CBA"/>
    <w:rsid w:val="00A37237"/>
    <w:rsid w:val="00A3772C"/>
    <w:rsid w:val="00A408AE"/>
    <w:rsid w:val="00A425B6"/>
    <w:rsid w:val="00A4366D"/>
    <w:rsid w:val="00A43832"/>
    <w:rsid w:val="00A4577C"/>
    <w:rsid w:val="00A535B6"/>
    <w:rsid w:val="00A543DC"/>
    <w:rsid w:val="00A608E8"/>
    <w:rsid w:val="00A633B2"/>
    <w:rsid w:val="00A6613F"/>
    <w:rsid w:val="00A668C4"/>
    <w:rsid w:val="00A67C72"/>
    <w:rsid w:val="00A7039F"/>
    <w:rsid w:val="00A77851"/>
    <w:rsid w:val="00A96E72"/>
    <w:rsid w:val="00AA0417"/>
    <w:rsid w:val="00AA2A91"/>
    <w:rsid w:val="00AA3250"/>
    <w:rsid w:val="00AB135E"/>
    <w:rsid w:val="00AB271D"/>
    <w:rsid w:val="00AC3CE3"/>
    <w:rsid w:val="00AC4DB8"/>
    <w:rsid w:val="00AC66DC"/>
    <w:rsid w:val="00AC6EF1"/>
    <w:rsid w:val="00AC79D3"/>
    <w:rsid w:val="00AD0E9E"/>
    <w:rsid w:val="00AE1BEA"/>
    <w:rsid w:val="00AE3183"/>
    <w:rsid w:val="00AE6E63"/>
    <w:rsid w:val="00AF0F95"/>
    <w:rsid w:val="00AF1281"/>
    <w:rsid w:val="00B00C21"/>
    <w:rsid w:val="00B04724"/>
    <w:rsid w:val="00B07DF5"/>
    <w:rsid w:val="00B12C67"/>
    <w:rsid w:val="00B156CE"/>
    <w:rsid w:val="00B21D4F"/>
    <w:rsid w:val="00B25408"/>
    <w:rsid w:val="00B26654"/>
    <w:rsid w:val="00B27395"/>
    <w:rsid w:val="00B50753"/>
    <w:rsid w:val="00B51984"/>
    <w:rsid w:val="00B63506"/>
    <w:rsid w:val="00B63D37"/>
    <w:rsid w:val="00B64085"/>
    <w:rsid w:val="00B72328"/>
    <w:rsid w:val="00B73664"/>
    <w:rsid w:val="00B75830"/>
    <w:rsid w:val="00B76DAE"/>
    <w:rsid w:val="00B80A16"/>
    <w:rsid w:val="00B818FB"/>
    <w:rsid w:val="00B86C49"/>
    <w:rsid w:val="00B9030C"/>
    <w:rsid w:val="00B91294"/>
    <w:rsid w:val="00B93A18"/>
    <w:rsid w:val="00BA356A"/>
    <w:rsid w:val="00BA520B"/>
    <w:rsid w:val="00BA59FC"/>
    <w:rsid w:val="00BC363B"/>
    <w:rsid w:val="00BF0B30"/>
    <w:rsid w:val="00BF0B60"/>
    <w:rsid w:val="00BF267D"/>
    <w:rsid w:val="00BF3185"/>
    <w:rsid w:val="00BF37C4"/>
    <w:rsid w:val="00C0399E"/>
    <w:rsid w:val="00C07972"/>
    <w:rsid w:val="00C2008F"/>
    <w:rsid w:val="00C2265D"/>
    <w:rsid w:val="00C2502F"/>
    <w:rsid w:val="00C278D5"/>
    <w:rsid w:val="00C374E6"/>
    <w:rsid w:val="00C43E61"/>
    <w:rsid w:val="00C4451A"/>
    <w:rsid w:val="00C5141D"/>
    <w:rsid w:val="00C52F9D"/>
    <w:rsid w:val="00C530C4"/>
    <w:rsid w:val="00C54513"/>
    <w:rsid w:val="00C63C4A"/>
    <w:rsid w:val="00C66BF4"/>
    <w:rsid w:val="00C7572D"/>
    <w:rsid w:val="00C75B55"/>
    <w:rsid w:val="00C776F3"/>
    <w:rsid w:val="00C83CE8"/>
    <w:rsid w:val="00C93072"/>
    <w:rsid w:val="00C9351D"/>
    <w:rsid w:val="00C9402E"/>
    <w:rsid w:val="00C9509C"/>
    <w:rsid w:val="00C9519F"/>
    <w:rsid w:val="00CA1852"/>
    <w:rsid w:val="00CA2BF6"/>
    <w:rsid w:val="00CA649D"/>
    <w:rsid w:val="00CA7438"/>
    <w:rsid w:val="00CB05B4"/>
    <w:rsid w:val="00CC0B29"/>
    <w:rsid w:val="00CC3303"/>
    <w:rsid w:val="00CD0040"/>
    <w:rsid w:val="00CD2BC6"/>
    <w:rsid w:val="00CD50DC"/>
    <w:rsid w:val="00CD5DB1"/>
    <w:rsid w:val="00CD7B45"/>
    <w:rsid w:val="00CE2835"/>
    <w:rsid w:val="00D01B7B"/>
    <w:rsid w:val="00D02FF0"/>
    <w:rsid w:val="00D07FD4"/>
    <w:rsid w:val="00D14AAD"/>
    <w:rsid w:val="00D16439"/>
    <w:rsid w:val="00D208AE"/>
    <w:rsid w:val="00D20F64"/>
    <w:rsid w:val="00D2178C"/>
    <w:rsid w:val="00D26D94"/>
    <w:rsid w:val="00D46A5B"/>
    <w:rsid w:val="00D52ECA"/>
    <w:rsid w:val="00D55707"/>
    <w:rsid w:val="00D565EE"/>
    <w:rsid w:val="00D60867"/>
    <w:rsid w:val="00D66590"/>
    <w:rsid w:val="00D729ED"/>
    <w:rsid w:val="00D770CD"/>
    <w:rsid w:val="00D80F7D"/>
    <w:rsid w:val="00D818E8"/>
    <w:rsid w:val="00D81DB0"/>
    <w:rsid w:val="00D84C95"/>
    <w:rsid w:val="00D85772"/>
    <w:rsid w:val="00D93B64"/>
    <w:rsid w:val="00D9784E"/>
    <w:rsid w:val="00DA0626"/>
    <w:rsid w:val="00DA0F4D"/>
    <w:rsid w:val="00DA5FDF"/>
    <w:rsid w:val="00DB69E3"/>
    <w:rsid w:val="00DC27CE"/>
    <w:rsid w:val="00DC5641"/>
    <w:rsid w:val="00DD7EEC"/>
    <w:rsid w:val="00DE30F7"/>
    <w:rsid w:val="00DE4550"/>
    <w:rsid w:val="00DE4D90"/>
    <w:rsid w:val="00DE5890"/>
    <w:rsid w:val="00DE5F6A"/>
    <w:rsid w:val="00DF2A9D"/>
    <w:rsid w:val="00DF7779"/>
    <w:rsid w:val="00E02AFD"/>
    <w:rsid w:val="00E10519"/>
    <w:rsid w:val="00E1182E"/>
    <w:rsid w:val="00E120BA"/>
    <w:rsid w:val="00E1364D"/>
    <w:rsid w:val="00E142EA"/>
    <w:rsid w:val="00E147E7"/>
    <w:rsid w:val="00E3796A"/>
    <w:rsid w:val="00E42C43"/>
    <w:rsid w:val="00E43263"/>
    <w:rsid w:val="00E43FE3"/>
    <w:rsid w:val="00E47B87"/>
    <w:rsid w:val="00E47C4A"/>
    <w:rsid w:val="00E517D5"/>
    <w:rsid w:val="00E55583"/>
    <w:rsid w:val="00E5797C"/>
    <w:rsid w:val="00E60DE4"/>
    <w:rsid w:val="00E613A1"/>
    <w:rsid w:val="00E63865"/>
    <w:rsid w:val="00E72310"/>
    <w:rsid w:val="00E729C5"/>
    <w:rsid w:val="00E73648"/>
    <w:rsid w:val="00E80A88"/>
    <w:rsid w:val="00E837FC"/>
    <w:rsid w:val="00E93783"/>
    <w:rsid w:val="00E95053"/>
    <w:rsid w:val="00EB1714"/>
    <w:rsid w:val="00EB2C74"/>
    <w:rsid w:val="00EB5A5D"/>
    <w:rsid w:val="00EB6E16"/>
    <w:rsid w:val="00EC1B1D"/>
    <w:rsid w:val="00EC47F6"/>
    <w:rsid w:val="00ED24EA"/>
    <w:rsid w:val="00ED270A"/>
    <w:rsid w:val="00ED2A12"/>
    <w:rsid w:val="00ED4FE1"/>
    <w:rsid w:val="00ED56A6"/>
    <w:rsid w:val="00ED705C"/>
    <w:rsid w:val="00EE4F02"/>
    <w:rsid w:val="00EE4F62"/>
    <w:rsid w:val="00EE7856"/>
    <w:rsid w:val="00EF01C0"/>
    <w:rsid w:val="00EF1778"/>
    <w:rsid w:val="00EF76D3"/>
    <w:rsid w:val="00F066A7"/>
    <w:rsid w:val="00F10295"/>
    <w:rsid w:val="00F13143"/>
    <w:rsid w:val="00F17F82"/>
    <w:rsid w:val="00F20A5E"/>
    <w:rsid w:val="00F248D4"/>
    <w:rsid w:val="00F265D8"/>
    <w:rsid w:val="00F27429"/>
    <w:rsid w:val="00F30376"/>
    <w:rsid w:val="00F3380F"/>
    <w:rsid w:val="00F33B8B"/>
    <w:rsid w:val="00F3688F"/>
    <w:rsid w:val="00F41118"/>
    <w:rsid w:val="00F4724A"/>
    <w:rsid w:val="00F70DA9"/>
    <w:rsid w:val="00F740CB"/>
    <w:rsid w:val="00F8015C"/>
    <w:rsid w:val="00F813B6"/>
    <w:rsid w:val="00F8190E"/>
    <w:rsid w:val="00F823F6"/>
    <w:rsid w:val="00F83868"/>
    <w:rsid w:val="00F87FA6"/>
    <w:rsid w:val="00FA0716"/>
    <w:rsid w:val="00FB46C4"/>
    <w:rsid w:val="00FB7821"/>
    <w:rsid w:val="00FC3E26"/>
    <w:rsid w:val="00FC59B3"/>
    <w:rsid w:val="00FC6D56"/>
    <w:rsid w:val="00FD07BD"/>
    <w:rsid w:val="00FF0B2B"/>
    <w:rsid w:val="00FF0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50869"/>
  <w15:chartTrackingRefBased/>
  <w15:docId w15:val="{E98A7516-32D6-564D-B257-BFF42015D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8D57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57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D57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57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57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57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57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57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57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D57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57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57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57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57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57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57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57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5747"/>
    <w:rPr>
      <w:rFonts w:eastAsiaTheme="majorEastAsia" w:cstheme="majorBidi"/>
      <w:color w:val="272727" w:themeColor="text1" w:themeTint="D8"/>
    </w:rPr>
  </w:style>
  <w:style w:type="paragraph" w:styleId="Title">
    <w:name w:val="Title"/>
    <w:basedOn w:val="Normal"/>
    <w:next w:val="Normal"/>
    <w:link w:val="TitleChar"/>
    <w:uiPriority w:val="10"/>
    <w:qFormat/>
    <w:rsid w:val="008D57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57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57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57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5747"/>
    <w:pPr>
      <w:spacing w:before="160"/>
      <w:jc w:val="center"/>
    </w:pPr>
    <w:rPr>
      <w:i/>
      <w:iCs/>
      <w:color w:val="404040" w:themeColor="text1" w:themeTint="BF"/>
    </w:rPr>
  </w:style>
  <w:style w:type="character" w:customStyle="1" w:styleId="QuoteChar">
    <w:name w:val="Quote Char"/>
    <w:basedOn w:val="DefaultParagraphFont"/>
    <w:link w:val="Quote"/>
    <w:uiPriority w:val="29"/>
    <w:rsid w:val="008D5747"/>
    <w:rPr>
      <w:i/>
      <w:iCs/>
      <w:color w:val="404040" w:themeColor="text1" w:themeTint="BF"/>
    </w:rPr>
  </w:style>
  <w:style w:type="paragraph" w:styleId="ListParagraph">
    <w:name w:val="List Paragraph"/>
    <w:basedOn w:val="Normal"/>
    <w:uiPriority w:val="34"/>
    <w:qFormat/>
    <w:rsid w:val="008D5747"/>
    <w:pPr>
      <w:ind w:left="720"/>
      <w:contextualSpacing/>
    </w:pPr>
  </w:style>
  <w:style w:type="character" w:styleId="IntenseEmphasis">
    <w:name w:val="Intense Emphasis"/>
    <w:basedOn w:val="DefaultParagraphFont"/>
    <w:uiPriority w:val="21"/>
    <w:qFormat/>
    <w:rsid w:val="008D5747"/>
    <w:rPr>
      <w:i/>
      <w:iCs/>
      <w:color w:val="0F4761" w:themeColor="accent1" w:themeShade="BF"/>
    </w:rPr>
  </w:style>
  <w:style w:type="paragraph" w:styleId="IntenseQuote">
    <w:name w:val="Intense Quote"/>
    <w:basedOn w:val="Normal"/>
    <w:next w:val="Normal"/>
    <w:link w:val="IntenseQuoteChar"/>
    <w:uiPriority w:val="30"/>
    <w:qFormat/>
    <w:rsid w:val="008D57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5747"/>
    <w:rPr>
      <w:i/>
      <w:iCs/>
      <w:color w:val="0F4761" w:themeColor="accent1" w:themeShade="BF"/>
    </w:rPr>
  </w:style>
  <w:style w:type="character" w:styleId="IntenseReference">
    <w:name w:val="Intense Reference"/>
    <w:basedOn w:val="DefaultParagraphFont"/>
    <w:uiPriority w:val="32"/>
    <w:qFormat/>
    <w:rsid w:val="008D5747"/>
    <w:rPr>
      <w:b/>
      <w:bCs/>
      <w:smallCaps/>
      <w:color w:val="0F4761" w:themeColor="accent1" w:themeShade="BF"/>
      <w:spacing w:val="5"/>
    </w:rPr>
  </w:style>
  <w:style w:type="paragraph" w:styleId="Header">
    <w:name w:val="header"/>
    <w:basedOn w:val="Normal"/>
    <w:link w:val="HeaderChar"/>
    <w:uiPriority w:val="99"/>
    <w:unhideWhenUsed/>
    <w:rsid w:val="00646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FB4"/>
  </w:style>
  <w:style w:type="paragraph" w:styleId="Footer">
    <w:name w:val="footer"/>
    <w:basedOn w:val="Normal"/>
    <w:link w:val="FooterChar"/>
    <w:uiPriority w:val="99"/>
    <w:unhideWhenUsed/>
    <w:rsid w:val="00646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FB4"/>
  </w:style>
  <w:style w:type="character" w:styleId="PageNumber">
    <w:name w:val="page number"/>
    <w:basedOn w:val="DefaultParagraphFont"/>
    <w:uiPriority w:val="99"/>
    <w:semiHidden/>
    <w:unhideWhenUsed/>
    <w:rsid w:val="00646FB4"/>
  </w:style>
  <w:style w:type="character" w:styleId="Hyperlink">
    <w:name w:val="Hyperlink"/>
    <w:basedOn w:val="DefaultParagraphFont"/>
    <w:uiPriority w:val="99"/>
    <w:unhideWhenUsed/>
    <w:rsid w:val="00C66BF4"/>
    <w:rPr>
      <w:color w:val="467886" w:themeColor="hyperlink"/>
      <w:u w:val="single"/>
    </w:rPr>
  </w:style>
  <w:style w:type="character" w:styleId="Strong">
    <w:name w:val="Strong"/>
    <w:basedOn w:val="DefaultParagraphFont"/>
    <w:uiPriority w:val="22"/>
    <w:qFormat/>
    <w:rsid w:val="00BA356A"/>
    <w:rPr>
      <w:b/>
      <w:bCs/>
    </w:rPr>
  </w:style>
  <w:style w:type="character" w:styleId="Emphasis">
    <w:name w:val="Emphasis"/>
    <w:basedOn w:val="DefaultParagraphFont"/>
    <w:uiPriority w:val="20"/>
    <w:qFormat/>
    <w:rsid w:val="00BA356A"/>
    <w:rPr>
      <w:i/>
      <w:iCs/>
    </w:rPr>
  </w:style>
  <w:style w:type="character" w:styleId="UnresolvedMention">
    <w:name w:val="Unresolved Mention"/>
    <w:basedOn w:val="DefaultParagraphFont"/>
    <w:uiPriority w:val="99"/>
    <w:semiHidden/>
    <w:unhideWhenUsed/>
    <w:rsid w:val="000D0A2C"/>
    <w:rPr>
      <w:color w:val="605E5C"/>
      <w:shd w:val="clear" w:color="auto" w:fill="E1DFDD"/>
    </w:rPr>
  </w:style>
  <w:style w:type="table" w:styleId="TableGrid">
    <w:name w:val="Table Grid"/>
    <w:basedOn w:val="TableNormal"/>
    <w:uiPriority w:val="39"/>
    <w:rsid w:val="00592E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C0B29"/>
    <w:pPr>
      <w:spacing w:before="100" w:beforeAutospacing="1" w:after="100" w:afterAutospacing="1" w:line="240" w:lineRule="auto"/>
    </w:pPr>
    <w:rPr>
      <w:rFonts w:ascii="Times New Roman" w:hAnsi="Times New Roman" w:cs="Times New Roman"/>
      <w:kern w:val="0"/>
      <w:lang w:eastAsia="en-US"/>
      <w14:ligatures w14:val="none"/>
    </w:rPr>
  </w:style>
  <w:style w:type="character" w:styleId="FollowedHyperlink">
    <w:name w:val="FollowedHyperlink"/>
    <w:basedOn w:val="DefaultParagraphFont"/>
    <w:uiPriority w:val="99"/>
    <w:semiHidden/>
    <w:unhideWhenUsed/>
    <w:rsid w:val="00F70DA9"/>
    <w:rPr>
      <w:color w:val="96607D" w:themeColor="followedHyperlink"/>
      <w:u w:val="single"/>
    </w:rPr>
  </w:style>
  <w:style w:type="paragraph" w:styleId="BodyText">
    <w:name w:val="Body Text"/>
    <w:basedOn w:val="Normal"/>
    <w:link w:val="BodyTextChar"/>
    <w:uiPriority w:val="1"/>
    <w:unhideWhenUsed/>
    <w:qFormat/>
    <w:rsid w:val="00502FEC"/>
    <w:pPr>
      <w:widowControl w:val="0"/>
      <w:autoSpaceDE w:val="0"/>
      <w:autoSpaceDN w:val="0"/>
      <w:spacing w:after="0" w:line="240" w:lineRule="auto"/>
    </w:pPr>
    <w:rPr>
      <w:rFonts w:ascii="Arial" w:eastAsia="Calibri Light" w:hAnsi="Arial" w:cs="Calibri Light"/>
      <w:kern w:val="0"/>
      <w:sz w:val="22"/>
      <w:szCs w:val="22"/>
      <w:lang w:bidi="en-GB"/>
      <w14:ligatures w14:val="none"/>
    </w:rPr>
  </w:style>
  <w:style w:type="character" w:customStyle="1" w:styleId="BodyTextChar">
    <w:name w:val="Body Text Char"/>
    <w:basedOn w:val="DefaultParagraphFont"/>
    <w:link w:val="BodyText"/>
    <w:uiPriority w:val="1"/>
    <w:rsid w:val="00502FEC"/>
    <w:rPr>
      <w:rFonts w:ascii="Arial" w:eastAsia="Calibri Light" w:hAnsi="Arial" w:cs="Calibri Light"/>
      <w:kern w:val="0"/>
      <w:sz w:val="22"/>
      <w:szCs w:val="22"/>
      <w:lang w:bidi="en-GB"/>
      <w14:ligatures w14:val="none"/>
    </w:rPr>
  </w:style>
  <w:style w:type="paragraph" w:styleId="z-TopofForm">
    <w:name w:val="HTML Top of Form"/>
    <w:basedOn w:val="Normal"/>
    <w:next w:val="Normal"/>
    <w:link w:val="z-TopofFormChar"/>
    <w:hidden/>
    <w:uiPriority w:val="99"/>
    <w:semiHidden/>
    <w:unhideWhenUsed/>
    <w:rsid w:val="006D692F"/>
    <w:pPr>
      <w:pBdr>
        <w:bottom w:val="single" w:sz="6" w:space="1" w:color="auto"/>
      </w:pBdr>
      <w:spacing w:after="0" w:line="240" w:lineRule="auto"/>
      <w:jc w:val="center"/>
    </w:pPr>
    <w:rPr>
      <w:rFonts w:ascii="Arial"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6D692F"/>
    <w:rPr>
      <w:rFonts w:ascii="Arial" w:hAnsi="Arial" w:cs="Arial"/>
      <w:vanish/>
      <w:kern w:val="0"/>
      <w:sz w:val="16"/>
      <w:szCs w:val="16"/>
      <w14:ligatures w14:val="none"/>
    </w:rPr>
  </w:style>
  <w:style w:type="paragraph" w:customStyle="1" w:styleId="placeholder">
    <w:name w:val="placeholder"/>
    <w:basedOn w:val="Normal"/>
    <w:rsid w:val="006D692F"/>
    <w:pPr>
      <w:spacing w:before="100" w:beforeAutospacing="1" w:after="100" w:afterAutospacing="1" w:line="240" w:lineRule="auto"/>
    </w:pPr>
    <w:rPr>
      <w:rFonts w:ascii="Times New Roman" w:hAnsi="Times New Roman" w:cs="Times New Roman"/>
      <w:kern w:val="0"/>
      <w14:ligatures w14:val="none"/>
    </w:rPr>
  </w:style>
  <w:style w:type="paragraph" w:styleId="z-BottomofForm">
    <w:name w:val="HTML Bottom of Form"/>
    <w:basedOn w:val="Normal"/>
    <w:next w:val="Normal"/>
    <w:link w:val="z-BottomofFormChar"/>
    <w:hidden/>
    <w:uiPriority w:val="99"/>
    <w:semiHidden/>
    <w:unhideWhenUsed/>
    <w:rsid w:val="006D692F"/>
    <w:pPr>
      <w:pBdr>
        <w:top w:val="single" w:sz="6" w:space="1" w:color="auto"/>
      </w:pBdr>
      <w:spacing w:after="0" w:line="240" w:lineRule="auto"/>
      <w:jc w:val="center"/>
    </w:pPr>
    <w:rPr>
      <w:rFonts w:ascii="Arial"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6D692F"/>
    <w:rPr>
      <w:rFonts w:ascii="Arial" w:hAnsi="Arial" w:cs="Arial"/>
      <w:vanish/>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mmons.emich.edu/loexquarterly/vol31/iss3/4/" TargetMode="External" /><Relationship Id="rId18" Type="http://schemas.openxmlformats.org/officeDocument/2006/relationships/hyperlink" Target="https://doi.org/10.1016/j.cptl.2018.03.019" TargetMode="External" /><Relationship Id="rId26" Type="http://schemas.openxmlformats.org/officeDocument/2006/relationships/hyperlink" Target="https://www.legislation.gov.uk/uksi/1999/3242/contents" TargetMode="External" /><Relationship Id="rId39" Type="http://schemas.openxmlformats.org/officeDocument/2006/relationships/hyperlink" Target="https://www.kingsfund.org.uk/insight-and-analysis/long-reads/burnout-belief-reforming-the-nhs" TargetMode="External" /><Relationship Id="rId21" Type="http://schemas.openxmlformats.org/officeDocument/2006/relationships/hyperlink" Target="https://arxiv.org/abs/2312.14853" TargetMode="External" /><Relationship Id="rId34" Type="http://schemas.openxmlformats.org/officeDocument/2006/relationships/hyperlink" Target="https://pubmed.ncbi.nlm.nih.gov/30326495/" TargetMode="External" /><Relationship Id="rId42" Type="http://schemas.openxmlformats.org/officeDocument/2006/relationships/hyperlink" Target="https://www.salford.ac.uk/library/help-and-support/searching/boolean-operators" TargetMode="External" /><Relationship Id="rId47" Type="http://schemas.openxmlformats.org/officeDocument/2006/relationships/hyperlink" Target="https://www.who.int/news-room/fact-sheets/detail/mental-health-at-work" TargetMode="External" /><Relationship Id="rId50" Type="http://schemas.openxmlformats.org/officeDocument/2006/relationships/hyperlink" Target="https://doi.org/10.1007/s11606-019-05376-x" TargetMode="External" /><Relationship Id="rId55" Type="http://schemas.openxmlformats.org/officeDocument/2006/relationships/hyperlink" Target="https://doi.org/10.3390/ijerph19084646" TargetMode="External" /><Relationship Id="rId63" Type="http://schemas.openxmlformats.org/officeDocument/2006/relationships/image" Target="media/image7.jpeg" /><Relationship Id="rId68" Type="http://schemas.openxmlformats.org/officeDocument/2006/relationships/header" Target="header3.xml" /><Relationship Id="rId7" Type="http://schemas.openxmlformats.org/officeDocument/2006/relationships/image" Target="media/image1.jpeg" /><Relationship Id="rId71"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doi.org/10.1080/2159676X.2019.1628806" TargetMode="External" /><Relationship Id="rId29" Type="http://schemas.openxmlformats.org/officeDocument/2006/relationships/hyperlink" Target="https://www.nhsemployers.org/publications/nhs-health-and-wellbeing-framework"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37/1076-8998.10.2.170" TargetMode="External" /><Relationship Id="rId24" Type="http://schemas.openxmlformats.org/officeDocument/2006/relationships/hyperlink" Target="https://www.legislation.gov.uk/ukpga/1974/37/contents" TargetMode="External" /><Relationship Id="rId32" Type="http://schemas.openxmlformats.org/officeDocument/2006/relationships/hyperlink" Target="https://doi.org/10.1016/j.bbi.2020.05.026" TargetMode="External" /><Relationship Id="rId37" Type="http://schemas.openxmlformats.org/officeDocument/2006/relationships/hyperlink" Target="https://doi.org/10.1016/j.jbusres.2019.07.039" TargetMode="External" /><Relationship Id="rId40" Type="http://schemas.openxmlformats.org/officeDocument/2006/relationships/hyperlink" Target="https://doi.org/10.1177/1534484316671606" TargetMode="External" /><Relationship Id="rId45" Type="http://schemas.openxmlformats.org/officeDocument/2006/relationships/hyperlink" Target="https://pubmed.ncbi.nlm.nih.gov/29505159/" TargetMode="External" /><Relationship Id="rId53" Type="http://schemas.openxmlformats.org/officeDocument/2006/relationships/hyperlink" Target="https://www.kingsfund.org.uk/insight-and-analysis/long-reads/burnout-belief-reforming-the-nhs" TargetMode="External" /><Relationship Id="rId58" Type="http://schemas.openxmlformats.org/officeDocument/2006/relationships/image" Target="media/image2.jpeg" /><Relationship Id="rId66"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doi.org/10.1191/1478088706qp063oa" TargetMode="External" /><Relationship Id="rId23" Type="http://schemas.openxmlformats.org/officeDocument/2006/relationships/hyperlink" Target="https://doi.org/10.1371/journal.pone.0159015" TargetMode="External" /><Relationship Id="rId28" Type="http://schemas.openxmlformats.org/officeDocument/2006/relationships/hyperlink" Target="https://doi.org/10.34197/ats-scholar.2024-0153PS" TargetMode="External" /><Relationship Id="rId36" Type="http://schemas.openxmlformats.org/officeDocument/2006/relationships/hyperlink" Target="https://doi.org/10.1016/j.mayocp.2016.10.004" TargetMode="External" /><Relationship Id="rId49" Type="http://schemas.openxmlformats.org/officeDocument/2006/relationships/hyperlink" Target="https://pubmed.ncbi.nlm.nih.gov/29505159/" TargetMode="External" /><Relationship Id="rId57" Type="http://schemas.openxmlformats.org/officeDocument/2006/relationships/hyperlink" Target="https://doi.org/10.1037/ocp0000056" TargetMode="External" /><Relationship Id="rId61" Type="http://schemas.openxmlformats.org/officeDocument/2006/relationships/image" Target="media/image5.jpeg" /><Relationship Id="rId10" Type="http://schemas.openxmlformats.org/officeDocument/2006/relationships/hyperlink" Target="https://doi.org/10.1002/hrm.20004" TargetMode="External" /><Relationship Id="rId19" Type="http://schemas.openxmlformats.org/officeDocument/2006/relationships/hyperlink" Target="https://doi.org/10.1136/bmjopen-2015-008331" TargetMode="External" /><Relationship Id="rId31" Type="http://schemas.openxmlformats.org/officeDocument/2006/relationships/hyperlink" Target="https://doi.org/10.1177/1609406917733847" TargetMode="External" /><Relationship Id="rId44" Type="http://schemas.openxmlformats.org/officeDocument/2006/relationships/hyperlink" Target="https://doi.org/10.1177/2048872620922795" TargetMode="External" /><Relationship Id="rId52" Type="http://schemas.openxmlformats.org/officeDocument/2006/relationships/hyperlink" Target="https://pubmed.ncbi.nlm.nih.gov/32437915/" TargetMode="External" /><Relationship Id="rId60" Type="http://schemas.openxmlformats.org/officeDocument/2006/relationships/image" Target="media/image4.jpeg" /><Relationship Id="rId65" Type="http://schemas.openxmlformats.org/officeDocument/2006/relationships/header" Target="header2.xml" /><Relationship Id="rId4" Type="http://schemas.openxmlformats.org/officeDocument/2006/relationships/webSettings" Target="webSettings.xml" /><Relationship Id="rId9" Type="http://schemas.openxmlformats.org/officeDocument/2006/relationships/hyperlink" Target="https://doi.org/10.1037/0021-9010.86.3.499" TargetMode="External" /><Relationship Id="rId14" Type="http://schemas.openxmlformats.org/officeDocument/2006/relationships/hyperlink" Target="https://doi.org/10.1370/afm.1713" TargetMode="External" /><Relationship Id="rId22" Type="http://schemas.openxmlformats.org/officeDocument/2006/relationships/hyperlink" Target="https://workright.campaign.gov.uk/" TargetMode="External" /><Relationship Id="rId27" Type="http://schemas.openxmlformats.org/officeDocument/2006/relationships/hyperlink" Target="https://doi.org/10.1371/journal.pmed.1000097" TargetMode="External" /><Relationship Id="rId30" Type="http://schemas.openxmlformats.org/officeDocument/2006/relationships/hyperlink" Target="https://www.nhsemployers.org/" TargetMode="External" /><Relationship Id="rId35" Type="http://schemas.openxmlformats.org/officeDocument/2006/relationships/hyperlink" Target="https://doi.org/10.1002/job.595" TargetMode="External" /><Relationship Id="rId43" Type="http://schemas.openxmlformats.org/officeDocument/2006/relationships/hyperlink" Target="https://www.winchester.ac.uk/library/skills/skimming-and-scanning" TargetMode="External" /><Relationship Id="rId48" Type="http://schemas.openxmlformats.org/officeDocument/2006/relationships/hyperlink" Target="https://pubmed.ncbi.nlm.nih.gov/30326495/" TargetMode="External" /><Relationship Id="rId56" Type="http://schemas.openxmlformats.org/officeDocument/2006/relationships/hyperlink" Target="https://doi.org/10.1371/journal.pone.0159015" TargetMode="External" /><Relationship Id="rId64" Type="http://schemas.openxmlformats.org/officeDocument/2006/relationships/header" Target="header1.xml" /><Relationship Id="rId69" Type="http://schemas.openxmlformats.org/officeDocument/2006/relationships/footer" Target="footer3.xml" /><Relationship Id="rId8" Type="http://schemas.openxmlformats.org/officeDocument/2006/relationships/hyperlink" Target="https://doi.org/10.5539/jel.v10n3p107" TargetMode="External" /><Relationship Id="rId51" Type="http://schemas.openxmlformats.org/officeDocument/2006/relationships/hyperlink" Target="https://doi.org/10.1016/j.mayocp.2016.10.004" TargetMode="External" /><Relationship Id="rId3" Type="http://schemas.openxmlformats.org/officeDocument/2006/relationships/settings" Target="settings.xml" /><Relationship Id="rId12" Type="http://schemas.openxmlformats.org/officeDocument/2006/relationships/hyperlink" Target="https://doi.org/10.1037/ocp0000056" TargetMode="External" /><Relationship Id="rId17" Type="http://schemas.openxmlformats.org/officeDocument/2006/relationships/hyperlink" Target="https://doi.org/10.1016/S0140-6736(20)30460-8" TargetMode="External" /><Relationship Id="rId25" Type="http://schemas.openxmlformats.org/officeDocument/2006/relationships/hyperlink" Target="https://eprints.bbk.ac.uk/id/eprint/24540/" TargetMode="External" /><Relationship Id="rId33" Type="http://schemas.openxmlformats.org/officeDocument/2006/relationships/hyperlink" Target="https://doi.org/10.1186/s12998-024-00550-3" TargetMode="External" /><Relationship Id="rId38" Type="http://schemas.openxmlformats.org/officeDocument/2006/relationships/hyperlink" Target="https://www.kingsfund.org.uk/insight-and-analysis/long-reads/burnout-belief-reforming-the-nhs" TargetMode="External" /><Relationship Id="rId46" Type="http://schemas.openxmlformats.org/officeDocument/2006/relationships/hyperlink" Target="https://www.who.int/news/item/28-05-2019-burn-out-an-occupational-phenomenon-international-classification-of-diseases" TargetMode="External" /><Relationship Id="rId59" Type="http://schemas.openxmlformats.org/officeDocument/2006/relationships/image" Target="media/image3.jpeg" /><Relationship Id="rId67" Type="http://schemas.openxmlformats.org/officeDocument/2006/relationships/footer" Target="footer2.xml" /><Relationship Id="rId20" Type="http://schemas.openxmlformats.org/officeDocument/2006/relationships/hyperlink" Target="https://doi.org/10.1007/s11606-019-05376-x" TargetMode="External" /><Relationship Id="rId41" Type="http://schemas.openxmlformats.org/officeDocument/2006/relationships/hyperlink" Target="https://libguides.hull.ac.uk/research/evaluation" TargetMode="External" /><Relationship Id="rId54" Type="http://schemas.openxmlformats.org/officeDocument/2006/relationships/hyperlink" Target="https://www.who.int/news-room/fact-sheets/detail/mental-health-at-work" TargetMode="External" /><Relationship Id="rId62" Type="http://schemas.openxmlformats.org/officeDocument/2006/relationships/image" Target="media/image6.jpeg" /><Relationship Id="rId7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558</TotalTime>
  <Pages>58</Pages>
  <Words>16695</Words>
  <Characters>95166</Characters>
  <Application>Microsoft Office Word</Application>
  <DocSecurity>0</DocSecurity>
  <Lines>793</Lines>
  <Paragraphs>223</Paragraphs>
  <ScaleCrop>false</ScaleCrop>
  <Company/>
  <LinksUpToDate>false</LinksUpToDate>
  <CharactersWithSpaces>111638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Nazmin Malik (2242813)</dc:creator>
  <cp:keywords/>
  <dc:description/>
  <cp:lastModifiedBy>Nazmin Malik (2242813)</cp:lastModifiedBy>
  <cp:revision>402</cp:revision>
  <dcterms:created xsi:type="dcterms:W3CDTF">2026-03-15T20:39:00Z</dcterms:created>
  <dcterms:modified xsi:type="dcterms:W3CDTF">2026-04-07T23:16:00Z</dcterms:modified>
</cp:coreProperties>
</file>