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1.</w:t>
      </w:r>
      <w:r>
        <w:rPr>
          <w:rFonts w:hint="eastAsia" w:ascii="Times New Roman" w:hAnsi="Times New Roman" w:eastAsia="宋体" w:cs="Times New Roman"/>
          <w:b/>
          <w:bCs/>
          <w:sz w:val="28"/>
          <w:szCs w:val="28"/>
          <w:lang w:val="en-US" w:eastAsia="zh-CN"/>
        </w:rPr>
        <w:t xml:space="preserve">  </w:t>
      </w:r>
      <w:r>
        <w:rPr>
          <w:rFonts w:hint="default" w:ascii="Times New Roman" w:hAnsi="Times New Roman" w:eastAsia="宋体" w:cs="Times New Roman"/>
          <w:b/>
          <w:bCs/>
          <w:sz w:val="28"/>
          <w:szCs w:val="28"/>
        </w:rPr>
        <w:t>Cybersecurity Law of the People’s Republic of China</w:t>
      </w:r>
      <w:r>
        <w:rPr>
          <w:rFonts w:hint="default" w:ascii="Times New Roman" w:hAnsi="Times New Roman" w:eastAsia="宋体" w:cs="Times New Roman"/>
          <w:b/>
          <w:bCs/>
          <w:sz w:val="28"/>
          <w:szCs w:val="28"/>
          <w:lang w:val="en-US" w:eastAsia="zh-CN"/>
        </w:rPr>
        <w:t>(CLPRC)</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C</w:t>
      </w:r>
      <w:r>
        <w:rPr>
          <w:rFonts w:hint="default" w:ascii="Times New Roman" w:hAnsi="Times New Roman" w:eastAsia="宋体" w:cs="Times New Roman"/>
          <w:sz w:val="24"/>
          <w:szCs w:val="24"/>
          <w:lang w:val="en-US" w:eastAsia="zh-CN"/>
        </w:rPr>
        <w:t>LPRC</w:t>
      </w:r>
      <w:r>
        <w:rPr>
          <w:rFonts w:hint="default" w:ascii="Times New Roman" w:hAnsi="Times New Roman" w:eastAsia="宋体" w:cs="Times New Roman"/>
          <w:sz w:val="24"/>
          <w:szCs w:val="24"/>
        </w:rPr>
        <w:t xml:space="preserve"> covers various aspects such as maintaining cyber sovereignty and strategic planning, ensuring the safety of network products and services, ensuring the safety of network operations, ensuring network data security, ensuring network information security, monitoring and early warning and emergency response, and network security supervision and management systems. Provisions are made for network security work, and systems and mechanisms are proposed to guide network security work.</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The </w:t>
      </w:r>
      <w:r>
        <w:rPr>
          <w:rFonts w:hint="eastAsia" w:ascii="Times New Roman" w:hAnsi="Times New Roman" w:eastAsia="宋体" w:cs="Times New Roman"/>
          <w:sz w:val="24"/>
          <w:szCs w:val="24"/>
          <w:lang w:val="en-US" w:eastAsia="zh-CN"/>
        </w:rPr>
        <w:t xml:space="preserve">purpose </w:t>
      </w:r>
      <w:r>
        <w:rPr>
          <w:rFonts w:hint="default" w:ascii="Times New Roman" w:hAnsi="Times New Roman" w:eastAsia="宋体" w:cs="Times New Roman"/>
          <w:sz w:val="24"/>
          <w:szCs w:val="24"/>
        </w:rPr>
        <w:t>of C</w:t>
      </w:r>
      <w:r>
        <w:rPr>
          <w:rFonts w:hint="default" w:ascii="Times New Roman" w:hAnsi="Times New Roman" w:eastAsia="宋体" w:cs="Times New Roman"/>
          <w:sz w:val="24"/>
          <w:szCs w:val="24"/>
          <w:lang w:val="en-US" w:eastAsia="zh-CN"/>
        </w:rPr>
        <w:t>LPRC</w:t>
      </w:r>
      <w:r>
        <w:rPr>
          <w:rFonts w:hint="default" w:ascii="Times New Roman" w:hAnsi="Times New Roman" w:eastAsia="宋体" w:cs="Times New Roman"/>
          <w:sz w:val="24"/>
          <w:szCs w:val="24"/>
        </w:rPr>
        <w:t xml:space="preserve"> is :</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p>
    <w:p>
      <w:pPr>
        <w:keepNext w:val="0"/>
        <w:keepLines w:val="0"/>
        <w:pageBreakBefore w:val="0"/>
        <w:widowControl w:val="0"/>
        <w:numPr>
          <w:ilvl w:val="0"/>
          <w:numId w:val="1"/>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Top-level network security design.</w:t>
      </w:r>
      <w:r>
        <w:rPr>
          <w:rFonts w:hint="eastAsia" w:ascii="Times New Roman" w:hAnsi="Times New Roman" w:eastAsia="宋体" w:cs="Times New Roman"/>
          <w:b/>
          <w:bCs/>
          <w:sz w:val="24"/>
          <w:szCs w:val="24"/>
          <w:lang w:val="en-US" w:eastAsia="zh-CN"/>
        </w:rPr>
        <w:t xml:space="preserve"> </w:t>
      </w:r>
      <w:r>
        <w:rPr>
          <w:rFonts w:hint="default" w:ascii="Times New Roman" w:hAnsi="Times New Roman" w:eastAsia="宋体" w:cs="Times New Roman"/>
          <w:b w:val="0"/>
          <w:bCs w:val="0"/>
          <w:sz w:val="24"/>
          <w:szCs w:val="24"/>
        </w:rPr>
        <w:t>The competent authorities of the industry and other relevant departments shall formulate cybersecurity plans for</w:t>
      </w:r>
      <w:r>
        <w:rPr>
          <w:rFonts w:hint="default" w:ascii="Times New Roman" w:hAnsi="Times New Roman" w:eastAsia="宋体" w:cs="Times New Roman"/>
          <w:b w:val="0"/>
          <w:bCs w:val="0"/>
          <w:sz w:val="24"/>
          <w:szCs w:val="24"/>
          <w:lang w:val="en-US" w:eastAsia="zh-CN"/>
        </w:rPr>
        <w:t xml:space="preserve"> main </w:t>
      </w:r>
      <w:r>
        <w:rPr>
          <w:rFonts w:hint="default" w:ascii="Times New Roman" w:hAnsi="Times New Roman" w:eastAsia="宋体" w:cs="Times New Roman"/>
          <w:b w:val="0"/>
          <w:bCs w:val="0"/>
          <w:sz w:val="24"/>
          <w:szCs w:val="24"/>
        </w:rPr>
        <w:t>industries and important areas in accordance with the national security strategy to ensure the implementation of the strategy</w:t>
      </w:r>
      <w:r>
        <w:rPr>
          <w:rFonts w:hint="default" w:ascii="Times New Roman" w:hAnsi="Times New Roman" w:eastAsia="宋体" w:cs="Times New Roman"/>
          <w:b w:val="0"/>
          <w:bCs w:val="0"/>
          <w:position w:val="-4"/>
          <w:sz w:val="24"/>
          <w:szCs w:val="24"/>
        </w:rPr>
        <w:object>
          <v:shape id="_x0000_i1025" o:spt="75" type="#_x0000_t75" style="height:15pt;width:11pt;" o:ole="t" filled="f" o:preferrelative="t" stroked="f" coordsize="21600,21600">
            <v:fill on="f" focussize="0,0"/>
            <v:stroke on="f"/>
            <v:imagedata r:id="rId5" o:title=""/>
            <o:lock v:ext="edit" aspectratio="t"/>
            <w10:wrap type="none"/>
            <w10:anchorlock/>
          </v:shape>
          <o:OLEObject Type="Embed" ProgID="Equation.KSEE3" ShapeID="_x0000_i1025" DrawAspect="Content" ObjectID="_1468075725" r:id="rId4">
            <o:LockedField>false</o:LockedField>
          </o:OLEObject>
        </w:object>
      </w:r>
      <w:r>
        <w:rPr>
          <w:rFonts w:hint="default" w:ascii="Times New Roman" w:hAnsi="Times New Roman" w:eastAsia="宋体" w:cs="Times New Roman"/>
          <w:b w:val="0"/>
          <w:bCs w:val="0"/>
          <w:sz w:val="24"/>
          <w:szCs w:val="24"/>
        </w:rPr>
        <w:t>.</w:t>
      </w:r>
    </w:p>
    <w:p>
      <w:pPr>
        <w:keepNext w:val="0"/>
        <w:keepLines w:val="0"/>
        <w:pageBreakBefore w:val="0"/>
        <w:widowControl w:val="0"/>
        <w:numPr>
          <w:ilvl w:val="0"/>
          <w:numId w:val="1"/>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b/>
          <w:bCs/>
          <w:sz w:val="24"/>
          <w:szCs w:val="24"/>
        </w:rPr>
        <w:t>Critical information infrastructure security.</w:t>
      </w:r>
      <w:r>
        <w:rPr>
          <w:rFonts w:hint="eastAsia" w:ascii="Times New Roman" w:hAnsi="Times New Roman" w:eastAsia="宋体" w:cs="Times New Roman"/>
          <w:b/>
          <w:bCs/>
          <w:sz w:val="24"/>
          <w:szCs w:val="24"/>
          <w:lang w:val="en-US" w:eastAsia="zh-CN"/>
        </w:rPr>
        <w:t xml:space="preserve"> </w:t>
      </w:r>
      <w:r>
        <w:rPr>
          <w:rFonts w:hint="default" w:ascii="Times New Roman" w:hAnsi="Times New Roman" w:eastAsia="宋体" w:cs="Times New Roman"/>
          <w:sz w:val="24"/>
          <w:szCs w:val="24"/>
        </w:rPr>
        <w:t>For key information infrastructure operators purchasing information technology products or services that may affect national security, they shall pass a security review. Critical information infrastructure stores important data such as citizens’ personal information collected and generated during operations within the country, and security assessments are required when storing or processing them outside the country.</w:t>
      </w:r>
    </w:p>
    <w:p>
      <w:pPr>
        <w:keepNext w:val="0"/>
        <w:keepLines w:val="0"/>
        <w:pageBreakBefore w:val="0"/>
        <w:widowControl w:val="0"/>
        <w:numPr>
          <w:ilvl w:val="0"/>
          <w:numId w:val="1"/>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b/>
          <w:bCs/>
          <w:sz w:val="24"/>
          <w:szCs w:val="24"/>
        </w:rPr>
        <w:t>Citizens’ personal information is safe</w:t>
      </w:r>
      <w:r>
        <w:rPr>
          <w:rFonts w:hint="default" w:ascii="Times New Roman" w:hAnsi="Times New Roman" w:eastAsia="宋体" w:cs="Times New Roman"/>
          <w:sz w:val="24"/>
          <w:szCs w:val="24"/>
        </w:rPr>
        <w:t>. It is proposed that network operators should establish and improve user information protection systems and strengthen the protection of users’ personal information. The collection and use of citizens’ personal information by network operators shall follow the principles of lawfulness, fairness, and necessity, with the consent of the person being collected.</w:t>
      </w:r>
    </w:p>
    <w:p>
      <w:pPr>
        <w:keepNext w:val="0"/>
        <w:keepLines w:val="0"/>
        <w:pageBreakBefore w:val="0"/>
        <w:widowControl w:val="0"/>
        <w:numPr>
          <w:ilvl w:val="0"/>
          <w:numId w:val="1"/>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 xml:space="preserve">The fundamental role of standards in network security. </w:t>
      </w:r>
      <w:r>
        <w:rPr>
          <w:rFonts w:hint="default" w:ascii="Times New Roman" w:hAnsi="Times New Roman" w:eastAsia="宋体" w:cs="Times New Roman"/>
          <w:b w:val="0"/>
          <w:bCs w:val="0"/>
          <w:sz w:val="24"/>
          <w:szCs w:val="24"/>
        </w:rPr>
        <w:t>Actively carry out international exchanges and cooperation on network technology standards.</w:t>
      </w:r>
    </w:p>
    <w:p>
      <w:pPr>
        <w:keepNext w:val="0"/>
        <w:keepLines w:val="0"/>
        <w:pageBreakBefore w:val="0"/>
        <w:widowControl w:val="0"/>
        <w:numPr>
          <w:ilvl w:val="0"/>
          <w:numId w:val="1"/>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b w:val="0"/>
          <w:bCs w:val="0"/>
          <w:sz w:val="24"/>
          <w:szCs w:val="24"/>
        </w:rPr>
      </w:pPr>
      <w:r>
        <w:rPr>
          <w:rFonts w:hint="default" w:ascii="Times New Roman" w:hAnsi="Times New Roman" w:eastAsia="宋体" w:cs="Times New Roman"/>
          <w:b/>
          <w:bCs/>
          <w:sz w:val="24"/>
          <w:szCs w:val="24"/>
        </w:rPr>
        <w:t xml:space="preserve">Monitoring, early warning and emergency response. </w:t>
      </w:r>
      <w:r>
        <w:rPr>
          <w:rFonts w:hint="default" w:ascii="Times New Roman" w:hAnsi="Times New Roman" w:eastAsia="宋体" w:cs="Times New Roman"/>
          <w:b w:val="0"/>
          <w:bCs w:val="0"/>
          <w:sz w:val="24"/>
          <w:szCs w:val="24"/>
        </w:rPr>
        <w:t>Monitor the occurrence and development of network security incidents, and collect and report relevant information in a timely manner.</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2.</w:t>
      </w:r>
      <w:r>
        <w:rPr>
          <w:rFonts w:hint="eastAsia" w:ascii="Times New Roman" w:hAnsi="Times New Roman" w:eastAsia="宋体" w:cs="Times New Roman"/>
          <w:b/>
          <w:bCs/>
          <w:sz w:val="28"/>
          <w:szCs w:val="28"/>
          <w:lang w:val="en-US" w:eastAsia="zh-CN"/>
        </w:rPr>
        <w:t xml:space="preserve">  </w:t>
      </w:r>
      <w:r>
        <w:rPr>
          <w:rFonts w:hint="default" w:ascii="Times New Roman" w:hAnsi="Times New Roman" w:eastAsia="宋体" w:cs="Times New Roman"/>
          <w:b/>
          <w:bCs/>
          <w:sz w:val="28"/>
          <w:szCs w:val="28"/>
          <w:lang w:val="en-US" w:eastAsia="zh-CN"/>
        </w:rPr>
        <w:t>ITIL</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Implementing ITIL can achieve many good benefits, such as integrating IT and enterprise business needs, improving IT service quality, and reducing IT service provision and support costs. In addition, ITIL also contains a set of specific safety management procedures to directly or indirectly assist enterprises in safety management. There are many methods in ITIL that can improve the level of departmental implementation and management of information security. As follows: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ITIL has always paid attention to information security business and services. In the past, the information security system was often regarded as a department’s “cost center” or a “stumbling block” to business operations. With ITIL, business process parties and IT departments can negotiate information security services together, which ensures the integration of services and business needs</w:t>
      </w:r>
      <w:r>
        <w:rPr>
          <w:rFonts w:hint="default" w:ascii="Times New Roman" w:hAnsi="Times New Roman" w:eastAsia="宋体" w:cs="Times New Roman"/>
          <w:position w:val="-4"/>
          <w:sz w:val="24"/>
          <w:szCs w:val="24"/>
          <w:lang w:val="en-US" w:eastAsia="zh-CN"/>
        </w:rPr>
        <w:object>
          <v:shape id="_x0000_i1026" o:spt="75" type="#_x0000_t75" style="height:16pt;width:12pt;" o:ole="t" filled="f" o:preferrelative="t" stroked="f" coordsize="21600,21600">
            <v:fill on="f" focussize="0,0"/>
            <v:stroke on="f"/>
            <v:imagedata r:id="rId7" o:title=""/>
            <o:lock v:ext="edit" aspectratio="t"/>
            <w10:wrap type="none"/>
            <w10:anchorlock/>
          </v:shape>
          <o:OLEObject Type="Embed" ProgID="Equation.KSEE3" ShapeID="_x0000_i1026" DrawAspect="Content" ObjectID="_1468075726" r:id="rId6">
            <o:LockedField>false</o:LockedField>
          </o:OLEObject>
        </w:objec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According to ITIL, IT departments can develop and implement information security processes in a clearly structured way based on best practices. IT staff can also transform from the previous "fire fighting" model into a well-organized, calm and orderly way of action.</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order to continuously detect, ITIL helps to ensure that information security indicators remain effective even when requirements, environments, and threats change.</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ITIL ensures that processes and standard documents (such as SLA and OLA) can be audited and monitored. This helps the department understand the effectiveness of its information security project implementation and at the same time comply with system requirements.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ITIL is the foundation of information security. It requires a series of best practices, such as change management, configuration management and incident management support. These practices can greatly improve information security. For example, a considerable number of information security issues are caused by inadequate change management, such as server configuration errors</w:t>
      </w:r>
      <w:r>
        <w:rPr>
          <w:rFonts w:hint="default" w:ascii="Times New Roman" w:hAnsi="Times New Roman" w:eastAsia="宋体" w:cs="Times New Roman"/>
          <w:position w:val="-4"/>
          <w:sz w:val="24"/>
          <w:szCs w:val="24"/>
          <w:lang w:val="en-US" w:eastAsia="zh-CN"/>
        </w:rPr>
        <w:object>
          <v:shape id="_x0000_i1027" o:spt="75" type="#_x0000_t75" style="height:15pt;width:12pt;" o:ole="t" filled="f" o:preferrelative="t" stroked="f" coordsize="21600,21600">
            <v:fill on="f" focussize="0,0"/>
            <v:stroke on="f"/>
            <v:imagedata r:id="rId9" o:title=""/>
            <o:lock v:ext="edit" aspectratio="t"/>
            <w10:wrap type="none"/>
            <w10:anchorlock/>
          </v:shape>
          <o:OLEObject Type="Embed" ProgID="Equation.KSEE3" ShapeID="_x0000_i1027" DrawAspect="Content" ObjectID="_1468075727" r:id="rId8">
            <o:LockedField>false</o:LockedField>
          </o:OLEObject>
        </w:objec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ITIL enables information security employees to discuss information security issues in terms that other departments can understand and appreciate. Many managers do not understand what encryption or firewall rules are, but they may understand some concepts in ITIL and apply them to actual process operations to solve problems, improve service quality, and maintain SLAs. ITIL helps managers understand that information security is the core factor for the successful and efficient operation of the department.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ITIL framework is conducive to the steady and orderly implementation of information security indicators. ITIL requires the design and development of consistent and measurable information security indicators in the service, not an afterthought. This saves a lot of time, money and labor to a certain extent.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reports required in ITIL can enable the management to know the effectiveness of the department's information security indicators and make reasonable decisions about the department's existing risks</w:t>
      </w:r>
      <w:r>
        <w:rPr>
          <w:rFonts w:hint="default" w:ascii="Times New Roman" w:hAnsi="Times New Roman" w:eastAsia="宋体" w:cs="Times New Roman"/>
          <w:position w:val="-4"/>
          <w:sz w:val="24"/>
          <w:szCs w:val="24"/>
          <w:lang w:val="en-US" w:eastAsia="zh-CN"/>
        </w:rPr>
        <w:object>
          <v:shape id="_x0000_i1028" o:spt="75" type="#_x0000_t75" style="height:15pt;width:12pt;" o:ole="t" filled="f" o:preferrelative="t" stroked="f" coordsize="21600,21600">
            <v:fill on="f" focussize="0,0"/>
            <v:stroke on="f"/>
            <v:imagedata r:id="rId11" o:title=""/>
            <o:lock v:ext="edit" aspectratio="t"/>
            <w10:wrap type="none"/>
            <w10:anchorlock/>
          </v:shape>
          <o:OLEObject Type="Embed" ProgID="Equation.KSEE3" ShapeID="_x0000_i1028" DrawAspect="Content" ObjectID="_1468075728" r:id="rId10">
            <o:LockedField>false</o:LockedField>
          </o:OLEObject>
        </w:objec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ITIL requires the definition of personnel roles and responsibilities, so that when an accident occurs, you know who is responsible and how to deal with it.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val="en-US" w:eastAsia="zh-CN"/>
        </w:rPr>
        <w:t>ITIL has developed a set of common language related to information security. This allows information security employees to communicate effectively with internal and external business partners. For example, the department outsources security services.</w:t>
      </w: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3.</w:t>
      </w:r>
      <w:r>
        <w:rPr>
          <w:rFonts w:hint="eastAsia" w:ascii="Times New Roman" w:hAnsi="Times New Roman" w:eastAsia="宋体" w:cs="Times New Roman"/>
          <w:b/>
          <w:bCs/>
          <w:sz w:val="28"/>
          <w:szCs w:val="28"/>
          <w:lang w:val="en-US" w:eastAsia="zh-CN"/>
        </w:rPr>
        <w:t xml:space="preserve">  </w:t>
      </w:r>
      <w:r>
        <w:rPr>
          <w:rFonts w:hint="default" w:ascii="Times New Roman" w:hAnsi="Times New Roman" w:eastAsia="宋体" w:cs="Times New Roman"/>
          <w:b/>
          <w:bCs/>
          <w:sz w:val="28"/>
          <w:szCs w:val="28"/>
          <w:lang w:val="en-US" w:eastAsia="zh-CN"/>
        </w:rPr>
        <w:t>General Data Protection Regulation (GDPR)</w:t>
      </w:r>
    </w:p>
    <w:p>
      <w:pPr>
        <w:keepNext w:val="0"/>
        <w:keepLines w:val="0"/>
        <w:pageBreakBefore w:val="0"/>
        <w:widowControl w:val="0"/>
        <w:shd w:val="clear"/>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color w:val="0000FF"/>
          <w:sz w:val="24"/>
          <w:szCs w:val="24"/>
          <w:shd w:val="clear" w:fill="5B9BD5" w:themeFill="accent1"/>
          <w:lang w:eastAsia="zh-CN"/>
        </w:rPr>
      </w:pPr>
      <w:r>
        <w:rPr>
          <w:rFonts w:hint="default" w:ascii="Times New Roman" w:hAnsi="Times New Roman" w:eastAsia="宋体" w:cs="Times New Roman"/>
          <w:sz w:val="24"/>
          <w:szCs w:val="24"/>
          <w:lang w:eastAsia="zh-CN"/>
        </w:rPr>
        <w:t xml:space="preserve">The implementation of the GDPR has established the EU's global influence in big data protection. Although the </w:t>
      </w:r>
      <w:r>
        <w:rPr>
          <w:rFonts w:hint="eastAsia" w:ascii="Times New Roman" w:hAnsi="Times New Roman" w:eastAsia="宋体" w:cs="Times New Roman"/>
          <w:sz w:val="24"/>
          <w:szCs w:val="24"/>
          <w:lang w:eastAsia="zh-CN"/>
        </w:rPr>
        <w:t>GDPR</w:t>
      </w:r>
      <w:r>
        <w:rPr>
          <w:rFonts w:hint="default" w:ascii="Times New Roman" w:hAnsi="Times New Roman" w:eastAsia="宋体" w:cs="Times New Roman"/>
          <w:sz w:val="24"/>
          <w:szCs w:val="24"/>
          <w:lang w:eastAsia="zh-CN"/>
        </w:rPr>
        <w:t xml:space="preserve"> is only implemented within the EU, it has produced extraterritorial effects, and its influence is not only It is only limited to having an impact on the big data legislation of countries such as Japan, Australia, and New Zealand</w:t>
      </w:r>
      <w:r>
        <w:rPr>
          <w:rFonts w:hint="default" w:ascii="Times New Roman" w:hAnsi="Times New Roman" w:eastAsia="宋体" w:cs="Times New Roman"/>
          <w:position w:val="-4"/>
          <w:sz w:val="24"/>
          <w:szCs w:val="24"/>
          <w:lang w:eastAsia="zh-CN"/>
        </w:rPr>
        <w:object>
          <v:shape id="_x0000_i1029" o:spt="75" type="#_x0000_t75" style="height:15pt;width:12pt;" o:ole="t" filled="f" o:preferrelative="t" stroked="f" coordsize="21600,21600">
            <v:fill on="f" focussize="0,0"/>
            <v:stroke on="f"/>
            <v:imagedata r:id="rId13" o:title=""/>
            <o:lock v:ext="edit" aspectratio="t"/>
            <w10:wrap type="none"/>
            <w10:anchorlock/>
          </v:shape>
          <o:OLEObject Type="Embed" ProgID="Equation.KSEE3" ShapeID="_x0000_i1029" DrawAspect="Content" ObjectID="_1468075729" r:id="rId12">
            <o:LockedField>false</o:LockedField>
          </o:OLEObject>
        </w:object>
      </w:r>
      <w:r>
        <w:rPr>
          <w:rFonts w:hint="default" w:ascii="Times New Roman" w:hAnsi="Times New Roman" w:eastAsia="宋体" w:cs="Times New Roman"/>
          <w:sz w:val="24"/>
          <w:szCs w:val="24"/>
          <w:lang w:eastAsia="zh-CN"/>
        </w:rPr>
        <w:t xml:space="preserve">. It also indirectly forms a big data protection circle between countries. For example, the European Union has established the The world's largest free trade zone, the EU-Japan free trade zone, covers more than 600 million people worldwide. The above is a summary of the core points of the GDPR. Compared with the data protection rules previously promulgated by the EU, </w:t>
      </w:r>
      <w:r>
        <w:rPr>
          <w:rFonts w:hint="default" w:ascii="Times New Roman" w:hAnsi="Times New Roman" w:eastAsia="宋体" w:cs="Times New Roman"/>
          <w:color w:val="auto"/>
          <w:sz w:val="24"/>
          <w:szCs w:val="24"/>
          <w:shd w:val="clear" w:color="FFFFFF"/>
          <w:lang w:eastAsia="zh-CN"/>
        </w:rPr>
        <w:t xml:space="preserve">its main features can be summarized in </w:t>
      </w:r>
      <w:r>
        <w:rPr>
          <w:rFonts w:hint="eastAsia" w:ascii="Times New Roman" w:hAnsi="Times New Roman" w:eastAsia="宋体" w:cs="Times New Roman"/>
          <w:color w:val="auto"/>
          <w:sz w:val="24"/>
          <w:szCs w:val="24"/>
          <w:shd w:val="clear" w:color="FFFFFF"/>
          <w:lang w:val="en-US" w:eastAsia="zh-CN"/>
        </w:rPr>
        <w:t>four</w:t>
      </w:r>
      <w:r>
        <w:rPr>
          <w:rFonts w:hint="default" w:ascii="Times New Roman" w:hAnsi="Times New Roman" w:eastAsia="宋体" w:cs="Times New Roman"/>
          <w:color w:val="auto"/>
          <w:sz w:val="24"/>
          <w:szCs w:val="24"/>
          <w:shd w:val="clear" w:color="FFFFFF"/>
          <w:lang w:eastAsia="zh-CN"/>
        </w:rPr>
        <w:t xml:space="preserve"> aspects.</w:t>
      </w:r>
    </w:p>
    <w:p>
      <w:pPr>
        <w:keepNext w:val="0"/>
        <w:keepLines w:val="0"/>
        <w:pageBreakBefore w:val="0"/>
        <w:widowControl w:val="0"/>
        <w:shd w:val="clear"/>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color w:val="0000FF"/>
          <w:sz w:val="24"/>
          <w:szCs w:val="24"/>
          <w:lang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 xml:space="preserve">The GDPR has stronger enforcement of data protection. The European Union has also introduced a one-stop supervision model, that is, the data supervisory authority is determined according to the country where the company is located, and the local data protection authority has unified jurisdiction. It unifies the EU data specifications and strengthens the enforcement of the </w:t>
      </w:r>
      <w:r>
        <w:rPr>
          <w:rFonts w:hint="eastAsia" w:ascii="Times New Roman" w:hAnsi="Times New Roman" w:eastAsia="宋体" w:cs="Times New Roman"/>
          <w:sz w:val="24"/>
          <w:szCs w:val="24"/>
          <w:lang w:eastAsia="zh-CN"/>
        </w:rPr>
        <w:t>GDPR</w:t>
      </w:r>
      <w:r>
        <w:rPr>
          <w:rFonts w:hint="default" w:ascii="Times New Roman" w:hAnsi="Times New Roman" w:eastAsia="宋体" w:cs="Times New Roman"/>
          <w:sz w:val="24"/>
          <w:szCs w:val="24"/>
          <w:lang w:eastAsia="zh-CN"/>
        </w:rPr>
        <w:t xml:space="preserve">. </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eastAsia" w:ascii="Times New Roman" w:hAnsi="Times New Roman" w:eastAsia="宋体" w:cs="Times New Roman"/>
          <w:sz w:val="24"/>
          <w:szCs w:val="24"/>
          <w:lang w:val="en-US" w:eastAsia="zh-CN"/>
        </w:rPr>
        <w:t>The EU data jurisdiction which is the extraterritorial effect of the law have been further expanded.</w:t>
      </w:r>
      <w:r>
        <w:rPr>
          <w:rFonts w:hint="default" w:ascii="Times New Roman" w:hAnsi="Times New Roman" w:eastAsia="宋体" w:cs="Times New Roman"/>
          <w:sz w:val="24"/>
          <w:szCs w:val="24"/>
          <w:lang w:eastAsia="zh-CN"/>
        </w:rPr>
        <w:t>Regarding the free flow of cross-border data, jurisdiction is the core. Controlling jurisdiction to a certain extent can control the rules of data flow. The traditional thinking of data jurisdiction is statically delineated based on geographic location, while GDPR Data jurisdiction in China has been upgraded</w:t>
      </w:r>
      <w:r>
        <w:rPr>
          <w:rFonts w:hint="default" w:ascii="Times New Roman" w:hAnsi="Times New Roman" w:eastAsia="宋体" w:cs="Times New Roman"/>
          <w:position w:val="-4"/>
          <w:sz w:val="24"/>
          <w:szCs w:val="24"/>
          <w:lang w:eastAsia="zh-CN"/>
        </w:rPr>
        <w:object>
          <v:shape id="_x0000_i1030" o:spt="75" type="#_x0000_t75" style="height:15pt;width:12pt;" o:ole="t" filled="f" o:preferrelative="t" stroked="f" coordsize="21600,21600">
            <v:fill on="f" focussize="0,0"/>
            <v:stroke on="f"/>
            <v:imagedata r:id="rId15" o:title=""/>
            <o:lock v:ext="edit" aspectratio="t"/>
            <w10:wrap type="none"/>
            <w10:anchorlock/>
          </v:shape>
          <o:OLEObject Type="Embed" ProgID="Equation.KSEE3" ShapeID="_x0000_i1030" DrawAspect="Content" ObjectID="_1468075730" r:id="rId14">
            <o:LockedField>false</o:LockedField>
          </o:OLEObject>
        </w:object>
      </w:r>
      <w:r>
        <w:rPr>
          <w:rFonts w:hint="default" w:ascii="Times New Roman" w:hAnsi="Times New Roman" w:eastAsia="宋体" w:cs="Times New Roman"/>
          <w:sz w:val="24"/>
          <w:szCs w:val="24"/>
          <w:lang w:eastAsia="zh-CN"/>
        </w:rPr>
        <w:t>. By weakening the restrictions on the geographical jurisdiction of data, dynamic data management and processing are the core concerns of jurisdiction. As long as EU personal data is involved, EU GDPR should be complied with. Such jurisdiction is in In the future, as the EU's strength increases, it will continue to expand.</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lang w:eastAsia="zh-CN"/>
        </w:rPr>
        <w:t>ombine data protection with the development of the digital economy, but focus more on data protection. This kind of value orientation is mainly determined based on two factors. First of all, the EU's digital economy and data industry have not reached a highly developed state, far behind China and the United States. Therefore, the EU is more on the data demand side to legislate and regulate the market. Second, the EU’s tradition of data protection and the human rights protection mechanism established therefrom have made the EU put data security first. Based on this background, I think the EU's legislative thinking is more focused on data protection.</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eastAsia="zh-CN"/>
        </w:rPr>
        <w:t>he technical neutrality is emphasized in the setting of rules, but the actual situation is questionable. In this era of rapid change, the speed of technological development is much faster than that of legislation. Therefore, GDPR emphasizes more on technological neutrality, so as to avoid loopholes in rules or laws that affect technological development due to technological innovation, but this guideline Whether it can be realized is worth exploring. For example, in GDPR, according to the right to data portability, users have independent decision-making on data, and data can be transferred among multiple companies, but such behavior itself actually violates the law of technological development, because big data requires long-term data accumulation and Deep learning can develop better. When such a choice is made, it has violated the original intention of technology neutrality. </w:t>
      </w: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4.</w:t>
      </w:r>
      <w:r>
        <w:rPr>
          <w:rFonts w:hint="eastAsia" w:ascii="Times New Roman" w:hAnsi="Times New Roman" w:eastAsia="宋体" w:cs="Times New Roman"/>
          <w:b/>
          <w:bCs/>
          <w:sz w:val="28"/>
          <w:szCs w:val="28"/>
          <w:lang w:val="en-US" w:eastAsia="zh-CN"/>
        </w:rPr>
        <w:t xml:space="preserve">  </w:t>
      </w:r>
      <w:r>
        <w:rPr>
          <w:rFonts w:hint="default" w:ascii="Times New Roman" w:hAnsi="Times New Roman" w:eastAsia="宋体" w:cs="Times New Roman"/>
          <w:b/>
          <w:bCs/>
          <w:sz w:val="28"/>
          <w:szCs w:val="28"/>
          <w:lang w:val="en-US" w:eastAsia="zh-CN"/>
        </w:rPr>
        <w:t>ISO27000</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ISO27000 standard is a reference management model for establishing and maintaining an information security management system. The ISO27000 standard has better relevance and logic, and is more suitable for application. In order to realize the information security management system, the enterprise should implement the theory in the entire process of building an information security management system, such as: understanding information security needs through risk assessment is a plan Work in the phase, and then design a solution according to the needs; putting the solution into realization is the work of the implementation phase</w:t>
      </w:r>
      <w:r>
        <w:rPr>
          <w:rFonts w:hint="eastAsia"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ISO27001 is the main standard in the ISO27000 series, and it is also the current international representative information security management system standard. It can provide guidance for the company's information security management. The standard redefines the requirements for an information security management system and aims to help companies ensure that there are sufficient and targeted security control options</w:t>
      </w:r>
      <w:r>
        <w:rPr>
          <w:rFonts w:hint="default" w:ascii="Times New Roman" w:hAnsi="Times New Roman" w:eastAsia="宋体" w:cs="Times New Roman"/>
          <w:position w:val="-4"/>
          <w:sz w:val="24"/>
          <w:szCs w:val="24"/>
          <w:lang w:val="en-US" w:eastAsia="zh-CN"/>
        </w:rPr>
        <w:object>
          <v:shape id="_x0000_i1031" o:spt="75" type="#_x0000_t75" style="height:15pt;width:12pt;" o:ole="t" filled="f" o:preferrelative="t" stroked="f" coordsize="21600,21600">
            <v:fill on="f" focussize="0,0"/>
            <v:stroke on="f"/>
            <v:imagedata r:id="rId17" o:title=""/>
            <o:lock v:ext="edit" aspectratio="t"/>
            <w10:wrap type="none"/>
            <w10:anchorlock/>
          </v:shape>
          <o:OLEObject Type="Embed" ProgID="Equation.KSEE3" ShapeID="_x0000_i1031" DrawAspect="Content" ObjectID="_1468075731" r:id="rId16">
            <o:LockedField>false</o:LockedField>
          </o:OLEObject>
        </w:object>
      </w:r>
      <w:r>
        <w:rPr>
          <w:rFonts w:hint="default" w:ascii="Times New Roman" w:hAnsi="Times New Roman" w:eastAsia="宋体" w:cs="Times New Roman"/>
          <w:sz w:val="24"/>
          <w:szCs w:val="24"/>
          <w:lang w:val="en-US" w:eastAsia="zh-CN"/>
        </w:rPr>
        <w:t>. Through its application, companies can further standardize related information security management and improve the level of information security risk protection.</w:t>
      </w: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 xml:space="preserve">5.  </w:t>
      </w:r>
      <w:r>
        <w:rPr>
          <w:rFonts w:hint="default" w:ascii="Times New Roman" w:hAnsi="Times New Roman" w:eastAsia="宋体" w:cs="Times New Roman"/>
          <w:b/>
          <w:bCs/>
          <w:sz w:val="28"/>
          <w:szCs w:val="28"/>
          <w:lang w:val="en-US" w:eastAsia="zh-CN"/>
        </w:rPr>
        <w:t>Standard review</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Based on the above standards, we will briefly compare and evaluate the standards here:</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ISO27000 is the best embodiment that focuses on management concepts. Compared with BS7799, ITIL focuses more on the evaluation of the technical indicators of systems and products. It is not as good as ISO2700 in terms of the comprehensiveness and integrity of security management requirements in terms of daily security management of information systems. The status is that ISO27000, which cannot be replaced by other standards, covers all aspects of security management that should be involved, comprehensive and operability, and provides a continuously improved information security management environment, but it is not as thorough as ITIL's system in terms of security technology.</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GDPR is a relatively comprehensive data protection legislation, and it is not limited to data security protection. The content related to data security protection mainly includes two aspects. First of all, the EU GDPR stipulates four basic principles related to data security. Secondly, based on the above principles, GDPR stipulates the specific obligations of data controllers and processors. In addition, GDPR has brought conflicts between data security protection and the development and utilization of new technologies. With the rapid development of data processing technology, the application of some new technologies will inevitably conflict with the obligations stipulated in the regulations. For example, the blockchain requires all information and data to be recorded, which conflicts with GDPR's data minimization and other provisions. The GDPR's high standards for data security protection often limit the development and utilization of new technologies by enterprises, and also directly impact the Internet business model of obtaining customer personal data with free services to push accurate advertising, and directly affect Internet business operations in the European Union. GDPR also imposes certain constraints on the development of big data and artificial intelligence technologies that rely heavily on large-scale data resources.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val="en-US" w:eastAsia="zh-CN"/>
        </w:rPr>
        <w:t>China's standard system basically adopts equivalent methods to learn from foreign standards.</w:t>
      </w: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default"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6</w:t>
      </w:r>
      <w:r>
        <w:rPr>
          <w:rFonts w:hint="default" w:ascii="Times New Roman" w:hAnsi="Times New Roman" w:eastAsia="宋体" w:cs="Times New Roman"/>
          <w:b/>
          <w:bCs/>
          <w:sz w:val="28"/>
          <w:szCs w:val="28"/>
          <w:lang w:val="en-US" w:eastAsia="zh-CN"/>
        </w:rPr>
        <w:t>.</w:t>
      </w:r>
      <w:r>
        <w:rPr>
          <w:rFonts w:hint="eastAsia" w:ascii="Times New Roman" w:hAnsi="Times New Roman" w:eastAsia="宋体" w:cs="Times New Roman"/>
          <w:b/>
          <w:bCs/>
          <w:sz w:val="28"/>
          <w:szCs w:val="28"/>
          <w:lang w:val="en-US" w:eastAsia="zh-CN"/>
        </w:rPr>
        <w:t xml:space="preserve"> </w:t>
      </w:r>
      <w:r>
        <w:rPr>
          <w:rFonts w:hint="default" w:ascii="Times New Roman" w:hAnsi="Times New Roman" w:eastAsia="宋体" w:cs="Times New Roman"/>
          <w:b/>
          <w:bCs/>
          <w:sz w:val="28"/>
          <w:szCs w:val="28"/>
          <w:lang w:val="en-US" w:eastAsia="zh-CN"/>
        </w:rPr>
        <w:t xml:space="preserve"> CoffeeBlue security policy design</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.1 Status Quo of Information Security</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Because CoffeeBlue does not have a unified management, there are big loopholes in the information security related to intellectual property rights. In addition, due to the random use of personal devices, the company's data can be accessed through the wireless network at will, so the confidentiality of electronic documents cannot be guaranteed. This is also a major issue that the company's information security needs to solve.</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.2 Analysis of Information Security Issues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 Lack of information security system</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No relevant information security system has been issued to ensure the information security of the enterprise, promote the implementation of information security, and restrict the management and users.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Information leakage through multiple channels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val="en-US" w:eastAsia="zh-CN"/>
        </w:rPr>
        <w:t>Important enterprise information leaks to the outside of the enterprise through a variety of channels (personal equipment, cloud service providers, etc.) and is used at will.</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.3 General requirements for information security</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By summarizing and analyzing the status quo and problem analysis of the company’s information security, combined with the company’s strategic development, the company needs to implement the construction of an information security management system and utilize various information security technologies to ultimately meet the overall needs of the company’s information security:</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Protect corporate information from various threats. Protect the information of all information systems within the company and reduce various internal and external threats;</w:t>
      </w:r>
    </w:p>
    <w:p>
      <w:pPr>
        <w:keepNext w:val="0"/>
        <w:keepLines w:val="0"/>
        <w:pageBreakBefore w:val="0"/>
        <w:widowControl w:val="0"/>
        <w:numPr>
          <w:ilvl w:val="0"/>
          <w:numId w:val="2"/>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Minimization of business risks in business operations. Avoid business risks that may be caused by information system accidents and reduce the leakage of business secrets;</w:t>
      </w:r>
    </w:p>
    <w:p>
      <w:pPr>
        <w:keepNext w:val="0"/>
        <w:keepLines w:val="0"/>
        <w:pageBreakBefore w:val="0"/>
        <w:widowControl w:val="0"/>
        <w:numPr>
          <w:ilvl w:val="0"/>
          <w:numId w:val="2"/>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b w:val="0"/>
          <w:bCs w:val="0"/>
          <w:sz w:val="24"/>
          <w:szCs w:val="24"/>
          <w:lang w:eastAsia="zh-CN"/>
        </w:rPr>
      </w:pPr>
      <w:r>
        <w:rPr>
          <w:rFonts w:hint="default" w:ascii="Times New Roman" w:hAnsi="Times New Roman" w:eastAsia="宋体" w:cs="Times New Roman"/>
          <w:b w:val="0"/>
          <w:bCs w:val="0"/>
          <w:sz w:val="24"/>
          <w:szCs w:val="24"/>
          <w:lang w:eastAsia="zh-CN"/>
        </w:rPr>
        <w:t>Maximize the company's return on investment and business opportunities. Through management measures to ensure the rationality of the cost of informatization construction, maintain the long-term interests of the enterprise and maintain competition</w:t>
      </w:r>
      <w:r>
        <w:rPr>
          <w:rFonts w:hint="eastAsia" w:ascii="Times New Roman" w:hAnsi="Times New Roman" w:eastAsia="宋体" w:cs="Times New Roman"/>
          <w:b w:val="0"/>
          <w:bCs w:val="0"/>
          <w:sz w:val="24"/>
          <w:szCs w:val="24"/>
          <w:lang w:val="en-US" w:eastAsia="zh-CN"/>
        </w:rPr>
        <w:t xml:space="preserve"> </w:t>
      </w:r>
      <w:r>
        <w:rPr>
          <w:rFonts w:hint="default" w:ascii="Times New Roman" w:hAnsi="Times New Roman" w:eastAsia="宋体" w:cs="Times New Roman"/>
          <w:b w:val="0"/>
          <w:bCs w:val="0"/>
          <w:sz w:val="24"/>
          <w:szCs w:val="24"/>
          <w:lang w:eastAsia="zh-CN"/>
        </w:rPr>
        <w:t>Advantage;</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b w:val="0"/>
          <w:bCs w:val="0"/>
          <w:sz w:val="24"/>
          <w:szCs w:val="24"/>
          <w:lang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Combining the status quo of enterprise information security management, starting from the actual needs of the enterprise, establishing an information security management system that meets the company's business needs and international standards is the most important task of the company's current information security construction. Through the analysis and research in Chapter 4, the use of ISO27000 standard is the most suitable for CoffeeBlue, ISO2700 is the main standard of this series, and the information security management system can be established in accordance with the specific requirements of ISO27001</w:t>
      </w:r>
      <w:r>
        <w:rPr>
          <w:rFonts w:hint="eastAsia"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 xml:space="preserve">6.4 </w:t>
      </w:r>
      <w:r>
        <w:rPr>
          <w:rFonts w:hint="default" w:ascii="Times New Roman" w:hAnsi="Times New Roman" w:eastAsia="宋体" w:cs="Times New Roman"/>
          <w:b/>
          <w:bCs/>
          <w:sz w:val="24"/>
          <w:szCs w:val="24"/>
          <w:lang w:val="en-US" w:eastAsia="zh-CN"/>
        </w:rPr>
        <w:t xml:space="preserve">Risk assessment </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The Analytic Hierarchy Process (AHP) is often used in the process of information system risk assessment. This method divides the system into layers, quasi-quantitatively, and standardizes the system. During the assessment process, it undergoes three stages: system decomposition, security judgment and comprehensive judgment. Its basic steps are</w:t>
      </w:r>
      <w:r>
        <w:rPr>
          <w:rFonts w:hint="default" w:ascii="Times New Roman" w:hAnsi="Times New Roman" w:eastAsia="宋体" w:cs="Times New Roman"/>
          <w:position w:val="-4"/>
          <w:sz w:val="24"/>
          <w:szCs w:val="24"/>
          <w:lang w:eastAsia="zh-CN"/>
        </w:rPr>
        <w:object>
          <v:shape id="_x0000_i1032" o:spt="75" type="#_x0000_t75" style="height:15pt;width:12pt;" o:ole="t" filled="f" o:preferrelative="t" stroked="f" coordsize="21600,21600">
            <v:fill on="f" focussize="0,0"/>
            <v:stroke on="f"/>
            <v:imagedata r:id="rId19" o:title=""/>
            <o:lock v:ext="edit" aspectratio="t"/>
            <w10:wrap type="none"/>
            <w10:anchorlock/>
          </v:shape>
          <o:OLEObject Type="Embed" ProgID="Equation.KSEE3" ShapeID="_x0000_i1032" DrawAspect="Content" ObjectID="_1468075732" r:id="rId18">
            <o:LockedField>false</o:LockedField>
          </o:OLEObject>
        </w:object>
      </w:r>
      <w:r>
        <w:rPr>
          <w:rFonts w:hint="default" w:ascii="Times New Roman" w:hAnsi="Times New Roman" w:eastAsia="宋体" w:cs="Times New Roman"/>
          <w:sz w:val="24"/>
          <w:szCs w:val="24"/>
          <w:lang w:eastAsia="zh-CN"/>
        </w:rPr>
        <w:t>:</w:t>
      </w:r>
    </w:p>
    <w:p>
      <w:pPr>
        <w:keepNext w:val="0"/>
        <w:keepLines w:val="0"/>
        <w:pageBreakBefore w:val="0"/>
        <w:widowControl w:val="0"/>
        <w:numPr>
          <w:ilvl w:val="0"/>
          <w:numId w:val="3"/>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System decomposition and establishment of a hierarchical structure model: The structure of the hierarchical model is based on the idea of decomposition method, and the system decomposition of the object is divided into target layer, criterion layer and index layer.</w:t>
      </w:r>
    </w:p>
    <w:p>
      <w:pPr>
        <w:keepNext w:val="0"/>
        <w:keepLines w:val="0"/>
        <w:pageBreakBefore w:val="0"/>
        <w:widowControl w:val="0"/>
        <w:numPr>
          <w:ilvl w:val="0"/>
          <w:numId w:val="3"/>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Construct a judgment matrix and make safety judgments through single-level calculations: Determine the relative risk weight of an element in the previous level and its related elements in this level through the mathematical method of the judgment matrix and matrix operations.</w:t>
      </w:r>
    </w:p>
    <w:p>
      <w:pPr>
        <w:keepNext w:val="0"/>
        <w:keepLines w:val="0"/>
        <w:pageBreakBefore w:val="0"/>
        <w:widowControl w:val="0"/>
        <w:numPr>
          <w:ilvl w:val="0"/>
          <w:numId w:val="3"/>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Level total sorting, complete comprehensive judgment: Calculate the composite weight of each layer element to the system goal, complete the comprehensive judgment, and perform total sorting to determine the risk degree of the lowest element in the hierarchical structure diagram in the overall goal.</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6.5</w:t>
      </w:r>
      <w:r>
        <w:rPr>
          <w:rFonts w:hint="default" w:ascii="Times New Roman" w:hAnsi="Times New Roman" w:eastAsia="宋体" w:cs="Times New Roman"/>
          <w:b/>
          <w:bCs/>
          <w:sz w:val="24"/>
          <w:szCs w:val="24"/>
          <w:lang w:val="en-US" w:eastAsia="zh-CN"/>
        </w:rPr>
        <w:t xml:space="preserve"> Gap analysis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Analyze the gap between the information security status of the CoffeeBlue management support system and the ISO27000 information security standard, understand the gap between the current information security management situation and the international security standards, and determine the direction and focus of future optimization through the gap analysis.</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.4.1 Parameter description</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This gap analysis assesses the degree of CoffeeBlue's management support system based on 11 areas and 133 control measures identified by ISO27001</w:t>
      </w:r>
      <w:r>
        <w:rPr>
          <w:rFonts w:hint="default" w:ascii="Times New Roman" w:hAnsi="Times New Roman" w:eastAsia="宋体" w:cs="Times New Roman"/>
          <w:position w:val="-4"/>
          <w:sz w:val="24"/>
          <w:szCs w:val="24"/>
          <w:lang w:val="en-US" w:eastAsia="zh-CN"/>
        </w:rPr>
        <w:object>
          <v:shape id="_x0000_i1033" o:spt="75" type="#_x0000_t75" style="height:15pt;width:12pt;" o:ole="t" filled="f" o:preferrelative="t" stroked="f" coordsize="21600,21600">
            <v:fill on="f" focussize="0,0"/>
            <v:stroke on="f"/>
            <v:imagedata r:id="rId21" o:title=""/>
            <o:lock v:ext="edit" aspectratio="t"/>
            <w10:wrap type="none"/>
            <w10:anchorlock/>
          </v:shape>
          <o:OLEObject Type="Embed" ProgID="Equation.KSEE3" ShapeID="_x0000_i1033" DrawAspect="Content" ObjectID="_1468075733" r:id="rId20">
            <o:LockedField>false</o:LockedField>
          </o:OLEObject>
        </w:object>
      </w:r>
      <w:r>
        <w:rPr>
          <w:rFonts w:hint="default" w:ascii="Times New Roman" w:hAnsi="Times New Roman" w:eastAsia="宋体" w:cs="Times New Roman"/>
          <w:sz w:val="24"/>
          <w:szCs w:val="24"/>
          <w:lang w:val="en-US" w:eastAsia="zh-CN"/>
        </w:rPr>
        <w:t>, and is divided into four levels</w:t>
      </w: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4"/>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Non-compliance: &gt;=0 points &lt;50 points, which means that the relevant risks are not controlled or controlled in a small amount in the current management activities, and great efforts are required to achieve full compliance;</w:t>
      </w:r>
    </w:p>
    <w:p>
      <w:pPr>
        <w:keepNext w:val="0"/>
        <w:keepLines w:val="0"/>
        <w:pageBreakBefore w:val="0"/>
        <w:widowControl w:val="0"/>
        <w:numPr>
          <w:ilvl w:val="0"/>
          <w:numId w:val="4"/>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Partial compliance with the standard: &gt;=50 points &lt;75 points, which means that the risk control has been completed in accordance with most of the requirements in the current management activities, and a certain amount of effort is required to achieve full compliance;</w:t>
      </w:r>
    </w:p>
    <w:p>
      <w:pPr>
        <w:keepNext w:val="0"/>
        <w:keepLines w:val="0"/>
        <w:pageBreakBefore w:val="0"/>
        <w:widowControl w:val="0"/>
        <w:numPr>
          <w:ilvl w:val="0"/>
          <w:numId w:val="4"/>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Basically meet the standard: &gt;=75 points &lt;100 points, which means that the current management activities have completed the risk control in accordance with the basic minimum requirements, but some details need to be improved;</w:t>
      </w:r>
    </w:p>
    <w:p>
      <w:pPr>
        <w:keepNext w:val="0"/>
        <w:keepLines w:val="0"/>
        <w:pageBreakBefore w:val="0"/>
        <w:widowControl w:val="0"/>
        <w:numPr>
          <w:ilvl w:val="0"/>
          <w:numId w:val="4"/>
        </w:numPr>
        <w:kinsoku/>
        <w:wordWrap/>
        <w:overflowPunct/>
        <w:topLinePunct w:val="0"/>
        <w:autoSpaceDE/>
        <w:autoSpaceDN/>
        <w:bidi w:val="0"/>
        <w:adjustRightInd/>
        <w:snapToGrid/>
        <w:spacing w:line="288" w:lineRule="auto"/>
        <w:ind w:left="420" w:leftChars="0" w:hanging="420" w:firstLineChars="0"/>
        <w:textAlignment w:val="auto"/>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val="en-US" w:eastAsia="zh-CN"/>
        </w:rPr>
        <w:t>Fully meet the standard: 100 points, which means that the current management activities have completed the risk control according to the requirements, and have been well run, fully complying with the requirements of the standard.</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.4.2 Gap analysis results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Through the analysis of the data collected in the early stage, the results of the analysis of the gap between the existing information security management of the CoffeeBlue management support system and the ISO27001 standard are: for example: security policy control domain, mainly to provide management guidance for information security management that meets business requirements and relevant legal requirements And supporting description. The specific analysis of this control area is shown in Table 1 below. Through the gap analysis of the current information security management and operation of the CoffeeBlue management support system, a set of gap analysis results can be obtained.</w:t>
      </w:r>
    </w:p>
    <w:p>
      <w:pPr>
        <w:keepNext w:val="0"/>
        <w:keepLines w:val="0"/>
        <w:pageBreakBefore w:val="0"/>
        <w:widowControl w:val="0"/>
        <w:kinsoku/>
        <w:wordWrap/>
        <w:overflowPunct/>
        <w:topLinePunct w:val="0"/>
        <w:autoSpaceDE/>
        <w:autoSpaceDN/>
        <w:bidi w:val="0"/>
        <w:adjustRightInd/>
        <w:snapToGrid/>
        <w:spacing w:line="288" w:lineRule="auto"/>
        <w:jc w:val="center"/>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Table 1</w:t>
      </w:r>
      <w:r>
        <w:rPr>
          <w:rFonts w:hint="eastAsia" w:ascii="Times New Roman" w:hAnsi="Times New Roman" w:eastAsia="宋体" w:cs="Times New Roman"/>
          <w:sz w:val="22"/>
          <w:szCs w:val="22"/>
          <w:lang w:val="en-US" w:eastAsia="zh-CN"/>
        </w:rPr>
        <w:t xml:space="preserve"> </w:t>
      </w:r>
      <w:r>
        <w:rPr>
          <w:rFonts w:hint="default" w:ascii="Times New Roman" w:hAnsi="Times New Roman" w:eastAsia="宋体" w:cs="Times New Roman"/>
          <w:sz w:val="24"/>
          <w:szCs w:val="24"/>
          <w:lang w:val="en-US" w:eastAsia="zh-CN"/>
        </w:rPr>
        <w:t>specific analysis of this control area</w:t>
      </w:r>
    </w:p>
    <w:tbl>
      <w:tblPr>
        <w:tblStyle w:val="3"/>
        <w:tblW w:w="0" w:type="auto"/>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27"/>
        <w:gridCol w:w="2841"/>
        <w:gridCol w:w="27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27"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name</w:t>
            </w:r>
          </w:p>
        </w:tc>
        <w:tc>
          <w:tcPr>
            <w:tcW w:w="2841"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Control measures and requirements</w:t>
            </w:r>
          </w:p>
        </w:tc>
        <w:tc>
          <w:tcPr>
            <w:tcW w:w="2720"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b w:val="0"/>
                <w:bCs w:val="0"/>
                <w:sz w:val="24"/>
                <w:szCs w:val="24"/>
                <w:lang w:val="en-US" w:eastAsia="zh-CN"/>
              </w:rPr>
              <w:t>Gap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27"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Information Security Policy Document</w:t>
            </w:r>
          </w:p>
        </w:tc>
        <w:tc>
          <w:tcPr>
            <w:tcW w:w="2841"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Information security policy documents should be approved by management, and published and communicated to all hired personnel and related external parties.</w:t>
            </w:r>
          </w:p>
        </w:tc>
        <w:tc>
          <w:tcPr>
            <w:tcW w:w="2720"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There is no document describing the overall information security goals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27"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Review of information security policy documents</w:t>
            </w:r>
          </w:p>
        </w:tc>
        <w:tc>
          <w:tcPr>
            <w:tcW w:w="2841"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The information security policy should be reviewed during the planning period or when major changes occur to ensure its continued applicability, appropriateness and effectiveness.</w:t>
            </w:r>
          </w:p>
        </w:tc>
        <w:tc>
          <w:tcPr>
            <w:tcW w:w="2720" w:type="dxa"/>
          </w:tcPr>
          <w:p>
            <w:pPr>
              <w:keepNext w:val="0"/>
              <w:keepLines w:val="0"/>
              <w:pageBreakBefore w:val="0"/>
              <w:widowControl w:val="0"/>
              <w:kinsoku/>
              <w:wordWrap/>
              <w:overflowPunct/>
              <w:topLinePunct w:val="0"/>
              <w:autoSpaceDE/>
              <w:autoSpaceDN/>
              <w:bidi w:val="0"/>
              <w:adjustRightInd/>
              <w:snapToGrid/>
              <w:spacing w:line="288"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vertAlign w:val="baseline"/>
                <w:lang w:val="en-US" w:eastAsia="zh-CN"/>
              </w:rPr>
              <w:t>A comprehensive information security policy document has not yet been established.</w:t>
            </w:r>
          </w:p>
        </w:tc>
      </w:tr>
    </w:tbl>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6.5</w:t>
      </w:r>
      <w:r>
        <w:rPr>
          <w:rFonts w:hint="default" w:ascii="Times New Roman" w:hAnsi="Times New Roman" w:eastAsia="宋体" w:cs="Times New Roman"/>
          <w:b/>
          <w:bCs/>
          <w:sz w:val="24"/>
          <w:szCs w:val="24"/>
          <w:lang w:val="en-US" w:eastAsia="zh-CN"/>
        </w:rPr>
        <w:t xml:space="preserve"> Optimization and rectification stage</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optimization and rectification work of information security management refers to the application of supplementary documents such as rules and regulations based on the results of the previous gap analysis, or the optimization and updating of documents that do not meet the requirements of the standards. In the preparation and update of relevant documents, on the premise of meeting the ISO27001 information security management standard, it is also necessary to refer to the vision of the information security management personnel for the future work. After this event, CoffeeBlue management support system information security management supplementary security regulations, including information security management strategy, management policy, third-party confidentiality agreement, employee confidentiality agreement, employee information security manual.</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.6 Evaluation stage after optimization</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Post-assessment of the information security management after the standard application activity is carried out to verify and guarantee the effectiveness of the entire standard application activity. The related post-evaluation method is the same as the gap analysis method in the second stage.</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6.7 Service Level Agreement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When the transaction between CoffeeBlue and the cloud service provider is completed, CoffeeBlue needs to evaluate the cloud service provider's SLA performance. According to the different characteristics of the parameters, the evaluation module provides three evaluation methods for SLA parameters-objective evaluation, subjective evaluation, and synthesis Evaluation is used to evaluate the parameters of the corresponding type. After the submission is completed, it will be submitted and saved to the evaluation center. In the objective evaluation, CoffeeBlue is required to provide actual parameters, and the trust value of this parameter can be quantified by comparing with SLA indicators. In order to ensure the effectiveness of the evaluation information, it is necessary to set a specific time window, and delete outdated evaluation information in the system at regular intervals.</w:t>
      </w:r>
    </w:p>
    <w:p>
      <w:pPr>
        <w:keepNext w:val="0"/>
        <w:keepLines w:val="0"/>
        <w:pageBreakBefore w:val="0"/>
        <w:widowControl w:val="0"/>
        <w:kinsoku/>
        <w:wordWrap/>
        <w:overflowPunct/>
        <w:topLinePunct w:val="0"/>
        <w:autoSpaceDE/>
        <w:autoSpaceDN/>
        <w:bidi w:val="0"/>
        <w:adjustRightInd/>
        <w:snapToGrid/>
        <w:spacing w:before="157" w:beforeLines="50" w:after="157" w:afterLines="50" w:line="288" w:lineRule="auto"/>
        <w:textAlignment w:val="auto"/>
        <w:rPr>
          <w:rFonts w:hint="default"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6</w:t>
      </w:r>
      <w:r>
        <w:rPr>
          <w:rFonts w:hint="default" w:ascii="Times New Roman" w:hAnsi="Times New Roman" w:eastAsia="宋体" w:cs="Times New Roman"/>
          <w:b/>
          <w:bCs/>
          <w:sz w:val="24"/>
          <w:szCs w:val="24"/>
          <w:lang w:val="en-US" w:eastAsia="zh-CN"/>
        </w:rPr>
        <w:t>.</w:t>
      </w:r>
      <w:r>
        <w:rPr>
          <w:rFonts w:hint="eastAsia" w:ascii="Times New Roman" w:hAnsi="Times New Roman" w:eastAsia="宋体" w:cs="Times New Roman"/>
          <w:b/>
          <w:bCs/>
          <w:sz w:val="24"/>
          <w:szCs w:val="24"/>
          <w:lang w:val="en-US" w:eastAsia="zh-CN"/>
        </w:rPr>
        <w:t>8</w:t>
      </w:r>
      <w:r>
        <w:rPr>
          <w:rFonts w:hint="default" w:ascii="Times New Roman" w:hAnsi="Times New Roman" w:eastAsia="宋体" w:cs="Times New Roman"/>
          <w:b/>
          <w:bCs/>
          <w:sz w:val="24"/>
          <w:szCs w:val="24"/>
          <w:lang w:val="en-US" w:eastAsia="zh-CN"/>
        </w:rPr>
        <w:t xml:space="preserve"> Post-standard application activities</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 should be a management process for enterprises to apply the ISO27001 standard to improve information security management, and a process development method needs to be adopted to ensure the effectiveness of the application and optimization of the entire information security management. The "PDCA" cycle is an effective method for the application of ISO27001 information security management standards. The specific process: P (Plan)-plan, determine the target of this standard application activity and prepare; D (Do)-implement, carry out Gap analysis and optimization and rectification; C (Check)-check, through the evaluation after optimization to check the application activities of this standard; A (Action)-improve</w:t>
      </w:r>
      <w:r>
        <w:rPr>
          <w:rFonts w:hint="default" w:ascii="Times New Roman" w:hAnsi="Times New Roman" w:eastAsia="宋体" w:cs="Times New Roman"/>
          <w:position w:val="-4"/>
          <w:sz w:val="24"/>
          <w:szCs w:val="24"/>
          <w:lang w:val="en-US" w:eastAsia="zh-CN"/>
        </w:rPr>
        <w:object>
          <v:shape id="_x0000_i1034" o:spt="75" type="#_x0000_t75" style="height:15pt;width:15pt;" o:ole="t" filled="f" o:preferrelative="t" stroked="f" coordsize="21600,21600">
            <v:fill on="f" focussize="0,0"/>
            <v:stroke on="f"/>
            <v:imagedata r:id="rId23" o:title=""/>
            <o:lock v:ext="edit" aspectratio="t"/>
            <w10:wrap type="none"/>
            <w10:anchorlock/>
          </v:shape>
          <o:OLEObject Type="Embed" ProgID="Equation.KSEE3" ShapeID="_x0000_i1034" DrawAspect="Content" ObjectID="_1468075734" r:id="rId22">
            <o:LockedField>false</o:LockedField>
          </o:OLEObject>
        </w:object>
      </w:r>
      <w:r>
        <w:rPr>
          <w:rFonts w:hint="default" w:ascii="Times New Roman" w:hAnsi="Times New Roman" w:eastAsia="宋体" w:cs="Times New Roman"/>
          <w:sz w:val="24"/>
          <w:szCs w:val="24"/>
          <w:lang w:val="en-US" w:eastAsia="zh-CN"/>
        </w:rPr>
        <w:t>, deal with the problems found in the evaluation after optimization, and determine success The experience of the company is promoted, the lessons of failure are summarized, and the unresolved problems are placed in the next PDCA cycle</w:t>
      </w:r>
      <w:r>
        <w:rPr>
          <w:rFonts w:hint="default" w:ascii="Times New Roman" w:hAnsi="Times New Roman" w:eastAsia="宋体" w:cs="Times New Roman"/>
          <w:position w:val="-4"/>
          <w:sz w:val="24"/>
          <w:szCs w:val="24"/>
          <w:lang w:val="en-US" w:eastAsia="zh-CN"/>
        </w:rPr>
        <w:object>
          <v:shape id="_x0000_i1035" o:spt="75" type="#_x0000_t75" style="height:15pt;width:15pt;" o:ole="t" filled="f" o:preferrelative="t" stroked="f" coordsize="21600,21600">
            <v:fill on="f" focussize="0,0"/>
            <v:stroke on="f"/>
            <v:imagedata r:id="rId25" o:title=""/>
            <o:lock v:ext="edit" aspectratio="t"/>
            <w10:wrap type="none"/>
            <w10:anchorlock/>
          </v:shape>
          <o:OLEObject Type="Embed" ProgID="Equation.KSEE3" ShapeID="_x0000_i1035" DrawAspect="Content" ObjectID="_1468075735" r:id="rId24">
            <o:LockedField>false</o:LockedField>
          </o:OLEObject>
        </w:object>
      </w:r>
      <w:r>
        <w:rPr>
          <w:rFonts w:hint="default"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313" w:beforeLines="100" w:after="313" w:afterLines="100" w:line="288" w:lineRule="auto"/>
        <w:textAlignment w:val="auto"/>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References</w:t>
      </w:r>
      <w:bookmarkStart w:id="0" w:name="_GoBack"/>
      <w:bookmarkEnd w:id="0"/>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Ten C W ,  Liu C C ,  Manimaran G . Vulnerability Assessment of Cybersecurity for SCADA Systems[J]. IEEE Transactions on Power Systems, 2008, 23(4):1836-1846.</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Redlich R M ,  Nemzow M A . Data security system and method for separation of user communities[J]. US, 2006.</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Steven, Weil, Yang Chun. ITIL Security Law [J]. Chinese Computer Users, 2005(13): 2. </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[4] Oivo M ,  Komi-Sirvi? S . Benefits Resulting from the Combined Use of ISO/IEC 15504 with the Information Technology Infrastructure Library (ITIL)[C]// Product Focused Software Process Improvement, International Conference, Profes, Rovaniemi, Finland, December. DBLP, 2002:314-325.</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[5] Wachter S ,  Mittelstadt B ,  Russell C . Counterfactual Explanations without Opening the Black Box: Automated Decisions and the GDPR[J]. Social Science Electronic Publishing, 2017.</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[6] Chen Xing, Wang Ping, Wang Hao. Overview of research on wireless sensor network security standards[J]. Information Technology and Standardization, 2009(9):5.</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[7] Gr Ee Nleaf G. International Data Privacy Agreements after the GDPR and Schrems[J]. Social Science Electronic Publishing.</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[8] Dan Liyun. Implementation steps and control focus of ISO27001:2005 standard [J]. China Certification and Accreditation, 2009(5):3.</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[9] Liang Lijun. Network Security Law provides institutional guarantee for network security[J]. Confidential Science and Technology, 2015(7): 3.</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[10] Jiang Ti, Zhao Yanjun. Overview of Information Security Risk Assessment Technology Basis[J]. Science and Fortune, 2016, 8(1).</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[11] Zhang Zehong. Comprehensive assessment of information security risks based on the assessment process[J]. Computer Engineering and Applications, 2008, 44(10):5.</w:t>
      </w:r>
    </w:p>
    <w:p>
      <w:pPr>
        <w:keepNext w:val="0"/>
        <w:keepLines w:val="0"/>
        <w:pageBreakBefore w:val="0"/>
        <w:widowControl w:val="0"/>
        <w:kinsoku/>
        <w:wordWrap/>
        <w:overflowPunct/>
        <w:topLinePunct w:val="0"/>
        <w:autoSpaceDE/>
        <w:autoSpaceDN/>
        <w:bidi w:val="0"/>
        <w:adjustRightInd/>
        <w:snapToGrid/>
        <w:spacing w:line="288" w:lineRule="auto"/>
        <w:textAlignment w:val="auto"/>
        <w:rPr>
          <w:rFonts w:hint="default"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85E527B"/>
    <w:multiLevelType w:val="singleLevel"/>
    <w:tmpl w:val="C85E527B"/>
    <w:lvl w:ilvl="0" w:tentative="0">
      <w:start w:val="1"/>
      <w:numFmt w:val="bullet"/>
      <w:lvlText w:val=""/>
      <w:lvlJc w:val="left"/>
      <w:pPr>
        <w:ind w:left="420" w:hanging="420"/>
      </w:pPr>
      <w:rPr>
        <w:rFonts w:hint="default" w:ascii="Wingdings" w:hAnsi="Wingdings"/>
      </w:rPr>
    </w:lvl>
  </w:abstractNum>
  <w:abstractNum w:abstractNumId="1">
    <w:nsid w:val="D54728EC"/>
    <w:multiLevelType w:val="singleLevel"/>
    <w:tmpl w:val="D54728EC"/>
    <w:lvl w:ilvl="0" w:tentative="0">
      <w:start w:val="1"/>
      <w:numFmt w:val="bullet"/>
      <w:lvlText w:val=""/>
      <w:lvlJc w:val="left"/>
      <w:pPr>
        <w:ind w:left="420" w:hanging="420"/>
      </w:pPr>
      <w:rPr>
        <w:rFonts w:hint="default" w:ascii="Wingdings" w:hAnsi="Wingdings"/>
      </w:rPr>
    </w:lvl>
  </w:abstractNum>
  <w:abstractNum w:abstractNumId="2">
    <w:nsid w:val="DDC56B95"/>
    <w:multiLevelType w:val="singleLevel"/>
    <w:tmpl w:val="DDC56B95"/>
    <w:lvl w:ilvl="0" w:tentative="0">
      <w:start w:val="1"/>
      <w:numFmt w:val="bullet"/>
      <w:lvlText w:val=""/>
      <w:lvlJc w:val="left"/>
      <w:pPr>
        <w:ind w:left="420" w:hanging="420"/>
      </w:pPr>
      <w:rPr>
        <w:rFonts w:hint="default" w:ascii="Wingdings" w:hAnsi="Wingdings"/>
      </w:rPr>
    </w:lvl>
  </w:abstractNum>
  <w:abstractNum w:abstractNumId="3">
    <w:nsid w:val="5B2BAA16"/>
    <w:multiLevelType w:val="singleLevel"/>
    <w:tmpl w:val="5B2BAA16"/>
    <w:lvl w:ilvl="0" w:tentative="0">
      <w:start w:val="1"/>
      <w:numFmt w:val="bullet"/>
      <w:lvlText w:val=""/>
      <w:lvlJc w:val="left"/>
      <w:pPr>
        <w:ind w:left="420" w:hanging="42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865392A"/>
    <w:rsid w:val="002F68D3"/>
    <w:rsid w:val="2865392A"/>
    <w:rsid w:val="37465320"/>
    <w:rsid w:val="37B35582"/>
    <w:rsid w:val="432740C3"/>
    <w:rsid w:val="486B6899"/>
    <w:rsid w:val="501E1224"/>
    <w:rsid w:val="53126098"/>
    <w:rsid w:val="5E4D0768"/>
    <w:rsid w:val="758376F1"/>
    <w:rsid w:val="7A72342F"/>
    <w:rsid w:val="7BB223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3.wmf"/><Relationship Id="rId8" Type="http://schemas.openxmlformats.org/officeDocument/2006/relationships/oleObject" Target="embeddings/oleObject3.bin"/><Relationship Id="rId7" Type="http://schemas.openxmlformats.org/officeDocument/2006/relationships/image" Target="media/image2.wmf"/><Relationship Id="rId6" Type="http://schemas.openxmlformats.org/officeDocument/2006/relationships/oleObject" Target="embeddings/oleObject2.bin"/><Relationship Id="rId5" Type="http://schemas.openxmlformats.org/officeDocument/2006/relationships/image" Target="media/image1.wmf"/><Relationship Id="rId4" Type="http://schemas.openxmlformats.org/officeDocument/2006/relationships/oleObject" Target="embeddings/oleObject1.bin"/><Relationship Id="rId3" Type="http://schemas.openxmlformats.org/officeDocument/2006/relationships/theme" Target="theme/theme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11.wmf"/><Relationship Id="rId24" Type="http://schemas.openxmlformats.org/officeDocument/2006/relationships/oleObject" Target="embeddings/oleObject11.bin"/><Relationship Id="rId23" Type="http://schemas.openxmlformats.org/officeDocument/2006/relationships/image" Target="media/image10.wmf"/><Relationship Id="rId22" Type="http://schemas.openxmlformats.org/officeDocument/2006/relationships/oleObject" Target="embeddings/oleObject10.bin"/><Relationship Id="rId21" Type="http://schemas.openxmlformats.org/officeDocument/2006/relationships/image" Target="media/image9.wmf"/><Relationship Id="rId20" Type="http://schemas.openxmlformats.org/officeDocument/2006/relationships/oleObject" Target="embeddings/oleObject9.bin"/><Relationship Id="rId2" Type="http://schemas.openxmlformats.org/officeDocument/2006/relationships/settings" Target="settings.xml"/><Relationship Id="rId19" Type="http://schemas.openxmlformats.org/officeDocument/2006/relationships/image" Target="media/image8.wmf"/><Relationship Id="rId18" Type="http://schemas.openxmlformats.org/officeDocument/2006/relationships/oleObject" Target="embeddings/oleObject8.bin"/><Relationship Id="rId17" Type="http://schemas.openxmlformats.org/officeDocument/2006/relationships/image" Target="media/image7.wmf"/><Relationship Id="rId16" Type="http://schemas.openxmlformats.org/officeDocument/2006/relationships/oleObject" Target="embeddings/oleObject7.bin"/><Relationship Id="rId15" Type="http://schemas.openxmlformats.org/officeDocument/2006/relationships/image" Target="media/image6.wmf"/><Relationship Id="rId14" Type="http://schemas.openxmlformats.org/officeDocument/2006/relationships/oleObject" Target="embeddings/oleObject6.bin"/><Relationship Id="rId13" Type="http://schemas.openxmlformats.org/officeDocument/2006/relationships/image" Target="media/image5.wmf"/><Relationship Id="rId12" Type="http://schemas.openxmlformats.org/officeDocument/2006/relationships/oleObject" Target="embeddings/oleObject5.bin"/><Relationship Id="rId11" Type="http://schemas.openxmlformats.org/officeDocument/2006/relationships/image" Target="media/image4.wmf"/><Relationship Id="rId10" Type="http://schemas.openxmlformats.org/officeDocument/2006/relationships/oleObject" Target="embeddings/oleObject4.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Office_11.8.2.8875_F1E327BC-269C-435d-A152-05C5408002CA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2022-01-04T14:10:00Z</dcterms:created>
  <dc:creator>汪琪瑞</dc:creator>
  <cp:lastModifiedBy>汪琪瑞</cp:lastModifiedBy>
  <dcterms:modified xsi:type="dcterms:W3CDTF">2022-01-05T11:36:43Z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2052-11.8.2.8875</vt:lpwstr>
  </property>
</Properties>
</file>