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727B7" w14:textId="77777777" w:rsidR="003907A9" w:rsidRPr="001B456E" w:rsidRDefault="003907A9" w:rsidP="003907A9">
      <w:pPr>
        <w:spacing w:before="240" w:line="360" w:lineRule="auto"/>
        <w:rPr>
          <w:rFonts w:asciiTheme="majorHAnsi" w:hAnsiTheme="majorHAnsi" w:cstheme="majorHAnsi"/>
        </w:rPr>
      </w:pPr>
      <w:r w:rsidRPr="00074402">
        <w:rPr>
          <w:rFonts w:ascii="Arial" w:hAnsi="Arial" w:cs="Arial"/>
          <w:noProof/>
          <w:szCs w:val="24"/>
        </w:rPr>
        <w:drawing>
          <wp:anchor distT="0" distB="0" distL="114300" distR="114300" simplePos="0" relativeHeight="251659264" behindDoc="0" locked="0" layoutInCell="1" allowOverlap="1" wp14:anchorId="6E964107" wp14:editId="15498AE1">
            <wp:simplePos x="0" y="0"/>
            <wp:positionH relativeFrom="column">
              <wp:posOffset>-176646</wp:posOffset>
            </wp:positionH>
            <wp:positionV relativeFrom="paragraph">
              <wp:posOffset>462</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BAB46C2" w14:textId="77777777" w:rsidR="003907A9" w:rsidRDefault="003907A9" w:rsidP="003907A9">
      <w:pPr>
        <w:spacing w:before="240" w:line="360" w:lineRule="auto"/>
        <w:jc w:val="center"/>
        <w:rPr>
          <w:rFonts w:asciiTheme="majorHAnsi" w:eastAsia="Times New Roman" w:hAnsiTheme="majorHAnsi" w:cstheme="majorHAnsi"/>
        </w:rPr>
      </w:pPr>
    </w:p>
    <w:p w14:paraId="24C671EC" w14:textId="77777777" w:rsidR="003907A9" w:rsidRDefault="003907A9" w:rsidP="003907A9">
      <w:pPr>
        <w:spacing w:before="240" w:line="360" w:lineRule="auto"/>
        <w:jc w:val="center"/>
        <w:rPr>
          <w:rFonts w:asciiTheme="majorHAnsi" w:eastAsia="Times New Roman" w:hAnsiTheme="majorHAnsi" w:cstheme="majorHAnsi"/>
        </w:rPr>
      </w:pPr>
    </w:p>
    <w:p w14:paraId="6C0D1E82" w14:textId="77777777" w:rsidR="003907A9" w:rsidRDefault="003907A9" w:rsidP="003907A9">
      <w:pPr>
        <w:spacing w:before="240" w:line="360" w:lineRule="auto"/>
        <w:jc w:val="center"/>
        <w:rPr>
          <w:rFonts w:asciiTheme="majorHAnsi" w:eastAsia="Times New Roman" w:hAnsiTheme="majorHAnsi" w:cstheme="majorHAnsi"/>
        </w:rPr>
      </w:pPr>
      <w:r>
        <w:rPr>
          <w:rFonts w:asciiTheme="majorHAnsi" w:eastAsia="Times New Roman" w:hAnsiTheme="majorHAnsi" w:cstheme="majorHAnsi"/>
        </w:rPr>
        <w:t xml:space="preserve">Student </w:t>
      </w:r>
      <w:proofErr w:type="gramStart"/>
      <w:r>
        <w:rPr>
          <w:rFonts w:asciiTheme="majorHAnsi" w:eastAsia="Times New Roman" w:hAnsiTheme="majorHAnsi" w:cstheme="majorHAnsi"/>
        </w:rPr>
        <w:t>name :</w:t>
      </w:r>
      <w:proofErr w:type="gramEnd"/>
      <w:r>
        <w:rPr>
          <w:rFonts w:asciiTheme="majorHAnsi" w:eastAsia="Times New Roman" w:hAnsiTheme="majorHAnsi" w:cstheme="majorHAnsi"/>
        </w:rPr>
        <w:t xml:space="preserve"> </w:t>
      </w:r>
      <w:r w:rsidRPr="001B456E">
        <w:rPr>
          <w:rFonts w:asciiTheme="majorHAnsi" w:eastAsia="Times New Roman" w:hAnsiTheme="majorHAnsi" w:cstheme="majorHAnsi"/>
        </w:rPr>
        <w:fldChar w:fldCharType="begin"/>
      </w:r>
      <w:r w:rsidRPr="001B456E">
        <w:rPr>
          <w:rFonts w:asciiTheme="majorHAnsi" w:eastAsia="Times New Roman" w:hAnsiTheme="majorHAnsi" w:cstheme="majorHAnsi"/>
        </w:rPr>
        <w:instrText xml:space="preserve"> AutoTextList \s NoStyle \t "Please type in your first and last name" </w:instrText>
      </w:r>
      <w:r w:rsidRPr="001B456E">
        <w:rPr>
          <w:rFonts w:asciiTheme="majorHAnsi" w:eastAsia="Times New Roman" w:hAnsiTheme="majorHAnsi" w:cstheme="majorHAnsi"/>
        </w:rPr>
        <w:fldChar w:fldCharType="separate"/>
      </w:r>
      <w:r>
        <w:rPr>
          <w:rFonts w:asciiTheme="majorHAnsi" w:eastAsia="Times New Roman" w:hAnsiTheme="majorHAnsi" w:cstheme="majorHAnsi"/>
        </w:rPr>
        <w:t xml:space="preserve">Luisa </w:t>
      </w:r>
      <w:proofErr w:type="spellStart"/>
      <w:r>
        <w:rPr>
          <w:rFonts w:asciiTheme="majorHAnsi" w:eastAsia="Times New Roman" w:hAnsiTheme="majorHAnsi" w:cstheme="majorHAnsi"/>
        </w:rPr>
        <w:t>Petito</w:t>
      </w:r>
      <w:proofErr w:type="spellEnd"/>
      <w:r>
        <w:rPr>
          <w:rFonts w:asciiTheme="majorHAnsi" w:eastAsia="Times New Roman" w:hAnsiTheme="majorHAnsi" w:cstheme="majorHAnsi"/>
        </w:rPr>
        <w:t xml:space="preserve"> </w:t>
      </w:r>
    </w:p>
    <w:p w14:paraId="4E584EC5" w14:textId="77777777" w:rsidR="003907A9" w:rsidRPr="001B456E" w:rsidRDefault="003907A9" w:rsidP="003907A9">
      <w:pPr>
        <w:spacing w:before="240" w:line="360" w:lineRule="auto"/>
        <w:jc w:val="center"/>
        <w:rPr>
          <w:rFonts w:asciiTheme="majorHAnsi" w:eastAsia="Times New Roman" w:hAnsiTheme="majorHAnsi" w:cstheme="majorHAnsi"/>
        </w:rPr>
      </w:pPr>
      <w:r>
        <w:rPr>
          <w:rFonts w:asciiTheme="majorHAnsi" w:eastAsia="Times New Roman" w:hAnsiTheme="majorHAnsi" w:cstheme="majorHAnsi"/>
        </w:rPr>
        <w:t>Student ID: (2212364)</w:t>
      </w:r>
      <w:r w:rsidRPr="001B456E">
        <w:rPr>
          <w:rFonts w:asciiTheme="majorHAnsi" w:eastAsia="Times New Roman" w:hAnsiTheme="majorHAnsi" w:cstheme="majorHAnsi"/>
        </w:rPr>
        <w:fldChar w:fldCharType="end"/>
      </w:r>
    </w:p>
    <w:p w14:paraId="2CD2CAFC" w14:textId="77777777" w:rsidR="003907A9" w:rsidRDefault="003907A9" w:rsidP="003907A9">
      <w:pPr>
        <w:spacing w:before="240" w:line="360" w:lineRule="auto"/>
        <w:jc w:val="center"/>
        <w:rPr>
          <w:rFonts w:asciiTheme="majorHAnsi" w:eastAsia="Times New Roman" w:hAnsiTheme="majorHAnsi" w:cstheme="majorHAnsi"/>
        </w:rPr>
      </w:pPr>
      <w:r>
        <w:rPr>
          <w:rFonts w:asciiTheme="majorHAnsi" w:eastAsia="Times New Roman" w:hAnsiTheme="majorHAnsi" w:cstheme="majorHAnsi"/>
        </w:rPr>
        <w:t xml:space="preserve">Module name: Public health </w:t>
      </w:r>
    </w:p>
    <w:p w14:paraId="2DC20335" w14:textId="77777777" w:rsidR="003907A9" w:rsidRDefault="003907A9" w:rsidP="003907A9">
      <w:pPr>
        <w:spacing w:before="240" w:line="360" w:lineRule="auto"/>
        <w:jc w:val="center"/>
        <w:rPr>
          <w:rFonts w:asciiTheme="majorHAnsi" w:eastAsia="Times New Roman" w:hAnsiTheme="majorHAnsi" w:cstheme="majorHAnsi"/>
        </w:rPr>
      </w:pPr>
      <w:r>
        <w:rPr>
          <w:rFonts w:asciiTheme="majorHAnsi" w:eastAsia="Times New Roman" w:hAnsiTheme="majorHAnsi" w:cstheme="majorHAnsi"/>
        </w:rPr>
        <w:t>Module code: LCHS4004</w:t>
      </w:r>
    </w:p>
    <w:p w14:paraId="0701E40B" w14:textId="77777777" w:rsidR="003907A9" w:rsidRPr="001B456E" w:rsidRDefault="003907A9" w:rsidP="003907A9">
      <w:pPr>
        <w:spacing w:before="240" w:line="360" w:lineRule="auto"/>
        <w:jc w:val="center"/>
        <w:rPr>
          <w:rFonts w:asciiTheme="majorHAnsi" w:eastAsia="Times New Roman" w:hAnsiTheme="majorHAnsi" w:cstheme="majorHAnsi"/>
        </w:rPr>
      </w:pPr>
      <w:r>
        <w:rPr>
          <w:rFonts w:asciiTheme="majorHAnsi" w:eastAsia="Times New Roman" w:hAnsiTheme="majorHAnsi" w:cstheme="majorHAnsi"/>
        </w:rPr>
        <w:t xml:space="preserve">Lecture name: Laila </w:t>
      </w:r>
      <w:proofErr w:type="spellStart"/>
      <w:r>
        <w:rPr>
          <w:rFonts w:asciiTheme="majorHAnsi" w:eastAsia="Times New Roman" w:hAnsiTheme="majorHAnsi" w:cstheme="majorHAnsi"/>
        </w:rPr>
        <w:t>Surani</w:t>
      </w:r>
      <w:proofErr w:type="spellEnd"/>
    </w:p>
    <w:p w14:paraId="49DE76DE" w14:textId="77777777" w:rsidR="00305041" w:rsidRPr="007F3C8C" w:rsidRDefault="00305041" w:rsidP="00AD7C6C">
      <w:pPr>
        <w:spacing w:before="240" w:line="360" w:lineRule="auto"/>
        <w:jc w:val="center"/>
        <w:rPr>
          <w:rFonts w:asciiTheme="majorHAnsi" w:eastAsia="Times New Roman" w:hAnsiTheme="majorHAnsi" w:cstheme="majorHAnsi"/>
        </w:rPr>
      </w:pPr>
    </w:p>
    <w:p w14:paraId="7682FDFC" w14:textId="37DA8F1B" w:rsidR="00305041" w:rsidRDefault="00305041" w:rsidP="00AD7C6C">
      <w:pPr>
        <w:spacing w:before="240" w:line="360" w:lineRule="auto"/>
        <w:jc w:val="center"/>
        <w:rPr>
          <w:rFonts w:asciiTheme="majorHAnsi" w:eastAsia="Times New Roman" w:hAnsiTheme="majorHAnsi" w:cstheme="majorHAnsi"/>
        </w:rPr>
      </w:pPr>
    </w:p>
    <w:p w14:paraId="56B0C996" w14:textId="573263F8" w:rsidR="003907A9" w:rsidRDefault="003907A9" w:rsidP="00AD7C6C">
      <w:pPr>
        <w:spacing w:before="240" w:line="360" w:lineRule="auto"/>
        <w:jc w:val="center"/>
        <w:rPr>
          <w:rFonts w:asciiTheme="majorHAnsi" w:eastAsia="Times New Roman" w:hAnsiTheme="majorHAnsi" w:cstheme="majorHAnsi"/>
        </w:rPr>
      </w:pPr>
    </w:p>
    <w:p w14:paraId="43321130" w14:textId="72CA2E15" w:rsidR="003907A9" w:rsidRDefault="003907A9" w:rsidP="00AD7C6C">
      <w:pPr>
        <w:spacing w:before="240" w:line="360" w:lineRule="auto"/>
        <w:jc w:val="center"/>
        <w:rPr>
          <w:rFonts w:asciiTheme="majorHAnsi" w:eastAsia="Times New Roman" w:hAnsiTheme="majorHAnsi" w:cstheme="majorHAnsi"/>
        </w:rPr>
      </w:pPr>
    </w:p>
    <w:p w14:paraId="5156DF0D" w14:textId="0CB7E6A5" w:rsidR="003907A9" w:rsidRDefault="003907A9" w:rsidP="00AD7C6C">
      <w:pPr>
        <w:spacing w:before="240" w:line="360" w:lineRule="auto"/>
        <w:jc w:val="center"/>
        <w:rPr>
          <w:rFonts w:asciiTheme="majorHAnsi" w:eastAsia="Times New Roman" w:hAnsiTheme="majorHAnsi" w:cstheme="majorHAnsi"/>
        </w:rPr>
      </w:pPr>
    </w:p>
    <w:p w14:paraId="0617F128" w14:textId="5F8B3B42" w:rsidR="003907A9" w:rsidRDefault="003907A9" w:rsidP="00AD7C6C">
      <w:pPr>
        <w:spacing w:before="240" w:line="360" w:lineRule="auto"/>
        <w:jc w:val="center"/>
        <w:rPr>
          <w:rFonts w:asciiTheme="majorHAnsi" w:eastAsia="Times New Roman" w:hAnsiTheme="majorHAnsi" w:cstheme="majorHAnsi"/>
        </w:rPr>
      </w:pPr>
    </w:p>
    <w:p w14:paraId="7B6D47DD" w14:textId="2A6AD0EA" w:rsidR="003907A9" w:rsidRDefault="003907A9" w:rsidP="00AD7C6C">
      <w:pPr>
        <w:spacing w:before="240" w:line="360" w:lineRule="auto"/>
        <w:jc w:val="center"/>
        <w:rPr>
          <w:rFonts w:asciiTheme="majorHAnsi" w:eastAsia="Times New Roman" w:hAnsiTheme="majorHAnsi" w:cstheme="majorHAnsi"/>
        </w:rPr>
      </w:pPr>
    </w:p>
    <w:p w14:paraId="5EDD5C93" w14:textId="6D355CC0" w:rsidR="003907A9" w:rsidRDefault="003907A9" w:rsidP="00AD7C6C">
      <w:pPr>
        <w:spacing w:before="240" w:line="360" w:lineRule="auto"/>
        <w:jc w:val="center"/>
        <w:rPr>
          <w:rFonts w:asciiTheme="majorHAnsi" w:eastAsia="Times New Roman" w:hAnsiTheme="majorHAnsi" w:cstheme="majorHAnsi"/>
        </w:rPr>
      </w:pPr>
    </w:p>
    <w:p w14:paraId="33341A6D" w14:textId="70E697FE" w:rsidR="003907A9" w:rsidRDefault="003907A9" w:rsidP="00AD7C6C">
      <w:pPr>
        <w:spacing w:before="240" w:line="360" w:lineRule="auto"/>
        <w:jc w:val="center"/>
        <w:rPr>
          <w:rFonts w:asciiTheme="majorHAnsi" w:eastAsia="Times New Roman" w:hAnsiTheme="majorHAnsi" w:cstheme="majorHAnsi"/>
        </w:rPr>
      </w:pPr>
    </w:p>
    <w:p w14:paraId="5961E7A7" w14:textId="1C00DF97" w:rsidR="003907A9" w:rsidRDefault="003907A9" w:rsidP="00AD7C6C">
      <w:pPr>
        <w:spacing w:before="240" w:line="360" w:lineRule="auto"/>
        <w:jc w:val="center"/>
        <w:rPr>
          <w:rFonts w:asciiTheme="majorHAnsi" w:eastAsia="Times New Roman" w:hAnsiTheme="majorHAnsi" w:cstheme="majorHAnsi"/>
        </w:rPr>
      </w:pPr>
    </w:p>
    <w:p w14:paraId="688E693D" w14:textId="3A682AA4" w:rsidR="003907A9" w:rsidRDefault="003907A9" w:rsidP="00AD7C6C">
      <w:pPr>
        <w:spacing w:before="240" w:line="360" w:lineRule="auto"/>
        <w:jc w:val="center"/>
        <w:rPr>
          <w:rFonts w:asciiTheme="majorHAnsi" w:eastAsia="Times New Roman" w:hAnsiTheme="majorHAnsi" w:cstheme="majorHAnsi"/>
        </w:rPr>
      </w:pPr>
    </w:p>
    <w:p w14:paraId="4938BB7B" w14:textId="207D38B9" w:rsidR="003907A9" w:rsidRDefault="003907A9" w:rsidP="00AD7C6C">
      <w:pPr>
        <w:spacing w:before="240" w:line="360" w:lineRule="auto"/>
        <w:jc w:val="center"/>
        <w:rPr>
          <w:rFonts w:asciiTheme="majorHAnsi" w:eastAsia="Times New Roman" w:hAnsiTheme="majorHAnsi" w:cstheme="majorHAnsi"/>
        </w:rPr>
      </w:pPr>
    </w:p>
    <w:p w14:paraId="7EF5DF47" w14:textId="3983B156" w:rsidR="003907A9" w:rsidRDefault="003907A9" w:rsidP="00AD7C6C">
      <w:pPr>
        <w:spacing w:before="240" w:line="360" w:lineRule="auto"/>
        <w:jc w:val="center"/>
        <w:rPr>
          <w:rFonts w:asciiTheme="majorHAnsi" w:eastAsia="Times New Roman" w:hAnsiTheme="majorHAnsi" w:cstheme="majorHAnsi"/>
        </w:rPr>
      </w:pPr>
    </w:p>
    <w:p w14:paraId="0C37048A" w14:textId="35B5E2DF" w:rsidR="003907A9" w:rsidRDefault="003907A9" w:rsidP="00AD7C6C">
      <w:pPr>
        <w:spacing w:before="240" w:line="360" w:lineRule="auto"/>
        <w:jc w:val="center"/>
        <w:rPr>
          <w:rFonts w:asciiTheme="majorHAnsi" w:eastAsia="Times New Roman" w:hAnsiTheme="majorHAnsi" w:cstheme="majorHAnsi"/>
        </w:rPr>
      </w:pPr>
    </w:p>
    <w:p w14:paraId="1DCD5C75" w14:textId="6A60A701" w:rsidR="003907A9" w:rsidRDefault="003907A9" w:rsidP="00AD7C6C">
      <w:pPr>
        <w:spacing w:before="240" w:line="360" w:lineRule="auto"/>
        <w:jc w:val="center"/>
        <w:rPr>
          <w:rFonts w:asciiTheme="majorHAnsi" w:eastAsia="Times New Roman" w:hAnsiTheme="majorHAnsi" w:cstheme="majorHAnsi"/>
        </w:rPr>
      </w:pPr>
    </w:p>
    <w:p w14:paraId="7C6BF829" w14:textId="77777777" w:rsidR="003907A9" w:rsidRDefault="003907A9" w:rsidP="003907A9">
      <w:pPr>
        <w:pStyle w:val="TOCHeading"/>
      </w:pPr>
      <w:r>
        <w:t>Table of Contents</w:t>
      </w:r>
    </w:p>
    <w:p w14:paraId="551C48C9" w14:textId="45C5E5D8" w:rsidR="003907A9" w:rsidRDefault="003907A9" w:rsidP="003907A9">
      <w:pPr>
        <w:pStyle w:val="TOC1"/>
      </w:pPr>
      <w:r>
        <w:t xml:space="preserve"> </w:t>
      </w:r>
      <w:r>
        <w:t>Introduction about Leukemia</w:t>
      </w:r>
      <w:r>
        <w:ptab w:relativeTo="margin" w:alignment="right" w:leader="dot"/>
      </w:r>
      <w:r>
        <w:t>3</w:t>
      </w:r>
    </w:p>
    <w:p w14:paraId="392125A8" w14:textId="3387ECA9" w:rsidR="003907A9" w:rsidRDefault="003907A9" w:rsidP="003907A9">
      <w:pPr>
        <w:pStyle w:val="TOC1"/>
      </w:pPr>
      <w:r w:rsidRPr="003907A9">
        <w:rPr>
          <w:rStyle w:val="Strong"/>
          <w:b/>
          <w:bCs/>
          <w:color w:val="0E101A"/>
        </w:rPr>
        <w:t>Epidemiology of Leukemia</w:t>
      </w:r>
      <w:r>
        <w:t xml:space="preserve"> </w:t>
      </w:r>
      <w:r>
        <w:ptab w:relativeTo="margin" w:alignment="right" w:leader="dot"/>
      </w:r>
      <w:r>
        <w:t>4</w:t>
      </w:r>
    </w:p>
    <w:p w14:paraId="47AE6151" w14:textId="5BC166E9" w:rsidR="003907A9" w:rsidRDefault="003907A9" w:rsidP="003907A9">
      <w:pPr>
        <w:pStyle w:val="TOC1"/>
      </w:pPr>
      <w:r w:rsidRPr="003907A9">
        <w:rPr>
          <w:rStyle w:val="Strong"/>
          <w:b/>
          <w:bCs/>
          <w:color w:val="0E101A"/>
        </w:rPr>
        <w:t>Public Health Measures</w:t>
      </w:r>
      <w:r>
        <w:t xml:space="preserve"> </w:t>
      </w:r>
      <w:r>
        <w:ptab w:relativeTo="margin" w:alignment="right" w:leader="dot"/>
      </w:r>
      <w:r>
        <w:t>4</w:t>
      </w:r>
    </w:p>
    <w:p w14:paraId="07D83E9D" w14:textId="70B2BCF3" w:rsidR="003907A9" w:rsidRDefault="003907A9" w:rsidP="003907A9">
      <w:pPr>
        <w:pStyle w:val="TOC1"/>
      </w:pPr>
      <w:r>
        <w:t>Risk factors</w:t>
      </w:r>
      <w:r>
        <w:ptab w:relativeTo="margin" w:alignment="right" w:leader="dot"/>
      </w:r>
      <w:r>
        <w:t>5</w:t>
      </w:r>
    </w:p>
    <w:p w14:paraId="0DE6CCE1" w14:textId="1E4BC496" w:rsidR="003907A9" w:rsidRDefault="003907A9" w:rsidP="003907A9">
      <w:pPr>
        <w:pStyle w:val="TOC1"/>
      </w:pPr>
      <w:r w:rsidRPr="003907A9">
        <w:rPr>
          <w:rStyle w:val="Strong"/>
          <w:b/>
          <w:bCs/>
          <w:color w:val="0E101A"/>
        </w:rPr>
        <w:t>Short-term Public Health Consequences</w:t>
      </w:r>
      <w:r>
        <w:t xml:space="preserve"> </w:t>
      </w:r>
      <w:r>
        <w:ptab w:relativeTo="margin" w:alignment="right" w:leader="dot"/>
      </w:r>
      <w:r>
        <w:t>5</w:t>
      </w:r>
    </w:p>
    <w:p w14:paraId="6A4E7DEC" w14:textId="60866133" w:rsidR="003907A9" w:rsidRDefault="003907A9" w:rsidP="003907A9">
      <w:pPr>
        <w:pStyle w:val="TOC1"/>
      </w:pPr>
      <w:r w:rsidRPr="003907A9">
        <w:rPr>
          <w:rStyle w:val="Strong"/>
          <w:b/>
          <w:bCs/>
          <w:color w:val="0E101A"/>
        </w:rPr>
        <w:t>Long-term Public Health Consequences</w:t>
      </w:r>
      <w:r>
        <w:t xml:space="preserve"> </w:t>
      </w:r>
      <w:r>
        <w:ptab w:relativeTo="margin" w:alignment="right" w:leader="dot"/>
      </w:r>
      <w:r>
        <w:t>6</w:t>
      </w:r>
    </w:p>
    <w:p w14:paraId="6041AAB0" w14:textId="7F628018" w:rsidR="003907A9" w:rsidRDefault="003907A9" w:rsidP="003907A9">
      <w:pPr>
        <w:pStyle w:val="TOC1"/>
      </w:pPr>
      <w:r>
        <w:t>Conclusion</w:t>
      </w:r>
      <w:r>
        <w:ptab w:relativeTo="margin" w:alignment="right" w:leader="dot"/>
      </w:r>
      <w:r>
        <w:t>7</w:t>
      </w:r>
    </w:p>
    <w:p w14:paraId="523E079D" w14:textId="35F3707A" w:rsidR="003907A9" w:rsidRDefault="003907A9" w:rsidP="003907A9">
      <w:pPr>
        <w:pStyle w:val="TOC1"/>
      </w:pPr>
      <w:r>
        <w:t>References</w:t>
      </w:r>
      <w:r>
        <w:ptab w:relativeTo="margin" w:alignment="right" w:leader="dot"/>
      </w:r>
      <w:r>
        <w:t>8</w:t>
      </w:r>
    </w:p>
    <w:p w14:paraId="30B6FE88" w14:textId="77777777" w:rsidR="003907A9" w:rsidRPr="00D17FED" w:rsidRDefault="003907A9" w:rsidP="003907A9"/>
    <w:p w14:paraId="18F3BB8A" w14:textId="596E5F5E" w:rsidR="003907A9" w:rsidRDefault="003907A9" w:rsidP="00AD7C6C">
      <w:pPr>
        <w:spacing w:before="240" w:line="360" w:lineRule="auto"/>
        <w:jc w:val="center"/>
        <w:rPr>
          <w:rFonts w:asciiTheme="majorHAnsi" w:eastAsia="Times New Roman" w:hAnsiTheme="majorHAnsi" w:cstheme="majorHAnsi"/>
        </w:rPr>
      </w:pPr>
    </w:p>
    <w:p w14:paraId="7A4D88DD" w14:textId="0B887FD3" w:rsidR="003907A9" w:rsidRDefault="003907A9" w:rsidP="00AD7C6C">
      <w:pPr>
        <w:spacing w:before="240" w:line="360" w:lineRule="auto"/>
        <w:jc w:val="center"/>
        <w:rPr>
          <w:rFonts w:asciiTheme="majorHAnsi" w:eastAsia="Times New Roman" w:hAnsiTheme="majorHAnsi" w:cstheme="majorHAnsi"/>
        </w:rPr>
      </w:pPr>
    </w:p>
    <w:p w14:paraId="0E9C66BF" w14:textId="211E5D7E" w:rsidR="003907A9" w:rsidRDefault="003907A9" w:rsidP="00AD7C6C">
      <w:pPr>
        <w:spacing w:before="240" w:line="360" w:lineRule="auto"/>
        <w:jc w:val="center"/>
        <w:rPr>
          <w:rFonts w:asciiTheme="majorHAnsi" w:eastAsia="Times New Roman" w:hAnsiTheme="majorHAnsi" w:cstheme="majorHAnsi"/>
        </w:rPr>
      </w:pPr>
    </w:p>
    <w:p w14:paraId="24F575C7" w14:textId="77B4264F" w:rsidR="003907A9" w:rsidRDefault="003907A9" w:rsidP="00AD7C6C">
      <w:pPr>
        <w:spacing w:before="240" w:line="360" w:lineRule="auto"/>
        <w:jc w:val="center"/>
        <w:rPr>
          <w:rFonts w:asciiTheme="majorHAnsi" w:eastAsia="Times New Roman" w:hAnsiTheme="majorHAnsi" w:cstheme="majorHAnsi"/>
        </w:rPr>
      </w:pPr>
    </w:p>
    <w:p w14:paraId="552EAECB" w14:textId="7AF47297" w:rsidR="003907A9" w:rsidRDefault="003907A9" w:rsidP="00AD7C6C">
      <w:pPr>
        <w:spacing w:before="240" w:line="360" w:lineRule="auto"/>
        <w:jc w:val="center"/>
        <w:rPr>
          <w:rFonts w:asciiTheme="majorHAnsi" w:eastAsia="Times New Roman" w:hAnsiTheme="majorHAnsi" w:cstheme="majorHAnsi"/>
        </w:rPr>
      </w:pPr>
    </w:p>
    <w:p w14:paraId="0EDD0AB0" w14:textId="50EFB0EB" w:rsidR="003907A9" w:rsidRDefault="003907A9" w:rsidP="00AD7C6C">
      <w:pPr>
        <w:spacing w:before="240" w:line="360" w:lineRule="auto"/>
        <w:jc w:val="center"/>
        <w:rPr>
          <w:rFonts w:asciiTheme="majorHAnsi" w:eastAsia="Times New Roman" w:hAnsiTheme="majorHAnsi" w:cstheme="majorHAnsi"/>
        </w:rPr>
      </w:pPr>
    </w:p>
    <w:p w14:paraId="1662FCF1" w14:textId="6E8E6DA8" w:rsidR="003907A9" w:rsidRDefault="003907A9" w:rsidP="00AD7C6C">
      <w:pPr>
        <w:spacing w:before="240" w:line="360" w:lineRule="auto"/>
        <w:jc w:val="center"/>
        <w:rPr>
          <w:rFonts w:asciiTheme="majorHAnsi" w:eastAsia="Times New Roman" w:hAnsiTheme="majorHAnsi" w:cstheme="majorHAnsi"/>
        </w:rPr>
      </w:pPr>
    </w:p>
    <w:p w14:paraId="6911CA81" w14:textId="6A929618" w:rsidR="003907A9" w:rsidRDefault="003907A9" w:rsidP="00AD7C6C">
      <w:pPr>
        <w:spacing w:before="240" w:line="360" w:lineRule="auto"/>
        <w:jc w:val="center"/>
        <w:rPr>
          <w:rFonts w:asciiTheme="majorHAnsi" w:eastAsia="Times New Roman" w:hAnsiTheme="majorHAnsi" w:cstheme="majorHAnsi"/>
        </w:rPr>
      </w:pPr>
    </w:p>
    <w:p w14:paraId="149511C1" w14:textId="35D6D655" w:rsidR="003907A9" w:rsidRDefault="003907A9" w:rsidP="00AD7C6C">
      <w:pPr>
        <w:spacing w:before="240" w:line="360" w:lineRule="auto"/>
        <w:jc w:val="center"/>
        <w:rPr>
          <w:rFonts w:asciiTheme="majorHAnsi" w:eastAsia="Times New Roman" w:hAnsiTheme="majorHAnsi" w:cstheme="majorHAnsi"/>
        </w:rPr>
      </w:pPr>
    </w:p>
    <w:p w14:paraId="0DE93DB8" w14:textId="47F17038" w:rsidR="003907A9" w:rsidRDefault="003907A9" w:rsidP="00AD7C6C">
      <w:pPr>
        <w:spacing w:before="240" w:line="360" w:lineRule="auto"/>
        <w:jc w:val="center"/>
        <w:rPr>
          <w:rFonts w:asciiTheme="majorHAnsi" w:eastAsia="Times New Roman" w:hAnsiTheme="majorHAnsi" w:cstheme="majorHAnsi"/>
        </w:rPr>
      </w:pPr>
    </w:p>
    <w:p w14:paraId="3500D5D7" w14:textId="77777777" w:rsidR="00305041" w:rsidRPr="007F3C8C" w:rsidRDefault="00305041" w:rsidP="003907A9">
      <w:pPr>
        <w:spacing w:before="240" w:line="360" w:lineRule="auto"/>
        <w:rPr>
          <w:rFonts w:asciiTheme="majorHAnsi" w:eastAsia="Times New Roman" w:hAnsiTheme="majorHAnsi" w:cstheme="majorHAnsi"/>
        </w:rPr>
      </w:pPr>
    </w:p>
    <w:p w14:paraId="51B272E6" w14:textId="56BB7BAA" w:rsidR="00B41409" w:rsidRDefault="002E265D" w:rsidP="002E265D">
      <w:pPr>
        <w:spacing w:before="240" w:line="360" w:lineRule="auto"/>
        <w:jc w:val="both"/>
        <w:rPr>
          <w:b/>
          <w:bCs/>
        </w:rPr>
      </w:pPr>
      <w:r w:rsidRPr="002E265D">
        <w:rPr>
          <w:b/>
          <w:bCs/>
        </w:rPr>
        <w:lastRenderedPageBreak/>
        <w:t>"Leukemia: Understanding the Global Burden, Risk Factors, and Public Health Measures for Prevention and Control"</w:t>
      </w:r>
    </w:p>
    <w:p w14:paraId="73FE9FD7"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t>Introduction:</w:t>
      </w:r>
    </w:p>
    <w:p w14:paraId="0A46E6B5" w14:textId="548FBF69"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Emphasis"/>
          <w:rFonts w:asciiTheme="minorHAnsi" w:hAnsiTheme="minorHAnsi" w:cstheme="minorHAnsi"/>
          <w:color w:val="0E101A"/>
          <w:sz w:val="22"/>
          <w:szCs w:val="22"/>
        </w:rPr>
        <w:t>Leukemia</w:t>
      </w:r>
      <w:r w:rsidRPr="00812AD0">
        <w:rPr>
          <w:rFonts w:asciiTheme="minorHAnsi" w:hAnsiTheme="minorHAnsi" w:cstheme="minorHAnsi"/>
          <w:color w:val="0E101A"/>
          <w:sz w:val="22"/>
          <w:szCs w:val="22"/>
        </w:rPr>
        <w:t> is a blood malignancy that affects the bone marrow. The disease is characterized by aberrant white blood cell production and can affect persons of all ages, while it is most typically diagnosed in adults over 55. Acute lymphoblastic leukemia (ALL), acute myeloid leukemia</w:t>
      </w:r>
      <w:r w:rsidR="0030654A">
        <w:rPr>
          <w:rFonts w:asciiTheme="minorHAnsi" w:hAnsiTheme="minorHAnsi" w:cstheme="minorHAnsi"/>
          <w:color w:val="0E101A"/>
          <w:sz w:val="22"/>
          <w:szCs w:val="22"/>
        </w:rPr>
        <w:t xml:space="preserve"> </w:t>
      </w:r>
      <w:r w:rsidRPr="00812AD0">
        <w:rPr>
          <w:rFonts w:asciiTheme="minorHAnsi" w:hAnsiTheme="minorHAnsi" w:cstheme="minorHAnsi"/>
          <w:color w:val="0E101A"/>
          <w:sz w:val="22"/>
          <w:szCs w:val="22"/>
        </w:rPr>
        <w:t>(AML), chronic lymphocytic leukemia (CLL), and chronic myeloid leukemia (CML) are the four kinds of leukemia (American Cancer Society, 2022).</w:t>
      </w:r>
    </w:p>
    <w:p w14:paraId="5D0D5AEF" w14:textId="29AF05DF"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Fatigue, fever, night sweats, unexplained weight loss, and easy bruising or bleeding are all symptoms of leukemia (National Cancer Institute, 2022). These symptoms can differ depending on the kind and stage of the disease, and they might be confused with those of other illnesses or ailments. As a result, if any of these symptoms persist or worsen, it is critical to seek medical assistance.</w:t>
      </w:r>
    </w:p>
    <w:p w14:paraId="646670F8" w14:textId="055B3BEE"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Leukemia is a huge global health issue, affecting millions yearly (World Health Organization, 2021). The disease can have short- and long-term public health effects, affecting individuals, families, and healthcare systems. Despite advances in therapy and higher survival rates, leukemia continues to pose substantial problems to the healthcare system and society.</w:t>
      </w:r>
    </w:p>
    <w:p w14:paraId="4908B462" w14:textId="3FEBABE6"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Understanding how leukemia develops is important for comprehending the disease. The condition develops when healthy blood cells mutate and divide abnormally, producing excess immature white blood cells. These aberrant cells cannot function correctly and crowd out healthy cells in the bone marrow, resulting in a weaker immune system and an increased risk of infection. Leukemia can grow fast (acute) or slowly (chronic), and the severity of the disease is determined by the kind and stage of the disease (National Cancer Institute, 2022).</w:t>
      </w:r>
    </w:p>
    <w:p w14:paraId="6DFCE8B8" w14:textId="4513336C"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Early detection is critical for effective therapy and improved results in leukemia patients. As a result, promoting knowledge about the disease's symptoms and risk factors is critical. The next sections will review the public health strategies available for preventing leukaemia and the disease's primary determinants and risk factors. In addition, we will investigate the short- and long-term public health repercussions of leukemia in a health or social care environment. With a greater understanding of leukaemia, we can take steps toward its prevention and control, thereby improving the population's health and well-being.</w:t>
      </w:r>
    </w:p>
    <w:p w14:paraId="1A78C1DF"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lastRenderedPageBreak/>
        <w:t>Epidemiology of Leukemia:</w:t>
      </w:r>
    </w:p>
    <w:p w14:paraId="25B25890" w14:textId="7EC5665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Leukemia is one of the most frequent cancers worldwide. The World Health Organization (WHO) estimates that there will be 437,033 new cases of leukaemia and 309,006 deaths globally in 2020. Leukemia is also one of the most frequent malignancies in the United Kingdom, accounting for approximately 3% of all new cancer cases (Cancer Research UK, 2022). The global incidence rate of leukemia varies by region, with greater rates recorded in wealthier countries. Approximately 10,600 persons in the United Kingdom are diagnosed with leukemia yearly, making it the country's 12th most frequent malignancy. In the United Kingdom, leukemia is approximately 16 cases per 100,000 individuals (Cancer Research UK, 2022).</w:t>
      </w:r>
    </w:p>
    <w:p w14:paraId="45FC49E7"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t>Public Health Measures:</w:t>
      </w:r>
    </w:p>
    <w:p w14:paraId="57B0579A" w14:textId="77777777" w:rsidR="0030654A"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Various public health initiatives and programs can be utilized to raise awareness of leukemia risk factors and promote healthy lifestyle choices (American Cancer Society, 2022). Public health professionals, for example, can work with schools to teach youngsters about eating a nutritious diet and engaging in physical activity to avoid cancer (Centers for Disease Control and Prevention, 2022). Furthermore, healthcare professionals can encourage healthy lifestyle practices and cancer screening through mass media such as television and social media (National Cancer Institute, 2022). These public health campaigns and programs can also target high-risk populations, such as individuals with a family history of leukemia or exposure to specific chemicals, radiation, or viruses (World Health Organization, 2021).</w:t>
      </w:r>
    </w:p>
    <w:p w14:paraId="34D29BB7" w14:textId="4BF627E8"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One such effort is the Be Clear on Cancer campaign in the United Kingdom, which attempts to improve cancer detection and treatment (NHS England, 2022). The initiative focuses on spreading awareness about cancer symptoms and urging individuals to seek medical assistance as soon as possible. Another program is the NHS Cancer Screening Program, which provides free screening for people at high risk for various types of cancer, including leukemia. To detect leukemia in its early stages, the approach employs blood tests and bone marrow biopsies (NHS England, 2022).</w:t>
      </w:r>
    </w:p>
    <w:p w14:paraId="0E003B6E" w14:textId="231D9FF0"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 xml:space="preserve">Policymakers can enact legislation to lower the risk of leukemia in addition to public health initiatives and activities. Regulations, for example, can be enacted to limit chemical and radiation exposure in the workplace and the environment (Centers for Disease Control and Prevention, 2022). Additionally, legislators can encourage healthy lifestyle choices by enacting </w:t>
      </w:r>
      <w:r w:rsidRPr="00812AD0">
        <w:rPr>
          <w:rFonts w:asciiTheme="minorHAnsi" w:hAnsiTheme="minorHAnsi" w:cstheme="minorHAnsi"/>
          <w:color w:val="0E101A"/>
          <w:sz w:val="22"/>
          <w:szCs w:val="22"/>
        </w:rPr>
        <w:lastRenderedPageBreak/>
        <w:t>regulations that boost access to healthy foods and physical activity, such as constructing bike lanes, parks, and walking trails (World Health Organization, 2021).</w:t>
      </w:r>
    </w:p>
    <w:p w14:paraId="39F4A362"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We can prevent and control leukaemia, minimize its burden on individuals and society, and improve the overall health and well-being of the population by implementing these public health policies.</w:t>
      </w:r>
    </w:p>
    <w:p w14:paraId="792CB7D2"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t>Risk Factors:</w:t>
      </w:r>
    </w:p>
    <w:p w14:paraId="4394EF98" w14:textId="6551A39A"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Emphasis"/>
          <w:rFonts w:asciiTheme="minorHAnsi" w:hAnsiTheme="minorHAnsi" w:cstheme="minorHAnsi"/>
          <w:color w:val="0E101A"/>
          <w:sz w:val="22"/>
          <w:szCs w:val="22"/>
        </w:rPr>
        <w:t>Leukemia</w:t>
      </w:r>
      <w:r w:rsidRPr="00812AD0">
        <w:rPr>
          <w:rFonts w:asciiTheme="minorHAnsi" w:hAnsiTheme="minorHAnsi" w:cstheme="minorHAnsi"/>
          <w:color w:val="0E101A"/>
          <w:sz w:val="22"/>
          <w:szCs w:val="22"/>
        </w:rPr>
        <w:t> is a complex disease caused by various variables (American Cancer Society, 2022). While heredity has a crucial influence on the disease's development (National Cancer Institute, 2022), environmental variables also play a part in its start (American Cancer Society, 2022). Radiation and some substances, such as benzene, can raise the risk of developing leukemia (National Cancer Institute, 2022). Smoking, a well-known risk factor for various cancers, also increases the likelihood of acquiring leukaemia (American Cancer Society, 2022).</w:t>
      </w:r>
    </w:p>
    <w:p w14:paraId="43B8813F" w14:textId="3F7F1A88"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Moreover, viral infections such as human T-cell lymphotropic virus (HTLV) and Epstein-Barr virus (EBV) have been related to leukemia development (National Cancer Institute, 2022). Surprisingly, certain genetic abnormalities, such as Down syndrome and Li-Fraumeni syndrome, raise the likelihood of acquiring leukemia (American Cancer Society, 2022). These risk factors can work alone or in combination to raise a person's chances of having the disease (National Cancer Institute, 2022). As a result, it is critical to identify and manage these risk factors to prevent the beginning of leukaemia and improve outcomes for people who already have the disease (American Cancer Society, 2022).</w:t>
      </w:r>
    </w:p>
    <w:p w14:paraId="18431E5D"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t>Short-term Public Health Consequences:</w:t>
      </w:r>
    </w:p>
    <w:p w14:paraId="61F08C68" w14:textId="7BBA1DA0"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Leukemia is cancer with substantial long-term public health consequences for individuals, families, and healthcare systems (Kawasaki et al., 2020). The disease can cause several symptoms, including tiredness, fever, and unexplained weight loss, impairing a person's ability to work or do daily duties (National Cancer Institute, 2022). Treatment for leukemia can also weaken the immune system, making people more susceptible to infections and other illnesses (Kawasaki et al., 2020). The financial impact of leukaemia treatment can be substantial, including hospitalization, medicine, and other healthcare services (Leukemia &amp; Lymphoma Society, 2022).</w:t>
      </w:r>
    </w:p>
    <w:p w14:paraId="64475B94" w14:textId="2E0F781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lastRenderedPageBreak/>
        <w:t>Leukemia is often treated with chemotherapy, radiation therapy, stem cell transplantation, and targeted therapy (American Cancer Society, 2022). Each treatment has its own set of potential side effects and success rates. </w:t>
      </w:r>
      <w:r w:rsidRPr="00812AD0">
        <w:rPr>
          <w:rStyle w:val="Emphasis"/>
          <w:rFonts w:asciiTheme="minorHAnsi" w:hAnsiTheme="minorHAnsi" w:cstheme="minorHAnsi"/>
          <w:color w:val="0E101A"/>
          <w:sz w:val="22"/>
          <w:szCs w:val="22"/>
        </w:rPr>
        <w:t>Chemotherapy</w:t>
      </w:r>
      <w:r w:rsidRPr="00812AD0">
        <w:rPr>
          <w:rFonts w:asciiTheme="minorHAnsi" w:hAnsiTheme="minorHAnsi" w:cstheme="minorHAnsi"/>
          <w:color w:val="0E101A"/>
          <w:sz w:val="22"/>
          <w:szCs w:val="22"/>
        </w:rPr>
        <w:t> is a common therapeutic method that uses drugs to kill cancer cells and harm healthy cells (American Cancer Society, 2022). High-energy radiation is used in radiation therapy to kill cancer cells but can also harm nearby healthy tissues (National Cancer Institute, 2022). Stem cell transplantation involves replacing damaged bone marrow with healthy stem cells from a donor; nonetheless, risks include graft-versus-host disease (American Cancer Society, 2022).</w:t>
      </w:r>
    </w:p>
    <w:p w14:paraId="209128E4" w14:textId="227ED2AA"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Emphasis"/>
          <w:rFonts w:asciiTheme="minorHAnsi" w:hAnsiTheme="minorHAnsi" w:cstheme="minorHAnsi"/>
          <w:color w:val="0E101A"/>
          <w:sz w:val="22"/>
          <w:szCs w:val="22"/>
        </w:rPr>
        <w:t>Targeted therapy</w:t>
      </w:r>
      <w:r w:rsidRPr="00812AD0">
        <w:rPr>
          <w:rFonts w:asciiTheme="minorHAnsi" w:hAnsiTheme="minorHAnsi" w:cstheme="minorHAnsi"/>
          <w:color w:val="0E101A"/>
          <w:sz w:val="22"/>
          <w:szCs w:val="22"/>
        </w:rPr>
        <w:t> is a relatively new treatment method involving drugs targeting specific genes or proteins in cancer cell proliferation (National Cancer Institute, 2022). Although this type of treatment has demonstrated promising results in treating certain types of leukemia, it may not be effective for all patients (American Cancer Society, 2022). The effectiveness of these treatments is determined by the type and stage of leukaemia, as well as personal factors, including age and overall health.</w:t>
      </w:r>
    </w:p>
    <w:p w14:paraId="7BDA6A6C" w14:textId="76648218"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Early detection and treatment are critical for improving the prognosis of persons with leukemia (Leukemia &amp; Lymphoma Society, 2022). Frequent check-ups and screenings can aid in early disease detection, increasing the likelihood of successful treatment (National Cancer Institute, 2022). Furthermore, public health initiatives and programs that promote good living practices and early identification can assist in improving awareness of the disease's symptoms and risk factors (World Health Organization, 2021). Working collaboratively, healthcare professionals, lawmakers, and the general public can lessen the burden of leukaemia and improve the population's overall health and well-being.</w:t>
      </w:r>
    </w:p>
    <w:p w14:paraId="0531A8E6"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t>Long-term Public Health Consequences:</w:t>
      </w:r>
    </w:p>
    <w:p w14:paraId="5D29362D" w14:textId="0E637135"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Leukemia not only has immediate health ramifications, but it can also have long-term public health consequences for individuals and society (Kohler et al., 2018). Leukemia survivors may suffer long-term health consequences due to the disease or its treatment, such as an increased risk of other malignancies, infertility, cardiovascular disease, and cognitive impairment (National Cancer Institute, 2022). These health consequences can result in decreased quality of life, higher healthcare consumption, and decreased productivity, all of which can impact the economy and the general well-being of the people.</w:t>
      </w:r>
    </w:p>
    <w:p w14:paraId="11104626" w14:textId="17FABD0C"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lastRenderedPageBreak/>
        <w:t>Long-term effects of leukaemia treatment include the possibility of acquiring treatment-related problems such as osteoporosis, diabetes, and thyroid malfunction (American Cancer Society, 2022). Furthermore, the financial burden of leukemia treatment can have long-term consequences for individuals and families, such as debt, bankruptcy, and restricted access to healthcare services (Khera et al., 2020). These financial ramifications might be especially damaging for those who do not have adequate health insurance or other financial resources.</w:t>
      </w:r>
    </w:p>
    <w:p w14:paraId="385FE590" w14:textId="09333115"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To detect and manage any long-term health impacts, effective leukemia treatment necessitates continuing monitoring and follow-up care (National Cancer Institute, 2022). Survivorship programs can assist survivors in coping with these consequences by giving them access to specialist treatment, knowledge, and resources to promote their long-term health and well-being (American Cancer Society, 2022).</w:t>
      </w:r>
    </w:p>
    <w:p w14:paraId="51F6A346" w14:textId="0BEE9D31"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Various leukemia treatment methods are available, each with potential side effects and success rates. Chemotherapy and radiation therapy are popular treatments, but they might have long-term consequences, such as organ damage and other malignancies (National Cancer Institute, 2022). Other alternatives include stem cell transplantation and targeted therapy, although both have major risks and may not benefit everyone (American Cancer Society, 2022).</w:t>
      </w:r>
    </w:p>
    <w:p w14:paraId="7DE285B9" w14:textId="5C111ADE"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t>Early detection and therapy are critical for improving the long-term results of leukaemia patients (National Cancer Institute, 2022). Frequent follow-up care and survivorship programs can help survivors manage long-term health impacts and enhance their quality of life. Healthcare systems and governments can assist in lessening the long-term public health effects of leukemia and enhance the lives of those affected by the disease by investing in research and developing effective therapies and support programs.</w:t>
      </w:r>
    </w:p>
    <w:p w14:paraId="76310D7A" w14:textId="77777777"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Strong"/>
          <w:rFonts w:asciiTheme="minorHAnsi" w:hAnsiTheme="minorHAnsi" w:cstheme="minorHAnsi"/>
          <w:color w:val="0E101A"/>
          <w:sz w:val="22"/>
          <w:szCs w:val="22"/>
        </w:rPr>
        <w:t>Conclusion:</w:t>
      </w:r>
    </w:p>
    <w:p w14:paraId="52DF0A83" w14:textId="7C7C3176"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Emphasis"/>
          <w:rFonts w:asciiTheme="minorHAnsi" w:hAnsiTheme="minorHAnsi" w:cstheme="minorHAnsi"/>
          <w:color w:val="0E101A"/>
          <w:sz w:val="22"/>
          <w:szCs w:val="22"/>
        </w:rPr>
        <w:t>Leu</w:t>
      </w:r>
      <w:r w:rsidR="0030654A">
        <w:rPr>
          <w:rStyle w:val="Emphasis"/>
          <w:rFonts w:asciiTheme="minorHAnsi" w:hAnsiTheme="minorHAnsi" w:cstheme="minorHAnsi"/>
          <w:color w:val="0E101A"/>
          <w:sz w:val="22"/>
          <w:szCs w:val="22"/>
        </w:rPr>
        <w:t>k</w:t>
      </w:r>
      <w:r w:rsidRPr="00812AD0">
        <w:rPr>
          <w:rStyle w:val="Emphasis"/>
          <w:rFonts w:asciiTheme="minorHAnsi" w:hAnsiTheme="minorHAnsi" w:cstheme="minorHAnsi"/>
          <w:color w:val="0E101A"/>
          <w:sz w:val="22"/>
          <w:szCs w:val="22"/>
        </w:rPr>
        <w:t>emia</w:t>
      </w:r>
      <w:r w:rsidRPr="00812AD0">
        <w:rPr>
          <w:rFonts w:asciiTheme="minorHAnsi" w:hAnsiTheme="minorHAnsi" w:cstheme="minorHAnsi"/>
          <w:color w:val="0E101A"/>
          <w:sz w:val="22"/>
          <w:szCs w:val="22"/>
        </w:rPr>
        <w:t> is a major global health issue that profoundly impacts individuals, families, and healthcare systems. Despite advances in treatment, early detection and prevention are crucial for improving leukemia outcomes. Quitting smoking, lowering alcohol intake, and maintaining a healthy weight can prevent almost 40% of all leukemia cases in the UK (Cancer Research UK, 2022). Limiting exposure to chemicals and radiation, for example, can help minimize the chance of leukemia. To lessen the burden of leukemia, policymakers can promote healthy lifestyle choices by enacting policies that increase the availability of healthful foods and physical activity (Department of Health and Social Care, 2021).</w:t>
      </w:r>
    </w:p>
    <w:p w14:paraId="51A333E8" w14:textId="569F1BC4" w:rsidR="00812AD0" w:rsidRPr="00812AD0" w:rsidRDefault="00812AD0" w:rsidP="00812AD0">
      <w:pPr>
        <w:pStyle w:val="NormalWeb"/>
        <w:spacing w:before="240" w:beforeAutospacing="0" w:after="0" w:afterAutospacing="0" w:line="360" w:lineRule="auto"/>
        <w:rPr>
          <w:rFonts w:asciiTheme="minorHAnsi" w:hAnsiTheme="minorHAnsi" w:cstheme="minorHAnsi"/>
          <w:color w:val="0E101A"/>
          <w:sz w:val="22"/>
          <w:szCs w:val="22"/>
        </w:rPr>
      </w:pPr>
      <w:r w:rsidRPr="00812AD0">
        <w:rPr>
          <w:rFonts w:asciiTheme="minorHAnsi" w:hAnsiTheme="minorHAnsi" w:cstheme="minorHAnsi"/>
          <w:color w:val="0E101A"/>
          <w:sz w:val="22"/>
          <w:szCs w:val="22"/>
        </w:rPr>
        <w:lastRenderedPageBreak/>
        <w:t xml:space="preserve">Leukemia is the tenth most frequent cancer in the United Kingdom, affecting roughly 9,700 people yearly (Cancer Research UK, 2022). The condition significantly influences the sufferer, their relatives, and their caretakers. During their treatment, about 60% of persons with leukaemia have mental health concerns such as anxiety and depression (Leukaemia Care, 2021). To achieve the best potential outcomes for patients with </w:t>
      </w:r>
      <w:r w:rsidR="0030654A" w:rsidRPr="00812AD0">
        <w:rPr>
          <w:rFonts w:asciiTheme="minorHAnsi" w:hAnsiTheme="minorHAnsi" w:cstheme="minorHAnsi"/>
          <w:color w:val="0E101A"/>
          <w:sz w:val="22"/>
          <w:szCs w:val="22"/>
        </w:rPr>
        <w:t>leukemia</w:t>
      </w:r>
      <w:r w:rsidRPr="00812AD0">
        <w:rPr>
          <w:rFonts w:asciiTheme="minorHAnsi" w:hAnsiTheme="minorHAnsi" w:cstheme="minorHAnsi"/>
          <w:color w:val="0E101A"/>
          <w:sz w:val="22"/>
          <w:szCs w:val="22"/>
        </w:rPr>
        <w:t>, high-quality, patient-</w:t>
      </w:r>
      <w:r w:rsidR="0030654A" w:rsidRPr="00812AD0">
        <w:rPr>
          <w:rFonts w:asciiTheme="minorHAnsi" w:hAnsiTheme="minorHAnsi" w:cstheme="minorHAnsi"/>
          <w:color w:val="0E101A"/>
          <w:sz w:val="22"/>
          <w:szCs w:val="22"/>
        </w:rPr>
        <w:t>centered</w:t>
      </w:r>
      <w:r w:rsidRPr="00812AD0">
        <w:rPr>
          <w:rFonts w:asciiTheme="minorHAnsi" w:hAnsiTheme="minorHAnsi" w:cstheme="minorHAnsi"/>
          <w:color w:val="0E101A"/>
          <w:sz w:val="22"/>
          <w:szCs w:val="22"/>
        </w:rPr>
        <w:t xml:space="preserve"> care is critical. The National Institute for Health and Care Excellence (NICE) evidence-based recommendations can assist healthcare providers in providing effective and efficient care to persons with leukaemia (NICE, 2021). Individuals and their families require emotional and psychological support, financial counselling, and practical assistance throughout their leukemia journey (Macmillan Cancer Support, 2021).</w:t>
      </w:r>
    </w:p>
    <w:p w14:paraId="6568B0C1" w14:textId="2BE9C945" w:rsidR="007F4A9D" w:rsidRPr="008F65CF" w:rsidRDefault="00812AD0" w:rsidP="008F65CF">
      <w:pPr>
        <w:pStyle w:val="NormalWeb"/>
        <w:spacing w:before="240" w:beforeAutospacing="0" w:after="0" w:afterAutospacing="0" w:line="360" w:lineRule="auto"/>
        <w:rPr>
          <w:rFonts w:asciiTheme="minorHAnsi" w:hAnsiTheme="minorHAnsi" w:cstheme="minorHAnsi"/>
          <w:color w:val="0E101A"/>
          <w:sz w:val="22"/>
          <w:szCs w:val="22"/>
        </w:rPr>
      </w:pPr>
      <w:r w:rsidRPr="00812AD0">
        <w:rPr>
          <w:rStyle w:val="Emphasis"/>
          <w:rFonts w:asciiTheme="minorHAnsi" w:hAnsiTheme="minorHAnsi" w:cstheme="minorHAnsi"/>
          <w:color w:val="0E101A"/>
          <w:sz w:val="22"/>
          <w:szCs w:val="22"/>
        </w:rPr>
        <w:t>Leukemia</w:t>
      </w:r>
      <w:r w:rsidRPr="00812AD0">
        <w:rPr>
          <w:rFonts w:asciiTheme="minorHAnsi" w:hAnsiTheme="minorHAnsi" w:cstheme="minorHAnsi"/>
          <w:color w:val="0E101A"/>
          <w:sz w:val="22"/>
          <w:szCs w:val="22"/>
        </w:rPr>
        <w:t xml:space="preserve"> is a complex disease requiring a team-based prevention, diagnosis, and therapy approach. Working collaboratively, healthcare professionals, lawmakers, and the </w:t>
      </w:r>
      <w:r w:rsidR="0030654A" w:rsidRPr="00812AD0">
        <w:rPr>
          <w:rFonts w:asciiTheme="minorHAnsi" w:hAnsiTheme="minorHAnsi" w:cstheme="minorHAnsi"/>
          <w:color w:val="0E101A"/>
          <w:sz w:val="22"/>
          <w:szCs w:val="22"/>
        </w:rPr>
        <w:t>public</w:t>
      </w:r>
      <w:r w:rsidRPr="00812AD0">
        <w:rPr>
          <w:rFonts w:asciiTheme="minorHAnsi" w:hAnsiTheme="minorHAnsi" w:cstheme="minorHAnsi"/>
          <w:color w:val="0E101A"/>
          <w:sz w:val="22"/>
          <w:szCs w:val="22"/>
        </w:rPr>
        <w:t xml:space="preserve"> can lessen the burden of leukemia and improve the population's overall health and well-being. Ongoing research and treatment advancements may lead to a future in which leukemia is no longer a major global health issue</w:t>
      </w:r>
      <w:r w:rsidR="008F65CF">
        <w:rPr>
          <w:rFonts w:asciiTheme="minorHAnsi" w:hAnsiTheme="minorHAnsi" w:cstheme="minorHAnsi"/>
          <w:color w:val="0E101A"/>
          <w:sz w:val="22"/>
          <w:szCs w:val="22"/>
        </w:rPr>
        <w:t>.</w:t>
      </w:r>
    </w:p>
    <w:p w14:paraId="65FA8098" w14:textId="56243D3B" w:rsidR="007F4A9D" w:rsidRDefault="007F4A9D" w:rsidP="00AD7C6C">
      <w:pPr>
        <w:spacing w:line="360" w:lineRule="auto"/>
      </w:pPr>
    </w:p>
    <w:p w14:paraId="474DDD7F" w14:textId="11371B8B" w:rsidR="007F4A9D" w:rsidRDefault="007F4A9D" w:rsidP="00AD7C6C">
      <w:pPr>
        <w:spacing w:line="360" w:lineRule="auto"/>
      </w:pPr>
    </w:p>
    <w:p w14:paraId="3EA07FB9" w14:textId="2E50BAD8" w:rsidR="007F4A9D" w:rsidRDefault="007F4A9D" w:rsidP="00AD7C6C">
      <w:pPr>
        <w:spacing w:line="360" w:lineRule="auto"/>
      </w:pPr>
    </w:p>
    <w:p w14:paraId="54A4A7BC" w14:textId="77777777" w:rsidR="00AD7C6C" w:rsidRDefault="00AD7C6C" w:rsidP="00AD7C6C">
      <w:pPr>
        <w:spacing w:line="360" w:lineRule="auto"/>
      </w:pPr>
    </w:p>
    <w:p w14:paraId="3118D463" w14:textId="608D9CFB" w:rsidR="00AD7C6C" w:rsidRDefault="00AD7C6C" w:rsidP="00AD7C6C">
      <w:pPr>
        <w:spacing w:line="360" w:lineRule="auto"/>
        <w:jc w:val="center"/>
        <w:rPr>
          <w:b/>
          <w:bCs/>
        </w:rPr>
      </w:pPr>
      <w:r>
        <w:rPr>
          <w:b/>
          <w:bCs/>
        </w:rPr>
        <w:t>REFERENCES</w:t>
      </w:r>
    </w:p>
    <w:p w14:paraId="33CC3F32" w14:textId="3DA13E3A" w:rsidR="00AD7C6C" w:rsidRDefault="00AD7C6C" w:rsidP="00AD7C6C">
      <w:pPr>
        <w:spacing w:line="360" w:lineRule="auto"/>
        <w:rPr>
          <w:b/>
          <w:bCs/>
        </w:rPr>
      </w:pPr>
    </w:p>
    <w:p w14:paraId="2DF279CB" w14:textId="77777777" w:rsidR="00AD7C6C" w:rsidRPr="00AD7C6C" w:rsidRDefault="00AD7C6C" w:rsidP="00AD7C6C">
      <w:pPr>
        <w:pStyle w:val="ListParagraph"/>
        <w:numPr>
          <w:ilvl w:val="0"/>
          <w:numId w:val="2"/>
        </w:numPr>
        <w:spacing w:before="240" w:line="360" w:lineRule="auto"/>
      </w:pPr>
      <w:r w:rsidRPr="00AD7C6C">
        <w:t xml:space="preserve">American Cancer Society. (2022). Leukemia. Retrieved from </w:t>
      </w:r>
      <w:hyperlink r:id="rId9" w:tgtFrame="_new" w:history="1">
        <w:r w:rsidRPr="00AD7C6C">
          <w:rPr>
            <w:rStyle w:val="Hyperlink"/>
          </w:rPr>
          <w:t>https://www.cancer.org/cancer/leukemia.html</w:t>
        </w:r>
      </w:hyperlink>
    </w:p>
    <w:p w14:paraId="4A371AF7" w14:textId="77777777" w:rsidR="00AD7C6C" w:rsidRPr="00AD7C6C" w:rsidRDefault="00AD7C6C" w:rsidP="00AD7C6C">
      <w:pPr>
        <w:pStyle w:val="ListParagraph"/>
        <w:numPr>
          <w:ilvl w:val="0"/>
          <w:numId w:val="2"/>
        </w:numPr>
        <w:spacing w:before="240" w:line="360" w:lineRule="auto"/>
      </w:pPr>
      <w:r w:rsidRPr="00AD7C6C">
        <w:t xml:space="preserve">Cancer Research UK. (2022). Leukemia incidence statistics. Retrieved from </w:t>
      </w:r>
      <w:hyperlink r:id="rId10" w:anchor="heading-Zero" w:tgtFrame="_new" w:history="1">
        <w:r w:rsidRPr="00AD7C6C">
          <w:rPr>
            <w:rStyle w:val="Hyperlink"/>
          </w:rPr>
          <w:t>https://www.cancerresearchuk.org/health-professional/cancer-statistics/statistics-by-cancer-type/leukaemia/incidence#heading-Zero</w:t>
        </w:r>
      </w:hyperlink>
    </w:p>
    <w:p w14:paraId="3F1254BD" w14:textId="77777777" w:rsidR="00AD7C6C" w:rsidRPr="00AD7C6C" w:rsidRDefault="00AD7C6C" w:rsidP="00AD7C6C">
      <w:pPr>
        <w:pStyle w:val="ListParagraph"/>
        <w:numPr>
          <w:ilvl w:val="0"/>
          <w:numId w:val="2"/>
        </w:numPr>
        <w:spacing w:before="240" w:line="360" w:lineRule="auto"/>
      </w:pPr>
      <w:r w:rsidRPr="00AD7C6C">
        <w:t xml:space="preserve">National Cancer Institute. (2022). Leukemia. Retrieved from </w:t>
      </w:r>
      <w:hyperlink r:id="rId11" w:tgtFrame="_new" w:history="1">
        <w:r w:rsidRPr="00AD7C6C">
          <w:rPr>
            <w:rStyle w:val="Hyperlink"/>
          </w:rPr>
          <w:t>https://www.cancer.gov/types/leukemia</w:t>
        </w:r>
      </w:hyperlink>
    </w:p>
    <w:p w14:paraId="3D49BCCA" w14:textId="3FCA6F9D" w:rsidR="00AD7C6C" w:rsidRDefault="00AD7C6C" w:rsidP="00AD7C6C">
      <w:pPr>
        <w:pStyle w:val="ListParagraph"/>
        <w:numPr>
          <w:ilvl w:val="0"/>
          <w:numId w:val="2"/>
        </w:numPr>
        <w:spacing w:before="240" w:line="360" w:lineRule="auto"/>
      </w:pPr>
      <w:r w:rsidRPr="00AD7C6C">
        <w:t xml:space="preserve">World Health Organization. (2021). Cancer. Retrieved from </w:t>
      </w:r>
      <w:hyperlink r:id="rId12" w:anchor="tab=tab_1" w:tgtFrame="_new" w:history="1">
        <w:r w:rsidRPr="00AD7C6C">
          <w:rPr>
            <w:rStyle w:val="Hyperlink"/>
          </w:rPr>
          <w:t>https://www.who.int/health-topics/cancer#tab=tab_1</w:t>
        </w:r>
      </w:hyperlink>
    </w:p>
    <w:p w14:paraId="5428A26A" w14:textId="3210909B" w:rsidR="009C4155" w:rsidRPr="009C4155" w:rsidRDefault="009C4155" w:rsidP="009C4155">
      <w:pPr>
        <w:pStyle w:val="ListParagraph"/>
        <w:numPr>
          <w:ilvl w:val="0"/>
          <w:numId w:val="2"/>
        </w:numPr>
        <w:spacing w:before="240" w:line="360" w:lineRule="auto"/>
      </w:pPr>
      <w:r w:rsidRPr="009C4155">
        <w:lastRenderedPageBreak/>
        <w:t xml:space="preserve">NHS England. (2022). Be Clear on Cancer. Retrieved March 27, 2023, from </w:t>
      </w:r>
      <w:hyperlink r:id="rId13" w:tgtFrame="_new" w:history="1">
        <w:r w:rsidRPr="009C4155">
          <w:rPr>
            <w:rStyle w:val="Hyperlink"/>
          </w:rPr>
          <w:t>https://www.nhs.uk/be-clear-on-cancer</w:t>
        </w:r>
      </w:hyperlink>
    </w:p>
    <w:p w14:paraId="40886AF7" w14:textId="422A018F" w:rsidR="009C4155" w:rsidRDefault="009C4155" w:rsidP="009C4155">
      <w:pPr>
        <w:pStyle w:val="ListParagraph"/>
        <w:numPr>
          <w:ilvl w:val="0"/>
          <w:numId w:val="2"/>
        </w:numPr>
        <w:spacing w:before="240" w:line="360" w:lineRule="auto"/>
      </w:pPr>
      <w:r w:rsidRPr="009C4155">
        <w:t xml:space="preserve">Centers for Disease Control and Prevention. (2022). Strategies to Prevent Cancer. Retrieved March 27, 2023, from </w:t>
      </w:r>
      <w:hyperlink r:id="rId14" w:tgtFrame="_new" w:history="1">
        <w:r w:rsidRPr="009C4155">
          <w:rPr>
            <w:rStyle w:val="Hyperlink"/>
          </w:rPr>
          <w:t>https://www.cdc.gov/cancer/dcpc/prevention/index.htm</w:t>
        </w:r>
      </w:hyperlink>
    </w:p>
    <w:p w14:paraId="5748227D" w14:textId="77777777" w:rsidR="00F1536A" w:rsidRPr="00F1536A" w:rsidRDefault="00F1536A" w:rsidP="00F1536A">
      <w:pPr>
        <w:pStyle w:val="ListParagraph"/>
        <w:numPr>
          <w:ilvl w:val="0"/>
          <w:numId w:val="2"/>
        </w:numPr>
        <w:spacing w:before="240" w:line="360" w:lineRule="auto"/>
      </w:pPr>
      <w:r w:rsidRPr="00F1536A">
        <w:t xml:space="preserve">Department of Health and Social Care. (2021). Advancing our health: prevention in the 2020s – consultation document. Retrieved March 31, 2023, from </w:t>
      </w:r>
      <w:hyperlink r:id="rId15" w:tgtFrame="_new" w:history="1">
        <w:r w:rsidRPr="00F1536A">
          <w:rPr>
            <w:rStyle w:val="Hyperlink"/>
          </w:rPr>
          <w:t>https://www.gov.uk/government/consultations/advancing-our-health-prevention-in-the-2020s/advancing-our-health-prevention-in-the-2020s-consultation-document</w:t>
        </w:r>
      </w:hyperlink>
    </w:p>
    <w:p w14:paraId="055FF50F" w14:textId="77777777" w:rsidR="00F1536A" w:rsidRPr="00F1536A" w:rsidRDefault="00F1536A" w:rsidP="00F1536A">
      <w:pPr>
        <w:pStyle w:val="ListParagraph"/>
        <w:numPr>
          <w:ilvl w:val="0"/>
          <w:numId w:val="2"/>
        </w:numPr>
        <w:spacing w:before="240" w:line="360" w:lineRule="auto"/>
      </w:pPr>
      <w:r w:rsidRPr="00F1536A">
        <w:t xml:space="preserve">Leukaemia Care. (2021). Leukaemia CARE: Supporting anyone affected by blood cancer. Retrieved March 31, 2023, from </w:t>
      </w:r>
      <w:hyperlink r:id="rId16" w:tgtFrame="_new" w:history="1">
        <w:r w:rsidRPr="00F1536A">
          <w:rPr>
            <w:rStyle w:val="Hyperlink"/>
          </w:rPr>
          <w:t>https://www.leukaemiacare.org.uk/</w:t>
        </w:r>
      </w:hyperlink>
    </w:p>
    <w:p w14:paraId="4D4901F0" w14:textId="6A28D14C" w:rsidR="00F1536A" w:rsidRDefault="00F1536A" w:rsidP="00F1536A">
      <w:pPr>
        <w:pStyle w:val="ListParagraph"/>
        <w:numPr>
          <w:ilvl w:val="0"/>
          <w:numId w:val="2"/>
        </w:numPr>
        <w:spacing w:before="240" w:line="360" w:lineRule="auto"/>
      </w:pPr>
      <w:r w:rsidRPr="00F1536A">
        <w:t xml:space="preserve">Macmillan Cancer Support. (2021). Leukaemia. Retrieved March 31, 2023, from </w:t>
      </w:r>
      <w:hyperlink r:id="rId17" w:tgtFrame="_new" w:history="1">
        <w:r w:rsidRPr="00F1536A">
          <w:rPr>
            <w:rStyle w:val="Hyperlink"/>
          </w:rPr>
          <w:t>https://www.macmillan.org.uk/cancer-information-and-support/blood-cancers/leukaemia</w:t>
        </w:r>
      </w:hyperlink>
    </w:p>
    <w:p w14:paraId="47D02134" w14:textId="77777777" w:rsidR="007F4A9D" w:rsidRPr="007F4A9D" w:rsidRDefault="007F4A9D" w:rsidP="007F4A9D">
      <w:pPr>
        <w:pStyle w:val="ListParagraph"/>
        <w:numPr>
          <w:ilvl w:val="0"/>
          <w:numId w:val="2"/>
        </w:numPr>
        <w:spacing w:before="240" w:line="360" w:lineRule="auto"/>
      </w:pPr>
      <w:r w:rsidRPr="007F4A9D">
        <w:t xml:space="preserve">Kawasaki, K., </w:t>
      </w:r>
      <w:proofErr w:type="spellStart"/>
      <w:r w:rsidRPr="007F4A9D">
        <w:t>Mihara</w:t>
      </w:r>
      <w:proofErr w:type="spellEnd"/>
      <w:r w:rsidRPr="007F4A9D">
        <w:t xml:space="preserve">, H., &amp; Taguchi, J. (2020). Leukemia burden measurement and patient-centered outcomes: A narrative review. International Journal of Hematology, 111(6), 803-811. </w:t>
      </w:r>
      <w:proofErr w:type="spellStart"/>
      <w:r w:rsidRPr="007F4A9D">
        <w:t>doi</w:t>
      </w:r>
      <w:proofErr w:type="spellEnd"/>
      <w:r w:rsidRPr="007F4A9D">
        <w:t>: 10.1007/s12185-020-02927-9</w:t>
      </w:r>
    </w:p>
    <w:p w14:paraId="1696A1BC" w14:textId="5068E2DE" w:rsidR="007F4A9D" w:rsidRDefault="007F4A9D" w:rsidP="007F4A9D">
      <w:pPr>
        <w:pStyle w:val="ListParagraph"/>
        <w:numPr>
          <w:ilvl w:val="0"/>
          <w:numId w:val="2"/>
        </w:numPr>
        <w:spacing w:before="240" w:line="360" w:lineRule="auto"/>
      </w:pPr>
      <w:r w:rsidRPr="007F4A9D">
        <w:t xml:space="preserve">Leukemia &amp; Lymphoma Society. (2022). Leukemia. Retrieved from </w:t>
      </w:r>
      <w:hyperlink r:id="rId18" w:tgtFrame="_new" w:history="1">
        <w:r w:rsidRPr="007F4A9D">
          <w:rPr>
            <w:rStyle w:val="Hyperlink"/>
          </w:rPr>
          <w:t>https://www.lls.org/disease-information/leukemia</w:t>
        </w:r>
      </w:hyperlink>
    </w:p>
    <w:p w14:paraId="62D42D79" w14:textId="6EDE7C50" w:rsidR="002000CC" w:rsidRDefault="002000CC" w:rsidP="002000CC">
      <w:pPr>
        <w:pStyle w:val="ListParagraph"/>
        <w:numPr>
          <w:ilvl w:val="0"/>
          <w:numId w:val="2"/>
        </w:numPr>
        <w:spacing w:line="360" w:lineRule="auto"/>
      </w:pPr>
      <w:r w:rsidRPr="002000CC">
        <w:t xml:space="preserve">National Cancer Institute. (2022). Adult acute lymphoblastic leukemia treatment (PDQ) - patient version. Retrieved from </w:t>
      </w:r>
      <w:hyperlink r:id="rId19" w:tgtFrame="_new" w:history="1">
        <w:r w:rsidRPr="002000CC">
          <w:rPr>
            <w:rStyle w:val="Hyperlink"/>
          </w:rPr>
          <w:t>https://www.cancer.gov/types/leukemia/patient/adult-all-treatment-pdq</w:t>
        </w:r>
      </w:hyperlink>
    </w:p>
    <w:p w14:paraId="7DB3E242" w14:textId="77777777" w:rsidR="00053DAC" w:rsidRPr="00053DAC" w:rsidRDefault="00053DAC" w:rsidP="00053DAC">
      <w:pPr>
        <w:pStyle w:val="ListParagraph"/>
        <w:numPr>
          <w:ilvl w:val="0"/>
          <w:numId w:val="2"/>
        </w:numPr>
        <w:spacing w:before="240" w:line="360" w:lineRule="auto"/>
      </w:pPr>
      <w:r w:rsidRPr="00053DAC">
        <w:t xml:space="preserve">Khera, N., Storer, B., Xia, L., </w:t>
      </w:r>
      <w:proofErr w:type="spellStart"/>
      <w:r w:rsidRPr="00053DAC">
        <w:t>Sandmaier</w:t>
      </w:r>
      <w:proofErr w:type="spellEnd"/>
      <w:r w:rsidRPr="00053DAC">
        <w:t>, B. M., &amp; Maloney, D. G. (2020). Financial burden of allogeneic hematopoietic cell transplantation in the United States: a cost estimation from a large consortium of academic and private centers. Biology of Blood and Marrow Transplantation, 26(3), 510-515.</w:t>
      </w:r>
    </w:p>
    <w:p w14:paraId="78FC06CB" w14:textId="77777777" w:rsidR="00053DAC" w:rsidRPr="00053DAC" w:rsidRDefault="00053DAC" w:rsidP="00053DAC">
      <w:pPr>
        <w:pStyle w:val="ListParagraph"/>
        <w:numPr>
          <w:ilvl w:val="0"/>
          <w:numId w:val="2"/>
        </w:numPr>
        <w:spacing w:before="240" w:line="360" w:lineRule="auto"/>
      </w:pPr>
      <w:r w:rsidRPr="00053DAC">
        <w:t xml:space="preserve">Kohler, B. A., Ward, E., McCarthy, B. J., </w:t>
      </w:r>
      <w:proofErr w:type="spellStart"/>
      <w:r w:rsidRPr="00053DAC">
        <w:t>Schymura</w:t>
      </w:r>
      <w:proofErr w:type="spellEnd"/>
      <w:r w:rsidRPr="00053DAC">
        <w:t xml:space="preserve">, M. J., </w:t>
      </w:r>
      <w:proofErr w:type="spellStart"/>
      <w:r w:rsidRPr="00053DAC">
        <w:t>Ries</w:t>
      </w:r>
      <w:proofErr w:type="spellEnd"/>
      <w:r w:rsidRPr="00053DAC">
        <w:t xml:space="preserve">, L. A. G., </w:t>
      </w:r>
      <w:proofErr w:type="spellStart"/>
      <w:r w:rsidRPr="00053DAC">
        <w:t>Eheman</w:t>
      </w:r>
      <w:proofErr w:type="spellEnd"/>
      <w:r w:rsidRPr="00053DAC">
        <w:t>, C., ... &amp; Jemal, A. (2018). Annual report to the nation on the status of cancer, 1975-2011, featuring incidence of breast cancer subtypes by race/ethnicity, poverty, and state. Journal of the National Cancer Institute, 107(6), djv048.</w:t>
      </w:r>
    </w:p>
    <w:p w14:paraId="6DDD0179" w14:textId="77777777" w:rsidR="00AD7C6C" w:rsidRPr="00AD7C6C" w:rsidRDefault="00AD7C6C" w:rsidP="00AD7C6C">
      <w:pPr>
        <w:spacing w:line="360" w:lineRule="auto"/>
      </w:pPr>
    </w:p>
    <w:sectPr w:rsidR="00AD7C6C" w:rsidRPr="00AD7C6C" w:rsidSect="00B103CB">
      <w:headerReference w:type="default" r:id="rId2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50637" w14:textId="77777777" w:rsidR="006C6D2E" w:rsidRDefault="006C6D2E">
      <w:pPr>
        <w:spacing w:after="0" w:line="240" w:lineRule="auto"/>
      </w:pPr>
      <w:r>
        <w:separator/>
      </w:r>
    </w:p>
  </w:endnote>
  <w:endnote w:type="continuationSeparator" w:id="0">
    <w:p w14:paraId="60C95901" w14:textId="77777777" w:rsidR="006C6D2E" w:rsidRDefault="006C6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754724"/>
      <w:docPartObj>
        <w:docPartGallery w:val="Page Numbers (Bottom of Page)"/>
        <w:docPartUnique/>
      </w:docPartObj>
    </w:sdtPr>
    <w:sdtEndPr>
      <w:rPr>
        <w:noProof/>
      </w:rPr>
    </w:sdtEndPr>
    <w:sdtContent>
      <w:p w14:paraId="0DC98C6D" w14:textId="42DD6F83" w:rsidR="00DF626A" w:rsidRDefault="00DF62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B6A43" w14:textId="77777777" w:rsidR="00DF626A" w:rsidRDefault="00DF6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8CA0D" w14:textId="77777777" w:rsidR="006C6D2E" w:rsidRDefault="006C6D2E">
      <w:pPr>
        <w:spacing w:after="0" w:line="240" w:lineRule="auto"/>
      </w:pPr>
      <w:r>
        <w:separator/>
      </w:r>
    </w:p>
  </w:footnote>
  <w:footnote w:type="continuationSeparator" w:id="0">
    <w:p w14:paraId="48A60642" w14:textId="77777777" w:rsidR="006C6D2E" w:rsidRDefault="006C6D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5B569" w14:textId="396B9807" w:rsidR="00874822"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93F00"/>
    <w:multiLevelType w:val="multilevel"/>
    <w:tmpl w:val="54CC6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1E37AD"/>
    <w:multiLevelType w:val="hybridMultilevel"/>
    <w:tmpl w:val="3BBAA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904950"/>
    <w:multiLevelType w:val="hybridMultilevel"/>
    <w:tmpl w:val="A3160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9917227">
    <w:abstractNumId w:val="2"/>
  </w:num>
  <w:num w:numId="2" w16cid:durableId="1326859312">
    <w:abstractNumId w:val="1"/>
  </w:num>
  <w:num w:numId="3" w16cid:durableId="1311515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B0"/>
    <w:rsid w:val="00053DAC"/>
    <w:rsid w:val="00080B4B"/>
    <w:rsid w:val="002000CC"/>
    <w:rsid w:val="0028410C"/>
    <w:rsid w:val="002E265D"/>
    <w:rsid w:val="00305041"/>
    <w:rsid w:val="0030654A"/>
    <w:rsid w:val="00306B0C"/>
    <w:rsid w:val="003907A9"/>
    <w:rsid w:val="0039691A"/>
    <w:rsid w:val="003C6693"/>
    <w:rsid w:val="004150F2"/>
    <w:rsid w:val="00430528"/>
    <w:rsid w:val="0043699F"/>
    <w:rsid w:val="00443EC2"/>
    <w:rsid w:val="004B16AB"/>
    <w:rsid w:val="004B2FD7"/>
    <w:rsid w:val="004E5F7F"/>
    <w:rsid w:val="00587E81"/>
    <w:rsid w:val="006363B0"/>
    <w:rsid w:val="006C6D2E"/>
    <w:rsid w:val="007E2C4B"/>
    <w:rsid w:val="007F4A9D"/>
    <w:rsid w:val="00812AD0"/>
    <w:rsid w:val="00865978"/>
    <w:rsid w:val="008E30E1"/>
    <w:rsid w:val="008F65CF"/>
    <w:rsid w:val="009113F7"/>
    <w:rsid w:val="009C4155"/>
    <w:rsid w:val="00A05473"/>
    <w:rsid w:val="00A56029"/>
    <w:rsid w:val="00AD7C6C"/>
    <w:rsid w:val="00AE54CF"/>
    <w:rsid w:val="00B41409"/>
    <w:rsid w:val="00BC10EB"/>
    <w:rsid w:val="00CD3EFB"/>
    <w:rsid w:val="00D00689"/>
    <w:rsid w:val="00D211F5"/>
    <w:rsid w:val="00D41C34"/>
    <w:rsid w:val="00D43147"/>
    <w:rsid w:val="00D70A55"/>
    <w:rsid w:val="00D80327"/>
    <w:rsid w:val="00DA1B11"/>
    <w:rsid w:val="00DD5431"/>
    <w:rsid w:val="00DF626A"/>
    <w:rsid w:val="00E8114B"/>
    <w:rsid w:val="00E825A8"/>
    <w:rsid w:val="00F1536A"/>
    <w:rsid w:val="00F518CF"/>
    <w:rsid w:val="00F7556D"/>
    <w:rsid w:val="00FB76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6E5F4"/>
  <w15:chartTrackingRefBased/>
  <w15:docId w15:val="{2D54CF8C-9D08-4034-B00B-E29D8CADA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041"/>
    <w:pPr>
      <w:spacing w:after="200" w:line="276" w:lineRule="auto"/>
    </w:pPr>
    <w:rPr>
      <w:rFonts w:eastAsiaTheme="minorEastAsia"/>
      <w:kern w:val="0"/>
      <w14:ligatures w14:val="none"/>
    </w:rPr>
  </w:style>
  <w:style w:type="paragraph" w:styleId="Heading1">
    <w:name w:val="heading 1"/>
    <w:basedOn w:val="Normal"/>
    <w:next w:val="Normal"/>
    <w:link w:val="Heading1Char"/>
    <w:uiPriority w:val="9"/>
    <w:qFormat/>
    <w:rsid w:val="003907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0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041"/>
    <w:rPr>
      <w:rFonts w:eastAsiaTheme="minorEastAsia"/>
      <w:kern w:val="0"/>
      <w14:ligatures w14:val="none"/>
    </w:rPr>
  </w:style>
  <w:style w:type="paragraph" w:styleId="NormalWeb">
    <w:name w:val="Normal (Web)"/>
    <w:basedOn w:val="Normal"/>
    <w:uiPriority w:val="99"/>
    <w:unhideWhenUsed/>
    <w:rsid w:val="0030504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05041"/>
    <w:rPr>
      <w:color w:val="0000FF"/>
      <w:u w:val="single"/>
    </w:rPr>
  </w:style>
  <w:style w:type="paragraph" w:styleId="ListParagraph">
    <w:name w:val="List Paragraph"/>
    <w:basedOn w:val="Normal"/>
    <w:uiPriority w:val="34"/>
    <w:qFormat/>
    <w:rsid w:val="00305041"/>
    <w:pPr>
      <w:ind w:left="720"/>
      <w:contextualSpacing/>
    </w:pPr>
  </w:style>
  <w:style w:type="character" w:styleId="Strong">
    <w:name w:val="Strong"/>
    <w:basedOn w:val="DefaultParagraphFont"/>
    <w:uiPriority w:val="22"/>
    <w:qFormat/>
    <w:rsid w:val="00305041"/>
    <w:rPr>
      <w:b/>
      <w:bCs/>
    </w:rPr>
  </w:style>
  <w:style w:type="character" w:styleId="Emphasis">
    <w:name w:val="Emphasis"/>
    <w:basedOn w:val="DefaultParagraphFont"/>
    <w:uiPriority w:val="20"/>
    <w:qFormat/>
    <w:rsid w:val="00812AD0"/>
    <w:rPr>
      <w:i/>
      <w:iCs/>
    </w:rPr>
  </w:style>
  <w:style w:type="paragraph" w:styleId="Footer">
    <w:name w:val="footer"/>
    <w:basedOn w:val="Normal"/>
    <w:link w:val="FooterChar"/>
    <w:uiPriority w:val="99"/>
    <w:unhideWhenUsed/>
    <w:rsid w:val="00DF62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626A"/>
    <w:rPr>
      <w:rFonts w:eastAsiaTheme="minorEastAsia"/>
      <w:kern w:val="0"/>
      <w14:ligatures w14:val="none"/>
    </w:rPr>
  </w:style>
  <w:style w:type="character" w:customStyle="1" w:styleId="Heading1Char">
    <w:name w:val="Heading 1 Char"/>
    <w:basedOn w:val="DefaultParagraphFont"/>
    <w:link w:val="Heading1"/>
    <w:uiPriority w:val="9"/>
    <w:rsid w:val="003907A9"/>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3907A9"/>
    <w:pPr>
      <w:spacing w:before="480"/>
      <w:outlineLvl w:val="9"/>
    </w:pPr>
    <w:rPr>
      <w:b/>
      <w:bCs/>
      <w:sz w:val="28"/>
      <w:szCs w:val="28"/>
    </w:rPr>
  </w:style>
  <w:style w:type="paragraph" w:styleId="TOC1">
    <w:name w:val="toc 1"/>
    <w:basedOn w:val="Normal"/>
    <w:next w:val="Normal"/>
    <w:autoRedefine/>
    <w:uiPriority w:val="39"/>
    <w:unhideWhenUsed/>
    <w:rsid w:val="003907A9"/>
    <w:pPr>
      <w:spacing w:before="120" w:after="0"/>
    </w:pPr>
    <w:rPr>
      <w:rFonts w:cstheme="minorHAnsi"/>
      <w:b/>
      <w:bCs/>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82313">
      <w:bodyDiv w:val="1"/>
      <w:marLeft w:val="0"/>
      <w:marRight w:val="0"/>
      <w:marTop w:val="0"/>
      <w:marBottom w:val="0"/>
      <w:divBdr>
        <w:top w:val="none" w:sz="0" w:space="0" w:color="auto"/>
        <w:left w:val="none" w:sz="0" w:space="0" w:color="auto"/>
        <w:bottom w:val="none" w:sz="0" w:space="0" w:color="auto"/>
        <w:right w:val="none" w:sz="0" w:space="0" w:color="auto"/>
      </w:divBdr>
    </w:div>
    <w:div w:id="139541862">
      <w:bodyDiv w:val="1"/>
      <w:marLeft w:val="0"/>
      <w:marRight w:val="0"/>
      <w:marTop w:val="0"/>
      <w:marBottom w:val="0"/>
      <w:divBdr>
        <w:top w:val="none" w:sz="0" w:space="0" w:color="auto"/>
        <w:left w:val="none" w:sz="0" w:space="0" w:color="auto"/>
        <w:bottom w:val="none" w:sz="0" w:space="0" w:color="auto"/>
        <w:right w:val="none" w:sz="0" w:space="0" w:color="auto"/>
      </w:divBdr>
    </w:div>
    <w:div w:id="239294511">
      <w:bodyDiv w:val="1"/>
      <w:marLeft w:val="0"/>
      <w:marRight w:val="0"/>
      <w:marTop w:val="0"/>
      <w:marBottom w:val="0"/>
      <w:divBdr>
        <w:top w:val="none" w:sz="0" w:space="0" w:color="auto"/>
        <w:left w:val="none" w:sz="0" w:space="0" w:color="auto"/>
        <w:bottom w:val="none" w:sz="0" w:space="0" w:color="auto"/>
        <w:right w:val="none" w:sz="0" w:space="0" w:color="auto"/>
      </w:divBdr>
    </w:div>
    <w:div w:id="246424260">
      <w:bodyDiv w:val="1"/>
      <w:marLeft w:val="0"/>
      <w:marRight w:val="0"/>
      <w:marTop w:val="0"/>
      <w:marBottom w:val="0"/>
      <w:divBdr>
        <w:top w:val="none" w:sz="0" w:space="0" w:color="auto"/>
        <w:left w:val="none" w:sz="0" w:space="0" w:color="auto"/>
        <w:bottom w:val="none" w:sz="0" w:space="0" w:color="auto"/>
        <w:right w:val="none" w:sz="0" w:space="0" w:color="auto"/>
      </w:divBdr>
    </w:div>
    <w:div w:id="311494735">
      <w:bodyDiv w:val="1"/>
      <w:marLeft w:val="0"/>
      <w:marRight w:val="0"/>
      <w:marTop w:val="0"/>
      <w:marBottom w:val="0"/>
      <w:divBdr>
        <w:top w:val="none" w:sz="0" w:space="0" w:color="auto"/>
        <w:left w:val="none" w:sz="0" w:space="0" w:color="auto"/>
        <w:bottom w:val="none" w:sz="0" w:space="0" w:color="auto"/>
        <w:right w:val="none" w:sz="0" w:space="0" w:color="auto"/>
      </w:divBdr>
    </w:div>
    <w:div w:id="425856147">
      <w:bodyDiv w:val="1"/>
      <w:marLeft w:val="0"/>
      <w:marRight w:val="0"/>
      <w:marTop w:val="0"/>
      <w:marBottom w:val="0"/>
      <w:divBdr>
        <w:top w:val="none" w:sz="0" w:space="0" w:color="auto"/>
        <w:left w:val="none" w:sz="0" w:space="0" w:color="auto"/>
        <w:bottom w:val="none" w:sz="0" w:space="0" w:color="auto"/>
        <w:right w:val="none" w:sz="0" w:space="0" w:color="auto"/>
      </w:divBdr>
    </w:div>
    <w:div w:id="496772852">
      <w:bodyDiv w:val="1"/>
      <w:marLeft w:val="0"/>
      <w:marRight w:val="0"/>
      <w:marTop w:val="0"/>
      <w:marBottom w:val="0"/>
      <w:divBdr>
        <w:top w:val="none" w:sz="0" w:space="0" w:color="auto"/>
        <w:left w:val="none" w:sz="0" w:space="0" w:color="auto"/>
        <w:bottom w:val="none" w:sz="0" w:space="0" w:color="auto"/>
        <w:right w:val="none" w:sz="0" w:space="0" w:color="auto"/>
      </w:divBdr>
    </w:div>
    <w:div w:id="628318198">
      <w:bodyDiv w:val="1"/>
      <w:marLeft w:val="0"/>
      <w:marRight w:val="0"/>
      <w:marTop w:val="0"/>
      <w:marBottom w:val="0"/>
      <w:divBdr>
        <w:top w:val="none" w:sz="0" w:space="0" w:color="auto"/>
        <w:left w:val="none" w:sz="0" w:space="0" w:color="auto"/>
        <w:bottom w:val="none" w:sz="0" w:space="0" w:color="auto"/>
        <w:right w:val="none" w:sz="0" w:space="0" w:color="auto"/>
      </w:divBdr>
    </w:div>
    <w:div w:id="789202094">
      <w:bodyDiv w:val="1"/>
      <w:marLeft w:val="0"/>
      <w:marRight w:val="0"/>
      <w:marTop w:val="0"/>
      <w:marBottom w:val="0"/>
      <w:divBdr>
        <w:top w:val="none" w:sz="0" w:space="0" w:color="auto"/>
        <w:left w:val="none" w:sz="0" w:space="0" w:color="auto"/>
        <w:bottom w:val="none" w:sz="0" w:space="0" w:color="auto"/>
        <w:right w:val="none" w:sz="0" w:space="0" w:color="auto"/>
      </w:divBdr>
    </w:div>
    <w:div w:id="986280072">
      <w:bodyDiv w:val="1"/>
      <w:marLeft w:val="0"/>
      <w:marRight w:val="0"/>
      <w:marTop w:val="0"/>
      <w:marBottom w:val="0"/>
      <w:divBdr>
        <w:top w:val="none" w:sz="0" w:space="0" w:color="auto"/>
        <w:left w:val="none" w:sz="0" w:space="0" w:color="auto"/>
        <w:bottom w:val="none" w:sz="0" w:space="0" w:color="auto"/>
        <w:right w:val="none" w:sz="0" w:space="0" w:color="auto"/>
      </w:divBdr>
    </w:div>
    <w:div w:id="1384405260">
      <w:bodyDiv w:val="1"/>
      <w:marLeft w:val="0"/>
      <w:marRight w:val="0"/>
      <w:marTop w:val="0"/>
      <w:marBottom w:val="0"/>
      <w:divBdr>
        <w:top w:val="none" w:sz="0" w:space="0" w:color="auto"/>
        <w:left w:val="none" w:sz="0" w:space="0" w:color="auto"/>
        <w:bottom w:val="none" w:sz="0" w:space="0" w:color="auto"/>
        <w:right w:val="none" w:sz="0" w:space="0" w:color="auto"/>
      </w:divBdr>
    </w:div>
    <w:div w:id="1473138820">
      <w:bodyDiv w:val="1"/>
      <w:marLeft w:val="0"/>
      <w:marRight w:val="0"/>
      <w:marTop w:val="0"/>
      <w:marBottom w:val="0"/>
      <w:divBdr>
        <w:top w:val="none" w:sz="0" w:space="0" w:color="auto"/>
        <w:left w:val="none" w:sz="0" w:space="0" w:color="auto"/>
        <w:bottom w:val="none" w:sz="0" w:space="0" w:color="auto"/>
        <w:right w:val="none" w:sz="0" w:space="0" w:color="auto"/>
      </w:divBdr>
    </w:div>
    <w:div w:id="1905338993">
      <w:bodyDiv w:val="1"/>
      <w:marLeft w:val="0"/>
      <w:marRight w:val="0"/>
      <w:marTop w:val="0"/>
      <w:marBottom w:val="0"/>
      <w:divBdr>
        <w:top w:val="none" w:sz="0" w:space="0" w:color="auto"/>
        <w:left w:val="none" w:sz="0" w:space="0" w:color="auto"/>
        <w:bottom w:val="none" w:sz="0" w:space="0" w:color="auto"/>
        <w:right w:val="none" w:sz="0" w:space="0" w:color="auto"/>
      </w:divBdr>
    </w:div>
    <w:div w:id="212272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be-clear-on-cancer" TargetMode="External"/><Relationship Id="rId18" Type="http://schemas.openxmlformats.org/officeDocument/2006/relationships/hyperlink" Target="https://www.lls.org/disease-information/leukemia"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who.int/health-topics/cancer" TargetMode="External"/><Relationship Id="rId17" Type="http://schemas.openxmlformats.org/officeDocument/2006/relationships/hyperlink" Target="https://www.macmillan.org.uk/cancer-information-and-support/blood-cancers/leukaemia" TargetMode="External"/><Relationship Id="rId2" Type="http://schemas.openxmlformats.org/officeDocument/2006/relationships/styles" Target="styles.xml"/><Relationship Id="rId16" Type="http://schemas.openxmlformats.org/officeDocument/2006/relationships/hyperlink" Target="https://www.leukaemiacare.org.uk/"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ncer.gov/types/leukemia" TargetMode="External"/><Relationship Id="rId5" Type="http://schemas.openxmlformats.org/officeDocument/2006/relationships/footnotes" Target="footnotes.xml"/><Relationship Id="rId15" Type="http://schemas.openxmlformats.org/officeDocument/2006/relationships/hyperlink" Target="https://www.gov.uk/government/consultations/advancing-our-health-prevention-in-the-2020s/advancing-our-health-prevention-in-the-2020s-consultation-document" TargetMode="External"/><Relationship Id="rId23" Type="http://schemas.openxmlformats.org/officeDocument/2006/relationships/theme" Target="theme/theme1.xml"/><Relationship Id="rId10" Type="http://schemas.openxmlformats.org/officeDocument/2006/relationships/hyperlink" Target="https://www.cancerresearchuk.org/health-professional/cancer-statistics/statistics-by-cancer-type/leukaemia/incidence" TargetMode="External"/><Relationship Id="rId19" Type="http://schemas.openxmlformats.org/officeDocument/2006/relationships/hyperlink" Target="https://www.cancer.gov/types/leukemia/patient/adult-all-treatment-pdq" TargetMode="External"/><Relationship Id="rId4" Type="http://schemas.openxmlformats.org/officeDocument/2006/relationships/webSettings" Target="webSettings.xml"/><Relationship Id="rId9" Type="http://schemas.openxmlformats.org/officeDocument/2006/relationships/hyperlink" Target="https://www.cancer.org/cancer/leukemia.html" TargetMode="External"/><Relationship Id="rId14" Type="http://schemas.openxmlformats.org/officeDocument/2006/relationships/hyperlink" Target="https://www.cdc.gov/cancer/dcpc/prevention/index.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2">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9</Pages>
  <Words>2651</Words>
  <Characters>15113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Sajid</dc:creator>
  <cp:keywords/>
  <dc:description/>
  <cp:lastModifiedBy>LUISA PETITO</cp:lastModifiedBy>
  <cp:revision>44</cp:revision>
  <dcterms:created xsi:type="dcterms:W3CDTF">2023-04-02T05:45:00Z</dcterms:created>
  <dcterms:modified xsi:type="dcterms:W3CDTF">2023-04-27T13:23:00Z</dcterms:modified>
</cp:coreProperties>
</file>