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4376B8" w14:textId="2593BBF0" w:rsidR="00AA6987" w:rsidRDefault="00AA6987"/>
    <w:sdt>
      <w:sdtPr>
        <w:id w:val="171850122"/>
        <w:docPartObj>
          <w:docPartGallery w:val="Cover Pages"/>
          <w:docPartUnique/>
        </w:docPartObj>
      </w:sdtPr>
      <w:sdtEndPr/>
      <w:sdtContent>
        <w:p w14:paraId="535E48A0" w14:textId="2F88B98F" w:rsidR="00BA22C8" w:rsidRDefault="00BA22C8">
          <w:r>
            <w:rPr>
              <w:noProof/>
            </w:rPr>
            <mc:AlternateContent>
              <mc:Choice Requires="wpg">
                <w:drawing>
                  <wp:anchor distT="0" distB="0" distL="114300" distR="114300" simplePos="0" relativeHeight="251659264" behindDoc="1" locked="0" layoutInCell="1" allowOverlap="1" wp14:anchorId="631514B0" wp14:editId="69A56E4E">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48A988" w14:textId="54B45B32" w:rsidR="00BA22C8" w:rsidRDefault="00BA22C8">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kern w:val="2"/>
                                      <w:sz w:val="72"/>
                                      <w:szCs w:val="72"/>
                                      <w:lang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549BEC0" w14:textId="2DAE5376" w:rsidR="00BA22C8" w:rsidRDefault="00AA6987" w:rsidP="00AA6987">
                                      <w:pPr>
                                        <w:pStyle w:val="NoSpacing"/>
                                        <w:jc w:val="center"/>
                                        <w:rPr>
                                          <w:rFonts w:asciiTheme="majorHAnsi" w:eastAsiaTheme="majorEastAsia" w:hAnsiTheme="majorHAnsi" w:cstheme="majorBidi"/>
                                          <w:caps/>
                                          <w:color w:val="156082" w:themeColor="accent1"/>
                                          <w:sz w:val="72"/>
                                          <w:szCs w:val="72"/>
                                        </w:rPr>
                                      </w:pPr>
                                      <w:r w:rsidRPr="00AA6987">
                                        <w:rPr>
                                          <w:rFonts w:asciiTheme="majorHAnsi" w:eastAsiaTheme="majorEastAsia" w:hAnsiTheme="majorHAnsi" w:cstheme="majorBidi"/>
                                          <w:caps/>
                                          <w:color w:val="156082" w:themeColor="accent1"/>
                                          <w:kern w:val="2"/>
                                          <w:sz w:val="72"/>
                                          <w:szCs w:val="72"/>
                                          <w:lang w:eastAsia="en-US"/>
                                          <w14:ligatures w14:val="standardContextual"/>
                                        </w:rPr>
                                        <w:t xml:space="preserve">Organisational </w:t>
                                      </w:r>
                                      <w:proofErr w:type="gramStart"/>
                                      <w:r w:rsidRPr="00AA6987">
                                        <w:rPr>
                                          <w:rFonts w:asciiTheme="majorHAnsi" w:eastAsiaTheme="majorEastAsia" w:hAnsiTheme="majorHAnsi" w:cstheme="majorBidi"/>
                                          <w:caps/>
                                          <w:color w:val="156082" w:themeColor="accent1"/>
                                          <w:kern w:val="2"/>
                                          <w:sz w:val="72"/>
                                          <w:szCs w:val="72"/>
                                          <w:lang w:eastAsia="en-US"/>
                                          <w14:ligatures w14:val="standardContextual"/>
                                        </w:rPr>
                                        <w:t>Culture:Individual</w:t>
                                      </w:r>
                                      <w:proofErr w:type="gramEnd"/>
                                      <w:r w:rsidRPr="00AA6987">
                                        <w:rPr>
                                          <w:rFonts w:asciiTheme="majorHAnsi" w:eastAsiaTheme="majorEastAsia" w:hAnsiTheme="majorHAnsi" w:cstheme="majorBidi"/>
                                          <w:caps/>
                                          <w:color w:val="156082" w:themeColor="accent1"/>
                                          <w:kern w:val="2"/>
                                          <w:sz w:val="72"/>
                                          <w:szCs w:val="72"/>
                                          <w:lang w:eastAsia="en-US"/>
                                          <w14:ligatures w14:val="standardContextual"/>
                                        </w:rPr>
                                        <w:t xml:space="preserve">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1514B0"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0E48A988" w14:textId="54B45B32" w:rsidR="00BA22C8" w:rsidRDefault="00BA22C8">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kern w:val="2"/>
                                <w:sz w:val="72"/>
                                <w:szCs w:val="72"/>
                                <w:lang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549BEC0" w14:textId="2DAE5376" w:rsidR="00BA22C8" w:rsidRDefault="00AA6987" w:rsidP="00AA6987">
                                <w:pPr>
                                  <w:pStyle w:val="NoSpacing"/>
                                  <w:jc w:val="center"/>
                                  <w:rPr>
                                    <w:rFonts w:asciiTheme="majorHAnsi" w:eastAsiaTheme="majorEastAsia" w:hAnsiTheme="majorHAnsi" w:cstheme="majorBidi"/>
                                    <w:caps/>
                                    <w:color w:val="156082" w:themeColor="accent1"/>
                                    <w:sz w:val="72"/>
                                    <w:szCs w:val="72"/>
                                  </w:rPr>
                                </w:pPr>
                                <w:r w:rsidRPr="00AA6987">
                                  <w:rPr>
                                    <w:rFonts w:asciiTheme="majorHAnsi" w:eastAsiaTheme="majorEastAsia" w:hAnsiTheme="majorHAnsi" w:cstheme="majorBidi"/>
                                    <w:caps/>
                                    <w:color w:val="156082" w:themeColor="accent1"/>
                                    <w:kern w:val="2"/>
                                    <w:sz w:val="72"/>
                                    <w:szCs w:val="72"/>
                                    <w:lang w:eastAsia="en-US"/>
                                    <w14:ligatures w14:val="standardContextual"/>
                                  </w:rPr>
                                  <w:t xml:space="preserve">Organisational </w:t>
                                </w:r>
                                <w:proofErr w:type="gramStart"/>
                                <w:r w:rsidRPr="00AA6987">
                                  <w:rPr>
                                    <w:rFonts w:asciiTheme="majorHAnsi" w:eastAsiaTheme="majorEastAsia" w:hAnsiTheme="majorHAnsi" w:cstheme="majorBidi"/>
                                    <w:caps/>
                                    <w:color w:val="156082" w:themeColor="accent1"/>
                                    <w:kern w:val="2"/>
                                    <w:sz w:val="72"/>
                                    <w:szCs w:val="72"/>
                                    <w:lang w:eastAsia="en-US"/>
                                    <w14:ligatures w14:val="standardContextual"/>
                                  </w:rPr>
                                  <w:t>Culture:Individual</w:t>
                                </w:r>
                                <w:proofErr w:type="gramEnd"/>
                                <w:r w:rsidRPr="00AA6987">
                                  <w:rPr>
                                    <w:rFonts w:asciiTheme="majorHAnsi" w:eastAsiaTheme="majorEastAsia" w:hAnsiTheme="majorHAnsi" w:cstheme="majorBidi"/>
                                    <w:caps/>
                                    <w:color w:val="156082" w:themeColor="accent1"/>
                                    <w:kern w:val="2"/>
                                    <w:sz w:val="72"/>
                                    <w:szCs w:val="72"/>
                                    <w:lang w:eastAsia="en-US"/>
                                    <w14:ligatures w14:val="standardContextual"/>
                                  </w:rPr>
                                  <w:t xml:space="preserve"> Report</w:t>
                                </w:r>
                              </w:p>
                            </w:sdtContent>
                          </w:sdt>
                        </w:txbxContent>
                      </v:textbox>
                    </v:shape>
                    <w10:wrap anchorx="page" anchory="page"/>
                  </v:group>
                </w:pict>
              </mc:Fallback>
            </mc:AlternateContent>
          </w:r>
        </w:p>
        <w:p w14:paraId="6BAF3346" w14:textId="2F9DB95C" w:rsidR="00BA22C8" w:rsidRDefault="00AA6987">
          <w:r>
            <w:rPr>
              <w:noProof/>
            </w:rPr>
            <mc:AlternateContent>
              <mc:Choice Requires="wps">
                <w:drawing>
                  <wp:anchor distT="45720" distB="45720" distL="114300" distR="114300" simplePos="0" relativeHeight="251669504" behindDoc="0" locked="0" layoutInCell="1" allowOverlap="1" wp14:anchorId="1EE756E5" wp14:editId="561E4E04">
                    <wp:simplePos x="0" y="0"/>
                    <wp:positionH relativeFrom="margin">
                      <wp:align>left</wp:align>
                    </wp:positionH>
                    <wp:positionV relativeFrom="paragraph">
                      <wp:posOffset>3769995</wp:posOffset>
                    </wp:positionV>
                    <wp:extent cx="5181600" cy="2689860"/>
                    <wp:effectExtent l="0" t="0" r="19050" b="15240"/>
                    <wp:wrapSquare wrapText="bothSides"/>
                    <wp:docPr id="15210599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1600" cy="2689860"/>
                            </a:xfrm>
                            <a:prstGeom prst="rect">
                              <a:avLst/>
                            </a:prstGeom>
                            <a:solidFill>
                              <a:srgbClr val="FFFFFF"/>
                            </a:solidFill>
                            <a:ln w="9525">
                              <a:solidFill>
                                <a:srgbClr val="000000"/>
                              </a:solidFill>
                              <a:miter lim="800000"/>
                              <a:headEnd/>
                              <a:tailEnd/>
                            </a:ln>
                          </wps:spPr>
                          <wps:txbx>
                            <w:txbxContent>
                              <w:p w14:paraId="2FA0BC9A" w14:textId="6E876707" w:rsidR="00AA6987" w:rsidRPr="00AA6987" w:rsidRDefault="00AA6987">
                                <w:pPr>
                                  <w:rPr>
                                    <w:b/>
                                  </w:rPr>
                                </w:pPr>
                                <w:r w:rsidRPr="00AA6987">
                                  <w:rPr>
                                    <w:b/>
                                  </w:rPr>
                                  <w:t>Student Name: Diana Chiru</w:t>
                                </w:r>
                              </w:p>
                              <w:p w14:paraId="1A6A0E89" w14:textId="29E1B208" w:rsidR="00AA6987" w:rsidRPr="00AA6987" w:rsidRDefault="00AA6987">
                                <w:pPr>
                                  <w:rPr>
                                    <w:b/>
                                  </w:rPr>
                                </w:pPr>
                                <w:r w:rsidRPr="00AA6987">
                                  <w:rPr>
                                    <w:b/>
                                  </w:rPr>
                                  <w:t>Student ID: 23512527</w:t>
                                </w:r>
                              </w:p>
                              <w:p w14:paraId="51C7FBCE" w14:textId="222E5701" w:rsidR="00AA6987" w:rsidRPr="00AA6987" w:rsidRDefault="00AA6987">
                                <w:pPr>
                                  <w:rPr>
                                    <w:b/>
                                  </w:rPr>
                                </w:pPr>
                                <w:r w:rsidRPr="00AA6987">
                                  <w:rPr>
                                    <w:b/>
                                  </w:rPr>
                                  <w:t>Module: Organisational Culture</w:t>
                                </w:r>
                              </w:p>
                              <w:p w14:paraId="7D26EFA7" w14:textId="4ACF80B0" w:rsidR="00AA6987" w:rsidRPr="00AA6987" w:rsidRDefault="00AA6987">
                                <w:pPr>
                                  <w:rPr>
                                    <w:b/>
                                  </w:rPr>
                                </w:pPr>
                                <w:r w:rsidRPr="00AA6987">
                                  <w:rPr>
                                    <w:b/>
                                  </w:rPr>
                                  <w:t>Module code: LCLM 5005</w:t>
                                </w:r>
                              </w:p>
                              <w:p w14:paraId="59C06921" w14:textId="74ACBC9D" w:rsidR="00AA6987" w:rsidRPr="00AA6987" w:rsidRDefault="00AA6987">
                                <w:pPr>
                                  <w:rPr>
                                    <w:b/>
                                  </w:rPr>
                                </w:pPr>
                                <w:r w:rsidRPr="00AA6987">
                                  <w:rPr>
                                    <w:b/>
                                  </w:rPr>
                                  <w:t>Module Leader: David Oyebisi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E756E5" id="Text Box 2" o:spid="_x0000_s1030" type="#_x0000_t202" style="position:absolute;margin-left:0;margin-top:296.85pt;width:408pt;height:211.8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">
                    <v:textbox>
                      <w:txbxContent>
                        <w:p w14:paraId="2FA0BC9A" w14:textId="6E876707" w:rsidR="00AA6987" w:rsidRPr="00AA6987" w:rsidRDefault="00AA6987">
                          <w:pPr>
                            <w:rPr>
                              <w:b/>
                            </w:rPr>
                          </w:pPr>
                          <w:r w:rsidRPr="00AA6987">
                            <w:rPr>
                              <w:b/>
                            </w:rPr>
                            <w:t>Student Name: Diana Chiru</w:t>
                          </w:r>
                        </w:p>
                        <w:p w14:paraId="1A6A0E89" w14:textId="29E1B208" w:rsidR="00AA6987" w:rsidRPr="00AA6987" w:rsidRDefault="00AA6987">
                          <w:pPr>
                            <w:rPr>
                              <w:b/>
                            </w:rPr>
                          </w:pPr>
                          <w:r w:rsidRPr="00AA6987">
                            <w:rPr>
                              <w:b/>
                            </w:rPr>
                            <w:t>Student ID: 23512527</w:t>
                          </w:r>
                        </w:p>
                        <w:p w14:paraId="51C7FBCE" w14:textId="222E5701" w:rsidR="00AA6987" w:rsidRPr="00AA6987" w:rsidRDefault="00AA6987">
                          <w:pPr>
                            <w:rPr>
                              <w:b/>
                            </w:rPr>
                          </w:pPr>
                          <w:r w:rsidRPr="00AA6987">
                            <w:rPr>
                              <w:b/>
                            </w:rPr>
                            <w:t>Module: Organisational Culture</w:t>
                          </w:r>
                        </w:p>
                        <w:p w14:paraId="7D26EFA7" w14:textId="4ACF80B0" w:rsidR="00AA6987" w:rsidRPr="00AA6987" w:rsidRDefault="00AA6987">
                          <w:pPr>
                            <w:rPr>
                              <w:b/>
                            </w:rPr>
                          </w:pPr>
                          <w:r w:rsidRPr="00AA6987">
                            <w:rPr>
                              <w:b/>
                            </w:rPr>
                            <w:t>Module code: LCLM 5005</w:t>
                          </w:r>
                        </w:p>
                        <w:p w14:paraId="59C06921" w14:textId="74ACBC9D" w:rsidR="00AA6987" w:rsidRPr="00AA6987" w:rsidRDefault="00AA6987">
                          <w:pPr>
                            <w:rPr>
                              <w:b/>
                            </w:rPr>
                          </w:pPr>
                          <w:r w:rsidRPr="00AA6987">
                            <w:rPr>
                              <w:b/>
                            </w:rPr>
                            <w:t>Module Leader: David Oyebisi</w:t>
                          </w:r>
                        </w:p>
                      </w:txbxContent>
                    </v:textbox>
                    <w10:wrap type="square" anchorx="margin"/>
                  </v:shape>
                </w:pict>
              </mc:Fallback>
            </mc:AlternateContent>
          </w:r>
          <w:r w:rsidR="00BA22C8">
            <w:br w:type="page"/>
          </w:r>
        </w:p>
      </w:sdtContent>
    </w:sdt>
    <w:sdt>
      <w:sdtPr>
        <w:rPr>
          <w:rFonts w:asciiTheme="minorHAnsi" w:eastAsiaTheme="minorHAnsi" w:hAnsiTheme="minorHAnsi" w:cstheme="minorBidi"/>
          <w:color w:val="auto"/>
          <w:kern w:val="2"/>
          <w:sz w:val="24"/>
          <w:szCs w:val="24"/>
          <w:lang w:eastAsia="en-US"/>
          <w14:ligatures w14:val="standardContextual"/>
        </w:rPr>
        <w:id w:val="1637841443"/>
        <w:docPartObj>
          <w:docPartGallery w:val="Table of Contents"/>
          <w:docPartUnique/>
        </w:docPartObj>
      </w:sdtPr>
      <w:sdtEndPr>
        <w:rPr>
          <w:b/>
          <w:bCs/>
        </w:rPr>
      </w:sdtEndPr>
      <w:sdtContent>
        <w:p w14:paraId="5A89A6A0" w14:textId="1B373A9C" w:rsidR="00BA22C8" w:rsidRDefault="00BA22C8">
          <w:pPr>
            <w:pStyle w:val="TOCHeading"/>
          </w:pPr>
          <w:r>
            <w:t>Contents</w:t>
          </w:r>
        </w:p>
        <w:p w14:paraId="3C77377C" w14:textId="7A768C08" w:rsidR="008B6D3D" w:rsidRDefault="00BA22C8">
          <w:pPr>
            <w:pStyle w:val="TOC1"/>
            <w:tabs>
              <w:tab w:val="right" w:leader="dot" w:pos="9016"/>
            </w:tabs>
            <w:rPr>
              <w:noProof/>
            </w:rPr>
          </w:pPr>
          <w:r>
            <w:fldChar w:fldCharType="begin"/>
          </w:r>
          <w:r>
            <w:instrText xml:space="preserve"> TOC \o "1-3" \h \z \u </w:instrText>
          </w:r>
          <w:r>
            <w:fldChar w:fldCharType="separate"/>
          </w:r>
          <w:hyperlink w:anchor="_Toc224596752" w:history="1">
            <w:r w:rsidR="008B6D3D" w:rsidRPr="00ED22F2">
              <w:rPr>
                <w:rStyle w:val="Hyperlink"/>
                <w:noProof/>
              </w:rPr>
              <w:t>1.Introduction</w:t>
            </w:r>
            <w:r w:rsidR="008B6D3D">
              <w:rPr>
                <w:noProof/>
                <w:webHidden/>
              </w:rPr>
              <w:tab/>
            </w:r>
            <w:r w:rsidR="008B6D3D">
              <w:rPr>
                <w:noProof/>
                <w:webHidden/>
              </w:rPr>
              <w:fldChar w:fldCharType="begin"/>
            </w:r>
            <w:r w:rsidR="008B6D3D">
              <w:rPr>
                <w:noProof/>
                <w:webHidden/>
              </w:rPr>
              <w:instrText xml:space="preserve"> PAGEREF _Toc224596752 \h </w:instrText>
            </w:r>
            <w:r w:rsidR="008B6D3D">
              <w:rPr>
                <w:noProof/>
                <w:webHidden/>
              </w:rPr>
            </w:r>
            <w:r w:rsidR="008B6D3D">
              <w:rPr>
                <w:noProof/>
                <w:webHidden/>
              </w:rPr>
              <w:fldChar w:fldCharType="separate"/>
            </w:r>
            <w:r w:rsidR="008B6D3D">
              <w:rPr>
                <w:noProof/>
                <w:webHidden/>
              </w:rPr>
              <w:t>2</w:t>
            </w:r>
            <w:r w:rsidR="008B6D3D">
              <w:rPr>
                <w:noProof/>
                <w:webHidden/>
              </w:rPr>
              <w:fldChar w:fldCharType="end"/>
            </w:r>
          </w:hyperlink>
        </w:p>
        <w:p w14:paraId="44985641" w14:textId="28197AED" w:rsidR="008B6D3D" w:rsidRDefault="008B6D3D">
          <w:pPr>
            <w:pStyle w:val="TOC1"/>
            <w:tabs>
              <w:tab w:val="right" w:leader="dot" w:pos="9016"/>
            </w:tabs>
            <w:rPr>
              <w:noProof/>
            </w:rPr>
          </w:pPr>
          <w:hyperlink w:anchor="_Toc224596753" w:history="1">
            <w:r w:rsidRPr="00ED22F2">
              <w:rPr>
                <w:rStyle w:val="Hyperlink"/>
                <w:noProof/>
              </w:rPr>
              <w:t>2. Organisational Culture and Its Influence on Structure and Decision-Making at Toyota</w:t>
            </w:r>
            <w:r>
              <w:rPr>
                <w:noProof/>
                <w:webHidden/>
              </w:rPr>
              <w:tab/>
            </w:r>
            <w:r>
              <w:rPr>
                <w:noProof/>
                <w:webHidden/>
              </w:rPr>
              <w:fldChar w:fldCharType="begin"/>
            </w:r>
            <w:r>
              <w:rPr>
                <w:noProof/>
                <w:webHidden/>
              </w:rPr>
              <w:instrText xml:space="preserve"> PAGEREF _Toc224596753 \h </w:instrText>
            </w:r>
            <w:r>
              <w:rPr>
                <w:noProof/>
                <w:webHidden/>
              </w:rPr>
            </w:r>
            <w:r>
              <w:rPr>
                <w:noProof/>
                <w:webHidden/>
              </w:rPr>
              <w:fldChar w:fldCharType="separate"/>
            </w:r>
            <w:r>
              <w:rPr>
                <w:noProof/>
                <w:webHidden/>
              </w:rPr>
              <w:t>4</w:t>
            </w:r>
            <w:r>
              <w:rPr>
                <w:noProof/>
                <w:webHidden/>
              </w:rPr>
              <w:fldChar w:fldCharType="end"/>
            </w:r>
          </w:hyperlink>
        </w:p>
        <w:p w14:paraId="2331DD06" w14:textId="7A66FE92" w:rsidR="008B6D3D" w:rsidRDefault="008B6D3D">
          <w:pPr>
            <w:pStyle w:val="TOC1"/>
            <w:tabs>
              <w:tab w:val="right" w:leader="dot" w:pos="9016"/>
            </w:tabs>
            <w:rPr>
              <w:noProof/>
            </w:rPr>
          </w:pPr>
          <w:hyperlink w:anchor="_Toc224596754" w:history="1">
            <w:r w:rsidRPr="00ED22F2">
              <w:rPr>
                <w:rStyle w:val="Hyperlink"/>
                <w:noProof/>
              </w:rPr>
              <w:t>3. Identifying Organisational Culture in Toyota Using Cultural Frameworks</w:t>
            </w:r>
            <w:r>
              <w:rPr>
                <w:noProof/>
                <w:webHidden/>
              </w:rPr>
              <w:tab/>
            </w:r>
            <w:r>
              <w:rPr>
                <w:noProof/>
                <w:webHidden/>
              </w:rPr>
              <w:fldChar w:fldCharType="begin"/>
            </w:r>
            <w:r>
              <w:rPr>
                <w:noProof/>
                <w:webHidden/>
              </w:rPr>
              <w:instrText xml:space="preserve"> PAGEREF _Toc224596754 \h </w:instrText>
            </w:r>
            <w:r>
              <w:rPr>
                <w:noProof/>
                <w:webHidden/>
              </w:rPr>
            </w:r>
            <w:r>
              <w:rPr>
                <w:noProof/>
                <w:webHidden/>
              </w:rPr>
              <w:fldChar w:fldCharType="separate"/>
            </w:r>
            <w:r>
              <w:rPr>
                <w:noProof/>
                <w:webHidden/>
              </w:rPr>
              <w:t>5</w:t>
            </w:r>
            <w:r>
              <w:rPr>
                <w:noProof/>
                <w:webHidden/>
              </w:rPr>
              <w:fldChar w:fldCharType="end"/>
            </w:r>
          </w:hyperlink>
        </w:p>
        <w:p w14:paraId="4AF8E7C0" w14:textId="4BF576FA" w:rsidR="008B6D3D" w:rsidRDefault="008B6D3D">
          <w:pPr>
            <w:pStyle w:val="TOC1"/>
            <w:tabs>
              <w:tab w:val="right" w:leader="dot" w:pos="9016"/>
            </w:tabs>
            <w:rPr>
              <w:noProof/>
            </w:rPr>
          </w:pPr>
          <w:hyperlink w:anchor="_Toc224596755" w:history="1">
            <w:r w:rsidRPr="00ED22F2">
              <w:rPr>
                <w:rStyle w:val="Hyperlink"/>
                <w:noProof/>
              </w:rPr>
              <w:t>4, Organisational Culture and Adaptation to the External Environment</w:t>
            </w:r>
            <w:r>
              <w:rPr>
                <w:noProof/>
                <w:webHidden/>
              </w:rPr>
              <w:tab/>
            </w:r>
            <w:r>
              <w:rPr>
                <w:noProof/>
                <w:webHidden/>
              </w:rPr>
              <w:fldChar w:fldCharType="begin"/>
            </w:r>
            <w:r>
              <w:rPr>
                <w:noProof/>
                <w:webHidden/>
              </w:rPr>
              <w:instrText xml:space="preserve"> PAGEREF _Toc224596755 \h </w:instrText>
            </w:r>
            <w:r>
              <w:rPr>
                <w:noProof/>
                <w:webHidden/>
              </w:rPr>
            </w:r>
            <w:r>
              <w:rPr>
                <w:noProof/>
                <w:webHidden/>
              </w:rPr>
              <w:fldChar w:fldCharType="separate"/>
            </w:r>
            <w:r>
              <w:rPr>
                <w:noProof/>
                <w:webHidden/>
              </w:rPr>
              <w:t>9</w:t>
            </w:r>
            <w:r>
              <w:rPr>
                <w:noProof/>
                <w:webHidden/>
              </w:rPr>
              <w:fldChar w:fldCharType="end"/>
            </w:r>
          </w:hyperlink>
        </w:p>
        <w:p w14:paraId="49DF8FE9" w14:textId="580B5340" w:rsidR="008B6D3D" w:rsidRDefault="008B6D3D">
          <w:pPr>
            <w:pStyle w:val="TOC1"/>
            <w:tabs>
              <w:tab w:val="right" w:leader="dot" w:pos="9016"/>
            </w:tabs>
            <w:rPr>
              <w:noProof/>
            </w:rPr>
          </w:pPr>
          <w:hyperlink w:anchor="_Toc224596756" w:history="1">
            <w:r w:rsidRPr="00ED22F2">
              <w:rPr>
                <w:rStyle w:val="Hyperlink"/>
                <w:noProof/>
              </w:rPr>
              <w:t>5. Organisational Culture as a Barrier or Enabler</w:t>
            </w:r>
            <w:r>
              <w:rPr>
                <w:noProof/>
                <w:webHidden/>
              </w:rPr>
              <w:tab/>
            </w:r>
            <w:r>
              <w:rPr>
                <w:noProof/>
                <w:webHidden/>
              </w:rPr>
              <w:fldChar w:fldCharType="begin"/>
            </w:r>
            <w:r>
              <w:rPr>
                <w:noProof/>
                <w:webHidden/>
              </w:rPr>
              <w:instrText xml:space="preserve"> PAGEREF _Toc224596756 \h </w:instrText>
            </w:r>
            <w:r>
              <w:rPr>
                <w:noProof/>
                <w:webHidden/>
              </w:rPr>
            </w:r>
            <w:r>
              <w:rPr>
                <w:noProof/>
                <w:webHidden/>
              </w:rPr>
              <w:fldChar w:fldCharType="separate"/>
            </w:r>
            <w:r>
              <w:rPr>
                <w:noProof/>
                <w:webHidden/>
              </w:rPr>
              <w:t>10</w:t>
            </w:r>
            <w:r>
              <w:rPr>
                <w:noProof/>
                <w:webHidden/>
              </w:rPr>
              <w:fldChar w:fldCharType="end"/>
            </w:r>
          </w:hyperlink>
        </w:p>
        <w:p w14:paraId="20A0AB59" w14:textId="319896FC" w:rsidR="008B6D3D" w:rsidRDefault="008B6D3D">
          <w:pPr>
            <w:pStyle w:val="TOC1"/>
            <w:tabs>
              <w:tab w:val="right" w:leader="dot" w:pos="9016"/>
            </w:tabs>
            <w:rPr>
              <w:noProof/>
            </w:rPr>
          </w:pPr>
          <w:hyperlink w:anchor="_Toc224596757" w:history="1">
            <w:r w:rsidRPr="00ED22F2">
              <w:rPr>
                <w:rStyle w:val="Hyperlink"/>
                <w:noProof/>
              </w:rPr>
              <w:t>6. Impact of Organisational Culture on Toyota’s Performance and Recommendations</w:t>
            </w:r>
            <w:r>
              <w:rPr>
                <w:noProof/>
                <w:webHidden/>
              </w:rPr>
              <w:tab/>
            </w:r>
            <w:r>
              <w:rPr>
                <w:noProof/>
                <w:webHidden/>
              </w:rPr>
              <w:fldChar w:fldCharType="begin"/>
            </w:r>
            <w:r>
              <w:rPr>
                <w:noProof/>
                <w:webHidden/>
              </w:rPr>
              <w:instrText xml:space="preserve"> PAGEREF _Toc224596757 \h </w:instrText>
            </w:r>
            <w:r>
              <w:rPr>
                <w:noProof/>
                <w:webHidden/>
              </w:rPr>
            </w:r>
            <w:r>
              <w:rPr>
                <w:noProof/>
                <w:webHidden/>
              </w:rPr>
              <w:fldChar w:fldCharType="separate"/>
            </w:r>
            <w:r>
              <w:rPr>
                <w:noProof/>
                <w:webHidden/>
              </w:rPr>
              <w:t>11</w:t>
            </w:r>
            <w:r>
              <w:rPr>
                <w:noProof/>
                <w:webHidden/>
              </w:rPr>
              <w:fldChar w:fldCharType="end"/>
            </w:r>
          </w:hyperlink>
        </w:p>
        <w:p w14:paraId="4EDA36AB" w14:textId="003063F6" w:rsidR="008B6D3D" w:rsidRDefault="008B6D3D">
          <w:pPr>
            <w:pStyle w:val="TOC1"/>
            <w:tabs>
              <w:tab w:val="right" w:leader="dot" w:pos="9016"/>
            </w:tabs>
            <w:rPr>
              <w:noProof/>
            </w:rPr>
          </w:pPr>
          <w:hyperlink w:anchor="_Toc224596758" w:history="1">
            <w:r w:rsidRPr="00ED22F2">
              <w:rPr>
                <w:rStyle w:val="Hyperlink"/>
                <w:noProof/>
              </w:rPr>
              <w:t>7.Conclusion</w:t>
            </w:r>
            <w:r>
              <w:rPr>
                <w:noProof/>
                <w:webHidden/>
              </w:rPr>
              <w:tab/>
            </w:r>
            <w:r>
              <w:rPr>
                <w:noProof/>
                <w:webHidden/>
              </w:rPr>
              <w:fldChar w:fldCharType="begin"/>
            </w:r>
            <w:r>
              <w:rPr>
                <w:noProof/>
                <w:webHidden/>
              </w:rPr>
              <w:instrText xml:space="preserve"> PAGEREF _Toc224596758 \h </w:instrText>
            </w:r>
            <w:r>
              <w:rPr>
                <w:noProof/>
                <w:webHidden/>
              </w:rPr>
            </w:r>
            <w:r>
              <w:rPr>
                <w:noProof/>
                <w:webHidden/>
              </w:rPr>
              <w:fldChar w:fldCharType="separate"/>
            </w:r>
            <w:r>
              <w:rPr>
                <w:noProof/>
                <w:webHidden/>
              </w:rPr>
              <w:t>12</w:t>
            </w:r>
            <w:r>
              <w:rPr>
                <w:noProof/>
                <w:webHidden/>
              </w:rPr>
              <w:fldChar w:fldCharType="end"/>
            </w:r>
          </w:hyperlink>
        </w:p>
        <w:p w14:paraId="247026F3" w14:textId="13F0D7A7" w:rsidR="008B6D3D" w:rsidRDefault="008B6D3D">
          <w:pPr>
            <w:pStyle w:val="TOC1"/>
            <w:tabs>
              <w:tab w:val="right" w:leader="dot" w:pos="9016"/>
            </w:tabs>
            <w:rPr>
              <w:noProof/>
            </w:rPr>
          </w:pPr>
          <w:hyperlink w:anchor="_Toc224596759" w:history="1">
            <w:r w:rsidRPr="00ED22F2">
              <w:rPr>
                <w:rStyle w:val="Hyperlink"/>
                <w:noProof/>
              </w:rPr>
              <w:t>8.References</w:t>
            </w:r>
            <w:r>
              <w:rPr>
                <w:noProof/>
                <w:webHidden/>
              </w:rPr>
              <w:tab/>
            </w:r>
            <w:r>
              <w:rPr>
                <w:noProof/>
                <w:webHidden/>
              </w:rPr>
              <w:fldChar w:fldCharType="begin"/>
            </w:r>
            <w:r>
              <w:rPr>
                <w:noProof/>
                <w:webHidden/>
              </w:rPr>
              <w:instrText xml:space="preserve"> PAGEREF _Toc224596759 \h </w:instrText>
            </w:r>
            <w:r>
              <w:rPr>
                <w:noProof/>
                <w:webHidden/>
              </w:rPr>
            </w:r>
            <w:r>
              <w:rPr>
                <w:noProof/>
                <w:webHidden/>
              </w:rPr>
              <w:fldChar w:fldCharType="separate"/>
            </w:r>
            <w:r>
              <w:rPr>
                <w:noProof/>
                <w:webHidden/>
              </w:rPr>
              <w:t>13</w:t>
            </w:r>
            <w:r>
              <w:rPr>
                <w:noProof/>
                <w:webHidden/>
              </w:rPr>
              <w:fldChar w:fldCharType="end"/>
            </w:r>
          </w:hyperlink>
        </w:p>
        <w:p w14:paraId="6DCA3272" w14:textId="7D92F02C" w:rsidR="00BA22C8" w:rsidRDefault="00BA22C8">
          <w:r>
            <w:rPr>
              <w:b/>
              <w:bCs/>
            </w:rPr>
            <w:fldChar w:fldCharType="end"/>
          </w:r>
        </w:p>
      </w:sdtContent>
    </w:sdt>
    <w:p w14:paraId="1DA7650E" w14:textId="5D11B53A" w:rsidR="00BA22C8" w:rsidRDefault="00BA22C8">
      <w:r>
        <w:t xml:space="preserve">                  </w:t>
      </w:r>
    </w:p>
    <w:p w14:paraId="58DE0F16" w14:textId="77777777" w:rsidR="00BA22C8" w:rsidRDefault="00BA22C8"/>
    <w:p w14:paraId="3F64E47F" w14:textId="77777777" w:rsidR="00BA22C8" w:rsidRDefault="00BA22C8"/>
    <w:p w14:paraId="1116B9B8" w14:textId="77777777" w:rsidR="00BA22C8" w:rsidRDefault="00BA22C8"/>
    <w:p w14:paraId="2ADE5239" w14:textId="77777777" w:rsidR="00BA22C8" w:rsidRDefault="00BA22C8"/>
    <w:p w14:paraId="1495E80A" w14:textId="77777777" w:rsidR="00BA22C8" w:rsidRDefault="00BA22C8"/>
    <w:p w14:paraId="7995A987" w14:textId="77777777" w:rsidR="00BA22C8" w:rsidRDefault="00BA22C8"/>
    <w:p w14:paraId="71A711D2" w14:textId="77777777" w:rsidR="00BA22C8" w:rsidRDefault="00BA22C8"/>
    <w:p w14:paraId="52419907" w14:textId="77777777" w:rsidR="00BA22C8" w:rsidRDefault="00BA22C8"/>
    <w:p w14:paraId="28831EA1" w14:textId="77777777" w:rsidR="00BA22C8" w:rsidRDefault="00BA22C8"/>
    <w:p w14:paraId="723B6E01" w14:textId="77777777" w:rsidR="00BA22C8" w:rsidRDefault="00BA22C8"/>
    <w:p w14:paraId="0467241F" w14:textId="77777777" w:rsidR="00BA22C8" w:rsidRDefault="00BA22C8"/>
    <w:p w14:paraId="78BC6FD9" w14:textId="77777777" w:rsidR="00BA22C8" w:rsidRDefault="00BA22C8"/>
    <w:p w14:paraId="76896B08" w14:textId="77777777" w:rsidR="00BA22C8" w:rsidRDefault="00BA22C8"/>
    <w:p w14:paraId="64B8590A" w14:textId="77777777" w:rsidR="00BA22C8" w:rsidRDefault="00BA22C8"/>
    <w:p w14:paraId="2856EE9A" w14:textId="77777777" w:rsidR="00BA22C8" w:rsidRDefault="00BA22C8"/>
    <w:p w14:paraId="35B3A658" w14:textId="77777777" w:rsidR="00BA22C8" w:rsidRDefault="00BA22C8"/>
    <w:p w14:paraId="7364F678" w14:textId="77777777" w:rsidR="00BA22C8" w:rsidRDefault="00BA22C8"/>
    <w:p w14:paraId="390E0169" w14:textId="77777777" w:rsidR="00BA22C8" w:rsidRDefault="00BA22C8"/>
    <w:p w14:paraId="144937E8" w14:textId="77777777" w:rsidR="00BA22C8" w:rsidRDefault="00BA22C8"/>
    <w:p w14:paraId="0C03C453" w14:textId="77777777" w:rsidR="00BA22C8" w:rsidRDefault="00BA22C8"/>
    <w:p w14:paraId="201ED8CD" w14:textId="77777777" w:rsidR="00BA22C8" w:rsidRDefault="00BA22C8"/>
    <w:p w14:paraId="154E8780" w14:textId="77777777" w:rsidR="00BA22C8" w:rsidRDefault="00BA22C8"/>
    <w:p w14:paraId="1DE4CB7A" w14:textId="77777777" w:rsidR="00BA22C8" w:rsidRDefault="00BA22C8"/>
    <w:p w14:paraId="6ABA4D08" w14:textId="77777777" w:rsidR="00BA22C8" w:rsidRDefault="00BA22C8"/>
    <w:p w14:paraId="54C2C1A7" w14:textId="77777777" w:rsidR="00BA22C8" w:rsidRDefault="00BA22C8"/>
    <w:p w14:paraId="6E5D954E" w14:textId="77777777" w:rsidR="00BA22C8" w:rsidRDefault="00BA22C8"/>
    <w:p w14:paraId="063BB251" w14:textId="50775C34" w:rsidR="00BA22C8" w:rsidRDefault="00BA22C8" w:rsidP="00AA6987">
      <w:pPr>
        <w:pStyle w:val="Heading1"/>
      </w:pPr>
      <w:bookmarkStart w:id="0" w:name="_Toc224596752"/>
      <w:r>
        <w:t>1.Introduction</w:t>
      </w:r>
      <w:bookmarkEnd w:id="0"/>
    </w:p>
    <w:p w14:paraId="04BAC2DC" w14:textId="77777777" w:rsidR="00BA22C8" w:rsidRPr="00BA22C8" w:rsidRDefault="00BA22C8" w:rsidP="00807044">
      <w:pPr>
        <w:spacing w:line="360" w:lineRule="auto"/>
        <w:rPr>
          <w:rFonts w:ascii="Arial" w:hAnsi="Arial" w:cs="Arial"/>
          <w:sz w:val="22"/>
          <w:szCs w:val="22"/>
        </w:rPr>
      </w:pPr>
      <w:r w:rsidRPr="00BA22C8">
        <w:rPr>
          <w:rFonts w:ascii="Arial" w:hAnsi="Arial" w:cs="Arial"/>
          <w:sz w:val="22"/>
          <w:szCs w:val="22"/>
        </w:rPr>
        <w:t>Organisational culture plays a central role in shaping how organisations operate and how employees behave within the workplace. It represents the shared values, beliefs, assumptions and behavioural norms that guide how work is carried out and how individuals interact with one another. In many organisations, culture becomes deeply embedded over time and influences everyday practices, including communication patterns, leadership styles, decision-making processes and approaches to problem solving. As Mullins and Christy (2016) suggest, organisational culture reflects “how things are done around here,” highlighting the powerful and often invisible influence culture has on organisational processes such as structure, management control, group behaviour and employee motivation. Because of this influence, understanding organisational culture is essential for explaining how organisations function and how they respond to internal and external challenges.</w:t>
      </w:r>
    </w:p>
    <w:p w14:paraId="0BD222A1" w14:textId="0B20DF73" w:rsidR="00BA22C8" w:rsidRPr="00BA22C8" w:rsidRDefault="00BA22C8" w:rsidP="00807044">
      <w:pPr>
        <w:spacing w:line="360" w:lineRule="auto"/>
        <w:rPr>
          <w:rFonts w:ascii="Arial" w:hAnsi="Arial" w:cs="Arial"/>
          <w:sz w:val="22"/>
          <w:szCs w:val="22"/>
        </w:rPr>
      </w:pPr>
      <w:r w:rsidRPr="00BA22C8">
        <w:rPr>
          <w:rFonts w:ascii="Arial" w:hAnsi="Arial" w:cs="Arial"/>
          <w:sz w:val="22"/>
          <w:szCs w:val="22"/>
        </w:rPr>
        <w:t>In the context of increasing globalisation, organisational culture has become even more significant. Modern organisations operate across multiple countries, employ people from diverse cultural backgrounds and must adapt to rapidly changing technological, economic and social environments. As a result, organisations must find ways to integrate diverse perspectives while maintaining a coherent set of values and practices that guide behaviour. A strong and clearly defined organisational culture can support coordination, improve employee engagement and contribute to long-term organisational success. However, culture can also create limitations if established practices discourage innovation, slow down decision-making or make it difficult for organisations to adapt to changing market conditions</w:t>
      </w:r>
      <w:r w:rsidR="0016213E" w:rsidRPr="00807044">
        <w:rPr>
          <w:rFonts w:ascii="Arial" w:hAnsi="Arial" w:cs="Arial"/>
          <w:sz w:val="22"/>
          <w:szCs w:val="22"/>
        </w:rPr>
        <w:t xml:space="preserve"> (Alvesson and Sveningsson, 2024)</w:t>
      </w:r>
      <w:r w:rsidRPr="00BA22C8">
        <w:rPr>
          <w:rFonts w:ascii="Arial" w:hAnsi="Arial" w:cs="Arial"/>
          <w:sz w:val="22"/>
          <w:szCs w:val="22"/>
        </w:rPr>
        <w:t>.</w:t>
      </w:r>
    </w:p>
    <w:p w14:paraId="17873084" w14:textId="7BBE847F" w:rsidR="00BA22C8" w:rsidRPr="00BA22C8" w:rsidRDefault="00BA22C8" w:rsidP="00807044">
      <w:pPr>
        <w:spacing w:line="360" w:lineRule="auto"/>
        <w:rPr>
          <w:rFonts w:ascii="Arial" w:hAnsi="Arial" w:cs="Arial"/>
          <w:sz w:val="22"/>
          <w:szCs w:val="22"/>
        </w:rPr>
      </w:pPr>
      <w:r w:rsidRPr="00BA22C8">
        <w:rPr>
          <w:rFonts w:ascii="Arial" w:hAnsi="Arial" w:cs="Arial"/>
          <w:sz w:val="22"/>
          <w:szCs w:val="22"/>
        </w:rPr>
        <w:lastRenderedPageBreak/>
        <w:t>Toyota Motor Corporation provides a valuable example of how organisational culture can influence organisational processes and performance. As one of the world’s leading automotive manufacturers, Toyota has developed a distinctive organisational culture often associated with the “Toyota Way</w:t>
      </w:r>
      <w:r w:rsidR="0016213E" w:rsidRPr="00807044">
        <w:rPr>
          <w:rFonts w:ascii="Arial" w:hAnsi="Arial" w:cs="Arial"/>
          <w:sz w:val="22"/>
          <w:szCs w:val="22"/>
        </w:rPr>
        <w:t xml:space="preserve">,” (The Toyota Way) </w:t>
      </w:r>
      <w:r w:rsidRPr="00BA22C8">
        <w:rPr>
          <w:rFonts w:ascii="Arial" w:hAnsi="Arial" w:cs="Arial"/>
          <w:sz w:val="22"/>
          <w:szCs w:val="22"/>
        </w:rPr>
        <w:t>which emphasises continuous improvement, respect for people and long-term thinking. These cultural principles have shaped Toyota’s organisational structure, management practices and decision-making processes, particularly through approaches such as lean production, teamwork and problem-solving at all levels of the organisation. Toyota’s culture has also played an important role in helping the company maintain high standards of quality and efficiency while competing in a highly dynamic global industry.</w:t>
      </w:r>
    </w:p>
    <w:p w14:paraId="385CEA02" w14:textId="09D1A61D" w:rsidR="00BA22C8" w:rsidRPr="00807044" w:rsidRDefault="00BA22C8" w:rsidP="00807044">
      <w:pPr>
        <w:spacing w:line="360" w:lineRule="auto"/>
        <w:rPr>
          <w:rFonts w:ascii="Arial" w:hAnsi="Arial" w:cs="Arial"/>
          <w:sz w:val="22"/>
          <w:szCs w:val="22"/>
        </w:rPr>
      </w:pPr>
      <w:r w:rsidRPr="00BA22C8">
        <w:rPr>
          <w:rFonts w:ascii="Arial" w:hAnsi="Arial" w:cs="Arial"/>
          <w:sz w:val="22"/>
          <w:szCs w:val="22"/>
        </w:rPr>
        <w:t xml:space="preserve">This report </w:t>
      </w:r>
      <w:r w:rsidRPr="00807044">
        <w:rPr>
          <w:rFonts w:ascii="Arial" w:hAnsi="Arial" w:cs="Arial"/>
          <w:sz w:val="22"/>
          <w:szCs w:val="22"/>
        </w:rPr>
        <w:t>will examinate</w:t>
      </w:r>
      <w:r w:rsidRPr="00BA22C8">
        <w:rPr>
          <w:rFonts w:ascii="Arial" w:hAnsi="Arial" w:cs="Arial"/>
          <w:sz w:val="22"/>
          <w:szCs w:val="22"/>
        </w:rPr>
        <w:t xml:space="preserve"> the role of organisational culture within Toyota by drawing on the arguments presented by Mullins and Christy (2016) and other relevant academic frameworks. The report first evaluates how organisational culture influences Toyota’s structure and decision-making processes. It then applies recognised cultural models, including Schein’s Model of organisational culture, Hofstede’s Cultural Dimensions and Handy’s Cultural Types, </w:t>
      </w:r>
      <w:r w:rsidRPr="00807044">
        <w:rPr>
          <w:rFonts w:ascii="Arial" w:hAnsi="Arial" w:cs="Arial"/>
          <w:sz w:val="22"/>
          <w:szCs w:val="22"/>
        </w:rPr>
        <w:t>to</w:t>
      </w:r>
      <w:r w:rsidRPr="00BA22C8">
        <w:rPr>
          <w:rFonts w:ascii="Arial" w:hAnsi="Arial" w:cs="Arial"/>
          <w:sz w:val="22"/>
          <w:szCs w:val="22"/>
        </w:rPr>
        <w:t xml:space="preserve"> identify the characteristics of Toyota’s culture and determine the prevailing cultural orientation within the company. The report also analyses how Toyota uses its organisational culture to adapt to external environmental pressures such as global competition, technological change and sustainability demands. Furthermore, the discussion assesses whether Toyota’s organisational culture functions primarily as an enabler or a potential barrier to effective organisational performance. Finally, the report evaluates the broader impact of organisational culture on Toyota’s overall performance and presents evidence-based recommendations aimed at supporting the company’s future development.</w:t>
      </w:r>
    </w:p>
    <w:p w14:paraId="7D7C8F01" w14:textId="719C00F9" w:rsidR="00AA6987" w:rsidRPr="00BA22C8" w:rsidRDefault="00AA6987" w:rsidP="00BA22C8">
      <w:r>
        <w:rPr>
          <w:noProof/>
        </w:rPr>
        <w:drawing>
          <wp:inline distT="0" distB="0" distL="0" distR="0" wp14:anchorId="333DCFB5" wp14:editId="208E07FB">
            <wp:extent cx="5798820" cy="2697480"/>
            <wp:effectExtent l="0" t="0" r="0" b="7620"/>
            <wp:docPr id="1561214656" name="Picture 1" descr="Who Are Toyota's (TM) Main Suppli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o Are Toyota's (TM) Main Suppli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8820" cy="2697480"/>
                    </a:xfrm>
                    <a:prstGeom prst="rect">
                      <a:avLst/>
                    </a:prstGeom>
                    <a:noFill/>
                    <a:ln>
                      <a:noFill/>
                    </a:ln>
                  </pic:spPr>
                </pic:pic>
              </a:graphicData>
            </a:graphic>
          </wp:inline>
        </w:drawing>
      </w:r>
    </w:p>
    <w:p w14:paraId="1C1D847A" w14:textId="2664E902" w:rsidR="00AA6987" w:rsidRDefault="00AA6987"/>
    <w:p w14:paraId="6AEFD884" w14:textId="084BB04C" w:rsidR="00AA6987" w:rsidRDefault="00AA6987">
      <w:r>
        <w:rPr>
          <w:noProof/>
        </w:rPr>
        <w:lastRenderedPageBreak/>
        <mc:AlternateContent>
          <mc:Choice Requires="wps">
            <w:drawing>
              <wp:anchor distT="45720" distB="45720" distL="114300" distR="114300" simplePos="0" relativeHeight="251667456" behindDoc="0" locked="0" layoutInCell="1" allowOverlap="1" wp14:anchorId="2E2A4B3B" wp14:editId="4DD71A5F">
                <wp:simplePos x="0" y="0"/>
                <wp:positionH relativeFrom="column">
                  <wp:posOffset>60960</wp:posOffset>
                </wp:positionH>
                <wp:positionV relativeFrom="paragraph">
                  <wp:posOffset>8255</wp:posOffset>
                </wp:positionV>
                <wp:extent cx="2026920" cy="327660"/>
                <wp:effectExtent l="0" t="0" r="11430" b="15240"/>
                <wp:wrapSquare wrapText="bothSides"/>
                <wp:docPr id="17357277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6920" cy="327660"/>
                        </a:xfrm>
                        <a:prstGeom prst="rect">
                          <a:avLst/>
                        </a:prstGeom>
                        <a:solidFill>
                          <a:srgbClr val="FFFFFF"/>
                        </a:solidFill>
                        <a:ln w="9525">
                          <a:solidFill>
                            <a:srgbClr val="000000"/>
                          </a:solidFill>
                          <a:miter lim="800000"/>
                          <a:headEnd/>
                          <a:tailEnd/>
                        </a:ln>
                      </wps:spPr>
                      <wps:txbx>
                        <w:txbxContent>
                          <w:p w14:paraId="4160500C" w14:textId="74A072DD" w:rsidR="00AA6987" w:rsidRDefault="00AA6987">
                            <w:r>
                              <w:t xml:space="preserve">Source: </w:t>
                            </w:r>
                            <w:hyperlink r:id="rId9" w:history="1">
                              <w:r w:rsidRPr="00EA7DB8">
                                <w:rPr>
                                  <w:rStyle w:val="Hyperlink"/>
                                </w:rPr>
                                <w:t>https://encrypted-</w:t>
                              </w:r>
                            </w:hyperlink>
                            <w:r>
                              <w:t xml:space="preserve"> </w:t>
                            </w:r>
                            <w:r w:rsidRPr="00AA6987">
                              <w:t>tbn0.gstatic.com/images?q=</w:t>
                            </w:r>
                            <w:proofErr w:type="gramStart"/>
                            <w:r w:rsidRPr="00AA6987">
                              <w:t>tbn:ANd</w:t>
                            </w:r>
                            <w:proofErr w:type="gramEnd"/>
                            <w:r w:rsidRPr="00AA6987">
                              <w:t>9GcRTSiurQdlidhwqbNdb1d42nf7R1mGRty3c_w&amp;s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2A4B3B" id="_x0000_s1031" type="#_x0000_t202" style="position:absolute;margin-left:4.8pt;margin-top:.65pt;width:159.6pt;height:25.8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">
                <v:textbox>
                  <w:txbxContent>
                    <w:p w14:paraId="4160500C" w14:textId="74A072DD" w:rsidR="00AA6987" w:rsidRDefault="00AA6987">
                      <w:r>
                        <w:t xml:space="preserve">Source: </w:t>
                      </w:r>
                      <w:hyperlink r:id="rId10" w:history="1">
                        <w:r w:rsidRPr="00EA7DB8">
                          <w:rPr>
                            <w:rStyle w:val="Hyperlink"/>
                          </w:rPr>
                          <w:t>https://encrypted-</w:t>
                        </w:r>
                      </w:hyperlink>
                      <w:r>
                        <w:t xml:space="preserve"> </w:t>
                      </w:r>
                      <w:r w:rsidRPr="00AA6987">
                        <w:t>tbn0.gstatic.com/images?q=</w:t>
                      </w:r>
                      <w:proofErr w:type="gramStart"/>
                      <w:r w:rsidRPr="00AA6987">
                        <w:t>tbn:ANd</w:t>
                      </w:r>
                      <w:proofErr w:type="gramEnd"/>
                      <w:r w:rsidRPr="00AA6987">
                        <w:t>9GcRTSiurQdlidhwqbNdb1d42nf7R1mGRty3c_w&amp;s</w:t>
                      </w:r>
                    </w:p>
                  </w:txbxContent>
                </v:textbox>
                <w10:wrap type="square"/>
              </v:shape>
            </w:pict>
          </mc:Fallback>
        </mc:AlternateContent>
      </w:r>
    </w:p>
    <w:p w14:paraId="03999A1C" w14:textId="4E9D5F22" w:rsidR="00AA6987" w:rsidRDefault="00AA6987"/>
    <w:p w14:paraId="71D4B0EA" w14:textId="1A292F03" w:rsidR="00BA22C8" w:rsidRDefault="007A73E3" w:rsidP="00AA6987">
      <w:pPr>
        <w:pStyle w:val="Heading1"/>
      </w:pPr>
      <w:bookmarkStart w:id="1" w:name="_Toc224596753"/>
      <w:r>
        <w:t>2.</w:t>
      </w:r>
      <w:r w:rsidRPr="007A73E3">
        <w:t xml:space="preserve"> Organisational Culture and Its Influence on Structure and Decision-Making at Toyota</w:t>
      </w:r>
      <w:bookmarkEnd w:id="1"/>
    </w:p>
    <w:p w14:paraId="20AF494D" w14:textId="77777777" w:rsidR="007A73E3" w:rsidRPr="007A73E3" w:rsidRDefault="007A73E3" w:rsidP="00807044">
      <w:pPr>
        <w:spacing w:line="360" w:lineRule="auto"/>
        <w:rPr>
          <w:rFonts w:ascii="Arial" w:hAnsi="Arial" w:cs="Arial"/>
          <w:sz w:val="22"/>
          <w:szCs w:val="22"/>
        </w:rPr>
      </w:pPr>
      <w:r w:rsidRPr="007A73E3">
        <w:rPr>
          <w:rFonts w:ascii="Arial" w:hAnsi="Arial" w:cs="Arial"/>
          <w:sz w:val="22"/>
          <w:szCs w:val="22"/>
        </w:rPr>
        <w:t>Organisational culture plays a significant role in shaping how companies structure their operations and how decisions are made within the organisation. Culture influences the behaviour of employees, the relationships between different levels of management, and the overall approach to coordination and control. According to Mullins and Christy (2016), organisational culture reflects shared values and assumptions that guide behaviour and influence key organisational processes, including structure, leadership and decision-making. In the case of Toyota Motor Corporation, organisational culture has been deeply embedded in the company’s management philosophy and has had a strong influence on the way the organisation is structured and how decisions are taken.</w:t>
      </w:r>
    </w:p>
    <w:p w14:paraId="7F9BCCA3" w14:textId="77777777" w:rsidR="007A73E3" w:rsidRPr="007A73E3" w:rsidRDefault="007A73E3" w:rsidP="00807044">
      <w:pPr>
        <w:spacing w:line="360" w:lineRule="auto"/>
        <w:rPr>
          <w:rFonts w:ascii="Arial" w:hAnsi="Arial" w:cs="Arial"/>
          <w:sz w:val="22"/>
          <w:szCs w:val="22"/>
        </w:rPr>
      </w:pPr>
      <w:r w:rsidRPr="007A73E3">
        <w:rPr>
          <w:rFonts w:ascii="Arial" w:hAnsi="Arial" w:cs="Arial"/>
          <w:sz w:val="22"/>
          <w:szCs w:val="22"/>
        </w:rPr>
        <w:t xml:space="preserve">Toyota’s organisational culture is commonly associated with the concept of the “Toyota Way,” which emphasises two key principles: continuous improvement and respect for people. Continuous improvement, often referred to as </w:t>
      </w:r>
      <w:r w:rsidRPr="007A73E3">
        <w:rPr>
          <w:rFonts w:ascii="Arial" w:hAnsi="Arial" w:cs="Arial"/>
          <w:i/>
          <w:iCs/>
          <w:sz w:val="22"/>
          <w:szCs w:val="22"/>
        </w:rPr>
        <w:t>Kaizen</w:t>
      </w:r>
      <w:r w:rsidRPr="007A73E3">
        <w:rPr>
          <w:rFonts w:ascii="Arial" w:hAnsi="Arial" w:cs="Arial"/>
          <w:sz w:val="22"/>
          <w:szCs w:val="22"/>
        </w:rPr>
        <w:t>, encourages employees at all levels of the organisation to constantly seek ways to improve processes, reduce waste and enhance efficiency. Respect for people emphasises teamwork, mutual trust and the active involvement of employees in problem-solving and decision-making. These principles have shaped not only the behaviour of employees but also the structural design of the organisation.</w:t>
      </w:r>
    </w:p>
    <w:p w14:paraId="170675DD" w14:textId="416C3B7C" w:rsidR="007A73E3" w:rsidRPr="007A73E3" w:rsidRDefault="007A73E3" w:rsidP="00807044">
      <w:pPr>
        <w:spacing w:line="360" w:lineRule="auto"/>
        <w:rPr>
          <w:rFonts w:ascii="Arial" w:hAnsi="Arial" w:cs="Arial"/>
          <w:sz w:val="22"/>
          <w:szCs w:val="22"/>
        </w:rPr>
      </w:pPr>
      <w:r w:rsidRPr="007A73E3">
        <w:rPr>
          <w:rFonts w:ascii="Arial" w:hAnsi="Arial" w:cs="Arial"/>
          <w:sz w:val="22"/>
          <w:szCs w:val="22"/>
        </w:rPr>
        <w:t>One of the most visible ways in which Toyota’s culture influences its organisational structure is through its emphasis on lean management and team-based work systems. Rather than relying solely on rigid hierarchical structures, Toyota encourages a collaborative approach in which teams are responsible for monitoring quality, identifying problems and proposing improvements</w:t>
      </w:r>
      <w:r w:rsidR="00662032" w:rsidRPr="00807044">
        <w:rPr>
          <w:rFonts w:ascii="Arial" w:hAnsi="Arial" w:cs="Arial"/>
          <w:sz w:val="22"/>
          <w:szCs w:val="22"/>
        </w:rPr>
        <w:t xml:space="preserve"> (Kumar et al., N/D)</w:t>
      </w:r>
      <w:r w:rsidRPr="007A73E3">
        <w:rPr>
          <w:rFonts w:ascii="Arial" w:hAnsi="Arial" w:cs="Arial"/>
          <w:sz w:val="22"/>
          <w:szCs w:val="22"/>
        </w:rPr>
        <w:t xml:space="preserve">. Employees on production lines are given a level of authority that is uncommon in many traditional manufacturing organisations. For example, workers </w:t>
      </w:r>
      <w:r w:rsidR="0016213E" w:rsidRPr="00807044">
        <w:rPr>
          <w:rFonts w:ascii="Arial" w:hAnsi="Arial" w:cs="Arial"/>
          <w:sz w:val="22"/>
          <w:szCs w:val="22"/>
        </w:rPr>
        <w:t>can</w:t>
      </w:r>
      <w:r w:rsidRPr="007A73E3">
        <w:rPr>
          <w:rFonts w:ascii="Arial" w:hAnsi="Arial" w:cs="Arial"/>
          <w:sz w:val="22"/>
          <w:szCs w:val="22"/>
        </w:rPr>
        <w:t xml:space="preserve"> stop the production line if they detect a defect or problem, which reflects the organisation’s strong cultural emphasis on quality and accountability. This structure supports a culture in which employees are actively involved in maintaining high operational standards and contributing to continuous improvement.</w:t>
      </w:r>
    </w:p>
    <w:p w14:paraId="574994C2" w14:textId="7EFDD77D" w:rsidR="00763BC8" w:rsidRDefault="00763BC8" w:rsidP="00AA6987">
      <w:pPr>
        <w:pStyle w:val="Heading1"/>
      </w:pPr>
      <w:bookmarkStart w:id="2" w:name="_Toc224596754"/>
      <w:r>
        <w:lastRenderedPageBreak/>
        <w:t>3.</w:t>
      </w:r>
      <w:r w:rsidRPr="00763BC8">
        <w:t xml:space="preserve"> Identifying Organisational Culture in Toyota Using Cultural Frameworks</w:t>
      </w:r>
      <w:bookmarkEnd w:id="2"/>
    </w:p>
    <w:p w14:paraId="6DE46172" w14:textId="5D1984E0" w:rsidR="007A73E3" w:rsidRPr="007A73E3" w:rsidRDefault="007A73E3" w:rsidP="00807044">
      <w:pPr>
        <w:spacing w:line="360" w:lineRule="auto"/>
        <w:rPr>
          <w:rFonts w:ascii="Arial" w:hAnsi="Arial" w:cs="Arial"/>
          <w:sz w:val="22"/>
          <w:szCs w:val="22"/>
        </w:rPr>
      </w:pPr>
      <w:r w:rsidRPr="007A73E3">
        <w:rPr>
          <w:rFonts w:ascii="Arial" w:hAnsi="Arial" w:cs="Arial"/>
          <w:sz w:val="22"/>
          <w:szCs w:val="22"/>
        </w:rPr>
        <w:t xml:space="preserve">Toyota’s culture also strongly influences the company’s decision-making processes. Decision-making within Toyota often follows a consensus-based approach known as the </w:t>
      </w:r>
      <w:r w:rsidRPr="007A73E3">
        <w:rPr>
          <w:rFonts w:ascii="Arial" w:hAnsi="Arial" w:cs="Arial"/>
          <w:i/>
          <w:iCs/>
          <w:sz w:val="22"/>
          <w:szCs w:val="22"/>
        </w:rPr>
        <w:t>ringi</w:t>
      </w:r>
      <w:r w:rsidRPr="007A73E3">
        <w:rPr>
          <w:rFonts w:ascii="Arial" w:hAnsi="Arial" w:cs="Arial"/>
          <w:sz w:val="22"/>
          <w:szCs w:val="22"/>
        </w:rPr>
        <w:t xml:space="preserve"> system</w:t>
      </w:r>
      <w:r w:rsidR="00662032" w:rsidRPr="00807044">
        <w:rPr>
          <w:rFonts w:ascii="Arial" w:hAnsi="Arial" w:cs="Arial"/>
          <w:sz w:val="22"/>
          <w:szCs w:val="22"/>
        </w:rPr>
        <w:t xml:space="preserve"> (Sagi, 2015)</w:t>
      </w:r>
      <w:r w:rsidRPr="007A73E3">
        <w:rPr>
          <w:rFonts w:ascii="Arial" w:hAnsi="Arial" w:cs="Arial"/>
          <w:sz w:val="22"/>
          <w:szCs w:val="22"/>
        </w:rPr>
        <w:t>, where proposals are circulated among relevant managers and employees before a final decision is made. This process allows different perspectives to be considered and encourages collective responsibility for organisational outcomes. By involving employees from different levels of the organisation, Toyota ensures that decisions are informed by practical experience and operational knowledge. As a result, decision-making tends to be carefully considered and aligned with the organisation’s long-term objectives.</w:t>
      </w:r>
    </w:p>
    <w:p w14:paraId="561CAEC0" w14:textId="77777777" w:rsidR="007A73E3" w:rsidRPr="007A73E3" w:rsidRDefault="007A73E3" w:rsidP="00807044">
      <w:pPr>
        <w:spacing w:line="360" w:lineRule="auto"/>
        <w:rPr>
          <w:rFonts w:ascii="Arial" w:hAnsi="Arial" w:cs="Arial"/>
          <w:sz w:val="22"/>
          <w:szCs w:val="22"/>
        </w:rPr>
      </w:pPr>
      <w:r w:rsidRPr="007A73E3">
        <w:rPr>
          <w:rFonts w:ascii="Arial" w:hAnsi="Arial" w:cs="Arial"/>
          <w:sz w:val="22"/>
          <w:szCs w:val="22"/>
        </w:rPr>
        <w:t>Understanding organisational culture requires the use of theoretical frameworks that help explain how cultural values are formed, expressed and maintained within organisations. Several well-established models have been developed to analyse organisational culture, including Schein’s Model of Organisational Culture, Hofstede’s Cultural Dimensions and Handy’s Cultural Types. Applying these frameworks provides a deeper understanding of how Toyota’s culture operates and why certain behaviours and management practices are dominant within the organisation.</w:t>
      </w:r>
    </w:p>
    <w:p w14:paraId="2568DE35" w14:textId="77777777" w:rsidR="007A73E3" w:rsidRPr="007A73E3" w:rsidRDefault="007A73E3" w:rsidP="00807044">
      <w:pPr>
        <w:spacing w:line="360" w:lineRule="auto"/>
        <w:rPr>
          <w:rFonts w:ascii="Arial" w:hAnsi="Arial" w:cs="Arial"/>
          <w:sz w:val="22"/>
          <w:szCs w:val="22"/>
        </w:rPr>
      </w:pPr>
      <w:r w:rsidRPr="007A73E3">
        <w:rPr>
          <w:rFonts w:ascii="Arial" w:hAnsi="Arial" w:cs="Arial"/>
          <w:sz w:val="22"/>
          <w:szCs w:val="22"/>
        </w:rPr>
        <w:t>Schein’s model is one of the most widely used frameworks for analysing organisational culture. According to Schein (2017), organisational culture can be understood at three interconnected levels: artefacts, espoused values and basic underlying assumptions. Artefacts represent the visible and observable aspects of culture, such as organisational practices, symbols and behaviours. Within Toyota, artefacts can be seen in practices such as the use of visual management systems, standardised work procedures and the practice of stopping production lines when defects are identified. These visible behaviours reflect Toyota’s strong commitment to quality control and operational transparency. Another important artefact is the emphasis on teamwork and problem-solving meetings, which are common across Toyota’s production facilities.</w:t>
      </w:r>
    </w:p>
    <w:p w14:paraId="432164A8" w14:textId="77777777" w:rsidR="007A73E3" w:rsidRPr="007A73E3" w:rsidRDefault="007A73E3" w:rsidP="00807044">
      <w:pPr>
        <w:spacing w:line="360" w:lineRule="auto"/>
        <w:rPr>
          <w:rFonts w:ascii="Arial" w:hAnsi="Arial" w:cs="Arial"/>
          <w:sz w:val="22"/>
          <w:szCs w:val="22"/>
        </w:rPr>
      </w:pPr>
      <w:r w:rsidRPr="007A73E3">
        <w:rPr>
          <w:rFonts w:ascii="Arial" w:hAnsi="Arial" w:cs="Arial"/>
          <w:sz w:val="22"/>
          <w:szCs w:val="22"/>
        </w:rPr>
        <w:t xml:space="preserve">The second level of Schein’s framework refers to espoused values, which represent the stated principles and strategies that guide organisational behaviour. In Toyota’s case, these values are clearly expressed through the “Toyota Way,” which highlights continuous improvement and respect for people as the organisation’s guiding principles. Continuous improvement encourages employees to constantly seek better ways of working and to eliminate inefficiencies within production processes. Respect for people promotes </w:t>
      </w:r>
      <w:r w:rsidRPr="007A73E3">
        <w:rPr>
          <w:rFonts w:ascii="Arial" w:hAnsi="Arial" w:cs="Arial"/>
          <w:sz w:val="22"/>
          <w:szCs w:val="22"/>
        </w:rPr>
        <w:lastRenderedPageBreak/>
        <w:t>collaboration, employee involvement and mutual trust between management and employees. These values are widely communicated within the organisation and influence both management practices and employee behaviour (Liker, 2021).</w:t>
      </w:r>
    </w:p>
    <w:p w14:paraId="731F4CDB" w14:textId="77777777" w:rsidR="007A73E3" w:rsidRPr="00807044" w:rsidRDefault="007A73E3" w:rsidP="00807044">
      <w:pPr>
        <w:spacing w:line="360" w:lineRule="auto"/>
        <w:rPr>
          <w:rFonts w:ascii="Arial" w:hAnsi="Arial" w:cs="Arial"/>
          <w:sz w:val="22"/>
          <w:szCs w:val="22"/>
        </w:rPr>
      </w:pPr>
      <w:r w:rsidRPr="007A73E3">
        <w:rPr>
          <w:rFonts w:ascii="Arial" w:hAnsi="Arial" w:cs="Arial"/>
          <w:sz w:val="22"/>
          <w:szCs w:val="22"/>
        </w:rPr>
        <w:t>The deepest level of Schein’s model involves basic underlying assumptions, which represent the unconscious beliefs that shape how individuals perceive and respond to organisational situations. At Toyota, a key underlying assumption is that improvement is always possible and that employees at all levels have valuable knowledge that can contribute to organisational learning. This belief supports the organisation’s emphasis on employee empowerment and continuous learning, encouraging workers to actively participate in identifying problems and proposing solutions.</w:t>
      </w:r>
    </w:p>
    <w:p w14:paraId="5FAF9E3A" w14:textId="6308183E" w:rsidR="00FF4502" w:rsidRDefault="00FF4502" w:rsidP="007A73E3"/>
    <w:p w14:paraId="4F94C5FB" w14:textId="2A6B29D2" w:rsidR="00FF4502" w:rsidRPr="007A73E3" w:rsidRDefault="00FF4502" w:rsidP="007A73E3">
      <w:r>
        <w:rPr>
          <w:noProof/>
        </w:rPr>
        <w:drawing>
          <wp:inline distT="0" distB="0" distL="0" distR="0" wp14:anchorId="4D1C145F" wp14:editId="6B7B14FC">
            <wp:extent cx="5731510" cy="4298950"/>
            <wp:effectExtent l="0" t="0" r="2540" b="6350"/>
            <wp:docPr id="3709186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1864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4298950"/>
                    </a:xfrm>
                    <a:prstGeom prst="rect">
                      <a:avLst/>
                    </a:prstGeom>
                  </pic:spPr>
                </pic:pic>
              </a:graphicData>
            </a:graphic>
          </wp:inline>
        </w:drawing>
      </w:r>
    </w:p>
    <w:p w14:paraId="333B3113" w14:textId="4896DFF5" w:rsidR="00763BC8" w:rsidRDefault="00763BC8" w:rsidP="007A73E3">
      <w:r>
        <w:rPr>
          <w:noProof/>
        </w:rPr>
        <mc:AlternateContent>
          <mc:Choice Requires="wps">
            <w:drawing>
              <wp:anchor distT="45720" distB="45720" distL="114300" distR="114300" simplePos="0" relativeHeight="251661312" behindDoc="0" locked="0" layoutInCell="1" allowOverlap="1" wp14:anchorId="1D28C54C" wp14:editId="24A619CA">
                <wp:simplePos x="0" y="0"/>
                <wp:positionH relativeFrom="column">
                  <wp:posOffset>45720</wp:posOffset>
                </wp:positionH>
                <wp:positionV relativeFrom="paragraph">
                  <wp:posOffset>97155</wp:posOffset>
                </wp:positionV>
                <wp:extent cx="3375660" cy="411480"/>
                <wp:effectExtent l="0" t="0" r="1524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5660" cy="411480"/>
                        </a:xfrm>
                        <a:prstGeom prst="rect">
                          <a:avLst/>
                        </a:prstGeom>
                        <a:solidFill>
                          <a:srgbClr val="FFFFFF"/>
                        </a:solidFill>
                        <a:ln w="9525">
                          <a:solidFill>
                            <a:srgbClr val="000000"/>
                          </a:solidFill>
                          <a:miter lim="800000"/>
                          <a:headEnd/>
                          <a:tailEnd/>
                        </a:ln>
                      </wps:spPr>
                      <wps:txbx>
                        <w:txbxContent>
                          <w:p w14:paraId="3DBD4EC0" w14:textId="1419C005" w:rsidR="00763BC8" w:rsidRDefault="00763BC8">
                            <w:r>
                              <w:t>Source: Author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28C54C" id="_x0000_s1032" type="#_x0000_t202" style="position:absolute;margin-left:3.6pt;margin-top:7.65pt;width:265.8pt;height:32.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">
                <v:textbox>
                  <w:txbxContent>
                    <w:p w14:paraId="3DBD4EC0" w14:textId="1419C005" w:rsidR="00763BC8" w:rsidRDefault="00763BC8">
                      <w:r>
                        <w:t>Source: Author</w:t>
                      </w:r>
                    </w:p>
                  </w:txbxContent>
                </v:textbox>
                <w10:wrap type="square"/>
              </v:shape>
            </w:pict>
          </mc:Fallback>
        </mc:AlternateContent>
      </w:r>
    </w:p>
    <w:p w14:paraId="3E4600D6" w14:textId="073CA302" w:rsidR="00763BC8" w:rsidRDefault="00763BC8" w:rsidP="007A73E3"/>
    <w:p w14:paraId="12D466DF" w14:textId="4ED6E265" w:rsidR="007A73E3" w:rsidRPr="00807044" w:rsidRDefault="007A73E3" w:rsidP="00807044">
      <w:pPr>
        <w:spacing w:line="360" w:lineRule="auto"/>
        <w:rPr>
          <w:rFonts w:ascii="Arial" w:hAnsi="Arial" w:cs="Arial"/>
          <w:sz w:val="22"/>
          <w:szCs w:val="22"/>
        </w:rPr>
      </w:pPr>
      <w:r w:rsidRPr="007A73E3">
        <w:rPr>
          <w:rFonts w:ascii="Arial" w:hAnsi="Arial" w:cs="Arial"/>
          <w:sz w:val="22"/>
          <w:szCs w:val="22"/>
        </w:rPr>
        <w:t xml:space="preserve">Hofstede’s Cultural Dimensions provide another useful perspective for analysing Toyota’s organisational culture, particularly in relation to the influence of Japanese national culture. Hofstede’s framework examines cultural differences across several dimensions, including </w:t>
      </w:r>
      <w:r w:rsidRPr="007A73E3">
        <w:rPr>
          <w:rFonts w:ascii="Arial" w:hAnsi="Arial" w:cs="Arial"/>
          <w:sz w:val="22"/>
          <w:szCs w:val="22"/>
        </w:rPr>
        <w:lastRenderedPageBreak/>
        <w:t xml:space="preserve">collectivism versus individualism, power distance and long-term orientation (Hofstede and Minkov, 2010). Japanese culture is generally characterised by relatively high collectivism and strong long-term orientation, both of which are reflected in Toyota’s organisational practices. The emphasis on teamwork and group harmony within Toyota reflects collectivist cultural values, where collaboration and group success are prioritised over individual recognition. Similarly, Toyota’s strategic focus on long-term improvement rather than short-term gains reflects the cultural importance of long-term orientation within Japanese management practices </w:t>
      </w:r>
      <w:r w:rsidR="00807044" w:rsidRPr="00807044">
        <w:rPr>
          <w:rFonts w:ascii="Arial" w:hAnsi="Arial" w:cs="Arial"/>
          <w:sz w:val="22"/>
          <w:szCs w:val="22"/>
        </w:rPr>
        <w:t>(Tantawi et al., 2026)</w:t>
      </w:r>
      <w:r w:rsidRPr="007A73E3">
        <w:rPr>
          <w:rFonts w:ascii="Arial" w:hAnsi="Arial" w:cs="Arial"/>
          <w:sz w:val="22"/>
          <w:szCs w:val="22"/>
        </w:rPr>
        <w:t>.</w:t>
      </w:r>
    </w:p>
    <w:p w14:paraId="2F38CD6F" w14:textId="77777777" w:rsidR="00FF4502" w:rsidRDefault="00FF4502" w:rsidP="007A73E3"/>
    <w:p w14:paraId="4A31A8CB" w14:textId="624A82B2" w:rsidR="00FF4502" w:rsidRPr="007A73E3" w:rsidRDefault="00FF4502" w:rsidP="007A73E3">
      <w:r>
        <w:rPr>
          <w:noProof/>
        </w:rPr>
        <w:drawing>
          <wp:inline distT="0" distB="0" distL="0" distR="0" wp14:anchorId="5F84D196" wp14:editId="6AB1C974">
            <wp:extent cx="5731510" cy="4298950"/>
            <wp:effectExtent l="0" t="0" r="2540" b="6350"/>
            <wp:docPr id="16090334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03344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4298950"/>
                    </a:xfrm>
                    <a:prstGeom prst="rect">
                      <a:avLst/>
                    </a:prstGeom>
                  </pic:spPr>
                </pic:pic>
              </a:graphicData>
            </a:graphic>
          </wp:inline>
        </w:drawing>
      </w:r>
    </w:p>
    <w:p w14:paraId="653B0B8E" w14:textId="65842BC6" w:rsidR="00763BC8" w:rsidRDefault="00763BC8" w:rsidP="007A73E3"/>
    <w:p w14:paraId="51AF8711" w14:textId="1A9027C5" w:rsidR="00763BC8" w:rsidRDefault="00763BC8" w:rsidP="007A73E3">
      <w:r>
        <w:rPr>
          <w:noProof/>
        </w:rPr>
        <mc:AlternateContent>
          <mc:Choice Requires="wps">
            <w:drawing>
              <wp:anchor distT="45720" distB="45720" distL="114300" distR="114300" simplePos="0" relativeHeight="251663360" behindDoc="0" locked="0" layoutInCell="1" allowOverlap="1" wp14:anchorId="1836AB5A" wp14:editId="43760658">
                <wp:simplePos x="0" y="0"/>
                <wp:positionH relativeFrom="column">
                  <wp:posOffset>68580</wp:posOffset>
                </wp:positionH>
                <wp:positionV relativeFrom="paragraph">
                  <wp:posOffset>2540</wp:posOffset>
                </wp:positionV>
                <wp:extent cx="3375660" cy="411480"/>
                <wp:effectExtent l="0" t="0" r="15240" b="26670"/>
                <wp:wrapSquare wrapText="bothSides"/>
                <wp:docPr id="10488336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5660" cy="411480"/>
                        </a:xfrm>
                        <a:prstGeom prst="rect">
                          <a:avLst/>
                        </a:prstGeom>
                        <a:solidFill>
                          <a:srgbClr val="FFFFFF"/>
                        </a:solidFill>
                        <a:ln w="9525">
                          <a:solidFill>
                            <a:srgbClr val="000000"/>
                          </a:solidFill>
                          <a:miter lim="800000"/>
                          <a:headEnd/>
                          <a:tailEnd/>
                        </a:ln>
                      </wps:spPr>
                      <wps:txbx>
                        <w:txbxContent>
                          <w:p w14:paraId="1EF31D92" w14:textId="77777777" w:rsidR="00763BC8" w:rsidRDefault="00763BC8" w:rsidP="00763BC8">
                            <w:r>
                              <w:t>Source: Author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36AB5A" id="_x0000_s1033" type="#_x0000_t202" style="position:absolute;margin-left:5.4pt;margin-top:.2pt;width:265.8pt;height:32.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">
                <v:textbox>
                  <w:txbxContent>
                    <w:p w14:paraId="1EF31D92" w14:textId="77777777" w:rsidR="00763BC8" w:rsidRDefault="00763BC8" w:rsidP="00763BC8">
                      <w:r>
                        <w:t>Source: Author</w:t>
                      </w:r>
                    </w:p>
                  </w:txbxContent>
                </v:textbox>
                <w10:wrap type="square"/>
              </v:shape>
            </w:pict>
          </mc:Fallback>
        </mc:AlternateContent>
      </w:r>
    </w:p>
    <w:p w14:paraId="2CA70838" w14:textId="77777777" w:rsidR="00763BC8" w:rsidRDefault="00763BC8" w:rsidP="007A73E3"/>
    <w:p w14:paraId="797B2F7B" w14:textId="55DD7A3B" w:rsidR="007A73E3" w:rsidRPr="00807044" w:rsidRDefault="007A73E3" w:rsidP="00807044">
      <w:pPr>
        <w:spacing w:line="360" w:lineRule="auto"/>
        <w:rPr>
          <w:rFonts w:ascii="Arial" w:hAnsi="Arial" w:cs="Arial"/>
          <w:sz w:val="22"/>
          <w:szCs w:val="22"/>
        </w:rPr>
      </w:pPr>
      <w:r w:rsidRPr="007A73E3">
        <w:rPr>
          <w:rFonts w:ascii="Arial" w:hAnsi="Arial" w:cs="Arial"/>
          <w:sz w:val="22"/>
          <w:szCs w:val="22"/>
        </w:rPr>
        <w:t xml:space="preserve">Handy’s Cultural Types model also provides insight into Toyota’s organisational culture. Handy (1993) identified four main cultural types: power culture, role culture, task culture and person culture. Toyota’s organisational culture can be most closely associated with elements of task culture and role culture. Task culture emphasises teamwork and problem solving, where individuals collaborate to achieve organisational goals. This is evident in Toyota’s </w:t>
      </w:r>
      <w:r w:rsidRPr="007A73E3">
        <w:rPr>
          <w:rFonts w:ascii="Arial" w:hAnsi="Arial" w:cs="Arial"/>
          <w:sz w:val="22"/>
          <w:szCs w:val="22"/>
        </w:rPr>
        <w:lastRenderedPageBreak/>
        <w:t>team-based production system and the collaborative approach used in quality improvement initiatives. At the same time, elements of role culture are present through the structured procedures and clearly defined responsibilities that guide operations within the company.</w:t>
      </w:r>
    </w:p>
    <w:p w14:paraId="1D3EEB7C" w14:textId="3ED6EC2D" w:rsidR="00763BC8" w:rsidRPr="007A73E3" w:rsidRDefault="00763BC8" w:rsidP="007A73E3">
      <w:r>
        <w:rPr>
          <w:noProof/>
        </w:rPr>
        <w:drawing>
          <wp:inline distT="0" distB="0" distL="0" distR="0" wp14:anchorId="562F449A" wp14:editId="58B13CDB">
            <wp:extent cx="5731510" cy="4298950"/>
            <wp:effectExtent l="0" t="0" r="2540" b="6350"/>
            <wp:docPr id="14973690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369028"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4298950"/>
                    </a:xfrm>
                    <a:prstGeom prst="rect">
                      <a:avLst/>
                    </a:prstGeom>
                  </pic:spPr>
                </pic:pic>
              </a:graphicData>
            </a:graphic>
          </wp:inline>
        </w:drawing>
      </w:r>
    </w:p>
    <w:p w14:paraId="1F22682E" w14:textId="5BE433E2" w:rsidR="00763BC8" w:rsidRDefault="00763BC8" w:rsidP="007A73E3">
      <w:r>
        <w:rPr>
          <w:noProof/>
        </w:rPr>
        <mc:AlternateContent>
          <mc:Choice Requires="wps">
            <w:drawing>
              <wp:anchor distT="45720" distB="45720" distL="114300" distR="114300" simplePos="0" relativeHeight="251665408" behindDoc="0" locked="0" layoutInCell="1" allowOverlap="1" wp14:anchorId="5CA746E2" wp14:editId="18572784">
                <wp:simplePos x="0" y="0"/>
                <wp:positionH relativeFrom="column">
                  <wp:posOffset>0</wp:posOffset>
                </wp:positionH>
                <wp:positionV relativeFrom="paragraph">
                  <wp:posOffset>365760</wp:posOffset>
                </wp:positionV>
                <wp:extent cx="3375660" cy="411480"/>
                <wp:effectExtent l="0" t="0" r="15240" b="26670"/>
                <wp:wrapSquare wrapText="bothSides"/>
                <wp:docPr id="5439576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5660" cy="411480"/>
                        </a:xfrm>
                        <a:prstGeom prst="rect">
                          <a:avLst/>
                        </a:prstGeom>
                        <a:solidFill>
                          <a:srgbClr val="FFFFFF"/>
                        </a:solidFill>
                        <a:ln w="9525">
                          <a:solidFill>
                            <a:srgbClr val="000000"/>
                          </a:solidFill>
                          <a:miter lim="800000"/>
                          <a:headEnd/>
                          <a:tailEnd/>
                        </a:ln>
                      </wps:spPr>
                      <wps:txbx>
                        <w:txbxContent>
                          <w:p w14:paraId="2D0F017E" w14:textId="77777777" w:rsidR="00763BC8" w:rsidRDefault="00763BC8" w:rsidP="00763BC8">
                            <w:r>
                              <w:t>Source: Author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A746E2" id="_x0000_s1034" type="#_x0000_t202" style="position:absolute;margin-left:0;margin-top:28.8pt;width:265.8pt;height:32.4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">
                <v:textbox>
                  <w:txbxContent>
                    <w:p w14:paraId="2D0F017E" w14:textId="77777777" w:rsidR="00763BC8" w:rsidRDefault="00763BC8" w:rsidP="00763BC8">
                      <w:r>
                        <w:t>Source: Author</w:t>
                      </w:r>
                    </w:p>
                  </w:txbxContent>
                </v:textbox>
                <w10:wrap type="square"/>
              </v:shape>
            </w:pict>
          </mc:Fallback>
        </mc:AlternateContent>
      </w:r>
    </w:p>
    <w:p w14:paraId="4B0F3D4A" w14:textId="77777777" w:rsidR="00763BC8" w:rsidRDefault="00763BC8" w:rsidP="007A73E3"/>
    <w:p w14:paraId="335DB5AA" w14:textId="77777777" w:rsidR="00763BC8" w:rsidRDefault="00763BC8" w:rsidP="007A73E3"/>
    <w:p w14:paraId="05D983EA" w14:textId="22AF1FA5" w:rsidR="007A73E3" w:rsidRPr="007A73E3" w:rsidRDefault="007A73E3" w:rsidP="00807044">
      <w:pPr>
        <w:spacing w:line="360" w:lineRule="auto"/>
        <w:rPr>
          <w:rFonts w:ascii="Arial" w:hAnsi="Arial" w:cs="Arial"/>
          <w:sz w:val="22"/>
          <w:szCs w:val="22"/>
        </w:rPr>
      </w:pPr>
      <w:r w:rsidRPr="007A73E3">
        <w:rPr>
          <w:rFonts w:ascii="Arial" w:hAnsi="Arial" w:cs="Arial"/>
          <w:sz w:val="22"/>
          <w:szCs w:val="22"/>
        </w:rPr>
        <w:t>Overall, these cultural frameworks suggest that Toyota’s prevailing organisational culture is characterised by strong collaboration, structured processes and a continuous focus on improvement. The combination of task-oriented teamwork and structured organisational practices has allowed Toyota to develop a culture that supports efficiency, learning and long-term performance. By embedding these cultural values into everyday operations, Toyota has created a management system that reinforces consistent behaviour across the organisation while supporting adaptability and innovation.</w:t>
      </w:r>
    </w:p>
    <w:p w14:paraId="4C5A7B70" w14:textId="58096EEA" w:rsidR="007A73E3" w:rsidRDefault="00763BC8" w:rsidP="00AA6987">
      <w:pPr>
        <w:pStyle w:val="Heading1"/>
      </w:pPr>
      <w:bookmarkStart w:id="3" w:name="_Toc224596755"/>
      <w:r>
        <w:lastRenderedPageBreak/>
        <w:t xml:space="preserve">4, </w:t>
      </w:r>
      <w:r w:rsidRPr="00763BC8">
        <w:t>Organisational Culture and Adaptation to the External Environment</w:t>
      </w:r>
      <w:bookmarkEnd w:id="3"/>
    </w:p>
    <w:p w14:paraId="58B72C87" w14:textId="77777777" w:rsidR="00AA6987" w:rsidRPr="00AA6987" w:rsidRDefault="00AA6987" w:rsidP="00807044">
      <w:pPr>
        <w:spacing w:line="360" w:lineRule="auto"/>
        <w:rPr>
          <w:rFonts w:ascii="Arial" w:hAnsi="Arial" w:cs="Arial"/>
          <w:sz w:val="22"/>
          <w:szCs w:val="22"/>
        </w:rPr>
      </w:pPr>
      <w:r w:rsidRPr="00AA6987">
        <w:rPr>
          <w:rFonts w:ascii="Arial" w:hAnsi="Arial" w:cs="Arial"/>
          <w:sz w:val="22"/>
          <w:szCs w:val="22"/>
        </w:rPr>
        <w:t>Organisational culture plays an important role in shaping how organisations respond to external environmental changes. In highly competitive industries, companies must adapt to technological developments, regulations, market expectations and global competition. Culture influences how employees interpret challenges, how quickly organisations respond to change and how strategies are implemented. According to Mullins and Christy (2016), organisational culture guides behaviour and decision-making, helping organisations remain consistent while responding to environmental pressures. In Toyota Motor Corporation, strong cultural foundations have supported the company’s ability to adapt to changing external conditions.</w:t>
      </w:r>
    </w:p>
    <w:p w14:paraId="063429E9" w14:textId="77777777" w:rsidR="00AA6987" w:rsidRPr="00AA6987" w:rsidRDefault="00AA6987" w:rsidP="00807044">
      <w:pPr>
        <w:spacing w:line="360" w:lineRule="auto"/>
        <w:rPr>
          <w:rFonts w:ascii="Arial" w:hAnsi="Arial" w:cs="Arial"/>
          <w:sz w:val="22"/>
          <w:szCs w:val="22"/>
        </w:rPr>
      </w:pPr>
      <w:r w:rsidRPr="00AA6987">
        <w:rPr>
          <w:rFonts w:ascii="Arial" w:hAnsi="Arial" w:cs="Arial"/>
          <w:sz w:val="22"/>
          <w:szCs w:val="22"/>
        </w:rPr>
        <w:t xml:space="preserve">A key cultural characteristic that helps Toyota adapt is the principle of continuous improvement, known as </w:t>
      </w:r>
      <w:r w:rsidRPr="00AA6987">
        <w:rPr>
          <w:rFonts w:ascii="Arial" w:hAnsi="Arial" w:cs="Arial"/>
          <w:i/>
          <w:iCs/>
          <w:sz w:val="22"/>
          <w:szCs w:val="22"/>
        </w:rPr>
        <w:t>Kaizen</w:t>
      </w:r>
      <w:r w:rsidRPr="00AA6987">
        <w:rPr>
          <w:rFonts w:ascii="Arial" w:hAnsi="Arial" w:cs="Arial"/>
          <w:sz w:val="22"/>
          <w:szCs w:val="22"/>
        </w:rPr>
        <w:t>. This approach encourages employees at all levels to identify inefficiencies and suggest improvements to organisational processes. By involving employees in problem solving, Toyota maintains flexibility and responds proactively to changes in the automotive industry. This approach supports organisational learning and allows Toyota to adjust operations according to market demands (Liker, 2021).</w:t>
      </w:r>
    </w:p>
    <w:p w14:paraId="1A389495" w14:textId="77777777" w:rsidR="00AA6987" w:rsidRPr="00AA6987" w:rsidRDefault="00AA6987" w:rsidP="00807044">
      <w:pPr>
        <w:spacing w:line="360" w:lineRule="auto"/>
        <w:rPr>
          <w:rFonts w:ascii="Arial" w:hAnsi="Arial" w:cs="Arial"/>
          <w:sz w:val="22"/>
          <w:szCs w:val="22"/>
        </w:rPr>
      </w:pPr>
      <w:r w:rsidRPr="00AA6987">
        <w:rPr>
          <w:rFonts w:ascii="Arial" w:hAnsi="Arial" w:cs="Arial"/>
          <w:sz w:val="22"/>
          <w:szCs w:val="22"/>
        </w:rPr>
        <w:t>Toyota’s culture also emphasises quality and operational efficiency. The Toyota Production System focuses on waste reduction, process optimisation and standardised work practices. These values have helped Toyota develop one of the most recognised lean manufacturing systems worldwide. By prioritising efficiency and quality control, Toyota can respond effectively to competitive pressures while maintaining reliable products (Ohno, 2019).</w:t>
      </w:r>
    </w:p>
    <w:p w14:paraId="07A8CFCE" w14:textId="77777777" w:rsidR="00AA6987" w:rsidRPr="00AA6987" w:rsidRDefault="00AA6987" w:rsidP="00807044">
      <w:pPr>
        <w:spacing w:line="360" w:lineRule="auto"/>
        <w:rPr>
          <w:rFonts w:ascii="Arial" w:hAnsi="Arial" w:cs="Arial"/>
          <w:sz w:val="22"/>
          <w:szCs w:val="22"/>
        </w:rPr>
      </w:pPr>
      <w:r w:rsidRPr="00AA6987">
        <w:rPr>
          <w:rFonts w:ascii="Arial" w:hAnsi="Arial" w:cs="Arial"/>
          <w:sz w:val="22"/>
          <w:szCs w:val="22"/>
        </w:rPr>
        <w:t>Technological change and environmental concerns have also influenced the automotive industry. Toyota has responded by investing in hybrid, electric and hydrogen fuel-cell technologies. Its long-term strategic orientation allows the company to prioritise sustainable innovation rather than focusing only on short-term profits (Toyota Motor Corporation, 2023).</w:t>
      </w:r>
    </w:p>
    <w:p w14:paraId="7238C3BC" w14:textId="03BD7FD6" w:rsidR="00AA6987" w:rsidRPr="00AA6987" w:rsidRDefault="00AA6987" w:rsidP="00807044">
      <w:pPr>
        <w:spacing w:line="360" w:lineRule="auto"/>
        <w:rPr>
          <w:rFonts w:ascii="Arial" w:hAnsi="Arial" w:cs="Arial"/>
          <w:sz w:val="22"/>
          <w:szCs w:val="22"/>
        </w:rPr>
      </w:pPr>
      <w:r w:rsidRPr="00AA6987">
        <w:rPr>
          <w:rFonts w:ascii="Arial" w:hAnsi="Arial" w:cs="Arial"/>
          <w:sz w:val="22"/>
          <w:szCs w:val="22"/>
        </w:rPr>
        <w:t xml:space="preserve">Globalisation has also created challenges for multinational companies. Toyota’s culture of teamwork and respect supports collaboration across international operations. While maintaining the core principles of the Toyota Way, the company adapts management practices to local cultural contexts, allowing it to remain coherent while operating globally </w:t>
      </w:r>
      <w:r w:rsidR="00807044" w:rsidRPr="00807044">
        <w:rPr>
          <w:rFonts w:ascii="Arial" w:hAnsi="Arial" w:cs="Arial"/>
          <w:sz w:val="22"/>
          <w:szCs w:val="22"/>
        </w:rPr>
        <w:t>(Yamamoto, Milstead and Lloyd, 2019).</w:t>
      </w:r>
    </w:p>
    <w:p w14:paraId="297E4047" w14:textId="4195493A" w:rsidR="00763BC8" w:rsidRDefault="00763BC8" w:rsidP="00807044">
      <w:pPr>
        <w:pStyle w:val="Heading1"/>
      </w:pPr>
      <w:bookmarkStart w:id="4" w:name="_Toc224596756"/>
      <w:r>
        <w:lastRenderedPageBreak/>
        <w:t>5.</w:t>
      </w:r>
      <w:r w:rsidRPr="00763BC8">
        <w:t xml:space="preserve"> Organisational Culture as a Barrier or Enabler</w:t>
      </w:r>
      <w:bookmarkEnd w:id="4"/>
    </w:p>
    <w:p w14:paraId="7EF66F41" w14:textId="77777777" w:rsidR="00763BC8" w:rsidRPr="00763BC8" w:rsidRDefault="00763BC8" w:rsidP="00807044">
      <w:pPr>
        <w:spacing w:line="360" w:lineRule="auto"/>
        <w:rPr>
          <w:rFonts w:ascii="Arial" w:hAnsi="Arial" w:cs="Arial"/>
          <w:sz w:val="22"/>
          <w:szCs w:val="22"/>
        </w:rPr>
      </w:pPr>
      <w:r w:rsidRPr="00763BC8">
        <w:rPr>
          <w:rFonts w:ascii="Arial" w:hAnsi="Arial" w:cs="Arial"/>
          <w:sz w:val="22"/>
          <w:szCs w:val="22"/>
        </w:rPr>
        <w:t>Organisational culture can significantly influence how effectively an organisation operates. It can function as a strong enabler of performance by encouraging cooperation, innovation and employee engagement, but it may also create barriers when established values and practices limit flexibility or slow decision-making. In the case of Toyota Motor Corporation, organisational culture has largely acted as an enabling force that supports operational effectiveness, although certain aspects may occasionally create limitations in a rapidly changing business environment.</w:t>
      </w:r>
    </w:p>
    <w:p w14:paraId="4F16FC5C" w14:textId="77777777" w:rsidR="00763BC8" w:rsidRPr="00763BC8" w:rsidRDefault="00763BC8" w:rsidP="00807044">
      <w:pPr>
        <w:spacing w:line="360" w:lineRule="auto"/>
        <w:rPr>
          <w:rFonts w:ascii="Arial" w:hAnsi="Arial" w:cs="Arial"/>
          <w:sz w:val="22"/>
          <w:szCs w:val="22"/>
        </w:rPr>
      </w:pPr>
      <w:r w:rsidRPr="00763BC8">
        <w:rPr>
          <w:rFonts w:ascii="Arial" w:hAnsi="Arial" w:cs="Arial"/>
          <w:sz w:val="22"/>
          <w:szCs w:val="22"/>
        </w:rPr>
        <w:t>One of the main ways in which Toyota’s organisational culture acts as an enabler is through its strong emphasis on continuous improvement and employee involvement. The company encourages employees at all levels to identify problems and contribute ideas for improving processes, which strengthens organisational learning and innovation. This approach is reflected in practices such as quality circles and team-based problem solving, where employees collaborate to improve efficiency and product quality. By empowering workers and recognising their contributions, Toyota has created a culture that promotes accountability, engagement and collective responsibility for organisational outcomes (Liker, 2021). As a result, employees are more motivated to participate in improving organisational processes, which enhances overall performance.</w:t>
      </w:r>
    </w:p>
    <w:p w14:paraId="3FDC370E" w14:textId="77777777" w:rsidR="00763BC8" w:rsidRPr="00763BC8" w:rsidRDefault="00763BC8" w:rsidP="00807044">
      <w:pPr>
        <w:spacing w:line="360" w:lineRule="auto"/>
        <w:rPr>
          <w:rFonts w:ascii="Arial" w:hAnsi="Arial" w:cs="Arial"/>
          <w:sz w:val="22"/>
          <w:szCs w:val="22"/>
        </w:rPr>
      </w:pPr>
      <w:r w:rsidRPr="00763BC8">
        <w:rPr>
          <w:rFonts w:ascii="Arial" w:hAnsi="Arial" w:cs="Arial"/>
          <w:sz w:val="22"/>
          <w:szCs w:val="22"/>
        </w:rPr>
        <w:t>Another important enabling factor is Toyota’s commitment to teamwork and mutual respect. The organisation’s cultural emphasis on respect for people encourages open communication between management and employees, which supports collaboration and knowledge sharing. This collaborative environment helps ensure that problems are identified quickly and addressed effectively, contributing to the organisation’s reputation for reliability and quality. In addition, Toyota’s structured processes and clear operational standards provide employees with guidance and stability, allowing them to perform their roles efficiently while maintaining consistent quality across production activities (Mullins and Christy, 2016).</w:t>
      </w:r>
    </w:p>
    <w:p w14:paraId="7E38E18F" w14:textId="77777777" w:rsidR="00763BC8" w:rsidRPr="00763BC8" w:rsidRDefault="00763BC8" w:rsidP="00807044">
      <w:pPr>
        <w:spacing w:line="360" w:lineRule="auto"/>
        <w:rPr>
          <w:rFonts w:ascii="Arial" w:hAnsi="Arial" w:cs="Arial"/>
          <w:sz w:val="22"/>
          <w:szCs w:val="22"/>
        </w:rPr>
      </w:pPr>
      <w:r w:rsidRPr="00763BC8">
        <w:rPr>
          <w:rFonts w:ascii="Arial" w:hAnsi="Arial" w:cs="Arial"/>
          <w:sz w:val="22"/>
          <w:szCs w:val="22"/>
        </w:rPr>
        <w:t xml:space="preserve">Despite these advantages, certain aspects of Toyota’s organisational culture can also create challenges. For example, the company’s consensus-based decision-making approach, often associated with the </w:t>
      </w:r>
      <w:r w:rsidRPr="00763BC8">
        <w:rPr>
          <w:rFonts w:ascii="Arial" w:hAnsi="Arial" w:cs="Arial"/>
          <w:i/>
          <w:iCs/>
          <w:sz w:val="22"/>
          <w:szCs w:val="22"/>
        </w:rPr>
        <w:t>ringi</w:t>
      </w:r>
      <w:r w:rsidRPr="00763BC8">
        <w:rPr>
          <w:rFonts w:ascii="Arial" w:hAnsi="Arial" w:cs="Arial"/>
          <w:sz w:val="22"/>
          <w:szCs w:val="22"/>
        </w:rPr>
        <w:t xml:space="preserve"> system, encourages participation and collective agreement before decisions are finalised. While this process helps ensure that decisions are carefully considered and supported by employees, it can sometimes slow down the speed at which decisions are made. In highly competitive industries such as automotive manufacturing, where rapid technological developments and market changes occur frequently, slower decision-making may limit the organisation’s ability to respond quickly to external opportunities or threats.</w:t>
      </w:r>
    </w:p>
    <w:p w14:paraId="6732241B" w14:textId="77777777" w:rsidR="00763BC8" w:rsidRPr="00763BC8" w:rsidRDefault="00763BC8" w:rsidP="00807044">
      <w:pPr>
        <w:spacing w:line="360" w:lineRule="auto"/>
        <w:rPr>
          <w:rFonts w:ascii="Arial" w:hAnsi="Arial" w:cs="Arial"/>
          <w:sz w:val="22"/>
          <w:szCs w:val="22"/>
        </w:rPr>
      </w:pPr>
      <w:r w:rsidRPr="00763BC8">
        <w:rPr>
          <w:rFonts w:ascii="Arial" w:hAnsi="Arial" w:cs="Arial"/>
          <w:sz w:val="22"/>
          <w:szCs w:val="22"/>
        </w:rPr>
        <w:lastRenderedPageBreak/>
        <w:t>Furthermore, a strong and deeply embedded culture may occasionally create resistance to change. Employees who are accustomed to established processes may be reluctant to adopt new practices, particularly when organisations introduce new technologies or strategic directions. This can make organisational transformation more challenging if employees perceive changes as conflicting with long-standing cultural norms.</w:t>
      </w:r>
    </w:p>
    <w:p w14:paraId="43D23527" w14:textId="17350C03" w:rsidR="00763BC8" w:rsidRPr="00763BC8" w:rsidRDefault="00763BC8" w:rsidP="00AA6987">
      <w:pPr>
        <w:pStyle w:val="Heading1"/>
      </w:pPr>
      <w:bookmarkStart w:id="5" w:name="_Toc224596757"/>
      <w:r>
        <w:t>6.</w:t>
      </w:r>
      <w:r w:rsidRPr="00763BC8">
        <w:t xml:space="preserve"> Impact of Organisational Culture on Toyota’s Performance and Recommendations</w:t>
      </w:r>
      <w:bookmarkEnd w:id="5"/>
    </w:p>
    <w:p w14:paraId="0F14C4F9" w14:textId="77777777" w:rsidR="00763BC8" w:rsidRPr="00763BC8" w:rsidRDefault="00763BC8" w:rsidP="00807044">
      <w:pPr>
        <w:spacing w:line="360" w:lineRule="auto"/>
        <w:rPr>
          <w:rFonts w:ascii="Arial" w:hAnsi="Arial" w:cs="Arial"/>
          <w:sz w:val="22"/>
          <w:szCs w:val="22"/>
        </w:rPr>
      </w:pPr>
      <w:r w:rsidRPr="00763BC8">
        <w:rPr>
          <w:rFonts w:ascii="Arial" w:hAnsi="Arial" w:cs="Arial"/>
          <w:sz w:val="22"/>
          <w:szCs w:val="22"/>
        </w:rPr>
        <w:t>Organisational culture has a significant influence on organisational performance because it shapes employee behaviour, management practices and the overall strategic direction of the company. In Toyota Motor Corporation, organisational culture has played a fundamental role in supporting the company’s global success. The cultural principles embedded in the Toyota Way, particularly continuous improvement and respect for people, have contributed to the company’s ability to maintain high standards of quality, operational efficiency and long-term competitiveness.</w:t>
      </w:r>
    </w:p>
    <w:p w14:paraId="2AD53B75" w14:textId="77777777" w:rsidR="00763BC8" w:rsidRPr="00763BC8" w:rsidRDefault="00763BC8" w:rsidP="00807044">
      <w:pPr>
        <w:spacing w:line="360" w:lineRule="auto"/>
        <w:rPr>
          <w:rFonts w:ascii="Arial" w:hAnsi="Arial" w:cs="Arial"/>
          <w:sz w:val="22"/>
          <w:szCs w:val="22"/>
        </w:rPr>
      </w:pPr>
      <w:r w:rsidRPr="00763BC8">
        <w:rPr>
          <w:rFonts w:ascii="Arial" w:hAnsi="Arial" w:cs="Arial"/>
          <w:sz w:val="22"/>
          <w:szCs w:val="22"/>
        </w:rPr>
        <w:t xml:space="preserve">One of the most important ways in which organisational culture has influenced Toyota’s performance is through its focus on continuous improvement. The practice of </w:t>
      </w:r>
      <w:r w:rsidRPr="00763BC8">
        <w:rPr>
          <w:rFonts w:ascii="Arial" w:hAnsi="Arial" w:cs="Arial"/>
          <w:i/>
          <w:iCs/>
          <w:sz w:val="22"/>
          <w:szCs w:val="22"/>
        </w:rPr>
        <w:t>Kaizen</w:t>
      </w:r>
      <w:r w:rsidRPr="00763BC8">
        <w:rPr>
          <w:rFonts w:ascii="Arial" w:hAnsi="Arial" w:cs="Arial"/>
          <w:sz w:val="22"/>
          <w:szCs w:val="22"/>
        </w:rPr>
        <w:t xml:space="preserve"> encourages employees to regularly identify inefficiencies and propose solutions that enhance production processes. This approach has helped Toyota develop highly efficient manufacturing systems and maintain strong product quality across its operations. The Toyota Production System (TPS), which is based on waste reduction, standardised work and continuous problem solving, has become one of the most influential management systems in the global manufacturing industry (Liker, 2021). By embedding these practices within its organisational culture, Toyota has been able to achieve consistent operational improvements and sustain its competitive advantage.</w:t>
      </w:r>
    </w:p>
    <w:p w14:paraId="5156B76B" w14:textId="77777777" w:rsidR="00763BC8" w:rsidRPr="00763BC8" w:rsidRDefault="00763BC8" w:rsidP="00807044">
      <w:pPr>
        <w:spacing w:line="360" w:lineRule="auto"/>
        <w:rPr>
          <w:rFonts w:ascii="Arial" w:hAnsi="Arial" w:cs="Arial"/>
          <w:sz w:val="22"/>
          <w:szCs w:val="22"/>
        </w:rPr>
      </w:pPr>
      <w:r w:rsidRPr="00763BC8">
        <w:rPr>
          <w:rFonts w:ascii="Arial" w:hAnsi="Arial" w:cs="Arial"/>
          <w:sz w:val="22"/>
          <w:szCs w:val="22"/>
        </w:rPr>
        <w:t>Toyota’s culture also supports strong employee engagement and collaboration, which further contributes to organisational performance. The company emphasises teamwork, open communication and mutual respect between management and employees. This collaborative environment encourages employees to take responsibility for quality and productivity within their work areas. As a result, problems can be identified and addressed quickly, helping the organisation maintain high levels of reliability and customer satisfaction. According to Mullins and Christy (2016), organisations with strong and clearly defined cultures often achieve better coordination and alignment between employees and organisational goals, which can positively influence overall performance.</w:t>
      </w:r>
    </w:p>
    <w:p w14:paraId="06C75B64" w14:textId="27E65861" w:rsidR="00763BC8" w:rsidRPr="00763BC8" w:rsidRDefault="00763BC8" w:rsidP="00807044">
      <w:pPr>
        <w:spacing w:line="360" w:lineRule="auto"/>
        <w:rPr>
          <w:rFonts w:ascii="Arial" w:hAnsi="Arial" w:cs="Arial"/>
          <w:sz w:val="22"/>
          <w:szCs w:val="22"/>
        </w:rPr>
      </w:pPr>
      <w:r w:rsidRPr="00763BC8">
        <w:rPr>
          <w:rFonts w:ascii="Arial" w:hAnsi="Arial" w:cs="Arial"/>
          <w:sz w:val="22"/>
          <w:szCs w:val="22"/>
        </w:rPr>
        <w:lastRenderedPageBreak/>
        <w:t xml:space="preserve">However, the rapidly changing automotive industry presents new challenges that require organisations to continuously adapt their strategies and management practices. The transition towards electric vehicles, digital technologies and sustainable mobility solutions is reshaping the competitive landscape. In this context, Toyota’s organisational culture must continue to evolve </w:t>
      </w:r>
      <w:r w:rsidR="00807044" w:rsidRPr="00807044">
        <w:rPr>
          <w:rFonts w:ascii="Arial" w:hAnsi="Arial" w:cs="Arial"/>
          <w:sz w:val="22"/>
          <w:szCs w:val="22"/>
        </w:rPr>
        <w:t>to</w:t>
      </w:r>
      <w:r w:rsidRPr="00763BC8">
        <w:rPr>
          <w:rFonts w:ascii="Arial" w:hAnsi="Arial" w:cs="Arial"/>
          <w:sz w:val="22"/>
          <w:szCs w:val="22"/>
        </w:rPr>
        <w:t xml:space="preserve"> support innovation and faster strategic responses.</w:t>
      </w:r>
    </w:p>
    <w:p w14:paraId="2909C4CD" w14:textId="14945C71" w:rsidR="00763BC8" w:rsidRPr="00763BC8" w:rsidRDefault="00763BC8" w:rsidP="00807044">
      <w:pPr>
        <w:spacing w:line="360" w:lineRule="auto"/>
        <w:rPr>
          <w:rFonts w:ascii="Arial" w:hAnsi="Arial" w:cs="Arial"/>
          <w:sz w:val="22"/>
          <w:szCs w:val="22"/>
        </w:rPr>
      </w:pPr>
      <w:r w:rsidRPr="00763BC8">
        <w:rPr>
          <w:rFonts w:ascii="Arial" w:hAnsi="Arial" w:cs="Arial"/>
          <w:sz w:val="22"/>
          <w:szCs w:val="22"/>
        </w:rPr>
        <w:t xml:space="preserve">Several recommendations can be proposed to strengthen Toyota’s organisational performance in the future. First, Toyota could further encourage innovation by supporting cross-functional collaboration and greater experimentation with emerging technologies such as electric and autonomous vehicles. Second, the company could review its decision-making processes to ensure that consensus-based approaches do not slow down strategic responses in highly competitive markets. Finally, Toyota should continue to strengthen cross-cultural management practices within its global operations </w:t>
      </w:r>
      <w:r w:rsidR="00AA6987" w:rsidRPr="00807044">
        <w:rPr>
          <w:rFonts w:ascii="Arial" w:hAnsi="Arial" w:cs="Arial"/>
          <w:sz w:val="22"/>
          <w:szCs w:val="22"/>
        </w:rPr>
        <w:t>to</w:t>
      </w:r>
      <w:r w:rsidRPr="00763BC8">
        <w:rPr>
          <w:rFonts w:ascii="Arial" w:hAnsi="Arial" w:cs="Arial"/>
          <w:sz w:val="22"/>
          <w:szCs w:val="22"/>
        </w:rPr>
        <w:t xml:space="preserve"> effectively manage a diverse workforce and maintain consistent organisational values across international subsidiaries.</w:t>
      </w:r>
    </w:p>
    <w:p w14:paraId="57C92359" w14:textId="4F5953CB" w:rsidR="00763BC8" w:rsidRDefault="00763BC8" w:rsidP="00AA6987">
      <w:pPr>
        <w:pStyle w:val="Heading1"/>
      </w:pPr>
      <w:bookmarkStart w:id="6" w:name="_Toc224596758"/>
      <w:r>
        <w:t>7.Conclusion</w:t>
      </w:r>
      <w:bookmarkEnd w:id="6"/>
    </w:p>
    <w:p w14:paraId="166B1D53" w14:textId="77777777" w:rsidR="00763BC8" w:rsidRPr="00763BC8" w:rsidRDefault="00763BC8" w:rsidP="00807044">
      <w:pPr>
        <w:spacing w:line="360" w:lineRule="auto"/>
        <w:rPr>
          <w:rFonts w:ascii="Arial" w:hAnsi="Arial" w:cs="Arial"/>
          <w:sz w:val="22"/>
          <w:szCs w:val="22"/>
        </w:rPr>
      </w:pPr>
      <w:r w:rsidRPr="00763BC8">
        <w:rPr>
          <w:rFonts w:ascii="Arial" w:hAnsi="Arial" w:cs="Arial"/>
          <w:sz w:val="22"/>
          <w:szCs w:val="22"/>
        </w:rPr>
        <w:t>Organisational culture plays a crucial role in shaping how organisations operate, make decisions and respond to internal and external challenges. This report has examined the influence of organisational culture within Toyota Motor Corporation by analysing how cultural values affect organisational structure, decision-making processes and overall performance. Toyota’s culture, strongly influenced by the principles of the Toyota Way, emphasises continuous improvement, respect for people and long-term thinking. These values have contributed significantly to the development of collaborative working practices, employee involvement and efficient operational systems.</w:t>
      </w:r>
    </w:p>
    <w:p w14:paraId="2650C26F" w14:textId="77777777" w:rsidR="00763BC8" w:rsidRPr="00763BC8" w:rsidRDefault="00763BC8" w:rsidP="00807044">
      <w:pPr>
        <w:spacing w:line="360" w:lineRule="auto"/>
        <w:rPr>
          <w:rFonts w:ascii="Arial" w:hAnsi="Arial" w:cs="Arial"/>
          <w:sz w:val="22"/>
          <w:szCs w:val="22"/>
        </w:rPr>
      </w:pPr>
      <w:r w:rsidRPr="00763BC8">
        <w:rPr>
          <w:rFonts w:ascii="Arial" w:hAnsi="Arial" w:cs="Arial"/>
          <w:sz w:val="22"/>
          <w:szCs w:val="22"/>
        </w:rPr>
        <w:t>The application of cultural frameworks such as Schein’s Model, Hofstede’s Cultural Dimensions and Handy’s Cultural Types provides a clearer understanding of how Toyota’s organisational culture is structured and maintained. The analysis demonstrates that Toyota’s culture is characterised by strong teamwork, structured processes and a long-term strategic orientation. These cultural characteristics have enabled the organisation to adapt to external environmental pressures such as global competition, technological change and sustainability demands.</w:t>
      </w:r>
    </w:p>
    <w:p w14:paraId="033FE888" w14:textId="77777777" w:rsidR="00763BC8" w:rsidRDefault="00763BC8" w:rsidP="00807044">
      <w:pPr>
        <w:spacing w:line="360" w:lineRule="auto"/>
        <w:rPr>
          <w:rFonts w:ascii="Arial" w:hAnsi="Arial" w:cs="Arial"/>
          <w:sz w:val="22"/>
          <w:szCs w:val="22"/>
        </w:rPr>
      </w:pPr>
      <w:r w:rsidRPr="00763BC8">
        <w:rPr>
          <w:rFonts w:ascii="Arial" w:hAnsi="Arial" w:cs="Arial"/>
          <w:sz w:val="22"/>
          <w:szCs w:val="22"/>
        </w:rPr>
        <w:t>Although certain aspects of Toyota’s culture, particularly consensus-based decision-making, may occasionally slow organisational responsiveness, the overall impact of the culture is largely positive. By continuing to support innovation, maintain strong employee engagement and adapt its cultural practices to evolving industry conditions, Toyota can sustain its competitive position and ensure long-term organisational success.</w:t>
      </w:r>
    </w:p>
    <w:p w14:paraId="55BDF016" w14:textId="77777777" w:rsidR="008B6D3D" w:rsidRDefault="008B6D3D" w:rsidP="00807044">
      <w:pPr>
        <w:spacing w:line="360" w:lineRule="auto"/>
        <w:rPr>
          <w:rFonts w:ascii="Arial" w:hAnsi="Arial" w:cs="Arial"/>
          <w:sz w:val="22"/>
          <w:szCs w:val="22"/>
        </w:rPr>
      </w:pPr>
    </w:p>
    <w:p w14:paraId="76154D4B" w14:textId="77777777" w:rsidR="008B6D3D" w:rsidRDefault="008B6D3D" w:rsidP="00807044">
      <w:pPr>
        <w:spacing w:line="360" w:lineRule="auto"/>
        <w:rPr>
          <w:rFonts w:ascii="Arial" w:hAnsi="Arial" w:cs="Arial"/>
          <w:sz w:val="22"/>
          <w:szCs w:val="22"/>
        </w:rPr>
      </w:pPr>
    </w:p>
    <w:p w14:paraId="6CA14D25" w14:textId="77777777" w:rsidR="008B6D3D" w:rsidRDefault="008B6D3D" w:rsidP="00807044">
      <w:pPr>
        <w:spacing w:line="360" w:lineRule="auto"/>
        <w:rPr>
          <w:rFonts w:ascii="Arial" w:hAnsi="Arial" w:cs="Arial"/>
          <w:sz w:val="22"/>
          <w:szCs w:val="22"/>
        </w:rPr>
      </w:pPr>
    </w:p>
    <w:p w14:paraId="0595192C" w14:textId="6B91BABE" w:rsidR="008B6D3D" w:rsidRDefault="008B6D3D" w:rsidP="008B6D3D">
      <w:pPr>
        <w:pStyle w:val="Heading1"/>
      </w:pPr>
      <w:bookmarkStart w:id="7" w:name="_Toc224596759"/>
      <w:r>
        <w:t>8.References</w:t>
      </w:r>
      <w:bookmarkEnd w:id="7"/>
    </w:p>
    <w:p w14:paraId="2B22C029" w14:textId="77777777" w:rsidR="008B6D3D" w:rsidRDefault="008B6D3D" w:rsidP="008B6D3D"/>
    <w:p w14:paraId="6F32AC26" w14:textId="77777777" w:rsidR="008B6D3D" w:rsidRDefault="008B6D3D" w:rsidP="008B6D3D">
      <w:r w:rsidRPr="007A0266">
        <w:t>Alvesson, M. and Sveningsson, S., 2024. </w:t>
      </w:r>
      <w:r w:rsidRPr="007A0266">
        <w:rPr>
          <w:i/>
          <w:iCs/>
        </w:rPr>
        <w:t>Changing organizational culture: Cultural change work in progress</w:t>
      </w:r>
      <w:r w:rsidRPr="007A0266">
        <w:t>. Routledge.</w:t>
      </w:r>
      <w:r>
        <w:t xml:space="preserve"> Available at: </w:t>
      </w:r>
      <w:hyperlink r:id="rId17" w:history="1">
        <w:r w:rsidRPr="00EA7DB8">
          <w:rPr>
            <w:rStyle w:val="Hyperlink"/>
          </w:rPr>
          <w:t>https://knowledgehub.ghamfin.org/wp-content/uploads/2024/06/Changing-Organizational-Culture_-Cultural-Change-Work-in-Progress.pdf</w:t>
        </w:r>
      </w:hyperlink>
      <w:r>
        <w:t xml:space="preserve"> </w:t>
      </w:r>
    </w:p>
    <w:p w14:paraId="0603240C" w14:textId="77777777" w:rsidR="008B6D3D" w:rsidRDefault="008B6D3D" w:rsidP="008B6D3D">
      <w:r w:rsidRPr="00676290">
        <w:t>Handy, C., 1993. </w:t>
      </w:r>
      <w:r w:rsidRPr="00676290">
        <w:rPr>
          <w:i/>
          <w:iCs/>
        </w:rPr>
        <w:t>Understanding organizations</w:t>
      </w:r>
      <w:r w:rsidRPr="00676290">
        <w:t>. Penguin Uk.</w:t>
      </w:r>
      <w:r>
        <w:t xml:space="preserve"> Available at: </w:t>
      </w:r>
      <w:hyperlink r:id="rId18" w:anchor="v=onepage&amp;q=Handy%20(1993)&amp;f=false" w:history="1">
        <w:r w:rsidRPr="00EA7DB8">
          <w:rPr>
            <w:rStyle w:val="Hyperlink"/>
          </w:rPr>
          <w:t>https://books.google.co.uk/books?hl=en&amp;lr=&amp;id=NitYAC2aH2sC&amp;oi=fnd&amp;pg=PT5&amp;dq=Handy+(1993)+&amp;ots=hAqAxI9rWb&amp;sig=zp0CQTVVmnEf8_fkv_R5-epTS6M&amp;redir_esc=y#v=onepage&amp;q=Handy%20(1993)&amp;f=false</w:t>
        </w:r>
      </w:hyperlink>
      <w:r>
        <w:t xml:space="preserve"> </w:t>
      </w:r>
    </w:p>
    <w:p w14:paraId="418A85C0" w14:textId="77777777" w:rsidR="008B6D3D" w:rsidRDefault="008B6D3D" w:rsidP="008B6D3D">
      <w:r w:rsidRPr="00676290">
        <w:t>Hofstede, G. and Minkov, M., 2013. VSM 2013. </w:t>
      </w:r>
      <w:r w:rsidRPr="00676290">
        <w:rPr>
          <w:i/>
          <w:iCs/>
        </w:rPr>
        <w:t>Values survey module</w:t>
      </w:r>
      <w:r w:rsidRPr="00676290">
        <w:t>.</w:t>
      </w:r>
      <w:r>
        <w:t xml:space="preserve"> Available at: </w:t>
      </w:r>
      <w:hyperlink r:id="rId19" w:history="1">
        <w:r w:rsidRPr="00EA7DB8">
          <w:rPr>
            <w:rStyle w:val="Hyperlink"/>
          </w:rPr>
          <w:t>https://geerthofstede.com/wp-content/uploads/2016/07/Manual-VSM-2013.pdf</w:t>
        </w:r>
      </w:hyperlink>
      <w:r>
        <w:t xml:space="preserve"> </w:t>
      </w:r>
    </w:p>
    <w:p w14:paraId="7A39E2B9" w14:textId="77777777" w:rsidR="008B6D3D" w:rsidRDefault="008B6D3D" w:rsidP="008B6D3D">
      <w:r w:rsidRPr="007A0266">
        <w:t xml:space="preserve">Kumar, S., Sarkar, S., </w:t>
      </w:r>
      <w:proofErr w:type="spellStart"/>
      <w:r w:rsidRPr="007A0266">
        <w:t>Baraik</w:t>
      </w:r>
      <w:proofErr w:type="spellEnd"/>
      <w:r w:rsidRPr="007A0266">
        <w:t>, N.K. and Prakash, R., The role of team development in enhancing lean production system.</w:t>
      </w:r>
      <w:r>
        <w:t xml:space="preserve"> Available at: </w:t>
      </w:r>
      <w:hyperlink r:id="rId20" w:history="1">
        <w:r w:rsidRPr="00EA7DB8">
          <w:rPr>
            <w:rStyle w:val="Hyperlink"/>
          </w:rPr>
          <w:t>https://www.researchgate.net/profile/Sumit-Kumar-27/publication/387675606_The_role_of_team_development_in_enhancing_lean_production_system/links/677790e7894c5520853fec2c/The-role-of-team-development-in-enhancing-lean-production-system.pdf</w:t>
        </w:r>
      </w:hyperlink>
      <w:r>
        <w:t xml:space="preserve"> </w:t>
      </w:r>
    </w:p>
    <w:p w14:paraId="19BBDA75" w14:textId="77777777" w:rsidR="008B6D3D" w:rsidRDefault="008B6D3D" w:rsidP="008B6D3D">
      <w:r w:rsidRPr="00162D8E">
        <w:t>Liker, J.K. and Morgan, J.M., 2006. The Toyota way in services: the case of lean product development. </w:t>
      </w:r>
      <w:r w:rsidRPr="00162D8E">
        <w:rPr>
          <w:i/>
          <w:iCs/>
        </w:rPr>
        <w:t>Academy of management perspectives</w:t>
      </w:r>
      <w:r w:rsidRPr="00162D8E">
        <w:t>, </w:t>
      </w:r>
      <w:r w:rsidRPr="00162D8E">
        <w:rPr>
          <w:i/>
          <w:iCs/>
        </w:rPr>
        <w:t>20</w:t>
      </w:r>
      <w:r w:rsidRPr="00162D8E">
        <w:t>(2), pp.5-20.</w:t>
      </w:r>
      <w:r>
        <w:t xml:space="preserve"> Available at: </w:t>
      </w:r>
      <w:hyperlink r:id="rId21" w:history="1">
        <w:r w:rsidRPr="00EA7DB8">
          <w:rPr>
            <w:rStyle w:val="Hyperlink"/>
          </w:rPr>
          <w:t>https://www.academia.edu/download/66479520/The_Toyota_way_in_services_The_case_of_l20210421-17398-crvzlu.pdf</w:t>
        </w:r>
      </w:hyperlink>
      <w:r>
        <w:t xml:space="preserve"> #</w:t>
      </w:r>
    </w:p>
    <w:p w14:paraId="56B868BC" w14:textId="77777777" w:rsidR="008B6D3D" w:rsidRDefault="008B6D3D" w:rsidP="008B6D3D">
      <w:r w:rsidRPr="007A0266">
        <w:t>Mullins, L.J. and Christy, G., 2016. Management &amp; Organisational Behaviour (Eleventh E). </w:t>
      </w:r>
      <w:r w:rsidRPr="007A0266">
        <w:rPr>
          <w:i/>
          <w:iCs/>
        </w:rPr>
        <w:t>Person Education Limited</w:t>
      </w:r>
      <w:r w:rsidRPr="007A0266">
        <w:t>.</w:t>
      </w:r>
    </w:p>
    <w:p w14:paraId="63D9419A" w14:textId="77777777" w:rsidR="008B6D3D" w:rsidRDefault="008B6D3D" w:rsidP="008B6D3D">
      <w:r w:rsidRPr="00676290">
        <w:t>Ohno, T., 2019. </w:t>
      </w:r>
      <w:r w:rsidRPr="00676290">
        <w:rPr>
          <w:i/>
          <w:iCs/>
        </w:rPr>
        <w:t>Toyota production system: beyond large-scale production</w:t>
      </w:r>
      <w:r w:rsidRPr="00676290">
        <w:t>. Productivity press.</w:t>
      </w:r>
      <w:r>
        <w:t xml:space="preserve"> Available at: </w:t>
      </w:r>
      <w:hyperlink r:id="rId22" w:history="1">
        <w:r w:rsidRPr="00EA7DB8">
          <w:rPr>
            <w:rStyle w:val="Hyperlink"/>
          </w:rPr>
          <w:t>https://elsmar.com/Cove_Premium/Toyota%20Production%20System/ToyotaProdSys_Paper.pdf</w:t>
        </w:r>
      </w:hyperlink>
      <w:r>
        <w:t xml:space="preserve"> </w:t>
      </w:r>
    </w:p>
    <w:p w14:paraId="20B68B63" w14:textId="77777777" w:rsidR="008B6D3D" w:rsidRDefault="008B6D3D" w:rsidP="008B6D3D">
      <w:r w:rsidRPr="00162D8E">
        <w:t xml:space="preserve">Sagi, S. (2015) ‘Ringi system: The decision-making process in Japanese management systems – an overview’, </w:t>
      </w:r>
      <w:r w:rsidRPr="00162D8E">
        <w:rPr>
          <w:i/>
          <w:iCs/>
        </w:rPr>
        <w:t>International Journal of Management and Humanities (IJMH)</w:t>
      </w:r>
      <w:r w:rsidRPr="00162D8E">
        <w:t xml:space="preserve">, </w:t>
      </w:r>
      <w:r w:rsidRPr="00162D8E">
        <w:lastRenderedPageBreak/>
        <w:t>1(7), pp. 32–35.</w:t>
      </w:r>
      <w:r>
        <w:t xml:space="preserve"> Available at: </w:t>
      </w:r>
      <w:hyperlink r:id="rId23" w:history="1">
        <w:r w:rsidRPr="00EA7DB8">
          <w:rPr>
            <w:rStyle w:val="Hyperlink"/>
          </w:rPr>
          <w:t>https://www.ijmh.org/wp-content/uploads/papers/v1i7/G0055041715.pdf</w:t>
        </w:r>
      </w:hyperlink>
      <w:r>
        <w:t xml:space="preserve"> </w:t>
      </w:r>
    </w:p>
    <w:p w14:paraId="160E11A9" w14:textId="77777777" w:rsidR="008B6D3D" w:rsidRDefault="008B6D3D" w:rsidP="008B6D3D">
      <w:r w:rsidRPr="00162D8E">
        <w:t>Schein, S., 2017. </w:t>
      </w:r>
      <w:r w:rsidRPr="00162D8E">
        <w:rPr>
          <w:i/>
          <w:iCs/>
        </w:rPr>
        <w:t>A new psychology for sustainability leadership: The hidden power of ecological worldviews</w:t>
      </w:r>
      <w:r w:rsidRPr="00162D8E">
        <w:t>. Routledge.</w:t>
      </w:r>
      <w:r>
        <w:t xml:space="preserve"> Available at: </w:t>
      </w:r>
      <w:hyperlink r:id="rId24" w:history="1">
        <w:r w:rsidRPr="00EA7DB8">
          <w:rPr>
            <w:rStyle w:val="Hyperlink"/>
          </w:rPr>
          <w:t>https://jcldusafa.org/index.php/jcld/article/download/151/146</w:t>
        </w:r>
      </w:hyperlink>
      <w:r>
        <w:t xml:space="preserve"> </w:t>
      </w:r>
    </w:p>
    <w:p w14:paraId="34C838D1" w14:textId="77777777" w:rsidR="008B6D3D" w:rsidRDefault="008B6D3D" w:rsidP="008B6D3D">
      <w:r w:rsidRPr="00676290">
        <w:t xml:space="preserve">Tantawi, R., Ishak, I.M., </w:t>
      </w:r>
      <w:proofErr w:type="spellStart"/>
      <w:r w:rsidRPr="00676290">
        <w:t>Noviana</w:t>
      </w:r>
      <w:proofErr w:type="spellEnd"/>
      <w:r w:rsidRPr="00676290">
        <w:t xml:space="preserve">, N.A.H., </w:t>
      </w:r>
      <w:proofErr w:type="spellStart"/>
      <w:r w:rsidRPr="00676290">
        <w:t>Botutihe</w:t>
      </w:r>
      <w:proofErr w:type="spellEnd"/>
      <w:r w:rsidRPr="00676290">
        <w:t>, M. and Hidayat, F., 2026. Understanding Indonesian Organizational Culture through Hofstede Insights: A Comparison with Malaysia, Singapore, and Thailand. </w:t>
      </w:r>
      <w:proofErr w:type="spellStart"/>
      <w:r w:rsidRPr="00676290">
        <w:rPr>
          <w:i/>
          <w:iCs/>
        </w:rPr>
        <w:t>Jambura</w:t>
      </w:r>
      <w:proofErr w:type="spellEnd"/>
      <w:r w:rsidRPr="00676290">
        <w:rPr>
          <w:i/>
          <w:iCs/>
        </w:rPr>
        <w:t xml:space="preserve"> Science of Management</w:t>
      </w:r>
      <w:r w:rsidRPr="00676290">
        <w:t>, </w:t>
      </w:r>
      <w:r w:rsidRPr="00676290">
        <w:rPr>
          <w:i/>
          <w:iCs/>
        </w:rPr>
        <w:t>8</w:t>
      </w:r>
      <w:r w:rsidRPr="00676290">
        <w:t>(1), pp.42-61.</w:t>
      </w:r>
      <w:r>
        <w:t xml:space="preserve"> Available at: </w:t>
      </w:r>
      <w:hyperlink r:id="rId25" w:history="1">
        <w:r w:rsidRPr="00EA7DB8">
          <w:rPr>
            <w:rStyle w:val="Hyperlink"/>
          </w:rPr>
          <w:t>https://ejurnal.ung.ac.id/index.php/jsm/article/download/34101/12420</w:t>
        </w:r>
      </w:hyperlink>
      <w:r>
        <w:t xml:space="preserve"> </w:t>
      </w:r>
    </w:p>
    <w:p w14:paraId="00387B27" w14:textId="77777777" w:rsidR="008B6D3D" w:rsidRDefault="008B6D3D" w:rsidP="008B6D3D">
      <w:r>
        <w:t xml:space="preserve">Toyota.,2020. </w:t>
      </w:r>
      <w:r w:rsidRPr="007A0266">
        <w:rPr>
          <w:i/>
          <w:iCs/>
        </w:rPr>
        <w:t>The Toyota Way</w:t>
      </w:r>
      <w:r>
        <w:t xml:space="preserve">. Available at: </w:t>
      </w:r>
      <w:hyperlink r:id="rId26" w:history="1">
        <w:r w:rsidRPr="00EA7DB8">
          <w:rPr>
            <w:rStyle w:val="Hyperlink"/>
          </w:rPr>
          <w:t>https://www.toyota-europe.com/about-us/toyota-vision-and-philosophy/the-toyota-way</w:t>
        </w:r>
      </w:hyperlink>
      <w:r>
        <w:t xml:space="preserve"> </w:t>
      </w:r>
    </w:p>
    <w:p w14:paraId="11D936C0" w14:textId="77777777" w:rsidR="008B6D3D" w:rsidRDefault="008B6D3D" w:rsidP="008B6D3D">
      <w:r w:rsidRPr="00676290">
        <w:t xml:space="preserve">Yamamoto, K., Milstead, M. and </w:t>
      </w:r>
      <w:proofErr w:type="spellStart"/>
      <w:r w:rsidRPr="00676290">
        <w:t>LIoyd</w:t>
      </w:r>
      <w:proofErr w:type="spellEnd"/>
      <w:r w:rsidRPr="00676290">
        <w:t>, R., 2019. A review of the development of lean manufacturing and related lean practices: The case of Toyota Production System and managerial thinking. </w:t>
      </w:r>
      <w:r w:rsidRPr="00676290">
        <w:rPr>
          <w:i/>
          <w:iCs/>
        </w:rPr>
        <w:t>International Management Review</w:t>
      </w:r>
      <w:r w:rsidRPr="00676290">
        <w:t>, </w:t>
      </w:r>
      <w:r w:rsidRPr="00676290">
        <w:rPr>
          <w:i/>
          <w:iCs/>
        </w:rPr>
        <w:t>15</w:t>
      </w:r>
      <w:r w:rsidRPr="00676290">
        <w:t>(2), pp.21-90.</w:t>
      </w:r>
      <w:r>
        <w:t xml:space="preserve"> Available at: </w:t>
      </w:r>
      <w:hyperlink r:id="rId27" w:history="1">
        <w:r w:rsidRPr="00EA7DB8">
          <w:rPr>
            <w:rStyle w:val="Hyperlink"/>
          </w:rPr>
          <w:t>https://www.researchgate.net/profile/Robert-Lloyd-13/publication/340449306_A_review_of_the_development_of_lean_manufacturing_and_related_lean_practices_The_case_of_Toyota_production_system_and_managerial_thinking/links/5f970170a6fdccfd7b7fe1c8/A-review-of-the-development-of-lean-manufacturing-and-related-lean-practices-The-case-of-Toyota-production-system-and-managerial-thinking.pdf</w:t>
        </w:r>
      </w:hyperlink>
      <w:r>
        <w:t xml:space="preserve"> </w:t>
      </w:r>
    </w:p>
    <w:p w14:paraId="72C282D9" w14:textId="77777777" w:rsidR="008B6D3D" w:rsidRPr="00763BC8" w:rsidRDefault="008B6D3D" w:rsidP="00807044">
      <w:pPr>
        <w:spacing w:line="360" w:lineRule="auto"/>
        <w:rPr>
          <w:rFonts w:ascii="Arial" w:hAnsi="Arial" w:cs="Arial"/>
          <w:sz w:val="22"/>
          <w:szCs w:val="22"/>
        </w:rPr>
      </w:pPr>
    </w:p>
    <w:p w14:paraId="13D5B8E8" w14:textId="77777777" w:rsidR="00763BC8" w:rsidRDefault="00763BC8"/>
    <w:sectPr w:rsidR="00763BC8" w:rsidSect="00BA22C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2C8"/>
    <w:rsid w:val="0016213E"/>
    <w:rsid w:val="001B5A9C"/>
    <w:rsid w:val="00457234"/>
    <w:rsid w:val="00662032"/>
    <w:rsid w:val="00763BC8"/>
    <w:rsid w:val="00785B1C"/>
    <w:rsid w:val="007A73E3"/>
    <w:rsid w:val="007D212A"/>
    <w:rsid w:val="00807044"/>
    <w:rsid w:val="008B6D3D"/>
    <w:rsid w:val="00A06157"/>
    <w:rsid w:val="00AA6987"/>
    <w:rsid w:val="00BA22C8"/>
    <w:rsid w:val="00FF4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5F38E"/>
  <w15:chartTrackingRefBased/>
  <w15:docId w15:val="{9B346097-E306-4A04-9E55-1D0EF4039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2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2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2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2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2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2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2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2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2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2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2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2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2C8"/>
    <w:rPr>
      <w:rFonts w:eastAsiaTheme="majorEastAsia" w:cstheme="majorBidi"/>
      <w:color w:val="272727" w:themeColor="text1" w:themeTint="D8"/>
    </w:rPr>
  </w:style>
  <w:style w:type="paragraph" w:styleId="Title">
    <w:name w:val="Title"/>
    <w:basedOn w:val="Normal"/>
    <w:next w:val="Normal"/>
    <w:link w:val="TitleChar"/>
    <w:uiPriority w:val="10"/>
    <w:qFormat/>
    <w:rsid w:val="00BA2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2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2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2C8"/>
    <w:pPr>
      <w:spacing w:before="160"/>
      <w:jc w:val="center"/>
    </w:pPr>
    <w:rPr>
      <w:i/>
      <w:iCs/>
      <w:color w:val="404040" w:themeColor="text1" w:themeTint="BF"/>
    </w:rPr>
  </w:style>
  <w:style w:type="character" w:customStyle="1" w:styleId="QuoteChar">
    <w:name w:val="Quote Char"/>
    <w:basedOn w:val="DefaultParagraphFont"/>
    <w:link w:val="Quote"/>
    <w:uiPriority w:val="29"/>
    <w:rsid w:val="00BA22C8"/>
    <w:rPr>
      <w:i/>
      <w:iCs/>
      <w:color w:val="404040" w:themeColor="text1" w:themeTint="BF"/>
    </w:rPr>
  </w:style>
  <w:style w:type="paragraph" w:styleId="ListParagraph">
    <w:name w:val="List Paragraph"/>
    <w:basedOn w:val="Normal"/>
    <w:uiPriority w:val="34"/>
    <w:qFormat/>
    <w:rsid w:val="00BA22C8"/>
    <w:pPr>
      <w:ind w:left="720"/>
      <w:contextualSpacing/>
    </w:pPr>
  </w:style>
  <w:style w:type="character" w:styleId="IntenseEmphasis">
    <w:name w:val="Intense Emphasis"/>
    <w:basedOn w:val="DefaultParagraphFont"/>
    <w:uiPriority w:val="21"/>
    <w:qFormat/>
    <w:rsid w:val="00BA22C8"/>
    <w:rPr>
      <w:i/>
      <w:iCs/>
      <w:color w:val="0F4761" w:themeColor="accent1" w:themeShade="BF"/>
    </w:rPr>
  </w:style>
  <w:style w:type="paragraph" w:styleId="IntenseQuote">
    <w:name w:val="Intense Quote"/>
    <w:basedOn w:val="Normal"/>
    <w:next w:val="Normal"/>
    <w:link w:val="IntenseQuoteChar"/>
    <w:uiPriority w:val="30"/>
    <w:qFormat/>
    <w:rsid w:val="00BA2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22C8"/>
    <w:rPr>
      <w:i/>
      <w:iCs/>
      <w:color w:val="0F4761" w:themeColor="accent1" w:themeShade="BF"/>
    </w:rPr>
  </w:style>
  <w:style w:type="character" w:styleId="IntenseReference">
    <w:name w:val="Intense Reference"/>
    <w:basedOn w:val="DefaultParagraphFont"/>
    <w:uiPriority w:val="32"/>
    <w:qFormat/>
    <w:rsid w:val="00BA22C8"/>
    <w:rPr>
      <w:b/>
      <w:bCs/>
      <w:smallCaps/>
      <w:color w:val="0F4761" w:themeColor="accent1" w:themeShade="BF"/>
      <w:spacing w:val="5"/>
    </w:rPr>
  </w:style>
  <w:style w:type="paragraph" w:styleId="NoSpacing">
    <w:name w:val="No Spacing"/>
    <w:link w:val="NoSpacingChar"/>
    <w:uiPriority w:val="1"/>
    <w:qFormat/>
    <w:rsid w:val="00BA22C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A22C8"/>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BA22C8"/>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AA6987"/>
    <w:rPr>
      <w:color w:val="467886" w:themeColor="hyperlink"/>
      <w:u w:val="single"/>
    </w:rPr>
  </w:style>
  <w:style w:type="character" w:styleId="UnresolvedMention">
    <w:name w:val="Unresolved Mention"/>
    <w:basedOn w:val="DefaultParagraphFont"/>
    <w:uiPriority w:val="99"/>
    <w:semiHidden/>
    <w:unhideWhenUsed/>
    <w:rsid w:val="00AA6987"/>
    <w:rPr>
      <w:color w:val="605E5C"/>
      <w:shd w:val="clear" w:color="auto" w:fill="E1DFDD"/>
    </w:rPr>
  </w:style>
  <w:style w:type="paragraph" w:styleId="TOC1">
    <w:name w:val="toc 1"/>
    <w:basedOn w:val="Normal"/>
    <w:next w:val="Normal"/>
    <w:autoRedefine/>
    <w:uiPriority w:val="39"/>
    <w:unhideWhenUsed/>
    <w:rsid w:val="008B6D3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books.google.co.uk/books?hl=en&amp;lr=&amp;id=NitYAC2aH2sC&amp;oi=fnd&amp;pg=PT5&amp;dq=Handy+(1993)+&amp;ots=hAqAxI9rWb&amp;sig=zp0CQTVVmnEf8_fkv_R5-epTS6M&amp;redir_esc=y" TargetMode="External"/><Relationship Id="rId26" Type="http://schemas.openxmlformats.org/officeDocument/2006/relationships/hyperlink" Target="https://www.toyota-europe.com/about-us/toyota-vision-and-philosophy/the-toyota-way" TargetMode="External"/><Relationship Id="rId3" Type="http://schemas.openxmlformats.org/officeDocument/2006/relationships/customXml" Target="../customXml/item3.xml"/><Relationship Id="rId21" Type="http://schemas.openxmlformats.org/officeDocument/2006/relationships/hyperlink" Target="https://www.academia.edu/download/66479520/The_Toyota_way_in_services_The_case_of_l20210421-17398-crvzlu.pdf" TargetMode="External"/><Relationship Id="rId7" Type="http://schemas.openxmlformats.org/officeDocument/2006/relationships/webSettings" Target="webSettings.xml"/><Relationship Id="rId12" Type="http://schemas.openxmlformats.org/officeDocument/2006/relationships/image" Target="media/image3.svg"/><Relationship Id="rId17" Type="http://schemas.openxmlformats.org/officeDocument/2006/relationships/hyperlink" Target="https://knowledgehub.ghamfin.org/wp-content/uploads/2024/06/Changing-Organizational-Culture_-Cultural-Change-Work-in-Progress.pdf" TargetMode="External"/><Relationship Id="rId25" Type="http://schemas.openxmlformats.org/officeDocument/2006/relationships/hyperlink" Target="https://ejurnal.ung.ac.id/index.php/jsm/article/download/34101/12420" TargetMode="External"/><Relationship Id="rId2" Type="http://schemas.openxmlformats.org/officeDocument/2006/relationships/customXml" Target="../customXml/item2.xml"/><Relationship Id="rId16" Type="http://schemas.openxmlformats.org/officeDocument/2006/relationships/image" Target="media/image7.svg"/><Relationship Id="rId20" Type="http://schemas.openxmlformats.org/officeDocument/2006/relationships/hyperlink" Target="https://www.researchgate.net/profile/Sumit-Kumar-27/publication/387675606_The_role_of_team_development_in_enhancing_lean_production_system/links/677790e7894c5520853fec2c/The-role-of-team-development-in-enhancing-lean-production-system.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jcldusafa.org/index.php/jcld/article/download/151/146"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ijmh.org/wp-content/uploads/papers/v1i7/G0055041715.pdf" TargetMode="External"/><Relationship Id="rId28" Type="http://schemas.openxmlformats.org/officeDocument/2006/relationships/fontTable" Target="fontTable.xml"/><Relationship Id="rId10" Type="http://schemas.openxmlformats.org/officeDocument/2006/relationships/hyperlink" Target="https://encrypted-" TargetMode="External"/><Relationship Id="rId19" Type="http://schemas.openxmlformats.org/officeDocument/2006/relationships/hyperlink" Target="https://geerthofstede.com/wp-content/uploads/2016/07/Manual-VSM-2013.pdf" TargetMode="External"/><Relationship Id="rId4" Type="http://schemas.openxmlformats.org/officeDocument/2006/relationships/customXml" Target="../customXml/item4.xml"/><Relationship Id="rId9" Type="http://schemas.openxmlformats.org/officeDocument/2006/relationships/hyperlink" Target="https://encrypted-" TargetMode="External"/><Relationship Id="rId14" Type="http://schemas.openxmlformats.org/officeDocument/2006/relationships/image" Target="media/image5.svg"/><Relationship Id="rId22" Type="http://schemas.openxmlformats.org/officeDocument/2006/relationships/hyperlink" Target="https://elsmar.com/Cove_Premium/Toyota%20Production%20System/ToyotaProdSys_Paper.pdf" TargetMode="External"/><Relationship Id="rId27" Type="http://schemas.openxmlformats.org/officeDocument/2006/relationships/hyperlink" Target="https://www.researchgate.net/profile/Robert-Lloyd-13/publication/340449306_A_review_of_the_development_of_lean_manufacturing_and_related_lean_practices_The_case_of_Toyota_production_system_and_managerial_thinking/links/5f970170a6fdccfd7b7fe1c8/A-review-of-the-development-of-lean-manufacturing-and-related-lean-practices-The-case-of-Toyota-production-system-and-managerial-think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4" ma:contentTypeDescription="Create a new document." ma:contentTypeScope="" ma:versionID="8872299f12acfdd81bc0c54f248cb8f8">
  <xsd:schema xmlns:xsd="http://www.w3.org/2001/XMLSchema" xmlns:xs="http://www.w3.org/2001/XMLSchema" xmlns:p="http://schemas.microsoft.com/office/2006/metadata/properties" xmlns:ns3="60ab93c2-c2e2-4a82-ab36-09e8ba3f753e" targetNamespace="http://schemas.microsoft.com/office/2006/metadata/properties" ma:root="true" ma:fieldsID="36b344eff021dc89db9be60adb12ff67"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F76240C-7ED5-41CA-95BE-9556D3327099}">
  <ds:schemaRefs>
    <ds:schemaRef ds:uri="http://schemas.openxmlformats.org/officeDocument/2006/bibliography"/>
  </ds:schemaRefs>
</ds:datastoreItem>
</file>

<file path=customXml/itemProps2.xml><?xml version="1.0" encoding="utf-8"?>
<ds:datastoreItem xmlns:ds="http://schemas.openxmlformats.org/officeDocument/2006/customXml" ds:itemID="{7F1FC3D5-4691-4C1D-8E2D-0F3286E822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51ECFE4-37A4-4F41-AD20-94AAC5055073}">
  <ds:schemaRefs>
    <ds:schemaRef ds:uri="http://schemas.microsoft.com/sharepoint/v3/contenttype/forms"/>
  </ds:schemaRefs>
</ds:datastoreItem>
</file>

<file path=customXml/itemProps4.xml><?xml version="1.0" encoding="utf-8"?>
<ds:datastoreItem xmlns:ds="http://schemas.openxmlformats.org/officeDocument/2006/customXml" ds:itemID="{D5C6A5B4-2FCC-483F-9C75-00670392EFF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3511</Words>
  <Characters>25040</Characters>
  <Application>Microsoft Office Word</Application>
  <DocSecurity>0</DocSecurity>
  <Lines>424</Lines>
  <Paragraphs>76</Paragraphs>
  <ScaleCrop>false</ScaleCrop>
  <HeadingPairs>
    <vt:vector size="2" baseType="variant">
      <vt:variant>
        <vt:lpstr>Title</vt:lpstr>
      </vt:variant>
      <vt:variant>
        <vt:i4>1</vt:i4>
      </vt:variant>
    </vt:vector>
  </HeadingPairs>
  <TitlesOfParts>
    <vt:vector size="1" baseType="lpstr">
      <vt:lpstr>Organisational Culture:Individual Report</vt:lpstr>
    </vt:vector>
  </TitlesOfParts>
  <Company/>
  <LinksUpToDate>false</LinksUpToDate>
  <CharactersWithSpaces>28475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Culture:Individual Report</dc:title>
  <dc:subject/>
  <dc:creator>2312527@student.uwtsd.ac.uk</dc:creator>
  <cp:keywords/>
  <dc:description/>
  <cp:lastModifiedBy>Diana Chiru (2312527)</cp:lastModifiedBy>
  <cp:revision>2</cp:revision>
  <dcterms:created xsi:type="dcterms:W3CDTF">2026-03-16T23:45:00Z</dcterms:created>
  <dcterms:modified xsi:type="dcterms:W3CDTF">2026-03-16T23:45:00Z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