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C6460" w14:textId="77777777" w:rsidR="00B75B61" w:rsidRDefault="00B75B61"/>
    <w:p w14:paraId="2D85691D" w14:textId="77777777" w:rsidR="00B75B61" w:rsidRDefault="00B75B61"/>
    <w:p w14:paraId="105E574F" w14:textId="77777777" w:rsidR="00B75B61" w:rsidRDefault="00B75B61"/>
    <w:p w14:paraId="034AE40E" w14:textId="77777777" w:rsidR="00B75B61" w:rsidRDefault="00B75B61"/>
    <w:p w14:paraId="1D7E4AE7" w14:textId="77777777" w:rsidR="00B75B61" w:rsidRDefault="00B75B61"/>
    <w:p w14:paraId="1FF94EE1" w14:textId="77777777" w:rsidR="00B75B61" w:rsidRDefault="00B75B61"/>
    <w:p w14:paraId="3A5BEA53" w14:textId="77777777" w:rsidR="00B75B61" w:rsidRDefault="00B75B61"/>
    <w:p w14:paraId="78759D52" w14:textId="571DECB7" w:rsidR="00B75B61" w:rsidRPr="004D221D" w:rsidRDefault="00243656" w:rsidP="004D221D">
      <w:pPr>
        <w:jc w:val="center"/>
        <w:rPr>
          <w:b/>
          <w:sz w:val="36"/>
          <w:szCs w:val="36"/>
        </w:rPr>
      </w:pPr>
      <w:r>
        <w:rPr>
          <w:b/>
          <w:sz w:val="36"/>
          <w:szCs w:val="36"/>
        </w:rPr>
        <w:t>Roman</w:t>
      </w:r>
      <w:r w:rsidR="001D2C9A" w:rsidRPr="004D221D">
        <w:rPr>
          <w:b/>
          <w:sz w:val="36"/>
          <w:szCs w:val="36"/>
        </w:rPr>
        <w:t xml:space="preserve"> Influence and Pertinence in</w:t>
      </w:r>
      <w:r>
        <w:rPr>
          <w:b/>
          <w:sz w:val="36"/>
          <w:szCs w:val="36"/>
        </w:rPr>
        <w:t xml:space="preserve"> the</w:t>
      </w:r>
      <w:r w:rsidR="001D2C9A" w:rsidRPr="004D221D">
        <w:rPr>
          <w:b/>
          <w:sz w:val="36"/>
          <w:szCs w:val="36"/>
        </w:rPr>
        <w:t xml:space="preserve"> </w:t>
      </w:r>
      <w:r w:rsidR="00CA7BD8" w:rsidRPr="004D221D">
        <w:rPr>
          <w:b/>
          <w:sz w:val="36"/>
          <w:szCs w:val="36"/>
        </w:rPr>
        <w:t>City of Sepphoris, Galilee between the 1</w:t>
      </w:r>
      <w:r w:rsidR="00CA7BD8" w:rsidRPr="004D221D">
        <w:rPr>
          <w:b/>
          <w:sz w:val="36"/>
          <w:szCs w:val="36"/>
          <w:vertAlign w:val="superscript"/>
        </w:rPr>
        <w:t>st</w:t>
      </w:r>
      <w:r w:rsidR="00CA7BD8" w:rsidRPr="004D221D">
        <w:rPr>
          <w:b/>
          <w:sz w:val="36"/>
          <w:szCs w:val="36"/>
        </w:rPr>
        <w:t xml:space="preserve"> and 3</w:t>
      </w:r>
      <w:r w:rsidR="00CA7BD8" w:rsidRPr="004D221D">
        <w:rPr>
          <w:b/>
          <w:sz w:val="36"/>
          <w:szCs w:val="36"/>
          <w:vertAlign w:val="superscript"/>
        </w:rPr>
        <w:t>rd</w:t>
      </w:r>
      <w:r w:rsidR="00CA7BD8" w:rsidRPr="004D221D">
        <w:rPr>
          <w:b/>
          <w:sz w:val="36"/>
          <w:szCs w:val="36"/>
        </w:rPr>
        <w:t xml:space="preserve"> Century AD</w:t>
      </w:r>
    </w:p>
    <w:p w14:paraId="601D7486" w14:textId="650C2C41" w:rsidR="004F0108" w:rsidRDefault="004F0108"/>
    <w:p w14:paraId="1F0AAD9B" w14:textId="77B2CDAD" w:rsidR="004F0108" w:rsidRDefault="004F0108"/>
    <w:p w14:paraId="218952CC" w14:textId="2C3A13C8" w:rsidR="004F0108" w:rsidRDefault="004F0108"/>
    <w:p w14:paraId="4B15B7EC" w14:textId="1B3DB187" w:rsidR="004F0108" w:rsidRDefault="004F0108"/>
    <w:p w14:paraId="28D044E3" w14:textId="472563A3" w:rsidR="004F0108" w:rsidRPr="004D221D" w:rsidRDefault="004F0108" w:rsidP="00035EE5">
      <w:pPr>
        <w:jc w:val="center"/>
        <w:rPr>
          <w:b/>
        </w:rPr>
      </w:pPr>
      <w:r w:rsidRPr="004D221D">
        <w:rPr>
          <w:b/>
        </w:rPr>
        <w:t>Name: Brinelle Cladson James</w:t>
      </w:r>
    </w:p>
    <w:p w14:paraId="7BB4FA07" w14:textId="4751BDEC" w:rsidR="004F0108" w:rsidRPr="004D221D" w:rsidRDefault="004F0108" w:rsidP="00035EE5">
      <w:pPr>
        <w:jc w:val="center"/>
        <w:rPr>
          <w:b/>
        </w:rPr>
      </w:pPr>
      <w:r w:rsidRPr="004D221D">
        <w:rPr>
          <w:b/>
        </w:rPr>
        <w:t xml:space="preserve">Module: </w:t>
      </w:r>
      <w:r w:rsidR="00035EE5" w:rsidRPr="004D221D">
        <w:rPr>
          <w:b/>
        </w:rPr>
        <w:t>CLAH 7017</w:t>
      </w:r>
    </w:p>
    <w:p w14:paraId="4062AD0E" w14:textId="77777777" w:rsidR="00B75B61" w:rsidRPr="004D221D" w:rsidRDefault="00B75B61" w:rsidP="00035EE5">
      <w:pPr>
        <w:jc w:val="center"/>
        <w:rPr>
          <w:b/>
        </w:rPr>
      </w:pPr>
    </w:p>
    <w:p w14:paraId="21E832D5" w14:textId="77777777" w:rsidR="00B75B61" w:rsidRDefault="00B75B61"/>
    <w:p w14:paraId="763B1244" w14:textId="77777777" w:rsidR="00B75B61" w:rsidRDefault="00B75B61"/>
    <w:p w14:paraId="43DFB729" w14:textId="77777777" w:rsidR="00B75B61" w:rsidRDefault="00B75B61"/>
    <w:p w14:paraId="4220007A" w14:textId="77777777" w:rsidR="00B75B61" w:rsidRDefault="00B75B61"/>
    <w:p w14:paraId="1D6C2924" w14:textId="77777777" w:rsidR="00B75B61" w:rsidRDefault="00B75B61"/>
    <w:p w14:paraId="2DC067E0" w14:textId="77777777" w:rsidR="00B75B61" w:rsidRDefault="00B75B61"/>
    <w:p w14:paraId="305D08BD" w14:textId="77777777" w:rsidR="00B75B61" w:rsidRDefault="00B75B61"/>
    <w:p w14:paraId="35064A61" w14:textId="77777777" w:rsidR="00B75B61" w:rsidRDefault="00B75B61"/>
    <w:p w14:paraId="0221581D" w14:textId="77777777" w:rsidR="00B75B61" w:rsidRDefault="00B75B61"/>
    <w:p w14:paraId="692A0467" w14:textId="77777777" w:rsidR="00B75B61" w:rsidRDefault="00B75B61"/>
    <w:p w14:paraId="3B9CEDB5" w14:textId="77777777" w:rsidR="00B75B61" w:rsidRDefault="00B75B61"/>
    <w:p w14:paraId="63528873" w14:textId="77777777" w:rsidR="00B75B61" w:rsidRDefault="00B75B61"/>
    <w:p w14:paraId="51E2DFD9" w14:textId="77777777" w:rsidR="00B75B61" w:rsidRDefault="00B75B61"/>
    <w:p w14:paraId="64B26E9D" w14:textId="77777777" w:rsidR="00B75B61" w:rsidRDefault="00B75B61"/>
    <w:p w14:paraId="5E5787A5" w14:textId="67138712" w:rsidR="007F4E56" w:rsidRDefault="595FE24F">
      <w:r>
        <w:lastRenderedPageBreak/>
        <w:t xml:space="preserve">The following paper will analyse the impact of </w:t>
      </w:r>
      <w:r w:rsidR="00243656">
        <w:t>Roman</w:t>
      </w:r>
      <w:r>
        <w:t xml:space="preserve"> imperialism in the region of Galilee</w:t>
      </w:r>
      <w:r w:rsidR="003B6D5C">
        <w:t xml:space="preserve"> within the province of Syria</w:t>
      </w:r>
      <w:r>
        <w:t>, concentrating on the city of Sepphoris during the 1</w:t>
      </w:r>
      <w:r w:rsidRPr="595FE24F">
        <w:rPr>
          <w:vertAlign w:val="superscript"/>
        </w:rPr>
        <w:t>st</w:t>
      </w:r>
      <w:r>
        <w:t xml:space="preserve"> and 3</w:t>
      </w:r>
      <w:r w:rsidRPr="595FE24F">
        <w:rPr>
          <w:vertAlign w:val="superscript"/>
        </w:rPr>
        <w:t>rd</w:t>
      </w:r>
      <w:r>
        <w:t xml:space="preserve"> Century AD. </w:t>
      </w:r>
      <w:r w:rsidR="00501C93">
        <w:t>The paper will be based on Bernett</w:t>
      </w:r>
      <w:r w:rsidR="00B423A9">
        <w:t xml:space="preserve">’s view that the study of the influence of the imperial cult </w:t>
      </w:r>
      <w:r w:rsidR="000A1B1F">
        <w:t>need not be based on temples and statues alone but</w:t>
      </w:r>
      <w:r w:rsidR="005777A4">
        <w:t xml:space="preserve"> </w:t>
      </w:r>
      <w:r w:rsidR="00B51A0C">
        <w:t>a religious and political phenomenon</w:t>
      </w:r>
      <w:r w:rsidR="00B51A0C">
        <w:rPr>
          <w:rStyle w:val="FootnoteReference"/>
        </w:rPr>
        <w:footnoteReference w:id="2"/>
      </w:r>
      <w:r w:rsidR="00152091">
        <w:t xml:space="preserve">. </w:t>
      </w:r>
      <w:r>
        <w:t>The</w:t>
      </w:r>
      <w:r w:rsidR="00152091">
        <w:t>refore, though</w:t>
      </w:r>
      <w:r>
        <w:t xml:space="preserve"> study of </w:t>
      </w:r>
      <w:r w:rsidR="00243656">
        <w:t>Roman</w:t>
      </w:r>
      <w:r>
        <w:t xml:space="preserve"> influence in Sepphoris can be challenging due to the lack of archaeological remains of synagogues for the said period, yet Rabbinic literature, coinage</w:t>
      </w:r>
      <w:r w:rsidR="00243656">
        <w:t>,</w:t>
      </w:r>
      <w:r>
        <w:t xml:space="preserve"> and</w:t>
      </w:r>
      <w:r w:rsidR="005F1D98">
        <w:t xml:space="preserve"> </w:t>
      </w:r>
      <w:r w:rsidR="00D177AD">
        <w:t>ar</w:t>
      </w:r>
      <w:r w:rsidR="005F1D98">
        <w:t>t</w:t>
      </w:r>
      <w:r w:rsidR="00D177AD">
        <w:t xml:space="preserve"> such as</w:t>
      </w:r>
      <w:r>
        <w:t xml:space="preserve"> the Dionysian </w:t>
      </w:r>
      <w:r w:rsidR="003B6D5C">
        <w:t>villa</w:t>
      </w:r>
      <w:r>
        <w:t xml:space="preserve"> of the 3</w:t>
      </w:r>
      <w:r w:rsidRPr="595FE24F">
        <w:rPr>
          <w:vertAlign w:val="superscript"/>
        </w:rPr>
        <w:t>rd</w:t>
      </w:r>
      <w:r>
        <w:t xml:space="preserve"> century may help us understand</w:t>
      </w:r>
      <w:r w:rsidR="00243656">
        <w:t xml:space="preserve"> the</w:t>
      </w:r>
      <w:r>
        <w:t xml:space="preserve"> </w:t>
      </w:r>
      <w:r w:rsidR="00243656">
        <w:t>Roman</w:t>
      </w:r>
      <w:r>
        <w:t xml:space="preserve"> impact in this influential Jewish city.</w:t>
      </w:r>
    </w:p>
    <w:p w14:paraId="05C38578" w14:textId="239F9E6F" w:rsidR="2CF21E34" w:rsidRDefault="2109BAA8" w:rsidP="2CF21E34">
      <w:r>
        <w:t>The history of Galilee is well intertwined with that of Jerusalem, it was conquered by Pompey in 63 BC and reconquered from the Hasmonaeans by Gabinius in 57 BC, who then reorganised the government of Judea by dividing power between Jerusalem, Adora, Jericho, Betharamatha and Sepphoris (Ant 14.91). The Parth</w:t>
      </w:r>
      <w:r w:rsidR="004E4CB8">
        <w:t>ian</w:t>
      </w:r>
      <w:r>
        <w:t xml:space="preserve"> invasion of Syria in 40BC led to Herod eventually regaining Judea in 37 BC. With Herod as king Jerusalem and its surrounding territories underwent the process of '</w:t>
      </w:r>
      <w:r w:rsidR="00243656">
        <w:t>Roman</w:t>
      </w:r>
      <w:r>
        <w:t>ization,</w:t>
      </w:r>
      <w:r w:rsidR="00243656">
        <w:t>’</w:t>
      </w:r>
      <w:r>
        <w:t xml:space="preserve"> as he encouraged the building of </w:t>
      </w:r>
      <w:r w:rsidR="00243656">
        <w:t>Roman</w:t>
      </w:r>
      <w:r>
        <w:t xml:space="preserve"> temples in Jerusalem</w:t>
      </w:r>
      <w:r w:rsidR="00E25817">
        <w:rPr>
          <w:rStyle w:val="FootnoteReference"/>
        </w:rPr>
        <w:footnoteReference w:id="3"/>
      </w:r>
      <w:r>
        <w:t>, much to the displeasure of the Jewish community</w:t>
      </w:r>
      <w:r w:rsidR="2CF21E34" w:rsidRPr="2109BAA8">
        <w:rPr>
          <w:rStyle w:val="FootnoteReference"/>
        </w:rPr>
        <w:footnoteReference w:id="4"/>
      </w:r>
      <w:r>
        <w:t xml:space="preserve">. This act was duplicated by his son Herod Philip when he not only built but advertised his new </w:t>
      </w:r>
      <w:r w:rsidR="00243656">
        <w:t>Roman</w:t>
      </w:r>
      <w:r>
        <w:t xml:space="preserve"> temple in Caesarea </w:t>
      </w:r>
      <w:r w:rsidR="00D1035E">
        <w:t>Philippi</w:t>
      </w:r>
      <w:r>
        <w:t xml:space="preserve"> by minting its image on coins that circulated throughout Judea. This led to the portrayal of </w:t>
      </w:r>
      <w:r w:rsidR="00243656">
        <w:t>Roman</w:t>
      </w:r>
      <w:r>
        <w:t xml:space="preserve"> dominance over the Jewish community in the early 1</w:t>
      </w:r>
      <w:r w:rsidRPr="2109BAA8">
        <w:rPr>
          <w:vertAlign w:val="superscript"/>
        </w:rPr>
        <w:t>st</w:t>
      </w:r>
      <w:r>
        <w:t xml:space="preserve"> century AD.</w:t>
      </w:r>
    </w:p>
    <w:p w14:paraId="45BAE0F7" w14:textId="062A9D4E" w:rsidR="006B77B9" w:rsidRDefault="595FE24F" w:rsidP="2109BAA8">
      <w:r>
        <w:t>While Jerusalem was developed by Herod, the neighbouring regions where developed by his sons</w:t>
      </w:r>
      <w:r w:rsidR="00D22781">
        <w:t>, who were made tetrarchs</w:t>
      </w:r>
      <w:r w:rsidR="005A4F56">
        <w:t>,</w:t>
      </w:r>
      <w:r>
        <w:t xml:space="preserve"> after his death. Antipas is credited with the development of Galilee. He rebuilt the city of Sepphoris after the attack by Varus</w:t>
      </w:r>
      <w:r w:rsidR="005F1D98">
        <w:rPr>
          <w:rStyle w:val="FootnoteReference"/>
        </w:rPr>
        <w:footnoteReference w:id="5"/>
      </w:r>
      <w:r>
        <w:t xml:space="preserve"> and renamed it as Autokratoris honouring Gaius Caesar</w:t>
      </w:r>
      <w:r w:rsidR="2109BAA8" w:rsidRPr="0B09504C">
        <w:rPr>
          <w:rStyle w:val="FootnoteReference"/>
        </w:rPr>
        <w:footnoteReference w:id="6"/>
      </w:r>
      <w:r w:rsidRPr="222F3F41">
        <w:t>.</w:t>
      </w:r>
      <w:r>
        <w:t xml:space="preserve"> Though the new name did not stay for long, it stands witness to the beginning of </w:t>
      </w:r>
      <w:r w:rsidR="00243656">
        <w:t>Roman</w:t>
      </w:r>
      <w:r>
        <w:t xml:space="preserve"> influence in Sepphoris. Yet the population remained greatly Jewish as the evidence of ritual baths and vessel fragments in Sepphoris</w:t>
      </w:r>
      <w:r w:rsidRPr="222F3F41">
        <w:t xml:space="preserve">, </w:t>
      </w:r>
      <w:r>
        <w:t>though meagre, point to the presence of a strong Jewish community believing in traditional cleansing rituals. While the date for the</w:t>
      </w:r>
      <w:r w:rsidRPr="222F3F41">
        <w:t xml:space="preserve"> </w:t>
      </w:r>
      <w:r>
        <w:t xml:space="preserve">construction of the theatre in Sepphoris is debated, if credited to Antipas it could show that need for </w:t>
      </w:r>
      <w:r w:rsidR="00243656">
        <w:t>Roman</w:t>
      </w:r>
      <w:r>
        <w:t xml:space="preserve"> styles of entertainment may have developed early in this</w:t>
      </w:r>
      <w:r w:rsidRPr="222F3F41">
        <w:t xml:space="preserve"> </w:t>
      </w:r>
      <w:r>
        <w:t>Jewish community</w:t>
      </w:r>
      <w:r w:rsidR="2109BAA8" w:rsidRPr="595FE24F">
        <w:rPr>
          <w:rStyle w:val="FootnoteReference"/>
        </w:rPr>
        <w:footnoteReference w:id="7"/>
      </w:r>
      <w:r w:rsidRPr="222F3F41">
        <w:t xml:space="preserve">. </w:t>
      </w:r>
      <w:r w:rsidRPr="0B09504C">
        <w:t xml:space="preserve">Antipas also minted the first coins in Galilee to have the name of a </w:t>
      </w:r>
      <w:r w:rsidR="00243656">
        <w:t>Roman</w:t>
      </w:r>
      <w:r w:rsidRPr="0B09504C">
        <w:t xml:space="preserve"> emperor in 38/39 AD, while this could be an act of '</w:t>
      </w:r>
      <w:r w:rsidR="00243656">
        <w:t>Roman</w:t>
      </w:r>
      <w:r w:rsidRPr="0B09504C">
        <w:t>isation' Burnett credits the action to the rivalry between Antipas and Agrippa</w:t>
      </w:r>
      <w:r w:rsidR="2109BAA8" w:rsidRPr="0B09504C">
        <w:rPr>
          <w:rStyle w:val="FootnoteReference"/>
        </w:rPr>
        <w:footnoteReference w:id="8"/>
      </w:r>
      <w:r w:rsidRPr="0B09504C">
        <w:t>. Even so, the act of '</w:t>
      </w:r>
      <w:r w:rsidR="00243656">
        <w:t>Roman</w:t>
      </w:r>
      <w:r w:rsidRPr="0B09504C">
        <w:t>isation' may not</w:t>
      </w:r>
      <w:r w:rsidR="00243656">
        <w:t xml:space="preserve"> have</w:t>
      </w:r>
      <w:r w:rsidRPr="0B09504C">
        <w:t xml:space="preserve"> been so popular amongst the Galilean Jews</w:t>
      </w:r>
      <w:r w:rsidR="00243656">
        <w:t>;</w:t>
      </w:r>
      <w:r w:rsidRPr="0B09504C">
        <w:t xml:space="preserve"> Berlin brings out the differences in buying and dining practices that show the </w:t>
      </w:r>
      <w:r w:rsidR="005F1D98">
        <w:t>J</w:t>
      </w:r>
      <w:r w:rsidRPr="0B09504C">
        <w:t xml:space="preserve">ews of this period rejected </w:t>
      </w:r>
      <w:r w:rsidR="00243656">
        <w:t>Roman</w:t>
      </w:r>
      <w:r w:rsidRPr="0B09504C">
        <w:t xml:space="preserve"> and </w:t>
      </w:r>
      <w:r w:rsidR="00D1035E" w:rsidRPr="0B09504C">
        <w:t>Greek</w:t>
      </w:r>
      <w:r w:rsidRPr="0B09504C">
        <w:t xml:space="preserve"> products and formed a localised market for themselves. </w:t>
      </w:r>
      <w:r w:rsidR="00846B13">
        <w:t>T</w:t>
      </w:r>
      <w:r w:rsidRPr="0B09504C">
        <w:t>he rapid gro</w:t>
      </w:r>
      <w:r w:rsidR="00D903CA">
        <w:t>wth</w:t>
      </w:r>
      <w:r w:rsidR="00846B13">
        <w:t xml:space="preserve"> of synagogues in cities of Lower Galilee such as Tiberias and Capernaum</w:t>
      </w:r>
      <w:r w:rsidR="006B6EC3">
        <w:t xml:space="preserve"> show the resistance of the Galilean </w:t>
      </w:r>
      <w:r w:rsidR="00D1035E">
        <w:t>Jews</w:t>
      </w:r>
      <w:r w:rsidR="006B6EC3">
        <w:t xml:space="preserve"> during this period, yet we see Galilee</w:t>
      </w:r>
      <w:r w:rsidR="00243656">
        <w:t>,</w:t>
      </w:r>
      <w:r w:rsidR="006B6EC3">
        <w:t xml:space="preserve"> and </w:t>
      </w:r>
      <w:r w:rsidR="0007733B">
        <w:t>most importantly Sepphoris</w:t>
      </w:r>
      <w:r w:rsidR="00C944D1">
        <w:t xml:space="preserve"> accept </w:t>
      </w:r>
      <w:r w:rsidR="00243656">
        <w:t>Roman</w:t>
      </w:r>
      <w:r w:rsidR="006B77B9">
        <w:t xml:space="preserve"> persistence by the end of the century.</w:t>
      </w:r>
    </w:p>
    <w:p w14:paraId="4D89734C" w14:textId="30A9AE5A" w:rsidR="00222F2A" w:rsidRDefault="006B77B9" w:rsidP="2109BAA8">
      <w:r>
        <w:t>Sepphoris During the</w:t>
      </w:r>
      <w:r w:rsidR="002C6CD2">
        <w:t xml:space="preserve"> Jewish Revolt</w:t>
      </w:r>
    </w:p>
    <w:p w14:paraId="78927C0C" w14:textId="75BD067E" w:rsidR="00527055" w:rsidRDefault="00527055" w:rsidP="2109BAA8">
      <w:r>
        <w:t xml:space="preserve">The account of Sepphoris is given to us by Josephus who became the governor of Galilee </w:t>
      </w:r>
      <w:r w:rsidR="00634EB7">
        <w:t xml:space="preserve">prior to the start of the revolt. </w:t>
      </w:r>
      <w:r w:rsidR="00042974">
        <w:t xml:space="preserve">His accounts of Sepphoris differ </w:t>
      </w:r>
      <w:r w:rsidR="00747471">
        <w:t xml:space="preserve">in the Jewish Wars and Life confusing us </w:t>
      </w:r>
      <w:r w:rsidR="00797584">
        <w:t xml:space="preserve">to whether Sepphoris’ initial position </w:t>
      </w:r>
      <w:r w:rsidR="00953EA8">
        <w:t>was</w:t>
      </w:r>
      <w:r w:rsidR="00797584">
        <w:t xml:space="preserve"> </w:t>
      </w:r>
      <w:r w:rsidR="00953EA8">
        <w:t>pro-</w:t>
      </w:r>
      <w:r w:rsidR="00243656">
        <w:t>Roman</w:t>
      </w:r>
      <w:r w:rsidR="00953EA8">
        <w:t xml:space="preserve"> or not. </w:t>
      </w:r>
      <w:r w:rsidR="00090144">
        <w:t xml:space="preserve">Miller notes the </w:t>
      </w:r>
      <w:r w:rsidR="00236513">
        <w:t xml:space="preserve">discrepancies in </w:t>
      </w:r>
      <w:r w:rsidR="00D97F4D">
        <w:t>the accounts that state that Josephus let the Sepphor</w:t>
      </w:r>
      <w:r w:rsidR="00046400">
        <w:t>i</w:t>
      </w:r>
      <w:r w:rsidR="00D97F4D">
        <w:t xml:space="preserve">ans fortify themselves because they were rich </w:t>
      </w:r>
      <w:r w:rsidR="00777AED">
        <w:t xml:space="preserve">and </w:t>
      </w:r>
      <w:r w:rsidR="00777AED">
        <w:lastRenderedPageBreak/>
        <w:t>eager for the revolt, on the other hand</w:t>
      </w:r>
      <w:r w:rsidR="00243656">
        <w:t>,</w:t>
      </w:r>
      <w:r w:rsidR="00777AED">
        <w:t xml:space="preserve"> Josephus mentions that the </w:t>
      </w:r>
      <w:r w:rsidR="00FB7F76">
        <w:t xml:space="preserve">Sepphoreans tricked him to fortify the city not to </w:t>
      </w:r>
      <w:r w:rsidR="006E35D9">
        <w:t xml:space="preserve">protect them from the </w:t>
      </w:r>
      <w:r w:rsidR="00243656">
        <w:t>Romans</w:t>
      </w:r>
      <w:r w:rsidR="006E35D9">
        <w:t xml:space="preserve"> but from their own countrymen. </w:t>
      </w:r>
      <w:r w:rsidR="00DA2A9B">
        <w:t xml:space="preserve">Sepphoris’ continued </w:t>
      </w:r>
      <w:r w:rsidR="00101730">
        <w:t>pro-</w:t>
      </w:r>
      <w:r w:rsidR="00243656">
        <w:t>Roman</w:t>
      </w:r>
      <w:r w:rsidR="00101730">
        <w:t xml:space="preserve"> stance is mentioned in War 3.2.4</w:t>
      </w:r>
      <w:r w:rsidR="00BD0CC3">
        <w:t xml:space="preserve"> where the inhabitants of the city welcome Vespasian as they had Cestias Gallus </w:t>
      </w:r>
      <w:r w:rsidR="008E2105">
        <w:t xml:space="preserve">in 67 AD, Josephus </w:t>
      </w:r>
      <w:r w:rsidR="004B121A">
        <w:t xml:space="preserve">further states that the Sepphoreans promise their allegiance to Rome and </w:t>
      </w:r>
      <w:r w:rsidR="00C70BD0">
        <w:t>agree to assist them against their countrymen</w:t>
      </w:r>
      <w:r w:rsidR="0034683A">
        <w:t>.</w:t>
      </w:r>
      <w:r w:rsidR="00B25249">
        <w:t xml:space="preserve"> Coins </w:t>
      </w:r>
      <w:r w:rsidR="00965B64">
        <w:t>found at Sepphoris that have inscribed on then ‘Under Vespasian</w:t>
      </w:r>
      <w:r w:rsidR="00F97175">
        <w:t>, Eireonopolis-Ner</w:t>
      </w:r>
      <w:r w:rsidR="00D05867">
        <w:t>o</w:t>
      </w:r>
      <w:r w:rsidR="00F97175">
        <w:t xml:space="preserve">nias-Sepphoris’ </w:t>
      </w:r>
      <w:r w:rsidR="00D05867">
        <w:t>further shows the stance of the Sepphorians during the war.</w:t>
      </w:r>
      <w:r w:rsidR="005D57DA">
        <w:t xml:space="preserve"> Chancey </w:t>
      </w:r>
      <w:r w:rsidR="007F5C43">
        <w:t>believes</w:t>
      </w:r>
      <w:r w:rsidR="005D57DA">
        <w:t xml:space="preserve"> </w:t>
      </w:r>
      <w:r w:rsidR="00A44F88">
        <w:t>similarity between the Sepphor</w:t>
      </w:r>
      <w:r w:rsidR="00046400">
        <w:t>i</w:t>
      </w:r>
      <w:r w:rsidR="00A44F88">
        <w:t>an coins with those of Agrippa II</w:t>
      </w:r>
      <w:r w:rsidR="003151AB">
        <w:t xml:space="preserve"> suggests that though the citizens of Sepphoris were pro- </w:t>
      </w:r>
      <w:r w:rsidR="00243656">
        <w:t>Roman</w:t>
      </w:r>
      <w:r w:rsidR="008C22D0">
        <w:t xml:space="preserve"> they may have </w:t>
      </w:r>
      <w:r w:rsidR="00915A7F">
        <w:t>been showing their affinity to the Her</w:t>
      </w:r>
      <w:r w:rsidR="00A17590">
        <w:t>odian king and wished to be handed over to him like Tiberias was in 61 AD.</w:t>
      </w:r>
      <w:r w:rsidR="005D57DA">
        <w:t xml:space="preserve"> </w:t>
      </w:r>
      <w:r w:rsidR="00531D0C">
        <w:t>Even so,</w:t>
      </w:r>
      <w:r w:rsidR="00FF384A">
        <w:t xml:space="preserve"> </w:t>
      </w:r>
      <w:r w:rsidR="00531D0C">
        <w:t>t</w:t>
      </w:r>
      <w:r w:rsidR="00FF5C7F">
        <w:t>he aristocratic nature of its people along with the refusal to participate in the revolt, s</w:t>
      </w:r>
      <w:r w:rsidR="008F6EAD">
        <w:t xml:space="preserve">urely suggests the influence of the </w:t>
      </w:r>
      <w:r w:rsidR="00243656">
        <w:t>Roman</w:t>
      </w:r>
      <w:r w:rsidR="008F6EAD">
        <w:t xml:space="preserve"> imperial cult on the people of Sepphoris.</w:t>
      </w:r>
      <w:r w:rsidR="00EA044D">
        <w:t xml:space="preserve"> </w:t>
      </w:r>
      <w:r w:rsidR="00242696">
        <w:t xml:space="preserve">Further </w:t>
      </w:r>
      <w:r w:rsidR="00285B8C">
        <w:t>proof</w:t>
      </w:r>
      <w:r w:rsidR="00242696">
        <w:t xml:space="preserve"> to advance Sepphoris’ pro </w:t>
      </w:r>
      <w:r w:rsidR="00243656">
        <w:t>Roman</w:t>
      </w:r>
      <w:r w:rsidR="00242696">
        <w:t xml:space="preserve"> claim c</w:t>
      </w:r>
      <w:r w:rsidR="00285B8C">
        <w:t xml:space="preserve">omes from archaeological evidence </w:t>
      </w:r>
      <w:r w:rsidR="000B1FB6">
        <w:t xml:space="preserve">that states that the fortress in Sepphoris was </w:t>
      </w:r>
      <w:r w:rsidR="005F1339">
        <w:t>dismantled during the revolt and used for industrial purposes</w:t>
      </w:r>
      <w:r w:rsidR="00AE157A">
        <w:rPr>
          <w:rStyle w:val="FootnoteReference"/>
        </w:rPr>
        <w:footnoteReference w:id="9"/>
      </w:r>
      <w:r w:rsidR="005F1339">
        <w:t xml:space="preserve">. </w:t>
      </w:r>
      <w:r w:rsidR="00DB048A">
        <w:t>Th</w:t>
      </w:r>
      <w:r w:rsidR="00956C98">
        <w:t>ough there is barely any physical ev</w:t>
      </w:r>
      <w:r w:rsidR="00766D56">
        <w:t xml:space="preserve">idence of </w:t>
      </w:r>
      <w:r w:rsidR="00243656">
        <w:t>Roman</w:t>
      </w:r>
      <w:r w:rsidR="00766D56">
        <w:t xml:space="preserve"> buildings in Galilee</w:t>
      </w:r>
      <w:r w:rsidR="004B0052">
        <w:t xml:space="preserve"> </w:t>
      </w:r>
      <w:r w:rsidR="00EA044D">
        <w:t xml:space="preserve">McLaren’s </w:t>
      </w:r>
      <w:r w:rsidR="005C3706">
        <w:t xml:space="preserve">claim of limited </w:t>
      </w:r>
      <w:r w:rsidR="00243656">
        <w:t>Roman</w:t>
      </w:r>
      <w:r w:rsidR="005C3706">
        <w:t xml:space="preserve"> influence in Galilee seems untrue</w:t>
      </w:r>
      <w:r w:rsidR="00C425CA">
        <w:t xml:space="preserve">, </w:t>
      </w:r>
      <w:r w:rsidR="00A51F12">
        <w:t xml:space="preserve">because not only Sepphoris but many Galileans cities </w:t>
      </w:r>
      <w:r w:rsidR="008B55FA">
        <w:t xml:space="preserve">during the revolt preferred to assist the </w:t>
      </w:r>
      <w:r w:rsidR="00243656">
        <w:t>Romans</w:t>
      </w:r>
      <w:r w:rsidR="008B55FA">
        <w:t xml:space="preserve"> instead of the Jews</w:t>
      </w:r>
      <w:r w:rsidR="00BB2BB2">
        <w:rPr>
          <w:rStyle w:val="FootnoteReference"/>
        </w:rPr>
        <w:footnoteReference w:id="10"/>
      </w:r>
      <w:r w:rsidR="008B55FA">
        <w:t>.</w:t>
      </w:r>
      <w:r w:rsidR="00DB048A">
        <w:t xml:space="preserve"> Even so, </w:t>
      </w:r>
      <w:r w:rsidR="006B4BA9">
        <w:t>Miller states that though Sepphoris may not have been pro-</w:t>
      </w:r>
      <w:r w:rsidR="00243656">
        <w:t>Roman</w:t>
      </w:r>
      <w:r w:rsidR="006B4BA9">
        <w:t xml:space="preserve"> </w:t>
      </w:r>
      <w:r w:rsidR="00107367">
        <w:t>at the beginning of the revolt</w:t>
      </w:r>
      <w:r w:rsidR="00243656">
        <w:t>,</w:t>
      </w:r>
      <w:r w:rsidR="00107367">
        <w:t xml:space="preserve"> it obviously took that stance eventually</w:t>
      </w:r>
      <w:r w:rsidR="004654C4">
        <w:rPr>
          <w:rStyle w:val="FootnoteReference"/>
        </w:rPr>
        <w:footnoteReference w:id="11"/>
      </w:r>
      <w:r w:rsidR="00107367">
        <w:t>.</w:t>
      </w:r>
      <w:r w:rsidR="000D3DF6">
        <w:t xml:space="preserve"> </w:t>
      </w:r>
    </w:p>
    <w:p w14:paraId="28C295CE" w14:textId="5271F926" w:rsidR="00720623" w:rsidRDefault="00833B09" w:rsidP="2109BAA8">
      <w:r>
        <w:t>T</w:t>
      </w:r>
      <w:r w:rsidR="005B150A">
        <w:t>he Bar Cochba revolt</w:t>
      </w:r>
      <w:r w:rsidR="005F3836">
        <w:t xml:space="preserve"> though fought mainly in Jerusale</w:t>
      </w:r>
      <w:r w:rsidR="00BD0C64">
        <w:t>m</w:t>
      </w:r>
      <w:r w:rsidR="00243656">
        <w:t>;</w:t>
      </w:r>
      <w:r w:rsidR="00BD0C64">
        <w:t xml:space="preserve"> its effects trickled down to Galilee. </w:t>
      </w:r>
      <w:r w:rsidR="00ED58BD">
        <w:t>During the end of Hadrian’s rule</w:t>
      </w:r>
      <w:r w:rsidR="00243656">
        <w:t>,</w:t>
      </w:r>
      <w:r w:rsidR="00ED58BD">
        <w:t xml:space="preserve"> deliberate changes were made </w:t>
      </w:r>
      <w:r w:rsidR="007A5BBA">
        <w:t xml:space="preserve">in Jerusalem and against Jewish laws that led to the displeasure of the community in </w:t>
      </w:r>
      <w:r w:rsidR="00EE2D38">
        <w:t>132-136 AD</w:t>
      </w:r>
      <w:r w:rsidR="0040138C">
        <w:t xml:space="preserve">. The prohibition of </w:t>
      </w:r>
      <w:r w:rsidR="003C2D2D">
        <w:t xml:space="preserve">circumcision for the Jews led to the revolt, </w:t>
      </w:r>
      <w:r w:rsidR="0047672C">
        <w:t xml:space="preserve">Smallwood states that </w:t>
      </w:r>
      <w:r w:rsidR="00A75CDC">
        <w:t>the accounts of Dio and Eusebius differ as to</w:t>
      </w:r>
      <w:r w:rsidR="00EE12BD">
        <w:t xml:space="preserve"> whether</w:t>
      </w:r>
      <w:r w:rsidR="00A75CDC">
        <w:t xml:space="preserve"> the </w:t>
      </w:r>
      <w:r w:rsidR="00EE12BD">
        <w:t>re</w:t>
      </w:r>
      <w:r w:rsidR="00A75CDC">
        <w:t xml:space="preserve">naming </w:t>
      </w:r>
      <w:r w:rsidR="00EE12BD">
        <w:t>of Jerusalem to A</w:t>
      </w:r>
      <w:r w:rsidR="000E02B2">
        <w:t xml:space="preserve">elia Capitolina was either the cause or effect of the revolt. </w:t>
      </w:r>
      <w:r w:rsidR="00AC7FD7">
        <w:t xml:space="preserve">The </w:t>
      </w:r>
      <w:r w:rsidR="00243656">
        <w:t>Romans</w:t>
      </w:r>
      <w:r w:rsidR="00AC7FD7">
        <w:t xml:space="preserve"> eventually won the war</w:t>
      </w:r>
      <w:r w:rsidR="00243656">
        <w:t>,</w:t>
      </w:r>
      <w:r w:rsidR="00AC7FD7">
        <w:t xml:space="preserve"> and Hadrian further punished the Jews by erecting a te</w:t>
      </w:r>
      <w:r w:rsidR="00D66E47">
        <w:t xml:space="preserve">mple for Jupiter in Aelia Capitolina. Smallwood </w:t>
      </w:r>
      <w:r w:rsidR="00FC00AE">
        <w:t xml:space="preserve">states that other acts such as the renaming of </w:t>
      </w:r>
      <w:r w:rsidR="0051159D">
        <w:t>Sepphoris to Di</w:t>
      </w:r>
      <w:r w:rsidR="00620803">
        <w:t xml:space="preserve">ocaeserea </w:t>
      </w:r>
      <w:r w:rsidR="004F4D57">
        <w:t>which means ‘dedicated to Zeus’</w:t>
      </w:r>
      <w:r w:rsidR="00964783">
        <w:t xml:space="preserve"> </w:t>
      </w:r>
      <w:r w:rsidR="00620803">
        <w:t xml:space="preserve">and the </w:t>
      </w:r>
      <w:r w:rsidR="00583986">
        <w:t>building of a Capitoline temple</w:t>
      </w:r>
      <w:r w:rsidR="00570238">
        <w:t xml:space="preserve"> on the site</w:t>
      </w:r>
      <w:r w:rsidR="00620803">
        <w:t xml:space="preserve"> </w:t>
      </w:r>
      <w:r w:rsidR="00C70031">
        <w:t>were factors in creating a Greco-</w:t>
      </w:r>
      <w:r w:rsidR="00243656">
        <w:t>Roman</w:t>
      </w:r>
      <w:r w:rsidR="00964783">
        <w:t xml:space="preserve"> state and the </w:t>
      </w:r>
      <w:r w:rsidR="001342AC">
        <w:t>impact of paganism in Sepphoris.</w:t>
      </w:r>
      <w:r w:rsidR="00887C87">
        <w:t xml:space="preserve"> Jones argues that this </w:t>
      </w:r>
      <w:r w:rsidR="00C03EAF">
        <w:t>act of Hadrian was not to paganise Sepphoris but to create a more Hellenistic ambiance in the city</w:t>
      </w:r>
      <w:r w:rsidR="009029F7">
        <w:t>. However,</w:t>
      </w:r>
      <w:r w:rsidR="001342AC">
        <w:t xml:space="preserve"> </w:t>
      </w:r>
      <w:r w:rsidR="00182A7D">
        <w:t>i</w:t>
      </w:r>
      <w:r w:rsidR="001342AC">
        <w:t>n his paper</w:t>
      </w:r>
      <w:r w:rsidR="00243656">
        <w:t>,</w:t>
      </w:r>
      <w:r w:rsidR="001342AC">
        <w:t xml:space="preserve"> Bonnie </w:t>
      </w:r>
      <w:r w:rsidR="00FC2249">
        <w:t>notices</w:t>
      </w:r>
      <w:r w:rsidR="001342AC">
        <w:t xml:space="preserve"> th</w:t>
      </w:r>
      <w:r w:rsidR="001A7EA4">
        <w:t xml:space="preserve">e change in this period by the minting of coins in Sepphoris which </w:t>
      </w:r>
      <w:r w:rsidR="00D322F7">
        <w:t xml:space="preserve">now contained emperor portraits and </w:t>
      </w:r>
      <w:r w:rsidR="00243656">
        <w:t>Roman</w:t>
      </w:r>
      <w:r w:rsidR="00D322F7">
        <w:t xml:space="preserve"> deities instead of Jewish symbols. </w:t>
      </w:r>
      <w:r w:rsidR="00244805">
        <w:t>Furthermore</w:t>
      </w:r>
      <w:r w:rsidR="00D322F7">
        <w:t xml:space="preserve">, the destruction of a synagogue in </w:t>
      </w:r>
      <w:r w:rsidR="00244805">
        <w:t>Hammath Tiberius portrays the gradual ‘</w:t>
      </w:r>
      <w:r w:rsidR="00243656">
        <w:t>Roman</w:t>
      </w:r>
      <w:r w:rsidR="00244805">
        <w:t>isation’ of lower Galilee.</w:t>
      </w:r>
      <w:r w:rsidR="0077170F">
        <w:t xml:space="preserve"> </w:t>
      </w:r>
      <w:r w:rsidR="00E03FA8">
        <w:t xml:space="preserve">Even before the Bar Cochba </w:t>
      </w:r>
      <w:r w:rsidR="004F6FA2">
        <w:t xml:space="preserve">revolt </w:t>
      </w:r>
      <w:r w:rsidR="006755EC">
        <w:t xml:space="preserve">military presence was witnessed in Galilee. The </w:t>
      </w:r>
      <w:r w:rsidR="00D26FC6">
        <w:t xml:space="preserve">reason for the </w:t>
      </w:r>
      <w:r w:rsidR="006755EC">
        <w:t>placement of Legio</w:t>
      </w:r>
      <w:r w:rsidR="004F6FA2">
        <w:t xml:space="preserve"> VI Ferrata by Hadrian </w:t>
      </w:r>
      <w:r w:rsidR="00D26FC6">
        <w:t xml:space="preserve">was </w:t>
      </w:r>
      <w:r w:rsidR="004F6FA2">
        <w:t xml:space="preserve">to supress any rebellion </w:t>
      </w:r>
      <w:r w:rsidR="00D57D6E">
        <w:t xml:space="preserve">such as those caused by the Jews in </w:t>
      </w:r>
      <w:r w:rsidR="00882AE2">
        <w:t>Egypt, Cyprus</w:t>
      </w:r>
      <w:r w:rsidR="00243656">
        <w:t>,</w:t>
      </w:r>
      <w:r w:rsidR="00882AE2">
        <w:t xml:space="preserve"> and Mesopotamia between 115-117 AD.</w:t>
      </w:r>
      <w:r w:rsidR="00244805">
        <w:t xml:space="preserve"> </w:t>
      </w:r>
      <w:r w:rsidR="000544C7">
        <w:t xml:space="preserve">The presence of the </w:t>
      </w:r>
      <w:r w:rsidR="00243656">
        <w:t>Roman</w:t>
      </w:r>
      <w:r w:rsidR="000544C7">
        <w:t xml:space="preserve"> military</w:t>
      </w:r>
      <w:r w:rsidR="00B83F17">
        <w:t xml:space="preserve"> </w:t>
      </w:r>
      <w:r w:rsidR="000544C7">
        <w:t>during the 2</w:t>
      </w:r>
      <w:r w:rsidR="000544C7" w:rsidRPr="000544C7">
        <w:rPr>
          <w:vertAlign w:val="superscript"/>
        </w:rPr>
        <w:t>nd</w:t>
      </w:r>
      <w:r w:rsidR="000544C7">
        <w:t xml:space="preserve"> century</w:t>
      </w:r>
      <w:r w:rsidR="005B742C">
        <w:t xml:space="preserve"> played a strong role in the cultural and economic development of the city</w:t>
      </w:r>
      <w:r w:rsidR="009E143A">
        <w:t xml:space="preserve">. </w:t>
      </w:r>
      <w:r w:rsidR="009427B1">
        <w:t xml:space="preserve">Bonnie states that the legion may have helped cause an economic boom in </w:t>
      </w:r>
      <w:r w:rsidR="00865C22">
        <w:t xml:space="preserve">Sepphoris and may have caused the transition from Aramaic to </w:t>
      </w:r>
      <w:r w:rsidR="00447EFA">
        <w:t xml:space="preserve">Greek and Latin inscriptions. </w:t>
      </w:r>
      <w:r w:rsidR="000A6239">
        <w:t>According to Chancey and Porter t</w:t>
      </w:r>
      <w:r w:rsidR="004F6423">
        <w:t xml:space="preserve">he presence of the military </w:t>
      </w:r>
      <w:r w:rsidR="000A6239">
        <w:t>was strong in Sepphoris that no Jewish fe</w:t>
      </w:r>
      <w:r w:rsidR="004E0149">
        <w:t>stival took place without them</w:t>
      </w:r>
      <w:r w:rsidR="00243656">
        <w:t>;</w:t>
      </w:r>
      <w:r w:rsidR="004E0149">
        <w:t xml:space="preserve"> </w:t>
      </w:r>
      <w:proofErr w:type="gramStart"/>
      <w:r w:rsidR="009B0C6C">
        <w:t>thus</w:t>
      </w:r>
      <w:proofErr w:type="gramEnd"/>
      <w:r w:rsidR="009B0C6C">
        <w:t xml:space="preserve"> this </w:t>
      </w:r>
      <w:r w:rsidR="004F6423">
        <w:t>led to the constr</w:t>
      </w:r>
      <w:r w:rsidR="000847B0">
        <w:t xml:space="preserve">uction of </w:t>
      </w:r>
      <w:r w:rsidR="00243656">
        <w:t>Roman</w:t>
      </w:r>
      <w:r w:rsidR="000847B0">
        <w:t xml:space="preserve"> baths and theatres in the city</w:t>
      </w:r>
      <w:r w:rsidR="000847B0">
        <w:rPr>
          <w:rStyle w:val="FootnoteReference"/>
        </w:rPr>
        <w:footnoteReference w:id="12"/>
      </w:r>
      <w:r w:rsidR="000847B0">
        <w:t>.</w:t>
      </w:r>
      <w:r w:rsidR="008D04D3">
        <w:t xml:space="preserve"> The </w:t>
      </w:r>
      <w:r w:rsidR="008D04D3">
        <w:lastRenderedPageBreak/>
        <w:t xml:space="preserve">evidence of </w:t>
      </w:r>
      <w:r w:rsidR="00E23BB9">
        <w:t xml:space="preserve">decorated </w:t>
      </w:r>
      <w:r w:rsidR="00243656">
        <w:t>Roman</w:t>
      </w:r>
      <w:r w:rsidR="008D04D3">
        <w:t xml:space="preserve"> lamps in domestic settings </w:t>
      </w:r>
      <w:r w:rsidR="00E23BB9">
        <w:t xml:space="preserve">amongst the </w:t>
      </w:r>
      <w:r w:rsidR="007A7872">
        <w:t>J</w:t>
      </w:r>
      <w:r w:rsidR="00E23BB9">
        <w:t>ews show</w:t>
      </w:r>
      <w:r w:rsidR="007A7872">
        <w:t xml:space="preserve">s that they were familiar and comfortable with the encroachment of a </w:t>
      </w:r>
      <w:r w:rsidR="001B4613">
        <w:t>foreign cult into their lives</w:t>
      </w:r>
      <w:r w:rsidR="001B4613">
        <w:rPr>
          <w:rStyle w:val="FootnoteReference"/>
        </w:rPr>
        <w:footnoteReference w:id="13"/>
      </w:r>
      <w:r w:rsidR="001B4613">
        <w:t>.</w:t>
      </w:r>
    </w:p>
    <w:p w14:paraId="49CA2F87" w14:textId="59788DD7" w:rsidR="2109BAA8" w:rsidRDefault="007E4DEC" w:rsidP="2109BAA8">
      <w:r>
        <w:t xml:space="preserve">Even so, it is during this </w:t>
      </w:r>
      <w:r w:rsidR="006E7475">
        <w:t xml:space="preserve">period </w:t>
      </w:r>
      <w:r w:rsidR="00CF1738">
        <w:t xml:space="preserve">of displacement </w:t>
      </w:r>
      <w:r w:rsidR="009C700F">
        <w:t xml:space="preserve">their land </w:t>
      </w:r>
      <w:r w:rsidR="00F968AD">
        <w:t>that the spiritual centre of Judaism shifted from Jerusalem to Sepphoris</w:t>
      </w:r>
      <w:r w:rsidR="006E7475">
        <w:t>.</w:t>
      </w:r>
      <w:r w:rsidR="00BA456E">
        <w:t xml:space="preserve"> Cohen states that the term rabbi too underwent a transformation in me</w:t>
      </w:r>
      <w:r w:rsidR="00B531FB">
        <w:t xml:space="preserve">aning, he claims that it was no longer </w:t>
      </w:r>
      <w:r w:rsidR="00366544">
        <w:t xml:space="preserve">only to be used for a teacher of the Talmud but could also include </w:t>
      </w:r>
      <w:r w:rsidR="00FF4A74">
        <w:t>men with honorary titles</w:t>
      </w:r>
      <w:r w:rsidR="00A45E23">
        <w:rPr>
          <w:rStyle w:val="FootnoteReference"/>
        </w:rPr>
        <w:footnoteReference w:id="14"/>
      </w:r>
      <w:r w:rsidR="00FF4A74">
        <w:t>. Though no archaeological evidence remains</w:t>
      </w:r>
      <w:r w:rsidR="00EA1483">
        <w:t>, rabbinic literature states that by the end of the 2</w:t>
      </w:r>
      <w:r w:rsidR="00EA1483" w:rsidRPr="00EA1483">
        <w:rPr>
          <w:vertAlign w:val="superscript"/>
        </w:rPr>
        <w:t>nd</w:t>
      </w:r>
      <w:r w:rsidR="00EA1483">
        <w:t xml:space="preserve"> century AD</w:t>
      </w:r>
      <w:r w:rsidR="009C4132">
        <w:t xml:space="preserve"> the city of Sepphoris had 18 synagogues whereas Tiberias </w:t>
      </w:r>
      <w:r w:rsidR="00387990">
        <w:t>consisted of 13</w:t>
      </w:r>
      <w:r w:rsidR="00A329DE">
        <w:rPr>
          <w:rStyle w:val="FootnoteReference"/>
        </w:rPr>
        <w:footnoteReference w:id="15"/>
      </w:r>
      <w:r w:rsidR="00387990">
        <w:t>.</w:t>
      </w:r>
      <w:r w:rsidR="00FF01C3">
        <w:t xml:space="preserve"> Miller argues that considering the evidence and </w:t>
      </w:r>
      <w:r w:rsidR="00B8702D">
        <w:t>the gradual paganization of the city the claim seems to be hyperbolic.</w:t>
      </w:r>
      <w:r w:rsidR="00A62ABD">
        <w:t xml:space="preserve"> He states that one great synagogue within the city may have been more likely.</w:t>
      </w:r>
      <w:r w:rsidR="00A60799">
        <w:t xml:space="preserve"> However</w:t>
      </w:r>
      <w:r w:rsidR="009B42FC">
        <w:t>,</w:t>
      </w:r>
      <w:r w:rsidR="00A60799">
        <w:t xml:space="preserve"> it is du</w:t>
      </w:r>
      <w:r w:rsidR="00E43386">
        <w:t>ring the beginning of the third century where we truly witness a</w:t>
      </w:r>
      <w:r w:rsidR="00457F91">
        <w:t xml:space="preserve">n interesting growth in rabbinic literature alongside pagan influence </w:t>
      </w:r>
      <w:r w:rsidR="00574DE3">
        <w:t>on the Jewish community.</w:t>
      </w:r>
      <w:r w:rsidR="00070681">
        <w:t xml:space="preserve"> </w:t>
      </w:r>
      <w:r w:rsidR="009B42FC">
        <w:t>The beginning of the 3</w:t>
      </w:r>
      <w:r w:rsidR="009B42FC" w:rsidRPr="009B42FC">
        <w:rPr>
          <w:vertAlign w:val="superscript"/>
        </w:rPr>
        <w:t>rd</w:t>
      </w:r>
      <w:r w:rsidR="009B42FC">
        <w:t xml:space="preserve"> century saw </w:t>
      </w:r>
      <w:r w:rsidR="00A141F1">
        <w:t xml:space="preserve">rabbi Judah Hanasi </w:t>
      </w:r>
      <w:r w:rsidR="00F6112E">
        <w:t>grow in influence. Not only is he credited with the compilation of the Mishnah in Sepphoris</w:t>
      </w:r>
      <w:r w:rsidR="000F417E">
        <w:t xml:space="preserve">, his legendary friendship or alliance with the </w:t>
      </w:r>
      <w:r w:rsidR="00243656">
        <w:t>Roman</w:t>
      </w:r>
      <w:r w:rsidR="000F417E">
        <w:t xml:space="preserve"> ruler</w:t>
      </w:r>
      <w:r w:rsidR="00B62F8A">
        <w:t>,</w:t>
      </w:r>
      <w:r w:rsidR="000F417E">
        <w:t xml:space="preserve"> possibly Caracalla, </w:t>
      </w:r>
      <w:r w:rsidR="00B62F8A">
        <w:t xml:space="preserve">may have led to the </w:t>
      </w:r>
      <w:r w:rsidR="00AE3B81">
        <w:t xml:space="preserve">acceptance of </w:t>
      </w:r>
      <w:r w:rsidR="00243656">
        <w:t>Roman</w:t>
      </w:r>
      <w:r w:rsidR="00AE3B81">
        <w:t xml:space="preserve"> beliefs </w:t>
      </w:r>
      <w:r w:rsidR="00340553">
        <w:t xml:space="preserve">and the </w:t>
      </w:r>
      <w:r w:rsidR="0051077A">
        <w:t xml:space="preserve">increase of </w:t>
      </w:r>
      <w:r w:rsidR="00243656">
        <w:t>Roman</w:t>
      </w:r>
      <w:r w:rsidR="0051077A">
        <w:t xml:space="preserve"> mosaics and synagogues with </w:t>
      </w:r>
      <w:r w:rsidR="00243656">
        <w:t>Roman</w:t>
      </w:r>
      <w:r w:rsidR="0051077A">
        <w:t xml:space="preserve"> </w:t>
      </w:r>
      <w:r w:rsidR="00FF002F">
        <w:t>columns</w:t>
      </w:r>
      <w:r w:rsidR="0051077A">
        <w:t xml:space="preserve"> </w:t>
      </w:r>
      <w:r w:rsidR="00FF002F">
        <w:t>with</w:t>
      </w:r>
      <w:r w:rsidR="00AE3B81">
        <w:t>in the city</w:t>
      </w:r>
      <w:r w:rsidR="00FF002F">
        <w:rPr>
          <w:rStyle w:val="FootnoteReference"/>
        </w:rPr>
        <w:footnoteReference w:id="16"/>
      </w:r>
      <w:r w:rsidR="00AE3B81">
        <w:t>.</w:t>
      </w:r>
      <w:r w:rsidR="00D367C4">
        <w:t xml:space="preserve"> Th</w:t>
      </w:r>
      <w:r w:rsidR="008532FE">
        <w:t>e evidence for this</w:t>
      </w:r>
      <w:r w:rsidR="00D367C4">
        <w:t xml:space="preserve"> </w:t>
      </w:r>
      <w:r w:rsidR="00CC4502">
        <w:t>alliance</w:t>
      </w:r>
      <w:r w:rsidR="00426387">
        <w:t xml:space="preserve"> can be gathered from coins</w:t>
      </w:r>
      <w:r w:rsidR="00796651">
        <w:t xml:space="preserve"> found in Sepphoris</w:t>
      </w:r>
      <w:r w:rsidR="00426387">
        <w:t xml:space="preserve"> that </w:t>
      </w:r>
      <w:r w:rsidR="00796651">
        <w:t>read ‘Diocaeserea</w:t>
      </w:r>
      <w:r w:rsidR="00563748">
        <w:t xml:space="preserve"> -the holy city of shelter-</w:t>
      </w:r>
      <w:r w:rsidR="00927CE5">
        <w:t xml:space="preserve"> </w:t>
      </w:r>
      <w:r w:rsidR="00563748">
        <w:t>autonomous</w:t>
      </w:r>
      <w:r w:rsidR="00A822BE">
        <w:t>-</w:t>
      </w:r>
      <w:r w:rsidR="00CE0D32">
        <w:t xml:space="preserve"> </w:t>
      </w:r>
      <w:r w:rsidR="00A822BE">
        <w:t xml:space="preserve">loyal friendship and </w:t>
      </w:r>
      <w:r w:rsidR="00CE0D32">
        <w:t xml:space="preserve">alliance with the </w:t>
      </w:r>
      <w:r w:rsidR="00243656">
        <w:t>Romans</w:t>
      </w:r>
      <w:r w:rsidR="00CE0D32">
        <w:t>’</w:t>
      </w:r>
      <w:r w:rsidR="00927CE5">
        <w:t>. The reason for this unlikely alliance,</w:t>
      </w:r>
      <w:r w:rsidR="009B5ABB">
        <w:t xml:space="preserve"> </w:t>
      </w:r>
      <w:r w:rsidR="00927CE5">
        <w:t>if stories</w:t>
      </w:r>
      <w:r w:rsidR="009B5ABB">
        <w:t xml:space="preserve"> of the Talmud can be believed, is that a </w:t>
      </w:r>
      <w:r w:rsidR="00850EC1">
        <w:t xml:space="preserve">likely Antonius wished to gain information regarding the </w:t>
      </w:r>
      <w:r w:rsidR="007F7857">
        <w:t>bible from the rabbi</w:t>
      </w:r>
      <w:r w:rsidR="00E83282">
        <w:t xml:space="preserve">, Wallach </w:t>
      </w:r>
      <w:r w:rsidR="007F5C43">
        <w:t>believes</w:t>
      </w:r>
      <w:r w:rsidR="00E83282">
        <w:t xml:space="preserve"> the king pleased with the </w:t>
      </w:r>
      <w:r w:rsidR="00344473">
        <w:t>rabbi’s</w:t>
      </w:r>
      <w:r w:rsidR="00E83282">
        <w:t xml:space="preserve"> wisdom may have been a proselyte</w:t>
      </w:r>
      <w:r w:rsidR="006B1037">
        <w:rPr>
          <w:rStyle w:val="FootnoteReference"/>
        </w:rPr>
        <w:footnoteReference w:id="17"/>
      </w:r>
      <w:r w:rsidR="006B1037">
        <w:t xml:space="preserve">. While the notion of a proselyte king is interesting, evidence </w:t>
      </w:r>
      <w:r w:rsidR="00344473">
        <w:t xml:space="preserve">of </w:t>
      </w:r>
      <w:r w:rsidR="00243656">
        <w:t>Roman</w:t>
      </w:r>
      <w:r w:rsidR="00344473">
        <w:t xml:space="preserve"> influence on Jewish belie</w:t>
      </w:r>
      <w:r w:rsidR="00C40920">
        <w:t>fs is more probable. For instance, the 3</w:t>
      </w:r>
      <w:r w:rsidR="00C40920" w:rsidRPr="00C40920">
        <w:rPr>
          <w:vertAlign w:val="superscript"/>
        </w:rPr>
        <w:t>rd</w:t>
      </w:r>
      <w:r w:rsidR="00C40920">
        <w:t xml:space="preserve"> century AD sees a growth in sun worship in Sepphoris</w:t>
      </w:r>
      <w:r w:rsidR="00770117">
        <w:rPr>
          <w:rStyle w:val="FootnoteReference"/>
        </w:rPr>
        <w:footnoteReference w:id="18"/>
      </w:r>
      <w:r w:rsidR="00956EBC">
        <w:t xml:space="preserve">. Though it may be </w:t>
      </w:r>
      <w:r w:rsidR="00DE5BAB">
        <w:t xml:space="preserve">an impact of either the </w:t>
      </w:r>
      <w:r w:rsidR="00243656">
        <w:t>Roman</w:t>
      </w:r>
      <w:r w:rsidR="00DE5BAB">
        <w:t xml:space="preserve"> empire or </w:t>
      </w:r>
      <w:r w:rsidR="00C568D4">
        <w:t>an influence from the east</w:t>
      </w:r>
      <w:r w:rsidR="00FD7D7D">
        <w:t>,</w:t>
      </w:r>
      <w:r w:rsidR="001D1677">
        <w:t xml:space="preserve"> </w:t>
      </w:r>
      <w:r w:rsidR="00FD7D7D">
        <w:t xml:space="preserve">such as the </w:t>
      </w:r>
      <w:r w:rsidR="007F5C43">
        <w:t>Mithras</w:t>
      </w:r>
      <w:r w:rsidR="00C568D4">
        <w:t xml:space="preserve">, what is interesting is the sudden acceptance of a pagan </w:t>
      </w:r>
      <w:r w:rsidR="00CD3DC5">
        <w:t>god in a rigid Jewish belief system.</w:t>
      </w:r>
      <w:r w:rsidR="001D1677">
        <w:t xml:space="preserve"> While Miller </w:t>
      </w:r>
      <w:r w:rsidR="00C0331A">
        <w:t xml:space="preserve">claims that sun worship may have </w:t>
      </w:r>
      <w:r w:rsidR="00CA4787">
        <w:t>been an integral part of the Jewish society even in the time of Enoch</w:t>
      </w:r>
      <w:r w:rsidR="002A5729">
        <w:t xml:space="preserve">, </w:t>
      </w:r>
      <w:r w:rsidR="00050D3A">
        <w:t xml:space="preserve">physical </w:t>
      </w:r>
      <w:r w:rsidR="00776793">
        <w:t xml:space="preserve">evidence </w:t>
      </w:r>
      <w:r w:rsidR="00313A50">
        <w:t>for it</w:t>
      </w:r>
      <w:r w:rsidR="001A143C">
        <w:t xml:space="preserve"> remains </w:t>
      </w:r>
      <w:r w:rsidR="00313A50">
        <w:t>minimum.</w:t>
      </w:r>
      <w:r w:rsidR="00901C48">
        <w:t xml:space="preserve"> Roussin </w:t>
      </w:r>
      <w:r w:rsidR="00AC03FF">
        <w:t>narrates a story from the Babylonian Talmud (Shabbat 156b)</w:t>
      </w:r>
      <w:r w:rsidR="00490E65">
        <w:t xml:space="preserve"> where two rabbis</w:t>
      </w:r>
      <w:r w:rsidR="001116CE">
        <w:t>, Hanina and Yohanan,</w:t>
      </w:r>
      <w:r w:rsidR="00490E65">
        <w:t xml:space="preserve"> debate on the importance of astrology as a Jewish belief</w:t>
      </w:r>
      <w:r w:rsidR="00E76A0A">
        <w:rPr>
          <w:rStyle w:val="FootnoteReference"/>
        </w:rPr>
        <w:footnoteReference w:id="19"/>
      </w:r>
      <w:r w:rsidR="00490E65">
        <w:t xml:space="preserve">. </w:t>
      </w:r>
      <w:r w:rsidR="00395829">
        <w:t xml:space="preserve">What interests me </w:t>
      </w:r>
      <w:r w:rsidR="00D14E32">
        <w:t xml:space="preserve">are the two rabbis in the context. While </w:t>
      </w:r>
      <w:r w:rsidR="001116CE">
        <w:t>Rabbi Hanina</w:t>
      </w:r>
      <w:r w:rsidR="00D14E32">
        <w:t xml:space="preserve"> </w:t>
      </w:r>
      <w:r w:rsidR="00616DA0">
        <w:t xml:space="preserve">is mentioned to have studied under Rabbi Judah HaNasi, the other </w:t>
      </w:r>
      <w:r w:rsidR="00DD5ED9">
        <w:t xml:space="preserve">is rabbi a couple decades after. </w:t>
      </w:r>
      <w:r w:rsidR="002D23D8">
        <w:t xml:space="preserve">It can be assumed that the reason for </w:t>
      </w:r>
      <w:r w:rsidR="007C085C">
        <w:t xml:space="preserve">Rabbi Hanina’s pro-sun worship stance may have been influenced by a teacher who </w:t>
      </w:r>
      <w:r w:rsidR="00A958AB">
        <w:t xml:space="preserve">had learnt to accept </w:t>
      </w:r>
      <w:r w:rsidR="005A2AE4">
        <w:t xml:space="preserve">pagan ideologies due to his friendship with the </w:t>
      </w:r>
      <w:r w:rsidR="00243656">
        <w:t>Roman</w:t>
      </w:r>
      <w:r w:rsidR="005A2AE4">
        <w:t xml:space="preserve"> ruler. </w:t>
      </w:r>
      <w:r w:rsidR="00405D7C">
        <w:t xml:space="preserve">While the </w:t>
      </w:r>
      <w:r w:rsidR="00FD47D1">
        <w:t xml:space="preserve">Sepphoris </w:t>
      </w:r>
      <w:r w:rsidR="000F22D5">
        <w:t xml:space="preserve">synagogue mosaic may have been built a few centuries later, </w:t>
      </w:r>
      <w:r w:rsidR="001D2E57">
        <w:t>Roussin points out synagogues in Switzerland and Germany built during the 3</w:t>
      </w:r>
      <w:r w:rsidR="001D2E57" w:rsidRPr="001D2E57">
        <w:rPr>
          <w:vertAlign w:val="superscript"/>
        </w:rPr>
        <w:t>rd</w:t>
      </w:r>
      <w:r w:rsidR="001D2E57">
        <w:t xml:space="preserve"> century that </w:t>
      </w:r>
      <w:r w:rsidR="000E432C">
        <w:t>contain the image of Helios in the zodiac.</w:t>
      </w:r>
    </w:p>
    <w:p w14:paraId="10328168" w14:textId="6C79B838" w:rsidR="00BC1C7B" w:rsidRDefault="00D71261" w:rsidP="2109BAA8">
      <w:r>
        <w:t>The Dionysian Mosaic</w:t>
      </w:r>
    </w:p>
    <w:p w14:paraId="149D3F9F" w14:textId="227C5418" w:rsidR="00D71261" w:rsidRDefault="00665424" w:rsidP="2109BAA8">
      <w:r>
        <w:t>To understand the importance of the Dionysian</w:t>
      </w:r>
      <w:r w:rsidR="00C02BFB">
        <w:t xml:space="preserve"> mosaic</w:t>
      </w:r>
      <w:r w:rsidR="00242809">
        <w:t>,</w:t>
      </w:r>
      <w:r w:rsidR="00C02BFB">
        <w:t xml:space="preserve"> it is important the impact of Dionys</w:t>
      </w:r>
      <w:r w:rsidR="00416708">
        <w:t xml:space="preserve">us in </w:t>
      </w:r>
      <w:r w:rsidR="00243656">
        <w:t>Roman</w:t>
      </w:r>
      <w:r w:rsidR="00416708">
        <w:t xml:space="preserve"> Palestine. In his article, Belayche states how important </w:t>
      </w:r>
      <w:r w:rsidR="00455B3D">
        <w:t>Dionysus had grown in the city of Scythopolis</w:t>
      </w:r>
      <w:r w:rsidR="00CF0248">
        <w:t>, which was not too far from Galilee. He states the reason for the Scythians to chose Di</w:t>
      </w:r>
      <w:r w:rsidR="002E29AA">
        <w:t xml:space="preserve">onysus in its foundation myths </w:t>
      </w:r>
      <w:r w:rsidR="007B6925">
        <w:t xml:space="preserve">as it linked them to a triumphal Greek tradition and confirmed their </w:t>
      </w:r>
      <w:r w:rsidR="007B6925">
        <w:lastRenderedPageBreak/>
        <w:t xml:space="preserve">loyalty </w:t>
      </w:r>
      <w:r w:rsidR="004C00CE">
        <w:t xml:space="preserve">to the </w:t>
      </w:r>
      <w:r w:rsidR="00243656">
        <w:t>Roman</w:t>
      </w:r>
      <w:r w:rsidR="004C00CE">
        <w:t xml:space="preserve"> empire</w:t>
      </w:r>
      <w:r w:rsidR="004C00CE">
        <w:rPr>
          <w:rStyle w:val="FootnoteReference"/>
        </w:rPr>
        <w:footnoteReference w:id="20"/>
      </w:r>
      <w:r w:rsidR="00B81AA4">
        <w:t xml:space="preserve">. </w:t>
      </w:r>
      <w:r w:rsidR="00D53B15">
        <w:t xml:space="preserve">The </w:t>
      </w:r>
      <w:r w:rsidR="00105274">
        <w:t xml:space="preserve">mosaic in the </w:t>
      </w:r>
      <w:r w:rsidR="00D53B15">
        <w:t xml:space="preserve">house of Dionysus shows a </w:t>
      </w:r>
      <w:r w:rsidR="00105274">
        <w:t>drinking contest between Herakles and Dionysus, which is won by Dionysus</w:t>
      </w:r>
      <w:r w:rsidR="009138F4">
        <w:t xml:space="preserve">. </w:t>
      </w:r>
      <w:r w:rsidR="00B81AA4">
        <w:t>While Belayche states that the</w:t>
      </w:r>
      <w:r w:rsidR="00AE38B8">
        <w:t xml:space="preserve"> proximity of the </w:t>
      </w:r>
      <w:r w:rsidR="00243656">
        <w:t>Roman</w:t>
      </w:r>
      <w:r w:rsidR="00AE38B8">
        <w:t xml:space="preserve"> theatre to the </w:t>
      </w:r>
      <w:r w:rsidR="00B40C3F">
        <w:t xml:space="preserve">villa may have led to </w:t>
      </w:r>
      <w:r w:rsidR="00243656">
        <w:t>Roman</w:t>
      </w:r>
      <w:r w:rsidR="00B40C3F">
        <w:t xml:space="preserve"> actor habiting the place</w:t>
      </w:r>
      <w:r w:rsidR="00F40B21">
        <w:t xml:space="preserve">, the habitants of the villa is still a </w:t>
      </w:r>
      <w:r w:rsidR="003B14FF">
        <w:t>topic of debate.</w:t>
      </w:r>
      <w:r w:rsidR="008C2C91">
        <w:t xml:space="preserve"> The development of the Nysae</w:t>
      </w:r>
      <w:r w:rsidR="00CA39BE">
        <w:t>an tradition under the Ant</w:t>
      </w:r>
      <w:r w:rsidR="008E0CF2">
        <w:t xml:space="preserve">onines who were worshipped as </w:t>
      </w:r>
      <w:r w:rsidR="00F607BE" w:rsidRPr="00F607BE">
        <w:t>Νέοι</w:t>
      </w:r>
      <w:r w:rsidR="00E7780D">
        <w:t xml:space="preserve"> </w:t>
      </w:r>
      <w:r w:rsidR="00E7780D" w:rsidRPr="00E7780D">
        <w:t>Διονύσου</w:t>
      </w:r>
      <w:r w:rsidR="003C3AC5">
        <w:t xml:space="preserve">, this along with the friendship of an Antonius with the Rabbi Judah HaNasi </w:t>
      </w:r>
      <w:r w:rsidR="00741191">
        <w:t>may explain the Dionysus mosaic in Sepphoris.</w:t>
      </w:r>
      <w:r w:rsidR="001A5032">
        <w:t xml:space="preserve"> </w:t>
      </w:r>
      <w:r w:rsidR="001103F6">
        <w:t xml:space="preserve">In his article, </w:t>
      </w:r>
      <w:r w:rsidR="001A5032">
        <w:t xml:space="preserve">Klien studies the architectural </w:t>
      </w:r>
      <w:r w:rsidR="001103F6">
        <w:t>influence</w:t>
      </w:r>
      <w:r w:rsidR="00BB5223">
        <w:t>s of Greco-</w:t>
      </w:r>
      <w:r w:rsidR="00243656">
        <w:t>Roman</w:t>
      </w:r>
      <w:r w:rsidR="00BB5223">
        <w:t xml:space="preserve"> lifestyle in the Dionysian villa.</w:t>
      </w:r>
      <w:r w:rsidR="00A7778A">
        <w:t xml:space="preserve"> He states that the triclinia </w:t>
      </w:r>
      <w:r w:rsidR="000638DD">
        <w:t xml:space="preserve">may have been influence by the </w:t>
      </w:r>
      <w:r w:rsidR="00243656">
        <w:t>Roman</w:t>
      </w:r>
      <w:r w:rsidR="000638DD">
        <w:t xml:space="preserve"> convivium or the Greek symposium as </w:t>
      </w:r>
      <w:r w:rsidR="00E9404B">
        <w:t>a place of study, dining and socializing.</w:t>
      </w:r>
      <w:r w:rsidR="00C047A6">
        <w:t xml:space="preserve"> </w:t>
      </w:r>
      <w:r w:rsidR="00D91217">
        <w:t xml:space="preserve">He </w:t>
      </w:r>
      <w:r w:rsidR="00B01498">
        <w:t>write</w:t>
      </w:r>
      <w:r w:rsidR="00D91217">
        <w:t>s that not only w</w:t>
      </w:r>
      <w:r w:rsidR="006907BC">
        <w:t>ere</w:t>
      </w:r>
      <w:r w:rsidR="00D91217">
        <w:t xml:space="preserve"> the architectural </w:t>
      </w:r>
      <w:r w:rsidR="006907BC">
        <w:t>elements duplicated</w:t>
      </w:r>
      <w:r w:rsidR="005F0520">
        <w:t xml:space="preserve"> represent a typical </w:t>
      </w:r>
      <w:r w:rsidR="00243656">
        <w:t>Roman</w:t>
      </w:r>
      <w:r w:rsidR="005F0520">
        <w:t xml:space="preserve"> domus</w:t>
      </w:r>
      <w:r w:rsidR="005C615C">
        <w:rPr>
          <w:rStyle w:val="FootnoteReference"/>
        </w:rPr>
        <w:footnoteReference w:id="21"/>
      </w:r>
      <w:r w:rsidR="006907BC">
        <w:t xml:space="preserve"> but the hierarchical system of the </w:t>
      </w:r>
      <w:r w:rsidR="00243656">
        <w:t>Roman</w:t>
      </w:r>
      <w:r w:rsidR="006907BC">
        <w:t xml:space="preserve"> convivium </w:t>
      </w:r>
      <w:r w:rsidR="00193084">
        <w:t>is witnessed in the tricl</w:t>
      </w:r>
      <w:r w:rsidR="007E0DE6">
        <w:t xml:space="preserve">inia </w:t>
      </w:r>
      <w:r w:rsidR="00EA7566">
        <w:t>such as its pi</w:t>
      </w:r>
      <w:r w:rsidR="00DD5976">
        <w:t>-shaped layout and three couches</w:t>
      </w:r>
      <w:r w:rsidR="00017C71">
        <w:t>.</w:t>
      </w:r>
      <w:r w:rsidR="00701846">
        <w:t xml:space="preserve"> </w:t>
      </w:r>
      <w:r w:rsidR="00B75BCB">
        <w:t xml:space="preserve">He notes the filtering of the entry process </w:t>
      </w:r>
      <w:r w:rsidR="000B4F06">
        <w:t xml:space="preserve">as a distinct </w:t>
      </w:r>
      <w:r w:rsidR="00243656">
        <w:t>Roman</w:t>
      </w:r>
      <w:r w:rsidR="000B4F06">
        <w:t xml:space="preserve"> characteristic</w:t>
      </w:r>
      <w:r w:rsidR="000B4F06">
        <w:rPr>
          <w:rStyle w:val="FootnoteReference"/>
        </w:rPr>
        <w:footnoteReference w:id="22"/>
      </w:r>
      <w:r w:rsidR="000B4F06">
        <w:t xml:space="preserve">. </w:t>
      </w:r>
      <w:r w:rsidR="00701846">
        <w:t xml:space="preserve">Unlike </w:t>
      </w:r>
      <w:r w:rsidR="00A34006">
        <w:t>Belayche, Klien consider</w:t>
      </w:r>
      <w:r w:rsidR="00EF4F54">
        <w:t>s the location</w:t>
      </w:r>
      <w:r w:rsidR="003C7044">
        <w:t>, stating that it is at a central and domestic</w:t>
      </w:r>
      <w:r w:rsidR="00092F8D">
        <w:t xml:space="preserve"> area,</w:t>
      </w:r>
      <w:r w:rsidR="00EF4F54">
        <w:t xml:space="preserve"> and style of the villa and </w:t>
      </w:r>
      <w:r w:rsidR="001758D6">
        <w:t>forms an opinion that the house may have been a rabbi</w:t>
      </w:r>
      <w:r w:rsidR="00AA08E0">
        <w:t>’</w:t>
      </w:r>
      <w:r w:rsidR="001758D6">
        <w:t>s,</w:t>
      </w:r>
      <w:r w:rsidR="00EB554D">
        <w:t xml:space="preserve"> probably Rabbi Judah Hanasi.</w:t>
      </w:r>
      <w:r w:rsidR="00AA08E0">
        <w:t xml:space="preserve"> </w:t>
      </w:r>
    </w:p>
    <w:p w14:paraId="64585B34" w14:textId="16B2F25D" w:rsidR="00653996" w:rsidRDefault="00653996" w:rsidP="2109BAA8">
      <w:r>
        <w:t xml:space="preserve">Another aspect in demonstrating </w:t>
      </w:r>
      <w:r w:rsidR="00243656">
        <w:t>Roman</w:t>
      </w:r>
      <w:r>
        <w:t xml:space="preserve"> influence in Sepphoris</w:t>
      </w:r>
      <w:r w:rsidR="00A7159C">
        <w:t xml:space="preserve"> is ironically the lack of physical evidence in the </w:t>
      </w:r>
      <w:r w:rsidR="008549D5">
        <w:t>3</w:t>
      </w:r>
      <w:r w:rsidR="008549D5" w:rsidRPr="008549D5">
        <w:rPr>
          <w:vertAlign w:val="superscript"/>
        </w:rPr>
        <w:t>rd</w:t>
      </w:r>
      <w:r w:rsidR="008549D5">
        <w:t xml:space="preserve"> century. As we have read Sepphoris was a city of an elite </w:t>
      </w:r>
      <w:r w:rsidR="0001409C">
        <w:t xml:space="preserve">and religious group of people widely influenced by the </w:t>
      </w:r>
      <w:r w:rsidR="00243656">
        <w:t>Romans</w:t>
      </w:r>
      <w:r w:rsidR="0001409C">
        <w:t xml:space="preserve">, yet the lack of synagogues </w:t>
      </w:r>
      <w:r w:rsidR="005418DC">
        <w:t>during this period is astounding. According to Chancey and Porter</w:t>
      </w:r>
      <w:r w:rsidR="00242809">
        <w:t>,</w:t>
      </w:r>
      <w:bookmarkStart w:id="1" w:name="_GoBack"/>
      <w:bookmarkEnd w:id="1"/>
      <w:r w:rsidR="005418DC">
        <w:t xml:space="preserve"> there was a growth of synagogues i</w:t>
      </w:r>
      <w:r w:rsidR="00361F3C">
        <w:t xml:space="preserve">n upper Galilee which mainly remained isolated from </w:t>
      </w:r>
      <w:r w:rsidR="00243656">
        <w:t>Roman</w:t>
      </w:r>
      <w:r w:rsidR="00361F3C">
        <w:t xml:space="preserve"> </w:t>
      </w:r>
      <w:r w:rsidR="006F3ACB">
        <w:t>influence</w:t>
      </w:r>
      <w:r w:rsidR="00361F3C">
        <w:t>, thus the Crisis of the 3</w:t>
      </w:r>
      <w:r w:rsidR="00361F3C" w:rsidRPr="00361F3C">
        <w:rPr>
          <w:vertAlign w:val="superscript"/>
        </w:rPr>
        <w:t>rd</w:t>
      </w:r>
      <w:r w:rsidR="00361F3C">
        <w:t xml:space="preserve"> century </w:t>
      </w:r>
      <w:r w:rsidR="00EF0FA0">
        <w:t xml:space="preserve">that affected Rome reflected on the </w:t>
      </w:r>
      <w:r w:rsidR="00243656">
        <w:t>Roman</w:t>
      </w:r>
      <w:r w:rsidR="00EF0FA0">
        <w:t xml:space="preserve"> Sepphoris th</w:t>
      </w:r>
      <w:r w:rsidR="00C87925">
        <w:t xml:space="preserve">an it did for areas outside </w:t>
      </w:r>
      <w:r w:rsidR="00243656">
        <w:t>Roman</w:t>
      </w:r>
      <w:r w:rsidR="00C87925">
        <w:t xml:space="preserve"> influence. Lieberman states that some scholars believe that during this time</w:t>
      </w:r>
      <w:r w:rsidR="00DB2887">
        <w:t xml:space="preserve"> Jewish religion was once again under persecution</w:t>
      </w:r>
      <w:r w:rsidR="00DB2887">
        <w:rPr>
          <w:rStyle w:val="FootnoteReference"/>
        </w:rPr>
        <w:footnoteReference w:id="23"/>
      </w:r>
      <w:r w:rsidR="00DB2887">
        <w:t>.</w:t>
      </w:r>
      <w:r w:rsidR="00E539E2">
        <w:t xml:space="preserve"> There remains no strong evidence to back such a claim</w:t>
      </w:r>
      <w:r w:rsidR="00917725">
        <w:t xml:space="preserve">. Even so, Lieberman notes that the rabbis did complain </w:t>
      </w:r>
      <w:r w:rsidR="0000156D">
        <w:t xml:space="preserve">against the </w:t>
      </w:r>
      <w:r w:rsidR="00243656">
        <w:t>Romans</w:t>
      </w:r>
      <w:r w:rsidR="0000156D">
        <w:t xml:space="preserve"> as oppressed citizens due to the taxes levied on them </w:t>
      </w:r>
      <w:r w:rsidR="0047154A">
        <w:t>in the mid-3</w:t>
      </w:r>
      <w:r w:rsidR="0047154A" w:rsidRPr="0047154A">
        <w:rPr>
          <w:vertAlign w:val="superscript"/>
        </w:rPr>
        <w:t>rd</w:t>
      </w:r>
      <w:r w:rsidR="0047154A">
        <w:t xml:space="preserve"> century</w:t>
      </w:r>
      <w:r w:rsidR="00FE722C">
        <w:rPr>
          <w:rStyle w:val="FootnoteReference"/>
        </w:rPr>
        <w:footnoteReference w:id="24"/>
      </w:r>
      <w:r w:rsidR="0047154A">
        <w:t>.</w:t>
      </w:r>
    </w:p>
    <w:p w14:paraId="049CC009" w14:textId="0B5B3316" w:rsidR="000E5E49" w:rsidRDefault="004F525A" w:rsidP="2109BAA8">
      <w:r>
        <w:t xml:space="preserve">In sum, </w:t>
      </w:r>
      <w:r w:rsidR="00243656">
        <w:t>Roman</w:t>
      </w:r>
      <w:r w:rsidR="00CB6B9C">
        <w:t xml:space="preserve"> influence and pertinence </w:t>
      </w:r>
      <w:r w:rsidR="00243656">
        <w:t>are</w:t>
      </w:r>
      <w:r w:rsidR="00CB6B9C">
        <w:t xml:space="preserve"> highly visible in </w:t>
      </w:r>
      <w:r w:rsidR="00243656">
        <w:t xml:space="preserve">the </w:t>
      </w:r>
      <w:r w:rsidR="0032059D">
        <w:t>Jewish community of Sepphoris during the 1</w:t>
      </w:r>
      <w:r w:rsidR="0032059D" w:rsidRPr="0032059D">
        <w:rPr>
          <w:vertAlign w:val="superscript"/>
        </w:rPr>
        <w:t>st</w:t>
      </w:r>
      <w:r w:rsidR="009D6509">
        <w:t>- 3</w:t>
      </w:r>
      <w:r w:rsidR="009D6509" w:rsidRPr="009D6509">
        <w:rPr>
          <w:vertAlign w:val="superscript"/>
        </w:rPr>
        <w:t>rd</w:t>
      </w:r>
      <w:r w:rsidR="009D6509">
        <w:t xml:space="preserve"> century AD. </w:t>
      </w:r>
      <w:r w:rsidR="007252C8">
        <w:t>In</w:t>
      </w:r>
      <w:r w:rsidR="002F2DC8">
        <w:t xml:space="preserve"> </w:t>
      </w:r>
      <w:r w:rsidR="006F3ACB">
        <w:t>fact,</w:t>
      </w:r>
      <w:r w:rsidR="007252C8">
        <w:t xml:space="preserve"> Kaplan claims that the </w:t>
      </w:r>
      <w:r w:rsidR="00243656">
        <w:t>Romans</w:t>
      </w:r>
      <w:r w:rsidR="007252C8">
        <w:t xml:space="preserve"> </w:t>
      </w:r>
      <w:r w:rsidR="00D551D6">
        <w:t xml:space="preserve">first influenced the Jewish community in </w:t>
      </w:r>
      <w:r w:rsidR="00C37306">
        <w:t>63 BC when Pompey chose to side with Hyr</w:t>
      </w:r>
      <w:r w:rsidR="003E5207">
        <w:t>canus II who was supported by the Pharisees</w:t>
      </w:r>
      <w:r w:rsidR="003E5207">
        <w:rPr>
          <w:rStyle w:val="FootnoteReference"/>
        </w:rPr>
        <w:footnoteReference w:id="25"/>
      </w:r>
      <w:r w:rsidR="003E5207">
        <w:t xml:space="preserve">. This act </w:t>
      </w:r>
      <w:r w:rsidR="00F86C2C">
        <w:t xml:space="preserve">led to the domination of the Pharisees after the destruction of the </w:t>
      </w:r>
      <w:r w:rsidR="005A6E8E">
        <w:t xml:space="preserve">Second Temple in 70 AD, and rabbinic literature </w:t>
      </w:r>
      <w:r w:rsidR="0091365A">
        <w:t xml:space="preserve">ultimately was created by them. </w:t>
      </w:r>
      <w:r w:rsidR="008F7D53">
        <w:t xml:space="preserve">Judaism in </w:t>
      </w:r>
      <w:r w:rsidR="00DC5547">
        <w:t>Sepphoris</w:t>
      </w:r>
      <w:r w:rsidR="008F7D53">
        <w:t xml:space="preserve"> continued to </w:t>
      </w:r>
      <w:r w:rsidR="00CC3BB4">
        <w:t xml:space="preserve">thrive as witnessed by the Sepphoris synagogue </w:t>
      </w:r>
      <w:r w:rsidR="006F2817">
        <w:t>that was formed in the 5</w:t>
      </w:r>
      <w:r w:rsidR="006F2817" w:rsidRPr="006F2817">
        <w:rPr>
          <w:vertAlign w:val="superscript"/>
        </w:rPr>
        <w:t>th</w:t>
      </w:r>
      <w:r w:rsidR="006F2817">
        <w:t xml:space="preserve"> Century</w:t>
      </w:r>
      <w:r w:rsidR="007C2572">
        <w:t xml:space="preserve">. The province of Syria- Palestine though </w:t>
      </w:r>
      <w:r w:rsidR="00786911">
        <w:t xml:space="preserve">dynamic and </w:t>
      </w:r>
      <w:r w:rsidR="007C2D5A">
        <w:t xml:space="preserve">ever changing </w:t>
      </w:r>
      <w:r w:rsidR="0044555C">
        <w:t xml:space="preserve">between the </w:t>
      </w:r>
      <w:r w:rsidR="00B91CA6">
        <w:t xml:space="preserve">centuries provided an environment </w:t>
      </w:r>
      <w:r w:rsidR="008D0179">
        <w:t>where</w:t>
      </w:r>
      <w:r w:rsidR="00AF5624">
        <w:t xml:space="preserve"> </w:t>
      </w:r>
      <w:r w:rsidR="008D0179">
        <w:t>cultures</w:t>
      </w:r>
      <w:r w:rsidR="002E52E8">
        <w:t xml:space="preserve"> with strong religious identities</w:t>
      </w:r>
      <w:r w:rsidR="008D0179">
        <w:t xml:space="preserve"> clashed and </w:t>
      </w:r>
      <w:r w:rsidR="002E52E8">
        <w:t xml:space="preserve">evolved </w:t>
      </w:r>
      <w:r w:rsidR="009F740E">
        <w:t>over the centuries. While paganism gradually declined</w:t>
      </w:r>
      <w:r w:rsidR="00F52D4C">
        <w:t xml:space="preserve">, Judaism and Christianity founded their roots in the cities of the </w:t>
      </w:r>
      <w:r w:rsidR="00243656">
        <w:t>Roman</w:t>
      </w:r>
      <w:r w:rsidR="00F52D4C">
        <w:t xml:space="preserve"> east.</w:t>
      </w:r>
    </w:p>
    <w:p w14:paraId="3B8F11BD" w14:textId="7AA86509" w:rsidR="00AF5624" w:rsidRDefault="00AF5624" w:rsidP="2109BAA8"/>
    <w:p w14:paraId="29390142" w14:textId="0AF2058A" w:rsidR="00AF5624" w:rsidRDefault="00AF5624" w:rsidP="2109BAA8"/>
    <w:p w14:paraId="01CB3A55" w14:textId="6C896F05" w:rsidR="00AF5624" w:rsidRDefault="00AF5624" w:rsidP="2109BAA8"/>
    <w:p w14:paraId="6F751019" w14:textId="78F7749B" w:rsidR="00AF5624" w:rsidRDefault="00AF5624" w:rsidP="2109BAA8"/>
    <w:p w14:paraId="4841634E" w14:textId="289B7C69" w:rsidR="00AF5624" w:rsidRPr="00C1498F" w:rsidRDefault="00AF5624" w:rsidP="2109BAA8">
      <w:pPr>
        <w:rPr>
          <w:b/>
        </w:rPr>
      </w:pPr>
      <w:r w:rsidRPr="00C1498F">
        <w:rPr>
          <w:b/>
        </w:rPr>
        <w:t>Bibliography:</w:t>
      </w:r>
    </w:p>
    <w:p w14:paraId="3F0F1E99" w14:textId="2BDDC3B6" w:rsidR="00243832" w:rsidRDefault="003E667B" w:rsidP="001A3499">
      <w:pPr>
        <w:pStyle w:val="Heading1"/>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Josephus, F. and Whiston, W. (1912). </w:t>
      </w:r>
      <w:r w:rsidRPr="001A3499">
        <w:rPr>
          <w:rFonts w:ascii="Times New Roman" w:hAnsi="Times New Roman" w:cs="Times New Roman"/>
          <w:i/>
          <w:iCs/>
          <w:color w:val="000000" w:themeColor="text1"/>
          <w:sz w:val="24"/>
          <w:szCs w:val="24"/>
        </w:rPr>
        <w:t>The works of Flavius Josephus</w:t>
      </w:r>
      <w:r w:rsidRPr="001A3499">
        <w:rPr>
          <w:rFonts w:ascii="Times New Roman" w:hAnsi="Times New Roman" w:cs="Times New Roman"/>
          <w:color w:val="000000" w:themeColor="text1"/>
          <w:sz w:val="24"/>
          <w:szCs w:val="24"/>
        </w:rPr>
        <w:t xml:space="preserve">. London: </w:t>
      </w:r>
      <w:proofErr w:type="spellStart"/>
      <w:r w:rsidRPr="001A3499">
        <w:rPr>
          <w:rFonts w:ascii="Times New Roman" w:hAnsi="Times New Roman" w:cs="Times New Roman"/>
          <w:color w:val="000000" w:themeColor="text1"/>
          <w:sz w:val="24"/>
          <w:szCs w:val="24"/>
        </w:rPr>
        <w:t>Chatto</w:t>
      </w:r>
      <w:proofErr w:type="spellEnd"/>
      <w:r w:rsidRPr="001A3499">
        <w:rPr>
          <w:rFonts w:ascii="Times New Roman" w:hAnsi="Times New Roman" w:cs="Times New Roman"/>
          <w:color w:val="000000" w:themeColor="text1"/>
          <w:sz w:val="24"/>
          <w:szCs w:val="24"/>
        </w:rPr>
        <w:t xml:space="preserve"> &amp; </w:t>
      </w:r>
      <w:proofErr w:type="spellStart"/>
      <w:r w:rsidRPr="001A3499">
        <w:rPr>
          <w:rFonts w:ascii="Times New Roman" w:hAnsi="Times New Roman" w:cs="Times New Roman"/>
          <w:color w:val="000000" w:themeColor="text1"/>
          <w:sz w:val="24"/>
          <w:szCs w:val="24"/>
        </w:rPr>
        <w:t>Windus</w:t>
      </w:r>
      <w:proofErr w:type="spellEnd"/>
      <w:r w:rsidRPr="001A3499">
        <w:rPr>
          <w:rFonts w:ascii="Times New Roman" w:hAnsi="Times New Roman" w:cs="Times New Roman"/>
          <w:color w:val="000000" w:themeColor="text1"/>
          <w:sz w:val="24"/>
          <w:szCs w:val="24"/>
        </w:rPr>
        <w:t>.</w:t>
      </w:r>
    </w:p>
    <w:p w14:paraId="75A9E771" w14:textId="77777777" w:rsidR="001A3499" w:rsidRPr="001A3499" w:rsidRDefault="001A3499" w:rsidP="001A3499">
      <w:pPr>
        <w:rPr>
          <w:lang w:val="en-US"/>
        </w:rPr>
      </w:pPr>
    </w:p>
    <w:p w14:paraId="08464468" w14:textId="6DBE31C1" w:rsidR="00243832" w:rsidRPr="001A3499" w:rsidRDefault="00243832" w:rsidP="00243832">
      <w:pPr>
        <w:rPr>
          <w:rFonts w:ascii="Times New Roman" w:hAnsi="Times New Roman" w:cs="Times New Roman"/>
          <w:color w:val="000000" w:themeColor="text1"/>
          <w:sz w:val="24"/>
          <w:szCs w:val="24"/>
          <w:lang w:val="en-US"/>
        </w:rPr>
      </w:pPr>
      <w:proofErr w:type="spellStart"/>
      <w:r w:rsidRPr="001A3499">
        <w:rPr>
          <w:rFonts w:ascii="Times New Roman" w:hAnsi="Times New Roman" w:cs="Times New Roman"/>
          <w:color w:val="000000" w:themeColor="text1"/>
          <w:sz w:val="24"/>
          <w:szCs w:val="24"/>
          <w:lang w:val="en-US"/>
        </w:rPr>
        <w:t>Belayche</w:t>
      </w:r>
      <w:proofErr w:type="spellEnd"/>
      <w:r w:rsidR="00692983" w:rsidRPr="001A3499">
        <w:rPr>
          <w:rFonts w:ascii="Times New Roman" w:hAnsi="Times New Roman" w:cs="Times New Roman"/>
          <w:color w:val="000000" w:themeColor="text1"/>
          <w:sz w:val="24"/>
          <w:szCs w:val="24"/>
          <w:lang w:val="en-US"/>
        </w:rPr>
        <w:t xml:space="preserve">, N (2009). </w:t>
      </w:r>
      <w:r w:rsidRPr="001A3499">
        <w:rPr>
          <w:rFonts w:ascii="Times New Roman" w:hAnsi="Times New Roman" w:cs="Times New Roman"/>
          <w:color w:val="000000" w:themeColor="text1"/>
          <w:sz w:val="24"/>
          <w:szCs w:val="24"/>
          <w:lang w:val="en-US"/>
        </w:rPr>
        <w:t xml:space="preserve">Foundation myths in </w:t>
      </w:r>
      <w:r w:rsidR="00243656">
        <w:rPr>
          <w:rFonts w:ascii="Times New Roman" w:hAnsi="Times New Roman" w:cs="Times New Roman"/>
          <w:color w:val="000000" w:themeColor="text1"/>
          <w:sz w:val="24"/>
          <w:szCs w:val="24"/>
          <w:lang w:val="en-US"/>
        </w:rPr>
        <w:t>Roman</w:t>
      </w:r>
      <w:r w:rsidRPr="001A3499">
        <w:rPr>
          <w:rFonts w:ascii="Times New Roman" w:hAnsi="Times New Roman" w:cs="Times New Roman"/>
          <w:color w:val="000000" w:themeColor="text1"/>
          <w:sz w:val="24"/>
          <w:szCs w:val="24"/>
          <w:lang w:val="en-US"/>
        </w:rPr>
        <w:t xml:space="preserve"> Palestine. Traditions and reworkings</w:t>
      </w:r>
      <w:r w:rsidR="00692983" w:rsidRPr="001A3499">
        <w:rPr>
          <w:rFonts w:ascii="Times New Roman" w:hAnsi="Times New Roman" w:cs="Times New Roman"/>
          <w:color w:val="000000" w:themeColor="text1"/>
          <w:sz w:val="24"/>
          <w:szCs w:val="24"/>
          <w:lang w:val="en-US"/>
        </w:rPr>
        <w:t xml:space="preserve"> in</w:t>
      </w:r>
      <w:r w:rsidR="00446573" w:rsidRPr="001A3499">
        <w:rPr>
          <w:rFonts w:ascii="Times New Roman" w:hAnsi="Times New Roman" w:cs="Times New Roman"/>
          <w:color w:val="000000" w:themeColor="text1"/>
          <w:sz w:val="24"/>
          <w:szCs w:val="24"/>
          <w:lang w:val="en-US"/>
        </w:rPr>
        <w:t xml:space="preserve"> Ethnic Constructs in Antiquity</w:t>
      </w:r>
      <w:r w:rsidR="00BE1278" w:rsidRPr="001A3499">
        <w:rPr>
          <w:rFonts w:ascii="Times New Roman" w:hAnsi="Times New Roman" w:cs="Times New Roman"/>
          <w:color w:val="000000" w:themeColor="text1"/>
          <w:sz w:val="24"/>
          <w:szCs w:val="24"/>
          <w:lang w:val="en-US"/>
        </w:rPr>
        <w:t>. Amsterdam University Press</w:t>
      </w:r>
    </w:p>
    <w:p w14:paraId="0374FE20" w14:textId="52E08C93" w:rsidR="00837A5A" w:rsidRPr="001A3499" w:rsidRDefault="00243832" w:rsidP="00837A5A">
      <w:pPr>
        <w:rPr>
          <w:rFonts w:ascii="Times New Roman" w:hAnsi="Times New Roman" w:cs="Times New Roman"/>
          <w:color w:val="000000" w:themeColor="text1"/>
          <w:sz w:val="24"/>
          <w:szCs w:val="24"/>
          <w:lang w:val="en-US"/>
        </w:rPr>
      </w:pPr>
      <w:r w:rsidRPr="001A3499">
        <w:rPr>
          <w:rFonts w:ascii="Times New Roman" w:hAnsi="Times New Roman" w:cs="Times New Roman"/>
          <w:color w:val="000000" w:themeColor="text1"/>
          <w:sz w:val="24"/>
          <w:szCs w:val="24"/>
          <w:lang w:val="en-US"/>
        </w:rPr>
        <w:t xml:space="preserve"> </w:t>
      </w:r>
      <w:r w:rsidR="00FA18D1" w:rsidRPr="001A3499">
        <w:rPr>
          <w:rFonts w:ascii="Times New Roman" w:hAnsi="Times New Roman" w:cs="Times New Roman"/>
          <w:color w:val="000000" w:themeColor="text1"/>
          <w:sz w:val="24"/>
          <w:szCs w:val="24"/>
        </w:rPr>
        <w:t>Berlin, A (2012)</w:t>
      </w:r>
      <w:r w:rsidR="00DF2498" w:rsidRPr="001A3499">
        <w:rPr>
          <w:rFonts w:ascii="Times New Roman" w:hAnsi="Times New Roman" w:cs="Times New Roman"/>
          <w:color w:val="000000" w:themeColor="text1"/>
          <w:sz w:val="24"/>
          <w:szCs w:val="24"/>
        </w:rPr>
        <w:t xml:space="preserve">. Identity Politics in Early </w:t>
      </w:r>
      <w:r w:rsidR="00243656">
        <w:rPr>
          <w:rFonts w:ascii="Times New Roman" w:hAnsi="Times New Roman" w:cs="Times New Roman"/>
          <w:color w:val="000000" w:themeColor="text1"/>
          <w:sz w:val="24"/>
          <w:szCs w:val="24"/>
        </w:rPr>
        <w:t>Roman</w:t>
      </w:r>
      <w:r w:rsidR="00DF2498" w:rsidRPr="001A3499">
        <w:rPr>
          <w:rFonts w:ascii="Times New Roman" w:hAnsi="Times New Roman" w:cs="Times New Roman"/>
          <w:color w:val="000000" w:themeColor="text1"/>
          <w:sz w:val="24"/>
          <w:szCs w:val="24"/>
        </w:rPr>
        <w:t xml:space="preserve"> Galilee in </w:t>
      </w:r>
      <w:r w:rsidR="00FA18D1" w:rsidRPr="001A3499">
        <w:rPr>
          <w:rFonts w:ascii="Times New Roman" w:hAnsi="Times New Roman" w:cs="Times New Roman"/>
          <w:color w:val="000000" w:themeColor="text1"/>
          <w:sz w:val="24"/>
          <w:szCs w:val="24"/>
        </w:rPr>
        <w:t xml:space="preserve">Popović, M. </w:t>
      </w:r>
      <w:r w:rsidR="00FA18D1" w:rsidRPr="001A3499">
        <w:rPr>
          <w:rFonts w:ascii="Times New Roman" w:hAnsi="Times New Roman" w:cs="Times New Roman"/>
          <w:i/>
          <w:iCs/>
          <w:color w:val="000000" w:themeColor="text1"/>
          <w:sz w:val="24"/>
          <w:szCs w:val="24"/>
        </w:rPr>
        <w:t>The Jewish revolt against Rome</w:t>
      </w:r>
      <w:r w:rsidR="00FA18D1" w:rsidRPr="001A3499">
        <w:rPr>
          <w:rFonts w:ascii="Times New Roman" w:hAnsi="Times New Roman" w:cs="Times New Roman"/>
          <w:color w:val="000000" w:themeColor="text1"/>
          <w:sz w:val="24"/>
          <w:szCs w:val="24"/>
        </w:rPr>
        <w:t>.</w:t>
      </w:r>
    </w:p>
    <w:p w14:paraId="203A388B" w14:textId="078A6D9C" w:rsidR="00837A5A" w:rsidRPr="001A3499" w:rsidRDefault="00641B33" w:rsidP="00837A5A">
      <w:pPr>
        <w:rPr>
          <w:rFonts w:ascii="Times New Roman" w:hAnsi="Times New Roman" w:cs="Times New Roman"/>
          <w:color w:val="000000" w:themeColor="text1"/>
          <w:sz w:val="24"/>
          <w:szCs w:val="24"/>
        </w:rPr>
      </w:pPr>
      <w:proofErr w:type="spellStart"/>
      <w:r w:rsidRPr="001A3499">
        <w:rPr>
          <w:rFonts w:ascii="Times New Roman" w:hAnsi="Times New Roman" w:cs="Times New Roman"/>
          <w:color w:val="000000" w:themeColor="text1"/>
          <w:sz w:val="24"/>
          <w:szCs w:val="24"/>
        </w:rPr>
        <w:t>Bernett</w:t>
      </w:r>
      <w:proofErr w:type="spellEnd"/>
      <w:r w:rsidR="00555767" w:rsidRPr="001A3499">
        <w:rPr>
          <w:rFonts w:ascii="Times New Roman" w:hAnsi="Times New Roman" w:cs="Times New Roman"/>
          <w:color w:val="000000" w:themeColor="text1"/>
          <w:sz w:val="24"/>
          <w:szCs w:val="24"/>
        </w:rPr>
        <w:t>, M (2007). Imperial Cult in the Galilee</w:t>
      </w:r>
      <w:r w:rsidR="00123117" w:rsidRPr="001A3499">
        <w:rPr>
          <w:rFonts w:ascii="Times New Roman" w:hAnsi="Times New Roman" w:cs="Times New Roman"/>
          <w:color w:val="000000" w:themeColor="text1"/>
          <w:sz w:val="24"/>
          <w:szCs w:val="24"/>
        </w:rPr>
        <w:t xml:space="preserve">: Structures, Functions and Dynamics in </w:t>
      </w:r>
      <w:proofErr w:type="spellStart"/>
      <w:r w:rsidR="00FC2D11" w:rsidRPr="001A3499">
        <w:rPr>
          <w:rFonts w:ascii="Times New Roman" w:hAnsi="Times New Roman" w:cs="Times New Roman"/>
          <w:color w:val="000000" w:themeColor="text1"/>
          <w:sz w:val="24"/>
          <w:szCs w:val="24"/>
        </w:rPr>
        <w:t>Zangenberg</w:t>
      </w:r>
      <w:proofErr w:type="spellEnd"/>
      <w:r w:rsidR="00FC2D11" w:rsidRPr="001A3499">
        <w:rPr>
          <w:rFonts w:ascii="Times New Roman" w:hAnsi="Times New Roman" w:cs="Times New Roman"/>
          <w:color w:val="000000" w:themeColor="text1"/>
          <w:sz w:val="24"/>
          <w:szCs w:val="24"/>
        </w:rPr>
        <w:t xml:space="preserve">, J., </w:t>
      </w:r>
      <w:proofErr w:type="spellStart"/>
      <w:r w:rsidR="00FC2D11" w:rsidRPr="001A3499">
        <w:rPr>
          <w:rFonts w:ascii="Times New Roman" w:hAnsi="Times New Roman" w:cs="Times New Roman"/>
          <w:color w:val="000000" w:themeColor="text1"/>
          <w:sz w:val="24"/>
          <w:szCs w:val="24"/>
        </w:rPr>
        <w:t>Attridge</w:t>
      </w:r>
      <w:proofErr w:type="spellEnd"/>
      <w:r w:rsidR="00FC2D11" w:rsidRPr="001A3499">
        <w:rPr>
          <w:rFonts w:ascii="Times New Roman" w:hAnsi="Times New Roman" w:cs="Times New Roman"/>
          <w:color w:val="000000" w:themeColor="text1"/>
          <w:sz w:val="24"/>
          <w:szCs w:val="24"/>
        </w:rPr>
        <w:t xml:space="preserve">, H. and Martin, D. (2007). </w:t>
      </w:r>
      <w:r w:rsidR="00FC2D11" w:rsidRPr="001A3499">
        <w:rPr>
          <w:rFonts w:ascii="Times New Roman" w:hAnsi="Times New Roman" w:cs="Times New Roman"/>
          <w:i/>
          <w:iCs/>
          <w:color w:val="000000" w:themeColor="text1"/>
          <w:sz w:val="24"/>
          <w:szCs w:val="24"/>
        </w:rPr>
        <w:t>Religion, ethnicity, and identity in ancient Galilee</w:t>
      </w:r>
      <w:r w:rsidR="00FC2D11" w:rsidRPr="001A3499">
        <w:rPr>
          <w:rFonts w:ascii="Times New Roman" w:hAnsi="Times New Roman" w:cs="Times New Roman"/>
          <w:color w:val="000000" w:themeColor="text1"/>
          <w:sz w:val="24"/>
          <w:szCs w:val="24"/>
        </w:rPr>
        <w:t xml:space="preserve">. </w:t>
      </w:r>
      <w:proofErr w:type="spellStart"/>
      <w:r w:rsidR="00FC2D11" w:rsidRPr="001A3499">
        <w:rPr>
          <w:rFonts w:ascii="Times New Roman" w:hAnsi="Times New Roman" w:cs="Times New Roman"/>
          <w:color w:val="000000" w:themeColor="text1"/>
          <w:sz w:val="24"/>
          <w:szCs w:val="24"/>
        </w:rPr>
        <w:t>Tübingen</w:t>
      </w:r>
      <w:proofErr w:type="spellEnd"/>
      <w:r w:rsidR="00FC2D11" w:rsidRPr="001A3499">
        <w:rPr>
          <w:rFonts w:ascii="Times New Roman" w:hAnsi="Times New Roman" w:cs="Times New Roman"/>
          <w:color w:val="000000" w:themeColor="text1"/>
          <w:sz w:val="24"/>
          <w:szCs w:val="24"/>
        </w:rPr>
        <w:t xml:space="preserve">: Mohr </w:t>
      </w:r>
      <w:proofErr w:type="spellStart"/>
      <w:r w:rsidR="00FC2D11" w:rsidRPr="001A3499">
        <w:rPr>
          <w:rFonts w:ascii="Times New Roman" w:hAnsi="Times New Roman" w:cs="Times New Roman"/>
          <w:color w:val="000000" w:themeColor="text1"/>
          <w:sz w:val="24"/>
          <w:szCs w:val="24"/>
        </w:rPr>
        <w:t>Siebeck</w:t>
      </w:r>
      <w:proofErr w:type="spellEnd"/>
      <w:r w:rsidR="00FC2D11" w:rsidRPr="001A3499">
        <w:rPr>
          <w:rFonts w:ascii="Times New Roman" w:hAnsi="Times New Roman" w:cs="Times New Roman"/>
          <w:color w:val="000000" w:themeColor="text1"/>
          <w:sz w:val="24"/>
          <w:szCs w:val="24"/>
        </w:rPr>
        <w:t>.</w:t>
      </w:r>
    </w:p>
    <w:p w14:paraId="649B9C96" w14:textId="70593622" w:rsidR="007745A8" w:rsidRPr="001A3499" w:rsidRDefault="007745A8" w:rsidP="00837A5A">
      <w:pPr>
        <w:rPr>
          <w:rFonts w:ascii="Times New Roman" w:hAnsi="Times New Roman" w:cs="Times New Roman"/>
          <w:color w:val="000000" w:themeColor="text1"/>
          <w:sz w:val="24"/>
          <w:szCs w:val="24"/>
          <w:lang w:val="en-US"/>
        </w:rPr>
      </w:pPr>
      <w:r w:rsidRPr="001A3499">
        <w:rPr>
          <w:rFonts w:ascii="Times New Roman" w:hAnsi="Times New Roman" w:cs="Times New Roman"/>
          <w:color w:val="000000" w:themeColor="text1"/>
          <w:sz w:val="24"/>
          <w:szCs w:val="24"/>
          <w:lang w:val="en-US"/>
        </w:rPr>
        <w:t xml:space="preserve">Bonnie, R. (2008). Archaeology and Cultural Interaction in </w:t>
      </w:r>
      <w:r w:rsidR="00243656">
        <w:rPr>
          <w:rFonts w:ascii="Times New Roman" w:hAnsi="Times New Roman" w:cs="Times New Roman"/>
          <w:color w:val="000000" w:themeColor="text1"/>
          <w:sz w:val="24"/>
          <w:szCs w:val="24"/>
          <w:lang w:val="en-US"/>
        </w:rPr>
        <w:t>Roman</w:t>
      </w:r>
      <w:r w:rsidRPr="001A3499">
        <w:rPr>
          <w:rFonts w:ascii="Times New Roman" w:hAnsi="Times New Roman" w:cs="Times New Roman"/>
          <w:color w:val="000000" w:themeColor="text1"/>
          <w:sz w:val="24"/>
          <w:szCs w:val="24"/>
          <w:lang w:val="en-US"/>
        </w:rPr>
        <w:t xml:space="preserve"> Galilee: </w:t>
      </w:r>
      <w:r w:rsidR="00A2547A" w:rsidRPr="001A3499">
        <w:rPr>
          <w:rFonts w:ascii="Times New Roman" w:hAnsi="Times New Roman" w:cs="Times New Roman"/>
          <w:color w:val="000000" w:themeColor="text1"/>
          <w:sz w:val="24"/>
          <w:szCs w:val="24"/>
          <w:lang w:val="en-US"/>
        </w:rPr>
        <w:t>A Three-Stage Development Towards a New Cultural Setting</w:t>
      </w:r>
    </w:p>
    <w:p w14:paraId="07B7CD0E" w14:textId="5C9F1256" w:rsidR="00054615" w:rsidRPr="001A3499" w:rsidRDefault="00054615"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CHANCEY, M. (2001). The Cultural Milieu of Ancient Sepphoris. </w:t>
      </w:r>
      <w:r w:rsidRPr="001A3499">
        <w:rPr>
          <w:rFonts w:ascii="Times New Roman" w:hAnsi="Times New Roman" w:cs="Times New Roman"/>
          <w:i/>
          <w:iCs/>
          <w:color w:val="000000" w:themeColor="text1"/>
          <w:sz w:val="24"/>
          <w:szCs w:val="24"/>
        </w:rPr>
        <w:t>New Testament Studies</w:t>
      </w:r>
      <w:r w:rsidRPr="001A3499">
        <w:rPr>
          <w:rFonts w:ascii="Times New Roman" w:hAnsi="Times New Roman" w:cs="Times New Roman"/>
          <w:color w:val="000000" w:themeColor="text1"/>
          <w:sz w:val="24"/>
          <w:szCs w:val="24"/>
        </w:rPr>
        <w:t>, 47(02).</w:t>
      </w:r>
    </w:p>
    <w:p w14:paraId="5D8F5145" w14:textId="7D875365" w:rsidR="00E67777" w:rsidRPr="001A3499" w:rsidRDefault="00E67777"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Chancey, M. and Porter, A. (2001). The Archaeology of </w:t>
      </w:r>
      <w:r w:rsidR="00243656">
        <w:rPr>
          <w:rFonts w:ascii="Times New Roman" w:hAnsi="Times New Roman" w:cs="Times New Roman"/>
          <w:color w:val="000000" w:themeColor="text1"/>
          <w:sz w:val="24"/>
          <w:szCs w:val="24"/>
        </w:rPr>
        <w:t>Roman</w:t>
      </w:r>
      <w:r w:rsidRPr="001A3499">
        <w:rPr>
          <w:rFonts w:ascii="Times New Roman" w:hAnsi="Times New Roman" w:cs="Times New Roman"/>
          <w:color w:val="000000" w:themeColor="text1"/>
          <w:sz w:val="24"/>
          <w:szCs w:val="24"/>
        </w:rPr>
        <w:t xml:space="preserve"> Palestine. </w:t>
      </w:r>
      <w:r w:rsidRPr="001A3499">
        <w:rPr>
          <w:rFonts w:ascii="Times New Roman" w:hAnsi="Times New Roman" w:cs="Times New Roman"/>
          <w:i/>
          <w:iCs/>
          <w:color w:val="000000" w:themeColor="text1"/>
          <w:sz w:val="24"/>
          <w:szCs w:val="24"/>
        </w:rPr>
        <w:t>Near Eastern Archaeology</w:t>
      </w:r>
      <w:r w:rsidRPr="001A3499">
        <w:rPr>
          <w:rFonts w:ascii="Times New Roman" w:hAnsi="Times New Roman" w:cs="Times New Roman"/>
          <w:color w:val="000000" w:themeColor="text1"/>
          <w:sz w:val="24"/>
          <w:szCs w:val="24"/>
        </w:rPr>
        <w:t>, 64(4), p.164.</w:t>
      </w:r>
    </w:p>
    <w:p w14:paraId="5BB39252" w14:textId="51FA10E0" w:rsidR="00B639B9" w:rsidRPr="001A3499" w:rsidRDefault="00B639B9"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Cohen, S. (1981). Epigraphical Rabbis. </w:t>
      </w:r>
      <w:r w:rsidRPr="001A3499">
        <w:rPr>
          <w:rFonts w:ascii="Times New Roman" w:hAnsi="Times New Roman" w:cs="Times New Roman"/>
          <w:i/>
          <w:iCs/>
          <w:color w:val="000000" w:themeColor="text1"/>
          <w:sz w:val="24"/>
          <w:szCs w:val="24"/>
        </w:rPr>
        <w:t>The Jewish Quarterly Review</w:t>
      </w:r>
      <w:r w:rsidRPr="001A3499">
        <w:rPr>
          <w:rFonts w:ascii="Times New Roman" w:hAnsi="Times New Roman" w:cs="Times New Roman"/>
          <w:color w:val="000000" w:themeColor="text1"/>
          <w:sz w:val="24"/>
          <w:szCs w:val="24"/>
        </w:rPr>
        <w:t>, 72(1), p.</w:t>
      </w:r>
      <w:r w:rsidR="00DD21E6" w:rsidRPr="001A3499">
        <w:rPr>
          <w:rFonts w:ascii="Times New Roman" w:hAnsi="Times New Roman" w:cs="Times New Roman"/>
          <w:color w:val="000000" w:themeColor="text1"/>
          <w:sz w:val="24"/>
          <w:szCs w:val="24"/>
        </w:rPr>
        <w:t>1-17.</w:t>
      </w:r>
    </w:p>
    <w:p w14:paraId="63397D0F" w14:textId="2717AD4C" w:rsidR="00BE2D10" w:rsidRPr="001A3499" w:rsidRDefault="004404D8"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Kaplan, A. (1977). POMPEY'S INFLUENCE ON ORTHODOX JUDAISM. </w:t>
      </w:r>
      <w:r w:rsidRPr="001A3499">
        <w:rPr>
          <w:rFonts w:ascii="Times New Roman" w:hAnsi="Times New Roman" w:cs="Times New Roman"/>
          <w:i/>
          <w:iCs/>
          <w:color w:val="000000" w:themeColor="text1"/>
          <w:sz w:val="24"/>
          <w:szCs w:val="24"/>
        </w:rPr>
        <w:t>The Classical Outlook,</w:t>
      </w:r>
      <w:r w:rsidRPr="001A3499">
        <w:rPr>
          <w:rFonts w:ascii="Times New Roman" w:hAnsi="Times New Roman" w:cs="Times New Roman"/>
          <w:color w:val="000000" w:themeColor="text1"/>
          <w:sz w:val="24"/>
          <w:szCs w:val="24"/>
        </w:rPr>
        <w:t xml:space="preserve"> </w:t>
      </w:r>
      <w:r w:rsidRPr="001A3499">
        <w:rPr>
          <w:rFonts w:ascii="Times New Roman" w:hAnsi="Times New Roman" w:cs="Times New Roman"/>
          <w:i/>
          <w:iCs/>
          <w:color w:val="000000" w:themeColor="text1"/>
          <w:sz w:val="24"/>
          <w:szCs w:val="24"/>
        </w:rPr>
        <w:t>54</w:t>
      </w:r>
      <w:r w:rsidRPr="001A3499">
        <w:rPr>
          <w:rFonts w:ascii="Times New Roman" w:hAnsi="Times New Roman" w:cs="Times New Roman"/>
          <w:color w:val="000000" w:themeColor="text1"/>
          <w:sz w:val="24"/>
          <w:szCs w:val="24"/>
        </w:rPr>
        <w:t>(9), 101-102.</w:t>
      </w:r>
    </w:p>
    <w:p w14:paraId="526005E3" w14:textId="07467119" w:rsidR="00964563" w:rsidRPr="001A3499" w:rsidRDefault="00964563"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KLEIN, G. (2012). Torah in Triclinia: The Rabbinic Banquet and the Significance of Architecture. </w:t>
      </w:r>
      <w:r w:rsidRPr="001A3499">
        <w:rPr>
          <w:rFonts w:ascii="Times New Roman" w:hAnsi="Times New Roman" w:cs="Times New Roman"/>
          <w:i/>
          <w:iCs/>
          <w:color w:val="000000" w:themeColor="text1"/>
          <w:sz w:val="24"/>
          <w:szCs w:val="24"/>
        </w:rPr>
        <w:t>The Jewish Quarterly Review,</w:t>
      </w:r>
      <w:r w:rsidRPr="001A3499">
        <w:rPr>
          <w:rFonts w:ascii="Times New Roman" w:hAnsi="Times New Roman" w:cs="Times New Roman"/>
          <w:color w:val="000000" w:themeColor="text1"/>
          <w:sz w:val="24"/>
          <w:szCs w:val="24"/>
        </w:rPr>
        <w:t xml:space="preserve"> </w:t>
      </w:r>
      <w:r w:rsidRPr="001A3499">
        <w:rPr>
          <w:rFonts w:ascii="Times New Roman" w:hAnsi="Times New Roman" w:cs="Times New Roman"/>
          <w:i/>
          <w:iCs/>
          <w:color w:val="000000" w:themeColor="text1"/>
          <w:sz w:val="24"/>
          <w:szCs w:val="24"/>
        </w:rPr>
        <w:t>102</w:t>
      </w:r>
      <w:r w:rsidRPr="001A3499">
        <w:rPr>
          <w:rFonts w:ascii="Times New Roman" w:hAnsi="Times New Roman" w:cs="Times New Roman"/>
          <w:color w:val="000000" w:themeColor="text1"/>
          <w:sz w:val="24"/>
          <w:szCs w:val="24"/>
        </w:rPr>
        <w:t xml:space="preserve">(3), 325-370. </w:t>
      </w:r>
    </w:p>
    <w:p w14:paraId="346D8734" w14:textId="07A437D3" w:rsidR="00D94962" w:rsidRPr="001A3499" w:rsidRDefault="00D94962"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Lieberman, S. (1946). Palestine in the Third and Fourth Centuries. </w:t>
      </w:r>
      <w:r w:rsidRPr="001A3499">
        <w:rPr>
          <w:rFonts w:ascii="Times New Roman" w:hAnsi="Times New Roman" w:cs="Times New Roman"/>
          <w:i/>
          <w:iCs/>
          <w:color w:val="000000" w:themeColor="text1"/>
          <w:sz w:val="24"/>
          <w:szCs w:val="24"/>
        </w:rPr>
        <w:t>The Jewish Quarterly Review,</w:t>
      </w:r>
      <w:r w:rsidRPr="001A3499">
        <w:rPr>
          <w:rFonts w:ascii="Times New Roman" w:hAnsi="Times New Roman" w:cs="Times New Roman"/>
          <w:color w:val="000000" w:themeColor="text1"/>
          <w:sz w:val="24"/>
          <w:szCs w:val="24"/>
        </w:rPr>
        <w:t xml:space="preserve"> </w:t>
      </w:r>
      <w:r w:rsidRPr="001A3499">
        <w:rPr>
          <w:rFonts w:ascii="Times New Roman" w:hAnsi="Times New Roman" w:cs="Times New Roman"/>
          <w:i/>
          <w:iCs/>
          <w:color w:val="000000" w:themeColor="text1"/>
          <w:sz w:val="24"/>
          <w:szCs w:val="24"/>
        </w:rPr>
        <w:t>36</w:t>
      </w:r>
      <w:r w:rsidRPr="001A3499">
        <w:rPr>
          <w:rFonts w:ascii="Times New Roman" w:hAnsi="Times New Roman" w:cs="Times New Roman"/>
          <w:color w:val="000000" w:themeColor="text1"/>
          <w:sz w:val="24"/>
          <w:szCs w:val="24"/>
        </w:rPr>
        <w:t>(4), new series, 329-370.</w:t>
      </w:r>
    </w:p>
    <w:p w14:paraId="41FE615C" w14:textId="7DEF0DFC" w:rsidR="00347F86" w:rsidRPr="001A3499" w:rsidRDefault="00347F86"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Meyers, E. (1992). The Challenge of Hellenism for Early Judaism and Christianity. </w:t>
      </w:r>
      <w:r w:rsidRPr="001A3499">
        <w:rPr>
          <w:rFonts w:ascii="Times New Roman" w:hAnsi="Times New Roman" w:cs="Times New Roman"/>
          <w:i/>
          <w:iCs/>
          <w:color w:val="000000" w:themeColor="text1"/>
          <w:sz w:val="24"/>
          <w:szCs w:val="24"/>
        </w:rPr>
        <w:t>The Biblical Archaeologist,</w:t>
      </w:r>
      <w:r w:rsidRPr="001A3499">
        <w:rPr>
          <w:rFonts w:ascii="Times New Roman" w:hAnsi="Times New Roman" w:cs="Times New Roman"/>
          <w:color w:val="000000" w:themeColor="text1"/>
          <w:sz w:val="24"/>
          <w:szCs w:val="24"/>
        </w:rPr>
        <w:t xml:space="preserve"> </w:t>
      </w:r>
      <w:r w:rsidRPr="001A3499">
        <w:rPr>
          <w:rFonts w:ascii="Times New Roman" w:hAnsi="Times New Roman" w:cs="Times New Roman"/>
          <w:i/>
          <w:iCs/>
          <w:color w:val="000000" w:themeColor="text1"/>
          <w:sz w:val="24"/>
          <w:szCs w:val="24"/>
        </w:rPr>
        <w:t>55</w:t>
      </w:r>
      <w:r w:rsidRPr="001A3499">
        <w:rPr>
          <w:rFonts w:ascii="Times New Roman" w:hAnsi="Times New Roman" w:cs="Times New Roman"/>
          <w:color w:val="000000" w:themeColor="text1"/>
          <w:sz w:val="24"/>
          <w:szCs w:val="24"/>
        </w:rPr>
        <w:t>(2), 84-91.</w:t>
      </w:r>
    </w:p>
    <w:p w14:paraId="56F88821" w14:textId="18D8266E" w:rsidR="00380B34" w:rsidRPr="001A3499" w:rsidRDefault="00380B34" w:rsidP="00837A5A">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Miller, S. (2001). Josephus on the Cities of Galilee: Factions, Rivalries and Alliances in the First Jewish Revolt. </w:t>
      </w:r>
      <w:r w:rsidRPr="001A3499">
        <w:rPr>
          <w:rFonts w:ascii="Times New Roman" w:hAnsi="Times New Roman" w:cs="Times New Roman"/>
          <w:i/>
          <w:iCs/>
          <w:color w:val="000000" w:themeColor="text1"/>
          <w:sz w:val="24"/>
          <w:szCs w:val="24"/>
        </w:rPr>
        <w:t xml:space="preserve">Historia: </w:t>
      </w:r>
      <w:proofErr w:type="spellStart"/>
      <w:r w:rsidRPr="001A3499">
        <w:rPr>
          <w:rFonts w:ascii="Times New Roman" w:hAnsi="Times New Roman" w:cs="Times New Roman"/>
          <w:i/>
          <w:iCs/>
          <w:color w:val="000000" w:themeColor="text1"/>
          <w:sz w:val="24"/>
          <w:szCs w:val="24"/>
        </w:rPr>
        <w:t>Zeitschrift</w:t>
      </w:r>
      <w:proofErr w:type="spellEnd"/>
      <w:r w:rsidRPr="001A3499">
        <w:rPr>
          <w:rFonts w:ascii="Times New Roman" w:hAnsi="Times New Roman" w:cs="Times New Roman"/>
          <w:i/>
          <w:iCs/>
          <w:color w:val="000000" w:themeColor="text1"/>
          <w:sz w:val="24"/>
          <w:szCs w:val="24"/>
        </w:rPr>
        <w:t xml:space="preserve"> </w:t>
      </w:r>
      <w:proofErr w:type="spellStart"/>
      <w:r w:rsidRPr="001A3499">
        <w:rPr>
          <w:rFonts w:ascii="Times New Roman" w:hAnsi="Times New Roman" w:cs="Times New Roman"/>
          <w:i/>
          <w:iCs/>
          <w:color w:val="000000" w:themeColor="text1"/>
          <w:sz w:val="24"/>
          <w:szCs w:val="24"/>
        </w:rPr>
        <w:t>Für</w:t>
      </w:r>
      <w:proofErr w:type="spellEnd"/>
      <w:r w:rsidRPr="001A3499">
        <w:rPr>
          <w:rFonts w:ascii="Times New Roman" w:hAnsi="Times New Roman" w:cs="Times New Roman"/>
          <w:i/>
          <w:iCs/>
          <w:color w:val="000000" w:themeColor="text1"/>
          <w:sz w:val="24"/>
          <w:szCs w:val="24"/>
        </w:rPr>
        <w:t xml:space="preserve"> Alte </w:t>
      </w:r>
      <w:proofErr w:type="spellStart"/>
      <w:r w:rsidRPr="001A3499">
        <w:rPr>
          <w:rFonts w:ascii="Times New Roman" w:hAnsi="Times New Roman" w:cs="Times New Roman"/>
          <w:i/>
          <w:iCs/>
          <w:color w:val="000000" w:themeColor="text1"/>
          <w:sz w:val="24"/>
          <w:szCs w:val="24"/>
        </w:rPr>
        <w:t>Geschichte</w:t>
      </w:r>
      <w:proofErr w:type="spellEnd"/>
      <w:r w:rsidRPr="001A3499">
        <w:rPr>
          <w:rFonts w:ascii="Times New Roman" w:hAnsi="Times New Roman" w:cs="Times New Roman"/>
          <w:i/>
          <w:iCs/>
          <w:color w:val="000000" w:themeColor="text1"/>
          <w:sz w:val="24"/>
          <w:szCs w:val="24"/>
        </w:rPr>
        <w:t>,</w:t>
      </w:r>
      <w:r w:rsidRPr="001A3499">
        <w:rPr>
          <w:rFonts w:ascii="Times New Roman" w:hAnsi="Times New Roman" w:cs="Times New Roman"/>
          <w:color w:val="000000" w:themeColor="text1"/>
          <w:sz w:val="24"/>
          <w:szCs w:val="24"/>
        </w:rPr>
        <w:t xml:space="preserve"> </w:t>
      </w:r>
      <w:r w:rsidRPr="001A3499">
        <w:rPr>
          <w:rFonts w:ascii="Times New Roman" w:hAnsi="Times New Roman" w:cs="Times New Roman"/>
          <w:i/>
          <w:iCs/>
          <w:color w:val="000000" w:themeColor="text1"/>
          <w:sz w:val="24"/>
          <w:szCs w:val="24"/>
        </w:rPr>
        <w:t>50</w:t>
      </w:r>
      <w:r w:rsidRPr="001A3499">
        <w:rPr>
          <w:rFonts w:ascii="Times New Roman" w:hAnsi="Times New Roman" w:cs="Times New Roman"/>
          <w:color w:val="000000" w:themeColor="text1"/>
          <w:sz w:val="24"/>
          <w:szCs w:val="24"/>
        </w:rPr>
        <w:t xml:space="preserve">(4), 453-467. </w:t>
      </w:r>
    </w:p>
    <w:p w14:paraId="374701DC" w14:textId="3068086B" w:rsidR="00A06A09" w:rsidRPr="001A3499" w:rsidRDefault="00A06A09" w:rsidP="00837A5A">
      <w:pPr>
        <w:rPr>
          <w:rFonts w:ascii="Times New Roman" w:hAnsi="Times New Roman" w:cs="Times New Roman"/>
          <w:color w:val="000000" w:themeColor="text1"/>
          <w:sz w:val="24"/>
          <w:szCs w:val="24"/>
          <w:lang w:val="en-US"/>
        </w:rPr>
      </w:pPr>
      <w:r w:rsidRPr="001A3499">
        <w:rPr>
          <w:rFonts w:ascii="Times New Roman" w:hAnsi="Times New Roman" w:cs="Times New Roman"/>
          <w:color w:val="000000" w:themeColor="text1"/>
          <w:sz w:val="24"/>
          <w:szCs w:val="24"/>
        </w:rPr>
        <w:t xml:space="preserve">Miller, S. (2004). "Epigraphical" Rabbis, Helios, and Psalm 19: Were the Synagogues of Archaeology and the Synagogues of the Sages One and the Same? </w:t>
      </w:r>
      <w:r w:rsidRPr="001A3499">
        <w:rPr>
          <w:rFonts w:ascii="Times New Roman" w:hAnsi="Times New Roman" w:cs="Times New Roman"/>
          <w:i/>
          <w:iCs/>
          <w:color w:val="000000" w:themeColor="text1"/>
          <w:sz w:val="24"/>
          <w:szCs w:val="24"/>
        </w:rPr>
        <w:t>The Jewish Quarterly Review,</w:t>
      </w:r>
      <w:r w:rsidRPr="001A3499">
        <w:rPr>
          <w:rFonts w:ascii="Times New Roman" w:hAnsi="Times New Roman" w:cs="Times New Roman"/>
          <w:color w:val="000000" w:themeColor="text1"/>
          <w:sz w:val="24"/>
          <w:szCs w:val="24"/>
        </w:rPr>
        <w:t xml:space="preserve"> </w:t>
      </w:r>
      <w:r w:rsidRPr="001A3499">
        <w:rPr>
          <w:rFonts w:ascii="Times New Roman" w:hAnsi="Times New Roman" w:cs="Times New Roman"/>
          <w:i/>
          <w:iCs/>
          <w:color w:val="000000" w:themeColor="text1"/>
          <w:sz w:val="24"/>
          <w:szCs w:val="24"/>
        </w:rPr>
        <w:t>94</w:t>
      </w:r>
      <w:r w:rsidRPr="001A3499">
        <w:rPr>
          <w:rFonts w:ascii="Times New Roman" w:hAnsi="Times New Roman" w:cs="Times New Roman"/>
          <w:color w:val="000000" w:themeColor="text1"/>
          <w:sz w:val="24"/>
          <w:szCs w:val="24"/>
        </w:rPr>
        <w:t>(1), 27-76.</w:t>
      </w:r>
    </w:p>
    <w:p w14:paraId="7000831C" w14:textId="47C97ED6" w:rsidR="000B6F32" w:rsidRPr="001A3499" w:rsidRDefault="009E442B" w:rsidP="2109BAA8">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ROUSSIN, L.A. (2001). Helios in the synagogue. </w:t>
      </w:r>
      <w:r w:rsidRPr="001A3499">
        <w:rPr>
          <w:rFonts w:ascii="Times New Roman" w:hAnsi="Times New Roman" w:cs="Times New Roman"/>
          <w:i/>
          <w:iCs/>
          <w:color w:val="000000" w:themeColor="text1"/>
          <w:sz w:val="24"/>
          <w:szCs w:val="24"/>
        </w:rPr>
        <w:t xml:space="preserve">Biblical Archaeology Review, </w:t>
      </w:r>
      <w:r w:rsidRPr="001A3499">
        <w:rPr>
          <w:rFonts w:ascii="Times New Roman" w:hAnsi="Times New Roman" w:cs="Times New Roman"/>
          <w:bCs/>
          <w:color w:val="000000" w:themeColor="text1"/>
          <w:sz w:val="24"/>
          <w:szCs w:val="24"/>
        </w:rPr>
        <w:t>27</w:t>
      </w:r>
      <w:r w:rsidRPr="001A3499">
        <w:rPr>
          <w:rFonts w:ascii="Times New Roman" w:hAnsi="Times New Roman" w:cs="Times New Roman"/>
          <w:color w:val="000000" w:themeColor="text1"/>
          <w:sz w:val="24"/>
          <w:szCs w:val="24"/>
        </w:rPr>
        <w:t>(2), pp. 52-56.</w:t>
      </w:r>
    </w:p>
    <w:p w14:paraId="1813BBED" w14:textId="7DEA7B4A" w:rsidR="00C1498F" w:rsidRPr="001A3499" w:rsidRDefault="00C1498F" w:rsidP="2109BAA8">
      <w:pPr>
        <w:rPr>
          <w:rFonts w:ascii="Times New Roman" w:hAnsi="Times New Roman" w:cs="Times New Roman"/>
          <w:color w:val="000000" w:themeColor="text1"/>
          <w:sz w:val="24"/>
          <w:szCs w:val="24"/>
        </w:rPr>
      </w:pPr>
      <w:r w:rsidRPr="001A3499">
        <w:rPr>
          <w:rFonts w:ascii="Times New Roman" w:hAnsi="Times New Roman" w:cs="Times New Roman"/>
          <w:color w:val="000000" w:themeColor="text1"/>
          <w:sz w:val="24"/>
          <w:szCs w:val="24"/>
        </w:rPr>
        <w:t xml:space="preserve">Wallach, L. (1941). The Colloquy of Marcus Aurelius with the Patriarch Judah I. </w:t>
      </w:r>
      <w:r w:rsidRPr="001A3499">
        <w:rPr>
          <w:rFonts w:ascii="Times New Roman" w:hAnsi="Times New Roman" w:cs="Times New Roman"/>
          <w:i/>
          <w:iCs/>
          <w:color w:val="000000" w:themeColor="text1"/>
          <w:sz w:val="24"/>
          <w:szCs w:val="24"/>
        </w:rPr>
        <w:t>The Jewish Quarterly Review,</w:t>
      </w:r>
      <w:r w:rsidRPr="001A3499">
        <w:rPr>
          <w:rFonts w:ascii="Times New Roman" w:hAnsi="Times New Roman" w:cs="Times New Roman"/>
          <w:color w:val="000000" w:themeColor="text1"/>
          <w:sz w:val="24"/>
          <w:szCs w:val="24"/>
        </w:rPr>
        <w:t xml:space="preserve"> </w:t>
      </w:r>
      <w:r w:rsidRPr="001A3499">
        <w:rPr>
          <w:rFonts w:ascii="Times New Roman" w:hAnsi="Times New Roman" w:cs="Times New Roman"/>
          <w:i/>
          <w:iCs/>
          <w:color w:val="000000" w:themeColor="text1"/>
          <w:sz w:val="24"/>
          <w:szCs w:val="24"/>
        </w:rPr>
        <w:t>31</w:t>
      </w:r>
      <w:r w:rsidRPr="001A3499">
        <w:rPr>
          <w:rFonts w:ascii="Times New Roman" w:hAnsi="Times New Roman" w:cs="Times New Roman"/>
          <w:color w:val="000000" w:themeColor="text1"/>
          <w:sz w:val="24"/>
          <w:szCs w:val="24"/>
        </w:rPr>
        <w:t xml:space="preserve">(3), new series, 259-286. </w:t>
      </w:r>
    </w:p>
    <w:sectPr w:rsidR="00C1498F" w:rsidRPr="001A349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B96B0" w14:textId="77777777" w:rsidR="00ED6B61" w:rsidRDefault="00ED6B61">
      <w:pPr>
        <w:spacing w:after="0" w:line="240" w:lineRule="auto"/>
      </w:pPr>
      <w:r>
        <w:separator/>
      </w:r>
    </w:p>
  </w:endnote>
  <w:endnote w:type="continuationSeparator" w:id="0">
    <w:p w14:paraId="2D4EE6EE" w14:textId="77777777" w:rsidR="00ED6B61" w:rsidRDefault="00ED6B61">
      <w:pPr>
        <w:spacing w:after="0" w:line="240" w:lineRule="auto"/>
      </w:pPr>
      <w:r>
        <w:continuationSeparator/>
      </w:r>
    </w:p>
  </w:endnote>
  <w:endnote w:type="continuationNotice" w:id="1">
    <w:p w14:paraId="175C7BD6" w14:textId="77777777" w:rsidR="00ED6B61" w:rsidRDefault="00ED6B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6B472" w14:textId="77777777" w:rsidR="00ED6B61" w:rsidRDefault="00ED6B61">
      <w:pPr>
        <w:spacing w:after="0" w:line="240" w:lineRule="auto"/>
      </w:pPr>
      <w:r>
        <w:separator/>
      </w:r>
    </w:p>
  </w:footnote>
  <w:footnote w:type="continuationSeparator" w:id="0">
    <w:p w14:paraId="0835E5E1" w14:textId="77777777" w:rsidR="00ED6B61" w:rsidRDefault="00ED6B61">
      <w:pPr>
        <w:spacing w:after="0" w:line="240" w:lineRule="auto"/>
      </w:pPr>
      <w:r>
        <w:continuationSeparator/>
      </w:r>
    </w:p>
  </w:footnote>
  <w:footnote w:type="continuationNotice" w:id="1">
    <w:p w14:paraId="79325940" w14:textId="77777777" w:rsidR="00ED6B61" w:rsidRDefault="00ED6B61">
      <w:pPr>
        <w:spacing w:after="0" w:line="240" w:lineRule="auto"/>
      </w:pPr>
    </w:p>
  </w:footnote>
  <w:footnote w:id="2">
    <w:p w14:paraId="0967CC6E" w14:textId="07D925E7" w:rsidR="0077173F" w:rsidRDefault="0077173F">
      <w:pPr>
        <w:pStyle w:val="FootnoteText"/>
      </w:pPr>
      <w:r>
        <w:rPr>
          <w:rStyle w:val="FootnoteReference"/>
        </w:rPr>
        <w:footnoteRef/>
      </w:r>
      <w:r>
        <w:t xml:space="preserve"> </w:t>
      </w:r>
      <w:proofErr w:type="spellStart"/>
      <w:r>
        <w:t>Bernett</w:t>
      </w:r>
      <w:proofErr w:type="spellEnd"/>
      <w:r>
        <w:t xml:space="preserve"> 2007: 338</w:t>
      </w:r>
    </w:p>
  </w:footnote>
  <w:footnote w:id="3">
    <w:p w14:paraId="4728F059" w14:textId="46FE6A7A" w:rsidR="0077173F" w:rsidRDefault="0077173F">
      <w:pPr>
        <w:pStyle w:val="FootnoteText"/>
      </w:pPr>
      <w:r>
        <w:rPr>
          <w:rStyle w:val="FootnoteReference"/>
        </w:rPr>
        <w:footnoteRef/>
      </w:r>
      <w:r>
        <w:t xml:space="preserve"> Josephus. War 1.21.7</w:t>
      </w:r>
    </w:p>
  </w:footnote>
  <w:footnote w:id="4">
    <w:p w14:paraId="71736C16" w14:textId="422B4006" w:rsidR="0077173F" w:rsidRDefault="0077173F" w:rsidP="2109BAA8">
      <w:pPr>
        <w:pStyle w:val="FootnoteText"/>
      </w:pPr>
      <w:r w:rsidRPr="2109BAA8">
        <w:rPr>
          <w:rStyle w:val="FootnoteReference"/>
        </w:rPr>
        <w:footnoteRef/>
      </w:r>
      <w:r>
        <w:t xml:space="preserve"> </w:t>
      </w:r>
      <w:bookmarkStart w:id="0" w:name="_Hlk514962315"/>
      <w:r>
        <w:t>Berlin 2012: 101</w:t>
      </w:r>
    </w:p>
    <w:bookmarkEnd w:id="0"/>
  </w:footnote>
  <w:footnote w:id="5">
    <w:p w14:paraId="70690D71" w14:textId="30EF96D2" w:rsidR="0077173F" w:rsidRDefault="0077173F">
      <w:pPr>
        <w:pStyle w:val="FootnoteText"/>
      </w:pPr>
      <w:r>
        <w:rPr>
          <w:rStyle w:val="FootnoteReference"/>
        </w:rPr>
        <w:footnoteRef/>
      </w:r>
      <w:r>
        <w:t xml:space="preserve"> J</w:t>
      </w:r>
      <w:r w:rsidRPr="005F1D98">
        <w:t>osephus</w:t>
      </w:r>
      <w:r>
        <w:t>.</w:t>
      </w:r>
      <w:r w:rsidRPr="005F1D98">
        <w:t xml:space="preserve"> </w:t>
      </w:r>
      <w:r>
        <w:t>A</w:t>
      </w:r>
      <w:r w:rsidRPr="005F1D98">
        <w:t>nt 17.10.9</w:t>
      </w:r>
    </w:p>
  </w:footnote>
  <w:footnote w:id="6">
    <w:p w14:paraId="6ED3C6C1" w14:textId="49BE15D4" w:rsidR="0077173F" w:rsidRDefault="0077173F" w:rsidP="0B09504C">
      <w:pPr>
        <w:pStyle w:val="FootnoteText"/>
      </w:pPr>
      <w:r w:rsidRPr="0B09504C">
        <w:rPr>
          <w:rStyle w:val="FootnoteReference"/>
        </w:rPr>
        <w:footnoteRef/>
      </w:r>
      <w:r>
        <w:t xml:space="preserve"> </w:t>
      </w:r>
      <w:proofErr w:type="spellStart"/>
      <w:r>
        <w:t>Bernett</w:t>
      </w:r>
      <w:proofErr w:type="spellEnd"/>
      <w:r>
        <w:t xml:space="preserve"> 2007: 343</w:t>
      </w:r>
    </w:p>
  </w:footnote>
  <w:footnote w:id="7">
    <w:p w14:paraId="1FE467A6" w14:textId="3CB1E1A0" w:rsidR="0077173F" w:rsidRDefault="0077173F" w:rsidP="595FE24F">
      <w:pPr>
        <w:pStyle w:val="FootnoteText"/>
      </w:pPr>
      <w:r w:rsidRPr="595FE24F">
        <w:rPr>
          <w:rStyle w:val="FootnoteReference"/>
        </w:rPr>
        <w:footnoteRef/>
      </w:r>
      <w:r>
        <w:t xml:space="preserve"> Chancey and Porter 2001: 179 </w:t>
      </w:r>
    </w:p>
  </w:footnote>
  <w:footnote w:id="8">
    <w:p w14:paraId="2BB9FCD3" w14:textId="14DEC67A" w:rsidR="0077173F" w:rsidRDefault="0077173F" w:rsidP="0B09504C">
      <w:pPr>
        <w:pStyle w:val="FootnoteText"/>
      </w:pPr>
      <w:r w:rsidRPr="0B09504C">
        <w:rPr>
          <w:rStyle w:val="FootnoteReference"/>
        </w:rPr>
        <w:footnoteRef/>
      </w:r>
      <w:r>
        <w:t xml:space="preserve"> </w:t>
      </w:r>
      <w:proofErr w:type="spellStart"/>
      <w:r>
        <w:t>Bernett</w:t>
      </w:r>
      <w:proofErr w:type="spellEnd"/>
      <w:r>
        <w:t xml:space="preserve"> 2007: 347</w:t>
      </w:r>
    </w:p>
  </w:footnote>
  <w:footnote w:id="9">
    <w:p w14:paraId="56F40F02" w14:textId="229700FB" w:rsidR="0077173F" w:rsidRDefault="0077173F">
      <w:pPr>
        <w:pStyle w:val="FootnoteText"/>
      </w:pPr>
      <w:r>
        <w:rPr>
          <w:rStyle w:val="FootnoteReference"/>
        </w:rPr>
        <w:footnoteRef/>
      </w:r>
      <w:r>
        <w:t xml:space="preserve"> Chancey 2001: 133</w:t>
      </w:r>
    </w:p>
  </w:footnote>
  <w:footnote w:id="10">
    <w:p w14:paraId="53234924" w14:textId="3268D157" w:rsidR="0077173F" w:rsidRDefault="0077173F">
      <w:pPr>
        <w:pStyle w:val="FootnoteText"/>
      </w:pPr>
      <w:r>
        <w:rPr>
          <w:rStyle w:val="FootnoteReference"/>
        </w:rPr>
        <w:footnoteRef/>
      </w:r>
      <w:r>
        <w:t xml:space="preserve"> Miller 2001: 465</w:t>
      </w:r>
    </w:p>
  </w:footnote>
  <w:footnote w:id="11">
    <w:p w14:paraId="0FF87C99" w14:textId="123A8EE4" w:rsidR="0077173F" w:rsidRDefault="0077173F">
      <w:pPr>
        <w:pStyle w:val="FootnoteText"/>
      </w:pPr>
      <w:r>
        <w:rPr>
          <w:rStyle w:val="FootnoteReference"/>
        </w:rPr>
        <w:footnoteRef/>
      </w:r>
      <w:r>
        <w:t xml:space="preserve"> Miller 2001: 465</w:t>
      </w:r>
    </w:p>
  </w:footnote>
  <w:footnote w:id="12">
    <w:p w14:paraId="1A4828D0" w14:textId="1EBA9140" w:rsidR="0077173F" w:rsidRDefault="0077173F">
      <w:pPr>
        <w:pStyle w:val="FootnoteText"/>
      </w:pPr>
      <w:r>
        <w:rPr>
          <w:rStyle w:val="FootnoteReference"/>
        </w:rPr>
        <w:footnoteRef/>
      </w:r>
      <w:r>
        <w:t xml:space="preserve"> Chancey and Porter 2001: 188</w:t>
      </w:r>
    </w:p>
  </w:footnote>
  <w:footnote w:id="13">
    <w:p w14:paraId="03BC288A" w14:textId="7DAD7D25" w:rsidR="0077173F" w:rsidRDefault="0077173F">
      <w:pPr>
        <w:pStyle w:val="FootnoteText"/>
      </w:pPr>
      <w:r>
        <w:rPr>
          <w:rStyle w:val="FootnoteReference"/>
        </w:rPr>
        <w:footnoteRef/>
      </w:r>
      <w:r>
        <w:t xml:space="preserve"> Meyers 1992:  89</w:t>
      </w:r>
    </w:p>
  </w:footnote>
  <w:footnote w:id="14">
    <w:p w14:paraId="199C909A" w14:textId="287B473D" w:rsidR="0077173F" w:rsidRDefault="0077173F">
      <w:pPr>
        <w:pStyle w:val="FootnoteText"/>
      </w:pPr>
      <w:r>
        <w:rPr>
          <w:rStyle w:val="FootnoteReference"/>
        </w:rPr>
        <w:footnoteRef/>
      </w:r>
      <w:r>
        <w:t xml:space="preserve"> Cohen 1981: 4</w:t>
      </w:r>
    </w:p>
  </w:footnote>
  <w:footnote w:id="15">
    <w:p w14:paraId="29BFA23C" w14:textId="79754BCD" w:rsidR="0077173F" w:rsidRDefault="0077173F">
      <w:pPr>
        <w:pStyle w:val="FootnoteText"/>
      </w:pPr>
      <w:r>
        <w:rPr>
          <w:rStyle w:val="FootnoteReference"/>
        </w:rPr>
        <w:footnoteRef/>
      </w:r>
      <w:r>
        <w:t xml:space="preserve"> Miller 2004: 38</w:t>
      </w:r>
    </w:p>
  </w:footnote>
  <w:footnote w:id="16">
    <w:p w14:paraId="102282C8" w14:textId="2FB120C5" w:rsidR="0077173F" w:rsidRDefault="0077173F">
      <w:pPr>
        <w:pStyle w:val="FootnoteText"/>
      </w:pPr>
      <w:r>
        <w:rPr>
          <w:rStyle w:val="FootnoteReference"/>
        </w:rPr>
        <w:footnoteRef/>
      </w:r>
      <w:r>
        <w:t xml:space="preserve"> Bonnie 2008: 6</w:t>
      </w:r>
    </w:p>
  </w:footnote>
  <w:footnote w:id="17">
    <w:p w14:paraId="3DE0F4E7" w14:textId="77E76058" w:rsidR="0077173F" w:rsidRDefault="0077173F">
      <w:pPr>
        <w:pStyle w:val="FootnoteText"/>
      </w:pPr>
      <w:r>
        <w:rPr>
          <w:rStyle w:val="FootnoteReference"/>
        </w:rPr>
        <w:footnoteRef/>
      </w:r>
      <w:r>
        <w:t xml:space="preserve"> Wallach 1941: 265</w:t>
      </w:r>
    </w:p>
  </w:footnote>
  <w:footnote w:id="18">
    <w:p w14:paraId="409F5B22" w14:textId="5E2250CF" w:rsidR="0077173F" w:rsidRDefault="0077173F">
      <w:pPr>
        <w:pStyle w:val="FootnoteText"/>
      </w:pPr>
      <w:r>
        <w:rPr>
          <w:rStyle w:val="FootnoteReference"/>
        </w:rPr>
        <w:footnoteRef/>
      </w:r>
      <w:r>
        <w:t xml:space="preserve"> Miller 2004: 56</w:t>
      </w:r>
    </w:p>
  </w:footnote>
  <w:footnote w:id="19">
    <w:p w14:paraId="37CF6463" w14:textId="29EB05FE" w:rsidR="0077173F" w:rsidRDefault="0077173F">
      <w:pPr>
        <w:pStyle w:val="FootnoteText"/>
      </w:pPr>
      <w:r>
        <w:rPr>
          <w:rStyle w:val="FootnoteReference"/>
        </w:rPr>
        <w:footnoteRef/>
      </w:r>
      <w:r>
        <w:t xml:space="preserve"> Roussin 2001: 52</w:t>
      </w:r>
    </w:p>
  </w:footnote>
  <w:footnote w:id="20">
    <w:p w14:paraId="6BFEB39E" w14:textId="7C2C344C" w:rsidR="0077173F" w:rsidRDefault="0077173F">
      <w:pPr>
        <w:pStyle w:val="FootnoteText"/>
      </w:pPr>
      <w:r>
        <w:t xml:space="preserve"> </w:t>
      </w:r>
      <w:r>
        <w:rPr>
          <w:rStyle w:val="FootnoteReference"/>
        </w:rPr>
        <w:footnoteRef/>
      </w:r>
      <w:r>
        <w:t xml:space="preserve"> Belayche 2009: 178</w:t>
      </w:r>
    </w:p>
  </w:footnote>
  <w:footnote w:id="21">
    <w:p w14:paraId="10F008E0" w14:textId="3BF0A19F" w:rsidR="0077173F" w:rsidRDefault="0077173F">
      <w:pPr>
        <w:pStyle w:val="FootnoteText"/>
      </w:pPr>
      <w:r>
        <w:rPr>
          <w:rStyle w:val="FootnoteReference"/>
        </w:rPr>
        <w:footnoteRef/>
      </w:r>
      <w:r>
        <w:t xml:space="preserve"> Klien 2012: 345</w:t>
      </w:r>
    </w:p>
  </w:footnote>
  <w:footnote w:id="22">
    <w:p w14:paraId="546AA1A7" w14:textId="6058232F" w:rsidR="0077173F" w:rsidRDefault="0077173F">
      <w:pPr>
        <w:pStyle w:val="FootnoteText"/>
      </w:pPr>
      <w:r>
        <w:rPr>
          <w:rStyle w:val="FootnoteReference"/>
        </w:rPr>
        <w:footnoteRef/>
      </w:r>
      <w:r>
        <w:t xml:space="preserve"> Klien 2012: 364</w:t>
      </w:r>
    </w:p>
  </w:footnote>
  <w:footnote w:id="23">
    <w:p w14:paraId="31973AEB" w14:textId="36F805FC" w:rsidR="0077173F" w:rsidRDefault="0077173F">
      <w:pPr>
        <w:pStyle w:val="FootnoteText"/>
      </w:pPr>
      <w:r>
        <w:rPr>
          <w:rStyle w:val="FootnoteReference"/>
        </w:rPr>
        <w:footnoteRef/>
      </w:r>
      <w:r>
        <w:t xml:space="preserve"> Lieberman 1946: 329</w:t>
      </w:r>
    </w:p>
  </w:footnote>
  <w:footnote w:id="24">
    <w:p w14:paraId="4E529AC0" w14:textId="39F3D2D6" w:rsidR="0077173F" w:rsidRDefault="0077173F">
      <w:pPr>
        <w:pStyle w:val="FootnoteText"/>
      </w:pPr>
      <w:r>
        <w:rPr>
          <w:rStyle w:val="FootnoteReference"/>
        </w:rPr>
        <w:footnoteRef/>
      </w:r>
      <w:r>
        <w:t xml:space="preserve"> Lieberman 1946: 370</w:t>
      </w:r>
    </w:p>
  </w:footnote>
  <w:footnote w:id="25">
    <w:p w14:paraId="60EDD3C5" w14:textId="16D615AF" w:rsidR="0077173F" w:rsidRDefault="0077173F">
      <w:pPr>
        <w:pStyle w:val="FootnoteText"/>
      </w:pPr>
      <w:r>
        <w:rPr>
          <w:rStyle w:val="FootnoteReference"/>
        </w:rPr>
        <w:footnoteRef/>
      </w:r>
      <w:r>
        <w:t xml:space="preserve"> Kaplan 1977: 101</w:t>
      </w:r>
    </w:p>
    <w:p w14:paraId="2E0A9E16" w14:textId="685F7EB7" w:rsidR="0077173F" w:rsidRDefault="0077173F">
      <w:pPr>
        <w:pStyle w:val="FootnoteText"/>
      </w:pPr>
    </w:p>
    <w:p w14:paraId="328D32AF" w14:textId="6DDE353E" w:rsidR="0077173F" w:rsidRDefault="0077173F">
      <w:pPr>
        <w:pStyle w:val="FootnoteText"/>
      </w:pPr>
    </w:p>
    <w:p w14:paraId="1ABD5FC8" w14:textId="77777777" w:rsidR="0077173F" w:rsidRDefault="0077173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CC9DCE"/>
    <w:rsid w:val="0000156D"/>
    <w:rsid w:val="0001409C"/>
    <w:rsid w:val="00017C71"/>
    <w:rsid w:val="00035EE5"/>
    <w:rsid w:val="00042974"/>
    <w:rsid w:val="00046400"/>
    <w:rsid w:val="00050D3A"/>
    <w:rsid w:val="000544C7"/>
    <w:rsid w:val="00054615"/>
    <w:rsid w:val="0005673D"/>
    <w:rsid w:val="000638DD"/>
    <w:rsid w:val="00070681"/>
    <w:rsid w:val="0007733B"/>
    <w:rsid w:val="000847B0"/>
    <w:rsid w:val="00090144"/>
    <w:rsid w:val="00092F8D"/>
    <w:rsid w:val="00093F6E"/>
    <w:rsid w:val="000A1B1F"/>
    <w:rsid w:val="000A6239"/>
    <w:rsid w:val="000A66DA"/>
    <w:rsid w:val="000B1FB6"/>
    <w:rsid w:val="000B4F06"/>
    <w:rsid w:val="000B6F32"/>
    <w:rsid w:val="000D3DF6"/>
    <w:rsid w:val="000D73AF"/>
    <w:rsid w:val="000E02B2"/>
    <w:rsid w:val="000E432C"/>
    <w:rsid w:val="000E5E49"/>
    <w:rsid w:val="000F22D5"/>
    <w:rsid w:val="000F417E"/>
    <w:rsid w:val="00101730"/>
    <w:rsid w:val="0010267C"/>
    <w:rsid w:val="00105274"/>
    <w:rsid w:val="00107367"/>
    <w:rsid w:val="001103F6"/>
    <w:rsid w:val="001116CE"/>
    <w:rsid w:val="00123117"/>
    <w:rsid w:val="00124A14"/>
    <w:rsid w:val="001342AC"/>
    <w:rsid w:val="00152091"/>
    <w:rsid w:val="001758D6"/>
    <w:rsid w:val="00182A7D"/>
    <w:rsid w:val="00193084"/>
    <w:rsid w:val="001A143C"/>
    <w:rsid w:val="001A3499"/>
    <w:rsid w:val="001A5032"/>
    <w:rsid w:val="001A7EA4"/>
    <w:rsid w:val="001B4613"/>
    <w:rsid w:val="001C174D"/>
    <w:rsid w:val="001D1677"/>
    <w:rsid w:val="001D2C9A"/>
    <w:rsid w:val="001D2E57"/>
    <w:rsid w:val="002148FB"/>
    <w:rsid w:val="00217D6F"/>
    <w:rsid w:val="00222F2A"/>
    <w:rsid w:val="00236513"/>
    <w:rsid w:val="00242696"/>
    <w:rsid w:val="00242809"/>
    <w:rsid w:val="00243656"/>
    <w:rsid w:val="00243832"/>
    <w:rsid w:val="00244805"/>
    <w:rsid w:val="00285B8C"/>
    <w:rsid w:val="002A2F77"/>
    <w:rsid w:val="002A5729"/>
    <w:rsid w:val="002C6CD2"/>
    <w:rsid w:val="002D23D8"/>
    <w:rsid w:val="002E29AA"/>
    <w:rsid w:val="002E52E8"/>
    <w:rsid w:val="002F1753"/>
    <w:rsid w:val="002F2DC8"/>
    <w:rsid w:val="002F44C6"/>
    <w:rsid w:val="002F75E9"/>
    <w:rsid w:val="00313A50"/>
    <w:rsid w:val="003151AB"/>
    <w:rsid w:val="0032059D"/>
    <w:rsid w:val="00340553"/>
    <w:rsid w:val="00344473"/>
    <w:rsid w:val="0034683A"/>
    <w:rsid w:val="00347F86"/>
    <w:rsid w:val="00361F3C"/>
    <w:rsid w:val="00366544"/>
    <w:rsid w:val="00380B34"/>
    <w:rsid w:val="00387990"/>
    <w:rsid w:val="00395829"/>
    <w:rsid w:val="0039620D"/>
    <w:rsid w:val="003B14FF"/>
    <w:rsid w:val="003B6D5C"/>
    <w:rsid w:val="003C2D2D"/>
    <w:rsid w:val="003C3AC5"/>
    <w:rsid w:val="003C7044"/>
    <w:rsid w:val="003E48EC"/>
    <w:rsid w:val="003E5207"/>
    <w:rsid w:val="003E667B"/>
    <w:rsid w:val="0040138C"/>
    <w:rsid w:val="00405D7C"/>
    <w:rsid w:val="00416708"/>
    <w:rsid w:val="00426387"/>
    <w:rsid w:val="004404D8"/>
    <w:rsid w:val="0044555C"/>
    <w:rsid w:val="00446410"/>
    <w:rsid w:val="00446573"/>
    <w:rsid w:val="00447EFA"/>
    <w:rsid w:val="00455B3D"/>
    <w:rsid w:val="00457F91"/>
    <w:rsid w:val="0046030C"/>
    <w:rsid w:val="004654C4"/>
    <w:rsid w:val="0047154A"/>
    <w:rsid w:val="0047672C"/>
    <w:rsid w:val="00490E65"/>
    <w:rsid w:val="00495D4F"/>
    <w:rsid w:val="004A2AFE"/>
    <w:rsid w:val="004B0052"/>
    <w:rsid w:val="004B121A"/>
    <w:rsid w:val="004C00CE"/>
    <w:rsid w:val="004D1A40"/>
    <w:rsid w:val="004D221D"/>
    <w:rsid w:val="004E0149"/>
    <w:rsid w:val="004E4A09"/>
    <w:rsid w:val="004E4CB8"/>
    <w:rsid w:val="004F0108"/>
    <w:rsid w:val="004F396A"/>
    <w:rsid w:val="004F4D57"/>
    <w:rsid w:val="004F525A"/>
    <w:rsid w:val="004F6423"/>
    <w:rsid w:val="004F6FA2"/>
    <w:rsid w:val="004F70B8"/>
    <w:rsid w:val="00501C93"/>
    <w:rsid w:val="0051077A"/>
    <w:rsid w:val="0051159D"/>
    <w:rsid w:val="00520813"/>
    <w:rsid w:val="00527055"/>
    <w:rsid w:val="00531D0C"/>
    <w:rsid w:val="005418DC"/>
    <w:rsid w:val="00555767"/>
    <w:rsid w:val="00563748"/>
    <w:rsid w:val="00570238"/>
    <w:rsid w:val="00574DE3"/>
    <w:rsid w:val="005777A4"/>
    <w:rsid w:val="00583986"/>
    <w:rsid w:val="005A2AE4"/>
    <w:rsid w:val="005A4F56"/>
    <w:rsid w:val="005A6E8E"/>
    <w:rsid w:val="005B150A"/>
    <w:rsid w:val="005B742C"/>
    <w:rsid w:val="005C3706"/>
    <w:rsid w:val="005C615C"/>
    <w:rsid w:val="005D57DA"/>
    <w:rsid w:val="005E22B2"/>
    <w:rsid w:val="005E73D6"/>
    <w:rsid w:val="005F0520"/>
    <w:rsid w:val="005F1339"/>
    <w:rsid w:val="005F1D98"/>
    <w:rsid w:val="005F3836"/>
    <w:rsid w:val="00604A65"/>
    <w:rsid w:val="00616DA0"/>
    <w:rsid w:val="00617D4E"/>
    <w:rsid w:val="00620803"/>
    <w:rsid w:val="00634EB7"/>
    <w:rsid w:val="0063753A"/>
    <w:rsid w:val="00641B33"/>
    <w:rsid w:val="0064508F"/>
    <w:rsid w:val="00645C67"/>
    <w:rsid w:val="00653996"/>
    <w:rsid w:val="00662CC8"/>
    <w:rsid w:val="00665424"/>
    <w:rsid w:val="006656F9"/>
    <w:rsid w:val="006755EC"/>
    <w:rsid w:val="006907BC"/>
    <w:rsid w:val="00692983"/>
    <w:rsid w:val="006B1037"/>
    <w:rsid w:val="006B4BA9"/>
    <w:rsid w:val="006B6EC3"/>
    <w:rsid w:val="006B77B9"/>
    <w:rsid w:val="006C2276"/>
    <w:rsid w:val="006E35D9"/>
    <w:rsid w:val="006E7475"/>
    <w:rsid w:val="006F2817"/>
    <w:rsid w:val="006F3ACB"/>
    <w:rsid w:val="00701846"/>
    <w:rsid w:val="00706850"/>
    <w:rsid w:val="00720623"/>
    <w:rsid w:val="007252C8"/>
    <w:rsid w:val="00741191"/>
    <w:rsid w:val="00747471"/>
    <w:rsid w:val="007535AC"/>
    <w:rsid w:val="00766D56"/>
    <w:rsid w:val="00770117"/>
    <w:rsid w:val="0077170F"/>
    <w:rsid w:val="0077173F"/>
    <w:rsid w:val="007745A8"/>
    <w:rsid w:val="00776793"/>
    <w:rsid w:val="00777AED"/>
    <w:rsid w:val="00782A35"/>
    <w:rsid w:val="00785C30"/>
    <w:rsid w:val="00786911"/>
    <w:rsid w:val="00796651"/>
    <w:rsid w:val="00797584"/>
    <w:rsid w:val="007A18F5"/>
    <w:rsid w:val="007A5BBA"/>
    <w:rsid w:val="007A7872"/>
    <w:rsid w:val="007B6925"/>
    <w:rsid w:val="007C085C"/>
    <w:rsid w:val="007C2572"/>
    <w:rsid w:val="007C2D5A"/>
    <w:rsid w:val="007E0DE6"/>
    <w:rsid w:val="007E4DEC"/>
    <w:rsid w:val="007F4E56"/>
    <w:rsid w:val="007F5C43"/>
    <w:rsid w:val="007F7857"/>
    <w:rsid w:val="00814791"/>
    <w:rsid w:val="00833B09"/>
    <w:rsid w:val="00837A5A"/>
    <w:rsid w:val="00846B13"/>
    <w:rsid w:val="008502B6"/>
    <w:rsid w:val="00850EC1"/>
    <w:rsid w:val="00851B65"/>
    <w:rsid w:val="008532FE"/>
    <w:rsid w:val="008549D5"/>
    <w:rsid w:val="00854C11"/>
    <w:rsid w:val="00865C22"/>
    <w:rsid w:val="00882AE2"/>
    <w:rsid w:val="00887C87"/>
    <w:rsid w:val="008B55FA"/>
    <w:rsid w:val="008C22D0"/>
    <w:rsid w:val="008C2C91"/>
    <w:rsid w:val="008D0179"/>
    <w:rsid w:val="008D04D3"/>
    <w:rsid w:val="008E0CF2"/>
    <w:rsid w:val="008E2105"/>
    <w:rsid w:val="008F6EAD"/>
    <w:rsid w:val="008F7D53"/>
    <w:rsid w:val="00901C48"/>
    <w:rsid w:val="009029F7"/>
    <w:rsid w:val="0091365A"/>
    <w:rsid w:val="009138F4"/>
    <w:rsid w:val="0091448B"/>
    <w:rsid w:val="00914660"/>
    <w:rsid w:val="00915A7F"/>
    <w:rsid w:val="00917725"/>
    <w:rsid w:val="00927CE5"/>
    <w:rsid w:val="009349BC"/>
    <w:rsid w:val="009427B1"/>
    <w:rsid w:val="00953EA8"/>
    <w:rsid w:val="00956C98"/>
    <w:rsid w:val="00956EBC"/>
    <w:rsid w:val="0096448D"/>
    <w:rsid w:val="00964563"/>
    <w:rsid w:val="00964783"/>
    <w:rsid w:val="00965B64"/>
    <w:rsid w:val="00993FF8"/>
    <w:rsid w:val="009B0C6C"/>
    <w:rsid w:val="009B42FC"/>
    <w:rsid w:val="009B5ABB"/>
    <w:rsid w:val="009C4132"/>
    <w:rsid w:val="009C700F"/>
    <w:rsid w:val="009D6509"/>
    <w:rsid w:val="009E143A"/>
    <w:rsid w:val="009E442B"/>
    <w:rsid w:val="009F740E"/>
    <w:rsid w:val="00A06A09"/>
    <w:rsid w:val="00A11A94"/>
    <w:rsid w:val="00A124E0"/>
    <w:rsid w:val="00A141F1"/>
    <w:rsid w:val="00A17590"/>
    <w:rsid w:val="00A2547A"/>
    <w:rsid w:val="00A329DE"/>
    <w:rsid w:val="00A34006"/>
    <w:rsid w:val="00A4383E"/>
    <w:rsid w:val="00A44F88"/>
    <w:rsid w:val="00A44F96"/>
    <w:rsid w:val="00A45E23"/>
    <w:rsid w:val="00A51F12"/>
    <w:rsid w:val="00A60799"/>
    <w:rsid w:val="00A62ABD"/>
    <w:rsid w:val="00A7159C"/>
    <w:rsid w:val="00A75CDC"/>
    <w:rsid w:val="00A768E6"/>
    <w:rsid w:val="00A7778A"/>
    <w:rsid w:val="00A822BE"/>
    <w:rsid w:val="00A958AB"/>
    <w:rsid w:val="00AA08E0"/>
    <w:rsid w:val="00AC03FF"/>
    <w:rsid w:val="00AC7FD7"/>
    <w:rsid w:val="00AE157A"/>
    <w:rsid w:val="00AE38B8"/>
    <w:rsid w:val="00AE3B81"/>
    <w:rsid w:val="00AF4339"/>
    <w:rsid w:val="00AF5624"/>
    <w:rsid w:val="00AF6933"/>
    <w:rsid w:val="00B01498"/>
    <w:rsid w:val="00B25249"/>
    <w:rsid w:val="00B36247"/>
    <w:rsid w:val="00B40C3F"/>
    <w:rsid w:val="00B423A9"/>
    <w:rsid w:val="00B42BBF"/>
    <w:rsid w:val="00B44539"/>
    <w:rsid w:val="00B51A0C"/>
    <w:rsid w:val="00B531FB"/>
    <w:rsid w:val="00B62F8A"/>
    <w:rsid w:val="00B639B9"/>
    <w:rsid w:val="00B75B61"/>
    <w:rsid w:val="00B75BCB"/>
    <w:rsid w:val="00B81AA4"/>
    <w:rsid w:val="00B83F17"/>
    <w:rsid w:val="00B8702D"/>
    <w:rsid w:val="00B91CA6"/>
    <w:rsid w:val="00BA456E"/>
    <w:rsid w:val="00BA4D23"/>
    <w:rsid w:val="00BA58F1"/>
    <w:rsid w:val="00BB2BB2"/>
    <w:rsid w:val="00BB5223"/>
    <w:rsid w:val="00BC1C7B"/>
    <w:rsid w:val="00BD0C64"/>
    <w:rsid w:val="00BD0CC3"/>
    <w:rsid w:val="00BE1278"/>
    <w:rsid w:val="00BE2D10"/>
    <w:rsid w:val="00C02233"/>
    <w:rsid w:val="00C02BFB"/>
    <w:rsid w:val="00C0331A"/>
    <w:rsid w:val="00C03EAF"/>
    <w:rsid w:val="00C047A6"/>
    <w:rsid w:val="00C1498F"/>
    <w:rsid w:val="00C37306"/>
    <w:rsid w:val="00C40920"/>
    <w:rsid w:val="00C425CA"/>
    <w:rsid w:val="00C568D4"/>
    <w:rsid w:val="00C70031"/>
    <w:rsid w:val="00C70BD0"/>
    <w:rsid w:val="00C767A6"/>
    <w:rsid w:val="00C87925"/>
    <w:rsid w:val="00C931D9"/>
    <w:rsid w:val="00C944D1"/>
    <w:rsid w:val="00CA39BE"/>
    <w:rsid w:val="00CA4787"/>
    <w:rsid w:val="00CA65AD"/>
    <w:rsid w:val="00CA7BD8"/>
    <w:rsid w:val="00CB6B9C"/>
    <w:rsid w:val="00CC3BB4"/>
    <w:rsid w:val="00CC4502"/>
    <w:rsid w:val="00CD3DC5"/>
    <w:rsid w:val="00CE0D32"/>
    <w:rsid w:val="00CF0248"/>
    <w:rsid w:val="00CF1738"/>
    <w:rsid w:val="00D05867"/>
    <w:rsid w:val="00D1035E"/>
    <w:rsid w:val="00D14E32"/>
    <w:rsid w:val="00D177AD"/>
    <w:rsid w:val="00D22781"/>
    <w:rsid w:val="00D26FC6"/>
    <w:rsid w:val="00D322F7"/>
    <w:rsid w:val="00D367C4"/>
    <w:rsid w:val="00D42E6E"/>
    <w:rsid w:val="00D53B15"/>
    <w:rsid w:val="00D551D6"/>
    <w:rsid w:val="00D57D6E"/>
    <w:rsid w:val="00D66E47"/>
    <w:rsid w:val="00D71261"/>
    <w:rsid w:val="00D8329B"/>
    <w:rsid w:val="00D903CA"/>
    <w:rsid w:val="00D91217"/>
    <w:rsid w:val="00D94962"/>
    <w:rsid w:val="00D97F4D"/>
    <w:rsid w:val="00DA2A9B"/>
    <w:rsid w:val="00DB048A"/>
    <w:rsid w:val="00DB116A"/>
    <w:rsid w:val="00DB2887"/>
    <w:rsid w:val="00DC5547"/>
    <w:rsid w:val="00DD21E6"/>
    <w:rsid w:val="00DD5976"/>
    <w:rsid w:val="00DD5ED9"/>
    <w:rsid w:val="00DE5BAB"/>
    <w:rsid w:val="00DF2498"/>
    <w:rsid w:val="00E03FA8"/>
    <w:rsid w:val="00E1037C"/>
    <w:rsid w:val="00E232FA"/>
    <w:rsid w:val="00E23BB9"/>
    <w:rsid w:val="00E25817"/>
    <w:rsid w:val="00E43386"/>
    <w:rsid w:val="00E539E2"/>
    <w:rsid w:val="00E67777"/>
    <w:rsid w:val="00E76A0A"/>
    <w:rsid w:val="00E7780D"/>
    <w:rsid w:val="00E83282"/>
    <w:rsid w:val="00E9404B"/>
    <w:rsid w:val="00E95B9F"/>
    <w:rsid w:val="00EA044D"/>
    <w:rsid w:val="00EA1483"/>
    <w:rsid w:val="00EA7566"/>
    <w:rsid w:val="00EB554D"/>
    <w:rsid w:val="00EC43DB"/>
    <w:rsid w:val="00ED58BD"/>
    <w:rsid w:val="00ED6424"/>
    <w:rsid w:val="00ED6B61"/>
    <w:rsid w:val="00EE12BD"/>
    <w:rsid w:val="00EE2D38"/>
    <w:rsid w:val="00EF0FA0"/>
    <w:rsid w:val="00EF4F54"/>
    <w:rsid w:val="00F40B21"/>
    <w:rsid w:val="00F52D4C"/>
    <w:rsid w:val="00F607BE"/>
    <w:rsid w:val="00F6112E"/>
    <w:rsid w:val="00F86C2C"/>
    <w:rsid w:val="00F968AD"/>
    <w:rsid w:val="00F97175"/>
    <w:rsid w:val="00FA18D1"/>
    <w:rsid w:val="00FB7F76"/>
    <w:rsid w:val="00FC00AE"/>
    <w:rsid w:val="00FC2249"/>
    <w:rsid w:val="00FC2D11"/>
    <w:rsid w:val="00FC7DF9"/>
    <w:rsid w:val="00FD47D1"/>
    <w:rsid w:val="00FD7D7D"/>
    <w:rsid w:val="00FE722C"/>
    <w:rsid w:val="00FF002F"/>
    <w:rsid w:val="00FF01C3"/>
    <w:rsid w:val="00FF384A"/>
    <w:rsid w:val="00FF4A74"/>
    <w:rsid w:val="00FF5C7F"/>
    <w:rsid w:val="04FF6CFC"/>
    <w:rsid w:val="0B09504C"/>
    <w:rsid w:val="2109BAA8"/>
    <w:rsid w:val="222F3F41"/>
    <w:rsid w:val="27466333"/>
    <w:rsid w:val="2CF21E34"/>
    <w:rsid w:val="35CC9DCE"/>
    <w:rsid w:val="595FE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9DCE"/>
  <w15:chartTrackingRefBased/>
  <w15:docId w15:val="{FA1DEF25-57A7-43AD-812C-B319931F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8F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Header">
    <w:name w:val="header"/>
    <w:basedOn w:val="Normal"/>
    <w:link w:val="HeaderChar"/>
    <w:uiPriority w:val="99"/>
    <w:semiHidden/>
    <w:unhideWhenUsed/>
    <w:rsid w:val="00D903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903CA"/>
  </w:style>
  <w:style w:type="paragraph" w:styleId="Footer">
    <w:name w:val="footer"/>
    <w:basedOn w:val="Normal"/>
    <w:link w:val="FooterChar"/>
    <w:uiPriority w:val="99"/>
    <w:semiHidden/>
    <w:unhideWhenUsed/>
    <w:rsid w:val="00D903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903CA"/>
  </w:style>
  <w:style w:type="character" w:customStyle="1" w:styleId="Heading1Char">
    <w:name w:val="Heading 1 Char"/>
    <w:basedOn w:val="DefaultParagraphFont"/>
    <w:link w:val="Heading1"/>
    <w:uiPriority w:val="9"/>
    <w:rsid w:val="002148FB"/>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664CFA-7267-4880-8EAB-0950506DB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2431</Words>
  <Characters>13861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Brinelle Cladson james (1602107)</dc:creator>
  <cp:keywords/>
  <dc:description/>
  <cp:lastModifiedBy>Brinelle Cladson james (1602107)</cp:lastModifiedBy>
  <cp:revision>3</cp:revision>
  <dcterms:created xsi:type="dcterms:W3CDTF">2018-05-24T22:35:00Z</dcterms:created>
  <dcterms:modified xsi:type="dcterms:W3CDTF">2018-05-24T22:51:00Z</dcterms:modified>
</cp:coreProperties>
</file>