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807469" w14:textId="77777777" w:rsidR="003D3EB7" w:rsidRDefault="002D1E82">
      <w:pPr>
        <w:rPr>
          <w:u w:val="single"/>
        </w:rPr>
      </w:pPr>
      <w:r w:rsidRPr="002D1E82">
        <w:rPr>
          <w:u w:val="single"/>
        </w:rPr>
        <w:t>Describe and critically assess Rousseau’s account of the ‘General Will’</w:t>
      </w:r>
      <w:r>
        <w:rPr>
          <w:u w:val="single"/>
        </w:rPr>
        <w:t>.</w:t>
      </w:r>
    </w:p>
    <w:p w14:paraId="6DD6A440" w14:textId="1A3BE1AB" w:rsidR="002D1E82" w:rsidRDefault="00AF5D5A" w:rsidP="00EE315B">
      <w:pPr>
        <w:ind w:firstLine="720"/>
        <w:rPr>
          <w:u w:val="single"/>
        </w:rPr>
      </w:pPr>
      <w:r w:rsidRPr="00814F31">
        <w:t>I</w:t>
      </w:r>
      <w:r w:rsidR="00E72B17" w:rsidRPr="00814F31">
        <w:t>n this essay</w:t>
      </w:r>
      <w:r w:rsidRPr="00814F31">
        <w:t xml:space="preserve"> </w:t>
      </w:r>
      <w:r w:rsidR="00814F31" w:rsidRPr="00814F31">
        <w:t xml:space="preserve">I </w:t>
      </w:r>
      <w:r w:rsidRPr="00814F31">
        <w:t xml:space="preserve">intend to describe and critically assess Rousseau’s account of what he calls the ‘General </w:t>
      </w:r>
      <w:r w:rsidR="00E068B4" w:rsidRPr="00814F31">
        <w:t xml:space="preserve">Will’. I will start by outlining what the General Will is, moving onto why Rousseau thinks that the General Will is important. I will look at </w:t>
      </w:r>
      <w:r w:rsidR="00814F31" w:rsidRPr="00814F31">
        <w:t>an opposition of this view, argued by Constant that the general will does not work when looking to the future of political theory</w:t>
      </w:r>
      <w:r w:rsidR="00E068B4" w:rsidRPr="00814F31">
        <w:t xml:space="preserve"> and </w:t>
      </w:r>
      <w:r w:rsidR="00814F31" w:rsidRPr="00814F31">
        <w:t xml:space="preserve">I will </w:t>
      </w:r>
      <w:r w:rsidR="00E068B4" w:rsidRPr="00814F31">
        <w:t xml:space="preserve">conclude by saying </w:t>
      </w:r>
      <w:r w:rsidR="00814F31" w:rsidRPr="00814F31">
        <w:t>that the General Will, while a good theory does not have the sustainability required to be a successful political theory through the ages.</w:t>
      </w:r>
      <w:r w:rsidR="002D1E82" w:rsidRPr="002D1E82">
        <w:rPr>
          <w:u w:val="single"/>
        </w:rPr>
        <w:t xml:space="preserve"> </w:t>
      </w:r>
    </w:p>
    <w:p w14:paraId="4D613DCE" w14:textId="5CFF4B77" w:rsidR="008A3DE1" w:rsidRDefault="00253767" w:rsidP="00EE315B">
      <w:pPr>
        <w:ind w:firstLine="720"/>
      </w:pPr>
      <w:r>
        <w:t xml:space="preserve">The General Will </w:t>
      </w:r>
      <w:r w:rsidR="00BB480E">
        <w:t xml:space="preserve">is a political philosophical theory </w:t>
      </w:r>
      <w:r w:rsidR="00F7763F">
        <w:t>put forward</w:t>
      </w:r>
      <w:r w:rsidR="00BB480E">
        <w:t xml:space="preserve"> by Jean-Jacques Rousseau in his work </w:t>
      </w:r>
      <w:r w:rsidR="00BB480E" w:rsidRPr="00BB480E">
        <w:rPr>
          <w:i/>
        </w:rPr>
        <w:t>The Social Contract</w:t>
      </w:r>
      <w:r w:rsidR="00782A79">
        <w:rPr>
          <w:rStyle w:val="FootnoteReference"/>
          <w:i/>
        </w:rPr>
        <w:footnoteReference w:id="1"/>
      </w:r>
      <w:r w:rsidR="00F7763F">
        <w:rPr>
          <w:i/>
        </w:rPr>
        <w:t xml:space="preserve">. </w:t>
      </w:r>
      <w:r w:rsidR="00F7763F">
        <w:t>He outlines that the general will is what the citizens of a state have agreed upon as a collective consensus.</w:t>
      </w:r>
      <w:r w:rsidR="000B17E4">
        <w:t xml:space="preserve"> For example</w:t>
      </w:r>
      <w:r w:rsidR="0031022A">
        <w:t>,</w:t>
      </w:r>
      <w:r w:rsidR="000B17E4">
        <w:t xml:space="preserve"> if it is decreed that people ought to be punished for any wrongdoing then it is in my personal interest to agree with this will as it is beneficial to me and others around me</w:t>
      </w:r>
      <w:r w:rsidR="008A3DE1">
        <w:t xml:space="preserve">. </w:t>
      </w:r>
      <w:r w:rsidR="008A3DE1" w:rsidRPr="00814F31">
        <w:t xml:space="preserve">Some might question this view </w:t>
      </w:r>
      <w:r w:rsidR="009B3D5B" w:rsidRPr="00814F31">
        <w:t>if</w:t>
      </w:r>
      <w:r w:rsidR="008A3DE1" w:rsidRPr="00814F31">
        <w:t xml:space="preserve"> it falls as a misalignment with their own personal beliefs.</w:t>
      </w:r>
      <w:r w:rsidR="008A3DE1">
        <w:t xml:space="preserve"> </w:t>
      </w:r>
      <w:r w:rsidR="00B20A5D">
        <w:t xml:space="preserve">Rousseau would argue </w:t>
      </w:r>
      <w:r w:rsidR="00814F31">
        <w:t xml:space="preserve">in defence of the general will, </w:t>
      </w:r>
      <w:r w:rsidR="00B20A5D">
        <w:t>that the general will</w:t>
      </w:r>
      <w:r w:rsidR="00D90E8C">
        <w:t xml:space="preserve"> and the will of all differ</w:t>
      </w:r>
      <w:r w:rsidR="0001747F">
        <w:t>,</w:t>
      </w:r>
      <w:r w:rsidR="00D90E8C">
        <w:t xml:space="preserve"> however what we take away from </w:t>
      </w:r>
      <w:r w:rsidR="00E303A2">
        <w:t>both</w:t>
      </w:r>
      <w:r w:rsidR="00D90E8C">
        <w:t xml:space="preserve"> wills</w:t>
      </w:r>
      <w:r w:rsidR="00982D0E">
        <w:t>, ‘the pluses and minuses which cancel each other out, the sum of the difference is the general will.’</w:t>
      </w:r>
      <w:r w:rsidR="00982D0E">
        <w:rPr>
          <w:rStyle w:val="FootnoteReference"/>
        </w:rPr>
        <w:footnoteReference w:id="2"/>
      </w:r>
      <w:r w:rsidR="00A866AC">
        <w:t xml:space="preserve"> </w:t>
      </w:r>
    </w:p>
    <w:p w14:paraId="221F0CB0" w14:textId="6284E01E" w:rsidR="000B5FC8" w:rsidRDefault="00F7763F" w:rsidP="00EE315B">
      <w:pPr>
        <w:ind w:firstLine="720"/>
      </w:pPr>
      <w:r>
        <w:t xml:space="preserve">Another interpretation </w:t>
      </w:r>
      <w:r w:rsidR="00A37CF4">
        <w:t>could be argued as</w:t>
      </w:r>
      <w:r>
        <w:t xml:space="preserve"> ‘the general will is the transcendent incarnation of the citizens’ common interest that exists in abstraction from what any of them actually wants.’</w:t>
      </w:r>
      <w:r>
        <w:rPr>
          <w:rStyle w:val="FootnoteReference"/>
        </w:rPr>
        <w:footnoteReference w:id="3"/>
      </w:r>
      <w:r w:rsidR="003F2646">
        <w:t xml:space="preserve"> Simply put, the general will exists above the will of all </w:t>
      </w:r>
      <w:r w:rsidR="00E77E58">
        <w:t xml:space="preserve">in the hierarchy of deliberation. </w:t>
      </w:r>
      <w:r w:rsidR="00952340">
        <w:t>Similarly,</w:t>
      </w:r>
      <w:r w:rsidR="00463613">
        <w:t xml:space="preserve"> to the first interpretation given, </w:t>
      </w:r>
      <w:r w:rsidR="00E305C7">
        <w:t xml:space="preserve">both wills are used in deliberation but </w:t>
      </w:r>
      <w:r w:rsidR="00985AE2">
        <w:t xml:space="preserve">in this interpretation the general will always takes precedence as opposed to the first interpretation. </w:t>
      </w:r>
    </w:p>
    <w:p w14:paraId="3BEDAFBB" w14:textId="4B7E4C55" w:rsidR="00952340" w:rsidRDefault="00952340" w:rsidP="00EE315B">
      <w:pPr>
        <w:ind w:firstLine="720"/>
      </w:pPr>
      <w:r>
        <w:t xml:space="preserve">For my discussion I will be using the first interpretation as the intended interpretation of the general will. </w:t>
      </w:r>
      <w:r w:rsidR="00D86118">
        <w:t xml:space="preserve">The importance of the general will is </w:t>
      </w:r>
      <w:r w:rsidR="00E25762">
        <w:t>that there is a uniformity in society, every citizen is seen as being an equal part of the state. This allows for each citizen to be included in decisions that affect them, the outcome of which each citizen partakes in, allows for the opportunity to be a part of something that is relevant to their personal will (the will of all).</w:t>
      </w:r>
      <w:r w:rsidR="0001201D">
        <w:t xml:space="preserve"> </w:t>
      </w:r>
      <w:r w:rsidR="00EE315B" w:rsidRPr="00814F31">
        <w:t>‘</w:t>
      </w:r>
      <w:r w:rsidR="00EE315B" w:rsidRPr="00814F31">
        <w:t>Each of us puts his person and all his power in common under</w:t>
      </w:r>
      <w:r w:rsidR="00EE315B" w:rsidRPr="00814F31">
        <w:t xml:space="preserve"> </w:t>
      </w:r>
      <w:r w:rsidR="00EE315B" w:rsidRPr="00814F31">
        <w:t>the supreme direction of the general will, and, in our corporate</w:t>
      </w:r>
      <w:r w:rsidR="00EE315B" w:rsidRPr="00814F31">
        <w:t xml:space="preserve"> </w:t>
      </w:r>
      <w:r w:rsidR="00EE315B" w:rsidRPr="00814F31">
        <w:t>capacity, we receive each member as an indivisible part of the</w:t>
      </w:r>
      <w:r w:rsidR="00EE315B" w:rsidRPr="00814F31">
        <w:t xml:space="preserve"> </w:t>
      </w:r>
      <w:r w:rsidR="00EE315B" w:rsidRPr="00814F31">
        <w:t>whole</w:t>
      </w:r>
      <w:r w:rsidR="00EE315B" w:rsidRPr="00814F31">
        <w:t>’</w:t>
      </w:r>
      <w:r w:rsidR="00EE315B" w:rsidRPr="00EE315B">
        <w:rPr>
          <w:i/>
        </w:rPr>
        <w:t>.</w:t>
      </w:r>
      <w:r w:rsidR="00EE315B">
        <w:rPr>
          <w:rStyle w:val="FootnoteReference"/>
          <w:i/>
        </w:rPr>
        <w:footnoteReference w:id="4"/>
      </w:r>
      <w:r w:rsidR="00EE315B">
        <w:t xml:space="preserve"> </w:t>
      </w:r>
      <w:r w:rsidR="0001201D">
        <w:t>Take a</w:t>
      </w:r>
      <w:r w:rsidR="00E6728E">
        <w:t xml:space="preserve"> political</w:t>
      </w:r>
      <w:r w:rsidR="0001201D">
        <w:t xml:space="preserve"> election for example, there are opposing parties that are vying for the rule of the country, people vote for which party is most beneficial to their country, rather than what is solely best for their individual needs. </w:t>
      </w:r>
      <w:r w:rsidR="0087458B">
        <w:t xml:space="preserve">Furthermore, the importance of the general will is the impartiality of the state. It is </w:t>
      </w:r>
      <w:r w:rsidR="009B70A1">
        <w:t>not to be used as exploitation for the individual’s need, but to bring forth the best for the collective need.</w:t>
      </w:r>
    </w:p>
    <w:p w14:paraId="1C71C26B" w14:textId="77777777" w:rsidR="00E6728E" w:rsidRDefault="00B70FD1" w:rsidP="00EE315B">
      <w:pPr>
        <w:ind w:firstLine="720"/>
      </w:pPr>
      <w:r w:rsidRPr="00E6728E">
        <w:t xml:space="preserve">Objections to the general will have been put forth by several philosophers, </w:t>
      </w:r>
      <w:r w:rsidR="00F85B7C" w:rsidRPr="00E6728E">
        <w:t>including</w:t>
      </w:r>
      <w:r w:rsidRPr="00E6728E">
        <w:t xml:space="preserve"> </w:t>
      </w:r>
      <w:r w:rsidR="00AD7726" w:rsidRPr="00E6728E">
        <w:t xml:space="preserve">Benjamin </w:t>
      </w:r>
      <w:r w:rsidR="003637FE" w:rsidRPr="00E6728E">
        <w:t>Constant</w:t>
      </w:r>
      <w:r w:rsidRPr="00E6728E">
        <w:t xml:space="preserve"> who I will look to in </w:t>
      </w:r>
      <w:r w:rsidR="00E6728E" w:rsidRPr="00E6728E">
        <w:t xml:space="preserve">the following. </w:t>
      </w:r>
      <w:r w:rsidR="001078A2" w:rsidRPr="00E6728E">
        <w:t>Both Constant and Rousseau’s theories are derived from the same branch of political theory but are executed through opposition of each other’s.</w:t>
      </w:r>
      <w:r w:rsidR="007259FA" w:rsidRPr="00E6728E">
        <w:t xml:space="preserve"> </w:t>
      </w:r>
      <w:r w:rsidR="007259FA" w:rsidRPr="007259FA">
        <w:t>For Constant</w:t>
      </w:r>
      <w:r w:rsidR="001534B6">
        <w:t>,</w:t>
      </w:r>
      <w:r w:rsidR="007259FA" w:rsidRPr="007259FA">
        <w:t xml:space="preserve"> who looked to the future of political freedom</w:t>
      </w:r>
      <w:r w:rsidR="001534B6">
        <w:t>,</w:t>
      </w:r>
      <w:r w:rsidR="007259FA" w:rsidRPr="007259FA">
        <w:t xml:space="preserve"> found Rousseau’s method of </w:t>
      </w:r>
      <w:r w:rsidR="007259FA" w:rsidRPr="00E6728E">
        <w:t>expanding on ancient theory dangerous and stagnant.</w:t>
      </w:r>
      <w:r w:rsidR="00AD7726">
        <w:t xml:space="preserve"> </w:t>
      </w:r>
      <w:r w:rsidR="002D4230">
        <w:t xml:space="preserve">Constant </w:t>
      </w:r>
      <w:r w:rsidR="00905876">
        <w:t xml:space="preserve">questioned Rousseau’s theories and attempted to apply them to modern times rather than the ancient society they were written with in mind. </w:t>
      </w:r>
      <w:r w:rsidR="00DC297E">
        <w:t>He</w:t>
      </w:r>
      <w:r w:rsidR="00826BC0">
        <w:t xml:space="preserve"> argues that </w:t>
      </w:r>
      <w:r w:rsidR="007C14DB">
        <w:t>‘</w:t>
      </w:r>
      <w:r w:rsidR="00826BC0">
        <w:t xml:space="preserve">social conditions </w:t>
      </w:r>
      <w:r w:rsidR="007C14DB">
        <w:t>limit the political choices … appropriate to a particular historical epoch’.</w:t>
      </w:r>
      <w:r w:rsidR="007C14DB">
        <w:rPr>
          <w:rStyle w:val="FootnoteReference"/>
        </w:rPr>
        <w:footnoteReference w:id="5"/>
      </w:r>
      <w:r w:rsidR="007C14DB">
        <w:t xml:space="preserve"> Simply put, political choices that have worked in the past do not necessarily </w:t>
      </w:r>
      <w:r w:rsidR="007C14DB">
        <w:lastRenderedPageBreak/>
        <w:t xml:space="preserve">equate to what is relevant at the time of thought. </w:t>
      </w:r>
      <w:r w:rsidR="00441B59">
        <w:t>Further expanded</w:t>
      </w:r>
      <w:r w:rsidR="007C14DB">
        <w:t xml:space="preserve">, social constructs that existed in the time of Rousseau and Constant when applied to </w:t>
      </w:r>
      <w:r w:rsidR="00854A50">
        <w:t xml:space="preserve">the social constructs of </w:t>
      </w:r>
      <w:r w:rsidR="007C14DB">
        <w:t xml:space="preserve">modern day France do not ensure the success </w:t>
      </w:r>
      <w:r w:rsidR="00441B59">
        <w:t xml:space="preserve">of </w:t>
      </w:r>
      <w:r w:rsidR="007C14DB">
        <w:t>political theories</w:t>
      </w:r>
      <w:r w:rsidR="00E47F37">
        <w:t xml:space="preserve"> from</w:t>
      </w:r>
      <w:r w:rsidR="00441B59">
        <w:t xml:space="preserve"> the nineteenth century in the twenty-first century.</w:t>
      </w:r>
      <w:r w:rsidR="00905876">
        <w:t xml:space="preserve"> </w:t>
      </w:r>
    </w:p>
    <w:p w14:paraId="33AB4905" w14:textId="60C5769D" w:rsidR="002561F6" w:rsidRDefault="00905876" w:rsidP="00EE315B">
      <w:pPr>
        <w:ind w:firstLine="720"/>
      </w:pPr>
      <w:r>
        <w:t xml:space="preserve">Throughout Constant’s philosophical works he reached the same conclusion to his hypothetically posed question of ‘What would happen if Rousseau’s conception of liberty was applied to modern conditions?’. The conclusion </w:t>
      </w:r>
      <w:r w:rsidR="001534B6">
        <w:t xml:space="preserve">was </w:t>
      </w:r>
      <w:r>
        <w:t>that the political theory did not stand the test of time and would result in political tyranny.</w:t>
      </w:r>
      <w:r>
        <w:rPr>
          <w:rStyle w:val="FootnoteReference"/>
        </w:rPr>
        <w:footnoteReference w:id="6"/>
      </w:r>
      <w:r>
        <w:t xml:space="preserve"> </w:t>
      </w:r>
      <w:r w:rsidR="008E47BE">
        <w:t>It is important to clari</w:t>
      </w:r>
      <w:r w:rsidR="00BE15D2">
        <w:t>fy that Constant did not explicitly state that Rousseau was in favour of a tyrannical government but rather that his works could be used as a basis for those who wished to believe in a tyrannical government.</w:t>
      </w:r>
      <w:r w:rsidR="00642875">
        <w:rPr>
          <w:rStyle w:val="FootnoteReference"/>
        </w:rPr>
        <w:footnoteReference w:id="7"/>
      </w:r>
      <w:r w:rsidR="00BE15D2">
        <w:t xml:space="preserve"> </w:t>
      </w:r>
    </w:p>
    <w:p w14:paraId="22005636" w14:textId="7026F0D1" w:rsidR="00B70FD1" w:rsidRDefault="002561F6" w:rsidP="00EE315B">
      <w:pPr>
        <w:ind w:firstLine="720"/>
      </w:pPr>
      <w:r>
        <w:t xml:space="preserve">In conclusion, I have discussed the theory of the General Will created by Rousseau. </w:t>
      </w:r>
      <w:r w:rsidR="0021555F">
        <w:t xml:space="preserve">I explained what the General Will is and outlined that there are two main interpretations. </w:t>
      </w:r>
      <w:r w:rsidR="00BA6A8B">
        <w:t>I looked at an objection to Rousseau’s theory posed by Constant. I feel that both Rousseau and Constant</w:t>
      </w:r>
      <w:r w:rsidR="00AE6517">
        <w:t>’s</w:t>
      </w:r>
      <w:r w:rsidR="00BA6A8B">
        <w:t xml:space="preserve"> </w:t>
      </w:r>
      <w:r w:rsidR="00136052">
        <w:t xml:space="preserve">arguments are valid. </w:t>
      </w:r>
      <w:r w:rsidR="00BA6A8B">
        <w:t xml:space="preserve">Rousseau’s theory works as far </w:t>
      </w:r>
      <w:r w:rsidR="00AE6517">
        <w:t xml:space="preserve">as </w:t>
      </w:r>
      <w:r w:rsidR="00BA6A8B">
        <w:t xml:space="preserve">it </w:t>
      </w:r>
      <w:r w:rsidR="00AE6517">
        <w:t>can if</w:t>
      </w:r>
      <w:r w:rsidR="00BA6A8B">
        <w:t xml:space="preserve"> the circumstances in which it was created are taken into consideration.</w:t>
      </w:r>
      <w:r w:rsidR="00AE6517">
        <w:t xml:space="preserve"> The circumstances being that it was a political theory created with the ancient world in mind.</w:t>
      </w:r>
      <w:r w:rsidR="00BA6A8B">
        <w:t xml:space="preserve"> </w:t>
      </w:r>
      <w:r w:rsidR="00AE6517">
        <w:t xml:space="preserve">Whereas </w:t>
      </w:r>
      <w:r w:rsidR="00BA6A8B">
        <w:t xml:space="preserve">Constant’s objection of the </w:t>
      </w:r>
      <w:r w:rsidR="00136052">
        <w:t xml:space="preserve">success </w:t>
      </w:r>
      <w:r w:rsidR="00BA6A8B">
        <w:t>of the theory throughout the change of times speaks further to the sustainability of the theory of which sadly there is none.</w:t>
      </w:r>
      <w:r w:rsidR="00814F31">
        <w:t xml:space="preserve"> </w:t>
      </w:r>
    </w:p>
    <w:p w14:paraId="3F6B7D3E" w14:textId="19B082F3" w:rsidR="00540FB2" w:rsidRDefault="00540FB2" w:rsidP="00EE315B">
      <w:pPr>
        <w:ind w:firstLine="720"/>
      </w:pPr>
    </w:p>
    <w:p w14:paraId="239C6C6F" w14:textId="5978F86F" w:rsidR="00540FB2" w:rsidRDefault="00540FB2" w:rsidP="00540FB2">
      <w:pPr>
        <w:rPr>
          <w:u w:val="single"/>
        </w:rPr>
      </w:pPr>
      <w:r w:rsidRPr="00540FB2">
        <w:rPr>
          <w:u w:val="single"/>
        </w:rPr>
        <w:t>Bibliography</w:t>
      </w:r>
    </w:p>
    <w:p w14:paraId="0A6AA02B" w14:textId="176135C3" w:rsidR="00782A79" w:rsidRDefault="00490AC7" w:rsidP="00540FB2">
      <w:r w:rsidRPr="00490AC7">
        <w:t xml:space="preserve">Bertram, C. </w:t>
      </w:r>
      <w:r w:rsidRPr="00782A79">
        <w:rPr>
          <w:i/>
        </w:rPr>
        <w:t xml:space="preserve">Jean Jacques Rousseau (Stanford </w:t>
      </w:r>
      <w:proofErr w:type="spellStart"/>
      <w:r w:rsidRPr="00782A79">
        <w:rPr>
          <w:i/>
        </w:rPr>
        <w:t>Encyclopedia</w:t>
      </w:r>
      <w:proofErr w:type="spellEnd"/>
      <w:r w:rsidRPr="00782A79">
        <w:rPr>
          <w:i/>
        </w:rPr>
        <w:t xml:space="preserve"> of Philosophy).</w:t>
      </w:r>
      <w:r w:rsidRPr="00490AC7">
        <w:t xml:space="preserve"> [online] Plato.stanford.edu. Available at: </w:t>
      </w:r>
      <w:hyperlink r:id="rId7" w:history="1">
        <w:r w:rsidR="00782A79" w:rsidRPr="00554E9E">
          <w:rPr>
            <w:rStyle w:val="Hyperlink"/>
          </w:rPr>
          <w:t>https://plato.stanford.edu/entries/rousseau/</w:t>
        </w:r>
      </w:hyperlink>
      <w:r w:rsidR="00782A79">
        <w:t>, 201</w:t>
      </w:r>
      <w:r w:rsidR="00CB2261">
        <w:t>0.</w:t>
      </w:r>
      <w:r w:rsidRPr="00490AC7">
        <w:t xml:space="preserve"> </w:t>
      </w:r>
    </w:p>
    <w:p w14:paraId="44A9B8B6" w14:textId="3BD5119C" w:rsidR="00782A79" w:rsidRDefault="00782A79" w:rsidP="00540FB2">
      <w:proofErr w:type="spellStart"/>
      <w:r w:rsidRPr="00782A79">
        <w:t>Brint</w:t>
      </w:r>
      <w:proofErr w:type="spellEnd"/>
      <w:r w:rsidRPr="00782A79">
        <w:t>, M.</w:t>
      </w:r>
      <w:r>
        <w:t xml:space="preserve">, </w:t>
      </w:r>
      <w:r w:rsidRPr="00782A79">
        <w:t xml:space="preserve">Jean-Jacques Rousseau and Benjamin Constant: A Dialogue on Freedom and Tyranny. </w:t>
      </w:r>
      <w:r w:rsidRPr="00782A79">
        <w:rPr>
          <w:i/>
        </w:rPr>
        <w:t>The Review of Politics</w:t>
      </w:r>
      <w:r w:rsidRPr="00782A79">
        <w:t>, 47(03)</w:t>
      </w:r>
      <w:r>
        <w:t>, 1985.</w:t>
      </w:r>
    </w:p>
    <w:p w14:paraId="10DF9D28" w14:textId="0EB87E88" w:rsidR="00540FB2" w:rsidRDefault="00540FB2" w:rsidP="00540FB2">
      <w:r>
        <w:t xml:space="preserve">Rousseau, Jean-Jacques, </w:t>
      </w:r>
      <w:r w:rsidRPr="00490AC7">
        <w:rPr>
          <w:i/>
        </w:rPr>
        <w:t>The Social Construct</w:t>
      </w:r>
      <w:r>
        <w:t xml:space="preserve">, </w:t>
      </w:r>
      <w:r w:rsidR="00490AC7">
        <w:t xml:space="preserve">Penguin Books, </w:t>
      </w:r>
      <w:r w:rsidR="008E24ED">
        <w:t>Translated by Maurice Cranston</w:t>
      </w:r>
      <w:r w:rsidR="008E24ED">
        <w:t xml:space="preserve">, </w:t>
      </w:r>
      <w:r w:rsidR="00490AC7">
        <w:t>1968.</w:t>
      </w:r>
      <w:bookmarkStart w:id="1" w:name="_GoBack"/>
      <w:bookmarkEnd w:id="1"/>
    </w:p>
    <w:p w14:paraId="238D797B" w14:textId="591D0402" w:rsidR="00540FB2" w:rsidRPr="00540FB2" w:rsidRDefault="00540FB2" w:rsidP="00540FB2"/>
    <w:sectPr w:rsidR="00540FB2" w:rsidRPr="00540FB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0B5A97" w14:textId="77777777" w:rsidR="00FC5B17" w:rsidRDefault="00FC5B17" w:rsidP="00F7763F">
      <w:pPr>
        <w:spacing w:after="0" w:line="240" w:lineRule="auto"/>
      </w:pPr>
      <w:r>
        <w:separator/>
      </w:r>
    </w:p>
  </w:endnote>
  <w:endnote w:type="continuationSeparator" w:id="0">
    <w:p w14:paraId="1C8E2555" w14:textId="77777777" w:rsidR="00FC5B17" w:rsidRDefault="00FC5B17" w:rsidP="00F776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AB107F" w14:textId="77777777" w:rsidR="00FC5B17" w:rsidRDefault="00FC5B17" w:rsidP="00F7763F">
      <w:pPr>
        <w:spacing w:after="0" w:line="240" w:lineRule="auto"/>
      </w:pPr>
      <w:r>
        <w:separator/>
      </w:r>
    </w:p>
  </w:footnote>
  <w:footnote w:type="continuationSeparator" w:id="0">
    <w:p w14:paraId="7C5A9DD2" w14:textId="77777777" w:rsidR="00FC5B17" w:rsidRDefault="00FC5B17" w:rsidP="00F7763F">
      <w:pPr>
        <w:spacing w:after="0" w:line="240" w:lineRule="auto"/>
      </w:pPr>
      <w:r>
        <w:continuationSeparator/>
      </w:r>
    </w:p>
  </w:footnote>
  <w:footnote w:id="1">
    <w:p w14:paraId="48FEEA53" w14:textId="60356E6E" w:rsidR="00782A79" w:rsidRPr="00782A79" w:rsidRDefault="00782A79" w:rsidP="00782A79">
      <w:pPr>
        <w:pStyle w:val="FootnoteText"/>
        <w:ind w:left="720" w:hanging="720"/>
      </w:pPr>
      <w:r>
        <w:rPr>
          <w:rStyle w:val="FootnoteReference"/>
        </w:rPr>
        <w:footnoteRef/>
      </w:r>
      <w:r>
        <w:t xml:space="preserve"> Rousseau, </w:t>
      </w:r>
      <w:r>
        <w:rPr>
          <w:i/>
        </w:rPr>
        <w:t xml:space="preserve">The Social Contract, </w:t>
      </w:r>
      <w:r>
        <w:t>1968.</w:t>
      </w:r>
    </w:p>
  </w:footnote>
  <w:footnote w:id="2">
    <w:p w14:paraId="790DEFE1" w14:textId="7C0A2DAA" w:rsidR="00982D0E" w:rsidRDefault="00982D0E">
      <w:pPr>
        <w:pStyle w:val="FootnoteText"/>
      </w:pPr>
      <w:r>
        <w:rPr>
          <w:rStyle w:val="FootnoteReference"/>
        </w:rPr>
        <w:footnoteRef/>
      </w:r>
      <w:r>
        <w:t xml:space="preserve"> Rousseau, </w:t>
      </w:r>
      <w:r w:rsidR="00782A79">
        <w:rPr>
          <w:i/>
        </w:rPr>
        <w:t>ibid.,</w:t>
      </w:r>
      <w:r>
        <w:t xml:space="preserve"> Book 2 Chapter 3</w:t>
      </w:r>
      <w:r w:rsidR="00782A79">
        <w:t>.</w:t>
      </w:r>
    </w:p>
  </w:footnote>
  <w:footnote w:id="3">
    <w:p w14:paraId="069B1D9A" w14:textId="2075664F" w:rsidR="00F7763F" w:rsidRDefault="00F7763F">
      <w:pPr>
        <w:pStyle w:val="FootnoteText"/>
      </w:pPr>
      <w:r>
        <w:rPr>
          <w:rStyle w:val="FootnoteReference"/>
        </w:rPr>
        <w:footnoteRef/>
      </w:r>
      <w:r>
        <w:t xml:space="preserve"> </w:t>
      </w:r>
      <w:bookmarkStart w:id="0" w:name="_Hlk510541349"/>
      <w:r w:rsidR="00782A79">
        <w:t>Bertram, C</w:t>
      </w:r>
      <w:r w:rsidR="00433170">
        <w:t>.,</w:t>
      </w:r>
      <w:r w:rsidR="00782A79">
        <w:t xml:space="preserve"> </w:t>
      </w:r>
      <w:r w:rsidR="00782A79">
        <w:rPr>
          <w:i/>
        </w:rPr>
        <w:t xml:space="preserve">Jean-Jacques Rousseau </w:t>
      </w:r>
      <w:hyperlink r:id="rId1" w:history="1">
        <w:r w:rsidRPr="00554E9E">
          <w:rPr>
            <w:rStyle w:val="Hyperlink"/>
          </w:rPr>
          <w:t>https://plato.stanford.edu/archives/win2012/entries/rousseau/#IdeGenWil</w:t>
        </w:r>
      </w:hyperlink>
      <w:r>
        <w:t xml:space="preserve"> </w:t>
      </w:r>
      <w:bookmarkEnd w:id="0"/>
      <w:r>
        <w:t xml:space="preserve">Section 3.1 </w:t>
      </w:r>
    </w:p>
  </w:footnote>
  <w:footnote w:id="4">
    <w:p w14:paraId="1C9F85B0" w14:textId="06CF4214" w:rsidR="00EE315B" w:rsidRDefault="00EE315B">
      <w:pPr>
        <w:pStyle w:val="FootnoteText"/>
      </w:pPr>
      <w:r>
        <w:rPr>
          <w:rStyle w:val="FootnoteReference"/>
        </w:rPr>
        <w:footnoteRef/>
      </w:r>
      <w:r>
        <w:t xml:space="preserve"> Rousseau, </w:t>
      </w:r>
      <w:r w:rsidRPr="00782A79">
        <w:rPr>
          <w:i/>
        </w:rPr>
        <w:t>ibid</w:t>
      </w:r>
      <w:r>
        <w:t>., Book 1 Chapter 6</w:t>
      </w:r>
      <w:r w:rsidR="00782A79">
        <w:t>.</w:t>
      </w:r>
    </w:p>
  </w:footnote>
  <w:footnote w:id="5">
    <w:p w14:paraId="0B95C44D" w14:textId="41686534" w:rsidR="007C14DB" w:rsidRDefault="007C14DB">
      <w:pPr>
        <w:pStyle w:val="FootnoteText"/>
      </w:pPr>
      <w:r>
        <w:rPr>
          <w:rStyle w:val="FootnoteReference"/>
        </w:rPr>
        <w:footnoteRef/>
      </w:r>
      <w:r>
        <w:t xml:space="preserve"> </w:t>
      </w:r>
      <w:proofErr w:type="spellStart"/>
      <w:r w:rsidRPr="007C14DB">
        <w:t>Brint</w:t>
      </w:r>
      <w:proofErr w:type="spellEnd"/>
      <w:r w:rsidRPr="007C14DB">
        <w:t xml:space="preserve">, M.E., </w:t>
      </w:r>
      <w:r w:rsidRPr="00782A79">
        <w:t>Jean-Jacques Rousseau and Benjamin Constant: A Dialogue on Freedom and Tyranny</w:t>
      </w:r>
      <w:r w:rsidR="00782A79">
        <w:rPr>
          <w:i/>
        </w:rPr>
        <w:t xml:space="preserve">, </w:t>
      </w:r>
      <w:r w:rsidR="00782A79" w:rsidRPr="00782A79">
        <w:t>page 325</w:t>
      </w:r>
      <w:r w:rsidR="00782A79">
        <w:t>.</w:t>
      </w:r>
    </w:p>
  </w:footnote>
  <w:footnote w:id="6">
    <w:p w14:paraId="6A1FDF0B" w14:textId="429F6320" w:rsidR="00905876" w:rsidRDefault="00905876">
      <w:pPr>
        <w:pStyle w:val="FootnoteText"/>
      </w:pPr>
      <w:r>
        <w:rPr>
          <w:rStyle w:val="FootnoteReference"/>
        </w:rPr>
        <w:footnoteRef/>
      </w:r>
      <w:r>
        <w:t xml:space="preserve"> </w:t>
      </w:r>
      <w:proofErr w:type="spellStart"/>
      <w:r w:rsidRPr="007C14DB">
        <w:t>Brint</w:t>
      </w:r>
      <w:proofErr w:type="spellEnd"/>
      <w:r w:rsidRPr="007C14DB">
        <w:t xml:space="preserve">, M.E., </w:t>
      </w:r>
      <w:r w:rsidR="00782A79" w:rsidRPr="00782A79">
        <w:rPr>
          <w:i/>
        </w:rPr>
        <w:t>ibid</w:t>
      </w:r>
      <w:r w:rsidR="00782A79">
        <w:t>., page 325</w:t>
      </w:r>
    </w:p>
  </w:footnote>
  <w:footnote w:id="7">
    <w:p w14:paraId="08F057FA" w14:textId="106137F7" w:rsidR="00642875" w:rsidRDefault="00642875">
      <w:pPr>
        <w:pStyle w:val="FootnoteText"/>
      </w:pPr>
      <w:r>
        <w:rPr>
          <w:rStyle w:val="FootnoteReference"/>
        </w:rPr>
        <w:footnoteRef/>
      </w:r>
      <w:r>
        <w:t xml:space="preserve"> </w:t>
      </w:r>
      <w:proofErr w:type="spellStart"/>
      <w:r w:rsidRPr="007C14DB">
        <w:t>Brint</w:t>
      </w:r>
      <w:proofErr w:type="spellEnd"/>
      <w:r w:rsidRPr="007C14DB">
        <w:t>, M.E</w:t>
      </w:r>
      <w:r w:rsidR="00782A79">
        <w:t>.,</w:t>
      </w:r>
      <w:r w:rsidR="00782A79" w:rsidRPr="00782A79">
        <w:rPr>
          <w:i/>
        </w:rPr>
        <w:t xml:space="preserve"> ibid</w:t>
      </w:r>
      <w:r w:rsidR="00782A79">
        <w:t>.,</w:t>
      </w:r>
      <w:r>
        <w:t xml:space="preserve"> page 325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E82"/>
    <w:rsid w:val="0001201D"/>
    <w:rsid w:val="0001747F"/>
    <w:rsid w:val="00035A4B"/>
    <w:rsid w:val="00047A36"/>
    <w:rsid w:val="000568AA"/>
    <w:rsid w:val="00081577"/>
    <w:rsid w:val="000B17E4"/>
    <w:rsid w:val="000B5FC8"/>
    <w:rsid w:val="001078A2"/>
    <w:rsid w:val="00136052"/>
    <w:rsid w:val="001534B6"/>
    <w:rsid w:val="0021555F"/>
    <w:rsid w:val="00253767"/>
    <w:rsid w:val="002561F6"/>
    <w:rsid w:val="00274B5B"/>
    <w:rsid w:val="002D1E82"/>
    <w:rsid w:val="002D4230"/>
    <w:rsid w:val="0031022A"/>
    <w:rsid w:val="003637FE"/>
    <w:rsid w:val="003D3EB7"/>
    <w:rsid w:val="003F2646"/>
    <w:rsid w:val="0040506A"/>
    <w:rsid w:val="00412115"/>
    <w:rsid w:val="00433170"/>
    <w:rsid w:val="00441B59"/>
    <w:rsid w:val="00463613"/>
    <w:rsid w:val="00490AC7"/>
    <w:rsid w:val="00540FB2"/>
    <w:rsid w:val="00610A0E"/>
    <w:rsid w:val="00642875"/>
    <w:rsid w:val="006A752A"/>
    <w:rsid w:val="007259FA"/>
    <w:rsid w:val="00782A79"/>
    <w:rsid w:val="007B5D38"/>
    <w:rsid w:val="007C14DB"/>
    <w:rsid w:val="00814F31"/>
    <w:rsid w:val="00826BC0"/>
    <w:rsid w:val="00854A50"/>
    <w:rsid w:val="0087458B"/>
    <w:rsid w:val="008A3DE1"/>
    <w:rsid w:val="008E24ED"/>
    <w:rsid w:val="008E3438"/>
    <w:rsid w:val="008E47BE"/>
    <w:rsid w:val="008E547A"/>
    <w:rsid w:val="00905876"/>
    <w:rsid w:val="00932E2A"/>
    <w:rsid w:val="00952340"/>
    <w:rsid w:val="00982D0E"/>
    <w:rsid w:val="00985AE2"/>
    <w:rsid w:val="009B3D5B"/>
    <w:rsid w:val="009B70A1"/>
    <w:rsid w:val="00A37CF4"/>
    <w:rsid w:val="00A866AC"/>
    <w:rsid w:val="00AD7726"/>
    <w:rsid w:val="00AE6517"/>
    <w:rsid w:val="00AF5D5A"/>
    <w:rsid w:val="00AF6762"/>
    <w:rsid w:val="00B20A5D"/>
    <w:rsid w:val="00B70FD1"/>
    <w:rsid w:val="00BA6A8B"/>
    <w:rsid w:val="00BB480E"/>
    <w:rsid w:val="00BE15D2"/>
    <w:rsid w:val="00CB2261"/>
    <w:rsid w:val="00CE0D1C"/>
    <w:rsid w:val="00D86118"/>
    <w:rsid w:val="00D86CF8"/>
    <w:rsid w:val="00D90E8C"/>
    <w:rsid w:val="00DC297E"/>
    <w:rsid w:val="00DD0DFC"/>
    <w:rsid w:val="00E068B4"/>
    <w:rsid w:val="00E25762"/>
    <w:rsid w:val="00E303A2"/>
    <w:rsid w:val="00E305C7"/>
    <w:rsid w:val="00E47F37"/>
    <w:rsid w:val="00E6728E"/>
    <w:rsid w:val="00E72B17"/>
    <w:rsid w:val="00E72E8B"/>
    <w:rsid w:val="00E77E58"/>
    <w:rsid w:val="00EE315B"/>
    <w:rsid w:val="00F7763F"/>
    <w:rsid w:val="00F85B7C"/>
    <w:rsid w:val="00FC5B17"/>
    <w:rsid w:val="00FF42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1F25F"/>
  <w15:chartTrackingRefBased/>
  <w15:docId w15:val="{33097986-2046-49CF-8F05-B22964B70F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7763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7763F"/>
    <w:rPr>
      <w:sz w:val="20"/>
      <w:szCs w:val="20"/>
    </w:rPr>
  </w:style>
  <w:style w:type="character" w:styleId="FootnoteReference">
    <w:name w:val="footnote reference"/>
    <w:basedOn w:val="DefaultParagraphFont"/>
    <w:uiPriority w:val="99"/>
    <w:semiHidden/>
    <w:unhideWhenUsed/>
    <w:rsid w:val="00F7763F"/>
    <w:rPr>
      <w:vertAlign w:val="superscript"/>
    </w:rPr>
  </w:style>
  <w:style w:type="character" w:styleId="Hyperlink">
    <w:name w:val="Hyperlink"/>
    <w:basedOn w:val="DefaultParagraphFont"/>
    <w:uiPriority w:val="99"/>
    <w:unhideWhenUsed/>
    <w:rsid w:val="00F7763F"/>
    <w:rPr>
      <w:color w:val="0563C1" w:themeColor="hyperlink"/>
      <w:u w:val="single"/>
    </w:rPr>
  </w:style>
  <w:style w:type="character" w:styleId="UnresolvedMention">
    <w:name w:val="Unresolved Mention"/>
    <w:basedOn w:val="DefaultParagraphFont"/>
    <w:uiPriority w:val="99"/>
    <w:semiHidden/>
    <w:unhideWhenUsed/>
    <w:rsid w:val="00F7763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lato.stanford.edu/entries/rousseau/"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plato.stanford.edu/archives/win2012/entries/rousseau/#IdeGenWi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038B04-403D-4182-98D6-9C9D16D9C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572</TotalTime>
  <Pages>2</Pages>
  <Words>858</Words>
  <Characters>4893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Raleigh O'sullivan (1604459)</dc:creator>
  <cp:keywords/>
  <dc:description/>
  <cp:lastModifiedBy>Raleigh O'sullivan (1604459)</cp:lastModifiedBy>
  <cp:revision>54</cp:revision>
  <dcterms:created xsi:type="dcterms:W3CDTF">2018-04-02T20:57:00Z</dcterms:created>
  <dcterms:modified xsi:type="dcterms:W3CDTF">2018-04-03T20:01:00Z</dcterms:modified>
</cp:coreProperties>
</file>