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0" w:line="259" w:lineRule="auto"/>
        <w:ind w:firstLine="0"/>
        <w:rPr/>
      </w:pPr>
      <w:r w:rsidDel="00000000" w:rsidR="00000000" w:rsidRPr="00000000">
        <w:rPr>
          <w:rtl w:val="0"/>
        </w:rPr>
      </w:r>
    </w:p>
    <w:p w:rsidR="00000000" w:rsidDel="00000000" w:rsidP="00000000" w:rsidRDefault="00000000" w:rsidRPr="00000000" w14:paraId="00000002">
      <w:pPr>
        <w:spacing w:after="160" w:line="259" w:lineRule="auto"/>
        <w:ind w:firstLine="0"/>
        <w:rPr/>
      </w:pPr>
      <w:r w:rsidDel="00000000" w:rsidR="00000000" w:rsidRPr="00000000">
        <w:rPr>
          <w:rtl w:val="0"/>
        </w:rPr>
      </w:r>
    </w:p>
    <w:p w:rsidR="00000000" w:rsidDel="00000000" w:rsidP="00000000" w:rsidRDefault="00000000" w:rsidRPr="00000000" w14:paraId="00000003">
      <w:pPr>
        <w:spacing w:after="160" w:line="259" w:lineRule="auto"/>
        <w:ind w:firstLine="0"/>
        <w:rPr/>
      </w:pPr>
      <w:r w:rsidDel="00000000" w:rsidR="00000000" w:rsidRPr="00000000">
        <w:rPr>
          <w:rtl w:val="0"/>
        </w:rPr>
      </w:r>
    </w:p>
    <w:p w:rsidR="00000000" w:rsidDel="00000000" w:rsidP="00000000" w:rsidRDefault="00000000" w:rsidRPr="00000000" w14:paraId="00000004">
      <w:pPr>
        <w:spacing w:after="160" w:line="259" w:lineRule="auto"/>
        <w:ind w:firstLine="0"/>
        <w:rPr/>
      </w:pPr>
      <w:r w:rsidDel="00000000" w:rsidR="00000000" w:rsidRPr="00000000">
        <w:rPr>
          <w:rtl w:val="0"/>
        </w:rPr>
      </w:r>
    </w:p>
    <w:p w:rsidR="00000000" w:rsidDel="00000000" w:rsidP="00000000" w:rsidRDefault="00000000" w:rsidRPr="00000000" w14:paraId="00000005">
      <w:pPr>
        <w:spacing w:after="160" w:line="259" w:lineRule="auto"/>
        <w:ind w:firstLine="0"/>
        <w:rPr/>
      </w:pPr>
      <w:r w:rsidDel="00000000" w:rsidR="00000000" w:rsidRPr="00000000">
        <w:rPr>
          <w:rtl w:val="0"/>
        </w:rPr>
      </w:r>
    </w:p>
    <w:p w:rsidR="00000000" w:rsidDel="00000000" w:rsidP="00000000" w:rsidRDefault="00000000" w:rsidRPr="00000000" w14:paraId="00000006">
      <w:pPr>
        <w:spacing w:after="160" w:line="259" w:lineRule="auto"/>
        <w:ind w:firstLine="0"/>
        <w:rPr/>
      </w:pPr>
      <w:r w:rsidDel="00000000" w:rsidR="00000000" w:rsidRPr="00000000">
        <w:rPr>
          <w:rtl w:val="0"/>
        </w:rPr>
      </w:r>
    </w:p>
    <w:p w:rsidR="00000000" w:rsidDel="00000000" w:rsidP="00000000" w:rsidRDefault="00000000" w:rsidRPr="00000000" w14:paraId="00000007">
      <w:pPr>
        <w:spacing w:after="160" w:line="259" w:lineRule="auto"/>
        <w:ind w:firstLine="0"/>
        <w:rPr/>
      </w:pPr>
      <w:r w:rsidDel="00000000" w:rsidR="00000000" w:rsidRPr="00000000">
        <w:rPr>
          <w:rtl w:val="0"/>
        </w:rPr>
      </w:r>
    </w:p>
    <w:p w:rsidR="00000000" w:rsidDel="00000000" w:rsidP="00000000" w:rsidRDefault="00000000" w:rsidRPr="00000000" w14:paraId="00000008">
      <w:pPr>
        <w:spacing w:after="160" w:line="259" w:lineRule="auto"/>
        <w:ind w:firstLine="0"/>
        <w:rPr/>
      </w:pPr>
      <w:r w:rsidDel="00000000" w:rsidR="00000000" w:rsidRPr="00000000">
        <w:rPr>
          <w:rtl w:val="0"/>
        </w:rPr>
      </w:r>
    </w:p>
    <w:p w:rsidR="00000000" w:rsidDel="00000000" w:rsidP="00000000" w:rsidRDefault="00000000" w:rsidRPr="00000000" w14:paraId="00000009">
      <w:pPr>
        <w:spacing w:after="160" w:line="259" w:lineRule="auto"/>
        <w:ind w:firstLine="0"/>
        <w:rPr/>
      </w:pPr>
      <w:r w:rsidDel="00000000" w:rsidR="00000000" w:rsidRPr="00000000">
        <w:rPr>
          <w:rtl w:val="0"/>
        </w:rPr>
      </w:r>
    </w:p>
    <w:p w:rsidR="00000000" w:rsidDel="00000000" w:rsidP="00000000" w:rsidRDefault="00000000" w:rsidRPr="00000000" w14:paraId="0000000A">
      <w:pPr>
        <w:spacing w:after="160" w:line="259" w:lineRule="auto"/>
        <w:ind w:firstLine="0"/>
        <w:rPr/>
      </w:pPr>
      <w:r w:rsidDel="00000000" w:rsidR="00000000" w:rsidRPr="00000000">
        <w:rPr>
          <w:rtl w:val="0"/>
        </w:rPr>
      </w:r>
    </w:p>
    <w:p w:rsidR="00000000" w:rsidDel="00000000" w:rsidP="00000000" w:rsidRDefault="00000000" w:rsidRPr="00000000" w14:paraId="0000000B">
      <w:pPr>
        <w:spacing w:after="160" w:line="259" w:lineRule="auto"/>
        <w:ind w:firstLine="0"/>
        <w:rPr/>
      </w:pPr>
      <w:r w:rsidDel="00000000" w:rsidR="00000000" w:rsidRPr="00000000">
        <w:rPr>
          <w:rtl w:val="0"/>
        </w:rPr>
      </w:r>
    </w:p>
    <w:p w:rsidR="00000000" w:rsidDel="00000000" w:rsidP="00000000" w:rsidRDefault="00000000" w:rsidRPr="00000000" w14:paraId="0000000C">
      <w:pPr>
        <w:spacing w:after="160" w:line="259" w:lineRule="auto"/>
        <w:ind w:firstLine="0"/>
        <w:rPr/>
      </w:pPr>
      <w:r w:rsidDel="00000000" w:rsidR="00000000" w:rsidRPr="00000000">
        <w:rPr>
          <w:rtl w:val="0"/>
        </w:rPr>
      </w:r>
    </w:p>
    <w:p w:rsidR="00000000" w:rsidDel="00000000" w:rsidP="00000000" w:rsidRDefault="00000000" w:rsidRPr="00000000" w14:paraId="0000000D">
      <w:pPr>
        <w:spacing w:after="160" w:line="259" w:lineRule="auto"/>
        <w:ind w:firstLine="0"/>
        <w:jc w:val="center"/>
        <w:rPr/>
      </w:pPr>
      <w:r w:rsidDel="00000000" w:rsidR="00000000" w:rsidRPr="00000000">
        <w:rPr>
          <w:rtl w:val="0"/>
        </w:rPr>
      </w:r>
    </w:p>
    <w:p w:rsidR="00000000" w:rsidDel="00000000" w:rsidP="00000000" w:rsidRDefault="00000000" w:rsidRPr="00000000" w14:paraId="0000000E">
      <w:pPr>
        <w:spacing w:after="160" w:line="259" w:lineRule="auto"/>
        <w:ind w:firstLine="0"/>
        <w:jc w:val="center"/>
        <w:rPr>
          <w:b w:val="1"/>
        </w:rPr>
      </w:pPr>
      <w:r w:rsidDel="00000000" w:rsidR="00000000" w:rsidRPr="00000000">
        <w:rPr>
          <w:rtl w:val="0"/>
        </w:rPr>
        <w:t xml:space="preserve"> </w:t>
      </w:r>
      <w:r w:rsidDel="00000000" w:rsidR="00000000" w:rsidRPr="00000000">
        <w:rPr>
          <w:b w:val="1"/>
          <w:rtl w:val="0"/>
        </w:rPr>
        <w:t xml:space="preserve">MANAGING ENTERPRISE IN THE 21ST CENTURY </w:t>
      </w:r>
    </w:p>
    <w:p w:rsidR="00000000" w:rsidDel="00000000" w:rsidP="00000000" w:rsidRDefault="00000000" w:rsidRPr="00000000" w14:paraId="0000000F">
      <w:pPr>
        <w:spacing w:after="160" w:line="259" w:lineRule="auto"/>
        <w:ind w:firstLine="0"/>
        <w:jc w:val="center"/>
        <w:rPr/>
      </w:pPr>
      <w:r w:rsidDel="00000000" w:rsidR="00000000" w:rsidRPr="00000000">
        <w:rPr>
          <w:b w:val="1"/>
          <w:rtl w:val="0"/>
        </w:rPr>
        <w:t xml:space="preserve">Ekaterina Hristova -1919046</w:t>
      </w:r>
      <w:r w:rsidDel="00000000" w:rsidR="00000000" w:rsidRPr="00000000">
        <w:rPr>
          <w:rtl w:val="0"/>
        </w:rPr>
      </w:r>
    </w:p>
    <w:p w:rsidR="00000000" w:rsidDel="00000000" w:rsidP="00000000" w:rsidRDefault="00000000" w:rsidRPr="00000000" w14:paraId="00000010">
      <w:pPr>
        <w:spacing w:after="160" w:line="259" w:lineRule="auto"/>
        <w:ind w:firstLine="0"/>
        <w:jc w:val="center"/>
        <w:rPr/>
      </w:pPr>
      <w:r w:rsidDel="00000000" w:rsidR="00000000" w:rsidRPr="00000000">
        <w:br w:type="page"/>
      </w:r>
      <w:r w:rsidDel="00000000" w:rsidR="00000000" w:rsidRPr="00000000">
        <w:rPr>
          <w:rtl w:val="0"/>
        </w:rPr>
      </w:r>
    </w:p>
    <w:p w:rsidR="00000000" w:rsidDel="00000000" w:rsidP="00000000" w:rsidRDefault="00000000" w:rsidRPr="00000000" w14:paraId="00000011">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bookmarkStart w:colFirst="0" w:colLast="0" w:name="_gjdgxs" w:id="0"/>
      <w:bookmarkEnd w:id="0"/>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30j0zll">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4. Target Market</w:t>
            </w:r>
          </w:hyperlink>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2</w:t>
            </w:r>
          </w:hyperlink>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5. Marketing Plan</w:t>
            </w:r>
          </w:hyperlink>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Strategies development:</w:t>
              <w:tab/>
              <w:t xml:space="preserve">4</w:t>
            </w:r>
          </w:hyperlink>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Organization</w:t>
              <w:tab/>
              <w:t xml:space="preserve">5</w:t>
            </w:r>
          </w:hyperlink>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Analysis</w:t>
              <w:tab/>
              <w:t xml:space="preserve">5</w:t>
            </w:r>
          </w:hyperlink>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Marketing</w:t>
              <w:tab/>
              <w:t xml:space="preserve">6</w:t>
            </w:r>
          </w:hyperlink>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Tactical planning:</w:t>
              <w:tab/>
              <w:t xml:space="preserve">7</w:t>
            </w:r>
          </w:hyperlink>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8</w:t>
            </w:r>
          </w:hyperlink>
          <w:r w:rsidDel="00000000" w:rsidR="00000000" w:rsidRPr="00000000">
            <w:rPr>
              <w:rtl w:val="0"/>
            </w:rPr>
          </w:r>
        </w:p>
        <w:p w:rsidR="00000000" w:rsidDel="00000000" w:rsidP="00000000" w:rsidRDefault="00000000" w:rsidRPr="00000000" w14:paraId="0000001A">
          <w:pPr>
            <w:ind w:firstLine="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B">
      <w:pPr>
        <w:spacing w:after="160" w:line="259" w:lineRule="auto"/>
        <w:ind w:firstLine="0"/>
        <w:rPr/>
      </w:pPr>
      <w:r w:rsidDel="00000000" w:rsidR="00000000" w:rsidRPr="00000000">
        <w:br w:type="page"/>
      </w:r>
      <w:r w:rsidDel="00000000" w:rsidR="00000000" w:rsidRPr="00000000">
        <w:rPr>
          <w:rtl w:val="0"/>
        </w:rPr>
      </w:r>
    </w:p>
    <w:p w:rsidR="00000000" w:rsidDel="00000000" w:rsidP="00000000" w:rsidRDefault="00000000" w:rsidRPr="00000000" w14:paraId="0000001C">
      <w:pPr>
        <w:keepNext w:val="1"/>
        <w:keepLines w:val="1"/>
        <w:ind w:firstLine="0"/>
        <w:rPr>
          <w:b w:val="1"/>
          <w:i w:val="1"/>
        </w:rPr>
      </w:pPr>
      <w:bookmarkStart w:colFirst="0" w:colLast="0" w:name="_30j0zll" w:id="1"/>
      <w:bookmarkEnd w:id="1"/>
      <w:r w:rsidDel="00000000" w:rsidR="00000000" w:rsidRPr="00000000">
        <w:rPr>
          <w:b w:val="1"/>
          <w:i w:val="1"/>
          <w:rtl w:val="0"/>
        </w:rPr>
        <w:t xml:space="preserve">4. Target Market </w:t>
      </w:r>
    </w:p>
    <w:p w:rsidR="00000000" w:rsidDel="00000000" w:rsidP="00000000" w:rsidRDefault="00000000" w:rsidRPr="00000000" w14:paraId="0000001D">
      <w:pPr>
        <w:rPr/>
      </w:pPr>
      <w:r w:rsidDel="00000000" w:rsidR="00000000" w:rsidRPr="00000000">
        <w:rPr>
          <w:rtl w:val="0"/>
        </w:rPr>
        <w:t xml:space="preserve">The UK market covers a large hospitality market (Novelli, Schmitz and Spencer, 2006). There are many food and beverage organisations that provide the environment for the creation of food and beverage related services. These facilities include select five-star hotels, three-star hotels, speciality restaurants, fast food restaurants, outdoor catering and transport catering services. Our target market will have a different population. But one group cannot be in a different population (Everett and Slocum, 2013).</w:t>
      </w:r>
    </w:p>
    <w:p w:rsidR="00000000" w:rsidDel="00000000" w:rsidP="00000000" w:rsidRDefault="00000000" w:rsidRPr="00000000" w14:paraId="0000001E">
      <w:pPr>
        <w:rPr/>
      </w:pPr>
      <w:r w:rsidDel="00000000" w:rsidR="00000000" w:rsidRPr="00000000">
        <w:rPr>
          <w:rtl w:val="0"/>
        </w:rPr>
        <w:t xml:space="preserve">Focus on this job. There are services for everyone. Our contribution is not limited to a specific group, but to anyone who likes to eat and shop. This could be a businessman, athlete, student, teenager, manager, tourist, or someone living in another population. To enter our target market, men and women are considered the same regardless of their lifetime. Often times, even the old people who couldn't eat dessert could do something different because we had a different cuisine. Customer employment is not the same as in our company, but the sales class must change from average to the upper tier.</w:t>
      </w:r>
    </w:p>
    <w:p w:rsidR="00000000" w:rsidDel="00000000" w:rsidP="00000000" w:rsidRDefault="00000000" w:rsidRPr="00000000" w14:paraId="0000001F">
      <w:pPr>
        <w:rPr/>
      </w:pPr>
      <w:r w:rsidDel="00000000" w:rsidR="00000000" w:rsidRPr="00000000">
        <w:rPr>
          <w:rtl w:val="0"/>
        </w:rPr>
        <w:t xml:space="preserve">It is not necessary to focus on specific characteristics or habits, but those who want healthy and tasty food are now more likely to be considered. It can be freely excluded from any race, ethnicity or social group. This market is unlikely to grow. As health awareness grows, people from different segments of the population are increasingly wondering about new travel destinations where their families, friends and acquaintances can find a safe place with a quality product that they can enjoy (Supawan, Sornsaruht and Pimdee, 2019).</w:t>
      </w:r>
    </w:p>
    <w:p w:rsidR="00000000" w:rsidDel="00000000" w:rsidP="00000000" w:rsidRDefault="00000000" w:rsidRPr="00000000" w14:paraId="00000020">
      <w:pPr>
        <w:rPr/>
      </w:pPr>
      <w:r w:rsidDel="00000000" w:rsidR="00000000" w:rsidRPr="00000000">
        <w:rPr>
          <w:rtl w:val="0"/>
        </w:rPr>
        <w:t xml:space="preserve">However, our services are for everyone, but based on trends in the food industry, healthcare and local communities, we will market and serve a specific niche for customers (Forwood </w:t>
      </w:r>
      <w:r w:rsidDel="00000000" w:rsidR="00000000" w:rsidRPr="00000000">
        <w:rPr>
          <w:i w:val="1"/>
          <w:rtl w:val="0"/>
        </w:rPr>
        <w:t xml:space="preserve">et al.</w:t>
      </w:r>
      <w:r w:rsidDel="00000000" w:rsidR="00000000" w:rsidRPr="00000000">
        <w:rPr>
          <w:rtl w:val="0"/>
        </w:rPr>
        <w:t xml:space="preserve">, 2015). Two main groups are addressed and another group can be added as a unique customer group. Our first target group is women aged 30-50. Trends show that they are related to health, especially age, weight, and appearance. Fresh, every recipe or menu includes seasonal, fresh and healthy ingredients to ensure food is flawless and tasty. This way, we get an experience that customers and guests will want to copy. As health trends increase, there will always be a demand for healthy foods and alternatives.</w:t>
      </w:r>
    </w:p>
    <w:p w:rsidR="00000000" w:rsidDel="00000000" w:rsidP="00000000" w:rsidRDefault="00000000" w:rsidRPr="00000000" w14:paraId="00000021">
      <w:pPr>
        <w:rPr/>
      </w:pPr>
      <w:r w:rsidDel="00000000" w:rsidR="00000000" w:rsidRPr="00000000">
        <w:rPr>
          <w:rtl w:val="0"/>
        </w:rPr>
        <w:t xml:space="preserve">The second half of the target audience are local businesses and businesses. Partnerships provide a stable and more reliable source of income. The target audience is local departments, non-participating event planning companies and other companies that require regular meals or entertainment. Target companies should share the value of a healthy lifestyle. These can be found in surveys such as "The Healthiest Workplaces" and the fitness industry. Services for the company's wellness plan can also be provided.</w:t>
      </w:r>
    </w:p>
    <w:p w:rsidR="00000000" w:rsidDel="00000000" w:rsidP="00000000" w:rsidRDefault="00000000" w:rsidRPr="00000000" w14:paraId="00000022">
      <w:pPr>
        <w:rPr/>
      </w:pPr>
      <w:r w:rsidDel="00000000" w:rsidR="00000000" w:rsidRPr="00000000">
        <w:rPr>
          <w:rtl w:val="0"/>
        </w:rPr>
        <w:t xml:space="preserve">Kosher and halal catering service is a unique market (Regenstein, Chaudry and Regenstein, 2003). There are two more halal, and four kosher servers in the low to the medium-cost range (Havinga, 2010). These catering companies typically cater to the market segment where kosher food must be served at an event, but where cost differences between standard service and halal and kosher food service are difficult to cover. All four servers have standard menu options. There is a fifth catering company that serves the middle-end of the market (defined as the middle class) but also serves the upper end of the market (Sato </w:t>
      </w:r>
      <w:r w:rsidDel="00000000" w:rsidR="00000000" w:rsidRPr="00000000">
        <w:rPr>
          <w:i w:val="1"/>
          <w:rtl w:val="0"/>
        </w:rPr>
        <w:t xml:space="preserve">et al.</w:t>
      </w:r>
      <w:r w:rsidDel="00000000" w:rsidR="00000000" w:rsidRPr="00000000">
        <w:rPr>
          <w:rtl w:val="0"/>
        </w:rPr>
        <w:t xml:space="preserve">, 2016).</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keepNext w:val="1"/>
        <w:keepLines w:val="1"/>
        <w:ind w:firstLine="0"/>
        <w:rPr>
          <w:b w:val="1"/>
          <w:i w:val="1"/>
        </w:rPr>
      </w:pPr>
      <w:bookmarkStart w:colFirst="0" w:colLast="0" w:name="_1fob9te" w:id="2"/>
      <w:bookmarkEnd w:id="2"/>
      <w:r w:rsidDel="00000000" w:rsidR="00000000" w:rsidRPr="00000000">
        <w:rPr>
          <w:b w:val="1"/>
          <w:i w:val="1"/>
          <w:rtl w:val="0"/>
        </w:rPr>
        <w:t xml:space="preserve">5. Marketing Plan </w:t>
      </w:r>
    </w:p>
    <w:p w:rsidR="00000000" w:rsidDel="00000000" w:rsidP="00000000" w:rsidRDefault="00000000" w:rsidRPr="00000000" w14:paraId="00000025">
      <w:pPr>
        <w:rPr/>
      </w:pPr>
      <w:r w:rsidDel="00000000" w:rsidR="00000000" w:rsidRPr="00000000">
        <w:rPr>
          <w:rtl w:val="0"/>
        </w:rPr>
        <w:t xml:space="preserve">As a general rule, "Never spend a dime on marketing until we invest at least a penny to plan how this will work most effectively." The more innovative answer to which type of promotion plan is relevant is that it depends on the complexity of the framework and the resources that must be placed in order for a group to have one or more methodological experience. Insightful and comprehensive research to assess verifiable, current and future situation and improve key information and recommendations.</w:t>
      </w:r>
    </w:p>
    <w:p w:rsidR="00000000" w:rsidDel="00000000" w:rsidP="00000000" w:rsidRDefault="00000000" w:rsidRPr="00000000" w14:paraId="00000026">
      <w:pPr>
        <w:rPr/>
      </w:pPr>
      <w:r w:rsidDel="00000000" w:rsidR="00000000" w:rsidRPr="00000000">
        <w:rPr>
          <w:rtl w:val="0"/>
        </w:rPr>
        <w:t xml:space="preserve">Our goals are planned based on the general vision and letter of intent, in which our organisation sets long-term, medium-term and temporary goals. The usual corporate-level goals are organisational discretion and speed of return for investor companies. For food management, our ultimate goal is to get some of the pieces and retain customers that will eventually turn into a business. Whether the challenging food organisation is forcing different chefs to ultimately maintain a leadership position or expand their offerings in the neighbourhood or in the global market, which might just be the beginning of the goal. Progress for the organisation.</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pStyle w:val="Heading2"/>
        <w:rPr/>
      </w:pPr>
      <w:bookmarkStart w:colFirst="0" w:colLast="0" w:name="_3znysh7" w:id="3"/>
      <w:bookmarkEnd w:id="3"/>
      <w:r w:rsidDel="00000000" w:rsidR="00000000" w:rsidRPr="00000000">
        <w:rPr>
          <w:rtl w:val="0"/>
        </w:rPr>
        <w:t xml:space="preserve">Strategies development:</w:t>
      </w:r>
    </w:p>
    <w:p w:rsidR="00000000" w:rsidDel="00000000" w:rsidP="00000000" w:rsidRDefault="00000000" w:rsidRPr="00000000" w14:paraId="00000029">
      <w:pPr>
        <w:rPr/>
      </w:pPr>
      <w:r w:rsidDel="00000000" w:rsidR="00000000" w:rsidRPr="00000000">
        <w:rPr>
          <w:rtl w:val="0"/>
        </w:rPr>
        <w:t xml:space="preserve">Our catering service for a critical event proves that its technology depends on market expectations. One approach to setting these expectations is to conduct an industry study and master the marginalised parts of the market. In case several chefs have not yet made a decision, our catering service decides to enrol them to expand their customer base without incurring the costs of a direct battle with competitors. In this way, we must first create our basic and selective target market.</w:t>
      </w:r>
    </w:p>
    <w:p w:rsidR="00000000" w:rsidDel="00000000" w:rsidP="00000000" w:rsidRDefault="00000000" w:rsidRPr="00000000" w14:paraId="0000002A">
      <w:pPr>
        <w:rPr/>
      </w:pPr>
      <w:r w:rsidDel="00000000" w:rsidR="00000000" w:rsidRPr="00000000">
        <w:rPr>
          <w:rtl w:val="0"/>
        </w:rPr>
        <w:t xml:space="preserve">Characterising the socioeconomic and psycho-graphics of both basic and selective markets, our organisation has an overview of what we need to offer accordingly. Knowing exactly which perspectives affect a buyer in their organisation, these perspectives are focused and incorporated into the food service brand.</w:t>
      </w:r>
    </w:p>
    <w:p w:rsidR="00000000" w:rsidDel="00000000" w:rsidP="00000000" w:rsidRDefault="00000000" w:rsidRPr="00000000" w14:paraId="0000002B">
      <w:pPr>
        <w:rPr/>
      </w:pPr>
      <w:r w:rsidDel="00000000" w:rsidR="00000000" w:rsidRPr="00000000">
        <w:rPr>
          <w:rtl w:val="0"/>
        </w:rPr>
        <w:t xml:space="preserve">It cannot be denied that catering companies are very busy. Due to the constant time crisis, various business areas are often overlooked or forgotten. After sitting down with leading hospitality companies and researching trends, we think finding a balance between organisation, analysis and marketing is the perfect recipe for success.</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pStyle w:val="Heading2"/>
        <w:rPr/>
      </w:pPr>
      <w:bookmarkStart w:colFirst="0" w:colLast="0" w:name="_2et92p0" w:id="4"/>
      <w:bookmarkEnd w:id="4"/>
      <w:r w:rsidDel="00000000" w:rsidR="00000000" w:rsidRPr="00000000">
        <w:rPr>
          <w:rtl w:val="0"/>
        </w:rPr>
        <w:t xml:space="preserve">Organisation</w:t>
      </w:r>
    </w:p>
    <w:p w:rsidR="00000000" w:rsidDel="00000000" w:rsidP="00000000" w:rsidRDefault="00000000" w:rsidRPr="00000000" w14:paraId="0000002E">
      <w:pPr>
        <w:rPr/>
      </w:pPr>
      <w:r w:rsidDel="00000000" w:rsidR="00000000" w:rsidRPr="00000000">
        <w:rPr>
          <w:rtl w:val="0"/>
        </w:rPr>
        <w:t xml:space="preserve">Whether it's a mess, hand-written commands on corrugated board, or a confusing Excel spreadsheet, food service workers are often disorganised. This lack of organisation creates enormous time pressure and simple tasks make up an unnecessary part of the day (Knox, 2004).</w:t>
      </w:r>
    </w:p>
    <w:p w:rsidR="00000000" w:rsidDel="00000000" w:rsidP="00000000" w:rsidRDefault="00000000" w:rsidRPr="00000000" w14:paraId="0000002F">
      <w:pPr>
        <w:rPr/>
      </w:pPr>
      <w:r w:rsidDel="00000000" w:rsidR="00000000" w:rsidRPr="00000000">
        <w:rPr>
          <w:rtl w:val="0"/>
        </w:rPr>
        <w:t xml:space="preserve">While the first dive seems to take more time to create an organised system, there are a lot more savings in the end. Not only will our and our team's life become easier and weaker, but the time saved will also be a profit made. By sharing our schedule, we can focus on other areas of the business and better serve our customers. As a catering professional, we should spend our time cooking and creating unique experiences for our customers without having to search the table. By making business operations smoother and more efficient, we are actually taking back more time.</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pStyle w:val="Heading2"/>
        <w:rPr/>
      </w:pPr>
      <w:bookmarkStart w:colFirst="0" w:colLast="0" w:name="_tyjcwt" w:id="5"/>
      <w:bookmarkEnd w:id="5"/>
      <w:r w:rsidDel="00000000" w:rsidR="00000000" w:rsidRPr="00000000">
        <w:rPr>
          <w:rtl w:val="0"/>
        </w:rPr>
        <w:t xml:space="preserve">Analysis</w:t>
      </w:r>
    </w:p>
    <w:p w:rsidR="00000000" w:rsidDel="00000000" w:rsidP="00000000" w:rsidRDefault="00000000" w:rsidRPr="00000000" w14:paraId="00000032">
      <w:pPr>
        <w:rPr/>
      </w:pPr>
      <w:r w:rsidDel="00000000" w:rsidR="00000000" w:rsidRPr="00000000">
        <w:rPr>
          <w:rtl w:val="0"/>
        </w:rPr>
        <w:t xml:space="preserve">Numbers and dates should influence our business decisions. When choosing where to expand or which recipe to focus on next, the choice should be based on details. Know ahead of time that this is the most strategic option, rather than investing in a part of our business and waiting for it to pay off. The only way to really prove this is to know our numbers. If we are already using the data daily, keep using these metrics and look for other ways to relate the results to numbers. For those who rarely or never deal with data, consider ways to add analytics to our daily operations. When we have a real number to support our business strategies, we can be sure we're focusing on and investing in the areas that matter most.</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pStyle w:val="Heading2"/>
        <w:rPr/>
      </w:pPr>
      <w:bookmarkStart w:colFirst="0" w:colLast="0" w:name="_3dy6vkm" w:id="6"/>
      <w:bookmarkEnd w:id="6"/>
      <w:r w:rsidDel="00000000" w:rsidR="00000000" w:rsidRPr="00000000">
        <w:rPr>
          <w:rtl w:val="0"/>
        </w:rPr>
        <w:t xml:space="preserve">Marketing</w:t>
      </w:r>
    </w:p>
    <w:p w:rsidR="00000000" w:rsidDel="00000000" w:rsidP="00000000" w:rsidRDefault="00000000" w:rsidRPr="00000000" w14:paraId="00000035">
      <w:pPr>
        <w:ind w:firstLine="0"/>
        <w:rPr/>
      </w:pPr>
      <w:r w:rsidDel="00000000" w:rsidR="00000000" w:rsidRPr="00000000">
        <w:rPr>
          <w:rtl w:val="0"/>
        </w:rPr>
        <w:t xml:space="preserve">This is a huge business area where catering companies can stay in the background. Regardless of the size of our catering business, marketing can or may affect our future success. Communication with our customers is an important part of building lasting relationships. The balance between social media engagement and personal marketing can connect us with new customers and nurture existing relationships.</w:t>
      </w:r>
    </w:p>
    <w:p w:rsidR="00000000" w:rsidDel="00000000" w:rsidP="00000000" w:rsidRDefault="00000000" w:rsidRPr="00000000" w14:paraId="00000036">
      <w:pPr>
        <w:rPr/>
      </w:pPr>
      <w:r w:rsidDel="00000000" w:rsidR="00000000" w:rsidRPr="00000000">
        <w:rPr>
          <w:rtl w:val="0"/>
        </w:rPr>
        <w:t xml:space="preserve">Social media is the new way to communicate with consumers. This is expected of any business and provides instant brand credibility and legitimacy. However, sending messages to customers isn't a great way to use social media to post things. Every work we share must have an idea and a reason for it. People follow accounts because they add value to their lives. Therefore, it is not recommended to plan social work in advance and think about what we will share. (Kaplan and Haenlein, 2010).</w:t>
      </w:r>
    </w:p>
    <w:p w:rsidR="00000000" w:rsidDel="00000000" w:rsidP="00000000" w:rsidRDefault="00000000" w:rsidRPr="00000000" w14:paraId="00000037">
      <w:pPr>
        <w:rPr/>
      </w:pPr>
      <w:r w:rsidDel="00000000" w:rsidR="00000000" w:rsidRPr="00000000">
        <w:rPr>
          <w:rtl w:val="0"/>
        </w:rPr>
        <w:t xml:space="preserve">Besides creating social media content, personal marketing (Jørgensen, 2018) We help to communicate with new customers. While social media is a healthy tool in the digital age, personal contact with potential customers is a relevant and important marketing method. Attending local events or providing examples can help us spread the name of our company and raise awareness about our services. People can't resist free food samples, so this is a quick opportunity to nurture them and build a valuable, positive connection.</w:t>
      </w:r>
    </w:p>
    <w:p w:rsidR="00000000" w:rsidDel="00000000" w:rsidP="00000000" w:rsidRDefault="00000000" w:rsidRPr="00000000" w14:paraId="00000038">
      <w:pPr>
        <w:rPr/>
      </w:pPr>
      <w:r w:rsidDel="00000000" w:rsidR="00000000" w:rsidRPr="00000000">
        <w:rPr>
          <w:rtl w:val="0"/>
        </w:rPr>
        <w:t xml:space="preserve">Food service professionals are busy and overworked but invest little in these three areas. If we focus on these aspects of our business, we will achieve better operations and better results. Ultimately, our ultimate goal is to create the best experience for our customers by sharing resources in these departments.</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pStyle w:val="Heading2"/>
        <w:rPr/>
      </w:pPr>
      <w:bookmarkStart w:colFirst="0" w:colLast="0" w:name="_1t3h5sf" w:id="7"/>
      <w:bookmarkEnd w:id="7"/>
      <w:r w:rsidDel="00000000" w:rsidR="00000000" w:rsidRPr="00000000">
        <w:rPr>
          <w:rtl w:val="0"/>
        </w:rPr>
        <w:t xml:space="preserve">Tactical planning:</w:t>
      </w:r>
    </w:p>
    <w:p w:rsidR="00000000" w:rsidDel="00000000" w:rsidP="00000000" w:rsidRDefault="00000000" w:rsidRPr="00000000" w14:paraId="0000003B">
      <w:pPr>
        <w:rPr/>
      </w:pPr>
      <w:r w:rsidDel="00000000" w:rsidR="00000000" w:rsidRPr="00000000">
        <w:rPr>
          <w:rtl w:val="0"/>
        </w:rPr>
        <w:t xml:space="preserve">We are at a very fundamental stage where our organisational systems violate their lines, ratings and services. In addition, necessary correspondence should be planned to convey brand and channel representation. After selecting the target drone, customers get the contrast number of new customers (Kotler and Keller, 2016). Additionally, there are five strategies that must be combined with a general coffee technique to excel: consistent food management, food quality and safety, innovation, advertising, and creativity. So how can we make and maintain an efficient coffee and complement it, expand support and add new foods to the buyer? Whether we need to open another restaurant or upgrade an existing one, it should move away from the aforementioned incentives and strategies in our operations to improve the image of our cafe and increase its earning advantage.</w:t>
      </w:r>
    </w:p>
    <w:p w:rsidR="00000000" w:rsidDel="00000000" w:rsidP="00000000" w:rsidRDefault="00000000" w:rsidRPr="00000000" w14:paraId="0000003C">
      <w:pPr>
        <w:spacing w:after="160" w:line="259" w:lineRule="auto"/>
        <w:ind w:firstLine="0"/>
        <w:rPr/>
      </w:pPr>
      <w:r w:rsidDel="00000000" w:rsidR="00000000" w:rsidRPr="00000000">
        <w:br w:type="page"/>
      </w:r>
      <w:r w:rsidDel="00000000" w:rsidR="00000000" w:rsidRPr="00000000">
        <w:rPr>
          <w:rtl w:val="0"/>
        </w:rPr>
      </w:r>
    </w:p>
    <w:p w:rsidR="00000000" w:rsidDel="00000000" w:rsidP="00000000" w:rsidRDefault="00000000" w:rsidRPr="00000000" w14:paraId="0000003D">
      <w:pPr>
        <w:pStyle w:val="Heading1"/>
        <w:jc w:val="center"/>
        <w:rPr/>
      </w:pPr>
      <w:bookmarkStart w:colFirst="0" w:colLast="0" w:name="_4d34og8" w:id="8"/>
      <w:bookmarkEnd w:id="8"/>
      <w:r w:rsidDel="00000000" w:rsidR="00000000" w:rsidRPr="00000000">
        <w:rPr>
          <w:rtl w:val="0"/>
        </w:rPr>
        <w:t xml:space="preserve">References</w:t>
      </w:r>
    </w:p>
    <w:p w:rsidR="00000000" w:rsidDel="00000000" w:rsidP="00000000" w:rsidRDefault="00000000" w:rsidRPr="00000000" w14:paraId="0000003E">
      <w:pPr>
        <w:widowControl w:val="0"/>
        <w:ind w:left="709" w:hanging="709"/>
        <w:rPr/>
      </w:pPr>
      <w:r w:rsidDel="00000000" w:rsidR="00000000" w:rsidRPr="00000000">
        <w:rPr>
          <w:rtl w:val="0"/>
        </w:rPr>
        <w:t xml:space="preserve">Everett, S. and Slocum, S. L. (2013) ‘Food and tourism: An effective partnership? A UK-based review’, </w:t>
      </w:r>
      <w:r w:rsidDel="00000000" w:rsidR="00000000" w:rsidRPr="00000000">
        <w:rPr>
          <w:i w:val="1"/>
          <w:rtl w:val="0"/>
        </w:rPr>
        <w:t xml:space="preserve">Journal of Sustainable Tourism</w:t>
      </w:r>
      <w:r w:rsidDel="00000000" w:rsidR="00000000" w:rsidRPr="00000000">
        <w:rPr>
          <w:rtl w:val="0"/>
        </w:rPr>
        <w:t xml:space="preserve">. doi: 10.1080/09669582.2012.741601.</w:t>
      </w:r>
    </w:p>
    <w:p w:rsidR="00000000" w:rsidDel="00000000" w:rsidP="00000000" w:rsidRDefault="00000000" w:rsidRPr="00000000" w14:paraId="0000003F">
      <w:pPr>
        <w:widowControl w:val="0"/>
        <w:ind w:left="709" w:hanging="709"/>
        <w:rPr/>
      </w:pPr>
      <w:r w:rsidDel="00000000" w:rsidR="00000000" w:rsidRPr="00000000">
        <w:rPr>
          <w:rtl w:val="0"/>
        </w:rPr>
        <w:t xml:space="preserve">Forwood, S. E. </w:t>
      </w:r>
      <w:r w:rsidDel="00000000" w:rsidR="00000000" w:rsidRPr="00000000">
        <w:rPr>
          <w:i w:val="1"/>
          <w:rtl w:val="0"/>
        </w:rPr>
        <w:t xml:space="preserve">et al.</w:t>
      </w:r>
      <w:r w:rsidDel="00000000" w:rsidR="00000000" w:rsidRPr="00000000">
        <w:rPr>
          <w:rtl w:val="0"/>
        </w:rPr>
        <w:t xml:space="preserve"> (2015) ‘Priming healthy eating. You can’t prime all the people all of the time’, </w:t>
      </w:r>
      <w:r w:rsidDel="00000000" w:rsidR="00000000" w:rsidRPr="00000000">
        <w:rPr>
          <w:i w:val="1"/>
          <w:rtl w:val="0"/>
        </w:rPr>
        <w:t xml:space="preserve">Appetite</w:t>
      </w:r>
      <w:r w:rsidDel="00000000" w:rsidR="00000000" w:rsidRPr="00000000">
        <w:rPr>
          <w:rtl w:val="0"/>
        </w:rPr>
        <w:t xml:space="preserve">. doi: 10.1016/j.appet.2015.01.018.</w:t>
      </w:r>
    </w:p>
    <w:p w:rsidR="00000000" w:rsidDel="00000000" w:rsidP="00000000" w:rsidRDefault="00000000" w:rsidRPr="00000000" w14:paraId="00000040">
      <w:pPr>
        <w:widowControl w:val="0"/>
        <w:ind w:left="709" w:hanging="709"/>
        <w:rPr/>
      </w:pPr>
      <w:r w:rsidDel="00000000" w:rsidR="00000000" w:rsidRPr="00000000">
        <w:rPr>
          <w:rtl w:val="0"/>
        </w:rPr>
        <w:t xml:space="preserve">Havinga, T. (2010) ‘Regulating halal and kosher foods: different arrangements between state, industry and religious actors’, </w:t>
      </w:r>
      <w:r w:rsidDel="00000000" w:rsidR="00000000" w:rsidRPr="00000000">
        <w:rPr>
          <w:i w:val="1"/>
          <w:rtl w:val="0"/>
        </w:rPr>
        <w:t xml:space="preserve">Erasmus Law Review</w:t>
      </w:r>
      <w:r w:rsidDel="00000000" w:rsidR="00000000" w:rsidRPr="00000000">
        <w:rPr>
          <w:rtl w:val="0"/>
        </w:rPr>
        <w:t xml:space="preserve">.</w:t>
      </w:r>
    </w:p>
    <w:p w:rsidR="00000000" w:rsidDel="00000000" w:rsidP="00000000" w:rsidRDefault="00000000" w:rsidRPr="00000000" w14:paraId="00000041">
      <w:pPr>
        <w:widowControl w:val="0"/>
        <w:ind w:left="709" w:hanging="709"/>
        <w:rPr/>
      </w:pPr>
      <w:r w:rsidDel="00000000" w:rsidR="00000000" w:rsidRPr="00000000">
        <w:rPr>
          <w:rtl w:val="0"/>
        </w:rPr>
        <w:t xml:space="preserve">Jørgensen, S. (2018) ‘Marketing’, in </w:t>
      </w:r>
      <w:r w:rsidDel="00000000" w:rsidR="00000000" w:rsidRPr="00000000">
        <w:rPr>
          <w:i w:val="1"/>
          <w:rtl w:val="0"/>
        </w:rPr>
        <w:t xml:space="preserve">Handbook of Dynamic Game Theory</w:t>
      </w:r>
      <w:r w:rsidDel="00000000" w:rsidR="00000000" w:rsidRPr="00000000">
        <w:rPr>
          <w:rtl w:val="0"/>
        </w:rPr>
        <w:t xml:space="preserve">. doi: 10.1007/978-3-319-44374-4_22.</w:t>
      </w:r>
    </w:p>
    <w:p w:rsidR="00000000" w:rsidDel="00000000" w:rsidP="00000000" w:rsidRDefault="00000000" w:rsidRPr="00000000" w14:paraId="00000042">
      <w:pPr>
        <w:widowControl w:val="0"/>
        <w:ind w:left="709" w:hanging="709"/>
        <w:rPr/>
      </w:pPr>
      <w:r w:rsidDel="00000000" w:rsidR="00000000" w:rsidRPr="00000000">
        <w:rPr>
          <w:rtl w:val="0"/>
        </w:rPr>
        <w:t xml:space="preserve">Kaplan, A. M. and Haenlein, M. (2010) ‘Users of the world, unite! The challenges and opportunities of Social Media’, </w:t>
      </w:r>
      <w:r w:rsidDel="00000000" w:rsidR="00000000" w:rsidRPr="00000000">
        <w:rPr>
          <w:i w:val="1"/>
          <w:rtl w:val="0"/>
        </w:rPr>
        <w:t xml:space="preserve">Business Horizons</w:t>
      </w:r>
      <w:r w:rsidDel="00000000" w:rsidR="00000000" w:rsidRPr="00000000">
        <w:rPr>
          <w:rtl w:val="0"/>
        </w:rPr>
        <w:t xml:space="preserve">. doi: 10.1016/j.bushor.2009.09.003.</w:t>
      </w:r>
    </w:p>
    <w:p w:rsidR="00000000" w:rsidDel="00000000" w:rsidP="00000000" w:rsidRDefault="00000000" w:rsidRPr="00000000" w14:paraId="00000043">
      <w:pPr>
        <w:widowControl w:val="0"/>
        <w:ind w:left="709" w:hanging="709"/>
        <w:rPr/>
      </w:pPr>
      <w:r w:rsidDel="00000000" w:rsidR="00000000" w:rsidRPr="00000000">
        <w:rPr>
          <w:rtl w:val="0"/>
        </w:rPr>
        <w:t xml:space="preserve">Knox, S. (2004) ‘Positioning and branding your organisation’, </w:t>
      </w:r>
      <w:r w:rsidDel="00000000" w:rsidR="00000000" w:rsidRPr="00000000">
        <w:rPr>
          <w:i w:val="1"/>
          <w:rtl w:val="0"/>
        </w:rPr>
        <w:t xml:space="preserve">Journal of Product &amp; Brand Management</w:t>
      </w:r>
      <w:r w:rsidDel="00000000" w:rsidR="00000000" w:rsidRPr="00000000">
        <w:rPr>
          <w:rtl w:val="0"/>
        </w:rPr>
        <w:t xml:space="preserve">. doi: 10.1108/10610420410529735.</w:t>
      </w:r>
    </w:p>
    <w:p w:rsidR="00000000" w:rsidDel="00000000" w:rsidP="00000000" w:rsidRDefault="00000000" w:rsidRPr="00000000" w14:paraId="00000044">
      <w:pPr>
        <w:widowControl w:val="0"/>
        <w:ind w:left="709" w:hanging="709"/>
        <w:rPr/>
      </w:pPr>
      <w:r w:rsidDel="00000000" w:rsidR="00000000" w:rsidRPr="00000000">
        <w:rPr>
          <w:rtl w:val="0"/>
        </w:rPr>
        <w:t xml:space="preserve">Kotler, P. and Keller, K. L. (2016) </w:t>
      </w:r>
      <w:r w:rsidDel="00000000" w:rsidR="00000000" w:rsidRPr="00000000">
        <w:rPr>
          <w:i w:val="1"/>
          <w:rtl w:val="0"/>
        </w:rPr>
        <w:t xml:space="preserve">A Framework for Marketing Management</w:t>
      </w:r>
      <w:r w:rsidDel="00000000" w:rsidR="00000000" w:rsidRPr="00000000">
        <w:rPr>
          <w:rtl w:val="0"/>
        </w:rPr>
        <w:t xml:space="preserve">, </w:t>
      </w:r>
      <w:r w:rsidDel="00000000" w:rsidR="00000000" w:rsidRPr="00000000">
        <w:rPr>
          <w:i w:val="1"/>
          <w:rtl w:val="0"/>
        </w:rPr>
        <w:t xml:space="preserve">Marketing Management</w:t>
      </w:r>
      <w:r w:rsidDel="00000000" w:rsidR="00000000" w:rsidRPr="00000000">
        <w:rPr>
          <w:rtl w:val="0"/>
        </w:rPr>
        <w:t xml:space="preserve">.</w:t>
      </w:r>
    </w:p>
    <w:p w:rsidR="00000000" w:rsidDel="00000000" w:rsidP="00000000" w:rsidRDefault="00000000" w:rsidRPr="00000000" w14:paraId="00000045">
      <w:pPr>
        <w:widowControl w:val="0"/>
        <w:ind w:left="709" w:hanging="709"/>
        <w:rPr/>
      </w:pPr>
      <w:r w:rsidDel="00000000" w:rsidR="00000000" w:rsidRPr="00000000">
        <w:rPr>
          <w:rtl w:val="0"/>
        </w:rPr>
        <w:t xml:space="preserve">Novelli, M., Schmitz, B. and Spencer, T. (2006) ‘Networks, clusters and innovation in tourism: A UK experience’, </w:t>
      </w:r>
      <w:r w:rsidDel="00000000" w:rsidR="00000000" w:rsidRPr="00000000">
        <w:rPr>
          <w:i w:val="1"/>
          <w:rtl w:val="0"/>
        </w:rPr>
        <w:t xml:space="preserve">Tourism Management</w:t>
      </w:r>
      <w:r w:rsidDel="00000000" w:rsidR="00000000" w:rsidRPr="00000000">
        <w:rPr>
          <w:rtl w:val="0"/>
        </w:rPr>
        <w:t xml:space="preserve">. doi: 10.1016/j.tourman.2005.11.011.</w:t>
      </w:r>
    </w:p>
    <w:p w:rsidR="00000000" w:rsidDel="00000000" w:rsidP="00000000" w:rsidRDefault="00000000" w:rsidRPr="00000000" w14:paraId="00000046">
      <w:pPr>
        <w:widowControl w:val="0"/>
        <w:ind w:left="709" w:hanging="709"/>
        <w:rPr/>
      </w:pPr>
      <w:r w:rsidDel="00000000" w:rsidR="00000000" w:rsidRPr="00000000">
        <w:rPr>
          <w:rtl w:val="0"/>
        </w:rPr>
        <w:t xml:space="preserve">Regenstein, J. M., Chaudry, M. M. and Regenstein, C. E. (2003) ‘The Kosher and Halal Food Laws’, </w:t>
      </w:r>
      <w:r w:rsidDel="00000000" w:rsidR="00000000" w:rsidRPr="00000000">
        <w:rPr>
          <w:i w:val="1"/>
          <w:rtl w:val="0"/>
        </w:rPr>
        <w:t xml:space="preserve">Comprehensive Reviews in Food Science and Food Safety</w:t>
      </w:r>
      <w:r w:rsidDel="00000000" w:rsidR="00000000" w:rsidRPr="00000000">
        <w:rPr>
          <w:rtl w:val="0"/>
        </w:rPr>
        <w:t xml:space="preserve">. doi: 10.1111/j.1541-4337.2003.tb00018.x.</w:t>
      </w:r>
    </w:p>
    <w:p w:rsidR="00000000" w:rsidDel="00000000" w:rsidP="00000000" w:rsidRDefault="00000000" w:rsidRPr="00000000" w14:paraId="00000047">
      <w:pPr>
        <w:widowControl w:val="0"/>
        <w:ind w:left="709" w:hanging="709"/>
        <w:rPr/>
      </w:pPr>
      <w:r w:rsidDel="00000000" w:rsidR="00000000" w:rsidRPr="00000000">
        <w:rPr>
          <w:rtl w:val="0"/>
        </w:rPr>
        <w:t xml:space="preserve">Sato, P. M. </w:t>
      </w:r>
      <w:r w:rsidDel="00000000" w:rsidR="00000000" w:rsidRPr="00000000">
        <w:rPr>
          <w:i w:val="1"/>
          <w:rtl w:val="0"/>
        </w:rPr>
        <w:t xml:space="preserve">et al.</w:t>
      </w:r>
      <w:r w:rsidDel="00000000" w:rsidR="00000000" w:rsidRPr="00000000">
        <w:rPr>
          <w:rtl w:val="0"/>
        </w:rPr>
        <w:t xml:space="preserve"> (2016) ‘The use of Pierre Bourdieu’s distinction concepts in scientific articles studying food and eating: A narrative review’, </w:t>
      </w:r>
      <w:r w:rsidDel="00000000" w:rsidR="00000000" w:rsidRPr="00000000">
        <w:rPr>
          <w:i w:val="1"/>
          <w:rtl w:val="0"/>
        </w:rPr>
        <w:t xml:space="preserve">Appetite</w:t>
      </w:r>
      <w:r w:rsidDel="00000000" w:rsidR="00000000" w:rsidRPr="00000000">
        <w:rPr>
          <w:rtl w:val="0"/>
        </w:rPr>
        <w:t xml:space="preserve">. doi: 10.1016/j.appet.2015.09.010.</w:t>
      </w:r>
    </w:p>
    <w:p w:rsidR="00000000" w:rsidDel="00000000" w:rsidP="00000000" w:rsidRDefault="00000000" w:rsidRPr="00000000" w14:paraId="00000048">
      <w:pPr>
        <w:widowControl w:val="0"/>
        <w:ind w:left="709" w:hanging="709"/>
        <w:rPr/>
      </w:pPr>
      <w:r w:rsidDel="00000000" w:rsidR="00000000" w:rsidRPr="00000000">
        <w:rPr>
          <w:rtl w:val="0"/>
        </w:rPr>
        <w:t xml:space="preserve">Supawan, P., Sornsaruht, P. and Pimdee, P. (2019) ‘Thai cuisine restaurant performance in the United Kingdom (UK): A SEM analysis’, </w:t>
      </w:r>
      <w:r w:rsidDel="00000000" w:rsidR="00000000" w:rsidRPr="00000000">
        <w:rPr>
          <w:i w:val="1"/>
          <w:rtl w:val="0"/>
        </w:rPr>
        <w:t xml:space="preserve">African Journal of Hospitality, Tourism and Leisure</w:t>
      </w:r>
      <w:r w:rsidDel="00000000" w:rsidR="00000000" w:rsidRPr="00000000">
        <w:rPr>
          <w:rtl w:val="0"/>
        </w:rPr>
        <w:t xml:space="preserve">.</w:t>
      </w:r>
    </w:p>
    <w:p w:rsidR="00000000" w:rsidDel="00000000" w:rsidP="00000000" w:rsidRDefault="00000000" w:rsidRPr="00000000" w14:paraId="00000049">
      <w:pPr>
        <w:ind w:left="709" w:hanging="709"/>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sectPr>
      <w:footerReference r:id="rId6" w:type="defaul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B">
    <w:pPr>
      <w:keepNext w:val="0"/>
      <w:keepLines w:val="0"/>
      <w:widowControl w:val="1"/>
      <w:pBdr>
        <w:top w:color="d9d9d9" w:space="1" w:sz="4" w:val="single"/>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709"/>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r w:rsidDel="00000000" w:rsidR="00000000" w:rsidRPr="00000000">
      <w:rPr>
        <w:rFonts w:ascii="Times New Roman" w:cs="Times New Roman" w:eastAsia="Times New Roman" w:hAnsi="Times New Roman"/>
        <w:b w:val="0"/>
        <w:i w:val="0"/>
        <w:smallCaps w:val="0"/>
        <w:strike w:val="0"/>
        <w:color w:val="7f7f7f"/>
        <w:sz w:val="24"/>
        <w:szCs w:val="24"/>
        <w:u w:val="none"/>
        <w:shd w:fill="auto" w:val="clear"/>
        <w:vertAlign w:val="baseline"/>
        <w:rtl w:val="0"/>
      </w:rPr>
      <w:t xml:space="preserve">Page</w:t>
    </w:r>
    <w:r w:rsidDel="00000000" w:rsidR="00000000" w:rsidRPr="00000000">
      <w:rPr>
        <w:rtl w:val="0"/>
      </w:rPr>
    </w:r>
  </w:p>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709"/>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line="480" w:lineRule="auto"/>
        <w:ind w:firstLine="709"/>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ind w:firstLine="0"/>
    </w:pPr>
    <w:rPr>
      <w:b w:val="1"/>
      <w:i w:val="1"/>
    </w:rPr>
  </w:style>
  <w:style w:type="paragraph" w:styleId="Heading2">
    <w:name w:val="heading 2"/>
    <w:basedOn w:val="Normal"/>
    <w:next w:val="Normal"/>
    <w:pPr>
      <w:keepNext w:val="1"/>
      <w:keepLines w:val="1"/>
      <w:ind w:firstLine="0"/>
    </w:pPr>
    <w:rPr>
      <w:i w:val="1"/>
    </w:rPr>
  </w:style>
  <w:style w:type="paragraph" w:styleId="Heading3">
    <w:name w:val="heading 3"/>
    <w:basedOn w:val="Normal"/>
    <w:next w:val="Normal"/>
    <w:pPr>
      <w:keepNext w:val="1"/>
      <w:keepLines w:val="1"/>
      <w:ind w:firstLine="0"/>
    </w:pPr>
    <w:rPr>
      <w:i w:val="1"/>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