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28FC4C" w14:textId="0B831B3A" w:rsidR="00BD735D" w:rsidRDefault="006C3E95" w:rsidP="00BD735D">
      <w:pPr>
        <w:pStyle w:val="Normal1"/>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STUDENT-KOSTADIN GEORGIEV ANDONOV (2246787)</w:t>
      </w:r>
    </w:p>
    <w:p w14:paraId="7D28FC4D" w14:textId="77777777" w:rsidR="00BD735D" w:rsidRDefault="00BD735D" w:rsidP="00BD735D">
      <w:pPr>
        <w:pStyle w:val="Normal1"/>
        <w:spacing w:line="360" w:lineRule="auto"/>
        <w:jc w:val="center"/>
        <w:rPr>
          <w:rFonts w:ascii="Times New Roman" w:hAnsi="Times New Roman" w:cs="Times New Roman"/>
          <w:b/>
          <w:sz w:val="32"/>
          <w:szCs w:val="32"/>
        </w:rPr>
      </w:pPr>
    </w:p>
    <w:p w14:paraId="7D28FC4E" w14:textId="243A85E4" w:rsidR="00BD735D" w:rsidRDefault="00DE2F6D" w:rsidP="00BD735D">
      <w:pPr>
        <w:pStyle w:val="Normal1"/>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INTRODUCING </w:t>
      </w:r>
      <w:r w:rsidR="006C3E95">
        <w:rPr>
          <w:rFonts w:ascii="Times New Roman" w:hAnsi="Times New Roman" w:cs="Times New Roman"/>
          <w:b/>
          <w:sz w:val="32"/>
          <w:szCs w:val="32"/>
        </w:rPr>
        <w:t>MODERN WORKPLACE</w:t>
      </w:r>
      <w:r>
        <w:rPr>
          <w:rFonts w:ascii="Times New Roman" w:hAnsi="Times New Roman" w:cs="Times New Roman"/>
          <w:b/>
          <w:sz w:val="32"/>
          <w:szCs w:val="32"/>
        </w:rPr>
        <w:t>(LCBB4003)</w:t>
      </w:r>
    </w:p>
    <w:p w14:paraId="42268466" w14:textId="30755806" w:rsidR="006C3E95" w:rsidRDefault="006C3E95" w:rsidP="00BD735D">
      <w:pPr>
        <w:pStyle w:val="Normal1"/>
        <w:spacing w:line="360" w:lineRule="auto"/>
        <w:jc w:val="center"/>
        <w:rPr>
          <w:rFonts w:ascii="Times New Roman" w:hAnsi="Times New Roman" w:cs="Times New Roman"/>
          <w:b/>
          <w:sz w:val="32"/>
          <w:szCs w:val="32"/>
        </w:rPr>
      </w:pPr>
      <w:r>
        <w:rPr>
          <w:rFonts w:ascii="Times New Roman" w:hAnsi="Times New Roman" w:cs="Times New Roman"/>
          <w:b/>
          <w:sz w:val="32"/>
          <w:szCs w:val="32"/>
        </w:rPr>
        <w:t>ESSAY</w:t>
      </w:r>
    </w:p>
    <w:p w14:paraId="7D28FC4F" w14:textId="77777777" w:rsidR="00BD735D" w:rsidRDefault="00BD735D" w:rsidP="00BD735D">
      <w:pPr>
        <w:pStyle w:val="Normal1"/>
        <w:spacing w:line="360" w:lineRule="auto"/>
        <w:jc w:val="center"/>
        <w:rPr>
          <w:rFonts w:ascii="Times New Roman" w:hAnsi="Times New Roman" w:cs="Times New Roman"/>
          <w:b/>
          <w:sz w:val="32"/>
          <w:szCs w:val="32"/>
        </w:rPr>
      </w:pPr>
    </w:p>
    <w:p w14:paraId="7D28FC50" w14:textId="77777777" w:rsidR="00BD735D" w:rsidRDefault="00BD735D" w:rsidP="00BD735D">
      <w:pPr>
        <w:pStyle w:val="Normal1"/>
        <w:spacing w:line="360" w:lineRule="auto"/>
        <w:jc w:val="center"/>
        <w:rPr>
          <w:rFonts w:ascii="Times New Roman" w:hAnsi="Times New Roman" w:cs="Times New Roman"/>
          <w:b/>
          <w:sz w:val="32"/>
          <w:szCs w:val="32"/>
        </w:rPr>
      </w:pPr>
    </w:p>
    <w:p w14:paraId="7D28FC51" w14:textId="43896837" w:rsidR="00BD735D" w:rsidRDefault="006C3E95" w:rsidP="00BD735D">
      <w:pPr>
        <w:pStyle w:val="Normal1"/>
        <w:spacing w:line="360" w:lineRule="auto"/>
        <w:jc w:val="center"/>
        <w:rPr>
          <w:rFonts w:ascii="Times New Roman" w:hAnsi="Times New Roman" w:cs="Times New Roman"/>
          <w:b/>
          <w:sz w:val="32"/>
          <w:szCs w:val="32"/>
        </w:rPr>
      </w:pPr>
      <w:r>
        <w:rPr>
          <w:rFonts w:ascii="Times New Roman" w:hAnsi="Times New Roman" w:cs="Times New Roman"/>
          <w:b/>
          <w:sz w:val="32"/>
          <w:szCs w:val="32"/>
        </w:rPr>
        <w:t>ASTRA ZENICA</w:t>
      </w:r>
    </w:p>
    <w:p w14:paraId="7D28FC52" w14:textId="77777777" w:rsidR="00BD735D" w:rsidRDefault="00BD735D" w:rsidP="00BD735D">
      <w:pPr>
        <w:pStyle w:val="Normal1"/>
        <w:spacing w:line="360" w:lineRule="auto"/>
        <w:jc w:val="center"/>
        <w:rPr>
          <w:rFonts w:ascii="Times New Roman" w:hAnsi="Times New Roman" w:cs="Times New Roman"/>
          <w:b/>
          <w:sz w:val="32"/>
          <w:szCs w:val="32"/>
        </w:rPr>
      </w:pPr>
    </w:p>
    <w:p w14:paraId="7D28FC53" w14:textId="77777777" w:rsidR="00BD735D" w:rsidRDefault="00BD735D" w:rsidP="00BD735D">
      <w:pPr>
        <w:pStyle w:val="Normal1"/>
        <w:spacing w:line="360" w:lineRule="auto"/>
        <w:jc w:val="center"/>
        <w:rPr>
          <w:rFonts w:ascii="Times New Roman" w:hAnsi="Times New Roman" w:cs="Times New Roman"/>
          <w:b/>
          <w:sz w:val="32"/>
          <w:szCs w:val="32"/>
        </w:rPr>
      </w:pPr>
    </w:p>
    <w:p w14:paraId="7D28FC54" w14:textId="77777777" w:rsidR="00BD735D" w:rsidRDefault="00BD735D" w:rsidP="00BD735D">
      <w:pPr>
        <w:pStyle w:val="Normal1"/>
        <w:spacing w:line="360" w:lineRule="auto"/>
        <w:jc w:val="center"/>
        <w:rPr>
          <w:rFonts w:ascii="Times New Roman" w:hAnsi="Times New Roman" w:cs="Times New Roman"/>
          <w:b/>
          <w:sz w:val="32"/>
          <w:szCs w:val="32"/>
        </w:rPr>
      </w:pPr>
    </w:p>
    <w:p w14:paraId="7D28FC55" w14:textId="77777777" w:rsidR="004D4772" w:rsidRPr="00BD735D" w:rsidRDefault="00BD735D" w:rsidP="00BD735D">
      <w:pPr>
        <w:pStyle w:val="Normal1"/>
        <w:spacing w:line="360" w:lineRule="auto"/>
        <w:jc w:val="center"/>
        <w:rPr>
          <w:rFonts w:ascii="Times New Roman" w:hAnsi="Times New Roman" w:cs="Times New Roman"/>
          <w:b/>
          <w:sz w:val="32"/>
          <w:szCs w:val="32"/>
        </w:rPr>
      </w:pPr>
      <w:r w:rsidRPr="00BD735D">
        <w:rPr>
          <w:rFonts w:ascii="Times New Roman" w:hAnsi="Times New Roman" w:cs="Times New Roman"/>
          <w:b/>
          <w:sz w:val="32"/>
          <w:szCs w:val="32"/>
        </w:rPr>
        <w:t>ORGANIZATIONAL STRUCTURE AND EMPLOYEE MOTIVATION</w:t>
      </w:r>
    </w:p>
    <w:p w14:paraId="7D28FC56" w14:textId="7F5B9BB1" w:rsidR="00BD735D" w:rsidRDefault="00BD735D" w:rsidP="006C3E95">
      <w:pPr>
        <w:jc w:val="center"/>
        <w:rPr>
          <w:rFonts w:ascii="Times New Roman" w:hAnsi="Times New Roman" w:cs="Times New Roman"/>
          <w:b/>
          <w:sz w:val="24"/>
          <w:szCs w:val="24"/>
        </w:rPr>
      </w:pPr>
      <w:r>
        <w:rPr>
          <w:rFonts w:ascii="Times New Roman" w:hAnsi="Times New Roman" w:cs="Times New Roman"/>
          <w:b/>
          <w:sz w:val="24"/>
          <w:szCs w:val="24"/>
        </w:rPr>
        <w:br w:type="page"/>
      </w:r>
    </w:p>
    <w:sdt>
      <w:sdtPr>
        <w:rPr>
          <w:rFonts w:ascii="Arial" w:eastAsia="Arial" w:hAnsi="Arial" w:cs="Arial"/>
          <w:b w:val="0"/>
          <w:bCs w:val="0"/>
          <w:color w:val="auto"/>
          <w:sz w:val="22"/>
          <w:szCs w:val="22"/>
          <w:lang w:val="en-GB"/>
        </w:rPr>
        <w:id w:val="25338463"/>
        <w:docPartObj>
          <w:docPartGallery w:val="Table of Contents"/>
          <w:docPartUnique/>
        </w:docPartObj>
      </w:sdtPr>
      <w:sdtEndPr/>
      <w:sdtContent>
        <w:p w14:paraId="7D28FC57" w14:textId="77777777" w:rsidR="00652A5F" w:rsidRDefault="00652A5F" w:rsidP="00652A5F">
          <w:pPr>
            <w:pStyle w:val="TOCHeading"/>
            <w:jc w:val="center"/>
          </w:pPr>
          <w:r w:rsidRPr="00652A5F">
            <w:rPr>
              <w:rFonts w:ascii="Times New Roman" w:hAnsi="Times New Roman" w:cs="Times New Roman"/>
              <w:color w:val="auto"/>
            </w:rPr>
            <w:t>Table of Contents</w:t>
          </w:r>
        </w:p>
        <w:p w14:paraId="7D28FC58" w14:textId="77777777" w:rsidR="00652A5F" w:rsidRPr="00652A5F" w:rsidRDefault="00652A5F" w:rsidP="00652A5F">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64103364" w:history="1">
            <w:r w:rsidRPr="00652A5F">
              <w:rPr>
                <w:rStyle w:val="Hyperlink"/>
                <w:rFonts w:ascii="Times New Roman" w:hAnsi="Times New Roman" w:cs="Times New Roman"/>
                <w:noProof/>
                <w:sz w:val="24"/>
                <w:szCs w:val="24"/>
              </w:rPr>
              <w:t>Introduction</w:t>
            </w:r>
            <w:r w:rsidRPr="00652A5F">
              <w:rPr>
                <w:rFonts w:ascii="Times New Roman" w:hAnsi="Times New Roman" w:cs="Times New Roman"/>
                <w:noProof/>
                <w:webHidden/>
                <w:sz w:val="24"/>
                <w:szCs w:val="24"/>
              </w:rPr>
              <w:tab/>
            </w:r>
            <w:r w:rsidRPr="00652A5F">
              <w:rPr>
                <w:rFonts w:ascii="Times New Roman" w:hAnsi="Times New Roman" w:cs="Times New Roman"/>
                <w:noProof/>
                <w:webHidden/>
                <w:sz w:val="24"/>
                <w:szCs w:val="24"/>
              </w:rPr>
              <w:fldChar w:fldCharType="begin"/>
            </w:r>
            <w:r w:rsidRPr="00652A5F">
              <w:rPr>
                <w:rFonts w:ascii="Times New Roman" w:hAnsi="Times New Roman" w:cs="Times New Roman"/>
                <w:noProof/>
                <w:webHidden/>
                <w:sz w:val="24"/>
                <w:szCs w:val="24"/>
              </w:rPr>
              <w:instrText xml:space="preserve"> PAGEREF _Toc164103364 \h </w:instrText>
            </w:r>
            <w:r w:rsidRPr="00652A5F">
              <w:rPr>
                <w:rFonts w:ascii="Times New Roman" w:hAnsi="Times New Roman" w:cs="Times New Roman"/>
                <w:noProof/>
                <w:webHidden/>
                <w:sz w:val="24"/>
                <w:szCs w:val="24"/>
              </w:rPr>
            </w:r>
            <w:r w:rsidRPr="00652A5F">
              <w:rPr>
                <w:rFonts w:ascii="Times New Roman" w:hAnsi="Times New Roman" w:cs="Times New Roman"/>
                <w:noProof/>
                <w:webHidden/>
                <w:sz w:val="24"/>
                <w:szCs w:val="24"/>
              </w:rPr>
              <w:fldChar w:fldCharType="separate"/>
            </w:r>
            <w:r w:rsidRPr="00652A5F">
              <w:rPr>
                <w:rFonts w:ascii="Times New Roman" w:hAnsi="Times New Roman" w:cs="Times New Roman"/>
                <w:noProof/>
                <w:webHidden/>
                <w:sz w:val="24"/>
                <w:szCs w:val="24"/>
              </w:rPr>
              <w:t>2</w:t>
            </w:r>
            <w:r w:rsidRPr="00652A5F">
              <w:rPr>
                <w:rFonts w:ascii="Times New Roman" w:hAnsi="Times New Roman" w:cs="Times New Roman"/>
                <w:noProof/>
                <w:webHidden/>
                <w:sz w:val="24"/>
                <w:szCs w:val="24"/>
              </w:rPr>
              <w:fldChar w:fldCharType="end"/>
            </w:r>
          </w:hyperlink>
        </w:p>
        <w:p w14:paraId="7D28FC59" w14:textId="77777777" w:rsidR="00652A5F" w:rsidRPr="00652A5F" w:rsidRDefault="00DE2F6D" w:rsidP="00652A5F">
          <w:pPr>
            <w:pStyle w:val="TOC1"/>
            <w:tabs>
              <w:tab w:val="right" w:leader="dot" w:pos="9350"/>
            </w:tabs>
            <w:spacing w:line="360" w:lineRule="auto"/>
            <w:rPr>
              <w:rFonts w:ascii="Times New Roman" w:hAnsi="Times New Roman" w:cs="Times New Roman"/>
              <w:noProof/>
              <w:sz w:val="24"/>
              <w:szCs w:val="24"/>
            </w:rPr>
          </w:pPr>
          <w:hyperlink w:anchor="_Toc164103365" w:history="1">
            <w:r w:rsidR="00652A5F" w:rsidRPr="00652A5F">
              <w:rPr>
                <w:rStyle w:val="Hyperlink"/>
                <w:rFonts w:ascii="Times New Roman" w:hAnsi="Times New Roman" w:cs="Times New Roman"/>
                <w:noProof/>
                <w:sz w:val="24"/>
                <w:szCs w:val="24"/>
              </w:rPr>
              <w:t>1. Organization structure and culture related to its performances</w:t>
            </w:r>
            <w:r w:rsidR="00652A5F" w:rsidRPr="00652A5F">
              <w:rPr>
                <w:rFonts w:ascii="Times New Roman" w:hAnsi="Times New Roman" w:cs="Times New Roman"/>
                <w:noProof/>
                <w:webHidden/>
                <w:sz w:val="24"/>
                <w:szCs w:val="24"/>
              </w:rPr>
              <w:tab/>
            </w:r>
            <w:r w:rsidR="00652A5F" w:rsidRPr="00652A5F">
              <w:rPr>
                <w:rFonts w:ascii="Times New Roman" w:hAnsi="Times New Roman" w:cs="Times New Roman"/>
                <w:noProof/>
                <w:webHidden/>
                <w:sz w:val="24"/>
                <w:szCs w:val="24"/>
              </w:rPr>
              <w:fldChar w:fldCharType="begin"/>
            </w:r>
            <w:r w:rsidR="00652A5F" w:rsidRPr="00652A5F">
              <w:rPr>
                <w:rFonts w:ascii="Times New Roman" w:hAnsi="Times New Roman" w:cs="Times New Roman"/>
                <w:noProof/>
                <w:webHidden/>
                <w:sz w:val="24"/>
                <w:szCs w:val="24"/>
              </w:rPr>
              <w:instrText xml:space="preserve"> PAGEREF _Toc164103365 \h </w:instrText>
            </w:r>
            <w:r w:rsidR="00652A5F" w:rsidRPr="00652A5F">
              <w:rPr>
                <w:rFonts w:ascii="Times New Roman" w:hAnsi="Times New Roman" w:cs="Times New Roman"/>
                <w:noProof/>
                <w:webHidden/>
                <w:sz w:val="24"/>
                <w:szCs w:val="24"/>
              </w:rPr>
            </w:r>
            <w:r w:rsidR="00652A5F" w:rsidRPr="00652A5F">
              <w:rPr>
                <w:rFonts w:ascii="Times New Roman" w:hAnsi="Times New Roman" w:cs="Times New Roman"/>
                <w:noProof/>
                <w:webHidden/>
                <w:sz w:val="24"/>
                <w:szCs w:val="24"/>
              </w:rPr>
              <w:fldChar w:fldCharType="separate"/>
            </w:r>
            <w:r w:rsidR="00652A5F" w:rsidRPr="00652A5F">
              <w:rPr>
                <w:rFonts w:ascii="Times New Roman" w:hAnsi="Times New Roman" w:cs="Times New Roman"/>
                <w:noProof/>
                <w:webHidden/>
                <w:sz w:val="24"/>
                <w:szCs w:val="24"/>
              </w:rPr>
              <w:t>2</w:t>
            </w:r>
            <w:r w:rsidR="00652A5F" w:rsidRPr="00652A5F">
              <w:rPr>
                <w:rFonts w:ascii="Times New Roman" w:hAnsi="Times New Roman" w:cs="Times New Roman"/>
                <w:noProof/>
                <w:webHidden/>
                <w:sz w:val="24"/>
                <w:szCs w:val="24"/>
              </w:rPr>
              <w:fldChar w:fldCharType="end"/>
            </w:r>
          </w:hyperlink>
        </w:p>
        <w:p w14:paraId="7D28FC5A" w14:textId="77777777" w:rsidR="00652A5F" w:rsidRPr="00652A5F" w:rsidRDefault="00DE2F6D" w:rsidP="00652A5F">
          <w:pPr>
            <w:pStyle w:val="TOC1"/>
            <w:tabs>
              <w:tab w:val="right" w:leader="dot" w:pos="9350"/>
            </w:tabs>
            <w:spacing w:line="360" w:lineRule="auto"/>
            <w:rPr>
              <w:rFonts w:ascii="Times New Roman" w:hAnsi="Times New Roman" w:cs="Times New Roman"/>
              <w:noProof/>
              <w:sz w:val="24"/>
              <w:szCs w:val="24"/>
            </w:rPr>
          </w:pPr>
          <w:hyperlink w:anchor="_Toc164103366" w:history="1">
            <w:r w:rsidR="00652A5F" w:rsidRPr="00652A5F">
              <w:rPr>
                <w:rStyle w:val="Hyperlink"/>
                <w:rFonts w:ascii="Times New Roman" w:hAnsi="Times New Roman" w:cs="Times New Roman"/>
                <w:noProof/>
                <w:sz w:val="24"/>
                <w:szCs w:val="24"/>
              </w:rPr>
              <w:t>2. Employee motivation</w:t>
            </w:r>
            <w:r w:rsidR="00652A5F" w:rsidRPr="00652A5F">
              <w:rPr>
                <w:rFonts w:ascii="Times New Roman" w:hAnsi="Times New Roman" w:cs="Times New Roman"/>
                <w:noProof/>
                <w:webHidden/>
                <w:sz w:val="24"/>
                <w:szCs w:val="24"/>
              </w:rPr>
              <w:tab/>
            </w:r>
            <w:r w:rsidR="00652A5F" w:rsidRPr="00652A5F">
              <w:rPr>
                <w:rFonts w:ascii="Times New Roman" w:hAnsi="Times New Roman" w:cs="Times New Roman"/>
                <w:noProof/>
                <w:webHidden/>
                <w:sz w:val="24"/>
                <w:szCs w:val="24"/>
              </w:rPr>
              <w:fldChar w:fldCharType="begin"/>
            </w:r>
            <w:r w:rsidR="00652A5F" w:rsidRPr="00652A5F">
              <w:rPr>
                <w:rFonts w:ascii="Times New Roman" w:hAnsi="Times New Roman" w:cs="Times New Roman"/>
                <w:noProof/>
                <w:webHidden/>
                <w:sz w:val="24"/>
                <w:szCs w:val="24"/>
              </w:rPr>
              <w:instrText xml:space="preserve"> PAGEREF _Toc164103366 \h </w:instrText>
            </w:r>
            <w:r w:rsidR="00652A5F" w:rsidRPr="00652A5F">
              <w:rPr>
                <w:rFonts w:ascii="Times New Roman" w:hAnsi="Times New Roman" w:cs="Times New Roman"/>
                <w:noProof/>
                <w:webHidden/>
                <w:sz w:val="24"/>
                <w:szCs w:val="24"/>
              </w:rPr>
            </w:r>
            <w:r w:rsidR="00652A5F" w:rsidRPr="00652A5F">
              <w:rPr>
                <w:rFonts w:ascii="Times New Roman" w:hAnsi="Times New Roman" w:cs="Times New Roman"/>
                <w:noProof/>
                <w:webHidden/>
                <w:sz w:val="24"/>
                <w:szCs w:val="24"/>
              </w:rPr>
              <w:fldChar w:fldCharType="separate"/>
            </w:r>
            <w:r w:rsidR="00652A5F" w:rsidRPr="00652A5F">
              <w:rPr>
                <w:rFonts w:ascii="Times New Roman" w:hAnsi="Times New Roman" w:cs="Times New Roman"/>
                <w:noProof/>
                <w:webHidden/>
                <w:sz w:val="24"/>
                <w:szCs w:val="24"/>
              </w:rPr>
              <w:t>5</w:t>
            </w:r>
            <w:r w:rsidR="00652A5F" w:rsidRPr="00652A5F">
              <w:rPr>
                <w:rFonts w:ascii="Times New Roman" w:hAnsi="Times New Roman" w:cs="Times New Roman"/>
                <w:noProof/>
                <w:webHidden/>
                <w:sz w:val="24"/>
                <w:szCs w:val="24"/>
              </w:rPr>
              <w:fldChar w:fldCharType="end"/>
            </w:r>
          </w:hyperlink>
        </w:p>
        <w:p w14:paraId="7D28FC5B" w14:textId="77777777" w:rsidR="00652A5F" w:rsidRPr="00652A5F" w:rsidRDefault="00DE2F6D" w:rsidP="00652A5F">
          <w:pPr>
            <w:pStyle w:val="TOC1"/>
            <w:tabs>
              <w:tab w:val="right" w:leader="dot" w:pos="9350"/>
            </w:tabs>
            <w:spacing w:line="360" w:lineRule="auto"/>
            <w:rPr>
              <w:rFonts w:ascii="Times New Roman" w:hAnsi="Times New Roman" w:cs="Times New Roman"/>
              <w:noProof/>
              <w:sz w:val="24"/>
              <w:szCs w:val="24"/>
            </w:rPr>
          </w:pPr>
          <w:hyperlink w:anchor="_Toc164103367" w:history="1">
            <w:r w:rsidR="00652A5F" w:rsidRPr="00652A5F">
              <w:rPr>
                <w:rStyle w:val="Hyperlink"/>
                <w:rFonts w:ascii="Times New Roman" w:hAnsi="Times New Roman" w:cs="Times New Roman"/>
                <w:noProof/>
                <w:sz w:val="24"/>
                <w:szCs w:val="24"/>
              </w:rPr>
              <w:t>Conclusion</w:t>
            </w:r>
            <w:r w:rsidR="00652A5F" w:rsidRPr="00652A5F">
              <w:rPr>
                <w:rFonts w:ascii="Times New Roman" w:hAnsi="Times New Roman" w:cs="Times New Roman"/>
                <w:noProof/>
                <w:webHidden/>
                <w:sz w:val="24"/>
                <w:szCs w:val="24"/>
              </w:rPr>
              <w:tab/>
            </w:r>
            <w:r w:rsidR="00652A5F" w:rsidRPr="00652A5F">
              <w:rPr>
                <w:rFonts w:ascii="Times New Roman" w:hAnsi="Times New Roman" w:cs="Times New Roman"/>
                <w:noProof/>
                <w:webHidden/>
                <w:sz w:val="24"/>
                <w:szCs w:val="24"/>
              </w:rPr>
              <w:fldChar w:fldCharType="begin"/>
            </w:r>
            <w:r w:rsidR="00652A5F" w:rsidRPr="00652A5F">
              <w:rPr>
                <w:rFonts w:ascii="Times New Roman" w:hAnsi="Times New Roman" w:cs="Times New Roman"/>
                <w:noProof/>
                <w:webHidden/>
                <w:sz w:val="24"/>
                <w:szCs w:val="24"/>
              </w:rPr>
              <w:instrText xml:space="preserve"> PAGEREF _Toc164103367 \h </w:instrText>
            </w:r>
            <w:r w:rsidR="00652A5F" w:rsidRPr="00652A5F">
              <w:rPr>
                <w:rFonts w:ascii="Times New Roman" w:hAnsi="Times New Roman" w:cs="Times New Roman"/>
                <w:noProof/>
                <w:webHidden/>
                <w:sz w:val="24"/>
                <w:szCs w:val="24"/>
              </w:rPr>
            </w:r>
            <w:r w:rsidR="00652A5F" w:rsidRPr="00652A5F">
              <w:rPr>
                <w:rFonts w:ascii="Times New Roman" w:hAnsi="Times New Roman" w:cs="Times New Roman"/>
                <w:noProof/>
                <w:webHidden/>
                <w:sz w:val="24"/>
                <w:szCs w:val="24"/>
              </w:rPr>
              <w:fldChar w:fldCharType="separate"/>
            </w:r>
            <w:r w:rsidR="00652A5F" w:rsidRPr="00652A5F">
              <w:rPr>
                <w:rFonts w:ascii="Times New Roman" w:hAnsi="Times New Roman" w:cs="Times New Roman"/>
                <w:noProof/>
                <w:webHidden/>
                <w:sz w:val="24"/>
                <w:szCs w:val="24"/>
              </w:rPr>
              <w:t>7</w:t>
            </w:r>
            <w:r w:rsidR="00652A5F" w:rsidRPr="00652A5F">
              <w:rPr>
                <w:rFonts w:ascii="Times New Roman" w:hAnsi="Times New Roman" w:cs="Times New Roman"/>
                <w:noProof/>
                <w:webHidden/>
                <w:sz w:val="24"/>
                <w:szCs w:val="24"/>
              </w:rPr>
              <w:fldChar w:fldCharType="end"/>
            </w:r>
          </w:hyperlink>
        </w:p>
        <w:p w14:paraId="7D28FC5C" w14:textId="77777777" w:rsidR="00652A5F" w:rsidRDefault="00DE2F6D" w:rsidP="00652A5F">
          <w:pPr>
            <w:pStyle w:val="TOC1"/>
            <w:tabs>
              <w:tab w:val="right" w:leader="dot" w:pos="9350"/>
            </w:tabs>
            <w:spacing w:line="360" w:lineRule="auto"/>
            <w:rPr>
              <w:noProof/>
            </w:rPr>
          </w:pPr>
          <w:hyperlink w:anchor="_Toc164103368" w:history="1">
            <w:r w:rsidR="00652A5F" w:rsidRPr="00652A5F">
              <w:rPr>
                <w:rStyle w:val="Hyperlink"/>
                <w:rFonts w:ascii="Times New Roman" w:hAnsi="Times New Roman" w:cs="Times New Roman"/>
                <w:noProof/>
                <w:sz w:val="24"/>
                <w:szCs w:val="24"/>
              </w:rPr>
              <w:t>References</w:t>
            </w:r>
            <w:r w:rsidR="00652A5F" w:rsidRPr="00652A5F">
              <w:rPr>
                <w:rFonts w:ascii="Times New Roman" w:hAnsi="Times New Roman" w:cs="Times New Roman"/>
                <w:noProof/>
                <w:webHidden/>
                <w:sz w:val="24"/>
                <w:szCs w:val="24"/>
              </w:rPr>
              <w:tab/>
            </w:r>
            <w:r w:rsidR="00652A5F" w:rsidRPr="00652A5F">
              <w:rPr>
                <w:rFonts w:ascii="Times New Roman" w:hAnsi="Times New Roman" w:cs="Times New Roman"/>
                <w:noProof/>
                <w:webHidden/>
                <w:sz w:val="24"/>
                <w:szCs w:val="24"/>
              </w:rPr>
              <w:fldChar w:fldCharType="begin"/>
            </w:r>
            <w:r w:rsidR="00652A5F" w:rsidRPr="00652A5F">
              <w:rPr>
                <w:rFonts w:ascii="Times New Roman" w:hAnsi="Times New Roman" w:cs="Times New Roman"/>
                <w:noProof/>
                <w:webHidden/>
                <w:sz w:val="24"/>
                <w:szCs w:val="24"/>
              </w:rPr>
              <w:instrText xml:space="preserve"> PAGEREF _Toc164103368 \h </w:instrText>
            </w:r>
            <w:r w:rsidR="00652A5F" w:rsidRPr="00652A5F">
              <w:rPr>
                <w:rFonts w:ascii="Times New Roman" w:hAnsi="Times New Roman" w:cs="Times New Roman"/>
                <w:noProof/>
                <w:webHidden/>
                <w:sz w:val="24"/>
                <w:szCs w:val="24"/>
              </w:rPr>
            </w:r>
            <w:r w:rsidR="00652A5F" w:rsidRPr="00652A5F">
              <w:rPr>
                <w:rFonts w:ascii="Times New Roman" w:hAnsi="Times New Roman" w:cs="Times New Roman"/>
                <w:noProof/>
                <w:webHidden/>
                <w:sz w:val="24"/>
                <w:szCs w:val="24"/>
              </w:rPr>
              <w:fldChar w:fldCharType="separate"/>
            </w:r>
            <w:r w:rsidR="00652A5F" w:rsidRPr="00652A5F">
              <w:rPr>
                <w:rFonts w:ascii="Times New Roman" w:hAnsi="Times New Roman" w:cs="Times New Roman"/>
                <w:noProof/>
                <w:webHidden/>
                <w:sz w:val="24"/>
                <w:szCs w:val="24"/>
              </w:rPr>
              <w:t>8</w:t>
            </w:r>
            <w:r w:rsidR="00652A5F" w:rsidRPr="00652A5F">
              <w:rPr>
                <w:rFonts w:ascii="Times New Roman" w:hAnsi="Times New Roman" w:cs="Times New Roman"/>
                <w:noProof/>
                <w:webHidden/>
                <w:sz w:val="24"/>
                <w:szCs w:val="24"/>
              </w:rPr>
              <w:fldChar w:fldCharType="end"/>
            </w:r>
          </w:hyperlink>
        </w:p>
        <w:p w14:paraId="7D28FC5D" w14:textId="77777777" w:rsidR="00652A5F" w:rsidRDefault="00652A5F">
          <w:r>
            <w:fldChar w:fldCharType="end"/>
          </w:r>
        </w:p>
      </w:sdtContent>
    </w:sdt>
    <w:p w14:paraId="7D28FC5E" w14:textId="77777777" w:rsidR="00652A5F" w:rsidRDefault="00652A5F" w:rsidP="00BD735D">
      <w:pPr>
        <w:pStyle w:val="Heading1"/>
      </w:pPr>
    </w:p>
    <w:p w14:paraId="7D28FC5F" w14:textId="77777777" w:rsidR="00CE4A67" w:rsidRDefault="00CE4A67">
      <w:pPr>
        <w:rPr>
          <w:rFonts w:ascii="Times New Roman" w:hAnsi="Times New Roman"/>
          <w:b/>
          <w:sz w:val="28"/>
          <w:szCs w:val="40"/>
        </w:rPr>
      </w:pPr>
      <w:bookmarkStart w:id="0" w:name="_Toc164103364"/>
      <w:r>
        <w:br w:type="page"/>
      </w:r>
    </w:p>
    <w:p w14:paraId="7D28FC60" w14:textId="77777777" w:rsidR="004D4772" w:rsidRPr="00BD735D" w:rsidRDefault="00CE4A67" w:rsidP="00BD735D">
      <w:pPr>
        <w:pStyle w:val="Heading1"/>
      </w:pPr>
      <w:r w:rsidRPr="00BD735D">
        <w:lastRenderedPageBreak/>
        <w:t>Introduction</w:t>
      </w:r>
      <w:bookmarkEnd w:id="0"/>
    </w:p>
    <w:p w14:paraId="7D28FC61"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The organizational structure and culture of AstraZeneca are examined in the paper, along with how they relate to employee motivation and desire to take action. The Senior Executive Team and the Board of Directors at AstraZeneca provide organized leadership that is linked to a goal-matching strategy and ensures effective authority and control. Patient-centricity, scientific excellence, the ability to maintain something or keep it going, and honesty and good human quality are all valued in the organizational culture. This helps to create an environment where employees feel respected, empowered, and allowed. This focus on the entirety or completeness of anything is consistent with AstraZeneca's commitment to and pledge of quality, employee welfare, and its goal of improving the lives of patients.</w:t>
      </w:r>
    </w:p>
    <w:p w14:paraId="7D28FC62" w14:textId="77777777" w:rsidR="004D4772" w:rsidRPr="00BD735D" w:rsidRDefault="00CE4A67" w:rsidP="00BD735D">
      <w:pPr>
        <w:pStyle w:val="Heading1"/>
      </w:pPr>
      <w:bookmarkStart w:id="1" w:name="_Toc164103365"/>
      <w:r w:rsidRPr="00BD735D">
        <w:t xml:space="preserve">1. </w:t>
      </w:r>
      <w:r w:rsidR="00BD735D">
        <w:t>Or</w:t>
      </w:r>
      <w:r w:rsidRPr="00BD735D">
        <w:t xml:space="preserve">ganization structure and culture related to its </w:t>
      </w:r>
      <w:r w:rsidR="00BD735D">
        <w:t>performances</w:t>
      </w:r>
      <w:bookmarkEnd w:id="1"/>
    </w:p>
    <w:p w14:paraId="7D28FC63" w14:textId="77777777" w:rsidR="004D4772" w:rsidRPr="00BD735D" w:rsidRDefault="00CE4A67" w:rsidP="00BD735D">
      <w:pPr>
        <w:pStyle w:val="Normal1"/>
        <w:spacing w:line="360" w:lineRule="auto"/>
        <w:jc w:val="both"/>
        <w:rPr>
          <w:rFonts w:ascii="Times New Roman" w:hAnsi="Times New Roman" w:cs="Times New Roman"/>
          <w:b/>
          <w:sz w:val="24"/>
          <w:szCs w:val="24"/>
        </w:rPr>
      </w:pPr>
      <w:r w:rsidRPr="00BD735D">
        <w:rPr>
          <w:rFonts w:ascii="Times New Roman" w:hAnsi="Times New Roman" w:cs="Times New Roman"/>
          <w:b/>
          <w:sz w:val="24"/>
          <w:szCs w:val="24"/>
        </w:rPr>
        <w:t>Organization structure</w:t>
      </w:r>
    </w:p>
    <w:p w14:paraId="7D28FC64"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The Board of Directors, which is made up of seasoned businesspeople, is in charge of the firm and is in charge of managing risk, overseeing the company's strategy for achieving its objectives, and controlling and operating a large corporation. The Board is answerable to the shareholders and serves as a representative of all parties involved in a project or business, ensuring that the organization runs ethically and strives for long-term success. The non-executive chair of the board of directors, Michel Demare, offers direction and leadership to the group, ensuring its independence and efficacy. In addition to Michel Demare, the Board is composed of a diverse range of individuals or groups that possess exceptional competence in a variety of sectors, such as technology, finance, and pharmaceuticals </w:t>
      </w:r>
      <w:r w:rsidRPr="00BD735D">
        <w:rPr>
          <w:rFonts w:ascii="Times New Roman" w:hAnsi="Times New Roman" w:cs="Times New Roman"/>
          <w:color w:val="222222"/>
          <w:sz w:val="24"/>
          <w:szCs w:val="24"/>
          <w:highlight w:val="white"/>
        </w:rPr>
        <w:t xml:space="preserve">(Amis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2020)</w:t>
      </w:r>
      <w:r w:rsidRPr="00BD735D">
        <w:rPr>
          <w:rFonts w:ascii="Times New Roman" w:hAnsi="Times New Roman" w:cs="Times New Roman"/>
          <w:sz w:val="24"/>
          <w:szCs w:val="24"/>
        </w:rPr>
        <w:t xml:space="preserve">. With members contributing a variety of viewpoints, ideas, and in-depth knowledge on various topics, the wide range of individuals or objects ensures robust and healthy decision-making and oversight. One of the most important members of the board is Pascal Soriot, the Executive Director and Chief Executive Officer, who oversees the administration, growth, and performance of the entire organization. </w:t>
      </w:r>
    </w:p>
    <w:p w14:paraId="7D28FC65"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The SET is composed of executives who hold significant responsibility in several areas of the company, such as operations, R&amp;D, success plans and goal-achieving strategies, and compliance with legal requirements. Key members of the SET include Sharon Barr, Pam Cheng, Ruud Dobber, Marc Dunoyer, David Fredrickson, Susan Galbraith, Iskra Reic, and Leon Wang; they are all responsible for managing crucial areas inside the company. Together with the CEO, these </w:t>
      </w:r>
      <w:r w:rsidRPr="00BD735D">
        <w:rPr>
          <w:rFonts w:ascii="Times New Roman" w:hAnsi="Times New Roman" w:cs="Times New Roman"/>
          <w:sz w:val="24"/>
          <w:szCs w:val="24"/>
        </w:rPr>
        <w:lastRenderedPageBreak/>
        <w:t xml:space="preserve">executives work closely to establish and implement the company's success plans and goal-achieving strategies, ensuring that they align with the Board's priorities </w:t>
      </w:r>
      <w:r w:rsidRPr="00BD735D">
        <w:rPr>
          <w:rFonts w:ascii="Times New Roman" w:hAnsi="Times New Roman" w:cs="Times New Roman"/>
          <w:color w:val="222222"/>
          <w:sz w:val="24"/>
          <w:szCs w:val="24"/>
          <w:highlight w:val="white"/>
        </w:rPr>
        <w:t xml:space="preserve">(Pratama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2022)</w:t>
      </w:r>
      <w:r w:rsidRPr="00BD735D">
        <w:rPr>
          <w:rFonts w:ascii="Times New Roman" w:hAnsi="Times New Roman" w:cs="Times New Roman"/>
          <w:sz w:val="24"/>
          <w:szCs w:val="24"/>
        </w:rPr>
        <w:t xml:space="preserve">. This continuous improvement process of determining the value, quantity, or quality of something is crucial to fostering innovation, optimizing operational efficiency so that very little is wasted while working or producing something, and providing value to patients and shareholders. Furthermore, transparency and openness in communication, accountability for actions, and positive conduct across the board are highlighted by AstraZeneca's organizational structure.. AstraZeneca hopes to establish trust with individuals interested in projects or business ventures by adhering to these fundamental truths and ways of thinking </w:t>
      </w:r>
      <w:r w:rsidRPr="00BD735D">
        <w:rPr>
          <w:rFonts w:ascii="Times New Roman" w:hAnsi="Times New Roman" w:cs="Times New Roman"/>
          <w:color w:val="222222"/>
          <w:sz w:val="24"/>
          <w:szCs w:val="24"/>
          <w:highlight w:val="white"/>
        </w:rPr>
        <w:t xml:space="preserve">(Hock-Doepgen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2021)</w:t>
      </w:r>
      <w:r w:rsidRPr="00BD735D">
        <w:rPr>
          <w:rFonts w:ascii="Times New Roman" w:hAnsi="Times New Roman" w:cs="Times New Roman"/>
          <w:sz w:val="24"/>
          <w:szCs w:val="24"/>
        </w:rPr>
        <w:t xml:space="preserve">. It also hopes to uphold its reputation as a responsible large business entity that resides lawfully in a nation, state, etc., and create value that will last and benefit the planet for all decent people worldwide. In general, AstraZeneca's organizational design embodies the company's commitment to and pledge of excellence, innovation, and patient-centeredness. </w:t>
      </w:r>
    </w:p>
    <w:p w14:paraId="7D28FC66" w14:textId="77777777" w:rsidR="004D4772" w:rsidRPr="00BD735D" w:rsidRDefault="004D4772" w:rsidP="00BD735D">
      <w:pPr>
        <w:pStyle w:val="Normal1"/>
        <w:spacing w:line="360" w:lineRule="auto"/>
        <w:jc w:val="both"/>
        <w:rPr>
          <w:rFonts w:ascii="Times New Roman" w:hAnsi="Times New Roman" w:cs="Times New Roman"/>
          <w:sz w:val="24"/>
          <w:szCs w:val="24"/>
        </w:rPr>
      </w:pPr>
    </w:p>
    <w:p w14:paraId="7D28FC67" w14:textId="77777777" w:rsidR="004D4772" w:rsidRPr="00BD735D" w:rsidRDefault="00CE4A67" w:rsidP="00BD735D">
      <w:pPr>
        <w:pStyle w:val="Normal1"/>
        <w:spacing w:line="360" w:lineRule="auto"/>
        <w:jc w:val="both"/>
        <w:rPr>
          <w:rFonts w:ascii="Times New Roman" w:hAnsi="Times New Roman" w:cs="Times New Roman"/>
          <w:b/>
          <w:sz w:val="24"/>
          <w:szCs w:val="24"/>
        </w:rPr>
      </w:pPr>
      <w:r w:rsidRPr="00BD735D">
        <w:rPr>
          <w:rFonts w:ascii="Times New Roman" w:hAnsi="Times New Roman" w:cs="Times New Roman"/>
          <w:b/>
          <w:sz w:val="24"/>
          <w:szCs w:val="24"/>
        </w:rPr>
        <w:t xml:space="preserve">Organizational culture of </w:t>
      </w:r>
      <w:r w:rsidR="00BD735D" w:rsidRPr="00BD735D">
        <w:rPr>
          <w:rFonts w:ascii="Times New Roman" w:hAnsi="Times New Roman" w:cs="Times New Roman"/>
          <w:b/>
          <w:sz w:val="24"/>
          <w:szCs w:val="24"/>
        </w:rPr>
        <w:t>AstraZeneca</w:t>
      </w:r>
    </w:p>
    <w:p w14:paraId="7D28FC68"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AstraZeneca contributes to the establishment of an organizational culture that is firmly based on its commitment to and allegiance to patients, its pursuit of scientific excellence, its integrity and morality, and its capacity to endure. The company's beliefs, actions, and policies act as fundamental principles, guidelines, and standards for employees at all levels. They also ensure that the company's mission of providing life-changing medications and upholding the highest moral and ethical standards is aligned with these goals. AstraZeneca's organizational culture is centered around an unwavering commitment to prioritizing patients. Employees are urged to keep one another and themselves accountable for choosing actions that are best for the patients. The company's commitment to creating unique solutions and techniques to cater to the diverse requirements of individuals is demonstrated by its patient-centric approach </w:t>
      </w:r>
      <w:r w:rsidRPr="00BD735D">
        <w:rPr>
          <w:rFonts w:ascii="Times New Roman" w:hAnsi="Times New Roman" w:cs="Times New Roman"/>
          <w:color w:val="222222"/>
          <w:sz w:val="24"/>
          <w:szCs w:val="24"/>
          <w:highlight w:val="white"/>
        </w:rPr>
        <w:t xml:space="preserve">(Wessel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2021)</w:t>
      </w:r>
      <w:r w:rsidRPr="00BD735D">
        <w:rPr>
          <w:rFonts w:ascii="Times New Roman" w:hAnsi="Times New Roman" w:cs="Times New Roman"/>
          <w:sz w:val="24"/>
          <w:szCs w:val="24"/>
        </w:rPr>
        <w:t xml:space="preserve">. By prioritizing patient well-being, AstraZeneca ensures that every facet of its operations—from research and development to commercialization—is motivated by a thorough comprehension of patient requirements and a commitment to enhancing health outcomes. AstraZeneca's culture is fundamentally based on integrity, good human qualities, wholeness or completion, and decent behavior. When presented with difficult choices, employees are expected to act morally and with integrity, wholeness, and completion as excellent human qualities. Clare norms for moral </w:t>
      </w:r>
      <w:r w:rsidRPr="00BD735D">
        <w:rPr>
          <w:rFonts w:ascii="Times New Roman" w:hAnsi="Times New Roman" w:cs="Times New Roman"/>
          <w:sz w:val="24"/>
          <w:szCs w:val="24"/>
        </w:rPr>
        <w:lastRenderedPageBreak/>
        <w:t xml:space="preserve">behavior are established by the company's code of ethics, which emphasizes legal and regulatory compliance, transparency and openness, and honesty. AstraZeneca supports the growth of a culture of trust and responsibility for behavior among all of its employees in a company or nation </w:t>
      </w:r>
      <w:r w:rsidRPr="00BD735D">
        <w:rPr>
          <w:rFonts w:ascii="Times New Roman" w:hAnsi="Times New Roman" w:cs="Times New Roman"/>
          <w:color w:val="222222"/>
          <w:sz w:val="24"/>
          <w:szCs w:val="24"/>
          <w:highlight w:val="white"/>
        </w:rPr>
        <w:t xml:space="preserve">(Fischer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2020)</w:t>
      </w:r>
      <w:r w:rsidRPr="00BD735D">
        <w:rPr>
          <w:rFonts w:ascii="Times New Roman" w:hAnsi="Times New Roman" w:cs="Times New Roman"/>
          <w:sz w:val="24"/>
          <w:szCs w:val="24"/>
        </w:rPr>
        <w:t>. The company will not tolerate insider trading, dishonest acts that betray your trust, or any other type of dishonest and improper behavior.</w:t>
      </w:r>
    </w:p>
    <w:p w14:paraId="7D28FC69"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AstraZeneca emphasizes innovation and high standards for science because it knows that science is the foundation of what it does. Workers are encouraged to increase their knowledge, be curious about science in a way that prevents issues before they arise, and ensure that business and scientific judgments are founded on credible occurrences or things that support their claims. The organization drives innovation and advances healthcare solutions by fostering positive partnerships with partners and coworkers who share its enthusiasm for research. The company also embraces and promotes creativity with a business attitude, motivating employees to take calculated chances, make decisions connected to a strategy to achieve a goal, and prioritize tasks unceasingly. AstraZeneca cultivates a culture of excellence and continuous improvement by holding itself and its employees to high standards </w:t>
      </w:r>
      <w:r w:rsidRPr="00BD735D">
        <w:rPr>
          <w:rFonts w:ascii="Times New Roman" w:hAnsi="Times New Roman" w:cs="Times New Roman"/>
          <w:color w:val="222222"/>
          <w:sz w:val="24"/>
          <w:szCs w:val="24"/>
          <w:highlight w:val="white"/>
        </w:rPr>
        <w:t>(Anwar and Abdullah, 2021)</w:t>
      </w:r>
      <w:r w:rsidRPr="00BD735D">
        <w:rPr>
          <w:rFonts w:ascii="Times New Roman" w:hAnsi="Times New Roman" w:cs="Times New Roman"/>
          <w:sz w:val="24"/>
          <w:szCs w:val="24"/>
        </w:rPr>
        <w:t xml:space="preserve">. Employees are empowered to question current practices, adopt alternative viewpoints, and seize possibilities for innovation and personal development. Respect, tolerance for diversity, and equal opportunity are fundamental values that underpin the work environment at AstraZeneca. </w:t>
      </w:r>
    </w:p>
    <w:p w14:paraId="7D28FC6A"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AstraZeneca is dedicated to providing a work environment that is safe, healthy, and conducive to productivity for its employees. The organization maintains great performance in these areas by identifying and managing risks through efficient safety, health, and environmental conditions management systems. As it works to reduce its reliance on valuable resources from nature and lessen its effect on the environment or the health of the Earth across its operations, AstraZeneca also contributes to and positively demonstrates the ability to keep something around or keep something going in relation to the surrounding conditions or the health of the Earth. Overall, AstraZeneca's organizational culture is a reflection of the company's commitment to patients, integrity, human quality, wholeness, and completion, scientific excellence, and capacity for persistence </w:t>
      </w:r>
      <w:r w:rsidRPr="00BD735D">
        <w:rPr>
          <w:rFonts w:ascii="Times New Roman" w:hAnsi="Times New Roman" w:cs="Times New Roman"/>
          <w:color w:val="222222"/>
          <w:sz w:val="24"/>
          <w:szCs w:val="24"/>
          <w:highlight w:val="white"/>
        </w:rPr>
        <w:t xml:space="preserve">(Suárez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2020)</w:t>
      </w:r>
      <w:r w:rsidRPr="00BD735D">
        <w:rPr>
          <w:rFonts w:ascii="Times New Roman" w:hAnsi="Times New Roman" w:cs="Times New Roman"/>
          <w:sz w:val="24"/>
          <w:szCs w:val="24"/>
        </w:rPr>
        <w:t>. Employees contribute to the company's objective of providing patients with life-changing medications and building long-term value for shareholders, the community, and all decent people in the globe by upholding these beliefs and actions.</w:t>
      </w:r>
    </w:p>
    <w:p w14:paraId="7D28FC6B" w14:textId="77777777" w:rsidR="004D4772" w:rsidRPr="00BD735D" w:rsidRDefault="004D4772" w:rsidP="00BD735D">
      <w:pPr>
        <w:pStyle w:val="Normal1"/>
        <w:spacing w:line="360" w:lineRule="auto"/>
        <w:jc w:val="both"/>
        <w:rPr>
          <w:rFonts w:ascii="Times New Roman" w:hAnsi="Times New Roman" w:cs="Times New Roman"/>
          <w:sz w:val="24"/>
          <w:szCs w:val="24"/>
        </w:rPr>
      </w:pPr>
    </w:p>
    <w:p w14:paraId="7D28FC6C" w14:textId="77777777" w:rsidR="004D4772" w:rsidRPr="00BD735D" w:rsidRDefault="00BD735D" w:rsidP="00BD735D">
      <w:pPr>
        <w:pStyle w:val="Heading1"/>
      </w:pPr>
      <w:bookmarkStart w:id="2" w:name="_Toc164103366"/>
      <w:r>
        <w:lastRenderedPageBreak/>
        <w:t>2. Employee motivation</w:t>
      </w:r>
      <w:bookmarkEnd w:id="2"/>
    </w:p>
    <w:p w14:paraId="7D28FC6D"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Employee motivation and willingness to take action at AstraZeneca are strongly ingrained in the company's belief system, which is centered on granting or obtaining authority and promoting the growth of an excellent culture. In this culture, performance and recognition are highly valued elements that are placed at strategic points and act as motivators for employees to take action. The company's robust and well-run recognition program, which aligns with its basic beliefs and behaviors, ensures that employees are not only accepted, acknowledged, and replied to for the tasks they accomplish, but also for the way they accomplish their goals. This strategy improves morale and the motivation to take action by fostering a sense of appreciation and camaraderie among employees. The global recognition program, aided by elevated, level support surfaces such as CatAlyZe, motivates employees to acknowledge, accept, and react to the contributions made by their colleagues, as well as work completed promptly and in public </w:t>
      </w:r>
      <w:r w:rsidRPr="00BD735D">
        <w:rPr>
          <w:rFonts w:ascii="Times New Roman" w:hAnsi="Times New Roman" w:cs="Times New Roman"/>
          <w:color w:val="222222"/>
          <w:sz w:val="24"/>
          <w:szCs w:val="24"/>
          <w:highlight w:val="white"/>
        </w:rPr>
        <w:t>(Stahl and King, 2020)</w:t>
      </w:r>
      <w:r w:rsidRPr="00BD735D">
        <w:rPr>
          <w:rFonts w:ascii="Times New Roman" w:hAnsi="Times New Roman" w:cs="Times New Roman"/>
          <w:sz w:val="24"/>
          <w:szCs w:val="24"/>
        </w:rPr>
        <w:t>. Recognition that is immediate and visible helps to foster a supportive work environment where employees feel appreciated and motivated to perform to the best of their abilities in front of others. It also reinforces positive behaviors. Since its founding, AstraZeneca has shared over two million recognition moments, demonstrating its commitment to highlighting and amplifying the impact of its employees' achievements.</w:t>
      </w:r>
    </w:p>
    <w:p w14:paraId="7D28FC6E"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The organization prioritizes performance development that is forward-thinking and centers on growth and continual improvement. Workers receive advice and support to enhance their abilities and maximize their potential for greatness or power through a coaching methodology that is endorsed by the International Coaching Federation. By emphasizing professional development, employers can foster a culture of learning and adaptability, enabling employees to advance and perform well in their positions </w:t>
      </w:r>
      <w:r w:rsidRPr="00BD735D">
        <w:rPr>
          <w:rFonts w:ascii="Times New Roman" w:hAnsi="Times New Roman" w:cs="Times New Roman"/>
          <w:color w:val="222222"/>
          <w:sz w:val="24"/>
          <w:szCs w:val="24"/>
          <w:highlight w:val="white"/>
        </w:rPr>
        <w:t xml:space="preserve">(Hota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2020)</w:t>
      </w:r>
      <w:r w:rsidRPr="00BD735D">
        <w:rPr>
          <w:rFonts w:ascii="Times New Roman" w:hAnsi="Times New Roman" w:cs="Times New Roman"/>
          <w:sz w:val="24"/>
          <w:szCs w:val="24"/>
        </w:rPr>
        <w:t xml:space="preserve">. Furthermore, corporate collaboration, project management, and teamwork all support employees' motivation to take initiative at AstraZeneca. In an organization or nation where employees are dispersed throughout various global locations and represent a wide variety of people or things, collaboration and teamwork are critical to fostering innovation and achieving collectively all or most of the goals set forth. The business uses digitally raised, flat supporting surfaces, such as Workplace, to facilitate team collaboration, knowledge exchange, and idea generation. AstraZeneca contributes to the development of a culture that values the inclusion of all people and things, the capacity to </w:t>
      </w:r>
      <w:r w:rsidRPr="00BD735D">
        <w:rPr>
          <w:rFonts w:ascii="Times New Roman" w:hAnsi="Times New Roman" w:cs="Times New Roman"/>
          <w:sz w:val="24"/>
          <w:szCs w:val="24"/>
        </w:rPr>
        <w:lastRenderedPageBreak/>
        <w:t>create engaging new things, and the empowerment of employees to significantly contribute to the success of the company by promoting open communication and teamwork.</w:t>
      </w:r>
    </w:p>
    <w:p w14:paraId="7D28FC6F" w14:textId="77777777" w:rsidR="004D4772" w:rsidRPr="00BD735D" w:rsidRDefault="004D4772" w:rsidP="00BD735D">
      <w:pPr>
        <w:pStyle w:val="Normal1"/>
        <w:spacing w:line="360" w:lineRule="auto"/>
        <w:jc w:val="both"/>
        <w:rPr>
          <w:rFonts w:ascii="Times New Roman" w:hAnsi="Times New Roman" w:cs="Times New Roman"/>
          <w:sz w:val="24"/>
          <w:szCs w:val="24"/>
        </w:rPr>
      </w:pPr>
    </w:p>
    <w:p w14:paraId="7D28FC70"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Ultimately, AstraZeneca's commitment to being a wonderful place to work and its fidelity to that goal demonstrate the company's commitment to employee involvement and desire to take initiative. This focus on the entirety or completeness of something not only increases a person's motivation to take action or desire to do so, but it also propels everyone's or everything's success, allowing AstraZeneca to fulfill its goal of providing patients all over the world with life-changing medications. At AstraZeneca, the company's approach to staff development and motivation to take action includes mentoring, as well as responses to requests for information and other helpful material </w:t>
      </w:r>
      <w:r w:rsidRPr="00BD735D">
        <w:rPr>
          <w:rFonts w:ascii="Times New Roman" w:hAnsi="Times New Roman" w:cs="Times New Roman"/>
          <w:color w:val="222222"/>
          <w:sz w:val="24"/>
          <w:szCs w:val="24"/>
          <w:highlight w:val="white"/>
        </w:rPr>
        <w:t xml:space="preserve">(Pratama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2022)</w:t>
      </w:r>
      <w:r w:rsidRPr="00BD735D">
        <w:rPr>
          <w:rFonts w:ascii="Times New Roman" w:hAnsi="Times New Roman" w:cs="Times New Roman"/>
          <w:sz w:val="24"/>
          <w:szCs w:val="24"/>
        </w:rPr>
        <w:t>. The organization's forward-thinking stance on performance development prioritizes future-focused success plans and goal-achieving strategies over examining the results of previous assessments or testing. Employees receive ongoing support and guidance tailored to their unique needs and preferences through a coaching methodology endorsed by the International Coaching Federation. This method gives employees the ability to reach their full potential for greatness or power, fosters a culture of professional development, and allows them to have a significant impact in their professions.</w:t>
      </w:r>
    </w:p>
    <w:p w14:paraId="7D28FC71" w14:textId="77777777" w:rsidR="004D4772" w:rsidRPr="00BD735D" w:rsidRDefault="004D4772" w:rsidP="00BD735D">
      <w:pPr>
        <w:pStyle w:val="Normal1"/>
        <w:spacing w:line="360" w:lineRule="auto"/>
        <w:jc w:val="both"/>
        <w:rPr>
          <w:rFonts w:ascii="Times New Roman" w:hAnsi="Times New Roman" w:cs="Times New Roman"/>
          <w:sz w:val="24"/>
          <w:szCs w:val="24"/>
        </w:rPr>
      </w:pPr>
    </w:p>
    <w:p w14:paraId="7D28FC72"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Furthermore, business collaboration, project management, and teamwork all contribute significantly to raising employee engagement and motivating them to take action at AstraZeneca. Working as a team is crucial to fostering innovation and achieving the company's goal of giving patients around the world access to life-changing medications because employees in a company or nation may come from a wide variety of backgrounds and nationalities. The company fosters a culture of quality that embraces the opinions, points of view, and ideas of its diverse workforce by providing support to them. This fosters innovation, encourages the creation of new things, and pushes for continuous improvement. AstraZeneca empowers its employees to contribute significantly to the success of the company through effective teamwork and collaboration, while also fostering a sense of camaraderie and belonging among all employees in a nation or company </w:t>
      </w:r>
      <w:r w:rsidRPr="00BD735D">
        <w:rPr>
          <w:rFonts w:ascii="Times New Roman" w:hAnsi="Times New Roman" w:cs="Times New Roman"/>
          <w:color w:val="222222"/>
          <w:sz w:val="24"/>
          <w:szCs w:val="24"/>
          <w:highlight w:val="white"/>
        </w:rPr>
        <w:t xml:space="preserve">(Hock-Doepgen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2021)</w:t>
      </w:r>
      <w:r w:rsidRPr="00BD735D">
        <w:rPr>
          <w:rFonts w:ascii="Times New Roman" w:hAnsi="Times New Roman" w:cs="Times New Roman"/>
          <w:sz w:val="24"/>
          <w:szCs w:val="24"/>
        </w:rPr>
        <w:t xml:space="preserve">.  AstraZeneca's commitment to supporting the creation of first-rate working environments is a crucial component that acts as a cornerstone for motivating employees to take initiative. AstraZeneca ensures that every employee has a voice and the </w:t>
      </w:r>
      <w:r w:rsidRPr="00BD735D">
        <w:rPr>
          <w:rFonts w:ascii="Times New Roman" w:hAnsi="Times New Roman" w:cs="Times New Roman"/>
          <w:sz w:val="24"/>
          <w:szCs w:val="24"/>
        </w:rPr>
        <w:lastRenderedPageBreak/>
        <w:t xml:space="preserve">chance to develop and succeed in the company by firmly supporting a wide range of individuals or things and by getting involved in initiatives to start something new </w:t>
      </w:r>
      <w:r w:rsidRPr="00BD735D">
        <w:rPr>
          <w:rFonts w:ascii="Times New Roman" w:hAnsi="Times New Roman" w:cs="Times New Roman"/>
          <w:color w:val="222222"/>
          <w:sz w:val="24"/>
          <w:szCs w:val="24"/>
          <w:highlight w:val="white"/>
        </w:rPr>
        <w:t xml:space="preserve">(Wessel </w:t>
      </w:r>
      <w:r w:rsidRPr="00BD735D">
        <w:rPr>
          <w:rFonts w:ascii="Times New Roman" w:hAnsi="Times New Roman" w:cs="Times New Roman"/>
          <w:i/>
          <w:color w:val="222222"/>
          <w:sz w:val="24"/>
          <w:szCs w:val="24"/>
          <w:highlight w:val="white"/>
        </w:rPr>
        <w:t>et al.</w:t>
      </w:r>
      <w:r w:rsidRPr="00BD735D">
        <w:rPr>
          <w:rFonts w:ascii="Times New Roman" w:hAnsi="Times New Roman" w:cs="Times New Roman"/>
          <w:color w:val="222222"/>
          <w:sz w:val="24"/>
          <w:szCs w:val="24"/>
          <w:highlight w:val="white"/>
        </w:rPr>
        <w:t xml:space="preserve"> 2021)</w:t>
      </w:r>
      <w:r w:rsidRPr="00BD735D">
        <w:rPr>
          <w:rFonts w:ascii="Times New Roman" w:hAnsi="Times New Roman" w:cs="Times New Roman"/>
          <w:sz w:val="24"/>
          <w:szCs w:val="24"/>
        </w:rPr>
        <w:t xml:space="preserve">. Furthermore, the organization's emphasis on lifelong learning underscores its commitment to fostering the professional development and advancement of its workforce. By putting its whole workforce at the center of a business or nation, AstraZeneca not only improves employee satisfaction by fulfilling needs and accomplishing objectives, but it also fortifies its standing as the drug industry's top employer. When it comes to an employee's desire to do something or the reason behind their desire to do so, AstraZeneca takes an interest in the whole or completeness of something. </w:t>
      </w:r>
    </w:p>
    <w:p w14:paraId="7D28FC73" w14:textId="77777777" w:rsidR="004D4772" w:rsidRPr="00BD735D" w:rsidRDefault="00CE4A67" w:rsidP="00BD735D">
      <w:pPr>
        <w:pStyle w:val="Heading1"/>
      </w:pPr>
      <w:bookmarkStart w:id="3" w:name="_Toc164103367"/>
      <w:r w:rsidRPr="00BD735D">
        <w:t>Conclusion</w:t>
      </w:r>
      <w:bookmarkEnd w:id="3"/>
    </w:p>
    <w:p w14:paraId="7D28FC74"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The organizational structure and culture of AstraZeneca are intricately connected to the company's performance and the motivation and drive of its employees. A leadership structure that is both visible and easily understood helps the organization maintain effective authority and control over a plan of action that leads to a straight line goal, promoting excellence in the provision of healthcare solutions. A culture that emphasizes the needs of the patient, integrity, goodness, and originality fosters an environment where employees feel respected, empowered, and allowed to do their best work. By attempting to start something new, such as performance recognition, coaching, and teamwork, AstraZeneca gives its employees a cause to work together and make a difference, giving them a purpose to be motivated to take action. AstraZeneca explicitly demonstrates its mission of transforming patients' lives and creating lasting value by ranking employee well-being and development. This focus on the entirety or completeness of anything emphasizes the company's commitment to quality and its position as a pioneer in the pharmaceutical sector.</w:t>
      </w:r>
    </w:p>
    <w:p w14:paraId="7D28FC75"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t xml:space="preserve"> </w:t>
      </w:r>
    </w:p>
    <w:p w14:paraId="7D28FC76" w14:textId="77777777" w:rsidR="004D4772" w:rsidRPr="00BD735D" w:rsidRDefault="004D4772" w:rsidP="00BD735D">
      <w:pPr>
        <w:pStyle w:val="Normal1"/>
        <w:spacing w:line="360" w:lineRule="auto"/>
        <w:jc w:val="both"/>
        <w:rPr>
          <w:rFonts w:ascii="Times New Roman" w:hAnsi="Times New Roman" w:cs="Times New Roman"/>
          <w:sz w:val="24"/>
          <w:szCs w:val="24"/>
        </w:rPr>
      </w:pPr>
    </w:p>
    <w:p w14:paraId="7D28FC77" w14:textId="77777777" w:rsidR="004D4772" w:rsidRPr="00BD735D" w:rsidRDefault="004D4772" w:rsidP="00BD735D">
      <w:pPr>
        <w:pStyle w:val="Normal1"/>
        <w:spacing w:line="360" w:lineRule="auto"/>
        <w:jc w:val="both"/>
        <w:rPr>
          <w:rFonts w:ascii="Times New Roman" w:hAnsi="Times New Roman" w:cs="Times New Roman"/>
          <w:sz w:val="24"/>
          <w:szCs w:val="24"/>
        </w:rPr>
      </w:pPr>
    </w:p>
    <w:p w14:paraId="7D28FC78" w14:textId="77777777" w:rsidR="004D4772" w:rsidRPr="00BD735D" w:rsidRDefault="00CE4A67" w:rsidP="00BD735D">
      <w:pPr>
        <w:pStyle w:val="Normal1"/>
        <w:spacing w:line="360" w:lineRule="auto"/>
        <w:jc w:val="both"/>
        <w:rPr>
          <w:rFonts w:ascii="Times New Roman" w:hAnsi="Times New Roman" w:cs="Times New Roman"/>
          <w:sz w:val="24"/>
          <w:szCs w:val="24"/>
        </w:rPr>
      </w:pPr>
      <w:r w:rsidRPr="00BD735D">
        <w:rPr>
          <w:rFonts w:ascii="Times New Roman" w:hAnsi="Times New Roman" w:cs="Times New Roman"/>
          <w:sz w:val="24"/>
          <w:szCs w:val="24"/>
        </w:rPr>
        <w:br w:type="page"/>
      </w:r>
    </w:p>
    <w:p w14:paraId="7D28FC79" w14:textId="77777777" w:rsidR="004D4772" w:rsidRPr="00BD735D" w:rsidRDefault="00CE4A67" w:rsidP="00BD735D">
      <w:pPr>
        <w:pStyle w:val="Heading1"/>
      </w:pPr>
      <w:bookmarkStart w:id="4" w:name="_Toc164103368"/>
      <w:r w:rsidRPr="00BD735D">
        <w:lastRenderedPageBreak/>
        <w:t>References</w:t>
      </w:r>
      <w:bookmarkEnd w:id="4"/>
    </w:p>
    <w:p w14:paraId="7D28FC7A"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Amis, J.M., Mair, J. and Munir, K.A., 2020. The organizational reproduction of inequality. </w:t>
      </w:r>
      <w:r w:rsidRPr="00BD735D">
        <w:rPr>
          <w:rFonts w:ascii="Times New Roman" w:hAnsi="Times New Roman" w:cs="Times New Roman"/>
          <w:i/>
          <w:sz w:val="24"/>
          <w:szCs w:val="24"/>
        </w:rPr>
        <w:t>Academy of Management Annals</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14</w:t>
      </w:r>
      <w:r w:rsidRPr="00BD735D">
        <w:rPr>
          <w:rFonts w:ascii="Times New Roman" w:hAnsi="Times New Roman" w:cs="Times New Roman"/>
          <w:sz w:val="24"/>
          <w:szCs w:val="24"/>
        </w:rPr>
        <w:t>(1), pp.195-230.</w:t>
      </w:r>
    </w:p>
    <w:p w14:paraId="7D28FC7B"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Anwar, G. and Abdullah, N.N., 2021. The impact of Human resource management practice on Organizational performance. </w:t>
      </w:r>
      <w:r w:rsidRPr="00BD735D">
        <w:rPr>
          <w:rFonts w:ascii="Times New Roman" w:hAnsi="Times New Roman" w:cs="Times New Roman"/>
          <w:i/>
          <w:sz w:val="24"/>
          <w:szCs w:val="24"/>
        </w:rPr>
        <w:t>International journal of Engineering, Business and Management (IJEBM)</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5</w:t>
      </w:r>
      <w:r w:rsidRPr="00BD735D">
        <w:rPr>
          <w:rFonts w:ascii="Times New Roman" w:hAnsi="Times New Roman" w:cs="Times New Roman"/>
          <w:sz w:val="24"/>
          <w:szCs w:val="24"/>
        </w:rPr>
        <w:t>.</w:t>
      </w:r>
    </w:p>
    <w:p w14:paraId="7D28FC7C"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Fischer, M., Imgrund, F., Janiesch, C. and Winkelmann, A., 2020. Strategy archetypes for digital transformation: Defining meta objectives using business process management. </w:t>
      </w:r>
      <w:r w:rsidRPr="00BD735D">
        <w:rPr>
          <w:rFonts w:ascii="Times New Roman" w:hAnsi="Times New Roman" w:cs="Times New Roman"/>
          <w:i/>
          <w:sz w:val="24"/>
          <w:szCs w:val="24"/>
        </w:rPr>
        <w:t>Information &amp; Management</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57</w:t>
      </w:r>
      <w:r w:rsidRPr="00BD735D">
        <w:rPr>
          <w:rFonts w:ascii="Times New Roman" w:hAnsi="Times New Roman" w:cs="Times New Roman"/>
          <w:sz w:val="24"/>
          <w:szCs w:val="24"/>
        </w:rPr>
        <w:t>(5), p.103262.</w:t>
      </w:r>
    </w:p>
    <w:p w14:paraId="7D28FC7D"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Furnari, S., Crilly, D., Misangyi, V.F., Greckhamer, T., Fiss, P.C. and Aguilera, R.V., 2021. Capturing causal complexity: Heuristics for configurational theorizing. </w:t>
      </w:r>
      <w:r w:rsidRPr="00BD735D">
        <w:rPr>
          <w:rFonts w:ascii="Times New Roman" w:hAnsi="Times New Roman" w:cs="Times New Roman"/>
          <w:i/>
          <w:sz w:val="24"/>
          <w:szCs w:val="24"/>
        </w:rPr>
        <w:t>Academy of Management Review</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46</w:t>
      </w:r>
      <w:r w:rsidRPr="00BD735D">
        <w:rPr>
          <w:rFonts w:ascii="Times New Roman" w:hAnsi="Times New Roman" w:cs="Times New Roman"/>
          <w:sz w:val="24"/>
          <w:szCs w:val="24"/>
        </w:rPr>
        <w:t>(4), pp.778-799.</w:t>
      </w:r>
    </w:p>
    <w:p w14:paraId="7D28FC7E"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Hock-Doepgen, M., Clauss, T., Kraus, S. and Cheng, C.F., 2021. Knowledge management capabilities and organizational risk-taking for business model innovation in SMEs. </w:t>
      </w:r>
      <w:r w:rsidRPr="00BD735D">
        <w:rPr>
          <w:rFonts w:ascii="Times New Roman" w:hAnsi="Times New Roman" w:cs="Times New Roman"/>
          <w:i/>
          <w:sz w:val="24"/>
          <w:szCs w:val="24"/>
        </w:rPr>
        <w:t>Journal of business research</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130</w:t>
      </w:r>
      <w:r w:rsidRPr="00BD735D">
        <w:rPr>
          <w:rFonts w:ascii="Times New Roman" w:hAnsi="Times New Roman" w:cs="Times New Roman"/>
          <w:sz w:val="24"/>
          <w:szCs w:val="24"/>
        </w:rPr>
        <w:t>, pp.683-697.</w:t>
      </w:r>
    </w:p>
    <w:p w14:paraId="7D28FC7F"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Hota, P.K., Subramanian, B. and Narayanamurthy, G., 2020. Mapping the intellectual structure of social entrepreneurship research: A citation/co-citation analysis. </w:t>
      </w:r>
      <w:r w:rsidRPr="00BD735D">
        <w:rPr>
          <w:rFonts w:ascii="Times New Roman" w:hAnsi="Times New Roman" w:cs="Times New Roman"/>
          <w:i/>
          <w:sz w:val="24"/>
          <w:szCs w:val="24"/>
        </w:rPr>
        <w:t>Journal of business ethics</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166</w:t>
      </w:r>
      <w:r w:rsidRPr="00BD735D">
        <w:rPr>
          <w:rFonts w:ascii="Times New Roman" w:hAnsi="Times New Roman" w:cs="Times New Roman"/>
          <w:sz w:val="24"/>
          <w:szCs w:val="24"/>
        </w:rPr>
        <w:t>(1), pp.89-114.</w:t>
      </w:r>
    </w:p>
    <w:p w14:paraId="7D28FC80"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Pratama, E.N., Suwarni, E. and Handayani, M.A., 2022. The effect of job satisfaction and organizational commitment on turnover intention with person organization fit as moderator variable. </w:t>
      </w:r>
      <w:r w:rsidRPr="00BD735D">
        <w:rPr>
          <w:rFonts w:ascii="Times New Roman" w:hAnsi="Times New Roman" w:cs="Times New Roman"/>
          <w:i/>
          <w:sz w:val="24"/>
          <w:szCs w:val="24"/>
        </w:rPr>
        <w:t>Aptisi Transactions on Management</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6</w:t>
      </w:r>
      <w:r w:rsidRPr="00BD735D">
        <w:rPr>
          <w:rFonts w:ascii="Times New Roman" w:hAnsi="Times New Roman" w:cs="Times New Roman"/>
          <w:sz w:val="24"/>
          <w:szCs w:val="24"/>
        </w:rPr>
        <w:t>(1), pp.74-82.</w:t>
      </w:r>
    </w:p>
    <w:p w14:paraId="7D28FC81"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Stahl, N.A. and King, J.R., 2020. Expanding approaches for research: Understanding and using trustworthiness in qualitative research. </w:t>
      </w:r>
      <w:r w:rsidRPr="00BD735D">
        <w:rPr>
          <w:rFonts w:ascii="Times New Roman" w:hAnsi="Times New Roman" w:cs="Times New Roman"/>
          <w:i/>
          <w:sz w:val="24"/>
          <w:szCs w:val="24"/>
        </w:rPr>
        <w:t>Journal of developmental education</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44</w:t>
      </w:r>
      <w:r w:rsidRPr="00BD735D">
        <w:rPr>
          <w:rFonts w:ascii="Times New Roman" w:hAnsi="Times New Roman" w:cs="Times New Roman"/>
          <w:sz w:val="24"/>
          <w:szCs w:val="24"/>
        </w:rPr>
        <w:t>(1), pp.26-28.</w:t>
      </w:r>
    </w:p>
    <w:p w14:paraId="7D28FC82"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t xml:space="preserve">Suárez, L.E., Markello, R.D., Betzel, R.F. and Misic, B., 2020. Linking structure and function in macroscale brain networks. </w:t>
      </w:r>
      <w:r w:rsidRPr="00BD735D">
        <w:rPr>
          <w:rFonts w:ascii="Times New Roman" w:hAnsi="Times New Roman" w:cs="Times New Roman"/>
          <w:i/>
          <w:sz w:val="24"/>
          <w:szCs w:val="24"/>
        </w:rPr>
        <w:t>Trends in cognitive sciences</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24</w:t>
      </w:r>
      <w:r w:rsidRPr="00BD735D">
        <w:rPr>
          <w:rFonts w:ascii="Times New Roman" w:hAnsi="Times New Roman" w:cs="Times New Roman"/>
          <w:sz w:val="24"/>
          <w:szCs w:val="24"/>
        </w:rPr>
        <w:t>(4), pp.302-315.</w:t>
      </w:r>
    </w:p>
    <w:p w14:paraId="7D28FC83" w14:textId="77777777" w:rsidR="00BD735D" w:rsidRPr="00BD735D" w:rsidRDefault="00BD735D" w:rsidP="00BD735D">
      <w:pPr>
        <w:pStyle w:val="Normal1"/>
        <w:spacing w:before="240" w:after="240" w:line="360" w:lineRule="auto"/>
        <w:jc w:val="both"/>
        <w:rPr>
          <w:rFonts w:ascii="Times New Roman" w:hAnsi="Times New Roman" w:cs="Times New Roman"/>
          <w:sz w:val="24"/>
          <w:szCs w:val="24"/>
        </w:rPr>
      </w:pPr>
      <w:r w:rsidRPr="00BD735D">
        <w:rPr>
          <w:rFonts w:ascii="Times New Roman" w:hAnsi="Times New Roman" w:cs="Times New Roman"/>
          <w:color w:val="222222"/>
          <w:sz w:val="24"/>
          <w:szCs w:val="24"/>
          <w:highlight w:val="white"/>
        </w:rPr>
        <w:lastRenderedPageBreak/>
        <w:t xml:space="preserve">Wessel, L., Baiyere, A., Ologeanu-Taddei, R., Cha, J. and Blegind-Jensen, T., 2021. Unpacking the difference between digital transformation and IT-enabled organizational transformation. </w:t>
      </w:r>
      <w:r w:rsidRPr="00BD735D">
        <w:rPr>
          <w:rFonts w:ascii="Times New Roman" w:hAnsi="Times New Roman" w:cs="Times New Roman"/>
          <w:i/>
          <w:sz w:val="24"/>
          <w:szCs w:val="24"/>
        </w:rPr>
        <w:t>Journal of the Association for information systems</w:t>
      </w:r>
      <w:r w:rsidRPr="00BD735D">
        <w:rPr>
          <w:rFonts w:ascii="Times New Roman" w:hAnsi="Times New Roman" w:cs="Times New Roman"/>
          <w:sz w:val="24"/>
          <w:szCs w:val="24"/>
        </w:rPr>
        <w:t xml:space="preserve">, </w:t>
      </w:r>
      <w:r w:rsidRPr="00BD735D">
        <w:rPr>
          <w:rFonts w:ascii="Times New Roman" w:hAnsi="Times New Roman" w:cs="Times New Roman"/>
          <w:i/>
          <w:sz w:val="24"/>
          <w:szCs w:val="24"/>
        </w:rPr>
        <w:t>22</w:t>
      </w:r>
      <w:r w:rsidRPr="00BD735D">
        <w:rPr>
          <w:rFonts w:ascii="Times New Roman" w:hAnsi="Times New Roman" w:cs="Times New Roman"/>
          <w:sz w:val="24"/>
          <w:szCs w:val="24"/>
        </w:rPr>
        <w:t>(1), pp.102-129.</w:t>
      </w:r>
    </w:p>
    <w:p w14:paraId="7D28FC84" w14:textId="77777777" w:rsidR="004D4772" w:rsidRPr="00BD735D" w:rsidRDefault="004D4772" w:rsidP="00BD735D">
      <w:pPr>
        <w:pStyle w:val="Normal1"/>
        <w:spacing w:line="360" w:lineRule="auto"/>
        <w:jc w:val="both"/>
        <w:rPr>
          <w:rFonts w:ascii="Times New Roman" w:hAnsi="Times New Roman" w:cs="Times New Roman"/>
          <w:sz w:val="24"/>
          <w:szCs w:val="24"/>
        </w:rPr>
      </w:pPr>
    </w:p>
    <w:p w14:paraId="7D28FC85" w14:textId="77777777" w:rsidR="00BD735D" w:rsidRPr="00BD735D" w:rsidRDefault="00BD735D">
      <w:pPr>
        <w:pStyle w:val="Normal1"/>
        <w:spacing w:line="360" w:lineRule="auto"/>
        <w:jc w:val="both"/>
        <w:rPr>
          <w:rFonts w:ascii="Times New Roman" w:hAnsi="Times New Roman" w:cs="Times New Roman"/>
          <w:sz w:val="24"/>
          <w:szCs w:val="24"/>
        </w:rPr>
      </w:pPr>
    </w:p>
    <w:sectPr w:rsidR="00BD735D" w:rsidRPr="00BD735D" w:rsidSect="004D477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772"/>
    <w:rsid w:val="004D4772"/>
    <w:rsid w:val="00652A5F"/>
    <w:rsid w:val="006C3E95"/>
    <w:rsid w:val="00BD735D"/>
    <w:rsid w:val="00CE4A67"/>
    <w:rsid w:val="00DE2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8FC4C"/>
  <w15:docId w15:val="{1713A92A-F086-49CF-8445-2A14C5B0A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D735D"/>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4D4772"/>
    <w:pPr>
      <w:keepNext/>
      <w:keepLines/>
      <w:spacing w:before="360" w:after="120"/>
      <w:outlineLvl w:val="1"/>
    </w:pPr>
    <w:rPr>
      <w:sz w:val="32"/>
      <w:szCs w:val="32"/>
    </w:rPr>
  </w:style>
  <w:style w:type="paragraph" w:styleId="Heading3">
    <w:name w:val="heading 3"/>
    <w:basedOn w:val="Normal1"/>
    <w:next w:val="Normal1"/>
    <w:rsid w:val="004D4772"/>
    <w:pPr>
      <w:keepNext/>
      <w:keepLines/>
      <w:spacing w:before="320" w:after="80"/>
      <w:outlineLvl w:val="2"/>
    </w:pPr>
    <w:rPr>
      <w:color w:val="434343"/>
      <w:sz w:val="28"/>
      <w:szCs w:val="28"/>
    </w:rPr>
  </w:style>
  <w:style w:type="paragraph" w:styleId="Heading4">
    <w:name w:val="heading 4"/>
    <w:basedOn w:val="Normal1"/>
    <w:next w:val="Normal1"/>
    <w:rsid w:val="004D4772"/>
    <w:pPr>
      <w:keepNext/>
      <w:keepLines/>
      <w:spacing w:before="280" w:after="80"/>
      <w:outlineLvl w:val="3"/>
    </w:pPr>
    <w:rPr>
      <w:color w:val="666666"/>
      <w:sz w:val="24"/>
      <w:szCs w:val="24"/>
    </w:rPr>
  </w:style>
  <w:style w:type="paragraph" w:styleId="Heading5">
    <w:name w:val="heading 5"/>
    <w:basedOn w:val="Normal1"/>
    <w:next w:val="Normal1"/>
    <w:rsid w:val="004D4772"/>
    <w:pPr>
      <w:keepNext/>
      <w:keepLines/>
      <w:spacing w:before="240" w:after="80"/>
      <w:outlineLvl w:val="4"/>
    </w:pPr>
    <w:rPr>
      <w:color w:val="666666"/>
    </w:rPr>
  </w:style>
  <w:style w:type="paragraph" w:styleId="Heading6">
    <w:name w:val="heading 6"/>
    <w:basedOn w:val="Normal1"/>
    <w:next w:val="Normal1"/>
    <w:rsid w:val="004D47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4772"/>
  </w:style>
  <w:style w:type="paragraph" w:styleId="Title">
    <w:name w:val="Title"/>
    <w:basedOn w:val="Normal1"/>
    <w:next w:val="Normal1"/>
    <w:rsid w:val="004D4772"/>
    <w:pPr>
      <w:keepNext/>
      <w:keepLines/>
      <w:spacing w:after="60"/>
    </w:pPr>
    <w:rPr>
      <w:sz w:val="52"/>
      <w:szCs w:val="52"/>
    </w:rPr>
  </w:style>
  <w:style w:type="paragraph" w:styleId="Subtitle">
    <w:name w:val="Subtitle"/>
    <w:basedOn w:val="Normal1"/>
    <w:next w:val="Normal1"/>
    <w:rsid w:val="004D4772"/>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652A5F"/>
    <w:pPr>
      <w:spacing w:before="480" w:after="0"/>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652A5F"/>
    <w:pPr>
      <w:spacing w:after="100"/>
    </w:pPr>
  </w:style>
  <w:style w:type="character" w:styleId="Hyperlink">
    <w:name w:val="Hyperlink"/>
    <w:basedOn w:val="DefaultParagraphFont"/>
    <w:uiPriority w:val="99"/>
    <w:unhideWhenUsed/>
    <w:rsid w:val="00652A5F"/>
    <w:rPr>
      <w:color w:val="0000FF" w:themeColor="hyperlink"/>
      <w:u w:val="single"/>
    </w:rPr>
  </w:style>
  <w:style w:type="paragraph" w:styleId="BalloonText">
    <w:name w:val="Balloon Text"/>
    <w:basedOn w:val="Normal"/>
    <w:link w:val="BalloonTextChar"/>
    <w:uiPriority w:val="99"/>
    <w:semiHidden/>
    <w:unhideWhenUsed/>
    <w:rsid w:val="00652A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A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0521E0-9B81-41F9-8AB9-009032206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2706</Words>
  <Characters>15426</Characters>
  <Application>Microsoft Office Word</Application>
  <DocSecurity>4</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KOSTADIN ANDONOV</dc:creator>
  <cp:lastModifiedBy>Kostadin Andonov</cp:lastModifiedBy>
  <cp:revision>2</cp:revision>
  <dcterms:created xsi:type="dcterms:W3CDTF">2024-04-17T12:59:00Z</dcterms:created>
  <dcterms:modified xsi:type="dcterms:W3CDTF">2024-04-17T12:59:00Z</dcterms:modified>
</cp:coreProperties>
</file>