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B4A" w:rsidRDefault="00282B4A" w:rsidP="00282B4A">
      <w:pPr>
        <w:pStyle w:val="NoSpacing"/>
        <w:jc w:val="center"/>
        <w:rPr>
          <w:rFonts w:asciiTheme="majorHAnsi" w:eastAsiaTheme="majorEastAsia" w:hAnsiTheme="majorHAnsi" w:cstheme="majorBidi"/>
          <w:color w:val="FF0000"/>
          <w:sz w:val="36"/>
          <w:szCs w:val="36"/>
        </w:rPr>
      </w:pPr>
      <w:bookmarkStart w:id="0" w:name="_GoBack"/>
      <w:bookmarkEnd w:id="0"/>
      <w:r w:rsidRPr="003B293E">
        <w:rPr>
          <w:rFonts w:asciiTheme="majorHAnsi" w:eastAsiaTheme="majorEastAsia" w:hAnsiTheme="majorHAnsi" w:cstheme="majorBidi"/>
          <w:color w:val="FF0000"/>
          <w:sz w:val="36"/>
          <w:szCs w:val="36"/>
        </w:rPr>
        <w:t>UNIVERSITY OF WALES TRINITY SAINT DAVID</w:t>
      </w:r>
    </w:p>
    <w:p w:rsidR="00282B4A" w:rsidRPr="003B293E" w:rsidRDefault="00282B4A" w:rsidP="00282B4A">
      <w:pPr>
        <w:pStyle w:val="NoSpacing"/>
        <w:jc w:val="center"/>
        <w:rPr>
          <w:rFonts w:asciiTheme="majorHAnsi" w:eastAsiaTheme="majorEastAsia" w:hAnsiTheme="majorHAnsi" w:cstheme="majorBidi"/>
          <w:color w:val="FF0000"/>
          <w:sz w:val="36"/>
          <w:szCs w:val="36"/>
        </w:rPr>
      </w:pPr>
      <w:r>
        <w:rPr>
          <w:rFonts w:asciiTheme="majorHAnsi" w:eastAsiaTheme="majorEastAsia" w:hAnsiTheme="majorHAnsi" w:cstheme="majorBidi"/>
          <w:color w:val="FF0000"/>
          <w:sz w:val="36"/>
          <w:szCs w:val="36"/>
        </w:rPr>
        <w:t>LONDON CAMPUS</w:t>
      </w:r>
    </w:p>
    <w:p w:rsidR="00282B4A" w:rsidRDefault="00282B4A" w:rsidP="00282B4A">
      <w:pPr>
        <w:pStyle w:val="NoSpacing"/>
        <w:jc w:val="center"/>
        <w:rPr>
          <w:rFonts w:asciiTheme="majorHAnsi" w:eastAsiaTheme="majorEastAsia" w:hAnsiTheme="majorHAnsi" w:cstheme="majorBidi"/>
          <w:sz w:val="36"/>
          <w:szCs w:val="36"/>
        </w:rPr>
      </w:pPr>
    </w:p>
    <w:p w:rsidR="00282B4A" w:rsidRDefault="00282B4A" w:rsidP="00282B4A">
      <w:pPr>
        <w:pStyle w:val="NoSpacing"/>
        <w:jc w:val="center"/>
        <w:rPr>
          <w:rFonts w:asciiTheme="majorHAnsi" w:eastAsiaTheme="majorEastAsia" w:hAnsiTheme="majorHAnsi" w:cstheme="majorBidi"/>
          <w:sz w:val="36"/>
          <w:szCs w:val="36"/>
        </w:rPr>
      </w:pP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FINANCIAL MANAGEMENT</w:t>
      </w:r>
    </w:p>
    <w:p w:rsidR="00282B4A" w:rsidRPr="003B293E" w:rsidRDefault="00282B4A" w:rsidP="00282B4A">
      <w:pPr>
        <w:pStyle w:val="NoSpacing"/>
        <w:jc w:val="center"/>
        <w:rPr>
          <w:rFonts w:asciiTheme="majorHAnsi" w:eastAsiaTheme="majorEastAsia" w:hAnsiTheme="majorHAnsi" w:cstheme="majorBidi"/>
          <w:sz w:val="36"/>
          <w:szCs w:val="36"/>
        </w:rPr>
      </w:pP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ASSIGNMENT</w:t>
      </w: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ON</w:t>
      </w: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William Hill Plc and Paddy Power Betfair Plc</w:t>
      </w:r>
    </w:p>
    <w:p w:rsidR="00282B4A" w:rsidRDefault="00282B4A" w:rsidP="00282B4A">
      <w:pPr>
        <w:pStyle w:val="NoSpacing"/>
        <w:jc w:val="center"/>
        <w:rPr>
          <w:rFonts w:asciiTheme="majorHAnsi" w:eastAsiaTheme="majorEastAsia" w:hAnsiTheme="majorHAnsi" w:cstheme="majorBidi"/>
          <w:sz w:val="36"/>
          <w:szCs w:val="36"/>
        </w:rPr>
      </w:pP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Under guidance of</w:t>
      </w:r>
    </w:p>
    <w:p w:rsidR="00282B4A" w:rsidRPr="00282B4A" w:rsidRDefault="00282B4A" w:rsidP="00282B4A">
      <w:pPr>
        <w:pStyle w:val="NoSpacing"/>
        <w:jc w:val="center"/>
        <w:rPr>
          <w:rFonts w:asciiTheme="majorHAnsi" w:eastAsiaTheme="majorEastAsia" w:hAnsiTheme="majorHAnsi" w:cstheme="majorBidi"/>
          <w:sz w:val="36"/>
          <w:szCs w:val="36"/>
          <w:u w:val="single"/>
        </w:rPr>
      </w:pPr>
      <w:r w:rsidRPr="00282B4A">
        <w:rPr>
          <w:rFonts w:asciiTheme="majorHAnsi" w:eastAsiaTheme="majorEastAsia" w:hAnsiTheme="majorHAnsi" w:cstheme="majorBidi"/>
          <w:sz w:val="36"/>
          <w:szCs w:val="36"/>
          <w:u w:val="single"/>
        </w:rPr>
        <w:t>Prof. Isaiah Oina</w:t>
      </w:r>
    </w:p>
    <w:p w:rsidR="00282B4A" w:rsidRPr="00282B4A" w:rsidRDefault="00282B4A" w:rsidP="00282B4A">
      <w:pPr>
        <w:pStyle w:val="NoSpacing"/>
        <w:jc w:val="center"/>
        <w:rPr>
          <w:rFonts w:asciiTheme="majorHAnsi" w:eastAsiaTheme="majorEastAsia" w:hAnsiTheme="majorHAnsi" w:cstheme="majorBidi"/>
          <w:sz w:val="36"/>
          <w:szCs w:val="36"/>
          <w:u w:val="single"/>
        </w:rPr>
      </w:pPr>
    </w:p>
    <w:p w:rsidR="00282B4A" w:rsidRDefault="00282B4A" w:rsidP="00282B4A">
      <w:pPr>
        <w:pStyle w:val="NoSpacing"/>
        <w:jc w:val="center"/>
        <w:rPr>
          <w:rFonts w:asciiTheme="majorHAnsi" w:eastAsiaTheme="majorEastAsia" w:hAnsiTheme="majorHAnsi" w:cstheme="majorBidi"/>
          <w:sz w:val="36"/>
          <w:szCs w:val="36"/>
        </w:rPr>
      </w:pP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Submitted By</w:t>
      </w: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KRUNAL KUMAR PAVNESHBHAI PATEL</w:t>
      </w: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STUDENT ID- 1706259</w:t>
      </w:r>
    </w:p>
    <w:p w:rsidR="00282B4A" w:rsidRDefault="00282B4A" w:rsidP="00282B4A">
      <w:pPr>
        <w:pStyle w:val="NoSpacing"/>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Module code-SBMA7100</w:t>
      </w:r>
    </w:p>
    <w:p w:rsidR="000E1D43" w:rsidRDefault="000E1D43" w:rsidP="00282B4A">
      <w:pPr>
        <w:pStyle w:val="Heading1"/>
        <w:spacing w:line="360" w:lineRule="auto"/>
        <w:jc w:val="center"/>
        <w:rPr>
          <w:rFonts w:ascii="Times New Roman" w:hAnsi="Times New Roman" w:cs="Times New Roman"/>
          <w:sz w:val="24"/>
          <w:szCs w:val="24"/>
        </w:rPr>
      </w:pPr>
    </w:p>
    <w:p w:rsidR="00282B4A" w:rsidRDefault="00282B4A" w:rsidP="00282B4A"/>
    <w:p w:rsidR="00282B4A" w:rsidRDefault="00282B4A" w:rsidP="00282B4A"/>
    <w:p w:rsidR="00282B4A" w:rsidRDefault="00282B4A" w:rsidP="00282B4A"/>
    <w:p w:rsidR="00282B4A" w:rsidRDefault="00282B4A" w:rsidP="00282B4A"/>
    <w:p w:rsidR="00282B4A" w:rsidRDefault="00282B4A" w:rsidP="00282B4A"/>
    <w:p w:rsidR="00282B4A" w:rsidRDefault="00282B4A" w:rsidP="00282B4A"/>
    <w:p w:rsidR="00282B4A" w:rsidRDefault="00282B4A" w:rsidP="00282B4A"/>
    <w:p w:rsidR="00282B4A" w:rsidRDefault="00282B4A" w:rsidP="00282B4A"/>
    <w:p w:rsidR="00282B4A" w:rsidRDefault="00282B4A" w:rsidP="00282B4A"/>
    <w:p w:rsidR="00282B4A" w:rsidRDefault="00282B4A" w:rsidP="00282B4A"/>
    <w:p w:rsidR="00282B4A" w:rsidRPr="00282B4A" w:rsidRDefault="00282B4A" w:rsidP="00282B4A"/>
    <w:sdt>
      <w:sdtPr>
        <w:rPr>
          <w:rFonts w:ascii="Times New Roman" w:eastAsiaTheme="minorEastAsia" w:hAnsi="Times New Roman" w:cs="Times New Roman"/>
          <w:b w:val="0"/>
          <w:bCs w:val="0"/>
          <w:color w:val="auto"/>
          <w:sz w:val="24"/>
          <w:szCs w:val="24"/>
          <w:lang w:val="en-GB" w:eastAsia="en-GB"/>
        </w:rPr>
        <w:id w:val="1316447797"/>
        <w:docPartObj>
          <w:docPartGallery w:val="Table of Contents"/>
          <w:docPartUnique/>
        </w:docPartObj>
      </w:sdtPr>
      <w:sdtEndPr/>
      <w:sdtContent>
        <w:p w:rsidR="000E1D43" w:rsidRPr="000E1D43" w:rsidRDefault="000E1D43" w:rsidP="000E1D43">
          <w:pPr>
            <w:pStyle w:val="TOCHeading"/>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Table of Contents</w:t>
          </w:r>
        </w:p>
        <w:p w:rsidR="00A870AA" w:rsidRDefault="000E1D43">
          <w:pPr>
            <w:pStyle w:val="TOC1"/>
            <w:tabs>
              <w:tab w:val="right" w:leader="dot" w:pos="9016"/>
            </w:tabs>
            <w:rPr>
              <w:noProof/>
            </w:rPr>
          </w:pPr>
          <w:r w:rsidRPr="000E1D43">
            <w:rPr>
              <w:rFonts w:ascii="Times New Roman" w:hAnsi="Times New Roman" w:cs="Times New Roman"/>
              <w:sz w:val="24"/>
              <w:szCs w:val="24"/>
            </w:rPr>
            <w:fldChar w:fldCharType="begin"/>
          </w:r>
          <w:r w:rsidRPr="000E1D43">
            <w:rPr>
              <w:rFonts w:ascii="Times New Roman" w:hAnsi="Times New Roman" w:cs="Times New Roman"/>
              <w:sz w:val="24"/>
              <w:szCs w:val="24"/>
            </w:rPr>
            <w:instrText xml:space="preserve"> TOC \o "1-3" \h \z \u </w:instrText>
          </w:r>
          <w:r w:rsidRPr="000E1D43">
            <w:rPr>
              <w:rFonts w:ascii="Times New Roman" w:hAnsi="Times New Roman" w:cs="Times New Roman"/>
              <w:sz w:val="24"/>
              <w:szCs w:val="24"/>
            </w:rPr>
            <w:fldChar w:fldCharType="separate"/>
          </w:r>
          <w:hyperlink w:anchor="_Toc511995530" w:history="1">
            <w:r w:rsidR="00A870AA" w:rsidRPr="00EE5A90">
              <w:rPr>
                <w:rStyle w:val="Hyperlink"/>
                <w:rFonts w:ascii="Times New Roman" w:hAnsi="Times New Roman" w:cs="Times New Roman"/>
                <w:noProof/>
              </w:rPr>
              <w:t>1.0 Introduction</w:t>
            </w:r>
            <w:r w:rsidR="00A870AA">
              <w:rPr>
                <w:noProof/>
                <w:webHidden/>
              </w:rPr>
              <w:tab/>
            </w:r>
            <w:r w:rsidR="00A870AA">
              <w:rPr>
                <w:noProof/>
                <w:webHidden/>
              </w:rPr>
              <w:fldChar w:fldCharType="begin"/>
            </w:r>
            <w:r w:rsidR="00A870AA">
              <w:rPr>
                <w:noProof/>
                <w:webHidden/>
              </w:rPr>
              <w:instrText xml:space="preserve"> PAGEREF _Toc511995530 \h </w:instrText>
            </w:r>
            <w:r w:rsidR="00A870AA">
              <w:rPr>
                <w:noProof/>
                <w:webHidden/>
              </w:rPr>
            </w:r>
            <w:r w:rsidR="00A870AA">
              <w:rPr>
                <w:noProof/>
                <w:webHidden/>
              </w:rPr>
              <w:fldChar w:fldCharType="separate"/>
            </w:r>
            <w:r w:rsidR="00A870AA">
              <w:rPr>
                <w:noProof/>
                <w:webHidden/>
              </w:rPr>
              <w:t>3</w:t>
            </w:r>
            <w:r w:rsidR="00A870AA">
              <w:rPr>
                <w:noProof/>
                <w:webHidden/>
              </w:rPr>
              <w:fldChar w:fldCharType="end"/>
            </w:r>
          </w:hyperlink>
        </w:p>
        <w:p w:rsidR="00A870AA" w:rsidRDefault="00627B67">
          <w:pPr>
            <w:pStyle w:val="TOC2"/>
            <w:tabs>
              <w:tab w:val="right" w:leader="dot" w:pos="9016"/>
            </w:tabs>
            <w:rPr>
              <w:noProof/>
            </w:rPr>
          </w:pPr>
          <w:hyperlink w:anchor="_Toc511995531" w:history="1">
            <w:r w:rsidR="00A870AA" w:rsidRPr="00EE5A90">
              <w:rPr>
                <w:rStyle w:val="Hyperlink"/>
                <w:rFonts w:ascii="Times New Roman" w:hAnsi="Times New Roman" w:cs="Times New Roman"/>
                <w:noProof/>
              </w:rPr>
              <w:t>1.0.1 Background of the William plc</w:t>
            </w:r>
            <w:r w:rsidR="00A870AA">
              <w:rPr>
                <w:noProof/>
                <w:webHidden/>
              </w:rPr>
              <w:tab/>
            </w:r>
            <w:r w:rsidR="00A870AA">
              <w:rPr>
                <w:noProof/>
                <w:webHidden/>
              </w:rPr>
              <w:fldChar w:fldCharType="begin"/>
            </w:r>
            <w:r w:rsidR="00A870AA">
              <w:rPr>
                <w:noProof/>
                <w:webHidden/>
              </w:rPr>
              <w:instrText xml:space="preserve"> PAGEREF _Toc511995531 \h </w:instrText>
            </w:r>
            <w:r w:rsidR="00A870AA">
              <w:rPr>
                <w:noProof/>
                <w:webHidden/>
              </w:rPr>
            </w:r>
            <w:r w:rsidR="00A870AA">
              <w:rPr>
                <w:noProof/>
                <w:webHidden/>
              </w:rPr>
              <w:fldChar w:fldCharType="separate"/>
            </w:r>
            <w:r w:rsidR="00A870AA">
              <w:rPr>
                <w:noProof/>
                <w:webHidden/>
              </w:rPr>
              <w:t>3</w:t>
            </w:r>
            <w:r w:rsidR="00A870AA">
              <w:rPr>
                <w:noProof/>
                <w:webHidden/>
              </w:rPr>
              <w:fldChar w:fldCharType="end"/>
            </w:r>
          </w:hyperlink>
        </w:p>
        <w:p w:rsidR="00A870AA" w:rsidRDefault="00627B67">
          <w:pPr>
            <w:pStyle w:val="TOC2"/>
            <w:tabs>
              <w:tab w:val="right" w:leader="dot" w:pos="9016"/>
            </w:tabs>
            <w:rPr>
              <w:noProof/>
            </w:rPr>
          </w:pPr>
          <w:hyperlink w:anchor="_Toc511995532" w:history="1">
            <w:r w:rsidR="00A870AA" w:rsidRPr="00EE5A90">
              <w:rPr>
                <w:rStyle w:val="Hyperlink"/>
                <w:rFonts w:ascii="Times New Roman" w:hAnsi="Times New Roman" w:cs="Times New Roman"/>
                <w:noProof/>
              </w:rPr>
              <w:t>1.0.2 Introduction Paddy Power Betfair plc</w:t>
            </w:r>
            <w:r w:rsidR="00A870AA">
              <w:rPr>
                <w:noProof/>
                <w:webHidden/>
              </w:rPr>
              <w:tab/>
            </w:r>
            <w:r w:rsidR="00A870AA">
              <w:rPr>
                <w:noProof/>
                <w:webHidden/>
              </w:rPr>
              <w:fldChar w:fldCharType="begin"/>
            </w:r>
            <w:r w:rsidR="00A870AA">
              <w:rPr>
                <w:noProof/>
                <w:webHidden/>
              </w:rPr>
              <w:instrText xml:space="preserve"> PAGEREF _Toc511995532 \h </w:instrText>
            </w:r>
            <w:r w:rsidR="00A870AA">
              <w:rPr>
                <w:noProof/>
                <w:webHidden/>
              </w:rPr>
            </w:r>
            <w:r w:rsidR="00A870AA">
              <w:rPr>
                <w:noProof/>
                <w:webHidden/>
              </w:rPr>
              <w:fldChar w:fldCharType="separate"/>
            </w:r>
            <w:r w:rsidR="00A870AA">
              <w:rPr>
                <w:noProof/>
                <w:webHidden/>
              </w:rPr>
              <w:t>4</w:t>
            </w:r>
            <w:r w:rsidR="00A870AA">
              <w:rPr>
                <w:noProof/>
                <w:webHidden/>
              </w:rPr>
              <w:fldChar w:fldCharType="end"/>
            </w:r>
          </w:hyperlink>
        </w:p>
        <w:p w:rsidR="00A870AA" w:rsidRDefault="00627B67">
          <w:pPr>
            <w:pStyle w:val="TOC1"/>
            <w:tabs>
              <w:tab w:val="right" w:leader="dot" w:pos="9016"/>
            </w:tabs>
            <w:rPr>
              <w:noProof/>
            </w:rPr>
          </w:pPr>
          <w:hyperlink w:anchor="_Toc511995533" w:history="1">
            <w:r w:rsidR="00A870AA" w:rsidRPr="00EE5A90">
              <w:rPr>
                <w:rStyle w:val="Hyperlink"/>
                <w:rFonts w:ascii="Times New Roman" w:hAnsi="Times New Roman" w:cs="Times New Roman"/>
                <w:noProof/>
              </w:rPr>
              <w:t>1.2 Ratios analysis</w:t>
            </w:r>
            <w:r w:rsidR="00A870AA">
              <w:rPr>
                <w:noProof/>
                <w:webHidden/>
              </w:rPr>
              <w:tab/>
            </w:r>
            <w:r w:rsidR="00A870AA">
              <w:rPr>
                <w:noProof/>
                <w:webHidden/>
              </w:rPr>
              <w:fldChar w:fldCharType="begin"/>
            </w:r>
            <w:r w:rsidR="00A870AA">
              <w:rPr>
                <w:noProof/>
                <w:webHidden/>
              </w:rPr>
              <w:instrText xml:space="preserve"> PAGEREF _Toc511995533 \h </w:instrText>
            </w:r>
            <w:r w:rsidR="00A870AA">
              <w:rPr>
                <w:noProof/>
                <w:webHidden/>
              </w:rPr>
            </w:r>
            <w:r w:rsidR="00A870AA">
              <w:rPr>
                <w:noProof/>
                <w:webHidden/>
              </w:rPr>
              <w:fldChar w:fldCharType="separate"/>
            </w:r>
            <w:r w:rsidR="00A870AA">
              <w:rPr>
                <w:noProof/>
                <w:webHidden/>
              </w:rPr>
              <w:t>6</w:t>
            </w:r>
            <w:r w:rsidR="00A870AA">
              <w:rPr>
                <w:noProof/>
                <w:webHidden/>
              </w:rPr>
              <w:fldChar w:fldCharType="end"/>
            </w:r>
          </w:hyperlink>
        </w:p>
        <w:p w:rsidR="00A870AA" w:rsidRDefault="00627B67">
          <w:pPr>
            <w:pStyle w:val="TOC2"/>
            <w:tabs>
              <w:tab w:val="right" w:leader="dot" w:pos="9016"/>
            </w:tabs>
            <w:rPr>
              <w:noProof/>
            </w:rPr>
          </w:pPr>
          <w:hyperlink w:anchor="_Toc511995534" w:history="1">
            <w:r w:rsidR="00A870AA" w:rsidRPr="00EE5A90">
              <w:rPr>
                <w:rStyle w:val="Hyperlink"/>
                <w:rFonts w:ascii="Times New Roman" w:hAnsi="Times New Roman" w:cs="Times New Roman"/>
                <w:noProof/>
              </w:rPr>
              <w:t>1.2.1 Profitability ratios analysis</w:t>
            </w:r>
            <w:r w:rsidR="00A870AA">
              <w:rPr>
                <w:noProof/>
                <w:webHidden/>
              </w:rPr>
              <w:tab/>
            </w:r>
            <w:r w:rsidR="00A870AA">
              <w:rPr>
                <w:noProof/>
                <w:webHidden/>
              </w:rPr>
              <w:fldChar w:fldCharType="begin"/>
            </w:r>
            <w:r w:rsidR="00A870AA">
              <w:rPr>
                <w:noProof/>
                <w:webHidden/>
              </w:rPr>
              <w:instrText xml:space="preserve"> PAGEREF _Toc511995534 \h </w:instrText>
            </w:r>
            <w:r w:rsidR="00A870AA">
              <w:rPr>
                <w:noProof/>
                <w:webHidden/>
              </w:rPr>
            </w:r>
            <w:r w:rsidR="00A870AA">
              <w:rPr>
                <w:noProof/>
                <w:webHidden/>
              </w:rPr>
              <w:fldChar w:fldCharType="separate"/>
            </w:r>
            <w:r w:rsidR="00A870AA">
              <w:rPr>
                <w:noProof/>
                <w:webHidden/>
              </w:rPr>
              <w:t>6</w:t>
            </w:r>
            <w:r w:rsidR="00A870AA">
              <w:rPr>
                <w:noProof/>
                <w:webHidden/>
              </w:rPr>
              <w:fldChar w:fldCharType="end"/>
            </w:r>
          </w:hyperlink>
        </w:p>
        <w:p w:rsidR="00A870AA" w:rsidRDefault="00627B67">
          <w:pPr>
            <w:pStyle w:val="TOC2"/>
            <w:tabs>
              <w:tab w:val="right" w:leader="dot" w:pos="9016"/>
            </w:tabs>
            <w:rPr>
              <w:noProof/>
            </w:rPr>
          </w:pPr>
          <w:hyperlink w:anchor="_Toc511995535" w:history="1">
            <w:r w:rsidR="00A870AA" w:rsidRPr="00EE5A90">
              <w:rPr>
                <w:rStyle w:val="Hyperlink"/>
                <w:rFonts w:ascii="Times New Roman" w:hAnsi="Times New Roman" w:cs="Times New Roman"/>
                <w:noProof/>
              </w:rPr>
              <w:t>1.2.2 Liquidity ratios</w:t>
            </w:r>
            <w:r w:rsidR="00A870AA">
              <w:rPr>
                <w:noProof/>
                <w:webHidden/>
              </w:rPr>
              <w:tab/>
            </w:r>
            <w:r w:rsidR="00A870AA">
              <w:rPr>
                <w:noProof/>
                <w:webHidden/>
              </w:rPr>
              <w:fldChar w:fldCharType="begin"/>
            </w:r>
            <w:r w:rsidR="00A870AA">
              <w:rPr>
                <w:noProof/>
                <w:webHidden/>
              </w:rPr>
              <w:instrText xml:space="preserve"> PAGEREF _Toc511995535 \h </w:instrText>
            </w:r>
            <w:r w:rsidR="00A870AA">
              <w:rPr>
                <w:noProof/>
                <w:webHidden/>
              </w:rPr>
            </w:r>
            <w:r w:rsidR="00A870AA">
              <w:rPr>
                <w:noProof/>
                <w:webHidden/>
              </w:rPr>
              <w:fldChar w:fldCharType="separate"/>
            </w:r>
            <w:r w:rsidR="00A870AA">
              <w:rPr>
                <w:noProof/>
                <w:webHidden/>
              </w:rPr>
              <w:t>9</w:t>
            </w:r>
            <w:r w:rsidR="00A870AA">
              <w:rPr>
                <w:noProof/>
                <w:webHidden/>
              </w:rPr>
              <w:fldChar w:fldCharType="end"/>
            </w:r>
          </w:hyperlink>
        </w:p>
        <w:p w:rsidR="00A870AA" w:rsidRDefault="00627B67">
          <w:pPr>
            <w:pStyle w:val="TOC2"/>
            <w:tabs>
              <w:tab w:val="right" w:leader="dot" w:pos="9016"/>
            </w:tabs>
            <w:rPr>
              <w:noProof/>
            </w:rPr>
          </w:pPr>
          <w:hyperlink w:anchor="_Toc511995536" w:history="1">
            <w:r w:rsidR="00A870AA" w:rsidRPr="00EE5A90">
              <w:rPr>
                <w:rStyle w:val="Hyperlink"/>
                <w:rFonts w:ascii="Times New Roman" w:hAnsi="Times New Roman" w:cs="Times New Roman"/>
                <w:noProof/>
              </w:rPr>
              <w:t>1.2.3 Efficiency ratios</w:t>
            </w:r>
            <w:r w:rsidR="00A870AA">
              <w:rPr>
                <w:noProof/>
                <w:webHidden/>
              </w:rPr>
              <w:tab/>
            </w:r>
            <w:r w:rsidR="00A870AA">
              <w:rPr>
                <w:noProof/>
                <w:webHidden/>
              </w:rPr>
              <w:fldChar w:fldCharType="begin"/>
            </w:r>
            <w:r w:rsidR="00A870AA">
              <w:rPr>
                <w:noProof/>
                <w:webHidden/>
              </w:rPr>
              <w:instrText xml:space="preserve"> PAGEREF _Toc511995536 \h </w:instrText>
            </w:r>
            <w:r w:rsidR="00A870AA">
              <w:rPr>
                <w:noProof/>
                <w:webHidden/>
              </w:rPr>
            </w:r>
            <w:r w:rsidR="00A870AA">
              <w:rPr>
                <w:noProof/>
                <w:webHidden/>
              </w:rPr>
              <w:fldChar w:fldCharType="separate"/>
            </w:r>
            <w:r w:rsidR="00A870AA">
              <w:rPr>
                <w:noProof/>
                <w:webHidden/>
              </w:rPr>
              <w:t>11</w:t>
            </w:r>
            <w:r w:rsidR="00A870AA">
              <w:rPr>
                <w:noProof/>
                <w:webHidden/>
              </w:rPr>
              <w:fldChar w:fldCharType="end"/>
            </w:r>
          </w:hyperlink>
        </w:p>
        <w:p w:rsidR="00A870AA" w:rsidRDefault="00627B67">
          <w:pPr>
            <w:pStyle w:val="TOC2"/>
            <w:tabs>
              <w:tab w:val="right" w:leader="dot" w:pos="9016"/>
            </w:tabs>
            <w:rPr>
              <w:noProof/>
            </w:rPr>
          </w:pPr>
          <w:hyperlink w:anchor="_Toc511995537" w:history="1">
            <w:r w:rsidR="00A870AA" w:rsidRPr="00EE5A90">
              <w:rPr>
                <w:rStyle w:val="Hyperlink"/>
                <w:rFonts w:ascii="Times New Roman" w:eastAsia="Times New Roman" w:hAnsi="Times New Roman" w:cs="Times New Roman"/>
                <w:noProof/>
                <w:lang w:val="en-US"/>
              </w:rPr>
              <w:t>1.2. 4 Shareholders ratios</w:t>
            </w:r>
            <w:r w:rsidR="00A870AA">
              <w:rPr>
                <w:noProof/>
                <w:webHidden/>
              </w:rPr>
              <w:tab/>
            </w:r>
            <w:r w:rsidR="00A870AA">
              <w:rPr>
                <w:noProof/>
                <w:webHidden/>
              </w:rPr>
              <w:fldChar w:fldCharType="begin"/>
            </w:r>
            <w:r w:rsidR="00A870AA">
              <w:rPr>
                <w:noProof/>
                <w:webHidden/>
              </w:rPr>
              <w:instrText xml:space="preserve"> PAGEREF _Toc511995537 \h </w:instrText>
            </w:r>
            <w:r w:rsidR="00A870AA">
              <w:rPr>
                <w:noProof/>
                <w:webHidden/>
              </w:rPr>
            </w:r>
            <w:r w:rsidR="00A870AA">
              <w:rPr>
                <w:noProof/>
                <w:webHidden/>
              </w:rPr>
              <w:fldChar w:fldCharType="separate"/>
            </w:r>
            <w:r w:rsidR="00A870AA">
              <w:rPr>
                <w:noProof/>
                <w:webHidden/>
              </w:rPr>
              <w:t>14</w:t>
            </w:r>
            <w:r w:rsidR="00A870AA">
              <w:rPr>
                <w:noProof/>
                <w:webHidden/>
              </w:rPr>
              <w:fldChar w:fldCharType="end"/>
            </w:r>
          </w:hyperlink>
        </w:p>
        <w:p w:rsidR="00A870AA" w:rsidRDefault="00627B67">
          <w:pPr>
            <w:pStyle w:val="TOC1"/>
            <w:tabs>
              <w:tab w:val="right" w:leader="dot" w:pos="9016"/>
            </w:tabs>
            <w:rPr>
              <w:noProof/>
            </w:rPr>
          </w:pPr>
          <w:hyperlink w:anchor="_Toc511995538" w:history="1">
            <w:r w:rsidR="00A870AA" w:rsidRPr="00EE5A90">
              <w:rPr>
                <w:rStyle w:val="Hyperlink"/>
                <w:rFonts w:ascii="Times New Roman" w:hAnsi="Times New Roman" w:cs="Times New Roman"/>
                <w:noProof/>
              </w:rPr>
              <w:t>1.3 Findings and summery of analysis results</w:t>
            </w:r>
            <w:r w:rsidR="00A870AA">
              <w:rPr>
                <w:noProof/>
                <w:webHidden/>
              </w:rPr>
              <w:tab/>
            </w:r>
            <w:r w:rsidR="00A870AA">
              <w:rPr>
                <w:noProof/>
                <w:webHidden/>
              </w:rPr>
              <w:fldChar w:fldCharType="begin"/>
            </w:r>
            <w:r w:rsidR="00A870AA">
              <w:rPr>
                <w:noProof/>
                <w:webHidden/>
              </w:rPr>
              <w:instrText xml:space="preserve"> PAGEREF _Toc511995538 \h </w:instrText>
            </w:r>
            <w:r w:rsidR="00A870AA">
              <w:rPr>
                <w:noProof/>
                <w:webHidden/>
              </w:rPr>
            </w:r>
            <w:r w:rsidR="00A870AA">
              <w:rPr>
                <w:noProof/>
                <w:webHidden/>
              </w:rPr>
              <w:fldChar w:fldCharType="separate"/>
            </w:r>
            <w:r w:rsidR="00A870AA">
              <w:rPr>
                <w:noProof/>
                <w:webHidden/>
              </w:rPr>
              <w:t>16</w:t>
            </w:r>
            <w:r w:rsidR="00A870AA">
              <w:rPr>
                <w:noProof/>
                <w:webHidden/>
              </w:rPr>
              <w:fldChar w:fldCharType="end"/>
            </w:r>
          </w:hyperlink>
        </w:p>
        <w:p w:rsidR="00A870AA" w:rsidRDefault="00627B67">
          <w:pPr>
            <w:pStyle w:val="TOC1"/>
            <w:tabs>
              <w:tab w:val="right" w:leader="dot" w:pos="9016"/>
            </w:tabs>
            <w:rPr>
              <w:noProof/>
            </w:rPr>
          </w:pPr>
          <w:hyperlink w:anchor="_Toc511995539" w:history="1">
            <w:r w:rsidR="00A870AA" w:rsidRPr="00EE5A90">
              <w:rPr>
                <w:rStyle w:val="Hyperlink"/>
                <w:rFonts w:ascii="Times New Roman" w:hAnsi="Times New Roman" w:cs="Times New Roman"/>
                <w:noProof/>
              </w:rPr>
              <w:t>1.4 Recommendation for investment</w:t>
            </w:r>
            <w:r w:rsidR="00A870AA">
              <w:rPr>
                <w:noProof/>
                <w:webHidden/>
              </w:rPr>
              <w:tab/>
            </w:r>
            <w:r w:rsidR="00A870AA">
              <w:rPr>
                <w:noProof/>
                <w:webHidden/>
              </w:rPr>
              <w:fldChar w:fldCharType="begin"/>
            </w:r>
            <w:r w:rsidR="00A870AA">
              <w:rPr>
                <w:noProof/>
                <w:webHidden/>
              </w:rPr>
              <w:instrText xml:space="preserve"> PAGEREF _Toc511995539 \h </w:instrText>
            </w:r>
            <w:r w:rsidR="00A870AA">
              <w:rPr>
                <w:noProof/>
                <w:webHidden/>
              </w:rPr>
            </w:r>
            <w:r w:rsidR="00A870AA">
              <w:rPr>
                <w:noProof/>
                <w:webHidden/>
              </w:rPr>
              <w:fldChar w:fldCharType="separate"/>
            </w:r>
            <w:r w:rsidR="00A870AA">
              <w:rPr>
                <w:noProof/>
                <w:webHidden/>
              </w:rPr>
              <w:t>17</w:t>
            </w:r>
            <w:r w:rsidR="00A870AA">
              <w:rPr>
                <w:noProof/>
                <w:webHidden/>
              </w:rPr>
              <w:fldChar w:fldCharType="end"/>
            </w:r>
          </w:hyperlink>
        </w:p>
        <w:p w:rsidR="00A870AA" w:rsidRDefault="00627B67">
          <w:pPr>
            <w:pStyle w:val="TOC1"/>
            <w:tabs>
              <w:tab w:val="right" w:leader="dot" w:pos="9016"/>
            </w:tabs>
            <w:rPr>
              <w:noProof/>
            </w:rPr>
          </w:pPr>
          <w:hyperlink w:anchor="_Toc511995540" w:history="1">
            <w:r w:rsidR="00A870AA" w:rsidRPr="00EE5A90">
              <w:rPr>
                <w:rStyle w:val="Hyperlink"/>
                <w:rFonts w:ascii="Times New Roman" w:hAnsi="Times New Roman" w:cs="Times New Roman"/>
                <w:noProof/>
              </w:rPr>
              <w:t>References</w:t>
            </w:r>
            <w:r w:rsidR="00A870AA">
              <w:rPr>
                <w:noProof/>
                <w:webHidden/>
              </w:rPr>
              <w:tab/>
            </w:r>
            <w:r w:rsidR="00A870AA">
              <w:rPr>
                <w:noProof/>
                <w:webHidden/>
              </w:rPr>
              <w:fldChar w:fldCharType="begin"/>
            </w:r>
            <w:r w:rsidR="00A870AA">
              <w:rPr>
                <w:noProof/>
                <w:webHidden/>
              </w:rPr>
              <w:instrText xml:space="preserve"> PAGEREF _Toc511995540 \h </w:instrText>
            </w:r>
            <w:r w:rsidR="00A870AA">
              <w:rPr>
                <w:noProof/>
                <w:webHidden/>
              </w:rPr>
            </w:r>
            <w:r w:rsidR="00A870AA">
              <w:rPr>
                <w:noProof/>
                <w:webHidden/>
              </w:rPr>
              <w:fldChar w:fldCharType="separate"/>
            </w:r>
            <w:r w:rsidR="00A870AA">
              <w:rPr>
                <w:noProof/>
                <w:webHidden/>
              </w:rPr>
              <w:t>18</w:t>
            </w:r>
            <w:r w:rsidR="00A870AA">
              <w:rPr>
                <w:noProof/>
                <w:webHidden/>
              </w:rPr>
              <w:fldChar w:fldCharType="end"/>
            </w:r>
          </w:hyperlink>
        </w:p>
        <w:p w:rsidR="00A870AA" w:rsidRPr="00A870AA" w:rsidRDefault="00627B67" w:rsidP="00A870AA">
          <w:pPr>
            <w:pStyle w:val="TOC1"/>
            <w:tabs>
              <w:tab w:val="right" w:leader="dot" w:pos="9016"/>
            </w:tabs>
            <w:spacing w:line="360" w:lineRule="auto"/>
            <w:jc w:val="both"/>
            <w:rPr>
              <w:rFonts w:ascii="Times New Roman" w:hAnsi="Times New Roman" w:cs="Times New Roman"/>
              <w:noProof/>
              <w:sz w:val="24"/>
              <w:szCs w:val="24"/>
            </w:rPr>
          </w:pPr>
          <w:hyperlink w:anchor="_Toc511995541" w:history="1">
            <w:r w:rsidR="00A870AA" w:rsidRPr="00A870AA">
              <w:rPr>
                <w:rStyle w:val="Hyperlink"/>
                <w:rFonts w:ascii="Times New Roman" w:hAnsi="Times New Roman" w:cs="Times New Roman"/>
                <w:noProof/>
                <w:sz w:val="24"/>
                <w:szCs w:val="24"/>
              </w:rPr>
              <w:t>Appendix</w:t>
            </w:r>
            <w:r w:rsidR="00A870AA" w:rsidRPr="00A870AA">
              <w:rPr>
                <w:rFonts w:ascii="Times New Roman" w:hAnsi="Times New Roman" w:cs="Times New Roman"/>
                <w:noProof/>
                <w:webHidden/>
                <w:sz w:val="24"/>
                <w:szCs w:val="24"/>
              </w:rPr>
              <w:tab/>
            </w:r>
            <w:r w:rsidR="00A870AA" w:rsidRPr="00A870AA">
              <w:rPr>
                <w:rFonts w:ascii="Times New Roman" w:hAnsi="Times New Roman" w:cs="Times New Roman"/>
                <w:noProof/>
                <w:webHidden/>
                <w:sz w:val="24"/>
                <w:szCs w:val="24"/>
              </w:rPr>
              <w:fldChar w:fldCharType="begin"/>
            </w:r>
            <w:r w:rsidR="00A870AA" w:rsidRPr="00A870AA">
              <w:rPr>
                <w:rFonts w:ascii="Times New Roman" w:hAnsi="Times New Roman" w:cs="Times New Roman"/>
                <w:noProof/>
                <w:webHidden/>
                <w:sz w:val="24"/>
                <w:szCs w:val="24"/>
              </w:rPr>
              <w:instrText xml:space="preserve"> PAGEREF _Toc511995541 \h </w:instrText>
            </w:r>
            <w:r w:rsidR="00A870AA" w:rsidRPr="00A870AA">
              <w:rPr>
                <w:rFonts w:ascii="Times New Roman" w:hAnsi="Times New Roman" w:cs="Times New Roman"/>
                <w:noProof/>
                <w:webHidden/>
                <w:sz w:val="24"/>
                <w:szCs w:val="24"/>
              </w:rPr>
            </w:r>
            <w:r w:rsidR="00A870AA" w:rsidRPr="00A870AA">
              <w:rPr>
                <w:rFonts w:ascii="Times New Roman" w:hAnsi="Times New Roman" w:cs="Times New Roman"/>
                <w:noProof/>
                <w:webHidden/>
                <w:sz w:val="24"/>
                <w:szCs w:val="24"/>
              </w:rPr>
              <w:fldChar w:fldCharType="separate"/>
            </w:r>
            <w:r w:rsidR="00A870AA" w:rsidRPr="00A870AA">
              <w:rPr>
                <w:rFonts w:ascii="Times New Roman" w:hAnsi="Times New Roman" w:cs="Times New Roman"/>
                <w:noProof/>
                <w:webHidden/>
                <w:sz w:val="24"/>
                <w:szCs w:val="24"/>
              </w:rPr>
              <w:t>20</w:t>
            </w:r>
            <w:r w:rsidR="00A870AA" w:rsidRPr="00A870AA">
              <w:rPr>
                <w:rFonts w:ascii="Times New Roman" w:hAnsi="Times New Roman" w:cs="Times New Roman"/>
                <w:noProof/>
                <w:webHidden/>
                <w:sz w:val="24"/>
                <w:szCs w:val="24"/>
              </w:rPr>
              <w:fldChar w:fldCharType="end"/>
            </w:r>
          </w:hyperlink>
        </w:p>
        <w:p w:rsidR="00A870AA" w:rsidRPr="00A870AA" w:rsidRDefault="00627B67" w:rsidP="00A870AA">
          <w:pPr>
            <w:pStyle w:val="TOC2"/>
            <w:tabs>
              <w:tab w:val="right" w:leader="dot" w:pos="9016"/>
            </w:tabs>
            <w:spacing w:line="360" w:lineRule="auto"/>
            <w:jc w:val="both"/>
            <w:rPr>
              <w:rFonts w:ascii="Times New Roman" w:hAnsi="Times New Roman" w:cs="Times New Roman"/>
              <w:noProof/>
              <w:sz w:val="24"/>
              <w:szCs w:val="24"/>
            </w:rPr>
          </w:pPr>
          <w:hyperlink w:anchor="_Toc511995542" w:history="1">
            <w:r w:rsidR="00A870AA" w:rsidRPr="00A870AA">
              <w:rPr>
                <w:rStyle w:val="Hyperlink"/>
                <w:rFonts w:ascii="Times New Roman" w:hAnsi="Times New Roman" w:cs="Times New Roman"/>
                <w:noProof/>
                <w:sz w:val="24"/>
                <w:szCs w:val="24"/>
              </w:rPr>
              <w:t>Ratios analysis calculation of William Hill Plc for period FY2013 to FY2015</w:t>
            </w:r>
            <w:r w:rsidR="00A870AA" w:rsidRPr="00A870AA">
              <w:rPr>
                <w:rFonts w:ascii="Times New Roman" w:hAnsi="Times New Roman" w:cs="Times New Roman"/>
                <w:noProof/>
                <w:webHidden/>
                <w:sz w:val="24"/>
                <w:szCs w:val="24"/>
              </w:rPr>
              <w:tab/>
            </w:r>
            <w:r w:rsidR="00A870AA" w:rsidRPr="00A870AA">
              <w:rPr>
                <w:rFonts w:ascii="Times New Roman" w:hAnsi="Times New Roman" w:cs="Times New Roman"/>
                <w:noProof/>
                <w:webHidden/>
                <w:sz w:val="24"/>
                <w:szCs w:val="24"/>
              </w:rPr>
              <w:fldChar w:fldCharType="begin"/>
            </w:r>
            <w:r w:rsidR="00A870AA" w:rsidRPr="00A870AA">
              <w:rPr>
                <w:rFonts w:ascii="Times New Roman" w:hAnsi="Times New Roman" w:cs="Times New Roman"/>
                <w:noProof/>
                <w:webHidden/>
                <w:sz w:val="24"/>
                <w:szCs w:val="24"/>
              </w:rPr>
              <w:instrText xml:space="preserve"> PAGEREF _Toc511995542 \h </w:instrText>
            </w:r>
            <w:r w:rsidR="00A870AA" w:rsidRPr="00A870AA">
              <w:rPr>
                <w:rFonts w:ascii="Times New Roman" w:hAnsi="Times New Roman" w:cs="Times New Roman"/>
                <w:noProof/>
                <w:webHidden/>
                <w:sz w:val="24"/>
                <w:szCs w:val="24"/>
              </w:rPr>
            </w:r>
            <w:r w:rsidR="00A870AA" w:rsidRPr="00A870AA">
              <w:rPr>
                <w:rFonts w:ascii="Times New Roman" w:hAnsi="Times New Roman" w:cs="Times New Roman"/>
                <w:noProof/>
                <w:webHidden/>
                <w:sz w:val="24"/>
                <w:szCs w:val="24"/>
              </w:rPr>
              <w:fldChar w:fldCharType="separate"/>
            </w:r>
            <w:r w:rsidR="00A870AA" w:rsidRPr="00A870AA">
              <w:rPr>
                <w:rFonts w:ascii="Times New Roman" w:hAnsi="Times New Roman" w:cs="Times New Roman"/>
                <w:noProof/>
                <w:webHidden/>
                <w:sz w:val="24"/>
                <w:szCs w:val="24"/>
              </w:rPr>
              <w:t>20</w:t>
            </w:r>
            <w:r w:rsidR="00A870AA" w:rsidRPr="00A870AA">
              <w:rPr>
                <w:rFonts w:ascii="Times New Roman" w:hAnsi="Times New Roman" w:cs="Times New Roman"/>
                <w:noProof/>
                <w:webHidden/>
                <w:sz w:val="24"/>
                <w:szCs w:val="24"/>
              </w:rPr>
              <w:fldChar w:fldCharType="end"/>
            </w:r>
          </w:hyperlink>
        </w:p>
        <w:p w:rsidR="00A870AA" w:rsidRPr="00A870AA" w:rsidRDefault="00627B67" w:rsidP="00A870AA">
          <w:pPr>
            <w:pStyle w:val="TOC2"/>
            <w:tabs>
              <w:tab w:val="right" w:leader="dot" w:pos="9016"/>
            </w:tabs>
            <w:spacing w:line="360" w:lineRule="auto"/>
            <w:jc w:val="both"/>
            <w:rPr>
              <w:rFonts w:ascii="Times New Roman" w:hAnsi="Times New Roman" w:cs="Times New Roman"/>
              <w:noProof/>
              <w:sz w:val="24"/>
              <w:szCs w:val="24"/>
            </w:rPr>
          </w:pPr>
          <w:hyperlink w:anchor="_Toc511995543" w:history="1">
            <w:r w:rsidR="00A870AA" w:rsidRPr="00A870AA">
              <w:rPr>
                <w:rStyle w:val="Hyperlink"/>
                <w:rFonts w:ascii="Times New Roman" w:hAnsi="Times New Roman" w:cs="Times New Roman"/>
                <w:noProof/>
                <w:sz w:val="24"/>
                <w:szCs w:val="24"/>
              </w:rPr>
              <w:t>Ratios analysis calculation of paddy power betfair plc for period FY2013 to FY2015</w:t>
            </w:r>
            <w:r w:rsidR="00A870AA" w:rsidRPr="00A870AA">
              <w:rPr>
                <w:rFonts w:ascii="Times New Roman" w:hAnsi="Times New Roman" w:cs="Times New Roman"/>
                <w:noProof/>
                <w:webHidden/>
                <w:sz w:val="24"/>
                <w:szCs w:val="24"/>
              </w:rPr>
              <w:tab/>
            </w:r>
            <w:r w:rsidR="00A870AA" w:rsidRPr="00A870AA">
              <w:rPr>
                <w:rFonts w:ascii="Times New Roman" w:hAnsi="Times New Roman" w:cs="Times New Roman"/>
                <w:noProof/>
                <w:webHidden/>
                <w:sz w:val="24"/>
                <w:szCs w:val="24"/>
              </w:rPr>
              <w:fldChar w:fldCharType="begin"/>
            </w:r>
            <w:r w:rsidR="00A870AA" w:rsidRPr="00A870AA">
              <w:rPr>
                <w:rFonts w:ascii="Times New Roman" w:hAnsi="Times New Roman" w:cs="Times New Roman"/>
                <w:noProof/>
                <w:webHidden/>
                <w:sz w:val="24"/>
                <w:szCs w:val="24"/>
              </w:rPr>
              <w:instrText xml:space="preserve"> PAGEREF _Toc511995543 \h </w:instrText>
            </w:r>
            <w:r w:rsidR="00A870AA" w:rsidRPr="00A870AA">
              <w:rPr>
                <w:rFonts w:ascii="Times New Roman" w:hAnsi="Times New Roman" w:cs="Times New Roman"/>
                <w:noProof/>
                <w:webHidden/>
                <w:sz w:val="24"/>
                <w:szCs w:val="24"/>
              </w:rPr>
            </w:r>
            <w:r w:rsidR="00A870AA" w:rsidRPr="00A870AA">
              <w:rPr>
                <w:rFonts w:ascii="Times New Roman" w:hAnsi="Times New Roman" w:cs="Times New Roman"/>
                <w:noProof/>
                <w:webHidden/>
                <w:sz w:val="24"/>
                <w:szCs w:val="24"/>
              </w:rPr>
              <w:fldChar w:fldCharType="separate"/>
            </w:r>
            <w:r w:rsidR="00A870AA" w:rsidRPr="00A870AA">
              <w:rPr>
                <w:rFonts w:ascii="Times New Roman" w:hAnsi="Times New Roman" w:cs="Times New Roman"/>
                <w:noProof/>
                <w:webHidden/>
                <w:sz w:val="24"/>
                <w:szCs w:val="24"/>
              </w:rPr>
              <w:t>21</w:t>
            </w:r>
            <w:r w:rsidR="00A870AA" w:rsidRPr="00A870AA">
              <w:rPr>
                <w:rFonts w:ascii="Times New Roman" w:hAnsi="Times New Roman" w:cs="Times New Roman"/>
                <w:noProof/>
                <w:webHidden/>
                <w:sz w:val="24"/>
                <w:szCs w:val="24"/>
              </w:rPr>
              <w:fldChar w:fldCharType="end"/>
            </w:r>
          </w:hyperlink>
        </w:p>
        <w:p w:rsidR="000E1D43" w:rsidRPr="000E1D43" w:rsidRDefault="000E1D43"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fldChar w:fldCharType="end"/>
          </w:r>
        </w:p>
      </w:sdtContent>
    </w:sdt>
    <w:p w:rsidR="000E1D43" w:rsidRPr="000E1D43" w:rsidRDefault="000E1D43" w:rsidP="000E1D43">
      <w:pPr>
        <w:spacing w:line="360" w:lineRule="auto"/>
        <w:jc w:val="both"/>
        <w:rPr>
          <w:rFonts w:ascii="Times New Roman" w:eastAsiaTheme="majorEastAsia" w:hAnsi="Times New Roman" w:cs="Times New Roman"/>
          <w:b/>
          <w:bCs/>
          <w:color w:val="365F91" w:themeColor="accent1" w:themeShade="BF"/>
          <w:sz w:val="24"/>
          <w:szCs w:val="24"/>
        </w:rPr>
      </w:pPr>
      <w:r w:rsidRPr="000E1D43">
        <w:rPr>
          <w:rFonts w:ascii="Times New Roman" w:hAnsi="Times New Roman" w:cs="Times New Roman"/>
          <w:sz w:val="24"/>
          <w:szCs w:val="24"/>
        </w:rPr>
        <w:br w:type="page"/>
      </w:r>
    </w:p>
    <w:p w:rsidR="00D16933" w:rsidRPr="000E1D43" w:rsidRDefault="00D16933" w:rsidP="000E1D43">
      <w:pPr>
        <w:pStyle w:val="Heading1"/>
        <w:spacing w:line="360" w:lineRule="auto"/>
        <w:jc w:val="both"/>
        <w:rPr>
          <w:rFonts w:ascii="Times New Roman" w:hAnsi="Times New Roman" w:cs="Times New Roman"/>
          <w:sz w:val="24"/>
          <w:szCs w:val="24"/>
        </w:rPr>
      </w:pPr>
    </w:p>
    <w:p w:rsidR="00B45F09" w:rsidRPr="000E1D43" w:rsidRDefault="000E1D43" w:rsidP="000E1D43">
      <w:pPr>
        <w:pStyle w:val="Heading1"/>
        <w:spacing w:line="360" w:lineRule="auto"/>
        <w:jc w:val="both"/>
        <w:rPr>
          <w:rFonts w:ascii="Times New Roman" w:hAnsi="Times New Roman" w:cs="Times New Roman"/>
          <w:sz w:val="24"/>
          <w:szCs w:val="24"/>
        </w:rPr>
      </w:pPr>
      <w:bookmarkStart w:id="1" w:name="_Toc511995530"/>
      <w:r w:rsidRPr="000E1D43">
        <w:rPr>
          <w:rFonts w:ascii="Times New Roman" w:hAnsi="Times New Roman" w:cs="Times New Roman"/>
          <w:sz w:val="24"/>
          <w:szCs w:val="24"/>
        </w:rPr>
        <w:t>1.0 Introduction</w:t>
      </w:r>
      <w:bookmarkEnd w:id="1"/>
    </w:p>
    <w:p w:rsidR="00C67048" w:rsidRPr="000E1D43" w:rsidRDefault="00F547B1"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As </w:t>
      </w:r>
      <w:r w:rsidR="009F6D88" w:rsidRPr="000E1D43">
        <w:rPr>
          <w:rFonts w:ascii="Times New Roman" w:hAnsi="Times New Roman" w:cs="Times New Roman"/>
          <w:sz w:val="24"/>
          <w:szCs w:val="24"/>
        </w:rPr>
        <w:t>studies conducted by the Brigham and Houston, (2012), financial</w:t>
      </w:r>
      <w:r w:rsidR="00334DDA" w:rsidRPr="000E1D43">
        <w:rPr>
          <w:rFonts w:ascii="Times New Roman" w:hAnsi="Times New Roman" w:cs="Times New Roman"/>
          <w:sz w:val="24"/>
          <w:szCs w:val="24"/>
        </w:rPr>
        <w:t xml:space="preserve"> analysis techniques are</w:t>
      </w:r>
      <w:r w:rsidR="00CE1153" w:rsidRPr="000E1D43">
        <w:rPr>
          <w:rFonts w:ascii="Times New Roman" w:hAnsi="Times New Roman" w:cs="Times New Roman"/>
          <w:sz w:val="24"/>
          <w:szCs w:val="24"/>
        </w:rPr>
        <w:t xml:space="preserve"> a judgement process aids the management of the company to find out the change in the trends, relationship </w:t>
      </w:r>
      <w:r w:rsidR="00334DDA" w:rsidRPr="000E1D43">
        <w:rPr>
          <w:rFonts w:ascii="Times New Roman" w:hAnsi="Times New Roman" w:cs="Times New Roman"/>
          <w:sz w:val="24"/>
          <w:szCs w:val="24"/>
        </w:rPr>
        <w:t xml:space="preserve">and investigation of the reason underlying those changes. In order to find out the performance of the company, management of the company mainly </w:t>
      </w:r>
      <w:r w:rsidR="005F6AA9" w:rsidRPr="000E1D43">
        <w:rPr>
          <w:rFonts w:ascii="Times New Roman" w:hAnsi="Times New Roman" w:cs="Times New Roman"/>
          <w:sz w:val="24"/>
          <w:szCs w:val="24"/>
        </w:rPr>
        <w:t>utilized</w:t>
      </w:r>
      <w:r w:rsidR="00334DDA" w:rsidRPr="000E1D43">
        <w:rPr>
          <w:rFonts w:ascii="Times New Roman" w:hAnsi="Times New Roman" w:cs="Times New Roman"/>
          <w:sz w:val="24"/>
          <w:szCs w:val="24"/>
        </w:rPr>
        <w:t xml:space="preserve"> the </w:t>
      </w:r>
      <w:r w:rsidR="005F6AA9" w:rsidRPr="000E1D43">
        <w:rPr>
          <w:rFonts w:ascii="Times New Roman" w:hAnsi="Times New Roman" w:cs="Times New Roman"/>
          <w:sz w:val="24"/>
          <w:szCs w:val="24"/>
        </w:rPr>
        <w:t>ratios</w:t>
      </w:r>
      <w:r w:rsidR="00334DDA" w:rsidRPr="000E1D43">
        <w:rPr>
          <w:rFonts w:ascii="Times New Roman" w:hAnsi="Times New Roman" w:cs="Times New Roman"/>
          <w:sz w:val="24"/>
          <w:szCs w:val="24"/>
        </w:rPr>
        <w:t xml:space="preserve"> analysis techniques </w:t>
      </w:r>
      <w:r w:rsidR="005F6AA9" w:rsidRPr="000E1D43">
        <w:rPr>
          <w:rFonts w:ascii="Times New Roman" w:hAnsi="Times New Roman" w:cs="Times New Roman"/>
          <w:sz w:val="24"/>
          <w:szCs w:val="24"/>
        </w:rPr>
        <w:t>and these ratios are represented in terms of percentage and time. The purpose of the present assignment is to find out the performance and upcoming trend of the organization</w:t>
      </w:r>
      <w:r w:rsidR="004130EE" w:rsidRPr="000E1D43">
        <w:rPr>
          <w:rFonts w:ascii="Times New Roman" w:hAnsi="Times New Roman" w:cs="Times New Roman"/>
          <w:sz w:val="24"/>
          <w:szCs w:val="24"/>
        </w:rPr>
        <w:t xml:space="preserve">, so that Tim Farrow can in </w:t>
      </w:r>
      <w:r w:rsidR="00606996" w:rsidRPr="000E1D43">
        <w:rPr>
          <w:rFonts w:ascii="Times New Roman" w:hAnsi="Times New Roman" w:cs="Times New Roman"/>
          <w:sz w:val="24"/>
          <w:szCs w:val="24"/>
        </w:rPr>
        <w:t xml:space="preserve">the UK travel and leisure sectors. To find out the upcoming trend and performance of both </w:t>
      </w:r>
      <w:r w:rsidR="003C12FE" w:rsidRPr="000E1D43">
        <w:rPr>
          <w:rFonts w:ascii="Times New Roman" w:hAnsi="Times New Roman" w:cs="Times New Roman"/>
          <w:sz w:val="24"/>
          <w:szCs w:val="24"/>
        </w:rPr>
        <w:t>organizations</w:t>
      </w:r>
      <w:r w:rsidR="00606996" w:rsidRPr="000E1D43">
        <w:rPr>
          <w:rFonts w:ascii="Times New Roman" w:hAnsi="Times New Roman" w:cs="Times New Roman"/>
          <w:sz w:val="24"/>
          <w:szCs w:val="24"/>
        </w:rPr>
        <w:t xml:space="preserve"> </w:t>
      </w:r>
      <w:r w:rsidR="003C12FE" w:rsidRPr="000E1D43">
        <w:rPr>
          <w:rFonts w:ascii="Times New Roman" w:hAnsi="Times New Roman" w:cs="Times New Roman"/>
          <w:sz w:val="24"/>
          <w:szCs w:val="24"/>
        </w:rPr>
        <w:t>(</w:t>
      </w:r>
      <w:r w:rsidR="00606996" w:rsidRPr="000E1D43">
        <w:rPr>
          <w:rFonts w:ascii="Times New Roman" w:hAnsi="Times New Roman" w:cs="Times New Roman"/>
          <w:sz w:val="24"/>
          <w:szCs w:val="24"/>
        </w:rPr>
        <w:t xml:space="preserve">William hill </w:t>
      </w:r>
      <w:r w:rsidR="003C12FE" w:rsidRPr="000E1D43">
        <w:rPr>
          <w:rFonts w:ascii="Times New Roman" w:hAnsi="Times New Roman" w:cs="Times New Roman"/>
          <w:sz w:val="24"/>
          <w:szCs w:val="24"/>
        </w:rPr>
        <w:t xml:space="preserve">plc and paddy power Betfair plc) ratios for FY2013 to FY2015 have been computed. </w:t>
      </w:r>
      <w:r w:rsidR="00A3152C" w:rsidRPr="000E1D43">
        <w:rPr>
          <w:rFonts w:ascii="Times New Roman" w:hAnsi="Times New Roman" w:cs="Times New Roman"/>
          <w:sz w:val="24"/>
          <w:szCs w:val="24"/>
        </w:rPr>
        <w:t>For understanding the trends and performance of two organizations profitability</w:t>
      </w:r>
      <w:r w:rsidR="003C12FE" w:rsidRPr="000E1D43">
        <w:rPr>
          <w:rFonts w:ascii="Times New Roman" w:hAnsi="Times New Roman" w:cs="Times New Roman"/>
          <w:sz w:val="24"/>
          <w:szCs w:val="24"/>
        </w:rPr>
        <w:t xml:space="preserve"> ratios, liquidity ratios, gearing ratios and efficiency ratios</w:t>
      </w:r>
      <w:r w:rsidR="00A3152C" w:rsidRPr="000E1D43">
        <w:rPr>
          <w:rFonts w:ascii="Times New Roman" w:hAnsi="Times New Roman" w:cs="Times New Roman"/>
          <w:sz w:val="24"/>
          <w:szCs w:val="24"/>
        </w:rPr>
        <w:t xml:space="preserve"> are computed</w:t>
      </w:r>
      <w:r w:rsidR="00C67048" w:rsidRPr="000E1D43">
        <w:rPr>
          <w:rFonts w:ascii="Times New Roman" w:hAnsi="Times New Roman" w:cs="Times New Roman"/>
          <w:sz w:val="24"/>
          <w:szCs w:val="24"/>
        </w:rPr>
        <w:t xml:space="preserve">. Based on the outcomes and findings an effective recommendation is provided that helps Tim Farrow to invest in the organization in successful manner. </w:t>
      </w:r>
    </w:p>
    <w:p w:rsidR="00E5344F" w:rsidRDefault="00E5344F">
      <w:pPr>
        <w:rPr>
          <w:rFonts w:ascii="Times New Roman" w:eastAsiaTheme="majorEastAsia" w:hAnsi="Times New Roman" w:cs="Times New Roman"/>
          <w:b/>
          <w:bCs/>
          <w:color w:val="4F81BD" w:themeColor="accent1"/>
          <w:sz w:val="24"/>
          <w:szCs w:val="24"/>
        </w:rPr>
      </w:pPr>
      <w:bookmarkStart w:id="2" w:name="_Toc511995531"/>
      <w:r>
        <w:rPr>
          <w:rFonts w:ascii="Times New Roman" w:hAnsi="Times New Roman" w:cs="Times New Roman"/>
          <w:sz w:val="24"/>
          <w:szCs w:val="24"/>
        </w:rPr>
        <w:br w:type="page"/>
      </w:r>
    </w:p>
    <w:p w:rsidR="00C67048" w:rsidRPr="000E1D43" w:rsidRDefault="000E1D43" w:rsidP="000E1D43">
      <w:pPr>
        <w:pStyle w:val="Heading2"/>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lastRenderedPageBreak/>
        <w:t xml:space="preserve">1.0.1 </w:t>
      </w:r>
      <w:r w:rsidR="00C67048" w:rsidRPr="000E1D43">
        <w:rPr>
          <w:rFonts w:ascii="Times New Roman" w:hAnsi="Times New Roman" w:cs="Times New Roman"/>
          <w:sz w:val="24"/>
          <w:szCs w:val="24"/>
        </w:rPr>
        <w:t xml:space="preserve">Background of the William </w:t>
      </w:r>
      <w:r w:rsidR="00A870AA">
        <w:rPr>
          <w:rFonts w:ascii="Times New Roman" w:hAnsi="Times New Roman" w:cs="Times New Roman"/>
          <w:sz w:val="24"/>
          <w:szCs w:val="24"/>
        </w:rPr>
        <w:t xml:space="preserve">Hill </w:t>
      </w:r>
      <w:r w:rsidR="00C67048" w:rsidRPr="000E1D43">
        <w:rPr>
          <w:rFonts w:ascii="Times New Roman" w:hAnsi="Times New Roman" w:cs="Times New Roman"/>
          <w:sz w:val="24"/>
          <w:szCs w:val="24"/>
        </w:rPr>
        <w:t>plc</w:t>
      </w:r>
      <w:bookmarkEnd w:id="2"/>
    </w:p>
    <w:p w:rsidR="006D6D7E" w:rsidRPr="000E1D43" w:rsidRDefault="006D6D7E" w:rsidP="000E1D43">
      <w:pPr>
        <w:spacing w:line="360" w:lineRule="auto"/>
        <w:jc w:val="both"/>
        <w:rPr>
          <w:rFonts w:ascii="Times New Roman" w:hAnsi="Times New Roman" w:cs="Times New Roman"/>
          <w:b/>
          <w:sz w:val="24"/>
          <w:szCs w:val="24"/>
        </w:rPr>
      </w:pPr>
      <w:r w:rsidRPr="000E1D43">
        <w:rPr>
          <w:rFonts w:ascii="Times New Roman" w:hAnsi="Times New Roman" w:cs="Times New Roman"/>
          <w:b/>
          <w:sz w:val="24"/>
          <w:szCs w:val="24"/>
        </w:rPr>
        <w:t xml:space="preserve">Introduction </w:t>
      </w:r>
      <w:r w:rsidR="00BC02D1" w:rsidRPr="000E1D43">
        <w:rPr>
          <w:rFonts w:ascii="Times New Roman" w:hAnsi="Times New Roman" w:cs="Times New Roman"/>
          <w:b/>
          <w:sz w:val="24"/>
          <w:szCs w:val="24"/>
        </w:rPr>
        <w:t xml:space="preserve">and background </w:t>
      </w:r>
    </w:p>
    <w:p w:rsidR="00E5344F" w:rsidRDefault="006D6D7E"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William hill is one of the leading gaming and betting companies, working above than 17000 people. </w:t>
      </w:r>
      <w:r w:rsidR="004605C4" w:rsidRPr="000E1D43">
        <w:rPr>
          <w:rFonts w:ascii="Times New Roman" w:hAnsi="Times New Roman" w:cs="Times New Roman"/>
          <w:sz w:val="24"/>
          <w:szCs w:val="24"/>
        </w:rPr>
        <w:t xml:space="preserve">The organization was established in the year of 1934 by William hill at that time when gambling was illegal in UK. In the year of 2002, the organization was listed in London Stock Exchange. </w:t>
      </w:r>
      <w:r w:rsidR="00754377" w:rsidRPr="000E1D43">
        <w:rPr>
          <w:rFonts w:ascii="Times New Roman" w:hAnsi="Times New Roman" w:cs="Times New Roman"/>
          <w:sz w:val="24"/>
          <w:szCs w:val="24"/>
        </w:rPr>
        <w:t>According to the organization’s latest key financial statement, it is seen that in year of 2017 the organization achieved £</w:t>
      </w:r>
      <w:r w:rsidR="00911250" w:rsidRPr="000E1D43">
        <w:rPr>
          <w:rFonts w:ascii="Times New Roman" w:hAnsi="Times New Roman" w:cs="Times New Roman"/>
          <w:sz w:val="24"/>
          <w:szCs w:val="24"/>
        </w:rPr>
        <w:t xml:space="preserve">1711.1 million revenues, £291.3 million operating income and £83.2 million net income. </w:t>
      </w:r>
      <w:r w:rsidR="00EF2034" w:rsidRPr="000E1D43">
        <w:rPr>
          <w:rFonts w:ascii="Times New Roman" w:hAnsi="Times New Roman" w:cs="Times New Roman"/>
          <w:sz w:val="24"/>
          <w:szCs w:val="24"/>
        </w:rPr>
        <w:t xml:space="preserve">In year of 2008, William hill combine with the internet business with purchase assets from the organization online software </w:t>
      </w:r>
      <w:r w:rsidR="007C6F88" w:rsidRPr="000E1D43">
        <w:rPr>
          <w:rFonts w:ascii="Times New Roman" w:hAnsi="Times New Roman" w:cs="Times New Roman"/>
          <w:sz w:val="24"/>
          <w:szCs w:val="24"/>
        </w:rPr>
        <w:t>company playtect to make William hill online</w:t>
      </w:r>
      <w:r w:rsidR="00A81CB5" w:rsidRPr="000E1D43">
        <w:rPr>
          <w:rFonts w:ascii="Times New Roman" w:hAnsi="Times New Roman" w:cs="Times New Roman"/>
          <w:sz w:val="24"/>
          <w:szCs w:val="24"/>
        </w:rPr>
        <w:t xml:space="preserve"> (williamhillplc, 2018)</w:t>
      </w:r>
      <w:r w:rsidR="00BC02D1" w:rsidRPr="000E1D43">
        <w:rPr>
          <w:rFonts w:ascii="Times New Roman" w:hAnsi="Times New Roman" w:cs="Times New Roman"/>
          <w:sz w:val="24"/>
          <w:szCs w:val="24"/>
        </w:rPr>
        <w:t xml:space="preserve">. After that the organization was first United Kingdom organization to launch online betting business.  </w:t>
      </w:r>
      <w:r w:rsidR="007C6F88" w:rsidRPr="000E1D43">
        <w:rPr>
          <w:rFonts w:ascii="Times New Roman" w:hAnsi="Times New Roman" w:cs="Times New Roman"/>
          <w:sz w:val="24"/>
          <w:szCs w:val="24"/>
        </w:rPr>
        <w:t xml:space="preserve">  </w:t>
      </w:r>
      <w:r w:rsidR="00EF2034" w:rsidRPr="000E1D43">
        <w:rPr>
          <w:rFonts w:ascii="Times New Roman" w:hAnsi="Times New Roman" w:cs="Times New Roman"/>
          <w:sz w:val="24"/>
          <w:szCs w:val="24"/>
        </w:rPr>
        <w:t xml:space="preserve"> </w:t>
      </w:r>
    </w:p>
    <w:p w:rsidR="006D6D7E" w:rsidRPr="000E1D43" w:rsidRDefault="00E5344F" w:rsidP="000E1D4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136724" cy="2445489"/>
            <wp:effectExtent l="1905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143913" cy="2448354"/>
                    </a:xfrm>
                    <a:prstGeom prst="rect">
                      <a:avLst/>
                    </a:prstGeom>
                    <a:noFill/>
                    <a:ln w="9525">
                      <a:noFill/>
                      <a:miter lim="800000"/>
                      <a:headEnd/>
                      <a:tailEnd/>
                    </a:ln>
                  </pic:spPr>
                </pic:pic>
              </a:graphicData>
            </a:graphic>
          </wp:inline>
        </w:drawing>
      </w:r>
      <w:r w:rsidR="00754377" w:rsidRPr="000E1D43">
        <w:rPr>
          <w:rFonts w:ascii="Times New Roman" w:hAnsi="Times New Roman" w:cs="Times New Roman"/>
          <w:sz w:val="24"/>
          <w:szCs w:val="24"/>
        </w:rPr>
        <w:t xml:space="preserve"> </w:t>
      </w:r>
      <w:r w:rsidR="006D6D7E" w:rsidRPr="000E1D43">
        <w:rPr>
          <w:rFonts w:ascii="Times New Roman" w:hAnsi="Times New Roman" w:cs="Times New Roman"/>
          <w:sz w:val="24"/>
          <w:szCs w:val="24"/>
        </w:rPr>
        <w:t xml:space="preserve"> </w:t>
      </w:r>
    </w:p>
    <w:p w:rsidR="00533870" w:rsidRPr="000E1D43" w:rsidRDefault="00533870" w:rsidP="000E1D43">
      <w:pPr>
        <w:spacing w:line="360" w:lineRule="auto"/>
        <w:jc w:val="both"/>
        <w:rPr>
          <w:rFonts w:ascii="Times New Roman" w:hAnsi="Times New Roman" w:cs="Times New Roman"/>
          <w:b/>
          <w:sz w:val="24"/>
          <w:szCs w:val="24"/>
        </w:rPr>
      </w:pPr>
      <w:r w:rsidRPr="000E1D43">
        <w:rPr>
          <w:rFonts w:ascii="Times New Roman" w:hAnsi="Times New Roman" w:cs="Times New Roman"/>
          <w:b/>
          <w:sz w:val="24"/>
          <w:szCs w:val="24"/>
        </w:rPr>
        <w:t xml:space="preserve">Growth </w:t>
      </w:r>
    </w:p>
    <w:p w:rsidR="00533870" w:rsidRPr="000E1D43" w:rsidRDefault="00533870"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As the organization successfully shift to mobile, the profit of mobile sports book has been increased about 24% to 36% in the year of 2015 by leading strong internet growth</w:t>
      </w:r>
      <w:r w:rsidR="001E3C39" w:rsidRPr="000E1D43">
        <w:rPr>
          <w:rFonts w:ascii="Times New Roman" w:hAnsi="Times New Roman" w:cs="Times New Roman"/>
          <w:sz w:val="24"/>
          <w:szCs w:val="24"/>
        </w:rPr>
        <w:t xml:space="preserve">. Moreover, the organization net </w:t>
      </w:r>
      <w:r w:rsidR="00BD0D6E" w:rsidRPr="000E1D43">
        <w:rPr>
          <w:rFonts w:ascii="Times New Roman" w:hAnsi="Times New Roman" w:cs="Times New Roman"/>
          <w:sz w:val="24"/>
          <w:szCs w:val="24"/>
        </w:rPr>
        <w:t>revenues of group have</w:t>
      </w:r>
      <w:r w:rsidR="001E3C39" w:rsidRPr="000E1D43">
        <w:rPr>
          <w:rFonts w:ascii="Times New Roman" w:hAnsi="Times New Roman" w:cs="Times New Roman"/>
          <w:sz w:val="24"/>
          <w:szCs w:val="24"/>
        </w:rPr>
        <w:t xml:space="preserve"> been reduced by one percentage which signifies by the lack of international football game in same period</w:t>
      </w:r>
      <w:r w:rsidR="00BD0D6E" w:rsidRPr="000E1D43">
        <w:rPr>
          <w:rFonts w:ascii="Times New Roman" w:hAnsi="Times New Roman" w:cs="Times New Roman"/>
          <w:sz w:val="24"/>
          <w:szCs w:val="24"/>
        </w:rPr>
        <w:t>.</w:t>
      </w:r>
      <w:r w:rsidR="004F12CB" w:rsidRPr="000E1D43">
        <w:rPr>
          <w:rFonts w:ascii="Times New Roman" w:hAnsi="Times New Roman" w:cs="Times New Roman"/>
          <w:sz w:val="24"/>
          <w:szCs w:val="24"/>
        </w:rPr>
        <w:t xml:space="preserve"> William hill plc share in market has dropped more than 13% after the organization has cautioned of approximately 25 million pound fall in internet benefits in FY2016.   </w:t>
      </w:r>
      <w:r w:rsidR="00BD0D6E" w:rsidRPr="000E1D43">
        <w:rPr>
          <w:rFonts w:ascii="Times New Roman" w:hAnsi="Times New Roman" w:cs="Times New Roman"/>
          <w:sz w:val="24"/>
          <w:szCs w:val="24"/>
        </w:rPr>
        <w:t>On the other hand, internet net profits decline under the impact of the effect by organization</w:t>
      </w:r>
      <w:r w:rsidR="00C42A5A" w:rsidRPr="000E1D43">
        <w:rPr>
          <w:rFonts w:ascii="Times New Roman" w:hAnsi="Times New Roman" w:cs="Times New Roman"/>
          <w:sz w:val="24"/>
          <w:szCs w:val="24"/>
        </w:rPr>
        <w:t xml:space="preserve"> in non-</w:t>
      </w:r>
      <w:r w:rsidR="00BD0D6E" w:rsidRPr="000E1D43">
        <w:rPr>
          <w:rFonts w:ascii="Times New Roman" w:hAnsi="Times New Roman" w:cs="Times New Roman"/>
          <w:sz w:val="24"/>
          <w:szCs w:val="24"/>
        </w:rPr>
        <w:t xml:space="preserve">core market.   </w:t>
      </w:r>
      <w:r w:rsidR="001E3C39" w:rsidRPr="000E1D43">
        <w:rPr>
          <w:rFonts w:ascii="Times New Roman" w:hAnsi="Times New Roman" w:cs="Times New Roman"/>
          <w:sz w:val="24"/>
          <w:szCs w:val="24"/>
        </w:rPr>
        <w:t xml:space="preserve">  </w:t>
      </w:r>
      <w:r w:rsidRPr="000E1D43">
        <w:rPr>
          <w:rFonts w:ascii="Times New Roman" w:hAnsi="Times New Roman" w:cs="Times New Roman"/>
          <w:sz w:val="24"/>
          <w:szCs w:val="24"/>
        </w:rPr>
        <w:t xml:space="preserve">   </w:t>
      </w:r>
    </w:p>
    <w:p w:rsidR="004F12CB" w:rsidRPr="000E1D43" w:rsidRDefault="004F12CB" w:rsidP="000E1D43">
      <w:pPr>
        <w:spacing w:line="360" w:lineRule="auto"/>
        <w:jc w:val="both"/>
        <w:rPr>
          <w:rFonts w:ascii="Times New Roman" w:hAnsi="Times New Roman" w:cs="Times New Roman"/>
          <w:sz w:val="24"/>
          <w:szCs w:val="24"/>
        </w:rPr>
      </w:pPr>
    </w:p>
    <w:p w:rsidR="006D6D7E" w:rsidRPr="000E1D43" w:rsidRDefault="000E1D43" w:rsidP="000E1D43">
      <w:pPr>
        <w:pStyle w:val="Heading2"/>
        <w:spacing w:line="360" w:lineRule="auto"/>
        <w:jc w:val="both"/>
        <w:rPr>
          <w:rFonts w:ascii="Times New Roman" w:hAnsi="Times New Roman" w:cs="Times New Roman"/>
          <w:sz w:val="24"/>
          <w:szCs w:val="24"/>
        </w:rPr>
      </w:pPr>
      <w:bookmarkStart w:id="3" w:name="_Toc511995532"/>
      <w:r w:rsidRPr="000E1D43">
        <w:rPr>
          <w:rFonts w:ascii="Times New Roman" w:hAnsi="Times New Roman" w:cs="Times New Roman"/>
          <w:sz w:val="24"/>
          <w:szCs w:val="24"/>
        </w:rPr>
        <w:lastRenderedPageBreak/>
        <w:t xml:space="preserve">1.0.2 </w:t>
      </w:r>
      <w:r w:rsidR="007157D8" w:rsidRPr="000E1D43">
        <w:rPr>
          <w:rFonts w:ascii="Times New Roman" w:hAnsi="Times New Roman" w:cs="Times New Roman"/>
          <w:sz w:val="24"/>
          <w:szCs w:val="24"/>
        </w:rPr>
        <w:t xml:space="preserve">Introduction </w:t>
      </w:r>
      <w:r w:rsidR="004605C4" w:rsidRPr="000E1D43">
        <w:rPr>
          <w:rFonts w:ascii="Times New Roman" w:hAnsi="Times New Roman" w:cs="Times New Roman"/>
          <w:sz w:val="24"/>
          <w:szCs w:val="24"/>
        </w:rPr>
        <w:t xml:space="preserve">Paddy </w:t>
      </w:r>
      <w:r w:rsidR="00F00DAD" w:rsidRPr="000E1D43">
        <w:rPr>
          <w:rFonts w:ascii="Times New Roman" w:hAnsi="Times New Roman" w:cs="Times New Roman"/>
          <w:sz w:val="24"/>
          <w:szCs w:val="24"/>
        </w:rPr>
        <w:t>Power</w:t>
      </w:r>
      <w:r w:rsidR="004605C4" w:rsidRPr="000E1D43">
        <w:rPr>
          <w:rFonts w:ascii="Times New Roman" w:hAnsi="Times New Roman" w:cs="Times New Roman"/>
          <w:sz w:val="24"/>
          <w:szCs w:val="24"/>
        </w:rPr>
        <w:t xml:space="preserve"> </w:t>
      </w:r>
      <w:r w:rsidR="00F00DAD" w:rsidRPr="000E1D43">
        <w:rPr>
          <w:rFonts w:ascii="Times New Roman" w:hAnsi="Times New Roman" w:cs="Times New Roman"/>
          <w:sz w:val="24"/>
          <w:szCs w:val="24"/>
        </w:rPr>
        <w:t>Bet</w:t>
      </w:r>
      <w:r w:rsidR="004605C4" w:rsidRPr="000E1D43">
        <w:rPr>
          <w:rFonts w:ascii="Times New Roman" w:hAnsi="Times New Roman" w:cs="Times New Roman"/>
          <w:sz w:val="24"/>
          <w:szCs w:val="24"/>
        </w:rPr>
        <w:t>fair plc</w:t>
      </w:r>
      <w:bookmarkEnd w:id="3"/>
      <w:r w:rsidR="004605C4" w:rsidRPr="000E1D43">
        <w:rPr>
          <w:rFonts w:ascii="Times New Roman" w:hAnsi="Times New Roman" w:cs="Times New Roman"/>
          <w:sz w:val="24"/>
          <w:szCs w:val="24"/>
        </w:rPr>
        <w:t xml:space="preserve"> </w:t>
      </w:r>
    </w:p>
    <w:p w:rsidR="007A7530" w:rsidRDefault="00C67048"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 </w:t>
      </w:r>
      <w:r w:rsidR="00F00DAD" w:rsidRPr="000E1D43">
        <w:rPr>
          <w:rFonts w:ascii="Times New Roman" w:hAnsi="Times New Roman" w:cs="Times New Roman"/>
          <w:sz w:val="24"/>
          <w:szCs w:val="24"/>
        </w:rPr>
        <w:t>Paddy power Betfair is the bookmaking organization made by the merger of the paddy power and Betfair. The organization is operated in under several branded including TVG, Sportsbet, Paddy power and Betfair. According the organization present financial report, it is seen that in year of FY2017 the organization revenue was £1745.4 million and operating income was £391.9 million</w:t>
      </w:r>
      <w:r w:rsidR="00734C81" w:rsidRPr="000E1D43">
        <w:rPr>
          <w:rFonts w:ascii="Times New Roman" w:eastAsia="Times New Roman" w:hAnsi="Times New Roman" w:cs="Times New Roman"/>
          <w:color w:val="000000"/>
          <w:sz w:val="24"/>
          <w:szCs w:val="24"/>
        </w:rPr>
        <w:t xml:space="preserve"> (paddypowerbetfair</w:t>
      </w:r>
      <w:r w:rsidR="00D74212" w:rsidRPr="000E1D43">
        <w:rPr>
          <w:rFonts w:ascii="Times New Roman" w:eastAsia="Times New Roman" w:hAnsi="Times New Roman" w:cs="Times New Roman"/>
          <w:color w:val="000000"/>
          <w:sz w:val="24"/>
          <w:szCs w:val="24"/>
        </w:rPr>
        <w:t>, 2018</w:t>
      </w:r>
      <w:r w:rsidR="00734C81" w:rsidRPr="00D942A8">
        <w:rPr>
          <w:rFonts w:ascii="Times New Roman" w:eastAsia="Times New Roman" w:hAnsi="Times New Roman" w:cs="Times New Roman"/>
          <w:color w:val="000000"/>
          <w:sz w:val="24"/>
          <w:szCs w:val="24"/>
        </w:rPr>
        <w:t>)</w:t>
      </w:r>
      <w:r w:rsidR="00F00DAD" w:rsidRPr="000E1D43">
        <w:rPr>
          <w:rFonts w:ascii="Times New Roman" w:hAnsi="Times New Roman" w:cs="Times New Roman"/>
          <w:sz w:val="24"/>
          <w:szCs w:val="24"/>
        </w:rPr>
        <w:t xml:space="preserve">. </w:t>
      </w:r>
      <w:r w:rsidR="001F321B" w:rsidRPr="000E1D43">
        <w:rPr>
          <w:rFonts w:ascii="Times New Roman" w:hAnsi="Times New Roman" w:cs="Times New Roman"/>
          <w:sz w:val="24"/>
          <w:szCs w:val="24"/>
        </w:rPr>
        <w:t>Therefore from the findings it can be seen that performance in terms or revenues was increased from FY2016 to FY2017 by 13</w:t>
      </w:r>
      <w:r w:rsidR="00E752FE" w:rsidRPr="000E1D43">
        <w:rPr>
          <w:rFonts w:ascii="Times New Roman" w:hAnsi="Times New Roman" w:cs="Times New Roman"/>
          <w:sz w:val="24"/>
          <w:szCs w:val="24"/>
        </w:rPr>
        <w:t>% [</w:t>
      </w:r>
      <w:r w:rsidR="001F321B" w:rsidRPr="000E1D43">
        <w:rPr>
          <w:rFonts w:ascii="Times New Roman" w:hAnsi="Times New Roman" w:cs="Times New Roman"/>
          <w:sz w:val="24"/>
          <w:szCs w:val="24"/>
        </w:rPr>
        <w:t>FY2016= £1551m, FY2017=£</w:t>
      </w:r>
      <w:r w:rsidR="00E752FE" w:rsidRPr="000E1D43">
        <w:rPr>
          <w:rFonts w:ascii="Times New Roman" w:hAnsi="Times New Roman" w:cs="Times New Roman"/>
          <w:sz w:val="24"/>
          <w:szCs w:val="24"/>
        </w:rPr>
        <w:t>1745.4m]. In addition to this, underlying operating profit is increased by 19</w:t>
      </w:r>
      <w:r w:rsidR="00D74212" w:rsidRPr="000E1D43">
        <w:rPr>
          <w:rFonts w:ascii="Times New Roman" w:hAnsi="Times New Roman" w:cs="Times New Roman"/>
          <w:sz w:val="24"/>
          <w:szCs w:val="24"/>
        </w:rPr>
        <w:t>% [</w:t>
      </w:r>
      <w:r w:rsidR="00D74212">
        <w:rPr>
          <w:rFonts w:ascii="Times New Roman" w:hAnsi="Times New Roman" w:cs="Times New Roman"/>
          <w:sz w:val="24"/>
          <w:szCs w:val="24"/>
        </w:rPr>
        <w:t>FY2016</w:t>
      </w:r>
      <w:r w:rsidR="00D74212" w:rsidRPr="000E1D43">
        <w:rPr>
          <w:rFonts w:ascii="Times New Roman" w:hAnsi="Times New Roman" w:cs="Times New Roman"/>
          <w:sz w:val="24"/>
          <w:szCs w:val="24"/>
        </w:rPr>
        <w:t>=</w:t>
      </w:r>
      <w:r w:rsidR="00E752FE" w:rsidRPr="000E1D43">
        <w:rPr>
          <w:rFonts w:ascii="Times New Roman" w:hAnsi="Times New Roman" w:cs="Times New Roman"/>
          <w:sz w:val="24"/>
          <w:szCs w:val="24"/>
        </w:rPr>
        <w:t xml:space="preserve"> £330m, FY2017=£392] and underlying EBITDA margin is increased by 1.3% respectively.    </w:t>
      </w:r>
    </w:p>
    <w:p w:rsidR="00D74212" w:rsidRPr="000E1D43" w:rsidRDefault="00D74212" w:rsidP="000E1D4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688330" cy="3625850"/>
            <wp:effectExtent l="19050" t="0" r="7620" b="0"/>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688330" cy="3625850"/>
                    </a:xfrm>
                    <a:prstGeom prst="rect">
                      <a:avLst/>
                    </a:prstGeom>
                    <a:noFill/>
                    <a:ln w="9525">
                      <a:noFill/>
                      <a:miter lim="800000"/>
                      <a:headEnd/>
                      <a:tailEnd/>
                    </a:ln>
                  </pic:spPr>
                </pic:pic>
              </a:graphicData>
            </a:graphic>
          </wp:inline>
        </w:drawing>
      </w:r>
    </w:p>
    <w:p w:rsidR="006E1273" w:rsidRPr="000E1D43" w:rsidRDefault="006E1273" w:rsidP="000E1D43">
      <w:pPr>
        <w:spacing w:line="360" w:lineRule="auto"/>
        <w:jc w:val="both"/>
        <w:rPr>
          <w:rFonts w:ascii="Times New Roman" w:hAnsi="Times New Roman" w:cs="Times New Roman"/>
          <w:b/>
          <w:sz w:val="24"/>
          <w:szCs w:val="24"/>
        </w:rPr>
      </w:pPr>
      <w:r w:rsidRPr="000E1D43">
        <w:rPr>
          <w:rFonts w:ascii="Times New Roman" w:hAnsi="Times New Roman" w:cs="Times New Roman"/>
          <w:b/>
          <w:sz w:val="24"/>
          <w:szCs w:val="24"/>
        </w:rPr>
        <w:t xml:space="preserve">Performance of the organization </w:t>
      </w:r>
    </w:p>
    <w:p w:rsidR="00FC6384" w:rsidRDefault="006E1273"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Considering </w:t>
      </w:r>
      <w:r w:rsidR="00C05108" w:rsidRPr="000E1D43">
        <w:rPr>
          <w:rFonts w:ascii="Times New Roman" w:hAnsi="Times New Roman" w:cs="Times New Roman"/>
          <w:sz w:val="24"/>
          <w:szCs w:val="24"/>
        </w:rPr>
        <w:t>the performance of the organization, paddy power betfair plc is performing well in the last three months till mid of the December. Moreover the online gaming stakes has been increased up to 23%</w:t>
      </w:r>
      <w:r w:rsidR="000E5B80" w:rsidRPr="000E1D43">
        <w:rPr>
          <w:rFonts w:ascii="Times New Roman" w:hAnsi="Times New Roman" w:cs="Times New Roman"/>
          <w:sz w:val="24"/>
          <w:szCs w:val="24"/>
        </w:rPr>
        <w:t xml:space="preserve"> whereas online add up to net income increase about 7%. As the mid November 2015, the organization control had net obligation of 96m euro</w:t>
      </w:r>
      <w:r w:rsidR="00FC6384" w:rsidRPr="000E1D43">
        <w:rPr>
          <w:rFonts w:ascii="Times New Roman" w:hAnsi="Times New Roman" w:cs="Times New Roman"/>
          <w:sz w:val="24"/>
          <w:szCs w:val="24"/>
        </w:rPr>
        <w:t xml:space="preserve"> that is comparable to its FY2014 profit before assessment, intrigue, amortisation and deterioration. </w:t>
      </w:r>
    </w:p>
    <w:p w:rsidR="00D74212" w:rsidRPr="000E1D43" w:rsidRDefault="00D74212" w:rsidP="000E1D43">
      <w:pPr>
        <w:spacing w:line="360" w:lineRule="auto"/>
        <w:jc w:val="both"/>
        <w:rPr>
          <w:rFonts w:ascii="Times New Roman" w:hAnsi="Times New Roman" w:cs="Times New Roman"/>
          <w:sz w:val="24"/>
          <w:szCs w:val="24"/>
        </w:rPr>
      </w:pPr>
      <w:r w:rsidRPr="00D74212">
        <w:rPr>
          <w:rFonts w:ascii="Times New Roman" w:hAnsi="Times New Roman" w:cs="Times New Roman"/>
          <w:noProof/>
          <w:sz w:val="24"/>
          <w:szCs w:val="24"/>
        </w:rPr>
        <w:lastRenderedPageBreak/>
        <w:drawing>
          <wp:inline distT="0" distB="0" distL="0" distR="0">
            <wp:extent cx="2828925" cy="2733675"/>
            <wp:effectExtent l="19050" t="0" r="9525"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28925" cy="2733675"/>
                    </a:xfrm>
                    <a:prstGeom prst="rect">
                      <a:avLst/>
                    </a:prstGeom>
                    <a:noFill/>
                    <a:ln w="9525">
                      <a:noFill/>
                      <a:miter lim="800000"/>
                      <a:headEnd/>
                      <a:tailEnd/>
                    </a:ln>
                  </pic:spPr>
                </pic:pic>
              </a:graphicData>
            </a:graphic>
          </wp:inline>
        </w:drawing>
      </w:r>
      <w:r w:rsidRPr="00D74212">
        <w:rPr>
          <w:rFonts w:ascii="Times New Roman" w:hAnsi="Times New Roman" w:cs="Times New Roman"/>
          <w:noProof/>
          <w:sz w:val="24"/>
          <w:szCs w:val="24"/>
        </w:rPr>
        <w:t xml:space="preserve"> </w:t>
      </w:r>
      <w:r w:rsidRPr="00D74212">
        <w:rPr>
          <w:rFonts w:ascii="Times New Roman" w:hAnsi="Times New Roman" w:cs="Times New Roman"/>
          <w:noProof/>
          <w:sz w:val="24"/>
          <w:szCs w:val="24"/>
        </w:rPr>
        <w:drawing>
          <wp:inline distT="0" distB="0" distL="0" distR="0">
            <wp:extent cx="1857375" cy="2828925"/>
            <wp:effectExtent l="19050" t="0" r="9525"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857375" cy="2828925"/>
                    </a:xfrm>
                    <a:prstGeom prst="rect">
                      <a:avLst/>
                    </a:prstGeom>
                    <a:noFill/>
                    <a:ln w="9525">
                      <a:noFill/>
                      <a:miter lim="800000"/>
                      <a:headEnd/>
                      <a:tailEnd/>
                    </a:ln>
                  </pic:spPr>
                </pic:pic>
              </a:graphicData>
            </a:graphic>
          </wp:inline>
        </w:drawing>
      </w:r>
    </w:p>
    <w:p w:rsidR="00FC6384" w:rsidRPr="000E1D43" w:rsidRDefault="00FC6384" w:rsidP="000E1D43">
      <w:pPr>
        <w:spacing w:line="360" w:lineRule="auto"/>
        <w:jc w:val="both"/>
        <w:rPr>
          <w:rFonts w:ascii="Times New Roman" w:hAnsi="Times New Roman" w:cs="Times New Roman"/>
          <w:b/>
          <w:sz w:val="24"/>
          <w:szCs w:val="24"/>
        </w:rPr>
      </w:pPr>
      <w:r w:rsidRPr="000E1D43">
        <w:rPr>
          <w:rFonts w:ascii="Times New Roman" w:hAnsi="Times New Roman" w:cs="Times New Roman"/>
          <w:b/>
          <w:sz w:val="24"/>
          <w:szCs w:val="24"/>
        </w:rPr>
        <w:t xml:space="preserve">Products of Paddy power betfair plc </w:t>
      </w:r>
    </w:p>
    <w:p w:rsidR="00FC6384" w:rsidRPr="000E1D43" w:rsidRDefault="00FC6384"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Online bingo </w:t>
      </w:r>
    </w:p>
    <w:p w:rsidR="00FC6384" w:rsidRPr="000E1D43" w:rsidRDefault="00FC6384"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Online casino </w:t>
      </w:r>
    </w:p>
    <w:p w:rsidR="00FC6384" w:rsidRPr="000E1D43" w:rsidRDefault="00FC6384"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Online poker </w:t>
      </w:r>
    </w:p>
    <w:p w:rsidR="006E1273" w:rsidRPr="000E1D43" w:rsidRDefault="00FC6384"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Sports betting         </w:t>
      </w:r>
      <w:r w:rsidR="000E5B80" w:rsidRPr="000E1D43">
        <w:rPr>
          <w:rFonts w:ascii="Times New Roman" w:hAnsi="Times New Roman" w:cs="Times New Roman"/>
          <w:sz w:val="24"/>
          <w:szCs w:val="24"/>
        </w:rPr>
        <w:t xml:space="preserve"> </w:t>
      </w:r>
      <w:r w:rsidR="00C05108" w:rsidRPr="000E1D43">
        <w:rPr>
          <w:rFonts w:ascii="Times New Roman" w:hAnsi="Times New Roman" w:cs="Times New Roman"/>
          <w:sz w:val="24"/>
          <w:szCs w:val="24"/>
        </w:rPr>
        <w:t xml:space="preserve">   </w:t>
      </w:r>
      <w:r w:rsidR="006E1273" w:rsidRPr="000E1D43">
        <w:rPr>
          <w:rFonts w:ascii="Times New Roman" w:hAnsi="Times New Roman" w:cs="Times New Roman"/>
          <w:sz w:val="24"/>
          <w:szCs w:val="24"/>
        </w:rPr>
        <w:t xml:space="preserve"> </w:t>
      </w:r>
    </w:p>
    <w:p w:rsidR="00493D48" w:rsidRPr="000E1D43" w:rsidRDefault="007A7530"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Therefore analysing above financial highlights it is more difficult for financial analysts or investors to determine out that which organization is performing well and involving less risks. Thus to analyze the performance </w:t>
      </w:r>
      <w:r w:rsidR="00C7640A" w:rsidRPr="000E1D43">
        <w:rPr>
          <w:rFonts w:ascii="Times New Roman" w:hAnsi="Times New Roman" w:cs="Times New Roman"/>
          <w:sz w:val="24"/>
          <w:szCs w:val="24"/>
        </w:rPr>
        <w:t xml:space="preserve">of the company financial ratios analysis have been performed.   </w:t>
      </w:r>
      <w:r w:rsidRPr="000E1D43">
        <w:rPr>
          <w:rFonts w:ascii="Times New Roman" w:hAnsi="Times New Roman" w:cs="Times New Roman"/>
          <w:sz w:val="24"/>
          <w:szCs w:val="24"/>
        </w:rPr>
        <w:t xml:space="preserve"> </w:t>
      </w:r>
    </w:p>
    <w:p w:rsidR="00F6144C" w:rsidRPr="000E1D43" w:rsidRDefault="000E1D43" w:rsidP="000E1D43">
      <w:pPr>
        <w:pStyle w:val="Heading1"/>
        <w:spacing w:line="360" w:lineRule="auto"/>
        <w:jc w:val="both"/>
        <w:rPr>
          <w:rFonts w:ascii="Times New Roman" w:hAnsi="Times New Roman" w:cs="Times New Roman"/>
          <w:sz w:val="24"/>
          <w:szCs w:val="24"/>
        </w:rPr>
      </w:pPr>
      <w:bookmarkStart w:id="4" w:name="_Toc511995533"/>
      <w:r w:rsidRPr="000E1D43">
        <w:rPr>
          <w:rFonts w:ascii="Times New Roman" w:hAnsi="Times New Roman" w:cs="Times New Roman"/>
          <w:sz w:val="24"/>
          <w:szCs w:val="24"/>
        </w:rPr>
        <w:t xml:space="preserve">1.2 </w:t>
      </w:r>
      <w:r w:rsidR="00F6144C" w:rsidRPr="000E1D43">
        <w:rPr>
          <w:rFonts w:ascii="Times New Roman" w:hAnsi="Times New Roman" w:cs="Times New Roman"/>
          <w:sz w:val="24"/>
          <w:szCs w:val="24"/>
        </w:rPr>
        <w:t>Ratios analysis</w:t>
      </w:r>
      <w:bookmarkEnd w:id="4"/>
      <w:r w:rsidR="00F6144C" w:rsidRPr="000E1D43">
        <w:rPr>
          <w:rFonts w:ascii="Times New Roman" w:hAnsi="Times New Roman" w:cs="Times New Roman"/>
          <w:sz w:val="24"/>
          <w:szCs w:val="24"/>
        </w:rPr>
        <w:t xml:space="preserve"> </w:t>
      </w:r>
    </w:p>
    <w:p w:rsidR="000B2395" w:rsidRPr="000E1D43" w:rsidRDefault="00490CA3"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Ratios analysis techniques help</w:t>
      </w:r>
      <w:r w:rsidR="00F6144C" w:rsidRPr="000E1D43">
        <w:rPr>
          <w:rFonts w:ascii="Times New Roman" w:hAnsi="Times New Roman" w:cs="Times New Roman"/>
          <w:sz w:val="24"/>
          <w:szCs w:val="24"/>
        </w:rPr>
        <w:t xml:space="preserve"> the financial analysts to find out the performance trends, reliability</w:t>
      </w:r>
      <w:r w:rsidR="00B13E99" w:rsidRPr="000E1D43">
        <w:rPr>
          <w:rFonts w:ascii="Times New Roman" w:hAnsi="Times New Roman" w:cs="Times New Roman"/>
          <w:sz w:val="24"/>
          <w:szCs w:val="24"/>
        </w:rPr>
        <w:t xml:space="preserve"> and competitive environment </w:t>
      </w:r>
      <w:r w:rsidR="00B239FB" w:rsidRPr="000E1D43">
        <w:rPr>
          <w:rFonts w:ascii="Times New Roman" w:hAnsi="Times New Roman" w:cs="Times New Roman"/>
          <w:sz w:val="24"/>
          <w:szCs w:val="24"/>
        </w:rPr>
        <w:t xml:space="preserve">of organization in useful manner. </w:t>
      </w:r>
      <w:r w:rsidR="00A2417B" w:rsidRPr="000E1D43">
        <w:rPr>
          <w:rFonts w:ascii="Times New Roman" w:hAnsi="Times New Roman" w:cs="Times New Roman"/>
          <w:sz w:val="24"/>
          <w:szCs w:val="24"/>
        </w:rPr>
        <w:t>Ratios analysis techniques are</w:t>
      </w:r>
      <w:r w:rsidR="00B239FB" w:rsidRPr="000E1D43">
        <w:rPr>
          <w:rFonts w:ascii="Times New Roman" w:hAnsi="Times New Roman" w:cs="Times New Roman"/>
          <w:sz w:val="24"/>
          <w:szCs w:val="24"/>
        </w:rPr>
        <w:t xml:space="preserve"> most vital and useful tools for financial analysts as it helps them to evaluate the performance of the organization through several aspects such as profitability and </w:t>
      </w:r>
      <w:r w:rsidR="00A2417B" w:rsidRPr="000E1D43">
        <w:rPr>
          <w:rFonts w:ascii="Times New Roman" w:hAnsi="Times New Roman" w:cs="Times New Roman"/>
          <w:sz w:val="24"/>
          <w:szCs w:val="24"/>
        </w:rPr>
        <w:t>liquidity. The financial performance and operating of the company under consideration are computed using ratios analysis techniques</w:t>
      </w:r>
      <w:r w:rsidR="00734C81" w:rsidRPr="000E1D43">
        <w:rPr>
          <w:rFonts w:ascii="Times New Roman" w:hAnsi="Times New Roman" w:cs="Times New Roman"/>
          <w:sz w:val="24"/>
          <w:szCs w:val="24"/>
        </w:rPr>
        <w:t xml:space="preserve"> (Downes, and Goodman, 2009)</w:t>
      </w:r>
      <w:r w:rsidR="00A2417B" w:rsidRPr="000E1D43">
        <w:rPr>
          <w:rFonts w:ascii="Times New Roman" w:hAnsi="Times New Roman" w:cs="Times New Roman"/>
          <w:sz w:val="24"/>
          <w:szCs w:val="24"/>
        </w:rPr>
        <w:t xml:space="preserve">. Therefore in such a manner, it can be said that ratios analysis techniques is most vital and capable to draw </w:t>
      </w:r>
      <w:r w:rsidR="006E3B34" w:rsidRPr="000E1D43">
        <w:rPr>
          <w:rFonts w:ascii="Times New Roman" w:hAnsi="Times New Roman" w:cs="Times New Roman"/>
          <w:sz w:val="24"/>
          <w:szCs w:val="24"/>
        </w:rPr>
        <w:t xml:space="preserve">meaningful financial performance picture of the organization. In present section, ratios analysis techniques have been performance for both organizations such as Paddy power Bitfair plc and William plc.  </w:t>
      </w:r>
    </w:p>
    <w:p w:rsidR="00165B00" w:rsidRPr="000E1D43" w:rsidRDefault="000E1D43" w:rsidP="000E1D43">
      <w:pPr>
        <w:pStyle w:val="Heading2"/>
        <w:spacing w:line="360" w:lineRule="auto"/>
        <w:jc w:val="both"/>
        <w:rPr>
          <w:rFonts w:ascii="Times New Roman" w:hAnsi="Times New Roman" w:cs="Times New Roman"/>
          <w:sz w:val="24"/>
          <w:szCs w:val="24"/>
        </w:rPr>
      </w:pPr>
      <w:bookmarkStart w:id="5" w:name="_Toc511995534"/>
      <w:r w:rsidRPr="000E1D43">
        <w:rPr>
          <w:rFonts w:ascii="Times New Roman" w:hAnsi="Times New Roman" w:cs="Times New Roman"/>
          <w:sz w:val="24"/>
          <w:szCs w:val="24"/>
        </w:rPr>
        <w:lastRenderedPageBreak/>
        <w:t xml:space="preserve">1.2.1 </w:t>
      </w:r>
      <w:r w:rsidR="00165B00" w:rsidRPr="000E1D43">
        <w:rPr>
          <w:rFonts w:ascii="Times New Roman" w:hAnsi="Times New Roman" w:cs="Times New Roman"/>
          <w:sz w:val="24"/>
          <w:szCs w:val="24"/>
        </w:rPr>
        <w:t>Profitability ratios analysis</w:t>
      </w:r>
      <w:bookmarkEnd w:id="5"/>
      <w:r w:rsidR="00165B00" w:rsidRPr="000E1D43">
        <w:rPr>
          <w:rFonts w:ascii="Times New Roman" w:hAnsi="Times New Roman" w:cs="Times New Roman"/>
          <w:sz w:val="24"/>
          <w:szCs w:val="24"/>
        </w:rPr>
        <w:t xml:space="preserve"> </w:t>
      </w:r>
    </w:p>
    <w:p w:rsidR="00096DB4" w:rsidRPr="000E1D43" w:rsidRDefault="00091156"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The main purpose of the profitability ratios analysis it to find out</w:t>
      </w:r>
      <w:r w:rsidR="00654353" w:rsidRPr="000E1D43">
        <w:rPr>
          <w:rFonts w:ascii="Times New Roman" w:hAnsi="Times New Roman" w:cs="Times New Roman"/>
          <w:sz w:val="24"/>
          <w:szCs w:val="24"/>
        </w:rPr>
        <w:t xml:space="preserve"> the performance of both organization in terms of profits and efficiency with regards to depositor’s wealth management</w:t>
      </w:r>
      <w:r w:rsidR="00734C81" w:rsidRPr="000E1D43">
        <w:rPr>
          <w:rFonts w:ascii="Times New Roman" w:hAnsi="Times New Roman" w:cs="Times New Roman"/>
          <w:sz w:val="24"/>
          <w:szCs w:val="24"/>
        </w:rPr>
        <w:t xml:space="preserve"> (Fridson, and Alvarez, 2011)</w:t>
      </w:r>
      <w:r w:rsidR="00153978" w:rsidRPr="000E1D43">
        <w:rPr>
          <w:rFonts w:ascii="Times New Roman" w:hAnsi="Times New Roman" w:cs="Times New Roman"/>
          <w:sz w:val="24"/>
          <w:szCs w:val="24"/>
        </w:rPr>
        <w:t xml:space="preserve">. Performance and efficiency is evident by the business’s capability in order to translate the sales profits after absorbing expenses at distinguish stages of </w:t>
      </w:r>
      <w:r w:rsidR="00D855B9" w:rsidRPr="000E1D43">
        <w:rPr>
          <w:rFonts w:ascii="Times New Roman" w:hAnsi="Times New Roman" w:cs="Times New Roman"/>
          <w:sz w:val="24"/>
          <w:szCs w:val="24"/>
        </w:rPr>
        <w:t xml:space="preserve">business performance.   </w:t>
      </w:r>
      <w:r w:rsidR="00153978" w:rsidRPr="000E1D43">
        <w:rPr>
          <w:rFonts w:ascii="Times New Roman" w:hAnsi="Times New Roman" w:cs="Times New Roman"/>
          <w:sz w:val="24"/>
          <w:szCs w:val="24"/>
        </w:rPr>
        <w:t xml:space="preserve">  </w:t>
      </w:r>
      <w:r w:rsidR="00654353" w:rsidRPr="000E1D43">
        <w:rPr>
          <w:rFonts w:ascii="Times New Roman" w:hAnsi="Times New Roman" w:cs="Times New Roman"/>
          <w:sz w:val="24"/>
          <w:szCs w:val="24"/>
        </w:rPr>
        <w:t xml:space="preserve">  </w:t>
      </w:r>
    </w:p>
    <w:tbl>
      <w:tblPr>
        <w:tblStyle w:val="LightShading"/>
        <w:tblW w:w="6362" w:type="dxa"/>
        <w:jc w:val="center"/>
        <w:tblLook w:val="04A0" w:firstRow="1" w:lastRow="0" w:firstColumn="1" w:lastColumn="0" w:noHBand="0" w:noVBand="1"/>
      </w:tblPr>
      <w:tblGrid>
        <w:gridCol w:w="3203"/>
        <w:gridCol w:w="1116"/>
        <w:gridCol w:w="1116"/>
        <w:gridCol w:w="1116"/>
      </w:tblGrid>
      <w:tr w:rsidR="003A323D" w:rsidRPr="000E1D43" w:rsidTr="00086FE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362" w:type="dxa"/>
            <w:gridSpan w:val="4"/>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William Hill Plc</w:t>
            </w:r>
          </w:p>
        </w:tc>
      </w:tr>
      <w:tr w:rsidR="003A323D" w:rsidRPr="000E1D43" w:rsidTr="00086F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03" w:type="dxa"/>
            <w:noWrap/>
            <w:hideMark/>
          </w:tcPr>
          <w:p w:rsidR="003A323D" w:rsidRPr="000E1D43" w:rsidRDefault="003A323D" w:rsidP="00086FEC">
            <w:pPr>
              <w:spacing w:line="360" w:lineRule="auto"/>
              <w:jc w:val="both"/>
              <w:rPr>
                <w:rFonts w:ascii="Times New Roman" w:eastAsia="Times New Roman" w:hAnsi="Times New Roman" w:cs="Times New Roman"/>
                <w:b w:val="0"/>
                <w:bCs w:val="0"/>
                <w:color w:val="000000"/>
                <w:sz w:val="24"/>
                <w:szCs w:val="24"/>
              </w:rPr>
            </w:pPr>
            <w:r w:rsidRPr="000E1D43">
              <w:rPr>
                <w:rFonts w:ascii="Times New Roman" w:eastAsia="Times New Roman" w:hAnsi="Times New Roman" w:cs="Times New Roman"/>
                <w:b w:val="0"/>
                <w:bCs w:val="0"/>
                <w:color w:val="000000"/>
                <w:sz w:val="24"/>
                <w:szCs w:val="24"/>
              </w:rPr>
              <w:t>profitability ratio</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2015</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2014</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2013</w:t>
            </w:r>
          </w:p>
        </w:tc>
      </w:tr>
      <w:tr w:rsidR="003A323D" w:rsidRPr="000E1D43" w:rsidTr="00086FEC">
        <w:trPr>
          <w:trHeight w:val="300"/>
          <w:jc w:val="center"/>
        </w:trPr>
        <w:tc>
          <w:tcPr>
            <w:cnfStyle w:val="001000000000" w:firstRow="0" w:lastRow="0" w:firstColumn="1" w:lastColumn="0" w:oddVBand="0" w:evenVBand="0" w:oddHBand="0" w:evenHBand="0" w:firstRowFirstColumn="0" w:firstRowLastColumn="0" w:lastRowFirstColumn="0" w:lastRowLastColumn="0"/>
            <w:tcW w:w="3203" w:type="dxa"/>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Return on Capital Employed (ROCE)</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13.51</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14.21</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14.52</w:t>
            </w:r>
          </w:p>
        </w:tc>
      </w:tr>
      <w:tr w:rsidR="003A323D" w:rsidRPr="000E1D43" w:rsidTr="00086F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03" w:type="dxa"/>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 xml:space="preserve">Net Profit Margin </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14.09894</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17.51072</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20.38345</w:t>
            </w:r>
          </w:p>
        </w:tc>
      </w:tr>
      <w:tr w:rsidR="003A323D" w:rsidRPr="000E1D43" w:rsidTr="00086FEC">
        <w:trPr>
          <w:trHeight w:val="300"/>
          <w:jc w:val="center"/>
        </w:trPr>
        <w:tc>
          <w:tcPr>
            <w:cnfStyle w:val="001000000000" w:firstRow="0" w:lastRow="0" w:firstColumn="1" w:lastColumn="0" w:oddVBand="0" w:evenVBand="0" w:oddHBand="0" w:evenHBand="0" w:firstRowFirstColumn="0" w:firstRowLastColumn="0" w:lastRowFirstColumn="0" w:lastRowLastColumn="0"/>
            <w:tcW w:w="3203" w:type="dxa"/>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Gross profit margin </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76.24615</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81.09737</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81.68853</w:t>
            </w:r>
          </w:p>
        </w:tc>
      </w:tr>
      <w:tr w:rsidR="003A323D" w:rsidRPr="000E1D43" w:rsidTr="00086F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362" w:type="dxa"/>
            <w:gridSpan w:val="4"/>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Paddy Power Betfair plc </w:t>
            </w:r>
          </w:p>
        </w:tc>
      </w:tr>
      <w:tr w:rsidR="003A323D" w:rsidRPr="000E1D43" w:rsidTr="00086FEC">
        <w:trPr>
          <w:trHeight w:val="300"/>
          <w:jc w:val="center"/>
        </w:trPr>
        <w:tc>
          <w:tcPr>
            <w:cnfStyle w:val="001000000000" w:firstRow="0" w:lastRow="0" w:firstColumn="1" w:lastColumn="0" w:oddVBand="0" w:evenVBand="0" w:oddHBand="0" w:evenHBand="0" w:firstRowFirstColumn="0" w:firstRowLastColumn="0" w:lastRowFirstColumn="0" w:lastRowLastColumn="0"/>
            <w:tcW w:w="3203" w:type="dxa"/>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2015</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2014</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2013</w:t>
            </w:r>
          </w:p>
        </w:tc>
      </w:tr>
      <w:tr w:rsidR="003A323D" w:rsidRPr="000E1D43" w:rsidTr="00086FEC">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3203" w:type="dxa"/>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Return on Capital Employed (ROCE)</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61.99</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18.83</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41.89</w:t>
            </w:r>
          </w:p>
        </w:tc>
      </w:tr>
      <w:tr w:rsidR="003A323D" w:rsidRPr="000E1D43" w:rsidTr="00086FEC">
        <w:trPr>
          <w:trHeight w:val="300"/>
          <w:jc w:val="center"/>
        </w:trPr>
        <w:tc>
          <w:tcPr>
            <w:cnfStyle w:val="001000000000" w:firstRow="0" w:lastRow="0" w:firstColumn="1" w:lastColumn="0" w:oddVBand="0" w:evenVBand="0" w:oddHBand="0" w:evenHBand="0" w:firstRowFirstColumn="0" w:firstRowLastColumn="0" w:lastRowFirstColumn="0" w:lastRowLastColumn="0"/>
            <w:tcW w:w="3203" w:type="dxa"/>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 xml:space="preserve">Net Profit Margin </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15.55879</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18.57971</w:t>
            </w:r>
          </w:p>
        </w:tc>
        <w:tc>
          <w:tcPr>
            <w:tcW w:w="1053" w:type="dxa"/>
            <w:noWrap/>
            <w:hideMark/>
          </w:tcPr>
          <w:p w:rsidR="003A323D" w:rsidRPr="000E1D43" w:rsidRDefault="003A323D" w:rsidP="00086FE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18.43627</w:t>
            </w:r>
          </w:p>
        </w:tc>
      </w:tr>
      <w:tr w:rsidR="003A323D" w:rsidRPr="000E1D43" w:rsidTr="00086F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03" w:type="dxa"/>
            <w:noWrap/>
            <w:hideMark/>
          </w:tcPr>
          <w:p w:rsidR="003A323D" w:rsidRPr="000E1D43" w:rsidRDefault="003A323D" w:rsidP="00086FEC">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Gross profit margin </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74.74539</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80.97337</w:t>
            </w:r>
          </w:p>
        </w:tc>
        <w:tc>
          <w:tcPr>
            <w:tcW w:w="1053" w:type="dxa"/>
            <w:noWrap/>
            <w:hideMark/>
          </w:tcPr>
          <w:p w:rsidR="003A323D" w:rsidRPr="000E1D43" w:rsidRDefault="003A323D" w:rsidP="00086FE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82.7907</w:t>
            </w:r>
          </w:p>
        </w:tc>
      </w:tr>
    </w:tbl>
    <w:p w:rsidR="000B2395" w:rsidRPr="000E1D43" w:rsidRDefault="000B2395" w:rsidP="000E1D43">
      <w:pPr>
        <w:spacing w:line="360" w:lineRule="auto"/>
        <w:jc w:val="both"/>
        <w:rPr>
          <w:rFonts w:ascii="Times New Roman" w:eastAsia="Times New Roman" w:hAnsi="Times New Roman" w:cs="Times New Roman"/>
          <w:b/>
          <w:iCs/>
          <w:sz w:val="24"/>
          <w:szCs w:val="24"/>
          <w:lang w:val="en-US" w:eastAsia="en-US"/>
        </w:rPr>
      </w:pPr>
    </w:p>
    <w:p w:rsidR="00A70AEA" w:rsidRPr="000E1D43" w:rsidRDefault="00A70AEA" w:rsidP="000E1D43">
      <w:pPr>
        <w:spacing w:line="360" w:lineRule="auto"/>
        <w:jc w:val="both"/>
        <w:rPr>
          <w:rFonts w:ascii="Times New Roman" w:hAnsi="Times New Roman" w:cs="Times New Roman"/>
          <w:b/>
          <w:sz w:val="24"/>
          <w:szCs w:val="24"/>
        </w:rPr>
      </w:pPr>
      <w:r w:rsidRPr="000E1D43">
        <w:rPr>
          <w:rFonts w:ascii="Times New Roman" w:hAnsi="Times New Roman" w:cs="Times New Roman"/>
          <w:sz w:val="24"/>
          <w:szCs w:val="24"/>
        </w:rPr>
        <w:br/>
      </w:r>
      <w:r w:rsidRPr="000E1D43">
        <w:rPr>
          <w:rFonts w:ascii="Times New Roman" w:hAnsi="Times New Roman" w:cs="Times New Roman"/>
          <w:b/>
          <w:sz w:val="24"/>
          <w:szCs w:val="24"/>
        </w:rPr>
        <w:t xml:space="preserve">Gross profit margin </w:t>
      </w:r>
    </w:p>
    <w:p w:rsidR="00D855B9" w:rsidRPr="000E1D43" w:rsidRDefault="00AA24FA"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According to the</w:t>
      </w:r>
      <w:r w:rsidR="00A81CB5" w:rsidRPr="000E1D43">
        <w:rPr>
          <w:rFonts w:ascii="Times New Roman" w:hAnsi="Times New Roman" w:cs="Times New Roman"/>
          <w:sz w:val="24"/>
          <w:szCs w:val="24"/>
        </w:rPr>
        <w:t xml:space="preserve"> Chandra, (2011), gross</w:t>
      </w:r>
      <w:r w:rsidRPr="000E1D43">
        <w:rPr>
          <w:rFonts w:ascii="Times New Roman" w:hAnsi="Times New Roman" w:cs="Times New Roman"/>
          <w:sz w:val="24"/>
          <w:szCs w:val="24"/>
        </w:rPr>
        <w:t xml:space="preserve"> profit margin is mainly defined </w:t>
      </w:r>
      <w:r w:rsidR="0096158A" w:rsidRPr="000E1D43">
        <w:rPr>
          <w:rFonts w:ascii="Times New Roman" w:hAnsi="Times New Roman" w:cs="Times New Roman"/>
          <w:sz w:val="24"/>
          <w:szCs w:val="24"/>
        </w:rPr>
        <w:t xml:space="preserve">as the procedures in which </w:t>
      </w:r>
      <w:r w:rsidR="00A81CB5" w:rsidRPr="000E1D43">
        <w:rPr>
          <w:rFonts w:ascii="Times New Roman" w:hAnsi="Times New Roman" w:cs="Times New Roman"/>
          <w:sz w:val="24"/>
          <w:szCs w:val="24"/>
        </w:rPr>
        <w:t>an organization earns</w:t>
      </w:r>
      <w:r w:rsidR="0096158A" w:rsidRPr="000E1D43">
        <w:rPr>
          <w:rFonts w:ascii="Times New Roman" w:hAnsi="Times New Roman" w:cs="Times New Roman"/>
          <w:sz w:val="24"/>
          <w:szCs w:val="24"/>
        </w:rPr>
        <w:t xml:space="preserve"> per pound of total net sales. In addition to this, gross profit margin is mainly </w:t>
      </w:r>
      <w:r w:rsidR="00401233" w:rsidRPr="000E1D43">
        <w:rPr>
          <w:rFonts w:ascii="Times New Roman" w:hAnsi="Times New Roman" w:cs="Times New Roman"/>
          <w:sz w:val="24"/>
          <w:szCs w:val="24"/>
        </w:rPr>
        <w:t>expressing</w:t>
      </w:r>
      <w:r w:rsidR="0096158A" w:rsidRPr="000E1D43">
        <w:rPr>
          <w:rFonts w:ascii="Times New Roman" w:hAnsi="Times New Roman" w:cs="Times New Roman"/>
          <w:sz w:val="24"/>
          <w:szCs w:val="24"/>
        </w:rPr>
        <w:t xml:space="preserve"> the percentage of revenue </w:t>
      </w:r>
      <w:r w:rsidR="003876B7" w:rsidRPr="000E1D43">
        <w:rPr>
          <w:rFonts w:ascii="Times New Roman" w:hAnsi="Times New Roman" w:cs="Times New Roman"/>
          <w:sz w:val="24"/>
          <w:szCs w:val="24"/>
        </w:rPr>
        <w:t xml:space="preserve">by measuring how much profits an organization has accomplished.  </w:t>
      </w:r>
      <w:r w:rsidR="0096158A" w:rsidRPr="000E1D43">
        <w:rPr>
          <w:rFonts w:ascii="Times New Roman" w:hAnsi="Times New Roman" w:cs="Times New Roman"/>
          <w:sz w:val="24"/>
          <w:szCs w:val="24"/>
        </w:rPr>
        <w:t xml:space="preserve">  </w:t>
      </w:r>
      <w:r w:rsidRPr="000E1D43">
        <w:rPr>
          <w:rFonts w:ascii="Times New Roman" w:hAnsi="Times New Roman" w:cs="Times New Roman"/>
          <w:sz w:val="24"/>
          <w:szCs w:val="24"/>
        </w:rPr>
        <w:t xml:space="preserve">  </w:t>
      </w:r>
    </w:p>
    <w:p w:rsidR="00A53F3A" w:rsidRPr="000E1D43" w:rsidRDefault="00A53F3A"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lastRenderedPageBreak/>
        <w:drawing>
          <wp:inline distT="0" distB="0" distL="0" distR="0">
            <wp:extent cx="4572000" cy="2743200"/>
            <wp:effectExtent l="19050" t="0" r="19050" b="0"/>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91156" w:rsidRPr="000E1D43" w:rsidRDefault="003876B7"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The above </w:t>
      </w:r>
      <w:r w:rsidR="00E649F1" w:rsidRPr="000E1D43">
        <w:rPr>
          <w:rFonts w:ascii="Times New Roman" w:hAnsi="Times New Roman" w:cs="Times New Roman"/>
          <w:sz w:val="24"/>
          <w:szCs w:val="24"/>
        </w:rPr>
        <w:t>findings show</w:t>
      </w:r>
      <w:r w:rsidRPr="000E1D43">
        <w:rPr>
          <w:rFonts w:ascii="Times New Roman" w:hAnsi="Times New Roman" w:cs="Times New Roman"/>
          <w:sz w:val="24"/>
          <w:szCs w:val="24"/>
        </w:rPr>
        <w:t xml:space="preserve"> that performance of gross profit margin of both William hill plc and Paddy power Betfair plc shows similar tr</w:t>
      </w:r>
      <w:r w:rsidR="00E649F1" w:rsidRPr="000E1D43">
        <w:rPr>
          <w:rFonts w:ascii="Times New Roman" w:hAnsi="Times New Roman" w:cs="Times New Roman"/>
          <w:sz w:val="24"/>
          <w:szCs w:val="24"/>
        </w:rPr>
        <w:t xml:space="preserve">end. The findings represent that in FY2015 performance of the paddy power Betfair plc has been declined by 1% </w:t>
      </w:r>
      <w:r w:rsidR="00E649F1" w:rsidRPr="000E1D43">
        <w:rPr>
          <w:rFonts w:ascii="Times New Roman" w:hAnsi="Times New Roman" w:cs="Times New Roman"/>
          <w:b/>
          <w:sz w:val="24"/>
          <w:szCs w:val="24"/>
        </w:rPr>
        <w:t>[</w:t>
      </w:r>
      <w:r w:rsidR="00401233" w:rsidRPr="000E1D43">
        <w:rPr>
          <w:rFonts w:ascii="Times New Roman" w:hAnsi="Times New Roman" w:cs="Times New Roman"/>
          <w:b/>
          <w:sz w:val="24"/>
          <w:szCs w:val="24"/>
        </w:rPr>
        <w:t>FY2015</w:t>
      </w:r>
      <w:r w:rsidR="009944AE" w:rsidRPr="000E1D43">
        <w:rPr>
          <w:rFonts w:ascii="Times New Roman" w:hAnsi="Times New Roman" w:cs="Times New Roman"/>
          <w:b/>
          <w:sz w:val="24"/>
          <w:szCs w:val="24"/>
        </w:rPr>
        <w:t>=76%</w:t>
      </w:r>
      <w:r w:rsidR="00E649F1" w:rsidRPr="000E1D43">
        <w:rPr>
          <w:rFonts w:ascii="Times New Roman" w:hAnsi="Times New Roman" w:cs="Times New Roman"/>
          <w:b/>
          <w:sz w:val="24"/>
          <w:szCs w:val="24"/>
        </w:rPr>
        <w:t>(William plc)</w:t>
      </w:r>
      <w:r w:rsidR="00401233" w:rsidRPr="000E1D43">
        <w:rPr>
          <w:rFonts w:ascii="Times New Roman" w:hAnsi="Times New Roman" w:cs="Times New Roman"/>
          <w:b/>
          <w:sz w:val="24"/>
          <w:szCs w:val="24"/>
        </w:rPr>
        <w:t>, FY2015</w:t>
      </w:r>
      <w:r w:rsidR="009944AE" w:rsidRPr="000E1D43">
        <w:rPr>
          <w:rFonts w:ascii="Times New Roman" w:hAnsi="Times New Roman" w:cs="Times New Roman"/>
          <w:b/>
          <w:sz w:val="24"/>
          <w:szCs w:val="24"/>
        </w:rPr>
        <w:t>=75%(Paddy Power Betfair plc)]</w:t>
      </w:r>
      <w:r w:rsidR="009944AE" w:rsidRPr="000E1D43">
        <w:rPr>
          <w:rFonts w:ascii="Times New Roman" w:hAnsi="Times New Roman" w:cs="Times New Roman"/>
          <w:sz w:val="24"/>
          <w:szCs w:val="24"/>
        </w:rPr>
        <w:t xml:space="preserve">. </w:t>
      </w:r>
      <w:r w:rsidR="00401233" w:rsidRPr="000E1D43">
        <w:rPr>
          <w:rFonts w:ascii="Times New Roman" w:hAnsi="Times New Roman" w:cs="Times New Roman"/>
          <w:sz w:val="24"/>
          <w:szCs w:val="24"/>
        </w:rPr>
        <w:t xml:space="preserve">The main reason behind decline the performance of the gross profit margin of paddy power Betfair plc in FY2013 is that the organization is improving their direct betting expenses which involve software supplier costs, betting taxes and other direct betting. On the other hand, the main reason of decline the performance of William hill plc, is increased costs of sales as well as point of consumption tax is impacted. But even if an investor want to the invest money on the basis of profit earning then they will prefer to Paddy power Betfair plc as compared to William hill plc.    </w:t>
      </w:r>
    </w:p>
    <w:p w:rsidR="00A70AEA" w:rsidRPr="000E1D43" w:rsidRDefault="00A70AEA" w:rsidP="000E1D43">
      <w:pPr>
        <w:spacing w:line="360" w:lineRule="auto"/>
        <w:jc w:val="both"/>
        <w:rPr>
          <w:rFonts w:ascii="Times New Roman" w:hAnsi="Times New Roman" w:cs="Times New Roman"/>
          <w:b/>
          <w:sz w:val="24"/>
          <w:szCs w:val="24"/>
        </w:rPr>
      </w:pPr>
      <w:r w:rsidRPr="000E1D43">
        <w:rPr>
          <w:rFonts w:ascii="Times New Roman" w:hAnsi="Times New Roman" w:cs="Times New Roman"/>
          <w:b/>
          <w:sz w:val="24"/>
          <w:szCs w:val="24"/>
        </w:rPr>
        <w:t xml:space="preserve">Net profit margin </w:t>
      </w:r>
    </w:p>
    <w:p w:rsidR="00CD31D4" w:rsidRPr="000E1D43" w:rsidRDefault="00CD31D4"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Net profit margin is defined as the profit margin after all the relevant costs and costs of sales expenses have been </w:t>
      </w:r>
      <w:r w:rsidR="00390097" w:rsidRPr="000E1D43">
        <w:rPr>
          <w:rFonts w:ascii="Times New Roman" w:hAnsi="Times New Roman" w:cs="Times New Roman"/>
          <w:sz w:val="24"/>
          <w:szCs w:val="24"/>
        </w:rPr>
        <w:t xml:space="preserve">deducted. It is seen that, the higher net profit margin shows that the organization is performing well.   </w:t>
      </w:r>
      <w:r w:rsidRPr="000E1D43">
        <w:rPr>
          <w:rFonts w:ascii="Times New Roman" w:hAnsi="Times New Roman" w:cs="Times New Roman"/>
          <w:sz w:val="24"/>
          <w:szCs w:val="24"/>
        </w:rPr>
        <w:t xml:space="preserve">  </w:t>
      </w:r>
    </w:p>
    <w:p w:rsidR="00A53F3A" w:rsidRPr="000E1D43" w:rsidRDefault="00532799"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lastRenderedPageBreak/>
        <w:drawing>
          <wp:inline distT="0" distB="0" distL="0" distR="0">
            <wp:extent cx="4572000" cy="2743200"/>
            <wp:effectExtent l="19050" t="0" r="19050" b="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97018" w:rsidRPr="000E1D43" w:rsidRDefault="00D97018"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The </w:t>
      </w:r>
      <w:r w:rsidR="00AD5067" w:rsidRPr="000E1D43">
        <w:rPr>
          <w:rFonts w:ascii="Times New Roman" w:hAnsi="Times New Roman" w:cs="Times New Roman"/>
          <w:sz w:val="24"/>
          <w:szCs w:val="24"/>
        </w:rPr>
        <w:t>finding shows</w:t>
      </w:r>
      <w:r w:rsidRPr="000E1D43">
        <w:rPr>
          <w:rFonts w:ascii="Times New Roman" w:hAnsi="Times New Roman" w:cs="Times New Roman"/>
          <w:sz w:val="24"/>
          <w:szCs w:val="24"/>
        </w:rPr>
        <w:t xml:space="preserve"> that in terms of net profit margin performance Paddy power Betfair plc is well and generating </w:t>
      </w:r>
      <w:r w:rsidR="00AD5067" w:rsidRPr="000E1D43">
        <w:rPr>
          <w:rFonts w:ascii="Times New Roman" w:hAnsi="Times New Roman" w:cs="Times New Roman"/>
          <w:sz w:val="24"/>
          <w:szCs w:val="24"/>
        </w:rPr>
        <w:t>effective profits</w:t>
      </w:r>
      <w:r w:rsidRPr="000E1D43">
        <w:rPr>
          <w:rFonts w:ascii="Times New Roman" w:hAnsi="Times New Roman" w:cs="Times New Roman"/>
          <w:sz w:val="24"/>
          <w:szCs w:val="24"/>
        </w:rPr>
        <w:t xml:space="preserve"> for an organization. </w:t>
      </w:r>
      <w:r w:rsidR="00AD5067" w:rsidRPr="000E1D43">
        <w:rPr>
          <w:rFonts w:ascii="Times New Roman" w:hAnsi="Times New Roman" w:cs="Times New Roman"/>
          <w:sz w:val="24"/>
          <w:szCs w:val="24"/>
        </w:rPr>
        <w:t xml:space="preserve">Moreover it can be seen that performance of the William hill plc is declined from FY2013 to FY2015 respectively. </w:t>
      </w:r>
      <w:r w:rsidR="003F01BB" w:rsidRPr="000E1D43">
        <w:rPr>
          <w:rFonts w:ascii="Times New Roman" w:hAnsi="Times New Roman" w:cs="Times New Roman"/>
          <w:sz w:val="24"/>
          <w:szCs w:val="24"/>
        </w:rPr>
        <w:t xml:space="preserve">The main reason of the decline the performance of the William hill plc is that the cost of sales is increased about </w:t>
      </w:r>
      <w:r w:rsidR="00594288" w:rsidRPr="000E1D43">
        <w:rPr>
          <w:rFonts w:ascii="Times New Roman" w:hAnsi="Times New Roman" w:cs="Times New Roman"/>
          <w:sz w:val="24"/>
          <w:szCs w:val="24"/>
        </w:rPr>
        <w:t>20% in FY2015 as compared to FY2014. This is due to fact that MGD rate is increased from 20% to 25%</w:t>
      </w:r>
      <w:r w:rsidR="00021810" w:rsidRPr="000E1D43">
        <w:rPr>
          <w:rFonts w:ascii="Times New Roman" w:hAnsi="Times New Roman" w:cs="Times New Roman"/>
          <w:sz w:val="24"/>
          <w:szCs w:val="24"/>
        </w:rPr>
        <w:t xml:space="preserve">. Therefore as per the net profit margin values it can be suggested that investor needs to invest in Paddy power Betfair plc.  </w:t>
      </w:r>
      <w:r w:rsidR="00AD5067" w:rsidRPr="000E1D43">
        <w:rPr>
          <w:rFonts w:ascii="Times New Roman" w:hAnsi="Times New Roman" w:cs="Times New Roman"/>
          <w:sz w:val="24"/>
          <w:szCs w:val="24"/>
        </w:rPr>
        <w:t xml:space="preserve">  </w:t>
      </w:r>
      <w:r w:rsidRPr="000E1D43">
        <w:rPr>
          <w:rFonts w:ascii="Times New Roman" w:hAnsi="Times New Roman" w:cs="Times New Roman"/>
          <w:sz w:val="24"/>
          <w:szCs w:val="24"/>
        </w:rPr>
        <w:t xml:space="preserve">   </w:t>
      </w:r>
    </w:p>
    <w:p w:rsidR="000B2395" w:rsidRPr="000E1D43" w:rsidRDefault="00A70AEA"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Return on capital employed   </w:t>
      </w:r>
    </w:p>
    <w:p w:rsidR="00F7375A" w:rsidRPr="000E1D43" w:rsidRDefault="00F7375A"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ROCE i.e. return on capital employed is mainly computed by the management to find out the in return i.e. profitability from all different sources of financing</w:t>
      </w:r>
      <w:r w:rsidR="00115782" w:rsidRPr="000E1D43">
        <w:rPr>
          <w:rFonts w:ascii="Times New Roman" w:hAnsi="Times New Roman" w:cs="Times New Roman"/>
          <w:sz w:val="24"/>
          <w:szCs w:val="24"/>
        </w:rPr>
        <w:t xml:space="preserve"> (Horrigan, 2012)</w:t>
      </w:r>
      <w:r w:rsidRPr="000E1D43">
        <w:rPr>
          <w:rFonts w:ascii="Times New Roman" w:hAnsi="Times New Roman" w:cs="Times New Roman"/>
          <w:sz w:val="24"/>
          <w:szCs w:val="24"/>
        </w:rPr>
        <w:t xml:space="preserve">.   </w:t>
      </w:r>
    </w:p>
    <w:p w:rsidR="00532799" w:rsidRPr="000E1D43" w:rsidRDefault="00532799"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drawing>
          <wp:inline distT="0" distB="0" distL="0" distR="0">
            <wp:extent cx="4572000" cy="2743200"/>
            <wp:effectExtent l="19050" t="0" r="19050" b="0"/>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33EAF" w:rsidRPr="000E1D43" w:rsidRDefault="00B33EAF"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lastRenderedPageBreak/>
        <w:t xml:space="preserve">Return on capital employed of William hill plc has slightly declined from </w:t>
      </w:r>
      <w:r w:rsidR="00532D91" w:rsidRPr="000E1D43">
        <w:rPr>
          <w:rFonts w:ascii="Times New Roman" w:hAnsi="Times New Roman" w:cs="Times New Roman"/>
          <w:sz w:val="24"/>
          <w:szCs w:val="24"/>
        </w:rPr>
        <w:t xml:space="preserve">14.52%in FY2013 to 13.51% in FY2015, whereas paddy power Betfair plc has substantially increased about 20% from 41.89% in FY2013 to 61.99% in 2015. </w:t>
      </w:r>
      <w:r w:rsidR="008D0686" w:rsidRPr="000E1D43">
        <w:rPr>
          <w:rFonts w:ascii="Times New Roman" w:hAnsi="Times New Roman" w:cs="Times New Roman"/>
          <w:sz w:val="24"/>
          <w:szCs w:val="24"/>
        </w:rPr>
        <w:t>The main reason of increased the performance of ROCE of paddy power betfair plc is that their operating profit has substantially increased because of substantial investment of distinguish goods and marketing</w:t>
      </w:r>
      <w:r w:rsidR="0098174E" w:rsidRPr="000E1D43">
        <w:rPr>
          <w:rFonts w:ascii="Times New Roman" w:hAnsi="Times New Roman" w:cs="Times New Roman"/>
          <w:sz w:val="24"/>
          <w:szCs w:val="24"/>
        </w:rPr>
        <w:t xml:space="preserve">. </w:t>
      </w:r>
      <w:r w:rsidR="008D0686" w:rsidRPr="000E1D43">
        <w:rPr>
          <w:rFonts w:ascii="Times New Roman" w:hAnsi="Times New Roman" w:cs="Times New Roman"/>
          <w:sz w:val="24"/>
          <w:szCs w:val="24"/>
        </w:rPr>
        <w:t xml:space="preserve">  </w:t>
      </w:r>
      <w:r w:rsidR="00532D91" w:rsidRPr="000E1D43">
        <w:rPr>
          <w:rFonts w:ascii="Times New Roman" w:hAnsi="Times New Roman" w:cs="Times New Roman"/>
          <w:sz w:val="24"/>
          <w:szCs w:val="24"/>
        </w:rPr>
        <w:t xml:space="preserve"> </w:t>
      </w:r>
    </w:p>
    <w:p w:rsidR="00F7375A" w:rsidRPr="000E1D43" w:rsidRDefault="00F7375A" w:rsidP="000E1D43">
      <w:pPr>
        <w:spacing w:line="360" w:lineRule="auto"/>
        <w:jc w:val="both"/>
        <w:rPr>
          <w:rFonts w:ascii="Times New Roman" w:hAnsi="Times New Roman" w:cs="Times New Roman"/>
          <w:sz w:val="24"/>
          <w:szCs w:val="24"/>
        </w:rPr>
      </w:pPr>
    </w:p>
    <w:p w:rsidR="00964EC2" w:rsidRPr="000E1D43" w:rsidRDefault="000E1D43" w:rsidP="000E1D43">
      <w:pPr>
        <w:pStyle w:val="Heading2"/>
        <w:spacing w:line="360" w:lineRule="auto"/>
        <w:jc w:val="both"/>
        <w:rPr>
          <w:rFonts w:ascii="Times New Roman" w:hAnsi="Times New Roman" w:cs="Times New Roman"/>
          <w:sz w:val="24"/>
          <w:szCs w:val="24"/>
        </w:rPr>
      </w:pPr>
      <w:bookmarkStart w:id="6" w:name="_Toc511995535"/>
      <w:r w:rsidRPr="000E1D43">
        <w:rPr>
          <w:rFonts w:ascii="Times New Roman" w:hAnsi="Times New Roman" w:cs="Times New Roman"/>
          <w:sz w:val="24"/>
          <w:szCs w:val="24"/>
        </w:rPr>
        <w:t xml:space="preserve">1.2.2 </w:t>
      </w:r>
      <w:r w:rsidR="00964EC2" w:rsidRPr="000E1D43">
        <w:rPr>
          <w:rFonts w:ascii="Times New Roman" w:hAnsi="Times New Roman" w:cs="Times New Roman"/>
          <w:sz w:val="24"/>
          <w:szCs w:val="24"/>
        </w:rPr>
        <w:t>Liquidity ratios</w:t>
      </w:r>
      <w:bookmarkEnd w:id="6"/>
      <w:r w:rsidR="00964EC2" w:rsidRPr="000E1D43">
        <w:rPr>
          <w:rFonts w:ascii="Times New Roman" w:hAnsi="Times New Roman" w:cs="Times New Roman"/>
          <w:sz w:val="24"/>
          <w:szCs w:val="24"/>
        </w:rPr>
        <w:t xml:space="preserve"> </w:t>
      </w:r>
    </w:p>
    <w:p w:rsidR="008D6582" w:rsidRPr="000E1D43" w:rsidRDefault="008D6582"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Liquidity ratios mainly implemented by the management of the organization to find out the organization’s capability to payment short term debts, that is mainly obtained due to requirement of the business and production as well as period is shorter than a year</w:t>
      </w:r>
      <w:r w:rsidR="00115782" w:rsidRPr="000E1D43">
        <w:rPr>
          <w:rFonts w:ascii="Times New Roman" w:hAnsi="Times New Roman" w:cs="Times New Roman"/>
          <w:sz w:val="24"/>
          <w:szCs w:val="24"/>
        </w:rPr>
        <w:t xml:space="preserve"> </w:t>
      </w:r>
      <w:r w:rsidR="00D872E0" w:rsidRPr="000E1D43">
        <w:rPr>
          <w:rFonts w:ascii="Times New Roman" w:hAnsi="Times New Roman" w:cs="Times New Roman"/>
          <w:sz w:val="24"/>
          <w:szCs w:val="24"/>
        </w:rPr>
        <w:t xml:space="preserve">(Kaplan, </w:t>
      </w:r>
      <w:r w:rsidR="00115782" w:rsidRPr="000E1D43">
        <w:rPr>
          <w:rFonts w:ascii="Times New Roman" w:hAnsi="Times New Roman" w:cs="Times New Roman"/>
          <w:sz w:val="24"/>
          <w:szCs w:val="24"/>
        </w:rPr>
        <w:t>2011)</w:t>
      </w:r>
      <w:r w:rsidRPr="000E1D43">
        <w:rPr>
          <w:rFonts w:ascii="Times New Roman" w:hAnsi="Times New Roman" w:cs="Times New Roman"/>
          <w:sz w:val="24"/>
          <w:szCs w:val="24"/>
        </w:rPr>
        <w:t xml:space="preserve">.     </w:t>
      </w:r>
    </w:p>
    <w:tbl>
      <w:tblPr>
        <w:tblStyle w:val="LightShading"/>
        <w:tblW w:w="3840" w:type="dxa"/>
        <w:jc w:val="center"/>
        <w:tblLook w:val="04A0" w:firstRow="1" w:lastRow="0" w:firstColumn="1" w:lastColumn="0" w:noHBand="0" w:noVBand="1"/>
      </w:tblPr>
      <w:tblGrid>
        <w:gridCol w:w="1800"/>
        <w:gridCol w:w="696"/>
        <w:gridCol w:w="696"/>
        <w:gridCol w:w="696"/>
      </w:tblGrid>
      <w:tr w:rsidR="00AB1AA4" w:rsidRPr="000E1D43" w:rsidTr="00086FE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40" w:type="dxa"/>
            <w:gridSpan w:val="4"/>
            <w:noWrap/>
            <w:hideMark/>
          </w:tcPr>
          <w:p w:rsidR="00AB1AA4" w:rsidRPr="000E1D43" w:rsidRDefault="00AB1AA4"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William Hill Plc</w:t>
            </w:r>
          </w:p>
        </w:tc>
      </w:tr>
      <w:tr w:rsidR="00AB1AA4" w:rsidRPr="000E1D43" w:rsidTr="00086F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00" w:type="dxa"/>
            <w:noWrap/>
            <w:hideMark/>
          </w:tcPr>
          <w:p w:rsidR="00AB1AA4" w:rsidRPr="000E1D43" w:rsidRDefault="00AB1AA4"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Arial" w:hAnsi="Times New Roman" w:cs="Times New Roman"/>
                <w:color w:val="000000"/>
                <w:sz w:val="24"/>
                <w:szCs w:val="24"/>
                <w:lang w:val="en-US"/>
              </w:rPr>
              <w:t>LIQUIDITY:</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2015</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2014</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2013</w:t>
            </w:r>
          </w:p>
        </w:tc>
      </w:tr>
      <w:tr w:rsidR="00AB1AA4" w:rsidRPr="000E1D43" w:rsidTr="00086FEC">
        <w:trPr>
          <w:trHeight w:val="300"/>
          <w:jc w:val="center"/>
        </w:trPr>
        <w:tc>
          <w:tcPr>
            <w:cnfStyle w:val="001000000000" w:firstRow="0" w:lastRow="0" w:firstColumn="1" w:lastColumn="0" w:oddVBand="0" w:evenVBand="0" w:oddHBand="0" w:evenHBand="0" w:firstRowFirstColumn="0" w:firstRowLastColumn="0" w:lastRowFirstColumn="0" w:lastRowLastColumn="0"/>
            <w:tcW w:w="1800" w:type="dxa"/>
            <w:noWrap/>
            <w:hideMark/>
          </w:tcPr>
          <w:p w:rsidR="00AB1AA4" w:rsidRPr="000E1D43" w:rsidRDefault="00AB1AA4"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Current Ratio</w:t>
            </w:r>
          </w:p>
        </w:tc>
        <w:tc>
          <w:tcPr>
            <w:tcW w:w="680" w:type="dxa"/>
            <w:noWrap/>
            <w:hideMark/>
          </w:tcPr>
          <w:p w:rsidR="00AB1AA4" w:rsidRPr="000E1D43" w:rsidRDefault="00AB1AA4"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0.82</w:t>
            </w:r>
          </w:p>
        </w:tc>
        <w:tc>
          <w:tcPr>
            <w:tcW w:w="680" w:type="dxa"/>
            <w:noWrap/>
            <w:hideMark/>
          </w:tcPr>
          <w:p w:rsidR="00AB1AA4" w:rsidRPr="000E1D43" w:rsidRDefault="00AB1AA4"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0.76</w:t>
            </w:r>
          </w:p>
        </w:tc>
        <w:tc>
          <w:tcPr>
            <w:tcW w:w="680" w:type="dxa"/>
            <w:noWrap/>
            <w:hideMark/>
          </w:tcPr>
          <w:p w:rsidR="00AB1AA4" w:rsidRPr="000E1D43" w:rsidRDefault="00AB1AA4"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0.83</w:t>
            </w:r>
          </w:p>
        </w:tc>
      </w:tr>
      <w:tr w:rsidR="00AB1AA4" w:rsidRPr="000E1D43" w:rsidTr="00086F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00" w:type="dxa"/>
            <w:noWrap/>
            <w:hideMark/>
          </w:tcPr>
          <w:p w:rsidR="00AB1AA4" w:rsidRPr="000E1D43" w:rsidRDefault="00AB1AA4"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Liquid Ratio </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0.82</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0.65</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0.45</w:t>
            </w:r>
          </w:p>
        </w:tc>
      </w:tr>
      <w:tr w:rsidR="00AB1AA4" w:rsidRPr="000E1D43" w:rsidTr="00086FEC">
        <w:trPr>
          <w:trHeight w:val="300"/>
          <w:jc w:val="center"/>
        </w:trPr>
        <w:tc>
          <w:tcPr>
            <w:cnfStyle w:val="001000000000" w:firstRow="0" w:lastRow="0" w:firstColumn="1" w:lastColumn="0" w:oddVBand="0" w:evenVBand="0" w:oddHBand="0" w:evenHBand="0" w:firstRowFirstColumn="0" w:firstRowLastColumn="0" w:lastRowFirstColumn="0" w:lastRowLastColumn="0"/>
            <w:tcW w:w="3840" w:type="dxa"/>
            <w:gridSpan w:val="4"/>
            <w:noWrap/>
            <w:hideMark/>
          </w:tcPr>
          <w:p w:rsidR="00AB1AA4" w:rsidRPr="000E1D43" w:rsidRDefault="00AB1AA4"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Paddy Power Betfair plc </w:t>
            </w:r>
          </w:p>
        </w:tc>
      </w:tr>
      <w:tr w:rsidR="00AB1AA4" w:rsidRPr="000E1D43" w:rsidTr="00086FE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00" w:type="dxa"/>
            <w:noWrap/>
            <w:hideMark/>
          </w:tcPr>
          <w:p w:rsidR="00AB1AA4" w:rsidRPr="000E1D43" w:rsidRDefault="00AB1AA4"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Current Ratio</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0.82</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1.34</w:t>
            </w:r>
          </w:p>
        </w:tc>
        <w:tc>
          <w:tcPr>
            <w:tcW w:w="680" w:type="dxa"/>
            <w:noWrap/>
            <w:hideMark/>
          </w:tcPr>
          <w:p w:rsidR="00AB1AA4" w:rsidRPr="000E1D43" w:rsidRDefault="00AB1AA4"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1.17</w:t>
            </w:r>
          </w:p>
        </w:tc>
      </w:tr>
      <w:tr w:rsidR="00AB1AA4" w:rsidRPr="000E1D43" w:rsidTr="00086FEC">
        <w:trPr>
          <w:trHeight w:val="300"/>
          <w:jc w:val="center"/>
        </w:trPr>
        <w:tc>
          <w:tcPr>
            <w:cnfStyle w:val="001000000000" w:firstRow="0" w:lastRow="0" w:firstColumn="1" w:lastColumn="0" w:oddVBand="0" w:evenVBand="0" w:oddHBand="0" w:evenHBand="0" w:firstRowFirstColumn="0" w:firstRowLastColumn="0" w:lastRowFirstColumn="0" w:lastRowLastColumn="0"/>
            <w:tcW w:w="1800" w:type="dxa"/>
            <w:noWrap/>
            <w:hideMark/>
          </w:tcPr>
          <w:p w:rsidR="00AB1AA4" w:rsidRPr="000E1D43" w:rsidRDefault="00AB1AA4"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Liquid Ratio </w:t>
            </w:r>
          </w:p>
        </w:tc>
        <w:tc>
          <w:tcPr>
            <w:tcW w:w="680" w:type="dxa"/>
            <w:noWrap/>
            <w:hideMark/>
          </w:tcPr>
          <w:p w:rsidR="00AB1AA4" w:rsidRPr="000E1D43" w:rsidRDefault="00AB1AA4"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0.56</w:t>
            </w:r>
          </w:p>
        </w:tc>
        <w:tc>
          <w:tcPr>
            <w:tcW w:w="680" w:type="dxa"/>
            <w:noWrap/>
            <w:hideMark/>
          </w:tcPr>
          <w:p w:rsidR="00AB1AA4" w:rsidRPr="000E1D43" w:rsidRDefault="00AB1AA4"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1.07</w:t>
            </w:r>
          </w:p>
        </w:tc>
        <w:tc>
          <w:tcPr>
            <w:tcW w:w="680" w:type="dxa"/>
            <w:noWrap/>
            <w:hideMark/>
          </w:tcPr>
          <w:p w:rsidR="00AB1AA4" w:rsidRPr="000E1D43" w:rsidRDefault="00AB1AA4"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0.83</w:t>
            </w:r>
          </w:p>
        </w:tc>
      </w:tr>
    </w:tbl>
    <w:p w:rsidR="00AB1AA4" w:rsidRPr="000E1D43" w:rsidRDefault="00AB1AA4" w:rsidP="000E1D43">
      <w:pPr>
        <w:spacing w:line="360" w:lineRule="auto"/>
        <w:jc w:val="both"/>
        <w:rPr>
          <w:rFonts w:ascii="Times New Roman" w:hAnsi="Times New Roman" w:cs="Times New Roman"/>
          <w:sz w:val="24"/>
          <w:szCs w:val="24"/>
        </w:rPr>
      </w:pPr>
    </w:p>
    <w:p w:rsidR="00964EC2" w:rsidRPr="000E1D43" w:rsidRDefault="00AB1AA4"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drawing>
          <wp:inline distT="0" distB="0" distL="0" distR="0">
            <wp:extent cx="4572000" cy="2743200"/>
            <wp:effectExtent l="19050" t="0" r="19050" b="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964EC2" w:rsidRPr="000E1D43">
        <w:rPr>
          <w:rFonts w:ascii="Times New Roman" w:hAnsi="Times New Roman" w:cs="Times New Roman"/>
          <w:sz w:val="24"/>
          <w:szCs w:val="24"/>
        </w:rPr>
        <w:t xml:space="preserve"> </w:t>
      </w:r>
    </w:p>
    <w:p w:rsidR="00A65A9B" w:rsidRPr="000E1D43" w:rsidRDefault="008F18CB"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lastRenderedPageBreak/>
        <w:t>As per the above represented figure it can be seen that performance in terms of liquidity of the organization William hill plc is not up to the mark as compared to the paddy power Betfair plc.</w:t>
      </w:r>
      <w:r w:rsidR="00D50F2A" w:rsidRPr="000E1D43">
        <w:rPr>
          <w:rFonts w:ascii="Times New Roman" w:hAnsi="Times New Roman" w:cs="Times New Roman"/>
          <w:sz w:val="24"/>
          <w:szCs w:val="24"/>
        </w:rPr>
        <w:t xml:space="preserve"> So that, it is said that the short term liabilities of the organization William hill plc has been below the level of paddy power Betfair plc for FY2013 to FY2015.  </w:t>
      </w:r>
      <w:r w:rsidR="00123AD3" w:rsidRPr="000E1D43">
        <w:rPr>
          <w:rFonts w:ascii="Times New Roman" w:hAnsi="Times New Roman" w:cs="Times New Roman"/>
          <w:sz w:val="24"/>
          <w:szCs w:val="24"/>
        </w:rPr>
        <w:t>On the other hand, William hill’s current ratios has dramatically decline the past three years from level of more than 0.83 in the year of 2013</w:t>
      </w:r>
      <w:r w:rsidR="00A65A9B" w:rsidRPr="000E1D43">
        <w:rPr>
          <w:rFonts w:ascii="Times New Roman" w:hAnsi="Times New Roman" w:cs="Times New Roman"/>
          <w:sz w:val="24"/>
          <w:szCs w:val="24"/>
        </w:rPr>
        <w:t xml:space="preserve">, from which it can be observed that situation of William hill is worsening. </w:t>
      </w:r>
    </w:p>
    <w:p w:rsidR="008F18CB" w:rsidRPr="000E1D43" w:rsidRDefault="00B47F6D"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A quick ratio is</w:t>
      </w:r>
      <w:r w:rsidR="00A65A9B" w:rsidRPr="000E1D43">
        <w:rPr>
          <w:rFonts w:ascii="Times New Roman" w:hAnsi="Times New Roman" w:cs="Times New Roman"/>
          <w:sz w:val="24"/>
          <w:szCs w:val="24"/>
        </w:rPr>
        <w:t xml:space="preserve"> used by the analysis in order to find out the organization current asset not involving inventories to fulfil the present liabilities.     </w:t>
      </w:r>
      <w:r w:rsidR="00D50F2A" w:rsidRPr="000E1D43">
        <w:rPr>
          <w:rFonts w:ascii="Times New Roman" w:hAnsi="Times New Roman" w:cs="Times New Roman"/>
          <w:sz w:val="24"/>
          <w:szCs w:val="24"/>
        </w:rPr>
        <w:t xml:space="preserve">  </w:t>
      </w:r>
      <w:r w:rsidR="008F18CB" w:rsidRPr="000E1D43">
        <w:rPr>
          <w:rFonts w:ascii="Times New Roman" w:hAnsi="Times New Roman" w:cs="Times New Roman"/>
          <w:sz w:val="24"/>
          <w:szCs w:val="24"/>
        </w:rPr>
        <w:t xml:space="preserve"> </w:t>
      </w:r>
    </w:p>
    <w:p w:rsidR="00AB1AA4" w:rsidRPr="000E1D43" w:rsidRDefault="00AB1AA4"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drawing>
          <wp:inline distT="0" distB="0" distL="0" distR="0">
            <wp:extent cx="4572000" cy="2743200"/>
            <wp:effectExtent l="19050" t="0" r="19050" b="0"/>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47F6D" w:rsidRPr="000E1D43" w:rsidRDefault="00B47F6D"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From the observation it can be seen that paddy power Betfair plc performance in terms of quick ratio is well in FY2013 and FY2014 as compared to the William hill plc</w:t>
      </w:r>
      <w:r w:rsidR="00354CDD" w:rsidRPr="000E1D43">
        <w:rPr>
          <w:rFonts w:ascii="Times New Roman" w:hAnsi="Times New Roman" w:cs="Times New Roman"/>
          <w:sz w:val="24"/>
          <w:szCs w:val="24"/>
        </w:rPr>
        <w:t xml:space="preserve">.  In the year of 2014 paddy power Betfair plc quick ratios is 45% higher than the William plc. Thereby it can be said that in terms of the liquidity performance Paddy Power Betfair plc is performing much better than William hill plc. Moreover the figure also despite that </w:t>
      </w:r>
      <w:r w:rsidR="00EC3E00" w:rsidRPr="000E1D43">
        <w:rPr>
          <w:rFonts w:ascii="Times New Roman" w:hAnsi="Times New Roman" w:cs="Times New Roman"/>
          <w:sz w:val="24"/>
          <w:szCs w:val="24"/>
        </w:rPr>
        <w:t xml:space="preserve">paddy power Betfair has an ability to meet the short term liabilities in successful manner. </w:t>
      </w:r>
      <w:r w:rsidR="00060E94" w:rsidRPr="000E1D43">
        <w:rPr>
          <w:rFonts w:ascii="Times New Roman" w:hAnsi="Times New Roman" w:cs="Times New Roman"/>
          <w:sz w:val="24"/>
          <w:szCs w:val="24"/>
        </w:rPr>
        <w:t xml:space="preserve">Thereby, it can be said that paddy power Betfair plc involves less risks compared to the William hill plc in terms of liquidity positions.      </w:t>
      </w:r>
      <w:r w:rsidR="00EC3E00" w:rsidRPr="000E1D43">
        <w:rPr>
          <w:rFonts w:ascii="Times New Roman" w:hAnsi="Times New Roman" w:cs="Times New Roman"/>
          <w:sz w:val="24"/>
          <w:szCs w:val="24"/>
        </w:rPr>
        <w:t xml:space="preserve">   </w:t>
      </w:r>
      <w:r w:rsidR="00354CDD" w:rsidRPr="000E1D43">
        <w:rPr>
          <w:rFonts w:ascii="Times New Roman" w:hAnsi="Times New Roman" w:cs="Times New Roman"/>
          <w:sz w:val="24"/>
          <w:szCs w:val="24"/>
        </w:rPr>
        <w:t xml:space="preserve">   </w:t>
      </w:r>
      <w:r w:rsidRPr="000E1D43">
        <w:rPr>
          <w:rFonts w:ascii="Times New Roman" w:hAnsi="Times New Roman" w:cs="Times New Roman"/>
          <w:sz w:val="24"/>
          <w:szCs w:val="24"/>
        </w:rPr>
        <w:t xml:space="preserve">  </w:t>
      </w:r>
    </w:p>
    <w:p w:rsidR="00AB1AA4" w:rsidRPr="000E1D43" w:rsidRDefault="000E1D43" w:rsidP="000E1D43">
      <w:pPr>
        <w:pStyle w:val="Heading2"/>
        <w:spacing w:line="360" w:lineRule="auto"/>
        <w:jc w:val="both"/>
        <w:rPr>
          <w:rFonts w:ascii="Times New Roman" w:hAnsi="Times New Roman" w:cs="Times New Roman"/>
          <w:sz w:val="24"/>
          <w:szCs w:val="24"/>
        </w:rPr>
      </w:pPr>
      <w:bookmarkStart w:id="7" w:name="_Toc511995536"/>
      <w:r w:rsidRPr="000E1D43">
        <w:rPr>
          <w:rFonts w:ascii="Times New Roman" w:hAnsi="Times New Roman" w:cs="Times New Roman"/>
          <w:sz w:val="24"/>
          <w:szCs w:val="24"/>
        </w:rPr>
        <w:t xml:space="preserve">1.2.3 </w:t>
      </w:r>
      <w:r w:rsidR="00BE3BD7" w:rsidRPr="000E1D43">
        <w:rPr>
          <w:rFonts w:ascii="Times New Roman" w:hAnsi="Times New Roman" w:cs="Times New Roman"/>
          <w:sz w:val="24"/>
          <w:szCs w:val="24"/>
        </w:rPr>
        <w:t>Efficiency</w:t>
      </w:r>
      <w:r w:rsidR="00CD2F5A" w:rsidRPr="000E1D43">
        <w:rPr>
          <w:rFonts w:ascii="Times New Roman" w:hAnsi="Times New Roman" w:cs="Times New Roman"/>
          <w:sz w:val="24"/>
          <w:szCs w:val="24"/>
        </w:rPr>
        <w:t xml:space="preserve"> ratios</w:t>
      </w:r>
      <w:bookmarkEnd w:id="7"/>
      <w:r w:rsidR="00CD2F5A" w:rsidRPr="000E1D43">
        <w:rPr>
          <w:rFonts w:ascii="Times New Roman" w:hAnsi="Times New Roman" w:cs="Times New Roman"/>
          <w:sz w:val="24"/>
          <w:szCs w:val="24"/>
        </w:rPr>
        <w:t xml:space="preserve"> </w:t>
      </w:r>
    </w:p>
    <w:p w:rsidR="00CD2F5A" w:rsidRPr="000E1D43" w:rsidRDefault="00015688"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Efficiency ratios help the financial analyst to measure all distinguish aspect of the operational efficiency of the company</w:t>
      </w:r>
      <w:r w:rsidR="00D872E0" w:rsidRPr="000E1D43">
        <w:rPr>
          <w:rFonts w:ascii="Times New Roman" w:hAnsi="Times New Roman" w:cs="Times New Roman"/>
          <w:sz w:val="24"/>
          <w:szCs w:val="24"/>
        </w:rPr>
        <w:t xml:space="preserve"> (Madura, 2011)</w:t>
      </w:r>
      <w:r w:rsidRPr="000E1D43">
        <w:rPr>
          <w:rFonts w:ascii="Times New Roman" w:hAnsi="Times New Roman" w:cs="Times New Roman"/>
          <w:sz w:val="24"/>
          <w:szCs w:val="24"/>
        </w:rPr>
        <w:t>.</w:t>
      </w:r>
      <w:r w:rsidR="00032790" w:rsidRPr="000E1D43">
        <w:rPr>
          <w:rFonts w:ascii="Times New Roman" w:hAnsi="Times New Roman" w:cs="Times New Roman"/>
          <w:sz w:val="24"/>
          <w:szCs w:val="24"/>
        </w:rPr>
        <w:t xml:space="preserve"> Moreover, it also helps the organization to find out the efficiency of the organization in terms of uses of its liabilities and assets.    </w:t>
      </w:r>
      <w:r w:rsidRPr="000E1D43">
        <w:rPr>
          <w:rFonts w:ascii="Times New Roman" w:hAnsi="Times New Roman" w:cs="Times New Roman"/>
          <w:sz w:val="24"/>
          <w:szCs w:val="24"/>
        </w:rPr>
        <w:t xml:space="preserve">      </w:t>
      </w:r>
    </w:p>
    <w:p w:rsidR="00CD2F5A" w:rsidRPr="000E1D43" w:rsidRDefault="00CD2F5A"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lastRenderedPageBreak/>
        <w:drawing>
          <wp:inline distT="0" distB="0" distL="0" distR="0">
            <wp:extent cx="4572000" cy="2743200"/>
            <wp:effectExtent l="19050" t="0" r="19050" b="0"/>
            <wp:docPr id="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32790" w:rsidRPr="000E1D43" w:rsidRDefault="00032790"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The above </w:t>
      </w:r>
      <w:r w:rsidR="000F6027" w:rsidRPr="000E1D43">
        <w:rPr>
          <w:rFonts w:ascii="Times New Roman" w:hAnsi="Times New Roman" w:cs="Times New Roman"/>
          <w:sz w:val="24"/>
          <w:szCs w:val="24"/>
        </w:rPr>
        <w:t>ratios help</w:t>
      </w:r>
      <w:r w:rsidRPr="000E1D43">
        <w:rPr>
          <w:rFonts w:ascii="Times New Roman" w:hAnsi="Times New Roman" w:cs="Times New Roman"/>
          <w:sz w:val="24"/>
          <w:szCs w:val="24"/>
        </w:rPr>
        <w:t xml:space="preserve"> to find out how effectively and </w:t>
      </w:r>
      <w:r w:rsidR="000F6027" w:rsidRPr="000E1D43">
        <w:rPr>
          <w:rFonts w:ascii="Times New Roman" w:hAnsi="Times New Roman" w:cs="Times New Roman"/>
          <w:sz w:val="24"/>
          <w:szCs w:val="24"/>
        </w:rPr>
        <w:t>efficiency an organization is going to manage its investment. The higher values indicate that more efficiency the organization this indicates that organization has utilized its assets in successful manner</w:t>
      </w:r>
      <w:r w:rsidR="004B7550" w:rsidRPr="000E1D43">
        <w:rPr>
          <w:rFonts w:ascii="Times New Roman" w:hAnsi="Times New Roman" w:cs="Times New Roman"/>
          <w:sz w:val="24"/>
          <w:szCs w:val="24"/>
        </w:rPr>
        <w:t xml:space="preserve"> (McCue, and Nayar, 2009)</w:t>
      </w:r>
      <w:r w:rsidR="000F6027" w:rsidRPr="000E1D43">
        <w:rPr>
          <w:rFonts w:ascii="Times New Roman" w:hAnsi="Times New Roman" w:cs="Times New Roman"/>
          <w:sz w:val="24"/>
          <w:szCs w:val="24"/>
        </w:rPr>
        <w:t xml:space="preserve">.  </w:t>
      </w:r>
      <w:r w:rsidR="0021261B" w:rsidRPr="000E1D43">
        <w:rPr>
          <w:rFonts w:ascii="Times New Roman" w:hAnsi="Times New Roman" w:cs="Times New Roman"/>
          <w:sz w:val="24"/>
          <w:szCs w:val="24"/>
        </w:rPr>
        <w:t xml:space="preserve">While comparing the above findings it is easy to say that paddy power has a higher fixed assets turnover as </w:t>
      </w:r>
      <w:r w:rsidR="00986D11" w:rsidRPr="000E1D43">
        <w:rPr>
          <w:rFonts w:ascii="Times New Roman" w:hAnsi="Times New Roman" w:cs="Times New Roman"/>
          <w:sz w:val="24"/>
          <w:szCs w:val="24"/>
        </w:rPr>
        <w:t>compared to</w:t>
      </w:r>
      <w:r w:rsidR="0021261B" w:rsidRPr="000E1D43">
        <w:rPr>
          <w:rFonts w:ascii="Times New Roman" w:hAnsi="Times New Roman" w:cs="Times New Roman"/>
          <w:sz w:val="24"/>
          <w:szCs w:val="24"/>
        </w:rPr>
        <w:t xml:space="preserve"> William </w:t>
      </w:r>
      <w:r w:rsidR="00AB41A9" w:rsidRPr="000E1D43">
        <w:rPr>
          <w:rFonts w:ascii="Times New Roman" w:hAnsi="Times New Roman" w:cs="Times New Roman"/>
          <w:sz w:val="24"/>
          <w:szCs w:val="24"/>
        </w:rPr>
        <w:t xml:space="preserve">hill plc. </w:t>
      </w:r>
    </w:p>
    <w:p w:rsidR="00C73BA0" w:rsidRPr="000E1D43" w:rsidRDefault="004876EC"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Sales per employee are</w:t>
      </w:r>
      <w:r w:rsidR="00C73BA0" w:rsidRPr="000E1D43">
        <w:rPr>
          <w:rFonts w:ascii="Times New Roman" w:hAnsi="Times New Roman" w:cs="Times New Roman"/>
          <w:sz w:val="24"/>
          <w:szCs w:val="24"/>
        </w:rPr>
        <w:t xml:space="preserve"> defined as how </w:t>
      </w:r>
      <w:r w:rsidRPr="000E1D43">
        <w:rPr>
          <w:rFonts w:ascii="Times New Roman" w:hAnsi="Times New Roman" w:cs="Times New Roman"/>
          <w:sz w:val="24"/>
          <w:szCs w:val="24"/>
        </w:rPr>
        <w:t>many</w:t>
      </w:r>
      <w:r w:rsidR="00C73BA0" w:rsidRPr="000E1D43">
        <w:rPr>
          <w:rFonts w:ascii="Times New Roman" w:hAnsi="Times New Roman" w:cs="Times New Roman"/>
          <w:sz w:val="24"/>
          <w:szCs w:val="24"/>
        </w:rPr>
        <w:t xml:space="preserve"> sales </w:t>
      </w:r>
      <w:r w:rsidRPr="000E1D43">
        <w:rPr>
          <w:rFonts w:ascii="Times New Roman" w:hAnsi="Times New Roman" w:cs="Times New Roman"/>
          <w:sz w:val="24"/>
          <w:szCs w:val="24"/>
        </w:rPr>
        <w:t>are</w:t>
      </w:r>
      <w:r w:rsidR="00C73BA0" w:rsidRPr="000E1D43">
        <w:rPr>
          <w:rFonts w:ascii="Times New Roman" w:hAnsi="Times New Roman" w:cs="Times New Roman"/>
          <w:sz w:val="24"/>
          <w:szCs w:val="24"/>
        </w:rPr>
        <w:t xml:space="preserve"> made by each employee of the organization. </w:t>
      </w:r>
      <w:r w:rsidRPr="000E1D43">
        <w:rPr>
          <w:rFonts w:ascii="Times New Roman" w:hAnsi="Times New Roman" w:cs="Times New Roman"/>
          <w:sz w:val="24"/>
          <w:szCs w:val="24"/>
        </w:rPr>
        <w:t xml:space="preserve">A high ratios shows that how efficient the workers are.   </w:t>
      </w:r>
    </w:p>
    <w:p w:rsidR="00CD2F5A" w:rsidRPr="000E1D43" w:rsidRDefault="00986D11"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drawing>
          <wp:inline distT="0" distB="0" distL="0" distR="0">
            <wp:extent cx="4572000" cy="2743200"/>
            <wp:effectExtent l="19050" t="0" r="1905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742D0" w:rsidRPr="000E1D43" w:rsidRDefault="004876EC"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As per the findings and observation it can be seen that performance of the employee of the organization paddy power betfair plc is much better than the William hill plc. From the findings it can be seen that in year of 2014-15 sales per employee performance of Paddy Power Betfair </w:t>
      </w:r>
      <w:r w:rsidRPr="000E1D43">
        <w:rPr>
          <w:rFonts w:ascii="Times New Roman" w:hAnsi="Times New Roman" w:cs="Times New Roman"/>
          <w:sz w:val="24"/>
          <w:szCs w:val="24"/>
        </w:rPr>
        <w:lastRenderedPageBreak/>
        <w:t xml:space="preserve">plc is dramatically increased, which indicates that </w:t>
      </w:r>
      <w:r w:rsidR="00DF3988" w:rsidRPr="000E1D43">
        <w:rPr>
          <w:rFonts w:ascii="Times New Roman" w:hAnsi="Times New Roman" w:cs="Times New Roman"/>
          <w:sz w:val="24"/>
          <w:szCs w:val="24"/>
        </w:rPr>
        <w:t xml:space="preserve">productivity of the organization is increased. From 2013-14, William hill plc performance ratios is increased while paddy power is reducing but still it has a higher values than William hill plc. Therefore from the observation and findings it can be said that in terms of efficiency performance of Paddy power Betfair plc is </w:t>
      </w:r>
      <w:r w:rsidR="006715F2" w:rsidRPr="000E1D43">
        <w:rPr>
          <w:rFonts w:ascii="Times New Roman" w:hAnsi="Times New Roman" w:cs="Times New Roman"/>
          <w:sz w:val="24"/>
          <w:szCs w:val="24"/>
        </w:rPr>
        <w:t>effective as compared to the William hill plc. This indicates that performance of the company in terms of productivity is increased</w:t>
      </w:r>
      <w:r w:rsidR="004B7550" w:rsidRPr="000E1D43">
        <w:rPr>
          <w:rFonts w:ascii="Times New Roman" w:hAnsi="Times New Roman" w:cs="Times New Roman"/>
          <w:sz w:val="24"/>
          <w:szCs w:val="24"/>
        </w:rPr>
        <w:t xml:space="preserve"> (Morley, 2006)</w:t>
      </w:r>
      <w:r w:rsidR="006715F2" w:rsidRPr="000E1D43">
        <w:rPr>
          <w:rFonts w:ascii="Times New Roman" w:hAnsi="Times New Roman" w:cs="Times New Roman"/>
          <w:sz w:val="24"/>
          <w:szCs w:val="24"/>
        </w:rPr>
        <w:t xml:space="preserve">. Therefore it is suggested that investor needs to invest money in Paddy Power Betfair plc </w:t>
      </w:r>
      <w:r w:rsidR="004742D0" w:rsidRPr="000E1D43">
        <w:rPr>
          <w:rFonts w:ascii="Times New Roman" w:hAnsi="Times New Roman" w:cs="Times New Roman"/>
          <w:sz w:val="24"/>
          <w:szCs w:val="24"/>
        </w:rPr>
        <w:t xml:space="preserve">because the organization involves less risks. </w:t>
      </w:r>
    </w:p>
    <w:p w:rsidR="004876EC" w:rsidRPr="000E1D43" w:rsidRDefault="004742D0"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Gearing ratios mainly used by the origination in order to find out how effectively an organization is replay or tackle its debt</w:t>
      </w:r>
      <w:r w:rsidR="000166A1" w:rsidRPr="000E1D43">
        <w:rPr>
          <w:rFonts w:ascii="Times New Roman" w:hAnsi="Times New Roman" w:cs="Times New Roman"/>
          <w:sz w:val="24"/>
          <w:szCs w:val="24"/>
        </w:rPr>
        <w:t xml:space="preserve">. </w:t>
      </w:r>
      <w:r w:rsidRPr="000E1D43">
        <w:rPr>
          <w:rFonts w:ascii="Times New Roman" w:hAnsi="Times New Roman" w:cs="Times New Roman"/>
          <w:sz w:val="24"/>
          <w:szCs w:val="24"/>
        </w:rPr>
        <w:t xml:space="preserve"> </w:t>
      </w:r>
      <w:r w:rsidR="006715F2" w:rsidRPr="000E1D43">
        <w:rPr>
          <w:rFonts w:ascii="Times New Roman" w:hAnsi="Times New Roman" w:cs="Times New Roman"/>
          <w:sz w:val="24"/>
          <w:szCs w:val="24"/>
        </w:rPr>
        <w:t xml:space="preserve">   </w:t>
      </w:r>
      <w:r w:rsidR="00DF3988" w:rsidRPr="000E1D43">
        <w:rPr>
          <w:rFonts w:ascii="Times New Roman" w:hAnsi="Times New Roman" w:cs="Times New Roman"/>
          <w:sz w:val="24"/>
          <w:szCs w:val="24"/>
        </w:rPr>
        <w:t xml:space="preserve">    </w:t>
      </w:r>
      <w:r w:rsidR="004876EC" w:rsidRPr="000E1D43">
        <w:rPr>
          <w:rFonts w:ascii="Times New Roman" w:hAnsi="Times New Roman" w:cs="Times New Roman"/>
          <w:sz w:val="24"/>
          <w:szCs w:val="24"/>
        </w:rPr>
        <w:t xml:space="preserve">     </w:t>
      </w:r>
    </w:p>
    <w:p w:rsidR="00F162B0" w:rsidRPr="000E1D43" w:rsidRDefault="00F162B0" w:rsidP="000E1D43">
      <w:pPr>
        <w:spacing w:line="360" w:lineRule="auto"/>
        <w:jc w:val="both"/>
        <w:rPr>
          <w:rFonts w:ascii="Times New Roman" w:hAnsi="Times New Roman" w:cs="Times New Roman"/>
          <w:sz w:val="24"/>
          <w:szCs w:val="24"/>
        </w:rPr>
      </w:pPr>
    </w:p>
    <w:p w:rsidR="00F162B0" w:rsidRPr="000E1D43" w:rsidRDefault="00F162B0"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drawing>
          <wp:inline distT="0" distB="0" distL="0" distR="0">
            <wp:extent cx="4572000" cy="2743200"/>
            <wp:effectExtent l="19050" t="0" r="19050" b="0"/>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166A1" w:rsidRPr="000E1D43" w:rsidRDefault="000166A1"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The observation shows that gearing ratios of paddy power Betfair plc is 41% in 2015</w:t>
      </w:r>
      <w:r w:rsidR="00FC615E" w:rsidRPr="000E1D43">
        <w:rPr>
          <w:rFonts w:ascii="Times New Roman" w:hAnsi="Times New Roman" w:cs="Times New Roman"/>
          <w:sz w:val="24"/>
          <w:szCs w:val="24"/>
        </w:rPr>
        <w:t>, which indicates that in this year the organization made long term loans. On the other hand, William hill plc</w:t>
      </w:r>
      <w:r w:rsidR="000C0C13" w:rsidRPr="000E1D43">
        <w:rPr>
          <w:rFonts w:ascii="Times New Roman" w:hAnsi="Times New Roman" w:cs="Times New Roman"/>
          <w:sz w:val="24"/>
          <w:szCs w:val="24"/>
        </w:rPr>
        <w:t xml:space="preserve"> gearing ratios values is reduced effectively.  </w:t>
      </w:r>
      <w:r w:rsidR="00FC615E" w:rsidRPr="000E1D43">
        <w:rPr>
          <w:rFonts w:ascii="Times New Roman" w:hAnsi="Times New Roman" w:cs="Times New Roman"/>
          <w:sz w:val="24"/>
          <w:szCs w:val="24"/>
        </w:rPr>
        <w:t xml:space="preserve">  </w:t>
      </w:r>
    </w:p>
    <w:p w:rsidR="005F408D" w:rsidRPr="000E1D43" w:rsidRDefault="005F408D" w:rsidP="000E1D43">
      <w:pPr>
        <w:spacing w:line="360" w:lineRule="auto"/>
        <w:jc w:val="both"/>
        <w:rPr>
          <w:rFonts w:ascii="Times New Roman" w:hAnsi="Times New Roman" w:cs="Times New Roman"/>
          <w:b/>
          <w:sz w:val="24"/>
          <w:szCs w:val="24"/>
        </w:rPr>
      </w:pPr>
      <w:r w:rsidRPr="000E1D43">
        <w:rPr>
          <w:rFonts w:ascii="Times New Roman" w:hAnsi="Times New Roman" w:cs="Times New Roman"/>
          <w:b/>
          <w:sz w:val="24"/>
          <w:szCs w:val="24"/>
        </w:rPr>
        <w:t xml:space="preserve">Interest coverage </w:t>
      </w:r>
    </w:p>
    <w:p w:rsidR="00D42CF9" w:rsidRPr="000E1D43" w:rsidRDefault="005F408D"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Interest coverage ratios helps the investors to find out the ability to repay the interest in time period</w:t>
      </w:r>
      <w:r w:rsidR="00D42CF9" w:rsidRPr="000E1D43">
        <w:rPr>
          <w:rFonts w:ascii="Times New Roman" w:hAnsi="Times New Roman" w:cs="Times New Roman"/>
          <w:sz w:val="24"/>
          <w:szCs w:val="24"/>
        </w:rPr>
        <w:t xml:space="preserve"> as well as also one of the effective indicators to measure organization solvency</w:t>
      </w:r>
      <w:r w:rsidR="004B7550" w:rsidRPr="000E1D43">
        <w:rPr>
          <w:rFonts w:ascii="Times New Roman" w:hAnsi="Times New Roman" w:cs="Times New Roman"/>
          <w:sz w:val="24"/>
          <w:szCs w:val="24"/>
        </w:rPr>
        <w:t xml:space="preserve"> (Palmer, 2009)</w:t>
      </w:r>
      <w:r w:rsidR="00D42CF9" w:rsidRPr="000E1D43">
        <w:rPr>
          <w:rFonts w:ascii="Times New Roman" w:hAnsi="Times New Roman" w:cs="Times New Roman"/>
          <w:sz w:val="24"/>
          <w:szCs w:val="24"/>
        </w:rPr>
        <w:t>.</w:t>
      </w:r>
      <w:r w:rsidR="00C264E3" w:rsidRPr="000E1D43">
        <w:rPr>
          <w:rFonts w:ascii="Times New Roman" w:hAnsi="Times New Roman" w:cs="Times New Roman"/>
          <w:sz w:val="24"/>
          <w:szCs w:val="24"/>
        </w:rPr>
        <w:t xml:space="preserve"> This helps the management of the organization to find out the relationship between revenues and borrowing costs that helps determine whether business is performing higher return or not. </w:t>
      </w:r>
      <w:r w:rsidR="00D42CF9" w:rsidRPr="000E1D43">
        <w:rPr>
          <w:rFonts w:ascii="Times New Roman" w:hAnsi="Times New Roman" w:cs="Times New Roman"/>
          <w:sz w:val="24"/>
          <w:szCs w:val="24"/>
        </w:rPr>
        <w:t xml:space="preserve"> </w:t>
      </w:r>
    </w:p>
    <w:p w:rsidR="00D42CF9" w:rsidRPr="000E1D43" w:rsidRDefault="00D42CF9"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lastRenderedPageBreak/>
        <w:drawing>
          <wp:inline distT="0" distB="0" distL="0" distR="0">
            <wp:extent cx="5731510" cy="2409214"/>
            <wp:effectExtent l="19050" t="0" r="2540" b="0"/>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9705" t="36151" r="29231" b="33163"/>
                    <a:stretch/>
                  </pic:blipFill>
                  <pic:spPr bwMode="auto">
                    <a:xfrm>
                      <a:off x="0" y="0"/>
                      <a:ext cx="5731510" cy="2409214"/>
                    </a:xfrm>
                    <a:prstGeom prst="rect">
                      <a:avLst/>
                    </a:prstGeom>
                    <a:ln>
                      <a:noFill/>
                    </a:ln>
                    <a:extLst>
                      <a:ext uri="{53640926-AAD7-44D8-BBD7-CCE9431645EC}">
                        <a14:shadowObscured xmlns:a14="http://schemas.microsoft.com/office/drawing/2010/main"/>
                      </a:ext>
                    </a:extLst>
                  </pic:spPr>
                </pic:pic>
              </a:graphicData>
            </a:graphic>
          </wp:inline>
        </w:drawing>
      </w:r>
      <w:r w:rsidRPr="000E1D43">
        <w:rPr>
          <w:rFonts w:ascii="Times New Roman" w:hAnsi="Times New Roman" w:cs="Times New Roman"/>
          <w:sz w:val="24"/>
          <w:szCs w:val="24"/>
        </w:rPr>
        <w:t xml:space="preserve">  </w:t>
      </w:r>
      <w:r w:rsidR="005F408D" w:rsidRPr="000E1D43">
        <w:rPr>
          <w:rFonts w:ascii="Times New Roman" w:hAnsi="Times New Roman" w:cs="Times New Roman"/>
          <w:sz w:val="24"/>
          <w:szCs w:val="24"/>
        </w:rPr>
        <w:t xml:space="preserve">  </w:t>
      </w:r>
    </w:p>
    <w:tbl>
      <w:tblPr>
        <w:tblStyle w:val="LightShading"/>
        <w:tblW w:w="7736" w:type="dxa"/>
        <w:jc w:val="center"/>
        <w:tblLook w:val="04A0" w:firstRow="1" w:lastRow="0" w:firstColumn="1" w:lastColumn="0" w:noHBand="0" w:noVBand="1"/>
      </w:tblPr>
      <w:tblGrid>
        <w:gridCol w:w="3914"/>
        <w:gridCol w:w="1152"/>
        <w:gridCol w:w="1335"/>
        <w:gridCol w:w="1335"/>
      </w:tblGrid>
      <w:tr w:rsidR="00D42CF9" w:rsidRPr="000E1D43" w:rsidTr="00086FEC">
        <w:trPr>
          <w:cnfStyle w:val="100000000000" w:firstRow="1" w:lastRow="0" w:firstColumn="0" w:lastColumn="0" w:oddVBand="0" w:evenVBand="0" w:oddHBand="0" w:evenHBand="0"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42CF9" w:rsidRPr="000E1D43" w:rsidRDefault="00D42CF9" w:rsidP="000E1D43">
            <w:pPr>
              <w:spacing w:line="360" w:lineRule="auto"/>
              <w:jc w:val="both"/>
              <w:rPr>
                <w:rFonts w:ascii="Times New Roman" w:eastAsia="Times New Roman" w:hAnsi="Times New Roman" w:cs="Times New Roman"/>
                <w:sz w:val="24"/>
                <w:szCs w:val="24"/>
              </w:rPr>
            </w:pPr>
          </w:p>
        </w:tc>
        <w:tc>
          <w:tcPr>
            <w:tcW w:w="0" w:type="auto"/>
            <w:hideMark/>
          </w:tcPr>
          <w:p w:rsidR="00D42CF9" w:rsidRPr="000E1D43" w:rsidRDefault="00D42CF9" w:rsidP="000E1D4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b w:val="0"/>
                <w:bCs w:val="0"/>
                <w:i/>
                <w:iCs/>
                <w:sz w:val="24"/>
                <w:szCs w:val="24"/>
              </w:rPr>
              <w:t>2015</w:t>
            </w:r>
          </w:p>
        </w:tc>
        <w:tc>
          <w:tcPr>
            <w:tcW w:w="0" w:type="auto"/>
            <w:hideMark/>
          </w:tcPr>
          <w:p w:rsidR="00D42CF9" w:rsidRPr="000E1D43" w:rsidRDefault="00D42CF9" w:rsidP="000E1D4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b w:val="0"/>
                <w:bCs w:val="0"/>
                <w:i/>
                <w:iCs/>
                <w:sz w:val="24"/>
                <w:szCs w:val="24"/>
              </w:rPr>
              <w:t>2014</w:t>
            </w:r>
          </w:p>
        </w:tc>
        <w:tc>
          <w:tcPr>
            <w:tcW w:w="0" w:type="auto"/>
            <w:hideMark/>
          </w:tcPr>
          <w:p w:rsidR="00D42CF9" w:rsidRPr="000E1D43" w:rsidRDefault="00D42CF9" w:rsidP="000E1D4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b w:val="0"/>
                <w:bCs w:val="0"/>
                <w:i/>
                <w:iCs/>
                <w:sz w:val="24"/>
                <w:szCs w:val="24"/>
              </w:rPr>
              <w:t>2013</w:t>
            </w:r>
          </w:p>
        </w:tc>
      </w:tr>
      <w:tr w:rsidR="00D42CF9" w:rsidRPr="000E1D43" w:rsidTr="00086FEC">
        <w:trPr>
          <w:cnfStyle w:val="000000100000" w:firstRow="0" w:lastRow="0" w:firstColumn="0" w:lastColumn="0" w:oddVBand="0" w:evenVBand="0" w:oddHBand="1" w:evenHBand="0"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42CF9" w:rsidRPr="00086FEC" w:rsidRDefault="00D42CF9" w:rsidP="000E1D43">
            <w:pPr>
              <w:spacing w:line="360" w:lineRule="auto"/>
              <w:jc w:val="both"/>
              <w:rPr>
                <w:rFonts w:ascii="Times New Roman" w:eastAsia="Times New Roman" w:hAnsi="Times New Roman" w:cs="Times New Roman"/>
                <w:sz w:val="24"/>
                <w:szCs w:val="24"/>
              </w:rPr>
            </w:pPr>
            <w:r w:rsidRPr="00086FEC">
              <w:rPr>
                <w:rFonts w:ascii="Times New Roman" w:eastAsia="Times New Roman" w:hAnsi="Times New Roman" w:cs="Times New Roman"/>
                <w:b w:val="0"/>
                <w:bCs w:val="0"/>
                <w:iCs/>
                <w:sz w:val="24"/>
                <w:szCs w:val="24"/>
              </w:rPr>
              <w:t>William Hill</w:t>
            </w:r>
          </w:p>
        </w:tc>
        <w:tc>
          <w:tcPr>
            <w:tcW w:w="0" w:type="auto"/>
            <w:hideMark/>
          </w:tcPr>
          <w:p w:rsidR="00D42CF9" w:rsidRPr="000E1D43" w:rsidRDefault="00D42CF9"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sz w:val="24"/>
                <w:szCs w:val="24"/>
              </w:rPr>
              <w:t>5.47</w:t>
            </w:r>
          </w:p>
        </w:tc>
        <w:tc>
          <w:tcPr>
            <w:tcW w:w="0" w:type="auto"/>
            <w:hideMark/>
          </w:tcPr>
          <w:p w:rsidR="00D42CF9" w:rsidRPr="000E1D43" w:rsidRDefault="00D42CF9"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sz w:val="24"/>
                <w:szCs w:val="24"/>
              </w:rPr>
              <w:t>5.76</w:t>
            </w:r>
          </w:p>
        </w:tc>
        <w:tc>
          <w:tcPr>
            <w:tcW w:w="0" w:type="auto"/>
            <w:hideMark/>
          </w:tcPr>
          <w:p w:rsidR="00D42CF9" w:rsidRPr="000E1D43" w:rsidRDefault="00D42CF9"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sz w:val="24"/>
                <w:szCs w:val="24"/>
              </w:rPr>
              <w:t>6.43</w:t>
            </w:r>
          </w:p>
        </w:tc>
      </w:tr>
      <w:tr w:rsidR="00D42CF9" w:rsidRPr="000E1D43" w:rsidTr="00086FEC">
        <w:trPr>
          <w:trHeight w:val="768"/>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42CF9" w:rsidRPr="00086FEC" w:rsidRDefault="00D42CF9" w:rsidP="000E1D43">
            <w:pPr>
              <w:spacing w:line="360" w:lineRule="auto"/>
              <w:jc w:val="both"/>
              <w:rPr>
                <w:rFonts w:ascii="Times New Roman" w:eastAsia="Times New Roman" w:hAnsi="Times New Roman" w:cs="Times New Roman"/>
                <w:sz w:val="24"/>
                <w:szCs w:val="24"/>
              </w:rPr>
            </w:pPr>
            <w:r w:rsidRPr="00086FEC">
              <w:rPr>
                <w:rFonts w:ascii="Times New Roman" w:eastAsia="Times New Roman" w:hAnsi="Times New Roman" w:cs="Times New Roman"/>
                <w:b w:val="0"/>
                <w:bCs w:val="0"/>
                <w:iCs/>
                <w:sz w:val="24"/>
                <w:szCs w:val="24"/>
              </w:rPr>
              <w:t>Paddy Power Betfair plc</w:t>
            </w:r>
          </w:p>
        </w:tc>
        <w:tc>
          <w:tcPr>
            <w:tcW w:w="0" w:type="auto"/>
            <w:hideMark/>
          </w:tcPr>
          <w:p w:rsidR="00D42CF9" w:rsidRPr="000E1D43" w:rsidRDefault="00D42CF9"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sz w:val="24"/>
                <w:szCs w:val="24"/>
              </w:rPr>
              <w:t>66.49</w:t>
            </w:r>
          </w:p>
        </w:tc>
        <w:tc>
          <w:tcPr>
            <w:tcW w:w="0" w:type="auto"/>
            <w:hideMark/>
          </w:tcPr>
          <w:p w:rsidR="00D42CF9" w:rsidRPr="000E1D43" w:rsidRDefault="00D42CF9"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sz w:val="24"/>
                <w:szCs w:val="24"/>
              </w:rPr>
              <w:t>986.78</w:t>
            </w:r>
          </w:p>
        </w:tc>
        <w:tc>
          <w:tcPr>
            <w:tcW w:w="0" w:type="auto"/>
            <w:hideMark/>
          </w:tcPr>
          <w:p w:rsidR="00D42CF9" w:rsidRPr="000E1D43" w:rsidRDefault="00D42CF9"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E1D43">
              <w:rPr>
                <w:rFonts w:ascii="Times New Roman" w:eastAsia="Times New Roman" w:hAnsi="Times New Roman" w:cs="Times New Roman"/>
                <w:sz w:val="24"/>
                <w:szCs w:val="24"/>
              </w:rPr>
              <w:t>759.04</w:t>
            </w:r>
          </w:p>
        </w:tc>
      </w:tr>
    </w:tbl>
    <w:p w:rsidR="005F408D" w:rsidRPr="000E1D43" w:rsidRDefault="005F408D" w:rsidP="000E1D43">
      <w:pPr>
        <w:spacing w:line="360" w:lineRule="auto"/>
        <w:jc w:val="both"/>
        <w:rPr>
          <w:rFonts w:ascii="Times New Roman" w:hAnsi="Times New Roman" w:cs="Times New Roman"/>
          <w:sz w:val="24"/>
          <w:szCs w:val="24"/>
        </w:rPr>
      </w:pPr>
    </w:p>
    <w:p w:rsidR="004E6237" w:rsidRPr="000E1D43" w:rsidRDefault="004E6237"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The above figures show that both organizations have </w:t>
      </w:r>
      <w:r w:rsidR="00E8757A" w:rsidRPr="000E1D43">
        <w:rPr>
          <w:rFonts w:ascii="Times New Roman" w:hAnsi="Times New Roman" w:cs="Times New Roman"/>
          <w:sz w:val="24"/>
          <w:szCs w:val="24"/>
        </w:rPr>
        <w:t>big differences</w:t>
      </w:r>
      <w:r w:rsidRPr="000E1D43">
        <w:rPr>
          <w:rFonts w:ascii="Times New Roman" w:hAnsi="Times New Roman" w:cs="Times New Roman"/>
          <w:sz w:val="24"/>
          <w:szCs w:val="24"/>
        </w:rPr>
        <w:t xml:space="preserve"> at </w:t>
      </w:r>
      <w:r w:rsidR="00E8757A" w:rsidRPr="000E1D43">
        <w:rPr>
          <w:rFonts w:ascii="Times New Roman" w:hAnsi="Times New Roman" w:cs="Times New Roman"/>
          <w:sz w:val="24"/>
          <w:szCs w:val="24"/>
        </w:rPr>
        <w:t>this indicator</w:t>
      </w:r>
      <w:r w:rsidRPr="000E1D43">
        <w:rPr>
          <w:rFonts w:ascii="Times New Roman" w:hAnsi="Times New Roman" w:cs="Times New Roman"/>
          <w:sz w:val="24"/>
          <w:szCs w:val="24"/>
        </w:rPr>
        <w:t>. Paddy</w:t>
      </w:r>
      <w:r w:rsidR="00E8757A" w:rsidRPr="000E1D43">
        <w:rPr>
          <w:rFonts w:ascii="Times New Roman" w:hAnsi="Times New Roman" w:cs="Times New Roman"/>
          <w:sz w:val="24"/>
          <w:szCs w:val="24"/>
        </w:rPr>
        <w:t xml:space="preserve"> power Betfair plc has demonstrated the positively coverage situations from FY2013 to FY2014 and in FY2015 the values was significantly declined as compared to previous year.   </w:t>
      </w:r>
      <w:r w:rsidRPr="000E1D43">
        <w:rPr>
          <w:rFonts w:ascii="Times New Roman" w:hAnsi="Times New Roman" w:cs="Times New Roman"/>
          <w:sz w:val="24"/>
          <w:szCs w:val="24"/>
        </w:rPr>
        <w:t xml:space="preserve">    </w:t>
      </w:r>
    </w:p>
    <w:p w:rsidR="00F162B0" w:rsidRPr="000E1D43" w:rsidRDefault="000E1D43" w:rsidP="000E1D43">
      <w:pPr>
        <w:pStyle w:val="Heading2"/>
        <w:spacing w:line="360" w:lineRule="auto"/>
        <w:jc w:val="both"/>
        <w:rPr>
          <w:rFonts w:ascii="Times New Roman" w:hAnsi="Times New Roman" w:cs="Times New Roman"/>
          <w:sz w:val="24"/>
          <w:szCs w:val="24"/>
        </w:rPr>
      </w:pPr>
      <w:bookmarkStart w:id="8" w:name="_Toc511995537"/>
      <w:r w:rsidRPr="000E1D43">
        <w:rPr>
          <w:rFonts w:ascii="Times New Roman" w:eastAsia="Times New Roman" w:hAnsi="Times New Roman" w:cs="Times New Roman"/>
          <w:sz w:val="24"/>
          <w:szCs w:val="24"/>
          <w:lang w:val="en-US"/>
        </w:rPr>
        <w:t xml:space="preserve">1.2. 4 </w:t>
      </w:r>
      <w:r w:rsidR="00F547B1" w:rsidRPr="000E1D43">
        <w:rPr>
          <w:rFonts w:ascii="Times New Roman" w:eastAsia="Times New Roman" w:hAnsi="Times New Roman" w:cs="Times New Roman"/>
          <w:sz w:val="24"/>
          <w:szCs w:val="24"/>
          <w:lang w:val="en-US"/>
        </w:rPr>
        <w:t>Shareholders ratios</w:t>
      </w:r>
      <w:bookmarkEnd w:id="8"/>
    </w:p>
    <w:tbl>
      <w:tblPr>
        <w:tblStyle w:val="LightShading"/>
        <w:tblW w:w="8572" w:type="dxa"/>
        <w:jc w:val="center"/>
        <w:tblLook w:val="04A0" w:firstRow="1" w:lastRow="0" w:firstColumn="1" w:lastColumn="0" w:noHBand="0" w:noVBand="1"/>
      </w:tblPr>
      <w:tblGrid>
        <w:gridCol w:w="4386"/>
        <w:gridCol w:w="1416"/>
        <w:gridCol w:w="1746"/>
        <w:gridCol w:w="1416"/>
      </w:tblGrid>
      <w:tr w:rsidR="00F162B0" w:rsidRPr="000E1D43" w:rsidTr="0096556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572" w:type="dxa"/>
            <w:gridSpan w:val="4"/>
            <w:noWrap/>
            <w:hideMark/>
          </w:tcPr>
          <w:p w:rsidR="00F162B0" w:rsidRPr="000E1D43" w:rsidRDefault="00F162B0"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William Hill Plc</w:t>
            </w:r>
          </w:p>
        </w:tc>
      </w:tr>
      <w:tr w:rsidR="00F162B0" w:rsidRPr="000E1D43" w:rsidTr="0096556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386" w:type="dxa"/>
            <w:noWrap/>
            <w:hideMark/>
          </w:tcPr>
          <w:p w:rsidR="00F162B0" w:rsidRPr="000E1D43" w:rsidRDefault="00F162B0" w:rsidP="000E1D43">
            <w:pPr>
              <w:spacing w:line="360" w:lineRule="auto"/>
              <w:jc w:val="both"/>
              <w:rPr>
                <w:rFonts w:ascii="Times New Roman" w:eastAsia="Times New Roman" w:hAnsi="Times New Roman" w:cs="Times New Roman"/>
                <w:b w:val="0"/>
                <w:bCs w:val="0"/>
                <w:color w:val="000000"/>
                <w:sz w:val="24"/>
                <w:szCs w:val="24"/>
              </w:rPr>
            </w:pPr>
            <w:r w:rsidRPr="000E1D43">
              <w:rPr>
                <w:rFonts w:ascii="Times New Roman" w:eastAsia="Times New Roman" w:hAnsi="Times New Roman" w:cs="Times New Roman"/>
                <w:b w:val="0"/>
                <w:bCs w:val="0"/>
                <w:color w:val="000000"/>
                <w:sz w:val="24"/>
                <w:szCs w:val="24"/>
                <w:lang w:val="en-US"/>
              </w:rPr>
              <w:t>SHAREHOLDERS RATIOS</w:t>
            </w:r>
          </w:p>
        </w:tc>
        <w:tc>
          <w:tcPr>
            <w:tcW w:w="1220"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746"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20"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F162B0" w:rsidRPr="000E1D43" w:rsidTr="00965560">
        <w:trPr>
          <w:trHeight w:val="315"/>
          <w:jc w:val="center"/>
        </w:trPr>
        <w:tc>
          <w:tcPr>
            <w:cnfStyle w:val="001000000000" w:firstRow="0" w:lastRow="0" w:firstColumn="1" w:lastColumn="0" w:oddVBand="0" w:evenVBand="0" w:oddHBand="0" w:evenHBand="0" w:firstRowFirstColumn="0" w:firstRowLastColumn="0" w:lastRowFirstColumn="0" w:lastRowLastColumn="0"/>
            <w:tcW w:w="4386" w:type="dxa"/>
            <w:noWrap/>
            <w:hideMark/>
          </w:tcPr>
          <w:p w:rsidR="00F162B0" w:rsidRPr="000E1D43" w:rsidRDefault="00F162B0"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Earnings per Share (EPS)</w:t>
            </w:r>
          </w:p>
        </w:tc>
        <w:tc>
          <w:tcPr>
            <w:tcW w:w="1220"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21.6</w:t>
            </w:r>
          </w:p>
        </w:tc>
        <w:tc>
          <w:tcPr>
            <w:tcW w:w="1746"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23.6</w:t>
            </w:r>
          </w:p>
        </w:tc>
        <w:tc>
          <w:tcPr>
            <w:tcW w:w="1220"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21.8</w:t>
            </w:r>
          </w:p>
        </w:tc>
      </w:tr>
      <w:tr w:rsidR="00D31A4C" w:rsidRPr="000E1D43" w:rsidTr="0096556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386" w:type="dxa"/>
            <w:noWrap/>
            <w:hideMark/>
          </w:tcPr>
          <w:p w:rsidR="00D31A4C" w:rsidRPr="000E1D43" w:rsidRDefault="00D31A4C"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 xml:space="preserve">Number of shares </w:t>
            </w:r>
          </w:p>
        </w:tc>
        <w:tc>
          <w:tcPr>
            <w:tcW w:w="1220" w:type="dxa"/>
            <w:noWrap/>
            <w:hideMark/>
          </w:tcPr>
          <w:p w:rsidR="00D31A4C" w:rsidRPr="000E1D43" w:rsidRDefault="00D31A4C"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E1D43">
              <w:rPr>
                <w:rFonts w:ascii="Times New Roman" w:hAnsi="Times New Roman" w:cs="Times New Roman"/>
                <w:color w:val="000000"/>
                <w:sz w:val="24"/>
                <w:szCs w:val="24"/>
              </w:rPr>
              <w:t>879166667</w:t>
            </w:r>
          </w:p>
        </w:tc>
        <w:tc>
          <w:tcPr>
            <w:tcW w:w="1746" w:type="dxa"/>
            <w:noWrap/>
            <w:hideMark/>
          </w:tcPr>
          <w:p w:rsidR="00D31A4C" w:rsidRPr="000E1D43" w:rsidRDefault="00D31A4C"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E1D43">
              <w:rPr>
                <w:rFonts w:ascii="Times New Roman" w:hAnsi="Times New Roman" w:cs="Times New Roman"/>
                <w:color w:val="000000"/>
                <w:sz w:val="24"/>
                <w:szCs w:val="24"/>
              </w:rPr>
              <w:t>874152542</w:t>
            </w:r>
          </w:p>
        </w:tc>
        <w:tc>
          <w:tcPr>
            <w:tcW w:w="1220" w:type="dxa"/>
            <w:noWrap/>
            <w:hideMark/>
          </w:tcPr>
          <w:p w:rsidR="00D31A4C" w:rsidRPr="000E1D43" w:rsidRDefault="00D31A4C"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E1D43">
              <w:rPr>
                <w:rFonts w:ascii="Times New Roman" w:hAnsi="Times New Roman" w:cs="Times New Roman"/>
                <w:color w:val="000000"/>
                <w:sz w:val="24"/>
                <w:szCs w:val="24"/>
              </w:rPr>
              <w:t>968807339</w:t>
            </w:r>
          </w:p>
        </w:tc>
      </w:tr>
      <w:tr w:rsidR="00F162B0" w:rsidRPr="000E1D43" w:rsidTr="00965560">
        <w:trPr>
          <w:trHeight w:val="315"/>
          <w:jc w:val="center"/>
        </w:trPr>
        <w:tc>
          <w:tcPr>
            <w:cnfStyle w:val="001000000000" w:firstRow="0" w:lastRow="0" w:firstColumn="1" w:lastColumn="0" w:oddVBand="0" w:evenVBand="0" w:oddHBand="0" w:evenHBand="0" w:firstRowFirstColumn="0" w:firstRowLastColumn="0" w:lastRowFirstColumn="0" w:lastRowLastColumn="0"/>
            <w:tcW w:w="4386" w:type="dxa"/>
            <w:noWrap/>
            <w:hideMark/>
          </w:tcPr>
          <w:p w:rsidR="00F162B0" w:rsidRPr="000E1D43" w:rsidRDefault="00F162B0"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Dividends per Share DPS</w:t>
            </w:r>
          </w:p>
        </w:tc>
        <w:tc>
          <w:tcPr>
            <w:tcW w:w="1220"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9</w:t>
            </w:r>
          </w:p>
        </w:tc>
        <w:tc>
          <w:tcPr>
            <w:tcW w:w="1746"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11.9</w:t>
            </w:r>
          </w:p>
        </w:tc>
        <w:tc>
          <w:tcPr>
            <w:tcW w:w="1220"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w:t>
            </w:r>
          </w:p>
        </w:tc>
      </w:tr>
      <w:tr w:rsidR="00F162B0" w:rsidRPr="000E1D43" w:rsidTr="0096556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572" w:type="dxa"/>
            <w:gridSpan w:val="4"/>
            <w:noWrap/>
            <w:hideMark/>
          </w:tcPr>
          <w:p w:rsidR="00F162B0" w:rsidRPr="000E1D43" w:rsidRDefault="00F162B0"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Paddy Power Betfair plc </w:t>
            </w:r>
          </w:p>
        </w:tc>
      </w:tr>
      <w:tr w:rsidR="00F162B0" w:rsidRPr="000E1D43" w:rsidTr="00965560">
        <w:trPr>
          <w:trHeight w:val="315"/>
          <w:jc w:val="center"/>
        </w:trPr>
        <w:tc>
          <w:tcPr>
            <w:cnfStyle w:val="001000000000" w:firstRow="0" w:lastRow="0" w:firstColumn="1" w:lastColumn="0" w:oddVBand="0" w:evenVBand="0" w:oddHBand="0" w:evenHBand="0" w:firstRowFirstColumn="0" w:firstRowLastColumn="0" w:lastRowFirstColumn="0" w:lastRowLastColumn="0"/>
            <w:tcW w:w="4386" w:type="dxa"/>
            <w:noWrap/>
            <w:hideMark/>
          </w:tcPr>
          <w:p w:rsidR="00F162B0" w:rsidRPr="000E1D43" w:rsidRDefault="00F162B0" w:rsidP="000E1D43">
            <w:pPr>
              <w:spacing w:line="360" w:lineRule="auto"/>
              <w:jc w:val="both"/>
              <w:rPr>
                <w:rFonts w:ascii="Times New Roman" w:eastAsia="Times New Roman" w:hAnsi="Times New Roman" w:cs="Times New Roman"/>
                <w:b w:val="0"/>
                <w:bCs w:val="0"/>
                <w:color w:val="000000"/>
                <w:sz w:val="24"/>
                <w:szCs w:val="24"/>
              </w:rPr>
            </w:pPr>
            <w:r w:rsidRPr="000E1D43">
              <w:rPr>
                <w:rFonts w:ascii="Times New Roman" w:eastAsia="Times New Roman" w:hAnsi="Times New Roman" w:cs="Times New Roman"/>
                <w:b w:val="0"/>
                <w:bCs w:val="0"/>
                <w:color w:val="000000"/>
                <w:sz w:val="24"/>
                <w:szCs w:val="24"/>
                <w:lang w:val="en-US"/>
              </w:rPr>
              <w:t>SHAREHOLDERS RATIOS</w:t>
            </w:r>
          </w:p>
        </w:tc>
        <w:tc>
          <w:tcPr>
            <w:tcW w:w="1220"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746"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20" w:type="dxa"/>
            <w:noWrap/>
            <w:hideMark/>
          </w:tcPr>
          <w:p w:rsidR="00F162B0" w:rsidRPr="000E1D43" w:rsidRDefault="00F162B0"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F162B0" w:rsidRPr="000E1D43" w:rsidTr="0096556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386" w:type="dxa"/>
            <w:noWrap/>
            <w:hideMark/>
          </w:tcPr>
          <w:p w:rsidR="00F162B0" w:rsidRPr="000E1D43" w:rsidRDefault="00F162B0"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Earnings per Share (EPS)</w:t>
            </w:r>
          </w:p>
        </w:tc>
        <w:tc>
          <w:tcPr>
            <w:tcW w:w="1220"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3.3</w:t>
            </w:r>
          </w:p>
        </w:tc>
        <w:tc>
          <w:tcPr>
            <w:tcW w:w="1746"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w:t>
            </w:r>
          </w:p>
        </w:tc>
        <w:tc>
          <w:tcPr>
            <w:tcW w:w="1220"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2.6</w:t>
            </w:r>
          </w:p>
        </w:tc>
      </w:tr>
      <w:tr w:rsidR="007B52B8" w:rsidRPr="000E1D43" w:rsidTr="00965560">
        <w:trPr>
          <w:trHeight w:val="315"/>
          <w:jc w:val="center"/>
        </w:trPr>
        <w:tc>
          <w:tcPr>
            <w:cnfStyle w:val="001000000000" w:firstRow="0" w:lastRow="0" w:firstColumn="1" w:lastColumn="0" w:oddVBand="0" w:evenVBand="0" w:oddHBand="0" w:evenHBand="0" w:firstRowFirstColumn="0" w:firstRowLastColumn="0" w:lastRowFirstColumn="0" w:lastRowLastColumn="0"/>
            <w:tcW w:w="4386" w:type="dxa"/>
            <w:noWrap/>
            <w:hideMark/>
          </w:tcPr>
          <w:p w:rsidR="007B52B8" w:rsidRPr="000E1D43" w:rsidRDefault="007B52B8"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 xml:space="preserve">Number of shares </w:t>
            </w:r>
          </w:p>
        </w:tc>
        <w:tc>
          <w:tcPr>
            <w:tcW w:w="1220" w:type="dxa"/>
            <w:noWrap/>
            <w:hideMark/>
          </w:tcPr>
          <w:p w:rsidR="007B52B8" w:rsidRPr="000E1D43" w:rsidRDefault="007B52B8"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0E1D43">
              <w:rPr>
                <w:rFonts w:ascii="Times New Roman" w:hAnsi="Times New Roman" w:cs="Times New Roman"/>
                <w:color w:val="000000"/>
                <w:sz w:val="24"/>
                <w:szCs w:val="24"/>
              </w:rPr>
              <w:t>4463424242</w:t>
            </w:r>
          </w:p>
        </w:tc>
        <w:tc>
          <w:tcPr>
            <w:tcW w:w="1746" w:type="dxa"/>
            <w:noWrap/>
            <w:hideMark/>
          </w:tcPr>
          <w:p w:rsidR="007B52B8" w:rsidRPr="000E1D43" w:rsidRDefault="007B52B8"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0E1D43">
              <w:rPr>
                <w:rFonts w:ascii="Times New Roman" w:hAnsi="Times New Roman" w:cs="Times New Roman"/>
                <w:color w:val="000000"/>
                <w:sz w:val="24"/>
                <w:szCs w:val="24"/>
              </w:rPr>
              <w:t>4830300000</w:t>
            </w:r>
          </w:p>
        </w:tc>
        <w:tc>
          <w:tcPr>
            <w:tcW w:w="1220" w:type="dxa"/>
            <w:noWrap/>
            <w:hideMark/>
          </w:tcPr>
          <w:p w:rsidR="007B52B8" w:rsidRPr="000E1D43" w:rsidRDefault="007B52B8" w:rsidP="000E1D4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0E1D43">
              <w:rPr>
                <w:rFonts w:ascii="Times New Roman" w:hAnsi="Times New Roman" w:cs="Times New Roman"/>
                <w:color w:val="000000"/>
                <w:sz w:val="24"/>
                <w:szCs w:val="24"/>
              </w:rPr>
              <w:t>4737846154</w:t>
            </w:r>
          </w:p>
        </w:tc>
      </w:tr>
      <w:tr w:rsidR="00F162B0" w:rsidRPr="000E1D43" w:rsidTr="0096556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386" w:type="dxa"/>
            <w:noWrap/>
            <w:hideMark/>
          </w:tcPr>
          <w:p w:rsidR="00F162B0" w:rsidRPr="000E1D43" w:rsidRDefault="00F162B0" w:rsidP="000E1D43">
            <w:pPr>
              <w:spacing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Dividends per Share DPS</w:t>
            </w:r>
          </w:p>
        </w:tc>
        <w:tc>
          <w:tcPr>
            <w:tcW w:w="1220"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149</w:t>
            </w:r>
          </w:p>
        </w:tc>
        <w:tc>
          <w:tcPr>
            <w:tcW w:w="1746"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135</w:t>
            </w:r>
          </w:p>
        </w:tc>
        <w:tc>
          <w:tcPr>
            <w:tcW w:w="1220" w:type="dxa"/>
            <w:noWrap/>
            <w:hideMark/>
          </w:tcPr>
          <w:p w:rsidR="00F162B0" w:rsidRPr="000E1D43" w:rsidRDefault="00F162B0" w:rsidP="000E1D4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122</w:t>
            </w:r>
          </w:p>
        </w:tc>
      </w:tr>
    </w:tbl>
    <w:p w:rsidR="00F162B0" w:rsidRPr="000E1D43" w:rsidRDefault="00F162B0" w:rsidP="000E1D43">
      <w:pPr>
        <w:spacing w:line="360" w:lineRule="auto"/>
        <w:jc w:val="both"/>
        <w:rPr>
          <w:rFonts w:ascii="Times New Roman" w:hAnsi="Times New Roman" w:cs="Times New Roman"/>
          <w:sz w:val="24"/>
          <w:szCs w:val="24"/>
        </w:rPr>
      </w:pPr>
    </w:p>
    <w:p w:rsidR="00373679" w:rsidRPr="000E1D43" w:rsidRDefault="006A0183"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lastRenderedPageBreak/>
        <w:t xml:space="preserve">EPS i.e. earnings per share is the segment of the business’s benefits distributed to share of stock, filling in as a market of </w:t>
      </w:r>
      <w:r w:rsidR="0095753E" w:rsidRPr="000E1D43">
        <w:rPr>
          <w:rFonts w:ascii="Times New Roman" w:hAnsi="Times New Roman" w:cs="Times New Roman"/>
          <w:sz w:val="24"/>
          <w:szCs w:val="24"/>
        </w:rPr>
        <w:t>the business</w:t>
      </w:r>
      <w:r w:rsidRPr="000E1D43">
        <w:rPr>
          <w:rFonts w:ascii="Times New Roman" w:hAnsi="Times New Roman" w:cs="Times New Roman"/>
          <w:sz w:val="24"/>
          <w:szCs w:val="24"/>
        </w:rPr>
        <w:t xml:space="preserve"> profitability</w:t>
      </w:r>
      <w:r w:rsidR="0095753E" w:rsidRPr="000E1D43">
        <w:rPr>
          <w:rFonts w:ascii="Times New Roman" w:hAnsi="Times New Roman" w:cs="Times New Roman"/>
          <w:sz w:val="24"/>
          <w:szCs w:val="24"/>
        </w:rPr>
        <w:t xml:space="preserve">. </w:t>
      </w:r>
      <w:r w:rsidRPr="000E1D43">
        <w:rPr>
          <w:rFonts w:ascii="Times New Roman" w:hAnsi="Times New Roman" w:cs="Times New Roman"/>
          <w:sz w:val="24"/>
          <w:szCs w:val="24"/>
        </w:rPr>
        <w:t xml:space="preserve">     </w:t>
      </w:r>
    </w:p>
    <w:p w:rsidR="007E4BBE" w:rsidRPr="000E1D43" w:rsidRDefault="007E4BBE"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drawing>
          <wp:inline distT="0" distB="0" distL="0" distR="0">
            <wp:extent cx="4572000" cy="2743200"/>
            <wp:effectExtent l="19050" t="0" r="19050" b="0"/>
            <wp:docPr id="1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B52B8" w:rsidRPr="000E1D43" w:rsidRDefault="00A935FF"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The above picture clearly shows </w:t>
      </w:r>
      <w:r w:rsidR="00013753" w:rsidRPr="000E1D43">
        <w:rPr>
          <w:rFonts w:ascii="Times New Roman" w:hAnsi="Times New Roman" w:cs="Times New Roman"/>
          <w:sz w:val="24"/>
          <w:szCs w:val="24"/>
        </w:rPr>
        <w:t xml:space="preserve">that earnings per share of the organization paddy power Betfair are gradually increased from FY2013 to FY2015 whereas the performance of the William hill plc’s EPS is decreased from FY2014 to FY2015. The figure signifies that </w:t>
      </w:r>
      <w:r w:rsidR="00D31A4C" w:rsidRPr="000E1D43">
        <w:rPr>
          <w:rFonts w:ascii="Times New Roman" w:hAnsi="Times New Roman" w:cs="Times New Roman"/>
          <w:sz w:val="24"/>
          <w:szCs w:val="24"/>
        </w:rPr>
        <w:t xml:space="preserve">performance in terms of earning per share is deceased and the company is not performing well in market. </w:t>
      </w:r>
    </w:p>
    <w:p w:rsidR="00A935FF" w:rsidRPr="000E1D43" w:rsidRDefault="007B52B8"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drawing>
          <wp:inline distT="0" distB="0" distL="0" distR="0">
            <wp:extent cx="3404633" cy="1871330"/>
            <wp:effectExtent l="19050" t="0" r="24367" b="0"/>
            <wp:docPr id="1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573BF" w:rsidRPr="000E1D43" w:rsidRDefault="006B1BB5"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The findings shows that values of dividends per shares of the organization paddy power Betfair plc is in increasing order whereas William hill plc performance in terms of DPS is declined in same period.  Therefore that the findings signifies that the organization paddy power Betfair plc has an effective ability to utilize its income to adventure development that may helps the organization to bring more profits and return for long term. Therefore from the findings it can </w:t>
      </w:r>
      <w:r w:rsidRPr="000E1D43">
        <w:rPr>
          <w:rFonts w:ascii="Times New Roman" w:hAnsi="Times New Roman" w:cs="Times New Roman"/>
          <w:sz w:val="24"/>
          <w:szCs w:val="24"/>
        </w:rPr>
        <w:lastRenderedPageBreak/>
        <w:t xml:space="preserve">be suggested that the investor needs to invest in paddy power Betfair plc as compare to William hill plc. </w:t>
      </w:r>
    </w:p>
    <w:p w:rsidR="003F6B4C" w:rsidRPr="000E1D43" w:rsidRDefault="003F6B4C" w:rsidP="000E1D43">
      <w:pPr>
        <w:spacing w:line="360" w:lineRule="auto"/>
        <w:jc w:val="both"/>
        <w:rPr>
          <w:rFonts w:ascii="Times New Roman" w:hAnsi="Times New Roman" w:cs="Times New Roman"/>
          <w:sz w:val="24"/>
          <w:szCs w:val="24"/>
        </w:rPr>
      </w:pPr>
      <w:r w:rsidRPr="000E1D43">
        <w:rPr>
          <w:rFonts w:ascii="Times New Roman" w:hAnsi="Times New Roman" w:cs="Times New Roman"/>
          <w:noProof/>
          <w:sz w:val="24"/>
          <w:szCs w:val="24"/>
        </w:rPr>
        <w:drawing>
          <wp:inline distT="0" distB="0" distL="0" distR="0">
            <wp:extent cx="4572000" cy="2743200"/>
            <wp:effectExtent l="19050" t="0" r="19050" b="0"/>
            <wp:docPr id="1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F6B4C" w:rsidRPr="000E1D43" w:rsidRDefault="003F6B4C"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The higher payout values indicate the less the organization has for reinvestment. It can be seen that both the organizations had made an effective profit in past three years</w:t>
      </w:r>
      <w:r w:rsidR="00217F2E" w:rsidRPr="000E1D43">
        <w:rPr>
          <w:rFonts w:ascii="Times New Roman" w:hAnsi="Times New Roman" w:cs="Times New Roman"/>
          <w:sz w:val="24"/>
          <w:szCs w:val="24"/>
        </w:rPr>
        <w:t xml:space="preserve"> as well as had a paid dividend to its stakeholders</w:t>
      </w:r>
      <w:r w:rsidR="004B7550" w:rsidRPr="000E1D43">
        <w:rPr>
          <w:rFonts w:ascii="Times New Roman" w:hAnsi="Times New Roman" w:cs="Times New Roman"/>
          <w:sz w:val="24"/>
          <w:szCs w:val="24"/>
        </w:rPr>
        <w:t xml:space="preserve"> </w:t>
      </w:r>
      <w:r w:rsidR="00777850" w:rsidRPr="000E1D43">
        <w:rPr>
          <w:rFonts w:ascii="Times New Roman" w:hAnsi="Times New Roman" w:cs="Times New Roman"/>
          <w:sz w:val="24"/>
          <w:szCs w:val="24"/>
        </w:rPr>
        <w:t>(Prime, 2011)</w:t>
      </w:r>
      <w:r w:rsidR="00217F2E" w:rsidRPr="000E1D43">
        <w:rPr>
          <w:rFonts w:ascii="Times New Roman" w:hAnsi="Times New Roman" w:cs="Times New Roman"/>
          <w:sz w:val="24"/>
          <w:szCs w:val="24"/>
        </w:rPr>
        <w:t xml:space="preserve">. </w:t>
      </w:r>
      <w:r w:rsidR="008A66D8" w:rsidRPr="000E1D43">
        <w:rPr>
          <w:rFonts w:ascii="Times New Roman" w:hAnsi="Times New Roman" w:cs="Times New Roman"/>
          <w:sz w:val="24"/>
          <w:szCs w:val="24"/>
        </w:rPr>
        <w:t>These figures show</w:t>
      </w:r>
      <w:r w:rsidR="00217F2E" w:rsidRPr="000E1D43">
        <w:rPr>
          <w:rFonts w:ascii="Times New Roman" w:hAnsi="Times New Roman" w:cs="Times New Roman"/>
          <w:sz w:val="24"/>
          <w:szCs w:val="24"/>
        </w:rPr>
        <w:t xml:space="preserve"> that both organizations are attracting to shareholders to invest in the organizations. </w:t>
      </w:r>
      <w:r w:rsidR="00572975" w:rsidRPr="000E1D43">
        <w:rPr>
          <w:rFonts w:ascii="Times New Roman" w:hAnsi="Times New Roman" w:cs="Times New Roman"/>
          <w:sz w:val="24"/>
          <w:szCs w:val="24"/>
        </w:rPr>
        <w:t xml:space="preserve">Therefore it is said that </w:t>
      </w:r>
      <w:r w:rsidR="001B04D1" w:rsidRPr="000E1D43">
        <w:rPr>
          <w:rFonts w:ascii="Times New Roman" w:hAnsi="Times New Roman" w:cs="Times New Roman"/>
          <w:sz w:val="24"/>
          <w:szCs w:val="24"/>
        </w:rPr>
        <w:t xml:space="preserve">investor who is looking for less risks from the stock will prefer the organization Paddy power Betfair plc rather than William hill plc. </w:t>
      </w:r>
      <w:r w:rsidR="00217F2E" w:rsidRPr="000E1D43">
        <w:rPr>
          <w:rFonts w:ascii="Times New Roman" w:hAnsi="Times New Roman" w:cs="Times New Roman"/>
          <w:sz w:val="24"/>
          <w:szCs w:val="24"/>
        </w:rPr>
        <w:t xml:space="preserve">   </w:t>
      </w:r>
      <w:r w:rsidRPr="000E1D43">
        <w:rPr>
          <w:rFonts w:ascii="Times New Roman" w:hAnsi="Times New Roman" w:cs="Times New Roman"/>
          <w:sz w:val="24"/>
          <w:szCs w:val="24"/>
        </w:rPr>
        <w:t xml:space="preserve">   </w:t>
      </w:r>
    </w:p>
    <w:p w:rsidR="008573BF" w:rsidRPr="000E1D43" w:rsidRDefault="000E1D43" w:rsidP="000E1D43">
      <w:pPr>
        <w:pStyle w:val="Heading1"/>
        <w:spacing w:line="360" w:lineRule="auto"/>
        <w:jc w:val="both"/>
        <w:rPr>
          <w:rFonts w:ascii="Times New Roman" w:hAnsi="Times New Roman" w:cs="Times New Roman"/>
          <w:sz w:val="24"/>
          <w:szCs w:val="24"/>
        </w:rPr>
      </w:pPr>
      <w:bookmarkStart w:id="9" w:name="_Toc511995538"/>
      <w:r w:rsidRPr="000E1D43">
        <w:rPr>
          <w:rFonts w:ascii="Times New Roman" w:hAnsi="Times New Roman" w:cs="Times New Roman"/>
          <w:sz w:val="24"/>
          <w:szCs w:val="24"/>
        </w:rPr>
        <w:t xml:space="preserve">1.3 </w:t>
      </w:r>
      <w:r w:rsidR="008573BF" w:rsidRPr="000E1D43">
        <w:rPr>
          <w:rFonts w:ascii="Times New Roman" w:hAnsi="Times New Roman" w:cs="Times New Roman"/>
          <w:sz w:val="24"/>
          <w:szCs w:val="24"/>
        </w:rPr>
        <w:t>Findings</w:t>
      </w:r>
      <w:r w:rsidR="008A7AE7" w:rsidRPr="000E1D43">
        <w:rPr>
          <w:rFonts w:ascii="Times New Roman" w:hAnsi="Times New Roman" w:cs="Times New Roman"/>
          <w:sz w:val="24"/>
          <w:szCs w:val="24"/>
        </w:rPr>
        <w:t xml:space="preserve"> and summery of analysis results</w:t>
      </w:r>
      <w:bookmarkEnd w:id="9"/>
      <w:r w:rsidR="008A7AE7" w:rsidRPr="000E1D43">
        <w:rPr>
          <w:rFonts w:ascii="Times New Roman" w:hAnsi="Times New Roman" w:cs="Times New Roman"/>
          <w:sz w:val="24"/>
          <w:szCs w:val="24"/>
        </w:rPr>
        <w:t xml:space="preserve"> </w:t>
      </w:r>
      <w:r w:rsidR="008573BF" w:rsidRPr="000E1D43">
        <w:rPr>
          <w:rFonts w:ascii="Times New Roman" w:hAnsi="Times New Roman" w:cs="Times New Roman"/>
          <w:sz w:val="24"/>
          <w:szCs w:val="24"/>
        </w:rPr>
        <w:t xml:space="preserve"> </w:t>
      </w:r>
    </w:p>
    <w:p w:rsidR="00C2211C" w:rsidRPr="000E1D43" w:rsidRDefault="00C2211C"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The organization paddy power income has been increased by 24% to 1049 million euro in FY2015 with two fold digit growth overall the retail and web division. Apart from that the organization working benefits also increased 10% to 180million euro. Weakened earning per share up 12% to 332.8 cents for each and every share, entire financial years performance in terms of profits was increased by 18% to 180 cents in each share as well as extra 8 euro per share money return in the middle of financial year 2015. On the other hand retail income has also increased by 15%.  On the other hand, William hill plc performance in online is reduced by 11 % gaming was 4% let, however sports book was decreased by 17% impacted mainly by misfortunate at Cheltenham.                             </w:t>
      </w:r>
    </w:p>
    <w:p w:rsidR="008A7AE7" w:rsidRPr="000E1D43" w:rsidRDefault="008573BF"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As per the ratios analysis of both organizations, it is seen that in term of profitability performance</w:t>
      </w:r>
      <w:r w:rsidR="00362C7B" w:rsidRPr="000E1D43">
        <w:rPr>
          <w:rFonts w:ascii="Times New Roman" w:hAnsi="Times New Roman" w:cs="Times New Roman"/>
          <w:sz w:val="24"/>
          <w:szCs w:val="24"/>
        </w:rPr>
        <w:t xml:space="preserve"> (gross profit margin), both Paddy power betfair and William hi</w:t>
      </w:r>
      <w:r w:rsidR="006E7313" w:rsidRPr="000E1D43">
        <w:rPr>
          <w:rFonts w:ascii="Times New Roman" w:hAnsi="Times New Roman" w:cs="Times New Roman"/>
          <w:sz w:val="24"/>
          <w:szCs w:val="24"/>
        </w:rPr>
        <w:t>l</w:t>
      </w:r>
      <w:r w:rsidR="00362C7B" w:rsidRPr="000E1D43">
        <w:rPr>
          <w:rFonts w:ascii="Times New Roman" w:hAnsi="Times New Roman" w:cs="Times New Roman"/>
          <w:sz w:val="24"/>
          <w:szCs w:val="24"/>
        </w:rPr>
        <w:t xml:space="preserve">l plc performance </w:t>
      </w:r>
      <w:r w:rsidR="00362C7B" w:rsidRPr="000E1D43">
        <w:rPr>
          <w:rFonts w:ascii="Times New Roman" w:hAnsi="Times New Roman" w:cs="Times New Roman"/>
          <w:sz w:val="24"/>
          <w:szCs w:val="24"/>
        </w:rPr>
        <w:lastRenderedPageBreak/>
        <w:t xml:space="preserve">is reduced for the period of 2013 to 2015 which is not well for an organizations. This is due to fact that the cost of goods sales of both </w:t>
      </w:r>
      <w:r w:rsidR="00815737" w:rsidRPr="000E1D43">
        <w:rPr>
          <w:rFonts w:ascii="Times New Roman" w:hAnsi="Times New Roman" w:cs="Times New Roman"/>
          <w:sz w:val="24"/>
          <w:szCs w:val="24"/>
        </w:rPr>
        <w:t>organizations</w:t>
      </w:r>
      <w:r w:rsidR="00362C7B" w:rsidRPr="000E1D43">
        <w:rPr>
          <w:rFonts w:ascii="Times New Roman" w:hAnsi="Times New Roman" w:cs="Times New Roman"/>
          <w:sz w:val="24"/>
          <w:szCs w:val="24"/>
        </w:rPr>
        <w:t xml:space="preserve"> has been increased during the period. </w:t>
      </w:r>
      <w:r w:rsidR="00815737" w:rsidRPr="000E1D43">
        <w:rPr>
          <w:rFonts w:ascii="Times New Roman" w:hAnsi="Times New Roman" w:cs="Times New Roman"/>
          <w:sz w:val="24"/>
          <w:szCs w:val="24"/>
        </w:rPr>
        <w:t xml:space="preserve">William hill plc </w:t>
      </w:r>
      <w:r w:rsidR="000326C0" w:rsidRPr="000E1D43">
        <w:rPr>
          <w:rFonts w:ascii="Times New Roman" w:hAnsi="Times New Roman" w:cs="Times New Roman"/>
          <w:sz w:val="24"/>
          <w:szCs w:val="24"/>
        </w:rPr>
        <w:t xml:space="preserve">has reduction in net profit margin from the financial year 2013 to FY2015 whereas </w:t>
      </w:r>
      <w:r w:rsidR="004247C8" w:rsidRPr="000E1D43">
        <w:rPr>
          <w:rFonts w:ascii="Times New Roman" w:hAnsi="Times New Roman" w:cs="Times New Roman"/>
          <w:sz w:val="24"/>
          <w:szCs w:val="24"/>
        </w:rPr>
        <w:t xml:space="preserve">paddy </w:t>
      </w:r>
      <w:r w:rsidR="000326C0" w:rsidRPr="000E1D43">
        <w:rPr>
          <w:rFonts w:ascii="Times New Roman" w:hAnsi="Times New Roman" w:cs="Times New Roman"/>
          <w:sz w:val="24"/>
          <w:szCs w:val="24"/>
        </w:rPr>
        <w:t>power betfair plc has higher net profit margin in same period than William hill plc</w:t>
      </w:r>
      <w:r w:rsidR="004247C8" w:rsidRPr="000E1D43">
        <w:rPr>
          <w:rFonts w:ascii="Times New Roman" w:hAnsi="Times New Roman" w:cs="Times New Roman"/>
          <w:sz w:val="24"/>
          <w:szCs w:val="24"/>
        </w:rPr>
        <w:t>. In terms of liquidity performance paddy power betfair plc is performing well that signifies that company has sufficient fund to pay its debtors</w:t>
      </w:r>
      <w:r w:rsidR="00777850" w:rsidRPr="000E1D43">
        <w:rPr>
          <w:rFonts w:ascii="Times New Roman" w:hAnsi="Times New Roman" w:cs="Times New Roman"/>
          <w:sz w:val="24"/>
          <w:szCs w:val="24"/>
        </w:rPr>
        <w:t xml:space="preserve"> (Rees, 2008)</w:t>
      </w:r>
      <w:r w:rsidR="004247C8" w:rsidRPr="000E1D43">
        <w:rPr>
          <w:rFonts w:ascii="Times New Roman" w:hAnsi="Times New Roman" w:cs="Times New Roman"/>
          <w:sz w:val="24"/>
          <w:szCs w:val="24"/>
        </w:rPr>
        <w:t xml:space="preserve">. Moreover, in terms of shareholder performance as well as efficiency performance paddy power betfair is performing up to the mark which signifies that, </w:t>
      </w:r>
      <w:r w:rsidR="00217F2E" w:rsidRPr="000E1D43">
        <w:rPr>
          <w:rFonts w:ascii="Times New Roman" w:hAnsi="Times New Roman" w:cs="Times New Roman"/>
          <w:sz w:val="24"/>
          <w:szCs w:val="24"/>
        </w:rPr>
        <w:t>investor’s</w:t>
      </w:r>
      <w:r w:rsidR="004247C8" w:rsidRPr="000E1D43">
        <w:rPr>
          <w:rFonts w:ascii="Times New Roman" w:hAnsi="Times New Roman" w:cs="Times New Roman"/>
          <w:sz w:val="24"/>
          <w:szCs w:val="24"/>
        </w:rPr>
        <w:t xml:space="preserve"> needs to invest its money paddy power betfair because the organization involves less risks and higher profits. </w:t>
      </w:r>
      <w:r w:rsidR="00217F2E" w:rsidRPr="000E1D43">
        <w:rPr>
          <w:rFonts w:ascii="Times New Roman" w:hAnsi="Times New Roman" w:cs="Times New Roman"/>
          <w:sz w:val="24"/>
          <w:szCs w:val="24"/>
        </w:rPr>
        <w:t xml:space="preserve">Overall from the ratios analysis findings it can be said that paddy power betfair plc performing much better than William hill plc.   </w:t>
      </w:r>
      <w:r w:rsidR="004247C8" w:rsidRPr="000E1D43">
        <w:rPr>
          <w:rFonts w:ascii="Times New Roman" w:hAnsi="Times New Roman" w:cs="Times New Roman"/>
          <w:sz w:val="24"/>
          <w:szCs w:val="24"/>
        </w:rPr>
        <w:t xml:space="preserve">       </w:t>
      </w:r>
    </w:p>
    <w:p w:rsidR="00C2211C" w:rsidRPr="000E1D43" w:rsidRDefault="000E1D43" w:rsidP="000E1D43">
      <w:pPr>
        <w:pStyle w:val="Heading1"/>
        <w:spacing w:line="360" w:lineRule="auto"/>
        <w:jc w:val="both"/>
        <w:rPr>
          <w:rFonts w:ascii="Times New Roman" w:hAnsi="Times New Roman" w:cs="Times New Roman"/>
          <w:sz w:val="24"/>
          <w:szCs w:val="24"/>
        </w:rPr>
      </w:pPr>
      <w:bookmarkStart w:id="10" w:name="_Toc511995539"/>
      <w:r w:rsidRPr="000E1D43">
        <w:rPr>
          <w:rFonts w:ascii="Times New Roman" w:hAnsi="Times New Roman" w:cs="Times New Roman"/>
          <w:sz w:val="24"/>
          <w:szCs w:val="24"/>
        </w:rPr>
        <w:t xml:space="preserve">1.4 </w:t>
      </w:r>
      <w:r w:rsidR="00C2211C" w:rsidRPr="000E1D43">
        <w:rPr>
          <w:rFonts w:ascii="Times New Roman" w:hAnsi="Times New Roman" w:cs="Times New Roman"/>
          <w:sz w:val="24"/>
          <w:szCs w:val="24"/>
        </w:rPr>
        <w:t>Recommendation for investment</w:t>
      </w:r>
      <w:bookmarkEnd w:id="10"/>
      <w:r w:rsidR="00C2211C" w:rsidRPr="000E1D43">
        <w:rPr>
          <w:rFonts w:ascii="Times New Roman" w:hAnsi="Times New Roman" w:cs="Times New Roman"/>
          <w:sz w:val="24"/>
          <w:szCs w:val="24"/>
        </w:rPr>
        <w:t xml:space="preserve"> </w:t>
      </w:r>
    </w:p>
    <w:p w:rsidR="006055A3" w:rsidRPr="000E1D43" w:rsidRDefault="00C2211C"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Based on the above analysis and findings it can be seen that there are significant difference between two organizations William hill plc and paddy power Betfair plc in regards of </w:t>
      </w:r>
      <w:r w:rsidR="00477646" w:rsidRPr="000E1D43">
        <w:rPr>
          <w:rFonts w:ascii="Times New Roman" w:hAnsi="Times New Roman" w:cs="Times New Roman"/>
          <w:sz w:val="24"/>
          <w:szCs w:val="24"/>
        </w:rPr>
        <w:t>efficiency, profitability, investment, gearing</w:t>
      </w:r>
      <w:r w:rsidR="000A756E" w:rsidRPr="000E1D43">
        <w:rPr>
          <w:rFonts w:ascii="Times New Roman" w:hAnsi="Times New Roman" w:cs="Times New Roman"/>
          <w:sz w:val="24"/>
          <w:szCs w:val="24"/>
        </w:rPr>
        <w:t>, shareholder</w:t>
      </w:r>
      <w:r w:rsidR="00477646" w:rsidRPr="000E1D43">
        <w:rPr>
          <w:rFonts w:ascii="Times New Roman" w:hAnsi="Times New Roman" w:cs="Times New Roman"/>
          <w:sz w:val="24"/>
          <w:szCs w:val="24"/>
        </w:rPr>
        <w:t xml:space="preserve"> performance</w:t>
      </w:r>
      <w:r w:rsidR="00504FB6" w:rsidRPr="000E1D43">
        <w:rPr>
          <w:rFonts w:ascii="Times New Roman" w:hAnsi="Times New Roman" w:cs="Times New Roman"/>
          <w:sz w:val="24"/>
          <w:szCs w:val="24"/>
        </w:rPr>
        <w:t xml:space="preserve"> internal resources including customers and products. It can be noted that compared with William hill plc, Paddy power has performing well and accomplish higher return on net profit margin and capital employed</w:t>
      </w:r>
      <w:r w:rsidR="00CE0F2F" w:rsidRPr="000E1D43">
        <w:rPr>
          <w:rFonts w:ascii="Times New Roman" w:hAnsi="Times New Roman" w:cs="Times New Roman"/>
          <w:sz w:val="24"/>
          <w:szCs w:val="24"/>
        </w:rPr>
        <w:t>, event through the organization trends in terms of growth profit margin in same. Moreover with through analysis statistical data of both organizations</w:t>
      </w:r>
      <w:r w:rsidR="00C0662F" w:rsidRPr="000E1D43">
        <w:rPr>
          <w:rFonts w:ascii="Times New Roman" w:hAnsi="Times New Roman" w:cs="Times New Roman"/>
          <w:sz w:val="24"/>
          <w:szCs w:val="24"/>
        </w:rPr>
        <w:t xml:space="preserve"> in regards of gearing ratios, liquidity ratios, investment and service portfolio, it is not difficult to say that paddy power has more competitive benefits</w:t>
      </w:r>
      <w:r w:rsidR="00214EBF" w:rsidRPr="000E1D43">
        <w:rPr>
          <w:rFonts w:ascii="Times New Roman" w:hAnsi="Times New Roman" w:cs="Times New Roman"/>
          <w:sz w:val="24"/>
          <w:szCs w:val="24"/>
        </w:rPr>
        <w:t xml:space="preserve"> and bringing more benefits for its customers or clients. Based on these conclusion and findings it is recommended that investor need to invest the money on paddy power Betfair plc rather than William hill plc</w:t>
      </w:r>
      <w:r w:rsidR="00733FDB" w:rsidRPr="000E1D43">
        <w:rPr>
          <w:rFonts w:ascii="Times New Roman" w:hAnsi="Times New Roman" w:cs="Times New Roman"/>
          <w:sz w:val="24"/>
          <w:szCs w:val="24"/>
        </w:rPr>
        <w:t xml:space="preserve">. As per the ratios analysis, it can be seen that in FY2015, paddy Power Betfair is performing well and involves less risks which is helps to Tim Farrow </w:t>
      </w:r>
      <w:r w:rsidR="009F5913" w:rsidRPr="000E1D43">
        <w:rPr>
          <w:rFonts w:ascii="Times New Roman" w:hAnsi="Times New Roman" w:cs="Times New Roman"/>
          <w:sz w:val="24"/>
          <w:szCs w:val="24"/>
        </w:rPr>
        <w:t xml:space="preserve">to achieve higher benefits in upcoming years.   </w:t>
      </w:r>
      <w:r w:rsidR="00733FDB" w:rsidRPr="000E1D43">
        <w:rPr>
          <w:rFonts w:ascii="Times New Roman" w:hAnsi="Times New Roman" w:cs="Times New Roman"/>
          <w:sz w:val="24"/>
          <w:szCs w:val="24"/>
        </w:rPr>
        <w:t xml:space="preserve">  </w:t>
      </w:r>
      <w:r w:rsidR="00214EBF" w:rsidRPr="000E1D43">
        <w:rPr>
          <w:rFonts w:ascii="Times New Roman" w:hAnsi="Times New Roman" w:cs="Times New Roman"/>
          <w:sz w:val="24"/>
          <w:szCs w:val="24"/>
        </w:rPr>
        <w:t xml:space="preserve"> </w:t>
      </w:r>
    </w:p>
    <w:p w:rsidR="00D44C11" w:rsidRPr="000E1D43" w:rsidRDefault="00D44C11"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br w:type="page"/>
      </w:r>
    </w:p>
    <w:p w:rsidR="00D44C11" w:rsidRPr="000E1D43" w:rsidRDefault="006055A3" w:rsidP="000E1D43">
      <w:pPr>
        <w:pStyle w:val="Heading1"/>
        <w:spacing w:line="360" w:lineRule="auto"/>
        <w:jc w:val="both"/>
        <w:rPr>
          <w:rFonts w:ascii="Times New Roman" w:hAnsi="Times New Roman" w:cs="Times New Roman"/>
          <w:sz w:val="24"/>
          <w:szCs w:val="24"/>
        </w:rPr>
      </w:pPr>
      <w:bookmarkStart w:id="11" w:name="_Toc511995540"/>
      <w:r w:rsidRPr="000E1D43">
        <w:rPr>
          <w:rFonts w:ascii="Times New Roman" w:hAnsi="Times New Roman" w:cs="Times New Roman"/>
          <w:sz w:val="24"/>
          <w:szCs w:val="24"/>
        </w:rPr>
        <w:lastRenderedPageBreak/>
        <w:t>References</w:t>
      </w:r>
      <w:bookmarkEnd w:id="11"/>
      <w:r w:rsidRPr="000E1D43">
        <w:rPr>
          <w:rFonts w:ascii="Times New Roman" w:hAnsi="Times New Roman" w:cs="Times New Roman"/>
          <w:sz w:val="24"/>
          <w:szCs w:val="24"/>
        </w:rPr>
        <w:t xml:space="preserve"> </w:t>
      </w:r>
      <w:r w:rsidR="00214EBF" w:rsidRPr="000E1D43">
        <w:rPr>
          <w:rFonts w:ascii="Times New Roman" w:hAnsi="Times New Roman" w:cs="Times New Roman"/>
          <w:sz w:val="24"/>
          <w:szCs w:val="24"/>
        </w:rPr>
        <w:t xml:space="preserve">   </w:t>
      </w:r>
      <w:r w:rsidR="00C0662F" w:rsidRPr="000E1D43">
        <w:rPr>
          <w:rFonts w:ascii="Times New Roman" w:hAnsi="Times New Roman" w:cs="Times New Roman"/>
          <w:sz w:val="24"/>
          <w:szCs w:val="24"/>
        </w:rPr>
        <w:t xml:space="preserve">   </w:t>
      </w:r>
      <w:r w:rsidR="00CE0F2F" w:rsidRPr="000E1D43">
        <w:rPr>
          <w:rFonts w:ascii="Times New Roman" w:hAnsi="Times New Roman" w:cs="Times New Roman"/>
          <w:sz w:val="24"/>
          <w:szCs w:val="24"/>
        </w:rPr>
        <w:t xml:space="preserve">   </w:t>
      </w:r>
      <w:r w:rsidR="00504FB6" w:rsidRPr="000E1D43">
        <w:rPr>
          <w:rFonts w:ascii="Times New Roman" w:hAnsi="Times New Roman" w:cs="Times New Roman"/>
          <w:sz w:val="24"/>
          <w:szCs w:val="24"/>
        </w:rPr>
        <w:t xml:space="preserve">   </w:t>
      </w:r>
      <w:r w:rsidR="007157D8" w:rsidRPr="000E1D43">
        <w:rPr>
          <w:rFonts w:ascii="Times New Roman" w:hAnsi="Times New Roman" w:cs="Times New Roman"/>
          <w:sz w:val="24"/>
          <w:szCs w:val="24"/>
        </w:rPr>
        <w:t xml:space="preserve">                                                             </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Brigham, E. F., and Houston, J. F. (2012). </w:t>
      </w:r>
      <w:r w:rsidRPr="000E1D43">
        <w:rPr>
          <w:rFonts w:ascii="Times New Roman" w:hAnsi="Times New Roman" w:cs="Times New Roman"/>
          <w:i/>
          <w:iCs/>
          <w:sz w:val="24"/>
          <w:szCs w:val="24"/>
        </w:rPr>
        <w:t>Fundamentals of financial management</w:t>
      </w:r>
      <w:r w:rsidRPr="000E1D43">
        <w:rPr>
          <w:rFonts w:ascii="Times New Roman" w:hAnsi="Times New Roman" w:cs="Times New Roman"/>
          <w:sz w:val="24"/>
          <w:szCs w:val="24"/>
        </w:rPr>
        <w:t>. Cengage Learning.</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Chandra, P. (2011). </w:t>
      </w:r>
      <w:r w:rsidRPr="000E1D43">
        <w:rPr>
          <w:rFonts w:ascii="Times New Roman" w:hAnsi="Times New Roman" w:cs="Times New Roman"/>
          <w:i/>
          <w:iCs/>
          <w:sz w:val="24"/>
          <w:szCs w:val="24"/>
        </w:rPr>
        <w:t>Financial management</w:t>
      </w:r>
      <w:r w:rsidRPr="000E1D43">
        <w:rPr>
          <w:rFonts w:ascii="Times New Roman" w:hAnsi="Times New Roman" w:cs="Times New Roman"/>
          <w:sz w:val="24"/>
          <w:szCs w:val="24"/>
        </w:rPr>
        <w:t>. Tata McGraw-Hill Education.</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Downes, J. and Goodman, J. (2009). </w:t>
      </w:r>
      <w:r w:rsidRPr="000E1D43">
        <w:rPr>
          <w:rFonts w:ascii="Times New Roman" w:hAnsi="Times New Roman" w:cs="Times New Roman"/>
          <w:i/>
          <w:iCs/>
          <w:sz w:val="24"/>
          <w:szCs w:val="24"/>
        </w:rPr>
        <w:t>Dictionary of finance and investment terms</w:t>
      </w:r>
      <w:r w:rsidRPr="000E1D43">
        <w:rPr>
          <w:rFonts w:ascii="Times New Roman" w:hAnsi="Times New Roman" w:cs="Times New Roman"/>
          <w:sz w:val="24"/>
          <w:szCs w:val="24"/>
        </w:rPr>
        <w:t>. Hauppauge, N.Y.: Barron's Educational Series</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Fridson, M.S. and Alvarez, F., 2011. Financial statement analysis: a practitioner's guide (Vol. 597). John Wiley &amp; Sons.</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Greenwood, R. and Nagel, S., 2009. Inexperienced investors and bubbles. Journal of Financial Economics, 93(2), pp.239-258.</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Healy, P. M., and Palepu, K. G. (2012). </w:t>
      </w:r>
      <w:r w:rsidRPr="000E1D43">
        <w:rPr>
          <w:rFonts w:ascii="Times New Roman" w:hAnsi="Times New Roman" w:cs="Times New Roman"/>
          <w:i/>
          <w:iCs/>
          <w:sz w:val="24"/>
          <w:szCs w:val="24"/>
        </w:rPr>
        <w:t>Business analysis valuation: Using financial statements</w:t>
      </w:r>
      <w:r w:rsidRPr="000E1D43">
        <w:rPr>
          <w:rFonts w:ascii="Times New Roman" w:hAnsi="Times New Roman" w:cs="Times New Roman"/>
          <w:sz w:val="24"/>
          <w:szCs w:val="24"/>
        </w:rPr>
        <w:t>. Cengage Learning</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Horrigan, J. (2012). </w:t>
      </w:r>
      <w:r w:rsidRPr="000E1D43">
        <w:rPr>
          <w:rFonts w:ascii="Times New Roman" w:hAnsi="Times New Roman" w:cs="Times New Roman"/>
          <w:i/>
          <w:iCs/>
          <w:sz w:val="24"/>
          <w:szCs w:val="24"/>
        </w:rPr>
        <w:t>Financial ratio analysis</w:t>
      </w:r>
      <w:r w:rsidRPr="000E1D43">
        <w:rPr>
          <w:rFonts w:ascii="Times New Roman" w:hAnsi="Times New Roman" w:cs="Times New Roman"/>
          <w:sz w:val="24"/>
          <w:szCs w:val="24"/>
        </w:rPr>
        <w:t>. New York: Arno Press</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Horrigan, J. (2012). </w:t>
      </w:r>
      <w:r w:rsidRPr="000E1D43">
        <w:rPr>
          <w:rFonts w:ascii="Times New Roman" w:hAnsi="Times New Roman" w:cs="Times New Roman"/>
          <w:i/>
          <w:iCs/>
          <w:sz w:val="24"/>
          <w:szCs w:val="24"/>
        </w:rPr>
        <w:t>Financial ratio analysis</w:t>
      </w:r>
      <w:r w:rsidRPr="000E1D43">
        <w:rPr>
          <w:rFonts w:ascii="Times New Roman" w:hAnsi="Times New Roman" w:cs="Times New Roman"/>
          <w:sz w:val="24"/>
          <w:szCs w:val="24"/>
        </w:rPr>
        <w:t>. New York: Arno Press</w:t>
      </w:r>
    </w:p>
    <w:p w:rsidR="00D44C11" w:rsidRPr="000E1D43" w:rsidRDefault="00D44C11" w:rsidP="000E1D43">
      <w:pPr>
        <w:widowControl w:val="0"/>
        <w:autoSpaceDE w:val="0"/>
        <w:autoSpaceDN w:val="0"/>
        <w:adjustRightInd w:val="0"/>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Kaplan, R. (2011). </w:t>
      </w:r>
      <w:r w:rsidRPr="000E1D43">
        <w:rPr>
          <w:rFonts w:ascii="Times New Roman" w:hAnsi="Times New Roman" w:cs="Times New Roman"/>
          <w:i/>
          <w:iCs/>
          <w:sz w:val="24"/>
          <w:szCs w:val="24"/>
        </w:rPr>
        <w:t>Advanced management accounting</w:t>
      </w:r>
      <w:r w:rsidRPr="000E1D43">
        <w:rPr>
          <w:rFonts w:ascii="Times New Roman" w:hAnsi="Times New Roman" w:cs="Times New Roman"/>
          <w:sz w:val="24"/>
          <w:szCs w:val="24"/>
        </w:rPr>
        <w:t>. Englewood Cliffs, N.J.: Prentice-Hall.</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Madura, J. (2011). </w:t>
      </w:r>
      <w:r w:rsidRPr="000E1D43">
        <w:rPr>
          <w:rFonts w:ascii="Times New Roman" w:hAnsi="Times New Roman" w:cs="Times New Roman"/>
          <w:i/>
          <w:iCs/>
          <w:sz w:val="24"/>
          <w:szCs w:val="24"/>
        </w:rPr>
        <w:t>International financial management</w:t>
      </w:r>
      <w:r w:rsidRPr="000E1D43">
        <w:rPr>
          <w:rFonts w:ascii="Times New Roman" w:hAnsi="Times New Roman" w:cs="Times New Roman"/>
          <w:sz w:val="24"/>
          <w:szCs w:val="24"/>
        </w:rPr>
        <w:t>. Cengage Learning.</w:t>
      </w:r>
    </w:p>
    <w:p w:rsidR="00D44C11" w:rsidRPr="000E1D43" w:rsidRDefault="00D44C11" w:rsidP="000E1D43">
      <w:pPr>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McCue, M.J. and Nayar, P., 2009. A Financial Ratio Analysis of For</w:t>
      </w:r>
      <w:r w:rsidRPr="000E1D43">
        <w:rPr>
          <w:rFonts w:cs="Times New Roman"/>
          <w:sz w:val="24"/>
          <w:szCs w:val="24"/>
        </w:rPr>
        <w:t>‐</w:t>
      </w:r>
      <w:r w:rsidRPr="000E1D43">
        <w:rPr>
          <w:rFonts w:ascii="Times New Roman" w:hAnsi="Times New Roman" w:cs="Times New Roman"/>
          <w:sz w:val="24"/>
          <w:szCs w:val="24"/>
        </w:rPr>
        <w:t>Profit and Non</w:t>
      </w:r>
      <w:r w:rsidRPr="000E1D43">
        <w:rPr>
          <w:rFonts w:cs="Times New Roman"/>
          <w:sz w:val="24"/>
          <w:szCs w:val="24"/>
        </w:rPr>
        <w:t>‐</w:t>
      </w:r>
      <w:r w:rsidRPr="000E1D43">
        <w:rPr>
          <w:rFonts w:ascii="Times New Roman" w:hAnsi="Times New Roman" w:cs="Times New Roman"/>
          <w:sz w:val="24"/>
          <w:szCs w:val="24"/>
        </w:rPr>
        <w:t>Profit Rural Referral Centers. The Journal of Rural Health, 25(3), pp.314-319.</w:t>
      </w:r>
    </w:p>
    <w:p w:rsidR="00D44C11" w:rsidRPr="000E1D43" w:rsidRDefault="00D44C11" w:rsidP="000E1D43">
      <w:pPr>
        <w:widowControl w:val="0"/>
        <w:autoSpaceDE w:val="0"/>
        <w:autoSpaceDN w:val="0"/>
        <w:adjustRightInd w:val="0"/>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Morley, M. (2006). </w:t>
      </w:r>
      <w:r w:rsidRPr="000E1D43">
        <w:rPr>
          <w:rFonts w:ascii="Times New Roman" w:hAnsi="Times New Roman" w:cs="Times New Roman"/>
          <w:i/>
          <w:iCs/>
          <w:sz w:val="24"/>
          <w:szCs w:val="24"/>
        </w:rPr>
        <w:t>Ratio analysis</w:t>
      </w:r>
      <w:r w:rsidRPr="000E1D43">
        <w:rPr>
          <w:rFonts w:ascii="Times New Roman" w:hAnsi="Times New Roman" w:cs="Times New Roman"/>
          <w:sz w:val="24"/>
          <w:szCs w:val="24"/>
        </w:rPr>
        <w:t>. Berkshire, England: Published for the Institute of Chartered Accountants of Scotland by Gee &amp; Co.</w:t>
      </w:r>
    </w:p>
    <w:p w:rsidR="00D44C11" w:rsidRPr="000E1D43" w:rsidRDefault="00D44C11" w:rsidP="000E1D43">
      <w:pPr>
        <w:spacing w:after="201" w:line="360" w:lineRule="auto"/>
        <w:ind w:left="360"/>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paddypowerbetfair. (2018). </w:t>
      </w:r>
      <w:r w:rsidRPr="000E1D43">
        <w:rPr>
          <w:rFonts w:ascii="Times New Roman" w:eastAsia="Times New Roman" w:hAnsi="Times New Roman" w:cs="Times New Roman"/>
          <w:i/>
          <w:iCs/>
          <w:color w:val="000000"/>
          <w:sz w:val="24"/>
          <w:szCs w:val="24"/>
        </w:rPr>
        <w:t>paddypowerbetfair</w:t>
      </w:r>
      <w:r w:rsidRPr="000E1D43">
        <w:rPr>
          <w:rFonts w:ascii="Times New Roman" w:eastAsia="Times New Roman" w:hAnsi="Times New Roman" w:cs="Times New Roman"/>
          <w:color w:val="000000"/>
          <w:sz w:val="24"/>
          <w:szCs w:val="24"/>
        </w:rPr>
        <w:t>. [online] Available at: https://www.paddypowerbetfair.com/~/.../Paddy-Power-Betfair/.../annual-report-2016.pd [Accessed 15 Apr. 2018].</w:t>
      </w:r>
    </w:p>
    <w:p w:rsidR="00D44C11" w:rsidRPr="000E1D43" w:rsidRDefault="00D44C11" w:rsidP="000E1D43">
      <w:pPr>
        <w:widowControl w:val="0"/>
        <w:autoSpaceDE w:val="0"/>
        <w:autoSpaceDN w:val="0"/>
        <w:adjustRightInd w:val="0"/>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Palmer, J. (2009). </w:t>
      </w:r>
      <w:r w:rsidRPr="000E1D43">
        <w:rPr>
          <w:rFonts w:ascii="Times New Roman" w:hAnsi="Times New Roman" w:cs="Times New Roman"/>
          <w:i/>
          <w:iCs/>
          <w:sz w:val="24"/>
          <w:szCs w:val="24"/>
        </w:rPr>
        <w:t>Financial ratio analysis</w:t>
      </w:r>
      <w:r w:rsidRPr="000E1D43">
        <w:rPr>
          <w:rFonts w:ascii="Times New Roman" w:hAnsi="Times New Roman" w:cs="Times New Roman"/>
          <w:sz w:val="24"/>
          <w:szCs w:val="24"/>
        </w:rPr>
        <w:t>. New York, N.Y.: American Institute of Certified Public Accountants.</w:t>
      </w:r>
    </w:p>
    <w:p w:rsidR="00D44C11" w:rsidRPr="000E1D43" w:rsidRDefault="00D44C11" w:rsidP="000E1D43">
      <w:pPr>
        <w:widowControl w:val="0"/>
        <w:autoSpaceDE w:val="0"/>
        <w:autoSpaceDN w:val="0"/>
        <w:adjustRightInd w:val="0"/>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Palmer, J. (2009). </w:t>
      </w:r>
      <w:r w:rsidRPr="000E1D43">
        <w:rPr>
          <w:rFonts w:ascii="Times New Roman" w:hAnsi="Times New Roman" w:cs="Times New Roman"/>
          <w:i/>
          <w:iCs/>
          <w:sz w:val="24"/>
          <w:szCs w:val="24"/>
        </w:rPr>
        <w:t>Financial ratio analysis</w:t>
      </w:r>
      <w:r w:rsidRPr="000E1D43">
        <w:rPr>
          <w:rFonts w:ascii="Times New Roman" w:hAnsi="Times New Roman" w:cs="Times New Roman"/>
          <w:sz w:val="24"/>
          <w:szCs w:val="24"/>
        </w:rPr>
        <w:t xml:space="preserve">. New York, N.Y.: American Institute of </w:t>
      </w:r>
      <w:r w:rsidRPr="000E1D43">
        <w:rPr>
          <w:rFonts w:ascii="Times New Roman" w:hAnsi="Times New Roman" w:cs="Times New Roman"/>
          <w:sz w:val="24"/>
          <w:szCs w:val="24"/>
        </w:rPr>
        <w:lastRenderedPageBreak/>
        <w:t>Certified Public Accountants.</w:t>
      </w:r>
    </w:p>
    <w:p w:rsidR="00D44C11" w:rsidRPr="000E1D43" w:rsidRDefault="00D44C11" w:rsidP="000E1D43">
      <w:pPr>
        <w:widowControl w:val="0"/>
        <w:autoSpaceDE w:val="0"/>
        <w:autoSpaceDN w:val="0"/>
        <w:adjustRightInd w:val="0"/>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Prime, J. (2011). </w:t>
      </w:r>
      <w:r w:rsidRPr="000E1D43">
        <w:rPr>
          <w:rFonts w:ascii="Times New Roman" w:hAnsi="Times New Roman" w:cs="Times New Roman"/>
          <w:i/>
          <w:iCs/>
          <w:sz w:val="24"/>
          <w:szCs w:val="24"/>
        </w:rPr>
        <w:t>Investment analysis</w:t>
      </w:r>
      <w:r w:rsidRPr="000E1D43">
        <w:rPr>
          <w:rFonts w:ascii="Times New Roman" w:hAnsi="Times New Roman" w:cs="Times New Roman"/>
          <w:sz w:val="24"/>
          <w:szCs w:val="24"/>
        </w:rPr>
        <w:t>. Englewood Cliffs, N.J.: Prentice-Hall.</w:t>
      </w:r>
    </w:p>
    <w:p w:rsidR="00D44C11" w:rsidRPr="000E1D43" w:rsidRDefault="00D44C11" w:rsidP="000E1D43">
      <w:pPr>
        <w:widowControl w:val="0"/>
        <w:autoSpaceDE w:val="0"/>
        <w:autoSpaceDN w:val="0"/>
        <w:adjustRightInd w:val="0"/>
        <w:spacing w:line="360" w:lineRule="auto"/>
        <w:ind w:left="360"/>
        <w:jc w:val="both"/>
        <w:rPr>
          <w:rFonts w:ascii="Times New Roman" w:hAnsi="Times New Roman" w:cs="Times New Roman"/>
          <w:sz w:val="24"/>
          <w:szCs w:val="24"/>
        </w:rPr>
      </w:pPr>
      <w:r w:rsidRPr="000E1D43">
        <w:rPr>
          <w:rFonts w:ascii="Times New Roman" w:hAnsi="Times New Roman" w:cs="Times New Roman"/>
          <w:sz w:val="24"/>
          <w:szCs w:val="24"/>
        </w:rPr>
        <w:t xml:space="preserve">Rees, B. (2008). </w:t>
      </w:r>
      <w:r w:rsidRPr="000E1D43">
        <w:rPr>
          <w:rFonts w:ascii="Times New Roman" w:hAnsi="Times New Roman" w:cs="Times New Roman"/>
          <w:i/>
          <w:iCs/>
          <w:sz w:val="24"/>
          <w:szCs w:val="24"/>
        </w:rPr>
        <w:t>Financial analysis</w:t>
      </w:r>
      <w:r w:rsidRPr="000E1D43">
        <w:rPr>
          <w:rFonts w:ascii="Times New Roman" w:hAnsi="Times New Roman" w:cs="Times New Roman"/>
          <w:sz w:val="24"/>
          <w:szCs w:val="24"/>
        </w:rPr>
        <w:t>. London: Prentice Hall.</w:t>
      </w:r>
    </w:p>
    <w:p w:rsidR="00D44C11" w:rsidRPr="000E1D43" w:rsidRDefault="00D44C11" w:rsidP="000E1D43">
      <w:pPr>
        <w:spacing w:after="201" w:line="360" w:lineRule="auto"/>
        <w:ind w:left="360"/>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william-hill-plc. (2018). </w:t>
      </w:r>
      <w:r w:rsidRPr="000E1D43">
        <w:rPr>
          <w:rFonts w:ascii="Times New Roman" w:eastAsia="Times New Roman" w:hAnsi="Times New Roman" w:cs="Times New Roman"/>
          <w:i/>
          <w:iCs/>
          <w:color w:val="000000"/>
          <w:sz w:val="24"/>
          <w:szCs w:val="24"/>
        </w:rPr>
        <w:t>william-hill-plc</w:t>
      </w:r>
      <w:r w:rsidRPr="000E1D43">
        <w:rPr>
          <w:rFonts w:ascii="Times New Roman" w:eastAsia="Times New Roman" w:hAnsi="Times New Roman" w:cs="Times New Roman"/>
          <w:color w:val="000000"/>
          <w:sz w:val="24"/>
          <w:szCs w:val="24"/>
        </w:rPr>
        <w:t>. [online] Available at: http://www.annualreports.com/Company/william-hill-plc [Accessed 20 Apr. 2018].</w:t>
      </w:r>
    </w:p>
    <w:p w:rsidR="00D44C11" w:rsidRPr="000E1D43" w:rsidRDefault="00D44C11" w:rsidP="000E1D43">
      <w:pPr>
        <w:spacing w:after="201" w:line="360" w:lineRule="auto"/>
        <w:ind w:left="360"/>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williamhillplc. (2018). </w:t>
      </w:r>
      <w:r w:rsidRPr="000E1D43">
        <w:rPr>
          <w:rFonts w:ascii="Times New Roman" w:eastAsia="Times New Roman" w:hAnsi="Times New Roman" w:cs="Times New Roman"/>
          <w:i/>
          <w:iCs/>
          <w:color w:val="000000"/>
          <w:sz w:val="24"/>
          <w:szCs w:val="24"/>
        </w:rPr>
        <w:t>williamhillplc</w:t>
      </w:r>
      <w:r w:rsidRPr="000E1D43">
        <w:rPr>
          <w:rFonts w:ascii="Times New Roman" w:eastAsia="Times New Roman" w:hAnsi="Times New Roman" w:cs="Times New Roman"/>
          <w:color w:val="000000"/>
          <w:sz w:val="24"/>
          <w:szCs w:val="24"/>
        </w:rPr>
        <w:t>. [online] Available at: https://www.williamhillplc.com/media/.../wh-final-rev1-printall_2017-03-01_181358.... [Accessed 17 Apr. 2018].</w:t>
      </w:r>
    </w:p>
    <w:p w:rsidR="00F8591A" w:rsidRPr="000E1D43" w:rsidRDefault="00504FB6"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t xml:space="preserve"> </w:t>
      </w:r>
      <w:r w:rsidR="00477646" w:rsidRPr="000E1D43">
        <w:rPr>
          <w:rFonts w:ascii="Times New Roman" w:hAnsi="Times New Roman" w:cs="Times New Roman"/>
          <w:sz w:val="24"/>
          <w:szCs w:val="24"/>
        </w:rPr>
        <w:t xml:space="preserve">   </w:t>
      </w:r>
      <w:r w:rsidR="00C2211C" w:rsidRPr="000E1D43">
        <w:rPr>
          <w:rFonts w:ascii="Times New Roman" w:hAnsi="Times New Roman" w:cs="Times New Roman"/>
          <w:sz w:val="24"/>
          <w:szCs w:val="24"/>
        </w:rPr>
        <w:t xml:space="preserve">  </w:t>
      </w:r>
    </w:p>
    <w:p w:rsidR="00952146" w:rsidRPr="000E1D43" w:rsidRDefault="00952146" w:rsidP="000E1D43">
      <w:pPr>
        <w:spacing w:line="360" w:lineRule="auto"/>
        <w:jc w:val="both"/>
        <w:rPr>
          <w:rFonts w:ascii="Times New Roman" w:hAnsi="Times New Roman" w:cs="Times New Roman"/>
          <w:sz w:val="24"/>
          <w:szCs w:val="24"/>
        </w:rPr>
      </w:pPr>
      <w:r w:rsidRPr="000E1D43">
        <w:rPr>
          <w:rFonts w:ascii="Times New Roman" w:hAnsi="Times New Roman" w:cs="Times New Roman"/>
          <w:sz w:val="24"/>
          <w:szCs w:val="24"/>
        </w:rPr>
        <w:br w:type="page"/>
      </w:r>
    </w:p>
    <w:p w:rsidR="00F8591A" w:rsidRPr="000E1D43" w:rsidRDefault="00F8591A" w:rsidP="00A870AA">
      <w:pPr>
        <w:pStyle w:val="Heading1"/>
      </w:pPr>
      <w:bookmarkStart w:id="12" w:name="_Toc511995541"/>
      <w:r w:rsidRPr="000E1D43">
        <w:lastRenderedPageBreak/>
        <w:t>Appendix</w:t>
      </w:r>
      <w:bookmarkEnd w:id="12"/>
    </w:p>
    <w:p w:rsidR="0067023F" w:rsidRPr="00A870AA" w:rsidRDefault="00C2211C" w:rsidP="00A870AA">
      <w:pPr>
        <w:pStyle w:val="Heading2"/>
        <w:rPr>
          <w:szCs w:val="24"/>
        </w:rPr>
      </w:pPr>
      <w:r w:rsidRPr="000E1D43">
        <w:t xml:space="preserve">  </w:t>
      </w:r>
      <w:bookmarkStart w:id="13" w:name="_Toc511995542"/>
      <w:r w:rsidR="001D756A" w:rsidRPr="00A870AA">
        <w:rPr>
          <w:szCs w:val="24"/>
        </w:rPr>
        <w:t xml:space="preserve">Ratios analysis calculation of </w:t>
      </w:r>
      <w:r w:rsidR="001D756A" w:rsidRPr="00A870AA">
        <w:t>William Hill Plc</w:t>
      </w:r>
      <w:r w:rsidR="001D756A" w:rsidRPr="00A870AA">
        <w:rPr>
          <w:szCs w:val="24"/>
        </w:rPr>
        <w:t xml:space="preserve"> for period FY2013 to FY2015</w:t>
      </w:r>
      <w:bookmarkEnd w:id="13"/>
      <w:r w:rsidR="001D756A" w:rsidRPr="00A870AA">
        <w:rPr>
          <w:szCs w:val="24"/>
        </w:rPr>
        <w:t xml:space="preserve"> </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9"/>
        <w:gridCol w:w="1775"/>
        <w:gridCol w:w="1563"/>
        <w:gridCol w:w="1563"/>
      </w:tblGrid>
      <w:tr w:rsidR="00952146" w:rsidRPr="000E1D43" w:rsidTr="001D756A">
        <w:trPr>
          <w:trHeight w:val="300"/>
        </w:trPr>
        <w:tc>
          <w:tcPr>
            <w:tcW w:w="9060" w:type="dxa"/>
            <w:gridSpan w:val="4"/>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William Hill Plc</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2015</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2014</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2013</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Operating Profit (PBIT)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224,300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281,800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303,000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Dividend per Share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12.5</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12.2</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GPM</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1213000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1,305,100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1,214,300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SC+Res. (Total Equity)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1,215,800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1,169,300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1,023,300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Sales (Revenue)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1,590,900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1,609,300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1,486,500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(Non Current) Fixed Assets (FA)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1,980,800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2,070,900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2,142,200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Current Assets (CA)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342,900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282,200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272,700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total assets</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2,323,700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2,353,100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2,414,900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Current Liabilities (CL)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-663,200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-369,800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-328,600</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Non-current assets (NBV)</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320,300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87,600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55,900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 xml:space="preserve">Non Current Liabilities (NCL)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-444,700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-823,000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-1,062,000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Stock (Inventory)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Cost of Goods Sold (COGS)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-377,900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-304,200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-272,200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Debtors (Receivables)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56,200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55,300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56,400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Debentures (Long term Loans)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-369,500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-716,100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-895,900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Interest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-41,000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-48,900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-47,100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Profit after TAX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189,900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206,300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226,500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Share Capital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88,400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87,700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86,700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Earnings per share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22</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24</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25</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Dividends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-108,400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-104,000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-87,100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Capital Employed (CE)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FA + CA - CL</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FA + CA - CL</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FA + CA - CL</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1,660,500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1,983,300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2,086,300</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Working Capital (W/C) =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CA-CL</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CA-CL</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CA-CL</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342,900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282,200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272,700</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no of employees</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15747</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16,078</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17,089</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lastRenderedPageBreak/>
              <w:t>Long Term Borrowing</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369500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716,100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895,900</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Profit after Tax</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189,900,000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206,300,000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211,200,000</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profit before interest and tax</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224,300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281,800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303,000</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interest paid</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41,000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48,900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47,000</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profitability ratio</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Return on Capital Employed (ROCE)</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13.51</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14.21</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14.52</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Net Profit Margin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14.09893771</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17.51071895</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20.38345106</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Gross profit margin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76.24614998</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81.09737153</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81.6885301</w:t>
            </w:r>
          </w:p>
        </w:tc>
      </w:tr>
      <w:tr w:rsidR="00952146" w:rsidRPr="000E1D43" w:rsidTr="001D756A">
        <w:trPr>
          <w:trHeight w:val="63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LIQUIDITY:</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Current Ratio</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0.82</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0.76</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0.83</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Liquid Ratio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0.82</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0.65</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0.45</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EFFICIENCY:</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Fixed assets turnover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4.966906026</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18.37100457</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26.5921288</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Sale per employee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101.0287674</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100.0932952</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86.98578033</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126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GEARING (Borrowing):</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Gearing (Borrowing) Ratio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18.20197044</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26.52811736</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30.04158004</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interest cover</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5.470731707</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5.762781186</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6.446808511</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SHAREHOLDERS RATIOS</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Earnings per Share (EPS)</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21.6</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23.6</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21.8</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Number of shares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879166666.7</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874152542.4</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968807339.4</w:t>
            </w:r>
          </w:p>
        </w:tc>
      </w:tr>
      <w:tr w:rsidR="00952146" w:rsidRPr="000E1D43" w:rsidTr="001D756A">
        <w:trPr>
          <w:trHeight w:val="300"/>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Dividends per Share DPS</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9</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11.9</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w:t>
            </w:r>
          </w:p>
        </w:tc>
      </w:tr>
      <w:tr w:rsidR="00952146" w:rsidRPr="000E1D43" w:rsidTr="001D756A">
        <w:trPr>
          <w:trHeight w:val="315"/>
        </w:trPr>
        <w:tc>
          <w:tcPr>
            <w:tcW w:w="4159"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 xml:space="preserve">Dividend Payout </w:t>
            </w:r>
          </w:p>
        </w:tc>
        <w:tc>
          <w:tcPr>
            <w:tcW w:w="1775"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57</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50</w:t>
            </w:r>
          </w:p>
        </w:tc>
        <w:tc>
          <w:tcPr>
            <w:tcW w:w="1563" w:type="dxa"/>
            <w:shd w:val="clear" w:color="auto" w:fill="auto"/>
            <w:noWrap/>
            <w:vAlign w:val="bottom"/>
            <w:hideMark/>
          </w:tcPr>
          <w:p w:rsidR="00952146" w:rsidRPr="000E1D43" w:rsidRDefault="00952146"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38</w:t>
            </w:r>
          </w:p>
        </w:tc>
      </w:tr>
    </w:tbl>
    <w:p w:rsidR="0067023F" w:rsidRPr="000E1D43" w:rsidRDefault="0067023F" w:rsidP="000E1D43">
      <w:pPr>
        <w:spacing w:line="360" w:lineRule="auto"/>
        <w:jc w:val="both"/>
        <w:rPr>
          <w:rFonts w:ascii="Times New Roman" w:hAnsi="Times New Roman" w:cs="Times New Roman"/>
          <w:sz w:val="24"/>
          <w:szCs w:val="24"/>
        </w:rPr>
      </w:pPr>
    </w:p>
    <w:p w:rsidR="001D756A" w:rsidRPr="000E1D43" w:rsidRDefault="001D756A" w:rsidP="00A870AA">
      <w:pPr>
        <w:pStyle w:val="Heading2"/>
      </w:pPr>
      <w:bookmarkStart w:id="14" w:name="_Toc511995543"/>
      <w:r w:rsidRPr="000E1D43">
        <w:t>Ratios analysis calculation of paddy power betfair plc for period FY2013 to FY2015</w:t>
      </w:r>
      <w:bookmarkEnd w:id="14"/>
      <w:r w:rsidRPr="000E1D43">
        <w:t xml:space="preserve"> </w:t>
      </w:r>
    </w:p>
    <w:tbl>
      <w:tblPr>
        <w:tblW w:w="8100" w:type="dxa"/>
        <w:tblInd w:w="91" w:type="dxa"/>
        <w:tblLook w:val="04A0" w:firstRow="1" w:lastRow="0" w:firstColumn="1" w:lastColumn="0" w:noHBand="0" w:noVBand="1"/>
      </w:tblPr>
      <w:tblGrid>
        <w:gridCol w:w="3280"/>
        <w:gridCol w:w="1660"/>
        <w:gridCol w:w="1476"/>
        <w:gridCol w:w="1880"/>
      </w:tblGrid>
      <w:tr w:rsidR="001D756A" w:rsidRPr="000E1D43" w:rsidTr="001D756A">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2015</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2014</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2013</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Operating Profit (PBIT)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125,044</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127,420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115,053</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lastRenderedPageBreak/>
              <w:t xml:space="preserve">Dividend per Share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1.52</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1.17</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GPM</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600,719</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555,317</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516,662</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SC+Res. (Total Equity)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260,446</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301,201</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50,903</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Sales (Revenue)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803,687</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685,802</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624,058</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(Non Current) Fixed Assets (FA)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239,111</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245,930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242,735</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Current Assets (CA)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170,922</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246,891</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215,317</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total assets</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410,033</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492,821</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458,052</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Current Liabilities (CL)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-208,313</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183,791</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-183,398</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Non-current assets (NBV)</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37,391</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63,101</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31,919</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Non Current Liabilities (NCL)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-150,816</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-8,010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-14,208</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Stock (Inventory)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N/A</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N/A</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N/A</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Cost of Goods Sold (COGS)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-107,396</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-130,485</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-202,968</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Debtors (Receivables)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22,730</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25,211</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24,505</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Debentures (Long term Loans)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141,915</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Interest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-1,881</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-129</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-152</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 xml:space="preserve">Profit after TAX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108,211</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112,720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103,159</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Share Capital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3,046</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3,975</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4,269</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Earnings per share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3.26</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2.6</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2.22</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Dividends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-56,072</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-53666</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-51,844</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Capital Employed (CE)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FA + CA - CL</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FA + CA - CL</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FA + CA - CL</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201,720</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309,030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274,654</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Working Capital (W/C) =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CA-CL</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CA-CL</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CA-CL</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-37,391</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63,100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31,919</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no of employees</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5,069</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4,856</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4,156</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Long Term Borrowing</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141,915</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Profit after Tax</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147,293,000</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144,909,000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123,184,000</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profit before interest and tax</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125,044</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127,420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115,053</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lastRenderedPageBreak/>
              <w:t>interest paid</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1,881</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129</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152</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profitabiltiy ratio</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Return on Capital Employed (ROCE)</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61.99</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18.83</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41.89</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Net Profit Margin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15.55879341</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18.57970668</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18.43626714</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Gross profit margin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74.74539217</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80.97337132</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82.79070215</w:t>
            </w:r>
          </w:p>
        </w:tc>
      </w:tr>
      <w:tr w:rsidR="001D756A" w:rsidRPr="000E1D43" w:rsidTr="001D756A">
        <w:trPr>
          <w:trHeight w:val="63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LIQUIDITY:</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Current Ratio</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0.82</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0.76</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0.83</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Liquid Ratio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0.82</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0.65</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0.45</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EFFICIENCY:</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Fixed assets turnover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21.4941296</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10.86832221</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19.55130173</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Sale per employee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158.549418</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141.2277595</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150.1583253</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126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GEARING (Borrowing):</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Gearing (Borrowing) Ratio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41.29817975</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0</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interest cover</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66.47740564</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987.751938</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756.9276316</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SHAREHOLDERS RATIOS</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Earnings per Share (EPS)</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3.3</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3</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2.6</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 xml:space="preserve">Number of shares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4463424242</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4830300000</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4737846154</w:t>
            </w:r>
          </w:p>
        </w:tc>
      </w:tr>
      <w:tr w:rsidR="001D756A" w:rsidRPr="000E1D43" w:rsidTr="001D756A">
        <w:trPr>
          <w:trHeight w:val="30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Dividends per Share DPS</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149</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135</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rPr>
              <w:t>122</w:t>
            </w:r>
          </w:p>
        </w:tc>
      </w:tr>
      <w:tr w:rsidR="001D756A" w:rsidRPr="000E1D43" w:rsidTr="001D756A">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color w:val="000000"/>
                <w:sz w:val="24"/>
                <w:szCs w:val="24"/>
              </w:rPr>
            </w:pPr>
            <w:r w:rsidRPr="000E1D43">
              <w:rPr>
                <w:rFonts w:ascii="Times New Roman" w:eastAsia="Times New Roman" w:hAnsi="Times New Roman" w:cs="Times New Roman"/>
                <w:color w:val="000000"/>
                <w:sz w:val="24"/>
                <w:szCs w:val="24"/>
                <w:lang w:val="en-US"/>
              </w:rPr>
              <w:t xml:space="preserve">Dividend Payout </w:t>
            </w:r>
          </w:p>
        </w:tc>
        <w:tc>
          <w:tcPr>
            <w:tcW w:w="166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lang w:val="en-US"/>
              </w:rPr>
              <w:t>51.82</w:t>
            </w:r>
          </w:p>
        </w:tc>
        <w:tc>
          <w:tcPr>
            <w:tcW w:w="12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47.61</w:t>
            </w:r>
          </w:p>
        </w:tc>
        <w:tc>
          <w:tcPr>
            <w:tcW w:w="1880" w:type="dxa"/>
            <w:tcBorders>
              <w:top w:val="nil"/>
              <w:left w:val="nil"/>
              <w:bottom w:val="single" w:sz="4" w:space="0" w:color="auto"/>
              <w:right w:val="single" w:sz="4" w:space="0" w:color="auto"/>
            </w:tcBorders>
            <w:shd w:val="clear" w:color="auto" w:fill="auto"/>
            <w:noWrap/>
            <w:vAlign w:val="bottom"/>
            <w:hideMark/>
          </w:tcPr>
          <w:p w:rsidR="001D756A" w:rsidRPr="000E1D43" w:rsidRDefault="001D756A" w:rsidP="000E1D43">
            <w:pPr>
              <w:spacing w:after="0" w:line="360" w:lineRule="auto"/>
              <w:jc w:val="both"/>
              <w:rPr>
                <w:rFonts w:ascii="Times New Roman" w:eastAsia="Times New Roman" w:hAnsi="Times New Roman" w:cs="Times New Roman"/>
                <w:b/>
                <w:bCs/>
                <w:color w:val="000000"/>
                <w:sz w:val="24"/>
                <w:szCs w:val="24"/>
              </w:rPr>
            </w:pPr>
            <w:r w:rsidRPr="000E1D43">
              <w:rPr>
                <w:rFonts w:ascii="Times New Roman" w:eastAsia="Times New Roman" w:hAnsi="Times New Roman" w:cs="Times New Roman"/>
                <w:b/>
                <w:bCs/>
                <w:color w:val="000000"/>
                <w:sz w:val="24"/>
                <w:szCs w:val="24"/>
              </w:rPr>
              <w:t>50.26</w:t>
            </w:r>
          </w:p>
        </w:tc>
      </w:tr>
    </w:tbl>
    <w:p w:rsidR="001D756A" w:rsidRDefault="001D756A" w:rsidP="000E1D43">
      <w:pPr>
        <w:spacing w:line="360" w:lineRule="auto"/>
        <w:jc w:val="both"/>
        <w:rPr>
          <w:rFonts w:ascii="Times New Roman" w:hAnsi="Times New Roman" w:cs="Times New Roman"/>
          <w:sz w:val="24"/>
          <w:szCs w:val="24"/>
        </w:rPr>
      </w:pPr>
    </w:p>
    <w:p w:rsidR="00282B4A" w:rsidRDefault="00282B4A" w:rsidP="000E1D43">
      <w:pPr>
        <w:spacing w:line="360" w:lineRule="auto"/>
        <w:jc w:val="both"/>
        <w:rPr>
          <w:rFonts w:ascii="Times New Roman" w:hAnsi="Times New Roman" w:cs="Times New Roman"/>
          <w:sz w:val="24"/>
          <w:szCs w:val="24"/>
        </w:rPr>
      </w:pPr>
    </w:p>
    <w:p w:rsidR="00282B4A" w:rsidRDefault="00282B4A" w:rsidP="000E1D43">
      <w:pPr>
        <w:spacing w:line="360" w:lineRule="auto"/>
        <w:jc w:val="both"/>
        <w:rPr>
          <w:rFonts w:ascii="Times New Roman" w:hAnsi="Times New Roman" w:cs="Times New Roman"/>
          <w:sz w:val="24"/>
          <w:szCs w:val="24"/>
        </w:rPr>
      </w:pPr>
    </w:p>
    <w:p w:rsidR="00282B4A" w:rsidRDefault="00282B4A" w:rsidP="000E1D43">
      <w:pPr>
        <w:spacing w:line="360" w:lineRule="auto"/>
        <w:jc w:val="both"/>
        <w:rPr>
          <w:rFonts w:ascii="Times New Roman" w:hAnsi="Times New Roman" w:cs="Times New Roman"/>
          <w:sz w:val="24"/>
          <w:szCs w:val="24"/>
        </w:rPr>
      </w:pPr>
    </w:p>
    <w:p w:rsidR="00282B4A" w:rsidRDefault="00282B4A" w:rsidP="000E1D43">
      <w:pPr>
        <w:spacing w:line="360" w:lineRule="auto"/>
        <w:jc w:val="both"/>
        <w:rPr>
          <w:rFonts w:ascii="Times New Roman" w:hAnsi="Times New Roman" w:cs="Times New Roman"/>
          <w:sz w:val="24"/>
          <w:szCs w:val="24"/>
        </w:rPr>
      </w:pPr>
    </w:p>
    <w:p w:rsidR="00282B4A" w:rsidRDefault="00282B4A" w:rsidP="000E1D43">
      <w:pPr>
        <w:spacing w:line="360" w:lineRule="auto"/>
        <w:jc w:val="both"/>
        <w:rPr>
          <w:rFonts w:ascii="Times New Roman" w:hAnsi="Times New Roman" w:cs="Times New Roman"/>
          <w:sz w:val="24"/>
          <w:szCs w:val="24"/>
        </w:rPr>
      </w:pPr>
    </w:p>
    <w:p w:rsidR="00282B4A" w:rsidRDefault="00282B4A" w:rsidP="00282B4A">
      <w:pPr>
        <w:spacing w:line="360" w:lineRule="auto"/>
        <w:jc w:val="both"/>
        <w:rPr>
          <w:rFonts w:ascii="Times New Roman" w:hAnsi="Times New Roman" w:cs="Times New Roman"/>
          <w:sz w:val="24"/>
          <w:szCs w:val="24"/>
        </w:rPr>
      </w:pPr>
    </w:p>
    <w:p w:rsidR="00282B4A" w:rsidRDefault="00282B4A" w:rsidP="00282B4A">
      <w:pPr>
        <w:pStyle w:val="NoSpacing"/>
        <w:rPr>
          <w:rFonts w:asciiTheme="majorHAnsi" w:eastAsiaTheme="majorEastAsia" w:hAnsiTheme="majorHAnsi" w:cstheme="majorBidi"/>
          <w:color w:val="FF0000"/>
          <w:sz w:val="36"/>
          <w:szCs w:val="36"/>
        </w:rPr>
      </w:pPr>
      <w:r w:rsidRPr="003B293E">
        <w:rPr>
          <w:rFonts w:asciiTheme="majorHAnsi" w:eastAsiaTheme="majorEastAsia" w:hAnsiTheme="majorHAnsi" w:cstheme="majorBidi"/>
          <w:color w:val="FF0000"/>
          <w:sz w:val="36"/>
          <w:szCs w:val="36"/>
        </w:rPr>
        <w:t xml:space="preserve">         </w:t>
      </w:r>
    </w:p>
    <w:sdt>
      <w:sdtPr>
        <w:rPr>
          <w:rFonts w:asciiTheme="majorHAnsi" w:eastAsiaTheme="majorEastAsia" w:hAnsiTheme="majorHAnsi" w:cstheme="majorBidi"/>
          <w:sz w:val="72"/>
          <w:szCs w:val="72"/>
          <w:lang w:val="en-GB" w:eastAsia="en-GB"/>
        </w:rPr>
        <w:id w:val="3042186"/>
        <w:docPartObj>
          <w:docPartGallery w:val="Cover Pages"/>
          <w:docPartUnique/>
        </w:docPartObj>
      </w:sdtPr>
      <w:sdtEndPr>
        <w:rPr>
          <w:rFonts w:asciiTheme="minorHAnsi" w:eastAsiaTheme="minorEastAsia" w:hAnsiTheme="minorHAnsi" w:cstheme="minorBidi"/>
          <w:b/>
          <w:bCs/>
          <w:sz w:val="44"/>
          <w:szCs w:val="44"/>
        </w:rPr>
      </w:sdtEndPr>
      <w:sdtContent>
        <w:p w:rsidR="00282B4A" w:rsidRDefault="00282B4A" w:rsidP="00282B4A">
          <w:pPr>
            <w:pStyle w:val="NoSpacing"/>
            <w:rPr>
              <w:rFonts w:asciiTheme="majorHAnsi" w:eastAsiaTheme="majorEastAsia" w:hAnsiTheme="majorHAnsi" w:cstheme="majorBidi"/>
              <w:sz w:val="36"/>
              <w:szCs w:val="36"/>
            </w:rPr>
          </w:pPr>
        </w:p>
        <w:p w:rsidR="00282B4A" w:rsidRPr="003B293E" w:rsidRDefault="00282B4A" w:rsidP="00282B4A">
          <w:pPr>
            <w:pStyle w:val="NoSpacing"/>
            <w:rPr>
              <w:rFonts w:asciiTheme="majorHAnsi" w:eastAsiaTheme="majorEastAsia" w:hAnsiTheme="majorHAnsi" w:cstheme="majorBidi"/>
              <w:sz w:val="36"/>
              <w:szCs w:val="36"/>
            </w:rPr>
          </w:pPr>
        </w:p>
        <w:p w:rsidR="00282B4A" w:rsidRDefault="00282B4A" w:rsidP="00282B4A">
          <w:pPr>
            <w:pStyle w:val="NoSpacing"/>
            <w:rPr>
              <w:rFonts w:asciiTheme="majorHAnsi" w:eastAsiaTheme="majorEastAsia" w:hAnsiTheme="majorHAnsi" w:cstheme="majorBidi"/>
              <w:sz w:val="72"/>
              <w:szCs w:val="72"/>
            </w:rPr>
          </w:pPr>
        </w:p>
        <w:p w:rsidR="00282B4A" w:rsidRDefault="00282B4A" w:rsidP="00282B4A">
          <w:pPr>
            <w:pStyle w:val="NoSpacing"/>
            <w:rPr>
              <w:rFonts w:asciiTheme="majorHAnsi" w:eastAsiaTheme="majorEastAsia" w:hAnsiTheme="majorHAnsi" w:cstheme="majorBidi"/>
              <w:sz w:val="72"/>
              <w:szCs w:val="72"/>
            </w:rPr>
          </w:pPr>
        </w:p>
        <w:p w:rsidR="00282B4A" w:rsidRDefault="00CB2A53" w:rsidP="00282B4A">
          <w:pPr>
            <w:pStyle w:val="NoSpacing"/>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page">
                      <wp:align>bottom</wp:align>
                    </wp:positionV>
                    <wp:extent cx="7915910" cy="799465"/>
                    <wp:effectExtent l="0" t="0" r="24765" b="15240"/>
                    <wp:wrapNone/>
                    <wp:docPr id="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5910" cy="799465"/>
                            </a:xfrm>
                            <a:prstGeom prst="rect">
                              <a:avLst/>
                            </a:prstGeom>
                            <a:solidFill>
                              <a:schemeClr val="accent5">
                                <a:lumMod val="100000"/>
                                <a:lumOff val="0"/>
                              </a:schemeClr>
                            </a:solidFill>
                            <a:ln w="9525">
                              <a:solidFill>
                                <a:schemeClr val="accent5">
                                  <a:lumMod val="75000"/>
                                  <a:lumOff val="0"/>
                                </a:schemeClr>
                              </a:solidFill>
                              <a:miter lim="800000"/>
                              <a:headEnd/>
                              <a:tailEnd/>
                            </a:ln>
                          </wps:spPr>
                          <wps:txbx>
                            <w:txbxContent>
                              <w:p w:rsidR="00627B67" w:rsidRDefault="00627B67" w:rsidP="00627B67">
                                <w:pPr>
                                  <w:jc w:val="center"/>
                                </w:pPr>
                              </w:p>
                            </w:txbxContent>
                          </wps:txbx>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23.3pt;height:62.9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" o:allowincell="f" fillcolor="#4bacc6 [3208]" strokecolor="#31849b [2408]">
                    <v:textbox>
                      <w:txbxContent>
                        <w:p w:rsidR="00627B67" w:rsidRDefault="00627B67" w:rsidP="00627B67">
                          <w:pPr>
                            <w:jc w:val="center"/>
                          </w:pPr>
                        </w:p>
                      </w:txbxContent>
                    </v:textbox>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simplePos x="0" y="0"/>
                    <wp:positionH relativeFrom="leftMargin">
                      <wp:align>center</wp:align>
                    </wp:positionH>
                    <wp:positionV relativeFrom="page">
                      <wp:align>center</wp:align>
                    </wp:positionV>
                    <wp:extent cx="90805" cy="11207115"/>
                    <wp:effectExtent l="0" t="0" r="23495" b="12700"/>
                    <wp:wrapNone/>
                    <wp:docPr id="2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7115"/>
                            </a:xfrm>
                            <a:prstGeom prst="rect">
                              <a:avLst/>
                            </a:prstGeom>
                            <a:solidFill>
                              <a:schemeClr val="bg1">
                                <a:lumMod val="100000"/>
                                <a:lumOff val="0"/>
                              </a:schemeClr>
                            </a:solidFill>
                            <a:ln w="9525">
                              <a:solidFill>
                                <a:schemeClr val="accent5">
                                  <a:lumMod val="75000"/>
                                  <a:lumOff val="0"/>
                                </a:schemeClr>
                              </a:solidFill>
                              <a:miter lim="800000"/>
                              <a:headEnd/>
                              <a:tailEnd/>
                            </a:ln>
                          </wps:spPr>
                          <wps:txbx>
                            <w:txbxContent>
                              <w:p w:rsidR="00627B67" w:rsidRDefault="00627B67" w:rsidP="00627B6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7" style="position:absolute;margin-left:0;margin-top:0;width:7.15pt;height:882.45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" o:allowincell="f" fillcolor="white [3212]" strokecolor="#31849b [2408]">
                    <v:textbox>
                      <w:txbxContent>
                        <w:p w:rsidR="00627B67" w:rsidRDefault="00627B67" w:rsidP="00627B67">
                          <w:pPr>
                            <w:jc w:val="center"/>
                          </w:pPr>
                        </w:p>
                      </w:txbxContent>
                    </v:textbox>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simplePos x="0" y="0"/>
                    <wp:positionH relativeFrom="rightMargin">
                      <wp:align>center</wp:align>
                    </wp:positionH>
                    <wp:positionV relativeFrom="page">
                      <wp:align>center</wp:align>
                    </wp:positionV>
                    <wp:extent cx="90805" cy="11207115"/>
                    <wp:effectExtent l="0" t="0" r="23495" b="12700"/>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7115"/>
                            </a:xfrm>
                            <a:prstGeom prst="rect">
                              <a:avLst/>
                            </a:prstGeom>
                            <a:solidFill>
                              <a:schemeClr val="bg1">
                                <a:lumMod val="100000"/>
                                <a:lumOff val="0"/>
                              </a:schemeClr>
                            </a:solidFill>
                            <a:ln w="9525">
                              <a:solidFill>
                                <a:schemeClr val="accent5">
                                  <a:lumMod val="75000"/>
                                  <a:lumOff val="0"/>
                                </a:schemeClr>
                              </a:solidFill>
                              <a:miter lim="800000"/>
                              <a:headEnd/>
                              <a:tailEnd/>
                            </a:ln>
                          </wps:spPr>
                          <wps:txbx>
                            <w:txbxContent>
                              <w:p w:rsidR="00627B67" w:rsidRDefault="00627B67" w:rsidP="00627B6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8" style="position:absolute;margin-left:0;margin-top:0;width:7.15pt;height:882.45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" o:allowincell="f" fillcolor="white [3212]" strokecolor="#31849b [2408]">
                    <v:textbox>
                      <w:txbxContent>
                        <w:p w:rsidR="00627B67" w:rsidRDefault="00627B67" w:rsidP="00627B67">
                          <w:pPr>
                            <w:jc w:val="center"/>
                          </w:pPr>
                        </w:p>
                      </w:txbxContent>
                    </v:textbox>
                    <w10:wrap anchorx="margin" anchory="page"/>
                  </v:rect>
                </w:pict>
              </mc:Fallback>
            </mc:AlternateContent>
          </w:r>
          <w:r>
            <w:rPr>
              <w:noProof/>
              <w:lang w:val="en-GB" w:eastAsia="en-GB"/>
            </w:rPr>
            <mc:AlternateContent>
              <mc:Choice Requires="wps">
                <w:drawing>
                  <wp:anchor distT="0" distB="0" distL="114300" distR="114300" simplePos="0" relativeHeight="251660288" behindDoc="0" locked="0" layoutInCell="0" allowOverlap="1">
                    <wp:simplePos x="0" y="0"/>
                    <wp:positionH relativeFrom="page">
                      <wp:align>center</wp:align>
                    </wp:positionH>
                    <wp:positionV relativeFrom="topMargin">
                      <wp:align>top</wp:align>
                    </wp:positionV>
                    <wp:extent cx="7915910" cy="799465"/>
                    <wp:effectExtent l="0" t="0" r="24765" b="15240"/>
                    <wp:wrapNone/>
                    <wp:docPr id="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5910" cy="799465"/>
                            </a:xfrm>
                            <a:prstGeom prst="rect">
                              <a:avLst/>
                            </a:prstGeom>
                            <a:solidFill>
                              <a:schemeClr val="accent5">
                                <a:lumMod val="100000"/>
                                <a:lumOff val="0"/>
                              </a:schemeClr>
                            </a:solidFill>
                            <a:ln w="9525">
                              <a:solidFill>
                                <a:schemeClr val="accent5">
                                  <a:lumMod val="75000"/>
                                  <a:lumOff val="0"/>
                                </a:schemeClr>
                              </a:solidFill>
                              <a:miter lim="800000"/>
                              <a:headEnd/>
                              <a:tailEnd/>
                            </a:ln>
                          </wps:spPr>
                          <wps:txbx>
                            <w:txbxContent>
                              <w:p w:rsidR="00627B67" w:rsidRDefault="00627B67" w:rsidP="00627B67">
                                <w:pPr>
                                  <w:jc w:val="center"/>
                                </w:pPr>
                              </w:p>
                            </w:txbxContent>
                          </wps:txbx>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9" style="position:absolute;margin-left:0;margin-top:0;width:623.3pt;height:62.95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" o:allowincell="f" fillcolor="#4bacc6 [3208]" strokecolor="#31849b [2408]">
                    <v:textbox>
                      <w:txbxContent>
                        <w:p w:rsidR="00627B67" w:rsidRDefault="00627B67" w:rsidP="00627B67">
                          <w:pPr>
                            <w:jc w:val="center"/>
                          </w:pPr>
                        </w:p>
                      </w:txbxContent>
                    </v:textbox>
                    <w10:wrap anchorx="page" anchory="margin"/>
                  </v:rect>
                </w:pict>
              </mc:Fallback>
            </mc:AlternateContent>
          </w:r>
        </w:p>
        <w:sdt>
          <w:sdtPr>
            <w:rPr>
              <w:rFonts w:asciiTheme="majorHAnsi" w:eastAsiaTheme="majorEastAsia" w:hAnsiTheme="majorHAnsi" w:cstheme="majorBidi"/>
              <w:sz w:val="40"/>
              <w:szCs w:val="40"/>
              <w:u w:val="single"/>
            </w:rPr>
            <w:alias w:val="Title"/>
            <w:id w:val="14700071"/>
            <w:showingPlcHdr/>
            <w:dataBinding w:prefixMappings="xmlns:ns0='http://schemas.openxmlformats.org/package/2006/metadata/core-properties' xmlns:ns1='http://purl.org/dc/elements/1.1/'" w:xpath="/ns0:coreProperties[1]/ns1:title[1]" w:storeItemID="{6C3C8BC8-F283-45AE-878A-BAB7291924A1}"/>
            <w:text/>
          </w:sdtPr>
          <w:sdtEndPr/>
          <w:sdtContent>
            <w:p w:rsidR="00282B4A" w:rsidRPr="006D2EB0" w:rsidRDefault="00282B4A" w:rsidP="00282B4A">
              <w:pPr>
                <w:pStyle w:val="NoSpacing"/>
                <w:jc w:val="center"/>
                <w:rPr>
                  <w:rFonts w:asciiTheme="majorHAnsi" w:eastAsiaTheme="majorEastAsia" w:hAnsiTheme="majorHAnsi" w:cstheme="majorBidi"/>
                  <w:sz w:val="40"/>
                  <w:szCs w:val="40"/>
                  <w:u w:val="single"/>
                </w:rPr>
              </w:pPr>
              <w:r>
                <w:rPr>
                  <w:rFonts w:asciiTheme="majorHAnsi" w:eastAsiaTheme="majorEastAsia" w:hAnsiTheme="majorHAnsi" w:cstheme="majorBidi"/>
                  <w:sz w:val="40"/>
                  <w:szCs w:val="40"/>
                  <w:u w:val="single"/>
                </w:rPr>
                <w:t xml:space="preserve">     </w:t>
              </w:r>
            </w:p>
          </w:sdtContent>
        </w:sdt>
        <w:p w:rsidR="00282B4A" w:rsidRPr="006D2EB0" w:rsidRDefault="00282B4A" w:rsidP="00282B4A">
          <w:pPr>
            <w:rPr>
              <w:u w:val="single"/>
            </w:rPr>
          </w:pPr>
        </w:p>
        <w:p w:rsidR="00282B4A" w:rsidRPr="006D2EB0" w:rsidRDefault="00282B4A" w:rsidP="00282B4A">
          <w:pPr>
            <w:pStyle w:val="NoSpacing"/>
            <w:rPr>
              <w:b/>
              <w:bCs/>
              <w:sz w:val="44"/>
              <w:szCs w:val="44"/>
              <w:u w:val="single"/>
            </w:rPr>
          </w:pPr>
        </w:p>
        <w:p w:rsidR="00282B4A" w:rsidRPr="006D2EB0" w:rsidRDefault="00282B4A" w:rsidP="00282B4A">
          <w:pPr>
            <w:pStyle w:val="NoSpacing"/>
            <w:jc w:val="center"/>
            <w:rPr>
              <w:b/>
              <w:bCs/>
              <w:sz w:val="44"/>
              <w:szCs w:val="44"/>
              <w:u w:val="single"/>
            </w:rPr>
          </w:pPr>
          <w:r w:rsidRPr="006D2EB0">
            <w:rPr>
              <w:b/>
              <w:bCs/>
              <w:sz w:val="44"/>
              <w:szCs w:val="44"/>
              <w:u w:val="single"/>
            </w:rPr>
            <w:t>SECTION B</w:t>
          </w:r>
        </w:p>
        <w:p w:rsidR="00282B4A" w:rsidRDefault="00282B4A" w:rsidP="00282B4A">
          <w:pPr>
            <w:pStyle w:val="NoSpacing"/>
            <w:rPr>
              <w:b/>
              <w:bCs/>
              <w:sz w:val="44"/>
              <w:szCs w:val="44"/>
            </w:rPr>
          </w:pPr>
        </w:p>
        <w:p w:rsidR="00282B4A" w:rsidRDefault="00282B4A" w:rsidP="00282B4A">
          <w:pPr>
            <w:pStyle w:val="NoSpacing"/>
            <w:rPr>
              <w:b/>
              <w:bCs/>
              <w:sz w:val="44"/>
              <w:szCs w:val="44"/>
            </w:rPr>
          </w:pPr>
        </w:p>
        <w:p w:rsidR="00282B4A" w:rsidRDefault="00282B4A" w:rsidP="00282B4A">
          <w:pPr>
            <w:pStyle w:val="NoSpacing"/>
            <w:rPr>
              <w:b/>
              <w:bCs/>
              <w:sz w:val="44"/>
              <w:szCs w:val="44"/>
            </w:rPr>
          </w:pPr>
        </w:p>
        <w:p w:rsidR="00282B4A" w:rsidRDefault="00282B4A" w:rsidP="00282B4A">
          <w:pPr>
            <w:pStyle w:val="NoSpacing"/>
            <w:rPr>
              <w:b/>
              <w:bCs/>
              <w:sz w:val="44"/>
              <w:szCs w:val="44"/>
            </w:rPr>
          </w:pPr>
        </w:p>
        <w:p w:rsidR="00282B4A" w:rsidRDefault="00282B4A" w:rsidP="00282B4A">
          <w:pPr>
            <w:pStyle w:val="NoSpacing"/>
            <w:rPr>
              <w:b/>
              <w:bCs/>
              <w:sz w:val="44"/>
              <w:szCs w:val="44"/>
            </w:rPr>
          </w:pPr>
        </w:p>
        <w:p w:rsidR="00282B4A" w:rsidRDefault="00282B4A" w:rsidP="00282B4A">
          <w:pPr>
            <w:pStyle w:val="NoSpacing"/>
            <w:rPr>
              <w:b/>
              <w:bCs/>
              <w:sz w:val="44"/>
              <w:szCs w:val="44"/>
            </w:rPr>
          </w:pPr>
        </w:p>
        <w:p w:rsidR="00282B4A" w:rsidRDefault="00282B4A" w:rsidP="00282B4A">
          <w:pPr>
            <w:pStyle w:val="NoSpacing"/>
            <w:rPr>
              <w:b/>
              <w:bCs/>
              <w:sz w:val="44"/>
              <w:szCs w:val="44"/>
            </w:rPr>
          </w:pPr>
        </w:p>
        <w:p w:rsidR="00282B4A" w:rsidRPr="006D2EB0" w:rsidRDefault="00282B4A" w:rsidP="00282B4A">
          <w:pPr>
            <w:pStyle w:val="NoSpacing"/>
            <w:rPr>
              <w:rFonts w:asciiTheme="majorHAnsi" w:eastAsiaTheme="majorEastAsia" w:hAnsiTheme="majorHAnsi" w:cstheme="majorBidi"/>
              <w:sz w:val="40"/>
              <w:szCs w:val="40"/>
            </w:rPr>
          </w:pPr>
        </w:p>
        <w:p w:rsidR="00282B4A" w:rsidRDefault="00282B4A" w:rsidP="00282B4A">
          <w:pPr>
            <w:pStyle w:val="NoSpacing"/>
            <w:rPr>
              <w:rFonts w:asciiTheme="majorHAnsi" w:eastAsiaTheme="majorEastAsia" w:hAnsiTheme="majorHAnsi" w:cstheme="majorBidi"/>
              <w:sz w:val="36"/>
              <w:szCs w:val="36"/>
            </w:rPr>
          </w:pPr>
        </w:p>
        <w:p w:rsidR="00282B4A" w:rsidRDefault="00282B4A" w:rsidP="00282B4A">
          <w:pPr>
            <w:rPr>
              <w:b/>
              <w:bCs/>
              <w:sz w:val="44"/>
              <w:szCs w:val="44"/>
            </w:rPr>
          </w:pPr>
        </w:p>
        <w:p w:rsidR="00282B4A" w:rsidRDefault="00627B67" w:rsidP="00282B4A">
          <w:pPr>
            <w:rPr>
              <w:rFonts w:asciiTheme="majorHAnsi" w:eastAsiaTheme="majorEastAsia" w:hAnsiTheme="majorHAnsi" w:cstheme="majorBidi"/>
              <w:sz w:val="44"/>
              <w:szCs w:val="44"/>
            </w:rPr>
          </w:pPr>
        </w:p>
      </w:sdtContent>
    </w:sdt>
    <w:p w:rsidR="00282B4A" w:rsidRDefault="00282B4A" w:rsidP="00282B4A">
      <w:pPr>
        <w:pStyle w:val="Heading2"/>
        <w:jc w:val="both"/>
        <w:rPr>
          <w:rFonts w:ascii="Times New Roman" w:hAnsi="Times New Roman" w:cs="Times New Roman"/>
          <w:sz w:val="24"/>
          <w:szCs w:val="24"/>
        </w:rPr>
      </w:pPr>
    </w:p>
    <w:sdt>
      <w:sdtPr>
        <w:rPr>
          <w:rFonts w:ascii="Times New Roman" w:eastAsiaTheme="minorEastAsia" w:hAnsi="Times New Roman" w:cs="Times New Roman"/>
          <w:b w:val="0"/>
          <w:bCs w:val="0"/>
          <w:color w:val="auto"/>
          <w:sz w:val="24"/>
          <w:szCs w:val="24"/>
          <w:lang w:val="en-GB" w:eastAsia="en-GB"/>
        </w:rPr>
        <w:id w:val="3042160"/>
        <w:docPartObj>
          <w:docPartGallery w:val="Table of Contents"/>
          <w:docPartUnique/>
        </w:docPartObj>
      </w:sdtPr>
      <w:sdtEndPr/>
      <w:sdtContent>
        <w:p w:rsidR="00282B4A" w:rsidRPr="00D11981" w:rsidRDefault="00282B4A" w:rsidP="00282B4A">
          <w:pPr>
            <w:pStyle w:val="TOCHeading"/>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Contents</w:t>
          </w:r>
        </w:p>
        <w:p w:rsidR="00282B4A" w:rsidRPr="00D11981" w:rsidRDefault="00282B4A" w:rsidP="00282B4A">
          <w:pPr>
            <w:pStyle w:val="TOC1"/>
            <w:tabs>
              <w:tab w:val="right" w:leader="dot" w:pos="9350"/>
            </w:tabs>
            <w:spacing w:line="360" w:lineRule="auto"/>
            <w:jc w:val="both"/>
            <w:rPr>
              <w:rFonts w:ascii="Times New Roman" w:hAnsi="Times New Roman" w:cs="Times New Roman"/>
              <w:noProof/>
              <w:sz w:val="24"/>
              <w:szCs w:val="24"/>
            </w:rPr>
          </w:pPr>
          <w:r w:rsidRPr="00D11981">
            <w:rPr>
              <w:rFonts w:ascii="Times New Roman" w:hAnsi="Times New Roman" w:cs="Times New Roman"/>
              <w:sz w:val="24"/>
              <w:szCs w:val="24"/>
            </w:rPr>
            <w:fldChar w:fldCharType="begin"/>
          </w:r>
          <w:r w:rsidRPr="00D11981">
            <w:rPr>
              <w:rFonts w:ascii="Times New Roman" w:hAnsi="Times New Roman" w:cs="Times New Roman"/>
              <w:sz w:val="24"/>
              <w:szCs w:val="24"/>
            </w:rPr>
            <w:instrText xml:space="preserve"> TOC \o "1-3" \h \z \u </w:instrText>
          </w:r>
          <w:r w:rsidRPr="00D11981">
            <w:rPr>
              <w:rFonts w:ascii="Times New Roman" w:hAnsi="Times New Roman" w:cs="Times New Roman"/>
              <w:sz w:val="24"/>
              <w:szCs w:val="24"/>
            </w:rPr>
            <w:fldChar w:fldCharType="separate"/>
          </w:r>
          <w:hyperlink w:anchor="_Toc512010617" w:history="1">
            <w:r w:rsidRPr="00D11981">
              <w:rPr>
                <w:rStyle w:val="Hyperlink"/>
                <w:rFonts w:ascii="Times New Roman" w:hAnsi="Times New Roman" w:cs="Times New Roman"/>
                <w:noProof/>
                <w:sz w:val="24"/>
                <w:szCs w:val="24"/>
              </w:rPr>
              <w:t>Introduction</w:t>
            </w:r>
            <w:r w:rsidRPr="00D11981">
              <w:rPr>
                <w:rFonts w:ascii="Times New Roman" w:hAnsi="Times New Roman" w:cs="Times New Roman"/>
                <w:noProof/>
                <w:webHidden/>
                <w:sz w:val="24"/>
                <w:szCs w:val="24"/>
              </w:rPr>
              <w:tab/>
            </w:r>
            <w:r w:rsidRPr="00D11981">
              <w:rPr>
                <w:rFonts w:ascii="Times New Roman" w:hAnsi="Times New Roman" w:cs="Times New Roman"/>
                <w:noProof/>
                <w:webHidden/>
                <w:sz w:val="24"/>
                <w:szCs w:val="24"/>
              </w:rPr>
              <w:fldChar w:fldCharType="begin"/>
            </w:r>
            <w:r w:rsidRPr="00D11981">
              <w:rPr>
                <w:rFonts w:ascii="Times New Roman" w:hAnsi="Times New Roman" w:cs="Times New Roman"/>
                <w:noProof/>
                <w:webHidden/>
                <w:sz w:val="24"/>
                <w:szCs w:val="24"/>
              </w:rPr>
              <w:instrText xml:space="preserve"> PAGEREF _Toc512010617 \h </w:instrText>
            </w:r>
            <w:r w:rsidRPr="00D11981">
              <w:rPr>
                <w:rFonts w:ascii="Times New Roman" w:hAnsi="Times New Roman" w:cs="Times New Roman"/>
                <w:noProof/>
                <w:webHidden/>
                <w:sz w:val="24"/>
                <w:szCs w:val="24"/>
              </w:rPr>
            </w:r>
            <w:r w:rsidRPr="00D11981">
              <w:rPr>
                <w:rFonts w:ascii="Times New Roman" w:hAnsi="Times New Roman" w:cs="Times New Roman"/>
                <w:noProof/>
                <w:webHidden/>
                <w:sz w:val="24"/>
                <w:szCs w:val="24"/>
              </w:rPr>
              <w:fldChar w:fldCharType="separate"/>
            </w:r>
            <w:r w:rsidRPr="00D11981">
              <w:rPr>
                <w:rFonts w:ascii="Times New Roman" w:hAnsi="Times New Roman" w:cs="Times New Roman"/>
                <w:noProof/>
                <w:webHidden/>
                <w:sz w:val="24"/>
                <w:szCs w:val="24"/>
              </w:rPr>
              <w:t>3</w:t>
            </w:r>
            <w:r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18" w:history="1">
            <w:r w:rsidR="00282B4A" w:rsidRPr="00D11981">
              <w:rPr>
                <w:rStyle w:val="Hyperlink"/>
                <w:rFonts w:ascii="Times New Roman" w:hAnsi="Times New Roman" w:cs="Times New Roman"/>
                <w:noProof/>
                <w:sz w:val="24"/>
                <w:szCs w:val="24"/>
              </w:rPr>
              <w:t>Part a:</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_Toc512010618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3</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19" w:history="1">
            <w:r w:rsidR="00282B4A" w:rsidRPr="00D11981">
              <w:rPr>
                <w:rStyle w:val="Hyperlink"/>
                <w:rFonts w:ascii="Times New Roman" w:hAnsi="Times New Roman" w:cs="Times New Roman"/>
                <w:noProof/>
                <w:sz w:val="24"/>
                <w:szCs w:val="24"/>
              </w:rPr>
              <w:t>Determination of the payback period and the Net present value of the two projects:</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_Toc512010619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3</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20" w:history="1">
            <w:r w:rsidR="00282B4A" w:rsidRPr="00D11981">
              <w:rPr>
                <w:rStyle w:val="Hyperlink"/>
                <w:rFonts w:ascii="Times New Roman" w:hAnsi="Times New Roman" w:cs="Times New Roman"/>
                <w:noProof/>
                <w:sz w:val="24"/>
                <w:szCs w:val="24"/>
              </w:rPr>
              <w:t>Calculation of Pay back period :</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_Toc512010620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4</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21" w:history="1">
            <w:r w:rsidR="00282B4A" w:rsidRPr="00D11981">
              <w:rPr>
                <w:rStyle w:val="Hyperlink"/>
                <w:rFonts w:ascii="Times New Roman" w:hAnsi="Times New Roman" w:cs="Times New Roman"/>
                <w:noProof/>
                <w:sz w:val="24"/>
                <w:szCs w:val="24"/>
              </w:rPr>
              <w:t>Part b:</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_Toc512010621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6</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22" w:history="1">
            <w:r w:rsidR="00282B4A" w:rsidRPr="00D11981">
              <w:rPr>
                <w:rStyle w:val="Hyperlink"/>
                <w:rFonts w:ascii="Times New Roman" w:hAnsi="Times New Roman" w:cs="Times New Roman"/>
                <w:noProof/>
                <w:sz w:val="24"/>
                <w:szCs w:val="24"/>
              </w:rPr>
              <w:t>Determination of the Accounting rate of Return for each project:</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_Toc512010622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6</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23" w:history="1">
            <w:r w:rsidR="00282B4A" w:rsidRPr="00D11981">
              <w:rPr>
                <w:rStyle w:val="Hyperlink"/>
                <w:rFonts w:ascii="Times New Roman" w:hAnsi="Times New Roman" w:cs="Times New Roman"/>
                <w:noProof/>
                <w:sz w:val="24"/>
                <w:szCs w:val="24"/>
              </w:rPr>
              <w:t>c) Evaluation of the result of part (a) and (b) and recommending with reasons which project should be adopted:</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_Toc512010623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8</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24" w:history="1">
            <w:r w:rsidR="00282B4A" w:rsidRPr="00D11981">
              <w:rPr>
                <w:rStyle w:val="Hyperlink"/>
                <w:rFonts w:ascii="Times New Roman" w:hAnsi="Times New Roman" w:cs="Times New Roman"/>
                <w:noProof/>
                <w:sz w:val="24"/>
                <w:szCs w:val="24"/>
              </w:rPr>
              <w:t>Part d:</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_Toc512010624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9</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2"/>
            <w:tabs>
              <w:tab w:val="right" w:leader="dot" w:pos="9350"/>
            </w:tabs>
            <w:spacing w:line="360" w:lineRule="auto"/>
            <w:jc w:val="both"/>
            <w:rPr>
              <w:rFonts w:ascii="Times New Roman" w:hAnsi="Times New Roman" w:cs="Times New Roman"/>
              <w:noProof/>
              <w:sz w:val="24"/>
              <w:szCs w:val="24"/>
            </w:rPr>
          </w:pPr>
          <w:hyperlink w:anchor="_Toc512010625" w:history="1">
            <w:r w:rsidR="00282B4A" w:rsidRPr="00D11981">
              <w:rPr>
                <w:rStyle w:val="Hyperlink"/>
                <w:rFonts w:ascii="Times New Roman" w:hAnsi="Times New Roman" w:cs="Times New Roman"/>
                <w:noProof/>
                <w:sz w:val="24"/>
                <w:szCs w:val="24"/>
              </w:rPr>
              <w:t>Critical Evaluation of the advantages and disadvantages of the payback period and NPV techniques of project appraisal:</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_Toc512010625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9</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26" w:history="1">
            <w:r w:rsidR="00282B4A" w:rsidRPr="00D11981">
              <w:rPr>
                <w:rStyle w:val="Hyperlink"/>
                <w:rFonts w:ascii="Times New Roman" w:hAnsi="Times New Roman" w:cs="Times New Roman"/>
                <w:noProof/>
                <w:sz w:val="24"/>
                <w:szCs w:val="24"/>
              </w:rPr>
              <w:t>Part e:</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_Toc512010626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10</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27" w:history="1">
            <w:r w:rsidR="00282B4A" w:rsidRPr="00D11981">
              <w:rPr>
                <w:rStyle w:val="Hyperlink"/>
                <w:rFonts w:ascii="Times New Roman" w:hAnsi="Times New Roman" w:cs="Times New Roman"/>
                <w:noProof/>
                <w:sz w:val="24"/>
                <w:szCs w:val="24"/>
              </w:rPr>
              <w:t>Discussion of the non financial factor that must be considered in a investment appraisal process:</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_Toc512010627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10</w:t>
            </w:r>
            <w:r w:rsidR="00282B4A" w:rsidRPr="00D11981">
              <w:rPr>
                <w:rFonts w:ascii="Times New Roman" w:hAnsi="Times New Roman" w:cs="Times New Roman"/>
                <w:noProof/>
                <w:webHidden/>
                <w:sz w:val="24"/>
                <w:szCs w:val="24"/>
              </w:rPr>
              <w:fldChar w:fldCharType="end"/>
            </w:r>
          </w:hyperlink>
        </w:p>
        <w:p w:rsidR="00282B4A" w:rsidRPr="00D11981" w:rsidRDefault="00627B67" w:rsidP="00282B4A">
          <w:pPr>
            <w:pStyle w:val="TOC1"/>
            <w:tabs>
              <w:tab w:val="right" w:leader="dot" w:pos="9350"/>
            </w:tabs>
            <w:spacing w:line="360" w:lineRule="auto"/>
            <w:jc w:val="both"/>
            <w:rPr>
              <w:rFonts w:ascii="Times New Roman" w:hAnsi="Times New Roman" w:cs="Times New Roman"/>
              <w:noProof/>
              <w:sz w:val="24"/>
              <w:szCs w:val="24"/>
            </w:rPr>
          </w:pPr>
          <w:hyperlink w:anchor="_Toc512010628" w:history="1">
            <w:r w:rsidR="00282B4A" w:rsidRPr="00D11981">
              <w:rPr>
                <w:rStyle w:val="Hyperlink"/>
                <w:rFonts w:ascii="Times New Roman" w:hAnsi="Times New Roman" w:cs="Times New Roman"/>
                <w:noProof/>
                <w:sz w:val="24"/>
                <w:szCs w:val="24"/>
              </w:rPr>
              <w:t>Reference</w:t>
            </w:r>
            <w:r w:rsidR="00282B4A" w:rsidRPr="00D11981">
              <w:rPr>
                <w:rFonts w:ascii="Times New Roman" w:hAnsi="Times New Roman" w:cs="Times New Roman"/>
                <w:noProof/>
                <w:webHidden/>
                <w:sz w:val="24"/>
                <w:szCs w:val="24"/>
              </w:rPr>
              <w:tab/>
            </w:r>
            <w:r w:rsidR="00282B4A" w:rsidRPr="00D11981">
              <w:rPr>
                <w:rFonts w:ascii="Times New Roman" w:hAnsi="Times New Roman" w:cs="Times New Roman"/>
                <w:noProof/>
                <w:webHidden/>
                <w:sz w:val="24"/>
                <w:szCs w:val="24"/>
              </w:rPr>
              <w:fldChar w:fldCharType="begin"/>
            </w:r>
            <w:r w:rsidR="00282B4A" w:rsidRPr="00D11981">
              <w:rPr>
                <w:rFonts w:ascii="Times New Roman" w:hAnsi="Times New Roman" w:cs="Times New Roman"/>
                <w:noProof/>
                <w:webHidden/>
                <w:sz w:val="24"/>
                <w:szCs w:val="24"/>
              </w:rPr>
              <w:instrText xml:space="preserve"> PAGEREF _Toc512010628 \h </w:instrText>
            </w:r>
            <w:r w:rsidR="00282B4A" w:rsidRPr="00D11981">
              <w:rPr>
                <w:rFonts w:ascii="Times New Roman" w:hAnsi="Times New Roman" w:cs="Times New Roman"/>
                <w:noProof/>
                <w:webHidden/>
                <w:sz w:val="24"/>
                <w:szCs w:val="24"/>
              </w:rPr>
            </w:r>
            <w:r w:rsidR="00282B4A" w:rsidRPr="00D11981">
              <w:rPr>
                <w:rFonts w:ascii="Times New Roman" w:hAnsi="Times New Roman" w:cs="Times New Roman"/>
                <w:noProof/>
                <w:webHidden/>
                <w:sz w:val="24"/>
                <w:szCs w:val="24"/>
              </w:rPr>
              <w:fldChar w:fldCharType="separate"/>
            </w:r>
            <w:r w:rsidR="00282B4A" w:rsidRPr="00D11981">
              <w:rPr>
                <w:rFonts w:ascii="Times New Roman" w:hAnsi="Times New Roman" w:cs="Times New Roman"/>
                <w:noProof/>
                <w:webHidden/>
                <w:sz w:val="24"/>
                <w:szCs w:val="24"/>
              </w:rPr>
              <w:t>12</w:t>
            </w:r>
            <w:r w:rsidR="00282B4A" w:rsidRPr="00D11981">
              <w:rPr>
                <w:rFonts w:ascii="Times New Roman" w:hAnsi="Times New Roman" w:cs="Times New Roman"/>
                <w:noProof/>
                <w:webHidden/>
                <w:sz w:val="24"/>
                <w:szCs w:val="24"/>
              </w:rPr>
              <w:fldChar w:fldCharType="end"/>
            </w:r>
          </w:hyperlink>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fldChar w:fldCharType="end"/>
          </w:r>
        </w:p>
      </w:sdtContent>
    </w:sdt>
    <w:p w:rsidR="00282B4A" w:rsidRPr="00D11981" w:rsidRDefault="00282B4A" w:rsidP="00282B4A">
      <w:pPr>
        <w:pStyle w:val="Heading2"/>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pStyle w:val="Heading1"/>
        <w:spacing w:line="360" w:lineRule="auto"/>
        <w:jc w:val="both"/>
        <w:rPr>
          <w:rFonts w:ascii="Times New Roman" w:hAnsi="Times New Roman" w:cs="Times New Roman"/>
          <w:sz w:val="24"/>
          <w:szCs w:val="24"/>
        </w:rPr>
      </w:pPr>
      <w:bookmarkStart w:id="15" w:name="_Toc512010617"/>
      <w:r w:rsidRPr="00D11981">
        <w:rPr>
          <w:rFonts w:ascii="Times New Roman" w:hAnsi="Times New Roman" w:cs="Times New Roman"/>
          <w:sz w:val="24"/>
          <w:szCs w:val="24"/>
        </w:rPr>
        <w:t>Introduction</w:t>
      </w:r>
      <w:bookmarkEnd w:id="15"/>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 following report depicts a comprehensive approach of investment appraisal of the manufacturing company of Patel Mintro in London. Patel Mintro is planning on to put his money on some projects by investments. This will earn mutual benefits to both the investor and the project entrepreneur. For the purpose of investment Patel Mintro is looking for investment in two different projects namely Project A and Project B. the former requires an investment sum of about £160000 and the later needs investment of £220000. The residual value after 6 years of the project A is predicted to be around £20000 while the project B may have a residual value of around £10000. The annual cash flow expected from each project A and B are respectively around £45000 and £650000 respectively. The capital cost of the manufacturing company is about 7%</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 report mainly emphasizes on the comprehensive investment appraisal with the help of different investment appraisal tools and methods in order to suggest the best project for investment by Patel Mintro from the two given options of investment projects which are project A and Project B. the investment appraisal tools and techniques used to evaluate the efficacy of each manufacturing project are payback period, net present value and accounting rate. After proper assessment of these factors on the basis of each project, it will be easier to recommend the best suitable and beneficial project to invest on by Patel Mintro.</w:t>
      </w:r>
    </w:p>
    <w:p w:rsidR="00282B4A" w:rsidRPr="00D11981" w:rsidRDefault="00282B4A" w:rsidP="00282B4A">
      <w:pPr>
        <w:pStyle w:val="Heading1"/>
        <w:spacing w:line="360" w:lineRule="auto"/>
        <w:jc w:val="both"/>
        <w:rPr>
          <w:rFonts w:ascii="Times New Roman" w:hAnsi="Times New Roman" w:cs="Times New Roman"/>
          <w:sz w:val="24"/>
          <w:szCs w:val="24"/>
        </w:rPr>
      </w:pPr>
      <w:bookmarkStart w:id="16" w:name="_Toc512010618"/>
      <w:r w:rsidRPr="00D11981">
        <w:rPr>
          <w:rFonts w:ascii="Times New Roman" w:hAnsi="Times New Roman" w:cs="Times New Roman"/>
          <w:sz w:val="24"/>
          <w:szCs w:val="24"/>
        </w:rPr>
        <w:t>Part a:</w:t>
      </w:r>
      <w:bookmarkEnd w:id="16"/>
    </w:p>
    <w:p w:rsidR="00282B4A" w:rsidRPr="00D11981" w:rsidRDefault="00282B4A" w:rsidP="00282B4A">
      <w:pPr>
        <w:pStyle w:val="Heading1"/>
        <w:spacing w:line="360" w:lineRule="auto"/>
        <w:jc w:val="both"/>
        <w:rPr>
          <w:rFonts w:ascii="Times New Roman" w:hAnsi="Times New Roman" w:cs="Times New Roman"/>
          <w:sz w:val="24"/>
          <w:szCs w:val="24"/>
        </w:rPr>
      </w:pPr>
      <w:bookmarkStart w:id="17" w:name="_Toc512010619"/>
      <w:r w:rsidRPr="00D11981">
        <w:rPr>
          <w:rFonts w:ascii="Times New Roman" w:hAnsi="Times New Roman" w:cs="Times New Roman"/>
          <w:sz w:val="24"/>
          <w:szCs w:val="24"/>
        </w:rPr>
        <w:t>Determination of the payback period and the Net present value of the two projects:</w:t>
      </w:r>
      <w:bookmarkEnd w:id="17"/>
      <w:r w:rsidRPr="00D11981">
        <w:rPr>
          <w:rFonts w:ascii="Times New Roman" w:hAnsi="Times New Roman" w:cs="Times New Roman"/>
          <w:sz w:val="24"/>
          <w:szCs w:val="24"/>
        </w:rPr>
        <w:t xml:space="preserve">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Net Present Value of a project refers to the difference between  current value of cash outflow and cash inflow from a project. Hence we can also consider it as the difference of the sum of cash inflow and outflow from a particular project. Thus the profitability of a project to an investor is evaluated by assessing the Net Present Value (</w:t>
      </w:r>
      <w:r w:rsidRPr="00D11981">
        <w:rPr>
          <w:rFonts w:ascii="Times New Roman" w:hAnsi="Times New Roman" w:cs="Times New Roman"/>
          <w:color w:val="222222"/>
          <w:sz w:val="24"/>
          <w:szCs w:val="24"/>
          <w:shd w:val="clear" w:color="auto" w:fill="FFFFFF"/>
        </w:rPr>
        <w:t>Rich and Delaney, 2018</w:t>
      </w:r>
      <w:r w:rsidRPr="00D11981">
        <w:rPr>
          <w:rFonts w:ascii="Times New Roman" w:hAnsi="Times New Roman" w:cs="Times New Roman"/>
          <w:sz w:val="24"/>
          <w:szCs w:val="24"/>
        </w:rPr>
        <w:t>). Hence it can be said that this particular investment assessment toll is considered to be very important for any investor planning to invest in a project.</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Payback period is the time period by which a particular project will fetch back the initial invested amount to the investor. This is also a very important investment appraisal technique which will help Patel Mintro as in this case to evaluate the time which will be required to recover his invested money from the projects and thus help him decide better on which project to invest in.</w:t>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 cash flows from the project is provided below:</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noProof/>
          <w:sz w:val="24"/>
          <w:szCs w:val="24"/>
        </w:rPr>
        <w:drawing>
          <wp:inline distT="0" distB="0" distL="0" distR="0" wp14:anchorId="614F302C" wp14:editId="35F800D8">
            <wp:extent cx="5586103" cy="193567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5585951" cy="1935625"/>
                    </a:xfrm>
                    <a:prstGeom prst="rect">
                      <a:avLst/>
                    </a:prstGeom>
                    <a:noFill/>
                    <a:ln w="9525">
                      <a:noFill/>
                      <a:miter lim="800000"/>
                      <a:headEnd/>
                      <a:tailEnd/>
                    </a:ln>
                  </pic:spPr>
                </pic:pic>
              </a:graphicData>
            </a:graphic>
          </wp:inline>
        </w:drawing>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 cumulative cash from the Project A and project B is provided below:</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noProof/>
          <w:sz w:val="24"/>
          <w:szCs w:val="24"/>
        </w:rPr>
        <w:drawing>
          <wp:inline distT="0" distB="0" distL="0" distR="0" wp14:anchorId="064537CA" wp14:editId="2879E147">
            <wp:extent cx="5871111" cy="2291938"/>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5871087" cy="2291929"/>
                    </a:xfrm>
                    <a:prstGeom prst="rect">
                      <a:avLst/>
                    </a:prstGeom>
                    <a:noFill/>
                    <a:ln w="9525">
                      <a:noFill/>
                      <a:miter lim="800000"/>
                      <a:headEnd/>
                      <a:tailEnd/>
                    </a:ln>
                  </pic:spPr>
                </pic:pic>
              </a:graphicData>
            </a:graphic>
          </wp:inline>
        </w:drawing>
      </w:r>
    </w:p>
    <w:p w:rsidR="00282B4A" w:rsidRPr="00D11981" w:rsidRDefault="00282B4A" w:rsidP="00282B4A">
      <w:pPr>
        <w:pStyle w:val="Heading1"/>
        <w:spacing w:line="360" w:lineRule="auto"/>
        <w:jc w:val="both"/>
        <w:rPr>
          <w:rFonts w:ascii="Times New Roman" w:hAnsi="Times New Roman" w:cs="Times New Roman"/>
          <w:sz w:val="24"/>
          <w:szCs w:val="24"/>
        </w:rPr>
      </w:pPr>
      <w:bookmarkStart w:id="18" w:name="_Toc512010620"/>
      <w:r w:rsidRPr="00D11981">
        <w:rPr>
          <w:rFonts w:ascii="Times New Roman" w:hAnsi="Times New Roman" w:cs="Times New Roman"/>
          <w:sz w:val="24"/>
          <w:szCs w:val="24"/>
        </w:rPr>
        <w:t>Calculation of Payback period :</w:t>
      </w:r>
      <w:bookmarkEnd w:id="18"/>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 The formula of payback period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Payback Period = X+(Y/Z)</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Where,</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X is the last period with negative cumulative cash flow</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Y is the absolute value of the cumulative cash flow which is at the very end of Period X</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Z is the total cash flows during period the period after X</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Therefore, the payback period of project A = 3+(25000/45000)</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3.55 years</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Therefore, the payback period of project B = 3+(40000/60000)</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3.66 years</w:t>
      </w:r>
    </w:p>
    <w:p w:rsidR="00282B4A" w:rsidRPr="00D11981" w:rsidRDefault="00282B4A" w:rsidP="00282B4A">
      <w:pPr>
        <w:spacing w:line="360" w:lineRule="auto"/>
        <w:jc w:val="both"/>
        <w:rPr>
          <w:rFonts w:ascii="Times New Roman" w:hAnsi="Times New Roman" w:cs="Times New Roman"/>
          <w:b/>
          <w:sz w:val="24"/>
          <w:szCs w:val="24"/>
          <w:u w:val="single"/>
        </w:rPr>
      </w:pPr>
      <w:r w:rsidRPr="00D11981">
        <w:rPr>
          <w:rFonts w:ascii="Times New Roman" w:hAnsi="Times New Roman" w:cs="Times New Roman"/>
          <w:b/>
          <w:sz w:val="24"/>
          <w:szCs w:val="24"/>
          <w:u w:val="single"/>
        </w:rPr>
        <w:t>Calculation of Net Present Value of Projects considered by Patel Mintro:</w:t>
      </w:r>
    </w:p>
    <w:p w:rsidR="00282B4A" w:rsidRPr="00D11981" w:rsidRDefault="00282B4A" w:rsidP="00282B4A">
      <w:pPr>
        <w:spacing w:line="360" w:lineRule="auto"/>
        <w:jc w:val="both"/>
        <w:rPr>
          <w:rFonts w:ascii="Times New Roman" w:hAnsi="Times New Roman" w:cs="Times New Roman"/>
          <w:b/>
          <w:sz w:val="24"/>
          <w:szCs w:val="24"/>
          <w:u w:val="single"/>
        </w:rPr>
      </w:pPr>
      <w:r w:rsidRPr="00D11981">
        <w:rPr>
          <w:rFonts w:ascii="Times New Roman" w:hAnsi="Times New Roman" w:cs="Times New Roman"/>
          <w:b/>
          <w:noProof/>
          <w:sz w:val="24"/>
          <w:szCs w:val="24"/>
          <w:u w:val="single"/>
        </w:rPr>
        <w:drawing>
          <wp:inline distT="0" distB="0" distL="0" distR="0" wp14:anchorId="66C430AA" wp14:editId="0F8BDBBA">
            <wp:extent cx="6084867" cy="3170712"/>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srcRect/>
                    <a:stretch>
                      <a:fillRect/>
                    </a:stretch>
                  </pic:blipFill>
                  <pic:spPr bwMode="auto">
                    <a:xfrm>
                      <a:off x="0" y="0"/>
                      <a:ext cx="6084867" cy="3170712"/>
                    </a:xfrm>
                    <a:prstGeom prst="rect">
                      <a:avLst/>
                    </a:prstGeom>
                    <a:noFill/>
                    <a:ln w="9525">
                      <a:noFill/>
                      <a:miter lim="800000"/>
                      <a:headEnd/>
                      <a:tailEnd/>
                    </a:ln>
                  </pic:spPr>
                </pic:pic>
              </a:graphicData>
            </a:graphic>
          </wp:inline>
        </w:drawing>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Therefore, </w:t>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NPV of Project A= £67818.5</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NPV of Project B= £72563</w:t>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pStyle w:val="Heading1"/>
        <w:spacing w:line="360" w:lineRule="auto"/>
        <w:jc w:val="both"/>
        <w:rPr>
          <w:rFonts w:ascii="Times New Roman" w:hAnsi="Times New Roman" w:cs="Times New Roman"/>
          <w:sz w:val="24"/>
          <w:szCs w:val="24"/>
        </w:rPr>
      </w:pPr>
      <w:bookmarkStart w:id="19" w:name="_Toc512010621"/>
      <w:r w:rsidRPr="00D11981">
        <w:rPr>
          <w:rFonts w:ascii="Times New Roman" w:hAnsi="Times New Roman" w:cs="Times New Roman"/>
          <w:sz w:val="24"/>
          <w:szCs w:val="24"/>
        </w:rPr>
        <w:t>Part b:</w:t>
      </w:r>
      <w:bookmarkEnd w:id="19"/>
      <w:r w:rsidRPr="00D11981">
        <w:rPr>
          <w:rFonts w:ascii="Times New Roman" w:hAnsi="Times New Roman" w:cs="Times New Roman"/>
          <w:sz w:val="24"/>
          <w:szCs w:val="24"/>
        </w:rPr>
        <w:tab/>
      </w:r>
    </w:p>
    <w:p w:rsidR="00282B4A" w:rsidRPr="00D11981" w:rsidRDefault="00282B4A" w:rsidP="00282B4A">
      <w:pPr>
        <w:pStyle w:val="Heading1"/>
        <w:spacing w:line="360" w:lineRule="auto"/>
        <w:jc w:val="both"/>
        <w:rPr>
          <w:rFonts w:ascii="Times New Roman" w:hAnsi="Times New Roman" w:cs="Times New Roman"/>
          <w:sz w:val="24"/>
          <w:szCs w:val="24"/>
        </w:rPr>
      </w:pPr>
      <w:bookmarkStart w:id="20" w:name="_Toc512010622"/>
      <w:r w:rsidRPr="00D11981">
        <w:rPr>
          <w:rFonts w:ascii="Times New Roman" w:hAnsi="Times New Roman" w:cs="Times New Roman"/>
          <w:sz w:val="24"/>
          <w:szCs w:val="24"/>
        </w:rPr>
        <w:t>Determination of the Accounting rate of Return for each project:</w:t>
      </w:r>
      <w:bookmarkEnd w:id="20"/>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ARR or Accounting Rate of Return is the measurement of the ratio of the estimation of accounting profit to the average invested amount to the project. This investment appraisal technique will help the investor to determine the average return rate of investment from the project in which the investment has been made. The value of ARR is determined in the form of percentage (</w:t>
      </w:r>
      <w:r w:rsidRPr="00D11981">
        <w:rPr>
          <w:rFonts w:ascii="Times New Roman" w:hAnsi="Times New Roman" w:cs="Times New Roman"/>
          <w:color w:val="222222"/>
          <w:sz w:val="24"/>
          <w:szCs w:val="24"/>
          <w:shd w:val="clear" w:color="auto" w:fill="FFFFFF"/>
        </w:rPr>
        <w:t>Richard, 2014</w:t>
      </w:r>
      <w:r w:rsidRPr="00D11981">
        <w:rPr>
          <w:rFonts w:ascii="Times New Roman" w:hAnsi="Times New Roman" w:cs="Times New Roman"/>
          <w:sz w:val="24"/>
          <w:szCs w:val="24"/>
        </w:rPr>
        <w:t xml:space="preserve">).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 following section depicts the method of calculation of ARR for both the projects A and B which Patel Mintro is considering to invest in to generate higher revenues from his savings.</w:t>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b/>
          <w:sz w:val="24"/>
          <w:szCs w:val="24"/>
          <w:u w:val="single"/>
        </w:rPr>
      </w:pPr>
      <w:r w:rsidRPr="00D11981">
        <w:rPr>
          <w:rFonts w:ascii="Times New Roman" w:hAnsi="Times New Roman" w:cs="Times New Roman"/>
          <w:b/>
          <w:sz w:val="24"/>
          <w:szCs w:val="24"/>
          <w:u w:val="single"/>
        </w:rPr>
        <w:t>Calculation of the ARR for Project A:</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Residual value of project A = £20000</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As in the given case scenario, Initial Investment in the project A = £160000</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Useful Life of the project A = 6 years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So, Annual Depreciation of the project A= (160000-20000) /6</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                                                                          = £ 23333.33</w:t>
      </w:r>
    </w:p>
    <w:p w:rsidR="00282B4A" w:rsidRPr="00D11981" w:rsidRDefault="00282B4A" w:rsidP="00282B4A">
      <w:pPr>
        <w:spacing w:line="360" w:lineRule="auto"/>
        <w:jc w:val="both"/>
        <w:rPr>
          <w:rFonts w:ascii="Times New Roman" w:hAnsi="Times New Roman" w:cs="Times New Roman"/>
          <w:b/>
          <w:sz w:val="24"/>
          <w:szCs w:val="24"/>
        </w:rPr>
      </w:pPr>
      <w:r w:rsidRPr="00D11981">
        <w:rPr>
          <w:rFonts w:ascii="Times New Roman" w:hAnsi="Times New Roman" w:cs="Times New Roman"/>
          <w:b/>
          <w:sz w:val="24"/>
          <w:szCs w:val="24"/>
        </w:rPr>
        <w:t>Estimation of the Accounting Income for project A for each period is given below:</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noProof/>
          <w:sz w:val="24"/>
          <w:szCs w:val="24"/>
        </w:rPr>
        <w:drawing>
          <wp:inline distT="0" distB="0" distL="0" distR="0" wp14:anchorId="03792C9D" wp14:editId="5AB145CC">
            <wp:extent cx="5367655" cy="1876425"/>
            <wp:effectExtent l="1905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a:stretch>
                      <a:fillRect/>
                    </a:stretch>
                  </pic:blipFill>
                  <pic:spPr bwMode="auto">
                    <a:xfrm>
                      <a:off x="0" y="0"/>
                      <a:ext cx="5367655" cy="1876425"/>
                    </a:xfrm>
                    <a:prstGeom prst="rect">
                      <a:avLst/>
                    </a:prstGeom>
                    <a:noFill/>
                    <a:ln w="9525">
                      <a:noFill/>
                      <a:miter lim="800000"/>
                      <a:headEnd/>
                      <a:tailEnd/>
                    </a:ln>
                  </pic:spPr>
                </pic:pic>
              </a:graphicData>
            </a:graphic>
          </wp:inline>
        </w:drawing>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Average Accounting Income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 (21666.67+21666.67+21666.67+21666.67+21666.67+41666.67)/6</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 (150000.02/6)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£ 25000</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Therefore, ARR of Project A = Average Accounting Income / Initial Investment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 = (25000/ 160000)*100 = 15.62%</w:t>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b/>
          <w:sz w:val="24"/>
          <w:szCs w:val="24"/>
          <w:u w:val="single"/>
        </w:rPr>
      </w:pPr>
      <w:r w:rsidRPr="00D11981">
        <w:rPr>
          <w:rFonts w:ascii="Times New Roman" w:hAnsi="Times New Roman" w:cs="Times New Roman"/>
          <w:b/>
          <w:sz w:val="24"/>
          <w:szCs w:val="24"/>
          <w:u w:val="single"/>
        </w:rPr>
        <w:t>Accounting Rate return (ARR) of Project B:</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Residual value of project B = £10000</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Initial Investment expected to made in project B = £220000</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Useful Life of the project = 6 years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Thus Annual Depreciation for project B= (220000-10000) /6</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                                                                          = £ 35000</w:t>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b/>
          <w:sz w:val="24"/>
          <w:szCs w:val="24"/>
        </w:rPr>
      </w:pPr>
      <w:r w:rsidRPr="00D11981">
        <w:rPr>
          <w:rFonts w:ascii="Times New Roman" w:hAnsi="Times New Roman" w:cs="Times New Roman"/>
          <w:b/>
          <w:sz w:val="24"/>
          <w:szCs w:val="24"/>
        </w:rPr>
        <w:t>Estimation of the Accounting Income for project B for each period is given below:</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noProof/>
          <w:sz w:val="24"/>
          <w:szCs w:val="24"/>
        </w:rPr>
        <w:drawing>
          <wp:inline distT="0" distB="0" distL="0" distR="0" wp14:anchorId="5DCF76E1" wp14:editId="7B10726C">
            <wp:extent cx="5879811" cy="2090058"/>
            <wp:effectExtent l="19050" t="0" r="6639"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srcRect/>
                    <a:stretch>
                      <a:fillRect/>
                    </a:stretch>
                  </pic:blipFill>
                  <pic:spPr bwMode="auto">
                    <a:xfrm>
                      <a:off x="0" y="0"/>
                      <a:ext cx="5882384" cy="2090973"/>
                    </a:xfrm>
                    <a:prstGeom prst="rect">
                      <a:avLst/>
                    </a:prstGeom>
                    <a:noFill/>
                    <a:ln w="9525">
                      <a:noFill/>
                      <a:miter lim="800000"/>
                      <a:headEnd/>
                      <a:tailEnd/>
                    </a:ln>
                  </pic:spPr>
                </pic:pic>
              </a:graphicData>
            </a:graphic>
          </wp:inline>
        </w:drawing>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Average Accounting Income of Project B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 (25000+25000+25000+25000+ 25000+ 35000)/6</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(160000/6) = £ 26666.67</w:t>
      </w:r>
    </w:p>
    <w:p w:rsidR="00282B4A" w:rsidRPr="00D11981" w:rsidRDefault="00282B4A" w:rsidP="00282B4A">
      <w:pPr>
        <w:spacing w:line="360" w:lineRule="auto"/>
        <w:jc w:val="both"/>
        <w:rPr>
          <w:rFonts w:ascii="Times New Roman" w:hAnsi="Times New Roman" w:cs="Times New Roman"/>
          <w:b/>
          <w:sz w:val="24"/>
          <w:szCs w:val="24"/>
        </w:rPr>
      </w:pPr>
      <w:r w:rsidRPr="00D11981">
        <w:rPr>
          <w:rFonts w:ascii="Times New Roman" w:hAnsi="Times New Roman" w:cs="Times New Roman"/>
          <w:b/>
          <w:sz w:val="24"/>
          <w:szCs w:val="24"/>
        </w:rPr>
        <w:t xml:space="preserve">Accounting Rate return (ARR) for Project B  </w:t>
      </w:r>
    </w:p>
    <w:p w:rsidR="00282B4A" w:rsidRPr="00D11981" w:rsidRDefault="00282B4A" w:rsidP="00282B4A">
      <w:pPr>
        <w:spacing w:line="360" w:lineRule="auto"/>
        <w:jc w:val="both"/>
        <w:rPr>
          <w:rFonts w:ascii="Times New Roman" w:hAnsi="Times New Roman" w:cs="Times New Roman"/>
          <w:b/>
          <w:sz w:val="24"/>
          <w:szCs w:val="24"/>
        </w:rPr>
      </w:pPr>
      <w:r w:rsidRPr="00D11981">
        <w:rPr>
          <w:rFonts w:ascii="Times New Roman" w:hAnsi="Times New Roman" w:cs="Times New Roman"/>
          <w:sz w:val="24"/>
          <w:szCs w:val="24"/>
        </w:rPr>
        <w:t>= 26666.67/ 220000</w:t>
      </w:r>
      <w:r w:rsidRPr="00D11981">
        <w:rPr>
          <w:rFonts w:ascii="Times New Roman" w:hAnsi="Times New Roman" w:cs="Times New Roman"/>
          <w:b/>
          <w:sz w:val="24"/>
          <w:szCs w:val="24"/>
        </w:rPr>
        <w:t xml:space="preserve">  </w:t>
      </w:r>
    </w:p>
    <w:p w:rsidR="00282B4A" w:rsidRPr="00D11981" w:rsidRDefault="00282B4A" w:rsidP="00282B4A">
      <w:pPr>
        <w:spacing w:line="360" w:lineRule="auto"/>
        <w:jc w:val="both"/>
        <w:rPr>
          <w:rFonts w:ascii="Times New Roman" w:hAnsi="Times New Roman" w:cs="Times New Roman"/>
          <w:b/>
          <w:sz w:val="24"/>
          <w:szCs w:val="24"/>
        </w:rPr>
      </w:pPr>
      <w:r w:rsidRPr="00D11981">
        <w:rPr>
          <w:rFonts w:ascii="Times New Roman" w:hAnsi="Times New Roman" w:cs="Times New Roman"/>
          <w:sz w:val="24"/>
          <w:szCs w:val="24"/>
        </w:rPr>
        <w:t>= 12.12%</w:t>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pStyle w:val="Heading1"/>
        <w:spacing w:line="360" w:lineRule="auto"/>
        <w:jc w:val="both"/>
        <w:rPr>
          <w:rFonts w:ascii="Times New Roman" w:hAnsi="Times New Roman" w:cs="Times New Roman"/>
          <w:sz w:val="24"/>
          <w:szCs w:val="24"/>
        </w:rPr>
      </w:pPr>
      <w:bookmarkStart w:id="21" w:name="_Toc512010623"/>
      <w:r w:rsidRPr="00D11981">
        <w:rPr>
          <w:rFonts w:ascii="Times New Roman" w:hAnsi="Times New Roman" w:cs="Times New Roman"/>
          <w:sz w:val="24"/>
          <w:szCs w:val="24"/>
        </w:rPr>
        <w:t>c) Evaluation of the result of part (a) and (b) and recommending with reasons which project should be adopted:</w:t>
      </w:r>
      <w:bookmarkEnd w:id="21"/>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After complete evaluation of Project A and Project B it has been observed that the payback period of project A and project B are 3.55 years and 3.66 years. Although the payback periods observed are pretty close but still the initial investment can be fetched earlier in Project A than Project B.</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Assessment of the Net Present Value of both the project A and B has resulted in determination of their NPV which are £67818.5and £7265. From the above assessment it is clear that the project B more profitable to Patel Mintro because it has higher NPV then project A. project B will fetch higher cash flow than project A which makes it a better choice for the investor from the perspective of cash flow. </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Assessment of the Accounting Rate of Return of both the projects reveal that the ARR of project A is 15.62% and that of project B is 12.12%. This clearly indicates that the project A has higher Accounting profit than project B.</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Hence after overall assessment of all the important investment appraisal techniques, it can be said that the project A subsides project B by quicker recovery of initial investment capital while project B is considered beneficial with respect to higher cash flow in NPV at 7% (</w:t>
      </w:r>
      <w:r w:rsidRPr="00D11981">
        <w:rPr>
          <w:rFonts w:ascii="Times New Roman" w:hAnsi="Times New Roman" w:cs="Times New Roman"/>
          <w:color w:val="222222"/>
          <w:sz w:val="24"/>
          <w:szCs w:val="24"/>
          <w:shd w:val="clear" w:color="auto" w:fill="FFFFFF"/>
        </w:rPr>
        <w:t>Li, 2015</w:t>
      </w:r>
      <w:r w:rsidRPr="00D11981">
        <w:rPr>
          <w:rFonts w:ascii="Times New Roman" w:hAnsi="Times New Roman" w:cs="Times New Roman"/>
          <w:sz w:val="24"/>
          <w:szCs w:val="24"/>
        </w:rPr>
        <w:t>). The ARR was observed to be higher in project A than project B. comparison of the results of the three important investment appraisal techniques; it has been observed that the project A is ahead than project B by considering the results of payback period and ARR (</w:t>
      </w:r>
      <w:r w:rsidRPr="00D11981">
        <w:rPr>
          <w:rFonts w:ascii="Times New Roman" w:hAnsi="Times New Roman" w:cs="Times New Roman"/>
          <w:color w:val="222222"/>
          <w:sz w:val="24"/>
          <w:szCs w:val="24"/>
          <w:shd w:val="clear" w:color="auto" w:fill="FFFFFF"/>
        </w:rPr>
        <w:t>Leyman and Vanhoucke, 2017</w:t>
      </w:r>
      <w:r w:rsidRPr="00D11981">
        <w:rPr>
          <w:rFonts w:ascii="Times New Roman" w:hAnsi="Times New Roman" w:cs="Times New Roman"/>
          <w:sz w:val="24"/>
          <w:szCs w:val="24"/>
        </w:rPr>
        <w:t>). While the project B shows only higher digits in terms of Net Present Value which means that the cash flow from project B is higher to the investor.</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Investment appraisal technique Net Present Value of NPV of £72653of project B as already mentioned is much higher than project A. this is a very important aspect for considering the future value of the investment. NP considers a very crucial factor which is the present value of the money determined through difference of cash inflow and cash outflow. Although project A scored higher results in two investment appraisal tools like the payback period and the ARR, still project B must be considered over project A. this is mainly because the ARR and payback period do not emphasize on the future value of invested money. NPV has a broader approach of evaluation by considering the exact value of the invested sum in the future (</w:t>
      </w:r>
      <w:r w:rsidRPr="00D11981">
        <w:rPr>
          <w:rFonts w:ascii="Times New Roman" w:hAnsi="Times New Roman" w:cs="Times New Roman"/>
          <w:color w:val="222222"/>
          <w:sz w:val="24"/>
          <w:szCs w:val="24"/>
          <w:shd w:val="clear" w:color="auto" w:fill="FFFFFF"/>
        </w:rPr>
        <w:t>Rad and Paknahad, 2016</w:t>
      </w:r>
      <w:r w:rsidRPr="00D11981">
        <w:rPr>
          <w:rFonts w:ascii="Times New Roman" w:hAnsi="Times New Roman" w:cs="Times New Roman"/>
          <w:sz w:val="24"/>
          <w:szCs w:val="24"/>
        </w:rPr>
        <w:t>). This is because the value of same amount of money at present is much higher than what it could be in the future. Hence the Patel Mintro is recommended to invest in project B as it has higher more promising higher cash returns than project A and thus will prove to be more beneficial to Patel Mintro by considering the future aspects of the investment.</w:t>
      </w:r>
    </w:p>
    <w:p w:rsidR="00282B4A" w:rsidRPr="00D11981" w:rsidRDefault="00282B4A" w:rsidP="00282B4A">
      <w:pPr>
        <w:pStyle w:val="Heading1"/>
        <w:spacing w:line="360" w:lineRule="auto"/>
        <w:jc w:val="both"/>
        <w:rPr>
          <w:rFonts w:ascii="Times New Roman" w:hAnsi="Times New Roman" w:cs="Times New Roman"/>
          <w:sz w:val="24"/>
          <w:szCs w:val="24"/>
        </w:rPr>
      </w:pPr>
      <w:bookmarkStart w:id="22" w:name="_Toc512010624"/>
      <w:r w:rsidRPr="00D11981">
        <w:rPr>
          <w:rFonts w:ascii="Times New Roman" w:hAnsi="Times New Roman" w:cs="Times New Roman"/>
          <w:sz w:val="24"/>
          <w:szCs w:val="24"/>
        </w:rPr>
        <w:t>Part d:</w:t>
      </w:r>
      <w:bookmarkEnd w:id="22"/>
    </w:p>
    <w:p w:rsidR="00282B4A" w:rsidRPr="00D11981" w:rsidRDefault="00282B4A" w:rsidP="00282B4A">
      <w:pPr>
        <w:pStyle w:val="Heading2"/>
        <w:spacing w:line="360" w:lineRule="auto"/>
        <w:jc w:val="both"/>
        <w:rPr>
          <w:rFonts w:ascii="Times New Roman" w:hAnsi="Times New Roman" w:cs="Times New Roman"/>
          <w:sz w:val="24"/>
          <w:szCs w:val="24"/>
        </w:rPr>
      </w:pPr>
      <w:bookmarkStart w:id="23" w:name="_Toc512010625"/>
      <w:r w:rsidRPr="00D11981">
        <w:rPr>
          <w:rFonts w:ascii="Times New Roman" w:hAnsi="Times New Roman" w:cs="Times New Roman"/>
          <w:sz w:val="24"/>
          <w:szCs w:val="24"/>
        </w:rPr>
        <w:t>Critical Evaluation of the advantages and disadvantages of the payback period and NPV techniques of project appraisal:</w:t>
      </w:r>
      <w:bookmarkEnd w:id="23"/>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 xml:space="preserve">The investment appraisal techniques are used in the previous sections to analyse which project was better for investment by Patel Mintro. The subsequent section aims to determine the advantages and limitations of the investment appraisal tools like the payback periods and the NPV or Net Present Value. </w:t>
      </w:r>
    </w:p>
    <w:p w:rsidR="00282B4A" w:rsidRPr="00D11981" w:rsidRDefault="00282B4A" w:rsidP="00282B4A">
      <w:pPr>
        <w:spacing w:line="360" w:lineRule="auto"/>
        <w:jc w:val="both"/>
        <w:rPr>
          <w:rFonts w:ascii="Times New Roman" w:hAnsi="Times New Roman" w:cs="Times New Roman"/>
          <w:b/>
          <w:sz w:val="24"/>
          <w:szCs w:val="24"/>
          <w:u w:val="single"/>
        </w:rPr>
      </w:pPr>
      <w:r w:rsidRPr="00D11981">
        <w:rPr>
          <w:rFonts w:ascii="Times New Roman" w:hAnsi="Times New Roman" w:cs="Times New Roman"/>
          <w:b/>
          <w:sz w:val="24"/>
          <w:szCs w:val="24"/>
          <w:u w:val="single"/>
        </w:rPr>
        <w:t>Advantages of Payback Period</w:t>
      </w:r>
    </w:p>
    <w:p w:rsidR="00282B4A" w:rsidRPr="00D11981" w:rsidRDefault="00282B4A" w:rsidP="00282B4A">
      <w:pPr>
        <w:spacing w:line="360" w:lineRule="auto"/>
        <w:jc w:val="both"/>
        <w:rPr>
          <w:rFonts w:ascii="Times New Roman" w:hAnsi="Times New Roman" w:cs="Times New Roman"/>
          <w:b/>
          <w:sz w:val="24"/>
          <w:szCs w:val="24"/>
          <w:u w:val="single"/>
        </w:rPr>
      </w:pP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As already mentioned the payback period helps to determine the time period which is required to fetch back the initial invested sum. This acts as an advantage to this tool because it is the exclusive method which helps in determining the time of investment. This tool is crucial for determining the recovery period of a particular project so that they can take the investment decisions more wisely. It also helps the investors to avoid investing in projects which are expected to recover the invested capital in longer periods (</w:t>
      </w:r>
      <w:r w:rsidRPr="00D11981">
        <w:rPr>
          <w:rFonts w:ascii="Times New Roman" w:hAnsi="Times New Roman" w:cs="Times New Roman"/>
          <w:color w:val="222222"/>
          <w:sz w:val="24"/>
          <w:szCs w:val="24"/>
          <w:shd w:val="clear" w:color="auto" w:fill="FFFFFF"/>
        </w:rPr>
        <w:t>Leyman and Vanhoucke, 2016</w:t>
      </w:r>
      <w:r w:rsidRPr="00D11981">
        <w:rPr>
          <w:rFonts w:ascii="Times New Roman" w:hAnsi="Times New Roman" w:cs="Times New Roman"/>
          <w:sz w:val="24"/>
          <w:szCs w:val="24"/>
        </w:rPr>
        <w:t>).</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Payback period is again beneficial to the investors because they can easily calculate the payback period and invest in better projects with shorter payback periods to earn profits in considerably less time.</w:t>
      </w: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sz w:val="24"/>
          <w:szCs w:val="24"/>
        </w:rPr>
      </w:pPr>
    </w:p>
    <w:p w:rsidR="00282B4A" w:rsidRPr="00D11981" w:rsidRDefault="00282B4A" w:rsidP="00282B4A">
      <w:pPr>
        <w:spacing w:line="360" w:lineRule="auto"/>
        <w:jc w:val="both"/>
        <w:rPr>
          <w:rFonts w:ascii="Times New Roman" w:hAnsi="Times New Roman" w:cs="Times New Roman"/>
          <w:b/>
          <w:sz w:val="24"/>
          <w:szCs w:val="24"/>
          <w:u w:val="single"/>
        </w:rPr>
      </w:pPr>
      <w:r w:rsidRPr="00D11981">
        <w:rPr>
          <w:rFonts w:ascii="Times New Roman" w:hAnsi="Times New Roman" w:cs="Times New Roman"/>
          <w:b/>
          <w:sz w:val="24"/>
          <w:szCs w:val="24"/>
          <w:u w:val="single"/>
        </w:rPr>
        <w:t>Disadvantages of Payback Period</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 payback period is a very useful investment assessment tool for the investors. However, there is a very important limitation of this technique which is it never considers the value of money in a futuristic approach. Since it is evidential that the value of a sum of money in present time is much higher than it will be in future. Another important disadvantage of payback period is that it doesn’t count the flow of cash after the payback period. So the project capability of generating cash flow is neglected completely by this tool. This investment assessment tool also neglects the potential of the project and overall profitability. It only is concerned with the recovery of invested capital regarding the project and neglecting all other aspects of the project.</w:t>
      </w:r>
    </w:p>
    <w:p w:rsidR="00282B4A" w:rsidRPr="00D11981" w:rsidRDefault="00282B4A" w:rsidP="00282B4A">
      <w:pPr>
        <w:spacing w:line="360" w:lineRule="auto"/>
        <w:jc w:val="both"/>
        <w:rPr>
          <w:rFonts w:ascii="Times New Roman" w:hAnsi="Times New Roman" w:cs="Times New Roman"/>
          <w:b/>
          <w:sz w:val="24"/>
          <w:szCs w:val="24"/>
          <w:u w:val="single"/>
        </w:rPr>
      </w:pPr>
      <w:r w:rsidRPr="00D11981">
        <w:rPr>
          <w:rFonts w:ascii="Times New Roman" w:hAnsi="Times New Roman" w:cs="Times New Roman"/>
          <w:b/>
          <w:sz w:val="24"/>
          <w:szCs w:val="24"/>
          <w:u w:val="single"/>
        </w:rPr>
        <w:t>Advantages of NPV</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Net Present Value of project is considered as one of the most important assessment techniques because it accounts for the future value of money. The cash inflows and outflows are also considered by this technique where discounts are applied appropriately according to the present discount rates (</w:t>
      </w:r>
      <w:r w:rsidRPr="00D11981">
        <w:rPr>
          <w:rFonts w:ascii="Times New Roman" w:hAnsi="Times New Roman" w:cs="Times New Roman"/>
          <w:color w:val="222222"/>
          <w:sz w:val="24"/>
          <w:szCs w:val="24"/>
          <w:shd w:val="clear" w:color="auto" w:fill="FFFFFF"/>
        </w:rPr>
        <w:t>Bell, 2017</w:t>
      </w:r>
      <w:r w:rsidRPr="00D11981">
        <w:rPr>
          <w:rFonts w:ascii="Times New Roman" w:hAnsi="Times New Roman" w:cs="Times New Roman"/>
          <w:sz w:val="24"/>
          <w:szCs w:val="24"/>
        </w:rPr>
        <w:t>). The overall cash flow in the project is also taken into consideration in this technique. The best benefit of this technique is that it counts the total cash flow in the project in the terms of the future value of the capital.</w:t>
      </w:r>
    </w:p>
    <w:p w:rsidR="00282B4A" w:rsidRPr="00D11981" w:rsidRDefault="00282B4A" w:rsidP="00282B4A">
      <w:pPr>
        <w:spacing w:line="360" w:lineRule="auto"/>
        <w:jc w:val="both"/>
        <w:rPr>
          <w:rFonts w:ascii="Times New Roman" w:hAnsi="Times New Roman" w:cs="Times New Roman"/>
          <w:b/>
          <w:sz w:val="24"/>
          <w:szCs w:val="24"/>
          <w:u w:val="single"/>
        </w:rPr>
      </w:pPr>
      <w:r w:rsidRPr="00D11981">
        <w:rPr>
          <w:rFonts w:ascii="Times New Roman" w:hAnsi="Times New Roman" w:cs="Times New Roman"/>
          <w:b/>
          <w:sz w:val="24"/>
          <w:szCs w:val="24"/>
          <w:u w:val="single"/>
        </w:rPr>
        <w:t>Disadvantages of NPV</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Though NPV is the most important and beneficial tool for investment assessment but the system of calculation is very complex and thus becomes difficult for a common man to evaluate. It can be evaluated by a financial professional only. Moreover the net present value is based on estimations and not real values (</w:t>
      </w:r>
      <w:r w:rsidRPr="00D11981">
        <w:rPr>
          <w:rFonts w:ascii="Times New Roman" w:hAnsi="Times New Roman" w:cs="Times New Roman"/>
          <w:color w:val="222222"/>
          <w:sz w:val="24"/>
          <w:szCs w:val="24"/>
          <w:shd w:val="clear" w:color="auto" w:fill="FFFFFF"/>
        </w:rPr>
        <w:t>Rich and Delaney, 2018</w:t>
      </w:r>
      <w:r w:rsidRPr="00D11981">
        <w:rPr>
          <w:rFonts w:ascii="Times New Roman" w:hAnsi="Times New Roman" w:cs="Times New Roman"/>
          <w:sz w:val="24"/>
          <w:szCs w:val="24"/>
        </w:rPr>
        <w:t>). The calculations are based on assumptions of the future discount rates and if the same does not match then the calculation would become baseless.</w:t>
      </w:r>
    </w:p>
    <w:p w:rsidR="00282B4A" w:rsidRPr="00D11981" w:rsidRDefault="00282B4A" w:rsidP="00282B4A">
      <w:pPr>
        <w:pStyle w:val="Heading1"/>
        <w:spacing w:line="360" w:lineRule="auto"/>
        <w:jc w:val="both"/>
        <w:rPr>
          <w:rFonts w:ascii="Times New Roman" w:hAnsi="Times New Roman" w:cs="Times New Roman"/>
          <w:sz w:val="24"/>
          <w:szCs w:val="24"/>
        </w:rPr>
      </w:pPr>
      <w:bookmarkStart w:id="24" w:name="_Toc511995356"/>
      <w:bookmarkStart w:id="25" w:name="_Toc512010626"/>
      <w:r w:rsidRPr="00D11981">
        <w:rPr>
          <w:rFonts w:ascii="Times New Roman" w:hAnsi="Times New Roman" w:cs="Times New Roman"/>
          <w:sz w:val="24"/>
          <w:szCs w:val="24"/>
        </w:rPr>
        <w:t>Part e:</w:t>
      </w:r>
      <w:bookmarkEnd w:id="24"/>
      <w:bookmarkEnd w:id="25"/>
      <w:r w:rsidRPr="00D11981">
        <w:rPr>
          <w:rFonts w:ascii="Times New Roman" w:hAnsi="Times New Roman" w:cs="Times New Roman"/>
          <w:sz w:val="24"/>
          <w:szCs w:val="24"/>
        </w:rPr>
        <w:t xml:space="preserve"> </w:t>
      </w:r>
    </w:p>
    <w:p w:rsidR="00282B4A" w:rsidRPr="00D11981" w:rsidRDefault="00282B4A" w:rsidP="00282B4A">
      <w:pPr>
        <w:pStyle w:val="Heading1"/>
        <w:spacing w:line="360" w:lineRule="auto"/>
        <w:jc w:val="both"/>
        <w:rPr>
          <w:rFonts w:ascii="Times New Roman" w:hAnsi="Times New Roman" w:cs="Times New Roman"/>
          <w:sz w:val="24"/>
          <w:szCs w:val="24"/>
        </w:rPr>
      </w:pPr>
      <w:bookmarkStart w:id="26" w:name="_Toc511995357"/>
      <w:bookmarkStart w:id="27" w:name="_Toc512010627"/>
      <w:r w:rsidRPr="00D11981">
        <w:rPr>
          <w:rFonts w:ascii="Times New Roman" w:hAnsi="Times New Roman" w:cs="Times New Roman"/>
          <w:sz w:val="24"/>
          <w:szCs w:val="24"/>
        </w:rPr>
        <w:t>Discussion of the non-financial factor that must be considered in a investment appraisal process:</w:t>
      </w:r>
      <w:bookmarkEnd w:id="26"/>
      <w:bookmarkEnd w:id="27"/>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In a proper investment appraisal process, not only the financial factors are considered but efforts are required to be put on non-financial factors too. Some non-financial factors which are required to be considered in this process of assessment are like political factors and also some macro environmental factors which may act as a driver or hindrance to the path of project completion. For instance, if the value of the money in the country where the capital is invested suffers devaluation, then the NPV of the capital will decrease thus leading the investor to face significant losses. Significant amount of risks are taken while making an investment where the investor is made aware of the market risks which are affected by the political issues in the nation (</w:t>
      </w:r>
      <w:r w:rsidRPr="00D11981">
        <w:rPr>
          <w:rFonts w:ascii="Times New Roman" w:hAnsi="Times New Roman" w:cs="Times New Roman"/>
          <w:color w:val="222222"/>
          <w:sz w:val="24"/>
          <w:szCs w:val="24"/>
          <w:shd w:val="clear" w:color="auto" w:fill="FFFFFF"/>
        </w:rPr>
        <w:t>Goyat and Nain, 2016</w:t>
      </w:r>
      <w:r w:rsidRPr="00D11981">
        <w:rPr>
          <w:rFonts w:ascii="Times New Roman" w:hAnsi="Times New Roman" w:cs="Times New Roman"/>
          <w:sz w:val="24"/>
          <w:szCs w:val="24"/>
        </w:rPr>
        <w:t>). The legislations imposed by the government on the investments and policies ruling the investment schemes have great effect on the investor’s outlook and the development of the project. The aim of the project must synchronize with the development of the nation otherwise the project development may face hindrances in the following years leading to</w:t>
      </w:r>
      <w:r>
        <w:rPr>
          <w:rFonts w:ascii="Times New Roman" w:hAnsi="Times New Roman" w:cs="Times New Roman"/>
          <w:sz w:val="24"/>
          <w:szCs w:val="24"/>
        </w:rPr>
        <w:t xml:space="preserve"> </w:t>
      </w:r>
      <w:r w:rsidRPr="00D11981">
        <w:rPr>
          <w:rFonts w:ascii="Times New Roman" w:hAnsi="Times New Roman" w:cs="Times New Roman"/>
          <w:sz w:val="24"/>
          <w:szCs w:val="24"/>
        </w:rPr>
        <w:t>reduced profitability. Thus before making an investment, the local government laws and legislations must be analyzed properly along with assessment of the macro environmental factors.</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An establishment of a new project must account the availability of local work force in the location of the project. A strength work force is very important in order to accomplish the project within the estimated time (</w:t>
      </w:r>
      <w:r w:rsidRPr="00D11981">
        <w:rPr>
          <w:rFonts w:ascii="Times New Roman" w:hAnsi="Times New Roman" w:cs="Times New Roman"/>
          <w:color w:val="222222"/>
          <w:sz w:val="24"/>
          <w:szCs w:val="24"/>
          <w:shd w:val="clear" w:color="auto" w:fill="FFFFFF"/>
        </w:rPr>
        <w:t>Gorshkov and Vatin, 2014</w:t>
      </w:r>
      <w:r w:rsidRPr="00D11981">
        <w:rPr>
          <w:rFonts w:ascii="Times New Roman" w:hAnsi="Times New Roman" w:cs="Times New Roman"/>
          <w:sz w:val="24"/>
          <w:szCs w:val="24"/>
        </w:rPr>
        <w:t>). The available work force must also be skilled enough to perform their allotted tasks properly. Thus expertise work force is another important factor which must be considered before making any investment.</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The environmental effects of the project also need important consideration. This is because if the project is seen to emit pollutants which pollute the air, water or land by emitting solid wastes, then the project could be ceased by the actions of environmental laws. Thus the amount of possible emission of pollutants must be evaluated and possible recycling and disposals methods must be attained in order to avoid such restrictions.</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t>Other non-financial aspects which must be considered before staring a project are availability of resources in the form of raw materials and energy sources, equipment’s, maintenance ease, cooperation of the local residents etc must be considered by the investor the project (</w:t>
      </w:r>
      <w:r w:rsidRPr="00D11981">
        <w:rPr>
          <w:rFonts w:ascii="Times New Roman" w:hAnsi="Times New Roman" w:cs="Times New Roman"/>
          <w:color w:val="222222"/>
          <w:sz w:val="24"/>
          <w:szCs w:val="24"/>
          <w:shd w:val="clear" w:color="auto" w:fill="FFFFFF"/>
        </w:rPr>
        <w:t>Lane and Roswell, 2015</w:t>
      </w:r>
      <w:r w:rsidRPr="00D11981">
        <w:rPr>
          <w:rFonts w:ascii="Times New Roman" w:hAnsi="Times New Roman" w:cs="Times New Roman"/>
          <w:sz w:val="24"/>
          <w:szCs w:val="24"/>
        </w:rPr>
        <w:t>). After complete satisfaction of all the factors, an investment decision must be made in order to fetch profits to the owner or the entrepreneur.</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sz w:val="24"/>
          <w:szCs w:val="24"/>
        </w:rPr>
        <w:br w:type="page"/>
      </w:r>
    </w:p>
    <w:p w:rsidR="00282B4A" w:rsidRPr="00D11981" w:rsidRDefault="00282B4A" w:rsidP="00282B4A">
      <w:pPr>
        <w:pStyle w:val="Heading1"/>
        <w:spacing w:line="360" w:lineRule="auto"/>
        <w:jc w:val="both"/>
        <w:rPr>
          <w:rFonts w:ascii="Times New Roman" w:hAnsi="Times New Roman" w:cs="Times New Roman"/>
          <w:sz w:val="24"/>
          <w:szCs w:val="24"/>
        </w:rPr>
      </w:pPr>
      <w:bookmarkStart w:id="28" w:name="_Toc512010628"/>
      <w:r w:rsidRPr="00D11981">
        <w:rPr>
          <w:rFonts w:ascii="Times New Roman" w:hAnsi="Times New Roman" w:cs="Times New Roman"/>
          <w:sz w:val="24"/>
          <w:szCs w:val="24"/>
        </w:rPr>
        <w:t>Reference</w:t>
      </w:r>
      <w:bookmarkEnd w:id="28"/>
    </w:p>
    <w:p w:rsidR="00282B4A" w:rsidRPr="00D11981" w:rsidRDefault="00282B4A" w:rsidP="00282B4A">
      <w:pPr>
        <w:spacing w:line="360" w:lineRule="auto"/>
        <w:jc w:val="both"/>
        <w:rPr>
          <w:rFonts w:ascii="Times New Roman" w:hAnsi="Times New Roman" w:cs="Times New Roman"/>
          <w:color w:val="222222"/>
          <w:sz w:val="24"/>
          <w:szCs w:val="24"/>
          <w:shd w:val="clear" w:color="auto" w:fill="FFFFFF"/>
        </w:rPr>
      </w:pPr>
      <w:r w:rsidRPr="00D11981">
        <w:rPr>
          <w:rFonts w:ascii="Times New Roman" w:hAnsi="Times New Roman" w:cs="Times New Roman"/>
          <w:color w:val="222222"/>
          <w:sz w:val="24"/>
          <w:szCs w:val="24"/>
          <w:shd w:val="clear" w:color="auto" w:fill="FFFFFF"/>
        </w:rPr>
        <w:t>Bell, P., 2017. Introducing the Net Present Value Profile.</w:t>
      </w:r>
    </w:p>
    <w:p w:rsidR="00282B4A" w:rsidRPr="00D11981" w:rsidRDefault="00282B4A" w:rsidP="00282B4A">
      <w:pPr>
        <w:spacing w:line="360" w:lineRule="auto"/>
        <w:jc w:val="both"/>
        <w:rPr>
          <w:rFonts w:ascii="Times New Roman" w:hAnsi="Times New Roman" w:cs="Times New Roman"/>
          <w:color w:val="222222"/>
          <w:sz w:val="24"/>
          <w:szCs w:val="24"/>
          <w:shd w:val="clear" w:color="auto" w:fill="FFFFFF"/>
        </w:rPr>
      </w:pPr>
      <w:r w:rsidRPr="00D11981">
        <w:rPr>
          <w:rFonts w:ascii="Times New Roman" w:hAnsi="Times New Roman" w:cs="Times New Roman"/>
          <w:color w:val="222222"/>
          <w:sz w:val="24"/>
          <w:szCs w:val="24"/>
          <w:shd w:val="clear" w:color="auto" w:fill="FFFFFF"/>
        </w:rPr>
        <w:t>Gorshkov, A.S., Rymkevich, P.P., Nemova, D.V. and Vatin, N.I., 2014. Method of calculating the payback period of investment for renovation of building facades. </w:t>
      </w:r>
      <w:r w:rsidRPr="00D11981">
        <w:rPr>
          <w:rFonts w:ascii="Times New Roman" w:hAnsi="Times New Roman" w:cs="Times New Roman"/>
          <w:i/>
          <w:iCs/>
          <w:color w:val="222222"/>
          <w:sz w:val="24"/>
          <w:szCs w:val="24"/>
          <w:shd w:val="clear" w:color="auto" w:fill="FFFFFF"/>
        </w:rPr>
        <w:t>Stroitel'stvo Unikal'nyh Zdanij i Sooruzenij</w:t>
      </w:r>
      <w:r w:rsidRPr="00D11981">
        <w:rPr>
          <w:rFonts w:ascii="Times New Roman" w:hAnsi="Times New Roman" w:cs="Times New Roman"/>
          <w:color w:val="222222"/>
          <w:sz w:val="24"/>
          <w:szCs w:val="24"/>
          <w:shd w:val="clear" w:color="auto" w:fill="FFFFFF"/>
        </w:rPr>
        <w:t>, (2), p.82.</w:t>
      </w:r>
    </w:p>
    <w:p w:rsidR="00282B4A" w:rsidRPr="00D11981" w:rsidRDefault="00282B4A" w:rsidP="00282B4A">
      <w:pPr>
        <w:spacing w:line="360" w:lineRule="auto"/>
        <w:jc w:val="both"/>
        <w:rPr>
          <w:rFonts w:ascii="Times New Roman" w:hAnsi="Times New Roman" w:cs="Times New Roman"/>
          <w:color w:val="222222"/>
          <w:sz w:val="24"/>
          <w:szCs w:val="24"/>
          <w:shd w:val="clear" w:color="auto" w:fill="FFFFFF"/>
        </w:rPr>
      </w:pPr>
      <w:r w:rsidRPr="00D11981">
        <w:rPr>
          <w:rFonts w:ascii="Times New Roman" w:hAnsi="Times New Roman" w:cs="Times New Roman"/>
          <w:color w:val="222222"/>
          <w:sz w:val="24"/>
          <w:szCs w:val="24"/>
          <w:shd w:val="clear" w:color="auto" w:fill="FFFFFF"/>
        </w:rPr>
        <w:t>Goyat, S. and Nain, A., 2016. Methods of Evaluating Investment Proposals. </w:t>
      </w:r>
      <w:r w:rsidRPr="00D11981">
        <w:rPr>
          <w:rFonts w:ascii="Times New Roman" w:hAnsi="Times New Roman" w:cs="Times New Roman"/>
          <w:i/>
          <w:iCs/>
          <w:color w:val="222222"/>
          <w:sz w:val="24"/>
          <w:szCs w:val="24"/>
          <w:shd w:val="clear" w:color="auto" w:fill="FFFFFF"/>
        </w:rPr>
        <w:t>International Journal of Engineering and Management Research (IJEMR)</w:t>
      </w:r>
      <w:r w:rsidRPr="00D11981">
        <w:rPr>
          <w:rFonts w:ascii="Times New Roman" w:hAnsi="Times New Roman" w:cs="Times New Roman"/>
          <w:color w:val="222222"/>
          <w:sz w:val="24"/>
          <w:szCs w:val="24"/>
          <w:shd w:val="clear" w:color="auto" w:fill="FFFFFF"/>
        </w:rPr>
        <w:t>, </w:t>
      </w:r>
      <w:r w:rsidRPr="00D11981">
        <w:rPr>
          <w:rFonts w:ascii="Times New Roman" w:hAnsi="Times New Roman" w:cs="Times New Roman"/>
          <w:i/>
          <w:iCs/>
          <w:color w:val="222222"/>
          <w:sz w:val="24"/>
          <w:szCs w:val="24"/>
          <w:shd w:val="clear" w:color="auto" w:fill="FFFFFF"/>
        </w:rPr>
        <w:t>6</w:t>
      </w:r>
      <w:r w:rsidRPr="00D11981">
        <w:rPr>
          <w:rFonts w:ascii="Times New Roman" w:hAnsi="Times New Roman" w:cs="Times New Roman"/>
          <w:color w:val="222222"/>
          <w:sz w:val="24"/>
          <w:szCs w:val="24"/>
          <w:shd w:val="clear" w:color="auto" w:fill="FFFFFF"/>
        </w:rPr>
        <w:t>(5), pp.278-280.</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color w:val="222222"/>
          <w:sz w:val="24"/>
          <w:szCs w:val="24"/>
          <w:shd w:val="clear" w:color="auto" w:fill="FFFFFF"/>
        </w:rPr>
        <w:t>Lane, K. and Roswell, T., 2015. Firms’ investment decisions and interest rates. </w:t>
      </w:r>
      <w:r w:rsidRPr="00D11981">
        <w:rPr>
          <w:rFonts w:ascii="Times New Roman" w:hAnsi="Times New Roman" w:cs="Times New Roman"/>
          <w:i/>
          <w:iCs/>
          <w:color w:val="222222"/>
          <w:sz w:val="24"/>
          <w:szCs w:val="24"/>
          <w:shd w:val="clear" w:color="auto" w:fill="FFFFFF"/>
        </w:rPr>
        <w:t>Reserve Bank of Australia Bulletin. June quarter</w:t>
      </w:r>
      <w:r w:rsidRPr="00D11981">
        <w:rPr>
          <w:rFonts w:ascii="Times New Roman" w:hAnsi="Times New Roman" w:cs="Times New Roman"/>
          <w:color w:val="222222"/>
          <w:sz w:val="24"/>
          <w:szCs w:val="24"/>
          <w:shd w:val="clear" w:color="auto" w:fill="FFFFFF"/>
        </w:rPr>
        <w:t>, pp.1-7.</w:t>
      </w:r>
    </w:p>
    <w:p w:rsidR="00282B4A" w:rsidRPr="00D11981" w:rsidRDefault="00282B4A" w:rsidP="00282B4A">
      <w:pPr>
        <w:spacing w:line="360" w:lineRule="auto"/>
        <w:jc w:val="both"/>
        <w:rPr>
          <w:rFonts w:ascii="Times New Roman" w:hAnsi="Times New Roman" w:cs="Times New Roman"/>
          <w:color w:val="222222"/>
          <w:sz w:val="24"/>
          <w:szCs w:val="24"/>
          <w:shd w:val="clear" w:color="auto" w:fill="FFFFFF"/>
        </w:rPr>
      </w:pPr>
      <w:r w:rsidRPr="00D11981">
        <w:rPr>
          <w:rFonts w:ascii="Times New Roman" w:hAnsi="Times New Roman" w:cs="Times New Roman"/>
          <w:color w:val="222222"/>
          <w:sz w:val="24"/>
          <w:szCs w:val="24"/>
          <w:shd w:val="clear" w:color="auto" w:fill="FFFFFF"/>
        </w:rPr>
        <w:t>Leyman, P. and Vanhoucke, M., 2016. Payment models and net present value optimization for resource-constrained project scheduling. </w:t>
      </w:r>
      <w:r w:rsidRPr="00D11981">
        <w:rPr>
          <w:rFonts w:ascii="Times New Roman" w:hAnsi="Times New Roman" w:cs="Times New Roman"/>
          <w:i/>
          <w:iCs/>
          <w:color w:val="222222"/>
          <w:sz w:val="24"/>
          <w:szCs w:val="24"/>
          <w:shd w:val="clear" w:color="auto" w:fill="FFFFFF"/>
        </w:rPr>
        <w:t>Computers &amp; Industrial Engineering</w:t>
      </w:r>
      <w:r w:rsidRPr="00D11981">
        <w:rPr>
          <w:rFonts w:ascii="Times New Roman" w:hAnsi="Times New Roman" w:cs="Times New Roman"/>
          <w:color w:val="222222"/>
          <w:sz w:val="24"/>
          <w:szCs w:val="24"/>
          <w:shd w:val="clear" w:color="auto" w:fill="FFFFFF"/>
        </w:rPr>
        <w:t>, </w:t>
      </w:r>
      <w:r w:rsidRPr="00D11981">
        <w:rPr>
          <w:rFonts w:ascii="Times New Roman" w:hAnsi="Times New Roman" w:cs="Times New Roman"/>
          <w:i/>
          <w:iCs/>
          <w:color w:val="222222"/>
          <w:sz w:val="24"/>
          <w:szCs w:val="24"/>
          <w:shd w:val="clear" w:color="auto" w:fill="FFFFFF"/>
        </w:rPr>
        <w:t>91</w:t>
      </w:r>
      <w:r w:rsidRPr="00D11981">
        <w:rPr>
          <w:rFonts w:ascii="Times New Roman" w:hAnsi="Times New Roman" w:cs="Times New Roman"/>
          <w:color w:val="222222"/>
          <w:sz w:val="24"/>
          <w:szCs w:val="24"/>
          <w:shd w:val="clear" w:color="auto" w:fill="FFFFFF"/>
        </w:rPr>
        <w:t>, pp.139-153.</w:t>
      </w:r>
    </w:p>
    <w:p w:rsidR="00282B4A" w:rsidRPr="00D11981" w:rsidRDefault="00282B4A" w:rsidP="00282B4A">
      <w:pPr>
        <w:spacing w:line="360" w:lineRule="auto"/>
        <w:jc w:val="both"/>
        <w:rPr>
          <w:rFonts w:ascii="Times New Roman" w:hAnsi="Times New Roman" w:cs="Times New Roman"/>
          <w:color w:val="222222"/>
          <w:sz w:val="24"/>
          <w:szCs w:val="24"/>
          <w:shd w:val="clear" w:color="auto" w:fill="FFFFFF"/>
        </w:rPr>
      </w:pPr>
      <w:r w:rsidRPr="00D11981">
        <w:rPr>
          <w:rFonts w:ascii="Times New Roman" w:hAnsi="Times New Roman" w:cs="Times New Roman"/>
          <w:color w:val="222222"/>
          <w:sz w:val="24"/>
          <w:szCs w:val="24"/>
          <w:shd w:val="clear" w:color="auto" w:fill="FFFFFF"/>
        </w:rPr>
        <w:t>Leyman, P. and Vanhoucke, M., 2017. Capital-and resource-constrained project scheduling with net present value optimization. </w:t>
      </w:r>
      <w:r w:rsidRPr="00D11981">
        <w:rPr>
          <w:rFonts w:ascii="Times New Roman" w:hAnsi="Times New Roman" w:cs="Times New Roman"/>
          <w:i/>
          <w:iCs/>
          <w:color w:val="222222"/>
          <w:sz w:val="24"/>
          <w:szCs w:val="24"/>
          <w:shd w:val="clear" w:color="auto" w:fill="FFFFFF"/>
        </w:rPr>
        <w:t>European Journal of Operational Research</w:t>
      </w:r>
      <w:r w:rsidRPr="00D11981">
        <w:rPr>
          <w:rFonts w:ascii="Times New Roman" w:hAnsi="Times New Roman" w:cs="Times New Roman"/>
          <w:color w:val="222222"/>
          <w:sz w:val="24"/>
          <w:szCs w:val="24"/>
          <w:shd w:val="clear" w:color="auto" w:fill="FFFFFF"/>
        </w:rPr>
        <w:t>, </w:t>
      </w:r>
      <w:r w:rsidRPr="00D11981">
        <w:rPr>
          <w:rFonts w:ascii="Times New Roman" w:hAnsi="Times New Roman" w:cs="Times New Roman"/>
          <w:i/>
          <w:iCs/>
          <w:color w:val="222222"/>
          <w:sz w:val="24"/>
          <w:szCs w:val="24"/>
          <w:shd w:val="clear" w:color="auto" w:fill="FFFFFF"/>
        </w:rPr>
        <w:t>256</w:t>
      </w:r>
      <w:r w:rsidRPr="00D11981">
        <w:rPr>
          <w:rFonts w:ascii="Times New Roman" w:hAnsi="Times New Roman" w:cs="Times New Roman"/>
          <w:color w:val="222222"/>
          <w:sz w:val="24"/>
          <w:szCs w:val="24"/>
          <w:shd w:val="clear" w:color="auto" w:fill="FFFFFF"/>
        </w:rPr>
        <w:t>(3), pp.757-776.</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color w:val="222222"/>
          <w:sz w:val="24"/>
          <w:szCs w:val="24"/>
          <w:shd w:val="clear" w:color="auto" w:fill="FFFFFF"/>
        </w:rPr>
        <w:t>Li, X., 2015. Accounting conservatism and the cost of capital: An international analysis. </w:t>
      </w:r>
      <w:r w:rsidRPr="00D11981">
        <w:rPr>
          <w:rFonts w:ascii="Times New Roman" w:hAnsi="Times New Roman" w:cs="Times New Roman"/>
          <w:i/>
          <w:iCs/>
          <w:color w:val="222222"/>
          <w:sz w:val="24"/>
          <w:szCs w:val="24"/>
          <w:shd w:val="clear" w:color="auto" w:fill="FFFFFF"/>
        </w:rPr>
        <w:t>Journal of Business Finance &amp; Accounting</w:t>
      </w:r>
      <w:r w:rsidRPr="00D11981">
        <w:rPr>
          <w:rFonts w:ascii="Times New Roman" w:hAnsi="Times New Roman" w:cs="Times New Roman"/>
          <w:color w:val="222222"/>
          <w:sz w:val="24"/>
          <w:szCs w:val="24"/>
          <w:shd w:val="clear" w:color="auto" w:fill="FFFFFF"/>
        </w:rPr>
        <w:t>, </w:t>
      </w:r>
      <w:r w:rsidRPr="00D11981">
        <w:rPr>
          <w:rFonts w:ascii="Times New Roman" w:hAnsi="Times New Roman" w:cs="Times New Roman"/>
          <w:i/>
          <w:iCs/>
          <w:color w:val="222222"/>
          <w:sz w:val="24"/>
          <w:szCs w:val="24"/>
          <w:shd w:val="clear" w:color="auto" w:fill="FFFFFF"/>
        </w:rPr>
        <w:t>42</w:t>
      </w:r>
      <w:r w:rsidRPr="00D11981">
        <w:rPr>
          <w:rFonts w:ascii="Times New Roman" w:hAnsi="Times New Roman" w:cs="Times New Roman"/>
          <w:color w:val="222222"/>
          <w:sz w:val="24"/>
          <w:szCs w:val="24"/>
          <w:shd w:val="clear" w:color="auto" w:fill="FFFFFF"/>
        </w:rPr>
        <w:t>(5-6), pp.555-582.</w:t>
      </w:r>
    </w:p>
    <w:p w:rsidR="00282B4A" w:rsidRPr="00D11981" w:rsidRDefault="00282B4A" w:rsidP="00282B4A">
      <w:pPr>
        <w:spacing w:line="360" w:lineRule="auto"/>
        <w:jc w:val="both"/>
        <w:rPr>
          <w:rFonts w:ascii="Times New Roman" w:hAnsi="Times New Roman" w:cs="Times New Roman"/>
          <w:color w:val="222222"/>
          <w:sz w:val="24"/>
          <w:szCs w:val="24"/>
          <w:shd w:val="clear" w:color="auto" w:fill="FFFFFF"/>
        </w:rPr>
      </w:pPr>
      <w:r w:rsidRPr="00D11981">
        <w:rPr>
          <w:rFonts w:ascii="Times New Roman" w:hAnsi="Times New Roman" w:cs="Times New Roman"/>
          <w:color w:val="222222"/>
          <w:sz w:val="24"/>
          <w:szCs w:val="24"/>
          <w:shd w:val="clear" w:color="auto" w:fill="FFFFFF"/>
        </w:rPr>
        <w:t>Rad, M.S., Jamili, A., Tavakkoli-Moghaddam, R. and Paknahad, M., 2016, January. Resource Constraint Project Scheduling to meet Net Present Value and quality objectives of the program. In </w:t>
      </w:r>
      <w:r w:rsidRPr="00D11981">
        <w:rPr>
          <w:rFonts w:ascii="Times New Roman" w:hAnsi="Times New Roman" w:cs="Times New Roman"/>
          <w:i/>
          <w:iCs/>
          <w:color w:val="222222"/>
          <w:sz w:val="24"/>
          <w:szCs w:val="24"/>
          <w:shd w:val="clear" w:color="auto" w:fill="FFFFFF"/>
        </w:rPr>
        <w:t>Industrial Engineering (ICIE), 2016 12th International Conference on</w:t>
      </w:r>
      <w:r w:rsidRPr="00D11981">
        <w:rPr>
          <w:rFonts w:ascii="Times New Roman" w:hAnsi="Times New Roman" w:cs="Times New Roman"/>
          <w:color w:val="222222"/>
          <w:sz w:val="24"/>
          <w:szCs w:val="24"/>
          <w:shd w:val="clear" w:color="auto" w:fill="FFFFFF"/>
        </w:rPr>
        <w:t> (pp. 58-62). IEEE.</w:t>
      </w:r>
    </w:p>
    <w:p w:rsidR="00282B4A" w:rsidRPr="00D11981" w:rsidRDefault="00282B4A" w:rsidP="00282B4A">
      <w:pPr>
        <w:spacing w:line="360" w:lineRule="auto"/>
        <w:jc w:val="both"/>
        <w:rPr>
          <w:rFonts w:ascii="Times New Roman" w:hAnsi="Times New Roman" w:cs="Times New Roman"/>
          <w:color w:val="222222"/>
          <w:sz w:val="24"/>
          <w:szCs w:val="24"/>
          <w:shd w:val="clear" w:color="auto" w:fill="FFFFFF"/>
        </w:rPr>
      </w:pPr>
      <w:r w:rsidRPr="00D11981">
        <w:rPr>
          <w:rFonts w:ascii="Times New Roman" w:hAnsi="Times New Roman" w:cs="Times New Roman"/>
          <w:color w:val="222222"/>
          <w:sz w:val="24"/>
          <w:szCs w:val="24"/>
          <w:shd w:val="clear" w:color="auto" w:fill="FFFFFF"/>
        </w:rPr>
        <w:t>Rich, S.P., Rose, J.T. and Delaney, C.J., 2018. Net Present Value Analysis in Finance and Real Estate: A Clash of Methodologies. </w:t>
      </w:r>
      <w:r w:rsidRPr="00D11981">
        <w:rPr>
          <w:rFonts w:ascii="Times New Roman" w:hAnsi="Times New Roman" w:cs="Times New Roman"/>
          <w:i/>
          <w:iCs/>
          <w:color w:val="222222"/>
          <w:sz w:val="24"/>
          <w:szCs w:val="24"/>
          <w:shd w:val="clear" w:color="auto" w:fill="FFFFFF"/>
        </w:rPr>
        <w:t>Journal of Real Estate Portfolio Management</w:t>
      </w:r>
      <w:r w:rsidRPr="00D11981">
        <w:rPr>
          <w:rFonts w:ascii="Times New Roman" w:hAnsi="Times New Roman" w:cs="Times New Roman"/>
          <w:color w:val="222222"/>
          <w:sz w:val="24"/>
          <w:szCs w:val="24"/>
          <w:shd w:val="clear" w:color="auto" w:fill="FFFFFF"/>
        </w:rPr>
        <w:t>, </w:t>
      </w:r>
      <w:r w:rsidRPr="00D11981">
        <w:rPr>
          <w:rFonts w:ascii="Times New Roman" w:hAnsi="Times New Roman" w:cs="Times New Roman"/>
          <w:i/>
          <w:iCs/>
          <w:color w:val="222222"/>
          <w:sz w:val="24"/>
          <w:szCs w:val="24"/>
          <w:shd w:val="clear" w:color="auto" w:fill="FFFFFF"/>
        </w:rPr>
        <w:t>24</w:t>
      </w:r>
      <w:r w:rsidRPr="00D11981">
        <w:rPr>
          <w:rFonts w:ascii="Times New Roman" w:hAnsi="Times New Roman" w:cs="Times New Roman"/>
          <w:color w:val="222222"/>
          <w:sz w:val="24"/>
          <w:szCs w:val="24"/>
          <w:shd w:val="clear" w:color="auto" w:fill="FFFFFF"/>
        </w:rPr>
        <w:t>(1), pp.83-94.</w:t>
      </w:r>
    </w:p>
    <w:p w:rsidR="00282B4A" w:rsidRPr="00D11981" w:rsidRDefault="00282B4A" w:rsidP="00282B4A">
      <w:pPr>
        <w:spacing w:line="360" w:lineRule="auto"/>
        <w:jc w:val="both"/>
        <w:rPr>
          <w:rFonts w:ascii="Times New Roman" w:hAnsi="Times New Roman" w:cs="Times New Roman"/>
          <w:sz w:val="24"/>
          <w:szCs w:val="24"/>
        </w:rPr>
      </w:pPr>
      <w:r w:rsidRPr="00D11981">
        <w:rPr>
          <w:rFonts w:ascii="Times New Roman" w:hAnsi="Times New Roman" w:cs="Times New Roman"/>
          <w:color w:val="222222"/>
          <w:sz w:val="24"/>
          <w:szCs w:val="24"/>
          <w:shd w:val="clear" w:color="auto" w:fill="FFFFFF"/>
        </w:rPr>
        <w:t>Richard, P., 2014. The Role of the Accounting Rate of Return in Financial Statement Analysis. </w:t>
      </w:r>
      <w:r w:rsidRPr="00D11981">
        <w:rPr>
          <w:rFonts w:ascii="Times New Roman" w:hAnsi="Times New Roman" w:cs="Times New Roman"/>
          <w:i/>
          <w:iCs/>
          <w:color w:val="222222"/>
          <w:sz w:val="24"/>
          <w:szCs w:val="24"/>
          <w:shd w:val="clear" w:color="auto" w:fill="FFFFFF"/>
        </w:rPr>
        <w:t>The Continuing Debate over Depreciation, Capital and Income (RLE Accounting)</w:t>
      </w:r>
      <w:r w:rsidRPr="00D11981">
        <w:rPr>
          <w:rFonts w:ascii="Times New Roman" w:hAnsi="Times New Roman" w:cs="Times New Roman"/>
          <w:color w:val="222222"/>
          <w:sz w:val="24"/>
          <w:szCs w:val="24"/>
          <w:shd w:val="clear" w:color="auto" w:fill="FFFFFF"/>
        </w:rPr>
        <w:t>, </w:t>
      </w:r>
      <w:r w:rsidRPr="00D11981">
        <w:rPr>
          <w:rFonts w:ascii="Times New Roman" w:hAnsi="Times New Roman" w:cs="Times New Roman"/>
          <w:i/>
          <w:iCs/>
          <w:color w:val="222222"/>
          <w:sz w:val="24"/>
          <w:szCs w:val="24"/>
          <w:shd w:val="clear" w:color="auto" w:fill="FFFFFF"/>
        </w:rPr>
        <w:t>67</w:t>
      </w:r>
      <w:r w:rsidRPr="00D11981">
        <w:rPr>
          <w:rFonts w:ascii="Times New Roman" w:hAnsi="Times New Roman" w:cs="Times New Roman"/>
          <w:color w:val="222222"/>
          <w:sz w:val="24"/>
          <w:szCs w:val="24"/>
          <w:shd w:val="clear" w:color="auto" w:fill="FFFFFF"/>
        </w:rPr>
        <w:t>(2), p.235.</w:t>
      </w:r>
    </w:p>
    <w:p w:rsidR="00282B4A" w:rsidRPr="000E1D43" w:rsidRDefault="00282B4A" w:rsidP="000E1D43">
      <w:pPr>
        <w:spacing w:line="360" w:lineRule="auto"/>
        <w:jc w:val="both"/>
        <w:rPr>
          <w:rFonts w:ascii="Times New Roman" w:hAnsi="Times New Roman" w:cs="Times New Roman"/>
          <w:sz w:val="24"/>
          <w:szCs w:val="24"/>
        </w:rPr>
      </w:pPr>
    </w:p>
    <w:sectPr w:rsidR="00282B4A" w:rsidRPr="000E1D43" w:rsidSect="00096DB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8D6498"/>
    <w:multiLevelType w:val="hybridMultilevel"/>
    <w:tmpl w:val="E3C45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991"/>
    <w:rsid w:val="00013753"/>
    <w:rsid w:val="00015688"/>
    <w:rsid w:val="000166A1"/>
    <w:rsid w:val="00021810"/>
    <w:rsid w:val="000326C0"/>
    <w:rsid w:val="00032790"/>
    <w:rsid w:val="00060E94"/>
    <w:rsid w:val="00086FEC"/>
    <w:rsid w:val="00091156"/>
    <w:rsid w:val="00096DB4"/>
    <w:rsid w:val="000A756E"/>
    <w:rsid w:val="000B2395"/>
    <w:rsid w:val="000C0C13"/>
    <w:rsid w:val="000C3E47"/>
    <w:rsid w:val="000E1D43"/>
    <w:rsid w:val="000E5B80"/>
    <w:rsid w:val="000F6027"/>
    <w:rsid w:val="00115782"/>
    <w:rsid w:val="0012017B"/>
    <w:rsid w:val="00123AD3"/>
    <w:rsid w:val="00153978"/>
    <w:rsid w:val="00165B00"/>
    <w:rsid w:val="001B04D1"/>
    <w:rsid w:val="001D756A"/>
    <w:rsid w:val="001E3C39"/>
    <w:rsid w:val="001F321B"/>
    <w:rsid w:val="0021261B"/>
    <w:rsid w:val="00214EBF"/>
    <w:rsid w:val="00217F2E"/>
    <w:rsid w:val="00281EE2"/>
    <w:rsid w:val="00282B4A"/>
    <w:rsid w:val="002C5751"/>
    <w:rsid w:val="00315392"/>
    <w:rsid w:val="00334DDA"/>
    <w:rsid w:val="00354CDD"/>
    <w:rsid w:val="00362C7B"/>
    <w:rsid w:val="00367A3E"/>
    <w:rsid w:val="00373679"/>
    <w:rsid w:val="003876B7"/>
    <w:rsid w:val="00390097"/>
    <w:rsid w:val="003A323D"/>
    <w:rsid w:val="003C12FE"/>
    <w:rsid w:val="003F01A8"/>
    <w:rsid w:val="003F01BB"/>
    <w:rsid w:val="003F0D0B"/>
    <w:rsid w:val="003F6B4C"/>
    <w:rsid w:val="00401233"/>
    <w:rsid w:val="004130EE"/>
    <w:rsid w:val="004247C8"/>
    <w:rsid w:val="004605C4"/>
    <w:rsid w:val="004742D0"/>
    <w:rsid w:val="00477646"/>
    <w:rsid w:val="004876EC"/>
    <w:rsid w:val="00490CA3"/>
    <w:rsid w:val="00493D48"/>
    <w:rsid w:val="004B50DA"/>
    <w:rsid w:val="004B7550"/>
    <w:rsid w:val="004D3A38"/>
    <w:rsid w:val="004E6237"/>
    <w:rsid w:val="004F12CB"/>
    <w:rsid w:val="00504FB6"/>
    <w:rsid w:val="00532799"/>
    <w:rsid w:val="00532D91"/>
    <w:rsid w:val="00533870"/>
    <w:rsid w:val="00572975"/>
    <w:rsid w:val="00594288"/>
    <w:rsid w:val="005F408D"/>
    <w:rsid w:val="005F6AA9"/>
    <w:rsid w:val="006055A3"/>
    <w:rsid w:val="00606996"/>
    <w:rsid w:val="00627B67"/>
    <w:rsid w:val="00654353"/>
    <w:rsid w:val="00664457"/>
    <w:rsid w:val="0067023F"/>
    <w:rsid w:val="006715F2"/>
    <w:rsid w:val="006A0183"/>
    <w:rsid w:val="006B1BB5"/>
    <w:rsid w:val="006B7EDD"/>
    <w:rsid w:val="006D6D7E"/>
    <w:rsid w:val="006E1273"/>
    <w:rsid w:val="006E3B34"/>
    <w:rsid w:val="006E7313"/>
    <w:rsid w:val="006F751A"/>
    <w:rsid w:val="007157D8"/>
    <w:rsid w:val="00733FDB"/>
    <w:rsid w:val="00734C81"/>
    <w:rsid w:val="00754377"/>
    <w:rsid w:val="00777850"/>
    <w:rsid w:val="007A7530"/>
    <w:rsid w:val="007B52B8"/>
    <w:rsid w:val="007C6F88"/>
    <w:rsid w:val="007E11E6"/>
    <w:rsid w:val="007E4BBE"/>
    <w:rsid w:val="007E55F8"/>
    <w:rsid w:val="00802940"/>
    <w:rsid w:val="00806693"/>
    <w:rsid w:val="00815737"/>
    <w:rsid w:val="0082109F"/>
    <w:rsid w:val="00821AE6"/>
    <w:rsid w:val="008573BF"/>
    <w:rsid w:val="008766C3"/>
    <w:rsid w:val="008A66D8"/>
    <w:rsid w:val="008A7AE7"/>
    <w:rsid w:val="008D0686"/>
    <w:rsid w:val="008D6582"/>
    <w:rsid w:val="008F18CB"/>
    <w:rsid w:val="00911250"/>
    <w:rsid w:val="0094657C"/>
    <w:rsid w:val="00952146"/>
    <w:rsid w:val="0095753E"/>
    <w:rsid w:val="0096158A"/>
    <w:rsid w:val="00964EC2"/>
    <w:rsid w:val="00965560"/>
    <w:rsid w:val="0098174E"/>
    <w:rsid w:val="00986D11"/>
    <w:rsid w:val="009944AE"/>
    <w:rsid w:val="009F5913"/>
    <w:rsid w:val="009F6D88"/>
    <w:rsid w:val="00A2417B"/>
    <w:rsid w:val="00A3152C"/>
    <w:rsid w:val="00A53F3A"/>
    <w:rsid w:val="00A65A9B"/>
    <w:rsid w:val="00A70AEA"/>
    <w:rsid w:val="00A81CB5"/>
    <w:rsid w:val="00A870AA"/>
    <w:rsid w:val="00A935FF"/>
    <w:rsid w:val="00AA24FA"/>
    <w:rsid w:val="00AB1AA4"/>
    <w:rsid w:val="00AB41A9"/>
    <w:rsid w:val="00AD5067"/>
    <w:rsid w:val="00B13E99"/>
    <w:rsid w:val="00B239FB"/>
    <w:rsid w:val="00B33EAF"/>
    <w:rsid w:val="00B43D82"/>
    <w:rsid w:val="00B45F09"/>
    <w:rsid w:val="00B47F6D"/>
    <w:rsid w:val="00BC02D1"/>
    <w:rsid w:val="00BD0D6E"/>
    <w:rsid w:val="00BE3BD7"/>
    <w:rsid w:val="00C05108"/>
    <w:rsid w:val="00C0662F"/>
    <w:rsid w:val="00C2211C"/>
    <w:rsid w:val="00C264E3"/>
    <w:rsid w:val="00C42A5A"/>
    <w:rsid w:val="00C67048"/>
    <w:rsid w:val="00C73BA0"/>
    <w:rsid w:val="00C7640A"/>
    <w:rsid w:val="00CA03F8"/>
    <w:rsid w:val="00CB2A53"/>
    <w:rsid w:val="00CB6E6A"/>
    <w:rsid w:val="00CD2F5A"/>
    <w:rsid w:val="00CD31D4"/>
    <w:rsid w:val="00CE0F2F"/>
    <w:rsid w:val="00CE1153"/>
    <w:rsid w:val="00CF757E"/>
    <w:rsid w:val="00D16933"/>
    <w:rsid w:val="00D31A4C"/>
    <w:rsid w:val="00D42CF9"/>
    <w:rsid w:val="00D44C11"/>
    <w:rsid w:val="00D50F2A"/>
    <w:rsid w:val="00D74212"/>
    <w:rsid w:val="00D76C35"/>
    <w:rsid w:val="00D855B9"/>
    <w:rsid w:val="00D872E0"/>
    <w:rsid w:val="00D97018"/>
    <w:rsid w:val="00DC46E0"/>
    <w:rsid w:val="00DF3988"/>
    <w:rsid w:val="00E5344F"/>
    <w:rsid w:val="00E649F1"/>
    <w:rsid w:val="00E752FE"/>
    <w:rsid w:val="00E85690"/>
    <w:rsid w:val="00E8757A"/>
    <w:rsid w:val="00EC3E00"/>
    <w:rsid w:val="00EF2034"/>
    <w:rsid w:val="00F00DAD"/>
    <w:rsid w:val="00F01991"/>
    <w:rsid w:val="00F162B0"/>
    <w:rsid w:val="00F547B1"/>
    <w:rsid w:val="00F6144C"/>
    <w:rsid w:val="00F7375A"/>
    <w:rsid w:val="00F8591A"/>
    <w:rsid w:val="00FC615E"/>
    <w:rsid w:val="00FC6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3930B5-FC19-4CA0-8CE4-6285941EF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DB4"/>
  </w:style>
  <w:style w:type="paragraph" w:styleId="Heading1">
    <w:name w:val="heading 1"/>
    <w:basedOn w:val="Normal"/>
    <w:next w:val="Normal"/>
    <w:link w:val="Heading1Char"/>
    <w:uiPriority w:val="9"/>
    <w:qFormat/>
    <w:rsid w:val="00D44C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157D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E55F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6C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C35"/>
    <w:rPr>
      <w:rFonts w:ascii="Tahoma" w:hAnsi="Tahoma" w:cs="Tahoma"/>
      <w:sz w:val="16"/>
      <w:szCs w:val="16"/>
    </w:rPr>
  </w:style>
  <w:style w:type="table" w:styleId="TableGrid">
    <w:name w:val="Table Grid"/>
    <w:basedOn w:val="TableNormal"/>
    <w:uiPriority w:val="59"/>
    <w:rsid w:val="000B2395"/>
    <w:pPr>
      <w:spacing w:after="0" w:line="240" w:lineRule="auto"/>
    </w:pPr>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44C11"/>
    <w:pPr>
      <w:ind w:left="720"/>
      <w:contextualSpacing/>
    </w:pPr>
  </w:style>
  <w:style w:type="character" w:customStyle="1" w:styleId="Heading1Char">
    <w:name w:val="Heading 1 Char"/>
    <w:basedOn w:val="DefaultParagraphFont"/>
    <w:link w:val="Heading1"/>
    <w:uiPriority w:val="9"/>
    <w:rsid w:val="00D44C1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157D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E55F8"/>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0E1D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1D43"/>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0E1D43"/>
    <w:pPr>
      <w:outlineLvl w:val="9"/>
    </w:pPr>
    <w:rPr>
      <w:lang w:val="en-US" w:eastAsia="en-US"/>
    </w:rPr>
  </w:style>
  <w:style w:type="paragraph" w:styleId="TOC1">
    <w:name w:val="toc 1"/>
    <w:basedOn w:val="Normal"/>
    <w:next w:val="Normal"/>
    <w:autoRedefine/>
    <w:uiPriority w:val="39"/>
    <w:unhideWhenUsed/>
    <w:rsid w:val="000E1D43"/>
    <w:pPr>
      <w:spacing w:after="100"/>
    </w:pPr>
  </w:style>
  <w:style w:type="paragraph" w:styleId="TOC2">
    <w:name w:val="toc 2"/>
    <w:basedOn w:val="Normal"/>
    <w:next w:val="Normal"/>
    <w:autoRedefine/>
    <w:uiPriority w:val="39"/>
    <w:unhideWhenUsed/>
    <w:rsid w:val="000E1D43"/>
    <w:pPr>
      <w:spacing w:after="100"/>
      <w:ind w:left="220"/>
    </w:pPr>
  </w:style>
  <w:style w:type="character" w:styleId="Hyperlink">
    <w:name w:val="Hyperlink"/>
    <w:basedOn w:val="DefaultParagraphFont"/>
    <w:uiPriority w:val="99"/>
    <w:unhideWhenUsed/>
    <w:rsid w:val="000E1D43"/>
    <w:rPr>
      <w:color w:val="0000FF" w:themeColor="hyperlink"/>
      <w:u w:val="single"/>
    </w:rPr>
  </w:style>
  <w:style w:type="table" w:styleId="LightShading">
    <w:name w:val="Light Shading"/>
    <w:basedOn w:val="TableNormal"/>
    <w:uiPriority w:val="60"/>
    <w:rsid w:val="00086FE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link w:val="NoSpacingChar"/>
    <w:uiPriority w:val="1"/>
    <w:qFormat/>
    <w:rsid w:val="00282B4A"/>
    <w:pPr>
      <w:spacing w:after="0" w:line="240" w:lineRule="auto"/>
    </w:pPr>
    <w:rPr>
      <w:lang w:val="en-US" w:eastAsia="en-US"/>
    </w:rPr>
  </w:style>
  <w:style w:type="character" w:customStyle="1" w:styleId="NoSpacingChar">
    <w:name w:val="No Spacing Char"/>
    <w:basedOn w:val="DefaultParagraphFont"/>
    <w:link w:val="NoSpacing"/>
    <w:uiPriority w:val="1"/>
    <w:rsid w:val="00282B4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34346">
      <w:bodyDiv w:val="1"/>
      <w:marLeft w:val="0"/>
      <w:marRight w:val="0"/>
      <w:marTop w:val="0"/>
      <w:marBottom w:val="0"/>
      <w:divBdr>
        <w:top w:val="none" w:sz="0" w:space="0" w:color="auto"/>
        <w:left w:val="none" w:sz="0" w:space="0" w:color="auto"/>
        <w:bottom w:val="none" w:sz="0" w:space="0" w:color="auto"/>
        <w:right w:val="none" w:sz="0" w:space="0" w:color="auto"/>
      </w:divBdr>
    </w:div>
    <w:div w:id="326707995">
      <w:bodyDiv w:val="1"/>
      <w:marLeft w:val="0"/>
      <w:marRight w:val="0"/>
      <w:marTop w:val="0"/>
      <w:marBottom w:val="0"/>
      <w:divBdr>
        <w:top w:val="none" w:sz="0" w:space="0" w:color="auto"/>
        <w:left w:val="none" w:sz="0" w:space="0" w:color="auto"/>
        <w:bottom w:val="none" w:sz="0" w:space="0" w:color="auto"/>
        <w:right w:val="none" w:sz="0" w:space="0" w:color="auto"/>
      </w:divBdr>
    </w:div>
    <w:div w:id="530074628">
      <w:bodyDiv w:val="1"/>
      <w:marLeft w:val="0"/>
      <w:marRight w:val="0"/>
      <w:marTop w:val="0"/>
      <w:marBottom w:val="0"/>
      <w:divBdr>
        <w:top w:val="none" w:sz="0" w:space="0" w:color="auto"/>
        <w:left w:val="none" w:sz="0" w:space="0" w:color="auto"/>
        <w:bottom w:val="none" w:sz="0" w:space="0" w:color="auto"/>
        <w:right w:val="none" w:sz="0" w:space="0" w:color="auto"/>
      </w:divBdr>
    </w:div>
    <w:div w:id="822434475">
      <w:bodyDiv w:val="1"/>
      <w:marLeft w:val="0"/>
      <w:marRight w:val="0"/>
      <w:marTop w:val="0"/>
      <w:marBottom w:val="0"/>
      <w:divBdr>
        <w:top w:val="none" w:sz="0" w:space="0" w:color="auto"/>
        <w:left w:val="none" w:sz="0" w:space="0" w:color="auto"/>
        <w:bottom w:val="none" w:sz="0" w:space="0" w:color="auto"/>
        <w:right w:val="none" w:sz="0" w:space="0" w:color="auto"/>
      </w:divBdr>
    </w:div>
    <w:div w:id="962928133">
      <w:bodyDiv w:val="1"/>
      <w:marLeft w:val="0"/>
      <w:marRight w:val="0"/>
      <w:marTop w:val="0"/>
      <w:marBottom w:val="0"/>
      <w:divBdr>
        <w:top w:val="none" w:sz="0" w:space="0" w:color="auto"/>
        <w:left w:val="none" w:sz="0" w:space="0" w:color="auto"/>
        <w:bottom w:val="none" w:sz="0" w:space="0" w:color="auto"/>
        <w:right w:val="none" w:sz="0" w:space="0" w:color="auto"/>
      </w:divBdr>
    </w:div>
    <w:div w:id="1001544620">
      <w:bodyDiv w:val="1"/>
      <w:marLeft w:val="0"/>
      <w:marRight w:val="0"/>
      <w:marTop w:val="0"/>
      <w:marBottom w:val="0"/>
      <w:divBdr>
        <w:top w:val="none" w:sz="0" w:space="0" w:color="auto"/>
        <w:left w:val="none" w:sz="0" w:space="0" w:color="auto"/>
        <w:bottom w:val="none" w:sz="0" w:space="0" w:color="auto"/>
        <w:right w:val="none" w:sz="0" w:space="0" w:color="auto"/>
      </w:divBdr>
    </w:div>
    <w:div w:id="1205096680">
      <w:bodyDiv w:val="1"/>
      <w:marLeft w:val="0"/>
      <w:marRight w:val="0"/>
      <w:marTop w:val="0"/>
      <w:marBottom w:val="0"/>
      <w:divBdr>
        <w:top w:val="none" w:sz="0" w:space="0" w:color="auto"/>
        <w:left w:val="none" w:sz="0" w:space="0" w:color="auto"/>
        <w:bottom w:val="none" w:sz="0" w:space="0" w:color="auto"/>
        <w:right w:val="none" w:sz="0" w:space="0" w:color="auto"/>
      </w:divBdr>
    </w:div>
    <w:div w:id="1235050791">
      <w:bodyDiv w:val="1"/>
      <w:marLeft w:val="0"/>
      <w:marRight w:val="0"/>
      <w:marTop w:val="0"/>
      <w:marBottom w:val="0"/>
      <w:divBdr>
        <w:top w:val="none" w:sz="0" w:space="0" w:color="auto"/>
        <w:left w:val="none" w:sz="0" w:space="0" w:color="auto"/>
        <w:bottom w:val="none" w:sz="0" w:space="0" w:color="auto"/>
        <w:right w:val="none" w:sz="0" w:space="0" w:color="auto"/>
      </w:divBdr>
    </w:div>
    <w:div w:id="1305355569">
      <w:bodyDiv w:val="1"/>
      <w:marLeft w:val="0"/>
      <w:marRight w:val="0"/>
      <w:marTop w:val="0"/>
      <w:marBottom w:val="0"/>
      <w:divBdr>
        <w:top w:val="none" w:sz="0" w:space="0" w:color="auto"/>
        <w:left w:val="none" w:sz="0" w:space="0" w:color="auto"/>
        <w:bottom w:val="none" w:sz="0" w:space="0" w:color="auto"/>
        <w:right w:val="none" w:sz="0" w:space="0" w:color="auto"/>
      </w:divBdr>
    </w:div>
    <w:div w:id="1457600589">
      <w:bodyDiv w:val="1"/>
      <w:marLeft w:val="0"/>
      <w:marRight w:val="0"/>
      <w:marTop w:val="0"/>
      <w:marBottom w:val="0"/>
      <w:divBdr>
        <w:top w:val="none" w:sz="0" w:space="0" w:color="auto"/>
        <w:left w:val="none" w:sz="0" w:space="0" w:color="auto"/>
        <w:bottom w:val="none" w:sz="0" w:space="0" w:color="auto"/>
        <w:right w:val="none" w:sz="0" w:space="0" w:color="auto"/>
      </w:divBdr>
    </w:div>
    <w:div w:id="1479228323">
      <w:bodyDiv w:val="1"/>
      <w:marLeft w:val="0"/>
      <w:marRight w:val="0"/>
      <w:marTop w:val="0"/>
      <w:marBottom w:val="0"/>
      <w:divBdr>
        <w:top w:val="none" w:sz="0" w:space="0" w:color="auto"/>
        <w:left w:val="none" w:sz="0" w:space="0" w:color="auto"/>
        <w:bottom w:val="none" w:sz="0" w:space="0" w:color="auto"/>
        <w:right w:val="none" w:sz="0" w:space="0" w:color="auto"/>
      </w:divBdr>
    </w:div>
    <w:div w:id="182573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4.xml"/><Relationship Id="rId18" Type="http://schemas.openxmlformats.org/officeDocument/2006/relationships/image" Target="media/image5.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image" Target="media/image2.png"/><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2.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5.xml"/><Relationship Id="rId22" Type="http://schemas.openxmlformats.org/officeDocument/2006/relationships/image" Target="media/image6.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kishorjha\Desktop\job\april\19.4.18\New%20Microsoft%20Office%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baseline="0"/>
              <a:t>Gross profit margin </a:t>
            </a:r>
            <a:endParaRPr lang="en-GB"/>
          </a:p>
        </c:rich>
      </c:tx>
      <c:overlay val="0"/>
    </c:title>
    <c:autoTitleDeleted val="0"/>
    <c:plotArea>
      <c:layout/>
      <c:barChart>
        <c:barDir val="col"/>
        <c:grouping val="clustered"/>
        <c:varyColors val="0"/>
        <c:ser>
          <c:idx val="0"/>
          <c:order val="0"/>
          <c:tx>
            <c:strRef>
              <c:f>Sheet4!$A$1</c:f>
              <c:strCache>
                <c:ptCount val="1"/>
                <c:pt idx="0">
                  <c:v>William Hill Plc</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Sheet4!$B$7:$D$7</c:f>
              <c:numCache>
                <c:formatCode>General</c:formatCode>
                <c:ptCount val="3"/>
                <c:pt idx="0">
                  <c:v>2015</c:v>
                </c:pt>
                <c:pt idx="1">
                  <c:v>2014</c:v>
                </c:pt>
                <c:pt idx="2">
                  <c:v>2013</c:v>
                </c:pt>
              </c:numCache>
            </c:numRef>
          </c:cat>
          <c:val>
            <c:numRef>
              <c:f>Sheet4!$B$5:$D$5</c:f>
              <c:numCache>
                <c:formatCode>0</c:formatCode>
                <c:ptCount val="3"/>
                <c:pt idx="0">
                  <c:v>76.246149977999877</c:v>
                </c:pt>
                <c:pt idx="1">
                  <c:v>81.097371527993488</c:v>
                </c:pt>
                <c:pt idx="2">
                  <c:v>81.688530104271706</c:v>
                </c:pt>
              </c:numCache>
            </c:numRef>
          </c:val>
          <c:extLst>
            <c:ext xmlns:c16="http://schemas.microsoft.com/office/drawing/2014/chart" uri="{C3380CC4-5D6E-409C-BE32-E72D297353CC}">
              <c16:uniqueId val="{00000000-7296-449B-B64D-5043E8FBA25F}"/>
            </c:ext>
          </c:extLst>
        </c:ser>
        <c:ser>
          <c:idx val="1"/>
          <c:order val="1"/>
          <c:tx>
            <c:strRef>
              <c:f>Sheet4!$A$6</c:f>
              <c:strCache>
                <c:ptCount val="1"/>
                <c:pt idx="0">
                  <c:v>Paddy Power Betfair plc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Sheet4!$B$7:$D$7</c:f>
              <c:numCache>
                <c:formatCode>General</c:formatCode>
                <c:ptCount val="3"/>
                <c:pt idx="0">
                  <c:v>2015</c:v>
                </c:pt>
                <c:pt idx="1">
                  <c:v>2014</c:v>
                </c:pt>
                <c:pt idx="2">
                  <c:v>2013</c:v>
                </c:pt>
              </c:numCache>
            </c:numRef>
          </c:cat>
          <c:val>
            <c:numRef>
              <c:f>Sheet4!$B$10:$D$10</c:f>
              <c:numCache>
                <c:formatCode>0</c:formatCode>
                <c:ptCount val="3"/>
                <c:pt idx="0">
                  <c:v>74.745392173818871</c:v>
                </c:pt>
                <c:pt idx="1">
                  <c:v>80.97337132291824</c:v>
                </c:pt>
                <c:pt idx="2">
                  <c:v>82.790702146274796</c:v>
                </c:pt>
              </c:numCache>
            </c:numRef>
          </c:val>
          <c:extLst>
            <c:ext xmlns:c16="http://schemas.microsoft.com/office/drawing/2014/chart" uri="{C3380CC4-5D6E-409C-BE32-E72D297353CC}">
              <c16:uniqueId val="{00000001-7296-449B-B64D-5043E8FBA25F}"/>
            </c:ext>
          </c:extLst>
        </c:ser>
        <c:dLbls>
          <c:showLegendKey val="0"/>
          <c:showVal val="1"/>
          <c:showCatName val="0"/>
          <c:showSerName val="0"/>
          <c:showPercent val="0"/>
          <c:showBubbleSize val="0"/>
        </c:dLbls>
        <c:gapWidth val="150"/>
        <c:overlap val="-25"/>
        <c:axId val="98877824"/>
        <c:axId val="99602816"/>
      </c:barChart>
      <c:catAx>
        <c:axId val="98877824"/>
        <c:scaling>
          <c:orientation val="minMax"/>
        </c:scaling>
        <c:delete val="0"/>
        <c:axPos val="b"/>
        <c:numFmt formatCode="General" sourceLinked="1"/>
        <c:majorTickMark val="none"/>
        <c:minorTickMark val="none"/>
        <c:tickLblPos val="nextTo"/>
        <c:crossAx val="99602816"/>
        <c:crosses val="autoZero"/>
        <c:auto val="1"/>
        <c:lblAlgn val="ctr"/>
        <c:lblOffset val="100"/>
        <c:noMultiLvlLbl val="0"/>
      </c:catAx>
      <c:valAx>
        <c:axId val="99602816"/>
        <c:scaling>
          <c:orientation val="minMax"/>
        </c:scaling>
        <c:delete val="1"/>
        <c:axPos val="l"/>
        <c:numFmt formatCode="0" sourceLinked="1"/>
        <c:majorTickMark val="out"/>
        <c:minorTickMark val="none"/>
        <c:tickLblPos val="nextTo"/>
        <c:crossAx val="98877824"/>
        <c:crosses val="autoZero"/>
        <c:crossBetween val="between"/>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Net Profit Margin </a:t>
            </a:r>
          </a:p>
        </c:rich>
      </c:tx>
      <c:overlay val="0"/>
    </c:title>
    <c:autoTitleDeleted val="0"/>
    <c:plotArea>
      <c:layout/>
      <c:lineChart>
        <c:grouping val="standard"/>
        <c:varyColors val="0"/>
        <c:ser>
          <c:idx val="0"/>
          <c:order val="0"/>
          <c:tx>
            <c:strRef>
              <c:f>Sheet4!$A$1</c:f>
              <c:strCache>
                <c:ptCount val="1"/>
                <c:pt idx="0">
                  <c:v>William Hill Plc</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Sheet4!$B$7:$D$7</c:f>
              <c:numCache>
                <c:formatCode>General</c:formatCode>
                <c:ptCount val="3"/>
                <c:pt idx="0">
                  <c:v>2015</c:v>
                </c:pt>
                <c:pt idx="1">
                  <c:v>2014</c:v>
                </c:pt>
                <c:pt idx="2">
                  <c:v>2013</c:v>
                </c:pt>
              </c:numCache>
            </c:numRef>
          </c:cat>
          <c:val>
            <c:numRef>
              <c:f>Sheet4!$B$4:$D$4</c:f>
              <c:numCache>
                <c:formatCode>0</c:formatCode>
                <c:ptCount val="3"/>
                <c:pt idx="0">
                  <c:v>14.09893770821547</c:v>
                </c:pt>
                <c:pt idx="1">
                  <c:v>17.510718946125635</c:v>
                </c:pt>
                <c:pt idx="2">
                  <c:v>20.383451059535822</c:v>
                </c:pt>
              </c:numCache>
            </c:numRef>
          </c:val>
          <c:smooth val="0"/>
          <c:extLst>
            <c:ext xmlns:c16="http://schemas.microsoft.com/office/drawing/2014/chart" uri="{C3380CC4-5D6E-409C-BE32-E72D297353CC}">
              <c16:uniqueId val="{00000000-3F09-4ACA-B02C-069CED6A0C23}"/>
            </c:ext>
          </c:extLst>
        </c:ser>
        <c:ser>
          <c:idx val="1"/>
          <c:order val="1"/>
          <c:tx>
            <c:strRef>
              <c:f>Sheet4!$A$6</c:f>
              <c:strCache>
                <c:ptCount val="1"/>
                <c:pt idx="0">
                  <c:v>Paddy Power Betfair plc </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Sheet4!$B$7:$D$7</c:f>
              <c:numCache>
                <c:formatCode>General</c:formatCode>
                <c:ptCount val="3"/>
                <c:pt idx="0">
                  <c:v>2015</c:v>
                </c:pt>
                <c:pt idx="1">
                  <c:v>2014</c:v>
                </c:pt>
                <c:pt idx="2">
                  <c:v>2013</c:v>
                </c:pt>
              </c:numCache>
            </c:numRef>
          </c:cat>
          <c:val>
            <c:numRef>
              <c:f>Sheet4!$B$9:$D$9</c:f>
              <c:numCache>
                <c:formatCode>0</c:formatCode>
                <c:ptCount val="3"/>
                <c:pt idx="0">
                  <c:v>15.558793410867668</c:v>
                </c:pt>
                <c:pt idx="1">
                  <c:v>18.579706679187275</c:v>
                </c:pt>
                <c:pt idx="2">
                  <c:v>18.436267141836186</c:v>
                </c:pt>
              </c:numCache>
            </c:numRef>
          </c:val>
          <c:smooth val="0"/>
          <c:extLst>
            <c:ext xmlns:c16="http://schemas.microsoft.com/office/drawing/2014/chart" uri="{C3380CC4-5D6E-409C-BE32-E72D297353CC}">
              <c16:uniqueId val="{00000001-3F09-4ACA-B02C-069CED6A0C23}"/>
            </c:ext>
          </c:extLst>
        </c:ser>
        <c:dLbls>
          <c:showLegendKey val="0"/>
          <c:showVal val="1"/>
          <c:showCatName val="0"/>
          <c:showSerName val="0"/>
          <c:showPercent val="0"/>
          <c:showBubbleSize val="0"/>
        </c:dLbls>
        <c:marker val="1"/>
        <c:smooth val="0"/>
        <c:axId val="122865536"/>
        <c:axId val="122870016"/>
      </c:lineChart>
      <c:catAx>
        <c:axId val="122865536"/>
        <c:scaling>
          <c:orientation val="minMax"/>
        </c:scaling>
        <c:delete val="0"/>
        <c:axPos val="b"/>
        <c:numFmt formatCode="General" sourceLinked="1"/>
        <c:majorTickMark val="none"/>
        <c:minorTickMark val="none"/>
        <c:tickLblPos val="nextTo"/>
        <c:crossAx val="122870016"/>
        <c:crosses val="autoZero"/>
        <c:auto val="1"/>
        <c:lblAlgn val="ctr"/>
        <c:lblOffset val="100"/>
        <c:noMultiLvlLbl val="0"/>
      </c:catAx>
      <c:valAx>
        <c:axId val="122870016"/>
        <c:scaling>
          <c:orientation val="minMax"/>
        </c:scaling>
        <c:delete val="1"/>
        <c:axPos val="l"/>
        <c:numFmt formatCode="0" sourceLinked="1"/>
        <c:majorTickMark val="out"/>
        <c:minorTickMark val="none"/>
        <c:tickLblPos val="nextTo"/>
        <c:crossAx val="122865536"/>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Return on Capital Employed (ROCE)</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Sheet4!$A$1</c:f>
              <c:strCache>
                <c:ptCount val="1"/>
                <c:pt idx="0">
                  <c:v>William Hill Plc</c:v>
                </c:pt>
              </c:strCache>
            </c:strRef>
          </c:tx>
          <c:invertIfNegative val="0"/>
          <c:cat>
            <c:numRef>
              <c:f>Sheet4!$B$7:$D$7</c:f>
              <c:numCache>
                <c:formatCode>General</c:formatCode>
                <c:ptCount val="3"/>
                <c:pt idx="0">
                  <c:v>2015</c:v>
                </c:pt>
                <c:pt idx="1">
                  <c:v>2014</c:v>
                </c:pt>
                <c:pt idx="2">
                  <c:v>2013</c:v>
                </c:pt>
              </c:numCache>
            </c:numRef>
          </c:cat>
          <c:val>
            <c:numRef>
              <c:f>Sheet4!$B$3:$D$3</c:f>
              <c:numCache>
                <c:formatCode>0</c:formatCode>
                <c:ptCount val="3"/>
                <c:pt idx="0">
                  <c:v>13.507979524239687</c:v>
                </c:pt>
                <c:pt idx="1">
                  <c:v>14.208642162053138</c:v>
                </c:pt>
                <c:pt idx="2">
                  <c:v>14.523318794037291</c:v>
                </c:pt>
              </c:numCache>
            </c:numRef>
          </c:val>
          <c:extLst>
            <c:ext xmlns:c16="http://schemas.microsoft.com/office/drawing/2014/chart" uri="{C3380CC4-5D6E-409C-BE32-E72D297353CC}">
              <c16:uniqueId val="{00000000-671C-45C5-8153-2C10B10EFD64}"/>
            </c:ext>
          </c:extLst>
        </c:ser>
        <c:ser>
          <c:idx val="1"/>
          <c:order val="1"/>
          <c:tx>
            <c:strRef>
              <c:f>Sheet4!$A$6</c:f>
              <c:strCache>
                <c:ptCount val="1"/>
                <c:pt idx="0">
                  <c:v>Paddy Power Betfair plc </c:v>
                </c:pt>
              </c:strCache>
            </c:strRef>
          </c:tx>
          <c:invertIfNegative val="0"/>
          <c:cat>
            <c:numRef>
              <c:f>Sheet4!$B$7:$D$7</c:f>
              <c:numCache>
                <c:formatCode>General</c:formatCode>
                <c:ptCount val="3"/>
                <c:pt idx="0">
                  <c:v>2015</c:v>
                </c:pt>
                <c:pt idx="1">
                  <c:v>2014</c:v>
                </c:pt>
                <c:pt idx="2">
                  <c:v>2013</c:v>
                </c:pt>
              </c:numCache>
            </c:numRef>
          </c:cat>
          <c:val>
            <c:numRef>
              <c:f>Sheet4!$B$8:$D$8</c:f>
              <c:numCache>
                <c:formatCode>0</c:formatCode>
                <c:ptCount val="3"/>
                <c:pt idx="0">
                  <c:v>61.988895498711074</c:v>
                </c:pt>
                <c:pt idx="1">
                  <c:v>18.832063279989111</c:v>
                </c:pt>
                <c:pt idx="2">
                  <c:v>41.890159983106017</c:v>
                </c:pt>
              </c:numCache>
            </c:numRef>
          </c:val>
          <c:extLst>
            <c:ext xmlns:c16="http://schemas.microsoft.com/office/drawing/2014/chart" uri="{C3380CC4-5D6E-409C-BE32-E72D297353CC}">
              <c16:uniqueId val="{00000001-671C-45C5-8153-2C10B10EFD64}"/>
            </c:ext>
          </c:extLst>
        </c:ser>
        <c:dLbls>
          <c:showLegendKey val="0"/>
          <c:showVal val="0"/>
          <c:showCatName val="0"/>
          <c:showSerName val="0"/>
          <c:showPercent val="0"/>
          <c:showBubbleSize val="0"/>
        </c:dLbls>
        <c:gapWidth val="150"/>
        <c:shape val="cone"/>
        <c:axId val="123735040"/>
        <c:axId val="123790464"/>
        <c:axId val="0"/>
      </c:bar3DChart>
      <c:catAx>
        <c:axId val="123735040"/>
        <c:scaling>
          <c:orientation val="minMax"/>
        </c:scaling>
        <c:delete val="0"/>
        <c:axPos val="b"/>
        <c:numFmt formatCode="General" sourceLinked="1"/>
        <c:majorTickMark val="none"/>
        <c:minorTickMark val="none"/>
        <c:tickLblPos val="nextTo"/>
        <c:crossAx val="123790464"/>
        <c:crosses val="autoZero"/>
        <c:auto val="1"/>
        <c:lblAlgn val="ctr"/>
        <c:lblOffset val="100"/>
        <c:noMultiLvlLbl val="0"/>
      </c:catAx>
      <c:valAx>
        <c:axId val="123790464"/>
        <c:scaling>
          <c:orientation val="minMax"/>
        </c:scaling>
        <c:delete val="0"/>
        <c:axPos val="l"/>
        <c:majorGridlines/>
        <c:numFmt formatCode="0" sourceLinked="1"/>
        <c:majorTickMark val="none"/>
        <c:minorTickMark val="none"/>
        <c:tickLblPos val="nextTo"/>
        <c:crossAx val="12373504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Current ratio</a:t>
            </a:r>
          </a:p>
        </c:rich>
      </c:tx>
      <c:overlay val="0"/>
    </c:title>
    <c:autoTitleDeleted val="0"/>
    <c:plotArea>
      <c:layout/>
      <c:lineChart>
        <c:grouping val="stacked"/>
        <c:varyColors val="0"/>
        <c:ser>
          <c:idx val="0"/>
          <c:order val="0"/>
          <c:tx>
            <c:strRef>
              <c:f>Sheet4!$A$1</c:f>
              <c:strCache>
                <c:ptCount val="1"/>
                <c:pt idx="0">
                  <c:v>William Hill Plc</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Sheet4!$B$2:$D$2</c:f>
              <c:numCache>
                <c:formatCode>General</c:formatCode>
                <c:ptCount val="3"/>
                <c:pt idx="0">
                  <c:v>2015</c:v>
                </c:pt>
                <c:pt idx="1">
                  <c:v>2014</c:v>
                </c:pt>
                <c:pt idx="2">
                  <c:v>2013</c:v>
                </c:pt>
              </c:numCache>
            </c:numRef>
          </c:cat>
          <c:val>
            <c:numRef>
              <c:f>Sheet4!$N$18:$P$18</c:f>
              <c:numCache>
                <c:formatCode>General</c:formatCode>
                <c:ptCount val="3"/>
                <c:pt idx="0">
                  <c:v>0.82000000000000028</c:v>
                </c:pt>
                <c:pt idx="1">
                  <c:v>0.76000000000000034</c:v>
                </c:pt>
                <c:pt idx="2">
                  <c:v>0.83000000000000029</c:v>
                </c:pt>
              </c:numCache>
            </c:numRef>
          </c:val>
          <c:smooth val="0"/>
          <c:extLst>
            <c:ext xmlns:c16="http://schemas.microsoft.com/office/drawing/2014/chart" uri="{C3380CC4-5D6E-409C-BE32-E72D297353CC}">
              <c16:uniqueId val="{00000000-3E03-4221-8726-623BFD7EBDF3}"/>
            </c:ext>
          </c:extLst>
        </c:ser>
        <c:ser>
          <c:idx val="1"/>
          <c:order val="1"/>
          <c:tx>
            <c:strRef>
              <c:f>Sheet4!$A$6</c:f>
              <c:strCache>
                <c:ptCount val="1"/>
                <c:pt idx="0">
                  <c:v>Paddy Power Betfair plc </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Sheet4!$B$2:$D$2</c:f>
              <c:numCache>
                <c:formatCode>General</c:formatCode>
                <c:ptCount val="3"/>
                <c:pt idx="0">
                  <c:v>2015</c:v>
                </c:pt>
                <c:pt idx="1">
                  <c:v>2014</c:v>
                </c:pt>
                <c:pt idx="2">
                  <c:v>2013</c:v>
                </c:pt>
              </c:numCache>
            </c:numRef>
          </c:cat>
          <c:val>
            <c:numRef>
              <c:f>Sheet4!$N$19:$P$19</c:f>
              <c:numCache>
                <c:formatCode>General</c:formatCode>
                <c:ptCount val="3"/>
                <c:pt idx="0">
                  <c:v>0.82000000000000028</c:v>
                </c:pt>
                <c:pt idx="1">
                  <c:v>1.34</c:v>
                </c:pt>
                <c:pt idx="2">
                  <c:v>1.1700000000000006</c:v>
                </c:pt>
              </c:numCache>
            </c:numRef>
          </c:val>
          <c:smooth val="0"/>
          <c:extLst>
            <c:ext xmlns:c16="http://schemas.microsoft.com/office/drawing/2014/chart" uri="{C3380CC4-5D6E-409C-BE32-E72D297353CC}">
              <c16:uniqueId val="{00000001-3E03-4221-8726-623BFD7EBDF3}"/>
            </c:ext>
          </c:extLst>
        </c:ser>
        <c:dLbls>
          <c:showLegendKey val="0"/>
          <c:showVal val="1"/>
          <c:showCatName val="0"/>
          <c:showSerName val="0"/>
          <c:showPercent val="0"/>
          <c:showBubbleSize val="0"/>
        </c:dLbls>
        <c:smooth val="0"/>
        <c:axId val="125063936"/>
        <c:axId val="125261696"/>
      </c:lineChart>
      <c:catAx>
        <c:axId val="125063936"/>
        <c:scaling>
          <c:orientation val="minMax"/>
        </c:scaling>
        <c:delete val="0"/>
        <c:axPos val="b"/>
        <c:numFmt formatCode="General" sourceLinked="1"/>
        <c:majorTickMark val="none"/>
        <c:minorTickMark val="none"/>
        <c:tickLblPos val="nextTo"/>
        <c:crossAx val="125261696"/>
        <c:crosses val="autoZero"/>
        <c:auto val="1"/>
        <c:lblAlgn val="ctr"/>
        <c:lblOffset val="100"/>
        <c:noMultiLvlLbl val="0"/>
      </c:catAx>
      <c:valAx>
        <c:axId val="125261696"/>
        <c:scaling>
          <c:orientation val="minMax"/>
        </c:scaling>
        <c:delete val="1"/>
        <c:axPos val="l"/>
        <c:numFmt formatCode="General" sourceLinked="1"/>
        <c:majorTickMark val="out"/>
        <c:minorTickMark val="none"/>
        <c:tickLblPos val="nextTo"/>
        <c:crossAx val="125063936"/>
        <c:crosses val="autoZero"/>
        <c:crossBetween val="between"/>
      </c:valAx>
    </c:plotArea>
    <c:legend>
      <c:legendPos val="t"/>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quick ratio</a:t>
            </a:r>
          </a:p>
        </c:rich>
      </c:tx>
      <c:overlay val="0"/>
    </c:title>
    <c:autoTitleDeleted val="0"/>
    <c:plotArea>
      <c:layout/>
      <c:barChart>
        <c:barDir val="col"/>
        <c:grouping val="clustered"/>
        <c:varyColors val="0"/>
        <c:ser>
          <c:idx val="0"/>
          <c:order val="0"/>
          <c:tx>
            <c:strRef>
              <c:f>Sheet4!$E$1</c:f>
              <c:strCache>
                <c:ptCount val="1"/>
                <c:pt idx="0">
                  <c:v>William Hill Plc</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Sheet4!$B$7:$D$7</c:f>
              <c:numCache>
                <c:formatCode>General</c:formatCode>
                <c:ptCount val="3"/>
                <c:pt idx="0">
                  <c:v>2015</c:v>
                </c:pt>
                <c:pt idx="1">
                  <c:v>2014</c:v>
                </c:pt>
                <c:pt idx="2">
                  <c:v>2013</c:v>
                </c:pt>
              </c:numCache>
            </c:numRef>
          </c:cat>
          <c:val>
            <c:numRef>
              <c:f>Sheet4!$N$22:$P$22</c:f>
              <c:numCache>
                <c:formatCode>General</c:formatCode>
                <c:ptCount val="3"/>
                <c:pt idx="0">
                  <c:v>0.82000000000000028</c:v>
                </c:pt>
                <c:pt idx="1">
                  <c:v>0.65000000000000036</c:v>
                </c:pt>
                <c:pt idx="2">
                  <c:v>0.45</c:v>
                </c:pt>
              </c:numCache>
            </c:numRef>
          </c:val>
          <c:extLst>
            <c:ext xmlns:c16="http://schemas.microsoft.com/office/drawing/2014/chart" uri="{C3380CC4-5D6E-409C-BE32-E72D297353CC}">
              <c16:uniqueId val="{00000000-B8AA-4A0C-9AA9-4020F0054C83}"/>
            </c:ext>
          </c:extLst>
        </c:ser>
        <c:ser>
          <c:idx val="1"/>
          <c:order val="1"/>
          <c:tx>
            <c:strRef>
              <c:f>Sheet4!$A$6</c:f>
              <c:strCache>
                <c:ptCount val="1"/>
                <c:pt idx="0">
                  <c:v>Paddy Power Betfair plc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Sheet4!$B$7:$D$7</c:f>
              <c:numCache>
                <c:formatCode>General</c:formatCode>
                <c:ptCount val="3"/>
                <c:pt idx="0">
                  <c:v>2015</c:v>
                </c:pt>
                <c:pt idx="1">
                  <c:v>2014</c:v>
                </c:pt>
                <c:pt idx="2">
                  <c:v>2013</c:v>
                </c:pt>
              </c:numCache>
            </c:numRef>
          </c:cat>
          <c:val>
            <c:numRef>
              <c:f>Sheet4!$N$23:$P$23</c:f>
              <c:numCache>
                <c:formatCode>General</c:formatCode>
                <c:ptCount val="3"/>
                <c:pt idx="0">
                  <c:v>0.56000000000000005</c:v>
                </c:pt>
                <c:pt idx="1">
                  <c:v>1.07</c:v>
                </c:pt>
                <c:pt idx="2">
                  <c:v>0.83000000000000029</c:v>
                </c:pt>
              </c:numCache>
            </c:numRef>
          </c:val>
          <c:extLst>
            <c:ext xmlns:c16="http://schemas.microsoft.com/office/drawing/2014/chart" uri="{C3380CC4-5D6E-409C-BE32-E72D297353CC}">
              <c16:uniqueId val="{00000001-B8AA-4A0C-9AA9-4020F0054C83}"/>
            </c:ext>
          </c:extLst>
        </c:ser>
        <c:dLbls>
          <c:showLegendKey val="0"/>
          <c:showVal val="1"/>
          <c:showCatName val="0"/>
          <c:showSerName val="0"/>
          <c:showPercent val="0"/>
          <c:showBubbleSize val="0"/>
        </c:dLbls>
        <c:gapWidth val="150"/>
        <c:overlap val="-25"/>
        <c:axId val="140929664"/>
        <c:axId val="146089472"/>
      </c:barChart>
      <c:catAx>
        <c:axId val="140929664"/>
        <c:scaling>
          <c:orientation val="minMax"/>
        </c:scaling>
        <c:delete val="0"/>
        <c:axPos val="b"/>
        <c:numFmt formatCode="General" sourceLinked="1"/>
        <c:majorTickMark val="none"/>
        <c:minorTickMark val="none"/>
        <c:tickLblPos val="nextTo"/>
        <c:crossAx val="146089472"/>
        <c:crosses val="autoZero"/>
        <c:auto val="1"/>
        <c:lblAlgn val="ctr"/>
        <c:lblOffset val="100"/>
        <c:noMultiLvlLbl val="0"/>
      </c:catAx>
      <c:valAx>
        <c:axId val="146089472"/>
        <c:scaling>
          <c:orientation val="minMax"/>
        </c:scaling>
        <c:delete val="1"/>
        <c:axPos val="l"/>
        <c:numFmt formatCode="General" sourceLinked="1"/>
        <c:majorTickMark val="out"/>
        <c:minorTickMark val="none"/>
        <c:tickLblPos val="nextTo"/>
        <c:crossAx val="140929664"/>
        <c:crosses val="autoZero"/>
        <c:crossBetween val="between"/>
      </c:valAx>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fixed</a:t>
            </a:r>
            <a:r>
              <a:rPr lang="en-GB" baseline="0"/>
              <a:t> assets turnover</a:t>
            </a:r>
            <a:endParaRPr lang="en-GB"/>
          </a:p>
        </c:rich>
      </c:tx>
      <c:overlay val="0"/>
    </c:title>
    <c:autoTitleDeleted val="0"/>
    <c:plotArea>
      <c:layout/>
      <c:lineChart>
        <c:grouping val="stacked"/>
        <c:varyColors val="0"/>
        <c:ser>
          <c:idx val="0"/>
          <c:order val="0"/>
          <c:tx>
            <c:strRef>
              <c:f>Sheet5!$G$1</c:f>
              <c:strCache>
                <c:ptCount val="1"/>
                <c:pt idx="0">
                  <c:v>William Hill Plc</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Sheet5!$B$4:$D$4</c:f>
              <c:numCache>
                <c:formatCode>General</c:formatCode>
                <c:ptCount val="3"/>
                <c:pt idx="0">
                  <c:v>2015</c:v>
                </c:pt>
                <c:pt idx="1">
                  <c:v>2014</c:v>
                </c:pt>
                <c:pt idx="2">
                  <c:v>2013</c:v>
                </c:pt>
              </c:numCache>
            </c:numRef>
          </c:cat>
          <c:val>
            <c:numRef>
              <c:f>Sheet5!$F$12:$H$12</c:f>
              <c:numCache>
                <c:formatCode>0</c:formatCode>
                <c:ptCount val="3"/>
                <c:pt idx="0">
                  <c:v>4.9669060256009985</c:v>
                </c:pt>
                <c:pt idx="1">
                  <c:v>18.371004566210058</c:v>
                </c:pt>
                <c:pt idx="2">
                  <c:v>26.592128801431116</c:v>
                </c:pt>
              </c:numCache>
            </c:numRef>
          </c:val>
          <c:smooth val="0"/>
          <c:extLst>
            <c:ext xmlns:c16="http://schemas.microsoft.com/office/drawing/2014/chart" uri="{C3380CC4-5D6E-409C-BE32-E72D297353CC}">
              <c16:uniqueId val="{00000000-98AC-4009-A6EB-D36F35AF483C}"/>
            </c:ext>
          </c:extLst>
        </c:ser>
        <c:ser>
          <c:idx val="1"/>
          <c:order val="1"/>
          <c:tx>
            <c:strRef>
              <c:f>Sheet5!$G$2</c:f>
              <c:strCache>
                <c:ptCount val="1"/>
                <c:pt idx="0">
                  <c:v>Paddy Power Betfair plc </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Sheet5!$B$4:$D$4</c:f>
              <c:numCache>
                <c:formatCode>General</c:formatCode>
                <c:ptCount val="3"/>
                <c:pt idx="0">
                  <c:v>2015</c:v>
                </c:pt>
                <c:pt idx="1">
                  <c:v>2014</c:v>
                </c:pt>
                <c:pt idx="2">
                  <c:v>2013</c:v>
                </c:pt>
              </c:numCache>
            </c:numRef>
          </c:cat>
          <c:val>
            <c:numRef>
              <c:f>Sheet5!$F$13:$H$13</c:f>
              <c:numCache>
                <c:formatCode>0</c:formatCode>
                <c:ptCount val="3"/>
                <c:pt idx="0">
                  <c:v>21.494129603380486</c:v>
                </c:pt>
                <c:pt idx="1">
                  <c:v>10.868322213594078</c:v>
                </c:pt>
                <c:pt idx="2">
                  <c:v>19.551301732510428</c:v>
                </c:pt>
              </c:numCache>
            </c:numRef>
          </c:val>
          <c:smooth val="0"/>
          <c:extLst>
            <c:ext xmlns:c16="http://schemas.microsoft.com/office/drawing/2014/chart" uri="{C3380CC4-5D6E-409C-BE32-E72D297353CC}">
              <c16:uniqueId val="{00000001-98AC-4009-A6EB-D36F35AF483C}"/>
            </c:ext>
          </c:extLst>
        </c:ser>
        <c:dLbls>
          <c:showLegendKey val="0"/>
          <c:showVal val="1"/>
          <c:showCatName val="0"/>
          <c:showSerName val="0"/>
          <c:showPercent val="0"/>
          <c:showBubbleSize val="0"/>
        </c:dLbls>
        <c:marker val="1"/>
        <c:smooth val="0"/>
        <c:axId val="163639296"/>
        <c:axId val="163640832"/>
      </c:lineChart>
      <c:catAx>
        <c:axId val="163639296"/>
        <c:scaling>
          <c:orientation val="minMax"/>
        </c:scaling>
        <c:delete val="0"/>
        <c:axPos val="b"/>
        <c:numFmt formatCode="General" sourceLinked="1"/>
        <c:majorTickMark val="none"/>
        <c:minorTickMark val="none"/>
        <c:tickLblPos val="nextTo"/>
        <c:crossAx val="163640832"/>
        <c:crosses val="autoZero"/>
        <c:auto val="1"/>
        <c:lblAlgn val="ctr"/>
        <c:lblOffset val="100"/>
        <c:noMultiLvlLbl val="0"/>
      </c:catAx>
      <c:valAx>
        <c:axId val="163640832"/>
        <c:scaling>
          <c:orientation val="minMax"/>
        </c:scaling>
        <c:delete val="1"/>
        <c:axPos val="l"/>
        <c:numFmt formatCode="0" sourceLinked="1"/>
        <c:majorTickMark val="none"/>
        <c:minorTickMark val="none"/>
        <c:tickLblPos val="nextTo"/>
        <c:crossAx val="163639296"/>
        <c:crosses val="autoZero"/>
        <c:crossBetween val="between"/>
      </c:valAx>
    </c:plotArea>
    <c:legend>
      <c:legendPos val="t"/>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Sale per employee  </a:t>
            </a:r>
          </a:p>
        </c:rich>
      </c:tx>
      <c:overlay val="0"/>
    </c:title>
    <c:autoTitleDeleted val="0"/>
    <c:plotArea>
      <c:layout/>
      <c:barChart>
        <c:barDir val="col"/>
        <c:grouping val="clustered"/>
        <c:varyColors val="0"/>
        <c:ser>
          <c:idx val="0"/>
          <c:order val="0"/>
          <c:tx>
            <c:strRef>
              <c:f>Sheet1!$A$1</c:f>
              <c:strCache>
                <c:ptCount val="1"/>
                <c:pt idx="0">
                  <c:v>William Hill Plc</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Sheet1!$B$2:$D$2</c:f>
              <c:numCache>
                <c:formatCode>General</c:formatCode>
                <c:ptCount val="3"/>
                <c:pt idx="0">
                  <c:v>2015</c:v>
                </c:pt>
                <c:pt idx="1">
                  <c:v>2014</c:v>
                </c:pt>
                <c:pt idx="2">
                  <c:v>2013</c:v>
                </c:pt>
              </c:numCache>
            </c:numRef>
          </c:cat>
          <c:val>
            <c:numRef>
              <c:f>Sheet1!$G$38:$I$38</c:f>
              <c:numCache>
                <c:formatCode>0</c:formatCode>
                <c:ptCount val="3"/>
                <c:pt idx="0">
                  <c:v>101.02876738426366</c:v>
                </c:pt>
                <c:pt idx="1">
                  <c:v>100.09329518596842</c:v>
                </c:pt>
                <c:pt idx="2">
                  <c:v>86.985780326525813</c:v>
                </c:pt>
              </c:numCache>
            </c:numRef>
          </c:val>
          <c:extLst>
            <c:ext xmlns:c16="http://schemas.microsoft.com/office/drawing/2014/chart" uri="{C3380CC4-5D6E-409C-BE32-E72D297353CC}">
              <c16:uniqueId val="{00000000-8540-4400-9694-83BDE855CF9D}"/>
            </c:ext>
          </c:extLst>
        </c:ser>
        <c:ser>
          <c:idx val="1"/>
          <c:order val="1"/>
          <c:tx>
            <c:strRef>
              <c:f>Sheet1!$K$51</c:f>
              <c:strCache>
                <c:ptCount val="1"/>
                <c:pt idx="0">
                  <c:v>Paddy Power Betfair plc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Sheet1!$B$2:$D$2</c:f>
              <c:numCache>
                <c:formatCode>General</c:formatCode>
                <c:ptCount val="3"/>
                <c:pt idx="0">
                  <c:v>2015</c:v>
                </c:pt>
                <c:pt idx="1">
                  <c:v>2014</c:v>
                </c:pt>
                <c:pt idx="2">
                  <c:v>2013</c:v>
                </c:pt>
              </c:numCache>
            </c:numRef>
          </c:cat>
          <c:val>
            <c:numRef>
              <c:f>Sheet1!$G$39:$I$39</c:f>
              <c:numCache>
                <c:formatCode>0</c:formatCode>
                <c:ptCount val="3"/>
                <c:pt idx="0">
                  <c:v>158.54941803116984</c:v>
                </c:pt>
                <c:pt idx="1">
                  <c:v>141.22775947281713</c:v>
                </c:pt>
                <c:pt idx="2">
                  <c:v>150.1583253128008</c:v>
                </c:pt>
              </c:numCache>
            </c:numRef>
          </c:val>
          <c:extLst>
            <c:ext xmlns:c16="http://schemas.microsoft.com/office/drawing/2014/chart" uri="{C3380CC4-5D6E-409C-BE32-E72D297353CC}">
              <c16:uniqueId val="{00000001-8540-4400-9694-83BDE855CF9D}"/>
            </c:ext>
          </c:extLst>
        </c:ser>
        <c:dLbls>
          <c:showLegendKey val="0"/>
          <c:showVal val="1"/>
          <c:showCatName val="0"/>
          <c:showSerName val="0"/>
          <c:showPercent val="0"/>
          <c:showBubbleSize val="0"/>
        </c:dLbls>
        <c:gapWidth val="150"/>
        <c:overlap val="-25"/>
        <c:axId val="148681856"/>
        <c:axId val="148683392"/>
      </c:barChart>
      <c:catAx>
        <c:axId val="148681856"/>
        <c:scaling>
          <c:orientation val="minMax"/>
        </c:scaling>
        <c:delete val="0"/>
        <c:axPos val="b"/>
        <c:numFmt formatCode="General" sourceLinked="1"/>
        <c:majorTickMark val="none"/>
        <c:minorTickMark val="none"/>
        <c:tickLblPos val="nextTo"/>
        <c:crossAx val="148683392"/>
        <c:crosses val="autoZero"/>
        <c:auto val="1"/>
        <c:lblAlgn val="ctr"/>
        <c:lblOffset val="100"/>
        <c:noMultiLvlLbl val="0"/>
      </c:catAx>
      <c:valAx>
        <c:axId val="148683392"/>
        <c:scaling>
          <c:orientation val="minMax"/>
        </c:scaling>
        <c:delete val="1"/>
        <c:axPos val="l"/>
        <c:numFmt formatCode="0" sourceLinked="1"/>
        <c:majorTickMark val="out"/>
        <c:minorTickMark val="none"/>
        <c:tickLblPos val="nextTo"/>
        <c:crossAx val="148681856"/>
        <c:crosses val="autoZero"/>
        <c:crossBetween val="between"/>
      </c:valAx>
    </c:plotArea>
    <c:legend>
      <c:legendPos val="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Gearing</a:t>
            </a:r>
          </a:p>
        </c:rich>
      </c:tx>
      <c:overlay val="0"/>
    </c:title>
    <c:autoTitleDeleted val="0"/>
    <c:plotArea>
      <c:layout/>
      <c:lineChart>
        <c:grouping val="stacked"/>
        <c:varyColors val="0"/>
        <c:ser>
          <c:idx val="0"/>
          <c:order val="0"/>
          <c:tx>
            <c:strRef>
              <c:f>Sheet4!$E$1</c:f>
              <c:strCache>
                <c:ptCount val="1"/>
                <c:pt idx="0">
                  <c:v>William Hill Plc</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Sheet4!$G$3:$I$3</c:f>
              <c:numCache>
                <c:formatCode>General</c:formatCode>
                <c:ptCount val="3"/>
                <c:pt idx="0">
                  <c:v>2015</c:v>
                </c:pt>
                <c:pt idx="1">
                  <c:v>2014</c:v>
                </c:pt>
                <c:pt idx="2">
                  <c:v>2013</c:v>
                </c:pt>
              </c:numCache>
            </c:numRef>
          </c:cat>
          <c:val>
            <c:numRef>
              <c:f>Sheet4!$R$20:$T$20</c:f>
              <c:numCache>
                <c:formatCode>0.00</c:formatCode>
                <c:ptCount val="3"/>
                <c:pt idx="0">
                  <c:v>18.201970443349754</c:v>
                </c:pt>
                <c:pt idx="1">
                  <c:v>26.528117359413191</c:v>
                </c:pt>
                <c:pt idx="2">
                  <c:v>30.04158004158003</c:v>
                </c:pt>
              </c:numCache>
            </c:numRef>
          </c:val>
          <c:smooth val="0"/>
          <c:extLst>
            <c:ext xmlns:c16="http://schemas.microsoft.com/office/drawing/2014/chart" uri="{C3380CC4-5D6E-409C-BE32-E72D297353CC}">
              <c16:uniqueId val="{00000000-1A17-4A7F-9594-64A820F2C4D0}"/>
            </c:ext>
          </c:extLst>
        </c:ser>
        <c:ser>
          <c:idx val="1"/>
          <c:order val="1"/>
          <c:tx>
            <c:strRef>
              <c:f>Sheet4!$E$6</c:f>
              <c:strCache>
                <c:ptCount val="1"/>
                <c:pt idx="0">
                  <c:v>Paddy Power Betfair plc </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Sheet4!$G$3:$I$3</c:f>
              <c:numCache>
                <c:formatCode>General</c:formatCode>
                <c:ptCount val="3"/>
                <c:pt idx="0">
                  <c:v>2015</c:v>
                </c:pt>
                <c:pt idx="1">
                  <c:v>2014</c:v>
                </c:pt>
                <c:pt idx="2">
                  <c:v>2013</c:v>
                </c:pt>
              </c:numCache>
            </c:numRef>
          </c:cat>
          <c:val>
            <c:numRef>
              <c:f>Sheet4!$R$21:$T$21</c:f>
              <c:numCache>
                <c:formatCode>General</c:formatCode>
                <c:ptCount val="3"/>
                <c:pt idx="0" formatCode="0.00">
                  <c:v>41.298179754681563</c:v>
                </c:pt>
                <c:pt idx="1">
                  <c:v>0</c:v>
                </c:pt>
                <c:pt idx="2">
                  <c:v>0</c:v>
                </c:pt>
              </c:numCache>
            </c:numRef>
          </c:val>
          <c:smooth val="0"/>
          <c:extLst>
            <c:ext xmlns:c16="http://schemas.microsoft.com/office/drawing/2014/chart" uri="{C3380CC4-5D6E-409C-BE32-E72D297353CC}">
              <c16:uniqueId val="{00000001-1A17-4A7F-9594-64A820F2C4D0}"/>
            </c:ext>
          </c:extLst>
        </c:ser>
        <c:dLbls>
          <c:showLegendKey val="0"/>
          <c:showVal val="1"/>
          <c:showCatName val="0"/>
          <c:showSerName val="0"/>
          <c:showPercent val="0"/>
          <c:showBubbleSize val="0"/>
        </c:dLbls>
        <c:smooth val="0"/>
        <c:axId val="154234880"/>
        <c:axId val="154236416"/>
      </c:lineChart>
      <c:catAx>
        <c:axId val="154234880"/>
        <c:scaling>
          <c:orientation val="minMax"/>
        </c:scaling>
        <c:delete val="0"/>
        <c:axPos val="b"/>
        <c:numFmt formatCode="General" sourceLinked="1"/>
        <c:majorTickMark val="none"/>
        <c:minorTickMark val="none"/>
        <c:tickLblPos val="nextTo"/>
        <c:crossAx val="154236416"/>
        <c:crosses val="autoZero"/>
        <c:auto val="1"/>
        <c:lblAlgn val="ctr"/>
        <c:lblOffset val="100"/>
        <c:noMultiLvlLbl val="0"/>
      </c:catAx>
      <c:valAx>
        <c:axId val="154236416"/>
        <c:scaling>
          <c:orientation val="minMax"/>
        </c:scaling>
        <c:delete val="1"/>
        <c:axPos val="l"/>
        <c:numFmt formatCode="0.00" sourceLinked="1"/>
        <c:majorTickMark val="out"/>
        <c:minorTickMark val="none"/>
        <c:tickLblPos val="nextTo"/>
        <c:crossAx val="154234880"/>
        <c:crosses val="autoZero"/>
        <c:crossBetween val="between"/>
      </c:valAx>
    </c:plotArea>
    <c:legend>
      <c:legendPos val="t"/>
      <c:overlay val="0"/>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EPS</a:t>
            </a:r>
          </a:p>
        </c:rich>
      </c:tx>
      <c:overlay val="0"/>
    </c:title>
    <c:autoTitleDeleted val="0"/>
    <c:plotArea>
      <c:layout/>
      <c:barChart>
        <c:barDir val="col"/>
        <c:grouping val="clustered"/>
        <c:varyColors val="0"/>
        <c:ser>
          <c:idx val="0"/>
          <c:order val="0"/>
          <c:tx>
            <c:strRef>
              <c:f>Sheet1!$A$1</c:f>
              <c:strCache>
                <c:ptCount val="1"/>
                <c:pt idx="0">
                  <c:v>William Hill Plc</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Sheet1!$B$2:$D$2</c:f>
              <c:numCache>
                <c:formatCode>General</c:formatCode>
                <c:ptCount val="3"/>
                <c:pt idx="0">
                  <c:v>2015</c:v>
                </c:pt>
                <c:pt idx="1">
                  <c:v>2014</c:v>
                </c:pt>
                <c:pt idx="2">
                  <c:v>2013</c:v>
                </c:pt>
              </c:numCache>
            </c:numRef>
          </c:cat>
          <c:val>
            <c:numRef>
              <c:f>Sheet1!$G$47:$I$47</c:f>
              <c:numCache>
                <c:formatCode>General</c:formatCode>
                <c:ptCount val="3"/>
                <c:pt idx="0">
                  <c:v>21.6</c:v>
                </c:pt>
                <c:pt idx="1">
                  <c:v>23.6</c:v>
                </c:pt>
                <c:pt idx="2">
                  <c:v>21.8</c:v>
                </c:pt>
              </c:numCache>
            </c:numRef>
          </c:val>
          <c:extLst>
            <c:ext xmlns:c16="http://schemas.microsoft.com/office/drawing/2014/chart" uri="{C3380CC4-5D6E-409C-BE32-E72D297353CC}">
              <c16:uniqueId val="{00000000-C636-46FD-919F-EC5608ADC707}"/>
            </c:ext>
          </c:extLst>
        </c:ser>
        <c:ser>
          <c:idx val="1"/>
          <c:order val="1"/>
          <c:tx>
            <c:strRef>
              <c:f>Sheet1!$F$50</c:f>
              <c:strCache>
                <c:ptCount val="1"/>
                <c:pt idx="0">
                  <c:v>Paddy Power Betfair plc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Sheet1!$B$2:$D$2</c:f>
              <c:numCache>
                <c:formatCode>General</c:formatCode>
                <c:ptCount val="3"/>
                <c:pt idx="0">
                  <c:v>2015</c:v>
                </c:pt>
                <c:pt idx="1">
                  <c:v>2014</c:v>
                </c:pt>
                <c:pt idx="2">
                  <c:v>2013</c:v>
                </c:pt>
              </c:numCache>
            </c:numRef>
          </c:cat>
          <c:val>
            <c:numRef>
              <c:f>Sheet1!$G$52:$I$52</c:f>
              <c:numCache>
                <c:formatCode>General</c:formatCode>
                <c:ptCount val="3"/>
                <c:pt idx="0">
                  <c:v>3.3</c:v>
                </c:pt>
                <c:pt idx="1">
                  <c:v>3</c:v>
                </c:pt>
                <c:pt idx="2">
                  <c:v>2.6</c:v>
                </c:pt>
              </c:numCache>
            </c:numRef>
          </c:val>
          <c:extLst>
            <c:ext xmlns:c16="http://schemas.microsoft.com/office/drawing/2014/chart" uri="{C3380CC4-5D6E-409C-BE32-E72D297353CC}">
              <c16:uniqueId val="{00000001-C636-46FD-919F-EC5608ADC707}"/>
            </c:ext>
          </c:extLst>
        </c:ser>
        <c:dLbls>
          <c:showLegendKey val="0"/>
          <c:showVal val="1"/>
          <c:showCatName val="0"/>
          <c:showSerName val="0"/>
          <c:showPercent val="0"/>
          <c:showBubbleSize val="0"/>
        </c:dLbls>
        <c:gapWidth val="150"/>
        <c:overlap val="-25"/>
        <c:axId val="159951488"/>
        <c:axId val="163352960"/>
      </c:barChart>
      <c:catAx>
        <c:axId val="159951488"/>
        <c:scaling>
          <c:orientation val="minMax"/>
        </c:scaling>
        <c:delete val="0"/>
        <c:axPos val="b"/>
        <c:numFmt formatCode="General" sourceLinked="1"/>
        <c:majorTickMark val="none"/>
        <c:minorTickMark val="none"/>
        <c:tickLblPos val="nextTo"/>
        <c:crossAx val="163352960"/>
        <c:crosses val="autoZero"/>
        <c:auto val="1"/>
        <c:lblAlgn val="ctr"/>
        <c:lblOffset val="100"/>
        <c:noMultiLvlLbl val="0"/>
      </c:catAx>
      <c:valAx>
        <c:axId val="163352960"/>
        <c:scaling>
          <c:orientation val="minMax"/>
        </c:scaling>
        <c:delete val="1"/>
        <c:axPos val="l"/>
        <c:numFmt formatCode="General" sourceLinked="1"/>
        <c:majorTickMark val="out"/>
        <c:minorTickMark val="none"/>
        <c:tickLblPos val="nextTo"/>
        <c:crossAx val="159951488"/>
        <c:crosses val="autoZero"/>
        <c:crossBetween val="between"/>
      </c:valAx>
    </c:plotArea>
    <c:legend>
      <c:legendPos val="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Dividends per Share DPS</a:t>
            </a:r>
          </a:p>
        </c:rich>
      </c:tx>
      <c:overlay val="0"/>
    </c:title>
    <c:autoTitleDeleted val="0"/>
    <c:plotArea>
      <c:layout/>
      <c:lineChart>
        <c:grouping val="stacked"/>
        <c:varyColors val="0"/>
        <c:ser>
          <c:idx val="0"/>
          <c:order val="0"/>
          <c:tx>
            <c:strRef>
              <c:f>Sheet2!$G$50</c:f>
              <c:strCache>
                <c:ptCount val="1"/>
                <c:pt idx="0">
                  <c:v>William Hill Plc</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Sheet2!$B$2:$D$2</c:f>
              <c:numCache>
                <c:formatCode>General</c:formatCode>
                <c:ptCount val="3"/>
                <c:pt idx="0">
                  <c:v>2015</c:v>
                </c:pt>
                <c:pt idx="1">
                  <c:v>2014</c:v>
                </c:pt>
                <c:pt idx="2">
                  <c:v>2013</c:v>
                </c:pt>
              </c:numCache>
            </c:numRef>
          </c:cat>
          <c:val>
            <c:numRef>
              <c:f>Sheet2!$H$51:$J$51</c:f>
              <c:numCache>
                <c:formatCode>General</c:formatCode>
                <c:ptCount val="3"/>
                <c:pt idx="0">
                  <c:v>9</c:v>
                </c:pt>
                <c:pt idx="1">
                  <c:v>11.9</c:v>
                </c:pt>
                <c:pt idx="2">
                  <c:v>10</c:v>
                </c:pt>
              </c:numCache>
            </c:numRef>
          </c:val>
          <c:smooth val="0"/>
          <c:extLst>
            <c:ext xmlns:c16="http://schemas.microsoft.com/office/drawing/2014/chart" uri="{C3380CC4-5D6E-409C-BE32-E72D297353CC}">
              <c16:uniqueId val="{00000000-F0A7-40DA-B576-CE1F23B3E072}"/>
            </c:ext>
          </c:extLst>
        </c:ser>
        <c:ser>
          <c:idx val="1"/>
          <c:order val="1"/>
          <c:tx>
            <c:strRef>
              <c:f>Sheet2!$A$1</c:f>
              <c:strCache>
                <c:ptCount val="1"/>
                <c:pt idx="0">
                  <c:v>Paddy Power Betfair plc </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Sheet2!$B$2:$D$2</c:f>
              <c:numCache>
                <c:formatCode>General</c:formatCode>
                <c:ptCount val="3"/>
                <c:pt idx="0">
                  <c:v>2015</c:v>
                </c:pt>
                <c:pt idx="1">
                  <c:v>2014</c:v>
                </c:pt>
                <c:pt idx="2">
                  <c:v>2013</c:v>
                </c:pt>
              </c:numCache>
            </c:numRef>
          </c:cat>
          <c:val>
            <c:numRef>
              <c:f>Sheet2!$H$52:$J$52</c:f>
              <c:numCache>
                <c:formatCode>General</c:formatCode>
                <c:ptCount val="3"/>
                <c:pt idx="0">
                  <c:v>149</c:v>
                </c:pt>
                <c:pt idx="1">
                  <c:v>135</c:v>
                </c:pt>
                <c:pt idx="2">
                  <c:v>122</c:v>
                </c:pt>
              </c:numCache>
            </c:numRef>
          </c:val>
          <c:smooth val="0"/>
          <c:extLst>
            <c:ext xmlns:c16="http://schemas.microsoft.com/office/drawing/2014/chart" uri="{C3380CC4-5D6E-409C-BE32-E72D297353CC}">
              <c16:uniqueId val="{00000001-F0A7-40DA-B576-CE1F23B3E072}"/>
            </c:ext>
          </c:extLst>
        </c:ser>
        <c:dLbls>
          <c:showLegendKey val="0"/>
          <c:showVal val="1"/>
          <c:showCatName val="0"/>
          <c:showSerName val="0"/>
          <c:showPercent val="0"/>
          <c:showBubbleSize val="0"/>
        </c:dLbls>
        <c:marker val="1"/>
        <c:smooth val="0"/>
        <c:axId val="163370496"/>
        <c:axId val="163372032"/>
      </c:lineChart>
      <c:catAx>
        <c:axId val="163370496"/>
        <c:scaling>
          <c:orientation val="minMax"/>
        </c:scaling>
        <c:delete val="0"/>
        <c:axPos val="b"/>
        <c:numFmt formatCode="General" sourceLinked="1"/>
        <c:majorTickMark val="none"/>
        <c:minorTickMark val="none"/>
        <c:tickLblPos val="nextTo"/>
        <c:crossAx val="163372032"/>
        <c:crosses val="autoZero"/>
        <c:auto val="1"/>
        <c:lblAlgn val="ctr"/>
        <c:lblOffset val="100"/>
        <c:noMultiLvlLbl val="0"/>
      </c:catAx>
      <c:valAx>
        <c:axId val="163372032"/>
        <c:scaling>
          <c:orientation val="minMax"/>
        </c:scaling>
        <c:delete val="1"/>
        <c:axPos val="l"/>
        <c:numFmt formatCode="General" sourceLinked="1"/>
        <c:majorTickMark val="out"/>
        <c:minorTickMark val="none"/>
        <c:tickLblPos val="nextTo"/>
        <c:crossAx val="163370496"/>
        <c:crosses val="autoZero"/>
        <c:crossBetween val="between"/>
      </c:valAx>
    </c:plotArea>
    <c:legend>
      <c:legendPos val="t"/>
      <c:overlay val="0"/>
    </c:legend>
    <c:plotVisOnly val="1"/>
    <c:dispBlanksAs val="zero"/>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divident payout</a:t>
            </a:r>
          </a:p>
        </c:rich>
      </c:tx>
      <c:overlay val="0"/>
    </c:title>
    <c:autoTitleDeleted val="0"/>
    <c:plotArea>
      <c:layout/>
      <c:barChart>
        <c:barDir val="col"/>
        <c:grouping val="clustered"/>
        <c:varyColors val="0"/>
        <c:ser>
          <c:idx val="0"/>
          <c:order val="0"/>
          <c:tx>
            <c:strRef>
              <c:f>Sheet2!$G$50</c:f>
              <c:strCache>
                <c:ptCount val="1"/>
                <c:pt idx="0">
                  <c:v>William Hill Plc</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Sheet2!$B$2:$D$2</c:f>
              <c:numCache>
                <c:formatCode>General</c:formatCode>
                <c:ptCount val="3"/>
                <c:pt idx="0">
                  <c:v>2015</c:v>
                </c:pt>
                <c:pt idx="1">
                  <c:v>2014</c:v>
                </c:pt>
                <c:pt idx="2">
                  <c:v>2013</c:v>
                </c:pt>
              </c:numCache>
            </c:numRef>
          </c:cat>
          <c:val>
            <c:numRef>
              <c:f>Sheet2!$I$44:$K$44</c:f>
              <c:numCache>
                <c:formatCode>0</c:formatCode>
                <c:ptCount val="3"/>
                <c:pt idx="0">
                  <c:v>57.082675092153771</c:v>
                </c:pt>
                <c:pt idx="1">
                  <c:v>50.412021328162872</c:v>
                </c:pt>
                <c:pt idx="2">
                  <c:v>38.454746136865332</c:v>
                </c:pt>
              </c:numCache>
            </c:numRef>
          </c:val>
          <c:extLst>
            <c:ext xmlns:c16="http://schemas.microsoft.com/office/drawing/2014/chart" uri="{C3380CC4-5D6E-409C-BE32-E72D297353CC}">
              <c16:uniqueId val="{00000000-AB18-4E75-9EED-E15DFA612999}"/>
            </c:ext>
          </c:extLst>
        </c:ser>
        <c:ser>
          <c:idx val="1"/>
          <c:order val="1"/>
          <c:tx>
            <c:strRef>
              <c:f>Sheet2!$A$1</c:f>
              <c:strCache>
                <c:ptCount val="1"/>
                <c:pt idx="0">
                  <c:v>Paddy Power Betfair plc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Sheet2!$B$2:$D$2</c:f>
              <c:numCache>
                <c:formatCode>General</c:formatCode>
                <c:ptCount val="3"/>
                <c:pt idx="0">
                  <c:v>2015</c:v>
                </c:pt>
                <c:pt idx="1">
                  <c:v>2014</c:v>
                </c:pt>
                <c:pt idx="2">
                  <c:v>2013</c:v>
                </c:pt>
              </c:numCache>
            </c:numRef>
          </c:cat>
          <c:val>
            <c:numRef>
              <c:f>Sheet2!$I$45:$K$45</c:f>
              <c:numCache>
                <c:formatCode>0</c:formatCode>
                <c:ptCount val="3"/>
                <c:pt idx="0">
                  <c:v>51.817282900998975</c:v>
                </c:pt>
                <c:pt idx="1">
                  <c:v>47.610007097232064</c:v>
                </c:pt>
                <c:pt idx="2">
                  <c:v>50.256400314078277</c:v>
                </c:pt>
              </c:numCache>
            </c:numRef>
          </c:val>
          <c:extLst>
            <c:ext xmlns:c16="http://schemas.microsoft.com/office/drawing/2014/chart" uri="{C3380CC4-5D6E-409C-BE32-E72D297353CC}">
              <c16:uniqueId val="{00000001-AB18-4E75-9EED-E15DFA612999}"/>
            </c:ext>
          </c:extLst>
        </c:ser>
        <c:dLbls>
          <c:showLegendKey val="0"/>
          <c:showVal val="1"/>
          <c:showCatName val="0"/>
          <c:showSerName val="0"/>
          <c:showPercent val="0"/>
          <c:showBubbleSize val="0"/>
        </c:dLbls>
        <c:gapWidth val="150"/>
        <c:overlap val="-25"/>
        <c:axId val="163385728"/>
        <c:axId val="163387264"/>
      </c:barChart>
      <c:catAx>
        <c:axId val="163385728"/>
        <c:scaling>
          <c:orientation val="minMax"/>
        </c:scaling>
        <c:delete val="0"/>
        <c:axPos val="b"/>
        <c:numFmt formatCode="General" sourceLinked="1"/>
        <c:majorTickMark val="none"/>
        <c:minorTickMark val="none"/>
        <c:tickLblPos val="nextTo"/>
        <c:crossAx val="163387264"/>
        <c:crosses val="autoZero"/>
        <c:auto val="1"/>
        <c:lblAlgn val="ctr"/>
        <c:lblOffset val="100"/>
        <c:noMultiLvlLbl val="0"/>
      </c:catAx>
      <c:valAx>
        <c:axId val="163387264"/>
        <c:scaling>
          <c:orientation val="minMax"/>
        </c:scaling>
        <c:delete val="1"/>
        <c:axPos val="l"/>
        <c:numFmt formatCode="0" sourceLinked="1"/>
        <c:majorTickMark val="out"/>
        <c:minorTickMark val="none"/>
        <c:tickLblPos val="nextTo"/>
        <c:crossAx val="163385728"/>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05BED-8BC8-4836-A103-AF14E0854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6599</Words>
  <Characters>37619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BLR</dc:creator>
  <cp:lastModifiedBy>Krunalkumar Patel (1706259)</cp:lastModifiedBy>
  <cp:revision>3</cp:revision>
  <dcterms:created xsi:type="dcterms:W3CDTF">2018-04-25T09:35:00Z</dcterms:created>
  <dcterms:modified xsi:type="dcterms:W3CDTF">2018-04-25T09:35:00Z</dcterms:modified>
</cp:coreProperties>
</file>