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2C21BD" w14:textId="77777777" w:rsidR="00BE3366" w:rsidRDefault="00BE3366">
      <w:r>
        <w:t> </w:t>
      </w:r>
      <w:r>
        <w:rPr>
          <w:noProof/>
          <w:lang w:eastAsia="en-GB"/>
        </w:rPr>
        <w:drawing>
          <wp:inline distT="0" distB="0" distL="0" distR="0" wp14:anchorId="13802DBF" wp14:editId="3767A1BF">
            <wp:extent cx="1457325" cy="600075"/>
            <wp:effectExtent l="0" t="0" r="9525" b="9525"/>
            <wp:docPr id="2" name="Picture 2" descr="C:\Users\1702887\AppData\Local\Microsoft\Windows\INetCache\Content.MSO\382856F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702887\AppData\Local\Microsoft\Windows\INetCache\Content.MSO\382856FB.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57325" cy="600075"/>
                    </a:xfrm>
                    <a:prstGeom prst="rect">
                      <a:avLst/>
                    </a:prstGeom>
                    <a:noFill/>
                    <a:ln>
                      <a:noFill/>
                    </a:ln>
                  </pic:spPr>
                </pic:pic>
              </a:graphicData>
            </a:graphic>
          </wp:inline>
        </w:drawing>
      </w:r>
    </w:p>
    <w:p w14:paraId="52172980" w14:textId="77777777" w:rsidR="00BE3366" w:rsidRPr="00BE3366" w:rsidRDefault="00BE3366" w:rsidP="00BE3366"/>
    <w:p w14:paraId="5D9FE52C" w14:textId="77777777" w:rsidR="00BE3366" w:rsidRPr="00BE3366" w:rsidRDefault="00BE3366" w:rsidP="00BE3366"/>
    <w:p w14:paraId="5A27A25F" w14:textId="77777777" w:rsidR="00BE3366" w:rsidRPr="00BE3366" w:rsidRDefault="00BE3366" w:rsidP="00BE3366"/>
    <w:p w14:paraId="3D8D0B1A" w14:textId="77777777" w:rsidR="00BE3366" w:rsidRPr="00BE3366" w:rsidRDefault="00BE3366" w:rsidP="00BE3366"/>
    <w:p w14:paraId="66EFB032" w14:textId="77777777" w:rsidR="00BE3366" w:rsidRPr="00BE3366" w:rsidRDefault="00BE3366" w:rsidP="00BE3366"/>
    <w:p w14:paraId="14476082" w14:textId="77777777" w:rsidR="00BE3366" w:rsidRPr="00BE3366" w:rsidRDefault="00BE3366" w:rsidP="00BE3366"/>
    <w:p w14:paraId="114E15C0" w14:textId="77777777" w:rsidR="00BE3366" w:rsidRPr="00BE3366" w:rsidRDefault="00BE3366" w:rsidP="00BE3366">
      <w:pPr>
        <w:rPr>
          <w:b/>
          <w:sz w:val="36"/>
        </w:rPr>
      </w:pPr>
    </w:p>
    <w:p w14:paraId="7BA514E7" w14:textId="1726F5E5" w:rsidR="007336ED" w:rsidRDefault="00BE3366" w:rsidP="00BE3366">
      <w:pPr>
        <w:tabs>
          <w:tab w:val="left" w:pos="3225"/>
        </w:tabs>
        <w:jc w:val="center"/>
        <w:rPr>
          <w:b/>
          <w:sz w:val="36"/>
        </w:rPr>
      </w:pPr>
      <w:r w:rsidRPr="00BE3366">
        <w:rPr>
          <w:b/>
          <w:sz w:val="36"/>
        </w:rPr>
        <w:t>Critically eva</w:t>
      </w:r>
      <w:r w:rsidR="003C0204">
        <w:rPr>
          <w:b/>
          <w:sz w:val="36"/>
        </w:rPr>
        <w:t xml:space="preserve">luate an international (global) </w:t>
      </w:r>
      <w:r w:rsidRPr="00BE3366">
        <w:rPr>
          <w:b/>
          <w:sz w:val="36"/>
        </w:rPr>
        <w:t>humanitarian organisation that works within the following areas that value human dignity and human rights</w:t>
      </w:r>
    </w:p>
    <w:p w14:paraId="071FDDEE" w14:textId="77777777" w:rsidR="00BE3366" w:rsidRDefault="00BE3366" w:rsidP="00BE3366">
      <w:pPr>
        <w:tabs>
          <w:tab w:val="left" w:pos="3225"/>
        </w:tabs>
        <w:jc w:val="center"/>
        <w:rPr>
          <w:b/>
          <w:sz w:val="36"/>
        </w:rPr>
      </w:pPr>
    </w:p>
    <w:p w14:paraId="6C919840" w14:textId="77777777" w:rsidR="00BE3366" w:rsidRDefault="00BE3366" w:rsidP="00BE3366">
      <w:pPr>
        <w:tabs>
          <w:tab w:val="left" w:pos="3225"/>
        </w:tabs>
        <w:jc w:val="center"/>
        <w:rPr>
          <w:b/>
          <w:sz w:val="36"/>
        </w:rPr>
      </w:pPr>
      <w:r>
        <w:rPr>
          <w:b/>
          <w:sz w:val="36"/>
        </w:rPr>
        <w:t>1702887</w:t>
      </w:r>
    </w:p>
    <w:p w14:paraId="288AB035" w14:textId="77777777" w:rsidR="00BE3366" w:rsidRDefault="00BE3366" w:rsidP="00BE3366">
      <w:pPr>
        <w:tabs>
          <w:tab w:val="left" w:pos="3225"/>
        </w:tabs>
        <w:jc w:val="center"/>
        <w:rPr>
          <w:b/>
          <w:sz w:val="36"/>
        </w:rPr>
      </w:pPr>
    </w:p>
    <w:p w14:paraId="6B96BCE4" w14:textId="77777777" w:rsidR="00BE3366" w:rsidRDefault="00BE3366" w:rsidP="00BE3366">
      <w:pPr>
        <w:tabs>
          <w:tab w:val="left" w:pos="3225"/>
        </w:tabs>
        <w:jc w:val="center"/>
        <w:rPr>
          <w:b/>
          <w:sz w:val="36"/>
        </w:rPr>
      </w:pPr>
      <w:r w:rsidRPr="00BE3366">
        <w:rPr>
          <w:b/>
          <w:sz w:val="36"/>
        </w:rPr>
        <w:t>University of Wales Trinity Saint David</w:t>
      </w:r>
    </w:p>
    <w:p w14:paraId="10D9564A" w14:textId="77777777" w:rsidR="00BE3366" w:rsidRDefault="00BE3366">
      <w:pPr>
        <w:rPr>
          <w:b/>
          <w:sz w:val="36"/>
        </w:rPr>
      </w:pPr>
      <w:r>
        <w:rPr>
          <w:b/>
          <w:sz w:val="36"/>
        </w:rPr>
        <w:br w:type="page"/>
      </w:r>
    </w:p>
    <w:p w14:paraId="7CD0183D" w14:textId="27A84D84" w:rsidR="0095294F" w:rsidRDefault="00B959E7" w:rsidP="003C6DA9">
      <w:pPr>
        <w:tabs>
          <w:tab w:val="left" w:pos="3225"/>
        </w:tabs>
        <w:spacing w:line="480" w:lineRule="auto"/>
        <w:jc w:val="both"/>
        <w:rPr>
          <w:sz w:val="24"/>
        </w:rPr>
      </w:pPr>
      <w:r>
        <w:rPr>
          <w:sz w:val="24"/>
        </w:rPr>
        <w:lastRenderedPageBreak/>
        <w:t xml:space="preserve">                  </w:t>
      </w:r>
      <w:r w:rsidR="00BE3366" w:rsidRPr="00BE3366">
        <w:rPr>
          <w:sz w:val="24"/>
        </w:rPr>
        <w:t>Frontline</w:t>
      </w:r>
      <w:r w:rsidR="0095294F">
        <w:rPr>
          <w:sz w:val="24"/>
        </w:rPr>
        <w:t xml:space="preserve"> Aids </w:t>
      </w:r>
      <w:r w:rsidR="00E43300">
        <w:rPr>
          <w:sz w:val="24"/>
        </w:rPr>
        <w:t>(formerly known as the International HIV/AIDS Alliance)</w:t>
      </w:r>
      <w:r w:rsidR="00E43300" w:rsidRPr="00BE3366">
        <w:rPr>
          <w:sz w:val="24"/>
        </w:rPr>
        <w:t xml:space="preserve"> is</w:t>
      </w:r>
      <w:r w:rsidR="00BE3366" w:rsidRPr="00BE3366">
        <w:rPr>
          <w:sz w:val="24"/>
        </w:rPr>
        <w:t xml:space="preserve"> a global </w:t>
      </w:r>
      <w:r w:rsidR="00E43300">
        <w:rPr>
          <w:sz w:val="24"/>
        </w:rPr>
        <w:t>partnership of governmental and non-governmental humanitarian</w:t>
      </w:r>
      <w:r w:rsidR="00BE3366" w:rsidRPr="00BE3366">
        <w:rPr>
          <w:sz w:val="24"/>
        </w:rPr>
        <w:t xml:space="preserve"> organisation</w:t>
      </w:r>
      <w:r w:rsidR="00E43300">
        <w:rPr>
          <w:sz w:val="24"/>
        </w:rPr>
        <w:t>s</w:t>
      </w:r>
      <w:r w:rsidR="00BE3366" w:rsidRPr="00BE3366">
        <w:rPr>
          <w:sz w:val="24"/>
        </w:rPr>
        <w:t xml:space="preserve"> that </w:t>
      </w:r>
      <w:r w:rsidR="0095294F">
        <w:rPr>
          <w:sz w:val="24"/>
        </w:rPr>
        <w:t>as the name suggests, has been at the frontline of HIV/AIDs response</w:t>
      </w:r>
      <w:r w:rsidR="00E43300">
        <w:rPr>
          <w:sz w:val="24"/>
        </w:rPr>
        <w:t xml:space="preserve"> since 1993</w:t>
      </w:r>
      <w:r w:rsidR="0095294F">
        <w:rPr>
          <w:sz w:val="24"/>
        </w:rPr>
        <w:t xml:space="preserve">. </w:t>
      </w:r>
      <w:r w:rsidR="00BE3366" w:rsidRPr="00BE3366">
        <w:rPr>
          <w:sz w:val="24"/>
        </w:rPr>
        <w:t xml:space="preserve"> The organisation </w:t>
      </w:r>
      <w:r w:rsidR="0095294F">
        <w:rPr>
          <w:sz w:val="24"/>
        </w:rPr>
        <w:t xml:space="preserve">works with marginalised communities globally to educate and influence governmental changes </w:t>
      </w:r>
      <w:r w:rsidR="00E43300">
        <w:rPr>
          <w:sz w:val="24"/>
        </w:rPr>
        <w:t>related to HIV prevention and care.</w:t>
      </w:r>
      <w:r w:rsidR="0095294F">
        <w:rPr>
          <w:sz w:val="24"/>
        </w:rPr>
        <w:t xml:space="preserve"> </w:t>
      </w:r>
      <w:r w:rsidR="00BE3366">
        <w:rPr>
          <w:sz w:val="24"/>
        </w:rPr>
        <w:t xml:space="preserve">​ </w:t>
      </w:r>
      <w:r w:rsidR="00E43300">
        <w:rPr>
          <w:sz w:val="24"/>
        </w:rPr>
        <w:t>Their two key beliefs are that all human beings are of equal value and that everyone has the right to access HIV services (FA, 2019).</w:t>
      </w:r>
      <w:r w:rsidR="00BE3366" w:rsidRPr="00BE3366">
        <w:rPr>
          <w:sz w:val="24"/>
        </w:rPr>
        <w:t xml:space="preserve"> ​</w:t>
      </w:r>
      <w:r w:rsidR="00BA2669">
        <w:rPr>
          <w:sz w:val="24"/>
        </w:rPr>
        <w:t xml:space="preserve"> However, </w:t>
      </w:r>
      <w:r w:rsidR="00FE182D">
        <w:rPr>
          <w:sz w:val="24"/>
        </w:rPr>
        <w:t xml:space="preserve">elements within culture and society relating to HIV and stigma can make tackling HIV more </w:t>
      </w:r>
      <w:r w:rsidR="00B70348">
        <w:rPr>
          <w:sz w:val="24"/>
        </w:rPr>
        <w:t>difficult, even for a global organisation like Frontline Aids.</w:t>
      </w:r>
    </w:p>
    <w:p w14:paraId="563EE7AD" w14:textId="77777777" w:rsidR="00756DB4" w:rsidRDefault="003C6DA9" w:rsidP="003C6DA9">
      <w:pPr>
        <w:tabs>
          <w:tab w:val="left" w:pos="3225"/>
        </w:tabs>
        <w:spacing w:line="480" w:lineRule="auto"/>
        <w:jc w:val="both"/>
        <w:rPr>
          <w:sz w:val="24"/>
        </w:rPr>
      </w:pPr>
      <w:r>
        <w:rPr>
          <w:sz w:val="24"/>
        </w:rPr>
        <w:t xml:space="preserve">             </w:t>
      </w:r>
      <w:r w:rsidR="00B959E7">
        <w:rPr>
          <w:sz w:val="24"/>
        </w:rPr>
        <w:t xml:space="preserve">       </w:t>
      </w:r>
      <w:r>
        <w:rPr>
          <w:sz w:val="24"/>
        </w:rPr>
        <w:t>According to UNAIDS (2018) approximately 36.9 million people globally are living with HIV</w:t>
      </w:r>
      <w:r w:rsidR="00B959E7">
        <w:rPr>
          <w:sz w:val="24"/>
        </w:rPr>
        <w:t>, with an approximate 9.6 million people not knowing that they have it. According to the World Health Organisation (2018), HIV/AIDS was the fourth highest cause of death for low income countries in 2016.</w:t>
      </w:r>
      <w:r w:rsidR="00FD082F">
        <w:rPr>
          <w:sz w:val="24"/>
        </w:rPr>
        <w:t xml:space="preserve"> Whilst the death toll has decreased exponentially in comparison with previous years, it is still a widespread issue in lower income countries. Frontline Aids recognises this and works with the communities in these countries to tackle the issue where it is most prevalent.</w:t>
      </w:r>
    </w:p>
    <w:p w14:paraId="464ABA14" w14:textId="0C53B0DC" w:rsidR="00476280" w:rsidRDefault="00756DB4" w:rsidP="00476280">
      <w:pPr>
        <w:tabs>
          <w:tab w:val="left" w:pos="3225"/>
        </w:tabs>
        <w:spacing w:line="480" w:lineRule="auto"/>
        <w:jc w:val="both"/>
        <w:rPr>
          <w:sz w:val="24"/>
        </w:rPr>
      </w:pPr>
      <w:r>
        <w:rPr>
          <w:sz w:val="24"/>
        </w:rPr>
        <w:t xml:space="preserve">                One of the ways Frontline addresses HIV/AIDS is through </w:t>
      </w:r>
      <w:r w:rsidR="00DF4A5A">
        <w:rPr>
          <w:sz w:val="24"/>
        </w:rPr>
        <w:t xml:space="preserve">programmes created with the aim to educate the communities about safe sex, sterile syringe use and the behaviours that continue the spread of the disease. However, some studies have shown that certain educational programmes were not linked with reduction in risky HIV behaviour </w:t>
      </w:r>
      <w:sdt>
        <w:sdtPr>
          <w:rPr>
            <w:sz w:val="24"/>
          </w:rPr>
          <w:id w:val="166836623"/>
          <w:citation/>
        </w:sdtPr>
        <w:sdtEndPr/>
        <w:sdtContent>
          <w:r w:rsidR="00DF4A5A">
            <w:rPr>
              <w:sz w:val="24"/>
            </w:rPr>
            <w:fldChar w:fldCharType="begin"/>
          </w:r>
          <w:r w:rsidR="00DF4A5A">
            <w:rPr>
              <w:sz w:val="24"/>
            </w:rPr>
            <w:instrText xml:space="preserve">CITATION LON16 \l 2057 </w:instrText>
          </w:r>
          <w:r w:rsidR="00DF4A5A">
            <w:rPr>
              <w:sz w:val="24"/>
            </w:rPr>
            <w:fldChar w:fldCharType="separate"/>
          </w:r>
          <w:r w:rsidR="008B0FDB" w:rsidRPr="008B0FDB">
            <w:rPr>
              <w:noProof/>
              <w:sz w:val="24"/>
            </w:rPr>
            <w:t>(Lo, Lowe, &amp; Bendavid, 2016)</w:t>
          </w:r>
          <w:r w:rsidR="00DF4A5A">
            <w:rPr>
              <w:sz w:val="24"/>
            </w:rPr>
            <w:fldChar w:fldCharType="end"/>
          </w:r>
        </w:sdtContent>
      </w:sdt>
      <w:r w:rsidR="00476280">
        <w:rPr>
          <w:sz w:val="24"/>
        </w:rPr>
        <w:t xml:space="preserve">. The President’s Emergency Plan for Aids Relief (PEPFAR) was invested $1.4 billion into abstinence and faithfulness programmes in Sub-Saharan Africa to reduce HIV transmission. Promoting abstinence and faithfulness as a method of reducing risky sexual behaviour </w:t>
      </w:r>
      <w:r w:rsidR="00E826CD">
        <w:rPr>
          <w:sz w:val="24"/>
        </w:rPr>
        <w:t xml:space="preserve">stems from the idea that those who engage in multiple sexual partnerships and </w:t>
      </w:r>
      <w:r w:rsidR="00E826CD">
        <w:rPr>
          <w:sz w:val="24"/>
        </w:rPr>
        <w:lastRenderedPageBreak/>
        <w:t xml:space="preserve">early age sex are more likely to contract HIV </w:t>
      </w:r>
      <w:sdt>
        <w:sdtPr>
          <w:rPr>
            <w:sz w:val="24"/>
          </w:rPr>
          <w:id w:val="-364602138"/>
          <w:citation/>
        </w:sdtPr>
        <w:sdtEndPr/>
        <w:sdtContent>
          <w:r w:rsidR="00E826CD">
            <w:rPr>
              <w:sz w:val="24"/>
            </w:rPr>
            <w:fldChar w:fldCharType="begin"/>
          </w:r>
          <w:r w:rsidR="00E826CD">
            <w:rPr>
              <w:sz w:val="24"/>
            </w:rPr>
            <w:instrText xml:space="preserve"> CITATION San13 \l 2057 </w:instrText>
          </w:r>
          <w:r w:rsidR="00E826CD">
            <w:rPr>
              <w:sz w:val="24"/>
            </w:rPr>
            <w:fldChar w:fldCharType="separate"/>
          </w:r>
          <w:r w:rsidR="008B0FDB" w:rsidRPr="008B0FDB">
            <w:rPr>
              <w:noProof/>
              <w:sz w:val="24"/>
            </w:rPr>
            <w:t>(Santelli, Speizer, &amp; Edelstein, 2013)</w:t>
          </w:r>
          <w:r w:rsidR="00E826CD">
            <w:rPr>
              <w:sz w:val="24"/>
            </w:rPr>
            <w:fldChar w:fldCharType="end"/>
          </w:r>
        </w:sdtContent>
      </w:sdt>
      <w:r w:rsidR="00E826CD">
        <w:rPr>
          <w:sz w:val="24"/>
        </w:rPr>
        <w:t>. However</w:t>
      </w:r>
      <w:r w:rsidR="008A1BCE">
        <w:rPr>
          <w:sz w:val="24"/>
        </w:rPr>
        <w:t>, it is argued that the promotion of abstinence and faithfulness is ineffective at changing behaviours related to sex</w:t>
      </w:r>
      <w:sdt>
        <w:sdtPr>
          <w:rPr>
            <w:sz w:val="24"/>
          </w:rPr>
          <w:id w:val="-1620217591"/>
          <w:citation/>
        </w:sdtPr>
        <w:sdtEndPr/>
        <w:sdtContent>
          <w:r w:rsidR="008A1BCE">
            <w:rPr>
              <w:sz w:val="24"/>
            </w:rPr>
            <w:fldChar w:fldCharType="begin"/>
          </w:r>
          <w:r w:rsidR="008A1BCE">
            <w:rPr>
              <w:sz w:val="24"/>
            </w:rPr>
            <w:instrText xml:space="preserve"> CITATION San13 \l 2057 </w:instrText>
          </w:r>
          <w:r w:rsidR="008A1BCE">
            <w:rPr>
              <w:sz w:val="24"/>
            </w:rPr>
            <w:fldChar w:fldCharType="separate"/>
          </w:r>
          <w:r w:rsidR="008B0FDB">
            <w:rPr>
              <w:noProof/>
              <w:sz w:val="24"/>
            </w:rPr>
            <w:t xml:space="preserve"> </w:t>
          </w:r>
          <w:r w:rsidR="008B0FDB" w:rsidRPr="008B0FDB">
            <w:rPr>
              <w:noProof/>
              <w:sz w:val="24"/>
            </w:rPr>
            <w:t>(Santelli, Speizer, &amp; Edelstein, 2013)</w:t>
          </w:r>
          <w:r w:rsidR="008A1BCE">
            <w:rPr>
              <w:sz w:val="24"/>
            </w:rPr>
            <w:fldChar w:fldCharType="end"/>
          </w:r>
        </w:sdtContent>
      </w:sdt>
      <w:r w:rsidR="008A1BCE">
        <w:rPr>
          <w:sz w:val="24"/>
        </w:rPr>
        <w:t xml:space="preserve">. It is also stressed that the funding and resources spent on these programmes comes and the expense of more effective preventative services, e.g. </w:t>
      </w:r>
      <w:r w:rsidR="008D2A79">
        <w:rPr>
          <w:sz w:val="24"/>
        </w:rPr>
        <w:t>providing condoms</w:t>
      </w:r>
      <w:r w:rsidR="008A1BCE">
        <w:rPr>
          <w:sz w:val="24"/>
        </w:rPr>
        <w:t xml:space="preserve"> and pre-exposure prophylaxis</w:t>
      </w:r>
      <w:r w:rsidR="008D2A79">
        <w:rPr>
          <w:sz w:val="24"/>
        </w:rPr>
        <w:t xml:space="preserve"> medication</w:t>
      </w:r>
      <w:r w:rsidR="008A1BCE">
        <w:rPr>
          <w:sz w:val="24"/>
        </w:rPr>
        <w:t xml:space="preserve"> </w:t>
      </w:r>
      <w:sdt>
        <w:sdtPr>
          <w:rPr>
            <w:sz w:val="24"/>
          </w:rPr>
          <w:id w:val="1849055535"/>
          <w:citation/>
        </w:sdtPr>
        <w:sdtEndPr/>
        <w:sdtContent>
          <w:r w:rsidR="008A1BCE">
            <w:rPr>
              <w:sz w:val="24"/>
            </w:rPr>
            <w:fldChar w:fldCharType="begin"/>
          </w:r>
          <w:r w:rsidR="008A1BCE">
            <w:rPr>
              <w:sz w:val="24"/>
            </w:rPr>
            <w:instrText xml:space="preserve"> CITATION Cha11 \l 2057 </w:instrText>
          </w:r>
          <w:r w:rsidR="008A1BCE">
            <w:rPr>
              <w:sz w:val="24"/>
            </w:rPr>
            <w:fldChar w:fldCharType="separate"/>
          </w:r>
          <w:r w:rsidR="008B0FDB" w:rsidRPr="008B0FDB">
            <w:rPr>
              <w:noProof/>
              <w:sz w:val="24"/>
            </w:rPr>
            <w:t>(Charania, et al., 2011)</w:t>
          </w:r>
          <w:r w:rsidR="008A1BCE">
            <w:rPr>
              <w:sz w:val="24"/>
            </w:rPr>
            <w:fldChar w:fldCharType="end"/>
          </w:r>
        </w:sdtContent>
      </w:sdt>
      <w:r w:rsidR="008A1BCE">
        <w:rPr>
          <w:sz w:val="24"/>
        </w:rPr>
        <w:t xml:space="preserve"> </w:t>
      </w:r>
      <w:sdt>
        <w:sdtPr>
          <w:rPr>
            <w:sz w:val="24"/>
          </w:rPr>
          <w:id w:val="-2043973930"/>
          <w:citation/>
        </w:sdtPr>
        <w:sdtEndPr/>
        <w:sdtContent>
          <w:r w:rsidR="008A1BCE">
            <w:rPr>
              <w:sz w:val="24"/>
            </w:rPr>
            <w:fldChar w:fldCharType="begin"/>
          </w:r>
          <w:r w:rsidR="008A1BCE">
            <w:rPr>
              <w:sz w:val="24"/>
            </w:rPr>
            <w:instrText xml:space="preserve"> CITATION Okw12 \l 2057 </w:instrText>
          </w:r>
          <w:r w:rsidR="008A1BCE">
            <w:rPr>
              <w:sz w:val="24"/>
            </w:rPr>
            <w:fldChar w:fldCharType="separate"/>
          </w:r>
          <w:r w:rsidR="008B0FDB" w:rsidRPr="008B0FDB">
            <w:rPr>
              <w:noProof/>
              <w:sz w:val="24"/>
            </w:rPr>
            <w:t>(Okwundu, Uthman, &amp; Okoromah, 2012)</w:t>
          </w:r>
          <w:r w:rsidR="008A1BCE">
            <w:rPr>
              <w:sz w:val="24"/>
            </w:rPr>
            <w:fldChar w:fldCharType="end"/>
          </w:r>
        </w:sdtContent>
      </w:sdt>
      <w:r w:rsidR="008A1BCE">
        <w:rPr>
          <w:sz w:val="24"/>
        </w:rPr>
        <w:t xml:space="preserve">. </w:t>
      </w:r>
    </w:p>
    <w:p w14:paraId="3BD17020" w14:textId="77777777" w:rsidR="008D2A79" w:rsidRDefault="008D2A79" w:rsidP="00476280">
      <w:pPr>
        <w:tabs>
          <w:tab w:val="left" w:pos="3225"/>
        </w:tabs>
        <w:spacing w:line="480" w:lineRule="auto"/>
        <w:jc w:val="both"/>
        <w:rPr>
          <w:sz w:val="24"/>
        </w:rPr>
      </w:pPr>
      <w:r>
        <w:rPr>
          <w:sz w:val="24"/>
        </w:rPr>
        <w:t xml:space="preserve">              Though condom use is an important tool in preventing HIV transmission, it is important to recognise the sociocultural factors that influence condom usage. A study by Madiba and Ngwenya (2017) </w:t>
      </w:r>
      <w:r w:rsidR="00BA4DEE">
        <w:rPr>
          <w:sz w:val="24"/>
        </w:rPr>
        <w:t>found that older women in Sub-Sahara Africa dread the consequences of negotiating safe sex in relationships. The societal patriarch in these communities deny women the right to make decisions about their bodies, and they are thought to be the inferior gender in m</w:t>
      </w:r>
      <w:r w:rsidR="00B31AF6">
        <w:rPr>
          <w:sz w:val="24"/>
        </w:rPr>
        <w:t>arriages, so their insistence on</w:t>
      </w:r>
      <w:r w:rsidR="00BA4DEE">
        <w:rPr>
          <w:sz w:val="24"/>
        </w:rPr>
        <w:t xml:space="preserve"> using condoms may result in abuse or castigation.</w:t>
      </w:r>
      <w:r w:rsidR="00B31AF6">
        <w:rPr>
          <w:sz w:val="24"/>
        </w:rPr>
        <w:t xml:space="preserve"> It is important that whilst Frontline providing condoms is a positive, it is just as important to tackle the sociocultural factors that impact their usage. Changes like these do not happen overnight as the culture spreads across a large population of people.</w:t>
      </w:r>
    </w:p>
    <w:p w14:paraId="426FE28D" w14:textId="29F9170E" w:rsidR="005E51C8" w:rsidRDefault="00B31AF6" w:rsidP="00476280">
      <w:pPr>
        <w:tabs>
          <w:tab w:val="left" w:pos="3225"/>
        </w:tabs>
        <w:spacing w:line="480" w:lineRule="auto"/>
        <w:jc w:val="both"/>
        <w:rPr>
          <w:sz w:val="24"/>
        </w:rPr>
      </w:pPr>
      <w:r>
        <w:rPr>
          <w:sz w:val="24"/>
        </w:rPr>
        <w:t xml:space="preserve">                Due to the nature of its transmission, HIV is disproportionately common in gay people. The United States Department of Health and Human Services</w:t>
      </w:r>
      <w:r w:rsidR="00D57A9D">
        <w:rPr>
          <w:sz w:val="24"/>
        </w:rPr>
        <w:t xml:space="preserve"> (USDOHAHS)</w:t>
      </w:r>
      <w:r>
        <w:rPr>
          <w:sz w:val="24"/>
        </w:rPr>
        <w:t xml:space="preserve"> states that in the US, gay and bisexual men are the most affected population by HIV with African Americans being the most affected ethnic group </w:t>
      </w:r>
      <w:sdt>
        <w:sdtPr>
          <w:rPr>
            <w:sz w:val="24"/>
          </w:rPr>
          <w:id w:val="383446673"/>
          <w:citation/>
        </w:sdtPr>
        <w:sdtEndPr/>
        <w:sdtContent>
          <w:r>
            <w:rPr>
              <w:sz w:val="24"/>
            </w:rPr>
            <w:fldChar w:fldCharType="begin"/>
          </w:r>
          <w:r>
            <w:rPr>
              <w:sz w:val="24"/>
            </w:rPr>
            <w:instrText xml:space="preserve"> CITATION USD19 \l 2057 </w:instrText>
          </w:r>
          <w:r>
            <w:rPr>
              <w:sz w:val="24"/>
            </w:rPr>
            <w:fldChar w:fldCharType="separate"/>
          </w:r>
          <w:r w:rsidR="008B0FDB" w:rsidRPr="008B0FDB">
            <w:rPr>
              <w:noProof/>
              <w:sz w:val="24"/>
            </w:rPr>
            <w:t>(USDOHAHS, 2019)</w:t>
          </w:r>
          <w:r>
            <w:rPr>
              <w:sz w:val="24"/>
            </w:rPr>
            <w:fldChar w:fldCharType="end"/>
          </w:r>
        </w:sdtContent>
      </w:sdt>
      <w:r w:rsidR="00D57A9D">
        <w:rPr>
          <w:sz w:val="24"/>
        </w:rPr>
        <w:t xml:space="preserve">. HIV is commonly linked to the gay community, stemming back to the HIV epidemic in </w:t>
      </w:r>
      <w:r w:rsidR="0051207B">
        <w:rPr>
          <w:sz w:val="24"/>
        </w:rPr>
        <w:t>1980/90s.</w:t>
      </w:r>
      <w:r w:rsidR="00EA27DB">
        <w:rPr>
          <w:sz w:val="24"/>
        </w:rPr>
        <w:t xml:space="preserve"> It was even originally entitled ‘gay related i</w:t>
      </w:r>
      <w:r w:rsidR="003F2C86">
        <w:rPr>
          <w:sz w:val="24"/>
        </w:rPr>
        <w:t>mmune deficiency’</w:t>
      </w:r>
      <w:r w:rsidR="00750DB3">
        <w:rPr>
          <w:sz w:val="24"/>
        </w:rPr>
        <w:t xml:space="preserve"> (GRID)</w:t>
      </w:r>
      <w:r w:rsidR="0048281A">
        <w:rPr>
          <w:sz w:val="24"/>
        </w:rPr>
        <w:t xml:space="preserve"> </w:t>
      </w:r>
      <w:sdt>
        <w:sdtPr>
          <w:rPr>
            <w:sz w:val="24"/>
          </w:rPr>
          <w:id w:val="266894352"/>
          <w:citation/>
        </w:sdtPr>
        <w:sdtContent>
          <w:r w:rsidR="0048281A">
            <w:rPr>
              <w:sz w:val="24"/>
            </w:rPr>
            <w:fldChar w:fldCharType="begin"/>
          </w:r>
          <w:r w:rsidR="0048281A">
            <w:rPr>
              <w:sz w:val="24"/>
            </w:rPr>
            <w:instrText xml:space="preserve"> CITATION Cen82 \l 2057 </w:instrText>
          </w:r>
          <w:r w:rsidR="0048281A">
            <w:rPr>
              <w:sz w:val="24"/>
            </w:rPr>
            <w:fldChar w:fldCharType="separate"/>
          </w:r>
          <w:r w:rsidR="008B0FDB" w:rsidRPr="008B0FDB">
            <w:rPr>
              <w:noProof/>
              <w:sz w:val="24"/>
            </w:rPr>
            <w:t xml:space="preserve">(Centers for Disease Control and Prevention, </w:t>
          </w:r>
          <w:r w:rsidR="008B0FDB" w:rsidRPr="008B0FDB">
            <w:rPr>
              <w:noProof/>
              <w:sz w:val="24"/>
            </w:rPr>
            <w:lastRenderedPageBreak/>
            <w:t>1982)</w:t>
          </w:r>
          <w:r w:rsidR="0048281A">
            <w:rPr>
              <w:sz w:val="24"/>
            </w:rPr>
            <w:fldChar w:fldCharType="end"/>
          </w:r>
        </w:sdtContent>
      </w:sdt>
      <w:r w:rsidR="00F93116">
        <w:rPr>
          <w:sz w:val="24"/>
        </w:rPr>
        <w:t>.</w:t>
      </w:r>
      <w:r w:rsidR="00670BCA">
        <w:rPr>
          <w:sz w:val="24"/>
        </w:rPr>
        <w:t xml:space="preserve"> When </w:t>
      </w:r>
      <w:r w:rsidR="00023160">
        <w:rPr>
          <w:sz w:val="24"/>
        </w:rPr>
        <w:t>discussing the prevalence of HIV in the gay community, it is important to recognise the socio</w:t>
      </w:r>
      <w:r w:rsidR="005273E4">
        <w:rPr>
          <w:sz w:val="24"/>
        </w:rPr>
        <w:t>-</w:t>
      </w:r>
      <w:r w:rsidR="00023160">
        <w:rPr>
          <w:sz w:val="24"/>
        </w:rPr>
        <w:t xml:space="preserve">cultural factors that </w:t>
      </w:r>
      <w:r w:rsidR="00E15375">
        <w:rPr>
          <w:sz w:val="24"/>
        </w:rPr>
        <w:t>influence this.</w:t>
      </w:r>
      <w:r w:rsidR="00CF3CAC">
        <w:rPr>
          <w:sz w:val="24"/>
        </w:rPr>
        <w:t xml:space="preserve"> </w:t>
      </w:r>
    </w:p>
    <w:p w14:paraId="6CC753D0" w14:textId="46E70BE3" w:rsidR="00B31AF6" w:rsidRDefault="005E51C8" w:rsidP="00476280">
      <w:pPr>
        <w:tabs>
          <w:tab w:val="left" w:pos="3225"/>
        </w:tabs>
        <w:spacing w:line="480" w:lineRule="auto"/>
        <w:jc w:val="both"/>
        <w:rPr>
          <w:sz w:val="24"/>
        </w:rPr>
      </w:pPr>
      <w:r>
        <w:rPr>
          <w:sz w:val="24"/>
        </w:rPr>
        <w:t xml:space="preserve">                 </w:t>
      </w:r>
      <w:r w:rsidR="00B356E9">
        <w:rPr>
          <w:sz w:val="24"/>
        </w:rPr>
        <w:t xml:space="preserve">Though Frontline tries to empower individuals to control their sexual health behaviours, </w:t>
      </w:r>
      <w:r w:rsidR="00C85F8B">
        <w:rPr>
          <w:sz w:val="24"/>
        </w:rPr>
        <w:t>Halkitis (2012</w:t>
      </w:r>
      <w:r w:rsidR="0054586A">
        <w:rPr>
          <w:sz w:val="24"/>
        </w:rPr>
        <w:t>) believes these socio-cognitive</w:t>
      </w:r>
      <w:r w:rsidR="00505B7E">
        <w:rPr>
          <w:sz w:val="24"/>
        </w:rPr>
        <w:t xml:space="preserve"> paradigms </w:t>
      </w:r>
      <w:r w:rsidR="004521C2">
        <w:rPr>
          <w:sz w:val="24"/>
        </w:rPr>
        <w:t xml:space="preserve">have led to </w:t>
      </w:r>
      <w:r w:rsidR="00A3662A">
        <w:rPr>
          <w:sz w:val="24"/>
        </w:rPr>
        <w:t>HIV being sustained with the gay community.</w:t>
      </w:r>
      <w:r w:rsidR="00AF506B">
        <w:rPr>
          <w:sz w:val="24"/>
        </w:rPr>
        <w:t xml:space="preserve"> He </w:t>
      </w:r>
      <w:r w:rsidR="0067604E">
        <w:rPr>
          <w:sz w:val="24"/>
        </w:rPr>
        <w:t>stated,</w:t>
      </w:r>
      <w:r w:rsidR="00FF7ADF">
        <w:rPr>
          <w:sz w:val="24"/>
        </w:rPr>
        <w:t xml:space="preserve"> “d</w:t>
      </w:r>
      <w:r w:rsidR="00FF7ADF" w:rsidRPr="00FF7ADF">
        <w:rPr>
          <w:sz w:val="24"/>
        </w:rPr>
        <w:t>espite clear evidence for the social determinants of HIV transmission and the beneficial effects of structural intervention</w:t>
      </w:r>
      <w:r w:rsidR="00FF7ADF">
        <w:rPr>
          <w:sz w:val="24"/>
        </w:rPr>
        <w:t xml:space="preserve"> […] </w:t>
      </w:r>
      <w:r w:rsidR="00FF7ADF" w:rsidRPr="00FF7ADF">
        <w:rPr>
          <w:sz w:val="24"/>
        </w:rPr>
        <w:t>there have been limited efforts targeting these social inequalities, which place gay and bisexual men at greater risk for the acquisition of HIV disease</w:t>
      </w:r>
      <w:r w:rsidR="00FF7ADF">
        <w:rPr>
          <w:sz w:val="24"/>
        </w:rPr>
        <w:t>” (2012, p</w:t>
      </w:r>
      <w:r w:rsidR="00247832">
        <w:rPr>
          <w:sz w:val="24"/>
        </w:rPr>
        <w:t>ara</w:t>
      </w:r>
      <w:r w:rsidR="0067604E">
        <w:rPr>
          <w:sz w:val="24"/>
        </w:rPr>
        <w:t>.</w:t>
      </w:r>
      <w:r w:rsidR="00247832">
        <w:rPr>
          <w:sz w:val="24"/>
        </w:rPr>
        <w:t xml:space="preserve"> 3</w:t>
      </w:r>
      <w:r w:rsidR="00FF7ADF">
        <w:rPr>
          <w:sz w:val="24"/>
        </w:rPr>
        <w:t>)</w:t>
      </w:r>
      <w:r w:rsidR="0064262A">
        <w:rPr>
          <w:sz w:val="24"/>
        </w:rPr>
        <w:t>.</w:t>
      </w:r>
      <w:r w:rsidR="00A415AD">
        <w:rPr>
          <w:sz w:val="24"/>
        </w:rPr>
        <w:t xml:space="preserve"> Despite increased awareness and social progression,</w:t>
      </w:r>
      <w:r w:rsidR="009000E0">
        <w:rPr>
          <w:sz w:val="24"/>
        </w:rPr>
        <w:t xml:space="preserve"> oppressive social structures </w:t>
      </w:r>
      <w:r w:rsidR="005E37F1">
        <w:rPr>
          <w:sz w:val="24"/>
        </w:rPr>
        <w:t xml:space="preserve">compounded with racial and economic inequality </w:t>
      </w:r>
      <w:r w:rsidR="00102611">
        <w:rPr>
          <w:sz w:val="24"/>
        </w:rPr>
        <w:t>further the risk of HIV amongst gay men, especially those of colour.</w:t>
      </w:r>
      <w:r w:rsidR="004C7FB0">
        <w:rPr>
          <w:sz w:val="24"/>
        </w:rPr>
        <w:t xml:space="preserve"> </w:t>
      </w:r>
      <w:r w:rsidR="000617B8">
        <w:rPr>
          <w:sz w:val="24"/>
        </w:rPr>
        <w:t xml:space="preserve">Studies have shown that homophobia can lead to </w:t>
      </w:r>
      <w:r w:rsidR="003E1375">
        <w:rPr>
          <w:sz w:val="24"/>
        </w:rPr>
        <w:t>substance abuse and risky behaviours (</w:t>
      </w:r>
      <w:r w:rsidR="00FE3E0A" w:rsidRPr="00FE3E0A">
        <w:rPr>
          <w:sz w:val="24"/>
        </w:rPr>
        <w:t>Halkitis, Fischgrund, &amp; Parsons, 2005</w:t>
      </w:r>
      <w:r w:rsidR="00FE3E0A">
        <w:rPr>
          <w:sz w:val="24"/>
        </w:rPr>
        <w:t>;</w:t>
      </w:r>
      <w:r w:rsidR="00A96511">
        <w:rPr>
          <w:sz w:val="24"/>
        </w:rPr>
        <w:t xml:space="preserve"> </w:t>
      </w:r>
      <w:r w:rsidR="00A96511" w:rsidRPr="00A96511">
        <w:rPr>
          <w:sz w:val="24"/>
        </w:rPr>
        <w:t>Halkitis,</w:t>
      </w:r>
      <w:r w:rsidR="00C91ED5">
        <w:rPr>
          <w:sz w:val="24"/>
        </w:rPr>
        <w:t xml:space="preserve"> </w:t>
      </w:r>
      <w:r w:rsidR="00A96511" w:rsidRPr="00A96511">
        <w:rPr>
          <w:sz w:val="24"/>
        </w:rPr>
        <w:t>Green</w:t>
      </w:r>
      <w:r w:rsidR="00C91ED5">
        <w:rPr>
          <w:sz w:val="24"/>
        </w:rPr>
        <w:t xml:space="preserve"> &amp;</w:t>
      </w:r>
      <w:r w:rsidR="00A96511" w:rsidRPr="00A96511">
        <w:rPr>
          <w:sz w:val="24"/>
        </w:rPr>
        <w:t xml:space="preserve"> Wilton</w:t>
      </w:r>
      <w:r w:rsidR="00C91ED5">
        <w:rPr>
          <w:sz w:val="24"/>
        </w:rPr>
        <w:t>, 2004)</w:t>
      </w:r>
      <w:r w:rsidR="00393B9F">
        <w:rPr>
          <w:sz w:val="24"/>
        </w:rPr>
        <w:t>.</w:t>
      </w:r>
      <w:r w:rsidR="006F3472">
        <w:rPr>
          <w:sz w:val="24"/>
        </w:rPr>
        <w:t xml:space="preserve"> </w:t>
      </w:r>
      <w:r w:rsidR="0009584C">
        <w:rPr>
          <w:sz w:val="24"/>
        </w:rPr>
        <w:t>Homophobia</w:t>
      </w:r>
      <w:r w:rsidR="006F3472">
        <w:rPr>
          <w:sz w:val="24"/>
        </w:rPr>
        <w:t xml:space="preserve"> has also shown to interfere with the sustainability of long term same-sex partnerships, </w:t>
      </w:r>
      <w:r w:rsidR="002B1E38">
        <w:rPr>
          <w:sz w:val="24"/>
        </w:rPr>
        <w:t>which lower the risk of HIV transmission</w:t>
      </w:r>
      <w:r w:rsidR="00A31F59">
        <w:rPr>
          <w:sz w:val="24"/>
        </w:rPr>
        <w:t xml:space="preserve"> </w:t>
      </w:r>
      <w:sdt>
        <w:sdtPr>
          <w:rPr>
            <w:sz w:val="24"/>
          </w:rPr>
          <w:id w:val="337964313"/>
          <w:citation/>
        </w:sdtPr>
        <w:sdtContent>
          <w:r w:rsidR="00A31F59">
            <w:rPr>
              <w:sz w:val="24"/>
            </w:rPr>
            <w:fldChar w:fldCharType="begin"/>
          </w:r>
          <w:r w:rsidR="00A31F59">
            <w:rPr>
              <w:sz w:val="24"/>
            </w:rPr>
            <w:instrText xml:space="preserve"> CITATION Dia01 \l 2057 </w:instrText>
          </w:r>
          <w:r w:rsidR="00A31F59">
            <w:rPr>
              <w:sz w:val="24"/>
            </w:rPr>
            <w:fldChar w:fldCharType="separate"/>
          </w:r>
          <w:r w:rsidR="008B0FDB" w:rsidRPr="008B0FDB">
            <w:rPr>
              <w:noProof/>
              <w:sz w:val="24"/>
            </w:rPr>
            <w:t>(Diaz, Ayala, Bein, Henne, &amp; Marin, 2001)</w:t>
          </w:r>
          <w:r w:rsidR="00A31F59">
            <w:rPr>
              <w:sz w:val="24"/>
            </w:rPr>
            <w:fldChar w:fldCharType="end"/>
          </w:r>
        </w:sdtContent>
      </w:sdt>
      <w:r w:rsidR="00CD7F71">
        <w:rPr>
          <w:sz w:val="24"/>
        </w:rPr>
        <w:t>.</w:t>
      </w:r>
      <w:r w:rsidR="00D758B7">
        <w:rPr>
          <w:sz w:val="24"/>
        </w:rPr>
        <w:t xml:space="preserve"> </w:t>
      </w:r>
      <w:r>
        <w:rPr>
          <w:sz w:val="24"/>
        </w:rPr>
        <w:t xml:space="preserve">Gay and bisexual men </w:t>
      </w:r>
      <w:r w:rsidR="00A96513">
        <w:rPr>
          <w:sz w:val="24"/>
        </w:rPr>
        <w:t xml:space="preserve">who are not open about their sexuality </w:t>
      </w:r>
      <w:r w:rsidR="00C150AB">
        <w:rPr>
          <w:sz w:val="24"/>
        </w:rPr>
        <w:t>may also be less likely to get tested for HIV out of fear of exposing themselves</w:t>
      </w:r>
      <w:r w:rsidR="00A96513">
        <w:rPr>
          <w:sz w:val="24"/>
        </w:rPr>
        <w:t>.</w:t>
      </w:r>
    </w:p>
    <w:p w14:paraId="5F2F850D" w14:textId="69C399DD" w:rsidR="00900576" w:rsidRDefault="00A56DDF" w:rsidP="00476280">
      <w:pPr>
        <w:tabs>
          <w:tab w:val="left" w:pos="3225"/>
        </w:tabs>
        <w:spacing w:line="480" w:lineRule="auto"/>
        <w:jc w:val="both"/>
        <w:rPr>
          <w:sz w:val="24"/>
        </w:rPr>
      </w:pPr>
      <w:r>
        <w:rPr>
          <w:sz w:val="24"/>
        </w:rPr>
        <w:t xml:space="preserve">               For Frontline, tackling HIV in the gay community </w:t>
      </w:r>
      <w:r w:rsidR="00564AE9">
        <w:rPr>
          <w:sz w:val="24"/>
        </w:rPr>
        <w:t xml:space="preserve">is more difficult than just programmes and education. Internalised homophobia </w:t>
      </w:r>
      <w:r w:rsidR="006C7A43">
        <w:rPr>
          <w:sz w:val="24"/>
        </w:rPr>
        <w:t xml:space="preserve">within gay people themselves can lead to discrimination </w:t>
      </w:r>
      <w:r w:rsidR="00B42D8D">
        <w:rPr>
          <w:sz w:val="24"/>
        </w:rPr>
        <w:t>towards those living with HIV.</w:t>
      </w:r>
      <w:r w:rsidR="00D35A19">
        <w:rPr>
          <w:sz w:val="24"/>
        </w:rPr>
        <w:t xml:space="preserve"> </w:t>
      </w:r>
      <w:r w:rsidR="00DA45D6">
        <w:rPr>
          <w:sz w:val="24"/>
        </w:rPr>
        <w:t>A study by Tan (2018)</w:t>
      </w:r>
      <w:r w:rsidR="00516443">
        <w:rPr>
          <w:sz w:val="24"/>
        </w:rPr>
        <w:t xml:space="preserve"> found that </w:t>
      </w:r>
      <w:r w:rsidR="008F48EE">
        <w:rPr>
          <w:sz w:val="24"/>
        </w:rPr>
        <w:t xml:space="preserve">internalised homophobia </w:t>
      </w:r>
      <w:r w:rsidR="00C17790">
        <w:rPr>
          <w:sz w:val="24"/>
        </w:rPr>
        <w:t xml:space="preserve">negatively affected the personal responsibility beliefs </w:t>
      </w:r>
      <w:proofErr w:type="gramStart"/>
      <w:r w:rsidR="0084560C">
        <w:rPr>
          <w:sz w:val="24"/>
        </w:rPr>
        <w:t>in regard to</w:t>
      </w:r>
      <w:proofErr w:type="gramEnd"/>
      <w:r w:rsidR="00C17790">
        <w:rPr>
          <w:sz w:val="24"/>
        </w:rPr>
        <w:t xml:space="preserve"> those living with HIV, </w:t>
      </w:r>
      <w:r w:rsidR="00271E30">
        <w:rPr>
          <w:sz w:val="24"/>
        </w:rPr>
        <w:t xml:space="preserve">and that internalised homophobia </w:t>
      </w:r>
      <w:r w:rsidR="00543FC7">
        <w:rPr>
          <w:sz w:val="24"/>
        </w:rPr>
        <w:t>adverse</w:t>
      </w:r>
      <w:r w:rsidR="006813AD">
        <w:rPr>
          <w:sz w:val="24"/>
        </w:rPr>
        <w:t xml:space="preserve">ly impacted the effectiveness of </w:t>
      </w:r>
      <w:r w:rsidR="00A36EF1">
        <w:rPr>
          <w:sz w:val="24"/>
        </w:rPr>
        <w:t>efforts to prevent HIV in Singapore.</w:t>
      </w:r>
      <w:r w:rsidR="00543FC7">
        <w:rPr>
          <w:sz w:val="24"/>
        </w:rPr>
        <w:t xml:space="preserve"> </w:t>
      </w:r>
    </w:p>
    <w:p w14:paraId="0FF298D1" w14:textId="1B384F1D" w:rsidR="0084560C" w:rsidRDefault="0084560C" w:rsidP="00476280">
      <w:pPr>
        <w:tabs>
          <w:tab w:val="left" w:pos="3225"/>
        </w:tabs>
        <w:spacing w:line="480" w:lineRule="auto"/>
        <w:jc w:val="both"/>
        <w:rPr>
          <w:sz w:val="24"/>
        </w:rPr>
      </w:pPr>
      <w:r>
        <w:rPr>
          <w:sz w:val="24"/>
        </w:rPr>
        <w:lastRenderedPageBreak/>
        <w:t xml:space="preserve">          In conclusion, whilst Frontline </w:t>
      </w:r>
      <w:r w:rsidR="00BF6869">
        <w:rPr>
          <w:sz w:val="24"/>
        </w:rPr>
        <w:t xml:space="preserve">Aids is a leading force in the fight against HIV/AIDS, there </w:t>
      </w:r>
      <w:r w:rsidR="00376239">
        <w:rPr>
          <w:sz w:val="24"/>
        </w:rPr>
        <w:t>are</w:t>
      </w:r>
      <w:r w:rsidR="00BF6869">
        <w:rPr>
          <w:sz w:val="24"/>
        </w:rPr>
        <w:t xml:space="preserve"> </w:t>
      </w:r>
      <w:r w:rsidR="00376239">
        <w:rPr>
          <w:sz w:val="24"/>
        </w:rPr>
        <w:t xml:space="preserve">social and </w:t>
      </w:r>
      <w:r w:rsidR="00BF6869">
        <w:rPr>
          <w:sz w:val="24"/>
        </w:rPr>
        <w:t xml:space="preserve">cultural shifts that need to occur in conjunction with their work to really </w:t>
      </w:r>
      <w:r w:rsidR="00376239">
        <w:rPr>
          <w:sz w:val="24"/>
        </w:rPr>
        <w:t xml:space="preserve">tackle the problem. </w:t>
      </w:r>
      <w:r w:rsidR="0076165F">
        <w:rPr>
          <w:sz w:val="24"/>
        </w:rPr>
        <w:t xml:space="preserve">Increased focus should be placed on </w:t>
      </w:r>
      <w:r w:rsidR="00CA5F68">
        <w:rPr>
          <w:sz w:val="24"/>
        </w:rPr>
        <w:t>the non-tangible elements that exist within societies such as gender roles, sexism, racism and homophobia</w:t>
      </w:r>
      <w:r w:rsidR="006F6421">
        <w:rPr>
          <w:sz w:val="24"/>
        </w:rPr>
        <w:t>. Their role in influencing HIV transmission and care has been documented throughout this essay</w:t>
      </w:r>
      <w:r w:rsidR="003C6533">
        <w:rPr>
          <w:sz w:val="24"/>
        </w:rPr>
        <w:t xml:space="preserve">, to oppose the strategic and </w:t>
      </w:r>
      <w:r w:rsidR="002D5DFC">
        <w:rPr>
          <w:sz w:val="24"/>
        </w:rPr>
        <w:t>physical</w:t>
      </w:r>
      <w:r w:rsidR="003C6533">
        <w:rPr>
          <w:sz w:val="24"/>
        </w:rPr>
        <w:t xml:space="preserve"> services provided by Frontline Aids. Though tangible services such as condoms, sterile equipment and </w:t>
      </w:r>
      <w:r w:rsidR="007C0027">
        <w:rPr>
          <w:sz w:val="24"/>
        </w:rPr>
        <w:t xml:space="preserve">medication are vital in fighting HIV, </w:t>
      </w:r>
      <w:r w:rsidR="002D5DFC">
        <w:rPr>
          <w:sz w:val="24"/>
        </w:rPr>
        <w:t xml:space="preserve">a combination of </w:t>
      </w:r>
      <w:r w:rsidR="008B0FDB">
        <w:rPr>
          <w:sz w:val="24"/>
        </w:rPr>
        <w:t xml:space="preserve">both </w:t>
      </w:r>
      <w:r w:rsidR="002D5DFC">
        <w:rPr>
          <w:sz w:val="24"/>
        </w:rPr>
        <w:t xml:space="preserve">these and a </w:t>
      </w:r>
      <w:r w:rsidR="009E696C">
        <w:rPr>
          <w:sz w:val="24"/>
        </w:rPr>
        <w:t>change in the cultural paradigm would be the most effective way of eradicating this disease for good.</w:t>
      </w:r>
    </w:p>
    <w:p w14:paraId="35E74AC0" w14:textId="77777777" w:rsidR="00B31AF6" w:rsidRPr="00476280" w:rsidRDefault="00B31AF6" w:rsidP="00476280">
      <w:pPr>
        <w:tabs>
          <w:tab w:val="left" w:pos="3225"/>
        </w:tabs>
        <w:spacing w:line="480" w:lineRule="auto"/>
        <w:jc w:val="both"/>
        <w:rPr>
          <w:sz w:val="24"/>
        </w:rPr>
      </w:pPr>
      <w:r>
        <w:rPr>
          <w:sz w:val="24"/>
        </w:rPr>
        <w:t xml:space="preserve">     </w:t>
      </w:r>
    </w:p>
    <w:p w14:paraId="052B68B7" w14:textId="77777777" w:rsidR="00476280" w:rsidRPr="00476280" w:rsidRDefault="00476280" w:rsidP="00476280">
      <w:pPr>
        <w:tabs>
          <w:tab w:val="left" w:pos="3225"/>
        </w:tabs>
        <w:spacing w:line="480" w:lineRule="auto"/>
        <w:jc w:val="both"/>
        <w:rPr>
          <w:sz w:val="24"/>
        </w:rPr>
      </w:pPr>
    </w:p>
    <w:p w14:paraId="6D5CFA76" w14:textId="77777777" w:rsidR="0095294F" w:rsidRDefault="0095294F" w:rsidP="0095294F">
      <w:pPr>
        <w:rPr>
          <w:sz w:val="24"/>
        </w:rPr>
      </w:pPr>
    </w:p>
    <w:p w14:paraId="230173BC" w14:textId="77777777" w:rsidR="008A1BCE" w:rsidRPr="0095294F" w:rsidRDefault="008A1BCE" w:rsidP="0095294F">
      <w:pPr>
        <w:rPr>
          <w:sz w:val="24"/>
        </w:rPr>
      </w:pPr>
    </w:p>
    <w:p w14:paraId="09C1B84F" w14:textId="77777777" w:rsidR="0095294F" w:rsidRPr="0095294F" w:rsidRDefault="0095294F" w:rsidP="0095294F">
      <w:pPr>
        <w:rPr>
          <w:sz w:val="24"/>
        </w:rPr>
      </w:pPr>
    </w:p>
    <w:p w14:paraId="67C86D56" w14:textId="77777777" w:rsidR="0095294F" w:rsidRPr="0095294F" w:rsidRDefault="0095294F" w:rsidP="0095294F">
      <w:pPr>
        <w:rPr>
          <w:sz w:val="24"/>
        </w:rPr>
      </w:pPr>
    </w:p>
    <w:p w14:paraId="0F1776C1" w14:textId="77777777" w:rsidR="0095294F" w:rsidRPr="0095294F" w:rsidRDefault="0095294F" w:rsidP="0095294F">
      <w:pPr>
        <w:rPr>
          <w:sz w:val="24"/>
        </w:rPr>
      </w:pPr>
    </w:p>
    <w:p w14:paraId="12337CEB" w14:textId="77777777" w:rsidR="0095294F" w:rsidRPr="0095294F" w:rsidRDefault="0095294F" w:rsidP="0095294F">
      <w:pPr>
        <w:rPr>
          <w:sz w:val="24"/>
        </w:rPr>
      </w:pPr>
    </w:p>
    <w:p w14:paraId="5C4BFCB1" w14:textId="77777777" w:rsidR="0095294F" w:rsidRPr="0095294F" w:rsidRDefault="0095294F" w:rsidP="0095294F">
      <w:pPr>
        <w:rPr>
          <w:sz w:val="24"/>
        </w:rPr>
      </w:pPr>
    </w:p>
    <w:p w14:paraId="6A29EA6A" w14:textId="77777777" w:rsidR="0095294F" w:rsidRPr="0095294F" w:rsidRDefault="0095294F" w:rsidP="0095294F">
      <w:pPr>
        <w:rPr>
          <w:sz w:val="24"/>
        </w:rPr>
      </w:pPr>
    </w:p>
    <w:p w14:paraId="6512D5B9" w14:textId="77777777" w:rsidR="0095294F" w:rsidRPr="0095294F" w:rsidRDefault="0095294F" w:rsidP="0095294F">
      <w:pPr>
        <w:rPr>
          <w:sz w:val="24"/>
        </w:rPr>
      </w:pPr>
    </w:p>
    <w:p w14:paraId="1E9E05A8" w14:textId="77777777" w:rsidR="0095294F" w:rsidRPr="0095294F" w:rsidRDefault="0095294F" w:rsidP="0095294F">
      <w:pPr>
        <w:rPr>
          <w:sz w:val="24"/>
        </w:rPr>
      </w:pPr>
    </w:p>
    <w:p w14:paraId="2F4BC3A4" w14:textId="77777777" w:rsidR="0095294F" w:rsidRPr="0095294F" w:rsidRDefault="0095294F" w:rsidP="0095294F">
      <w:pPr>
        <w:rPr>
          <w:sz w:val="24"/>
        </w:rPr>
      </w:pPr>
    </w:p>
    <w:p w14:paraId="089D3A9B" w14:textId="77777777" w:rsidR="0095294F" w:rsidRPr="0095294F" w:rsidRDefault="0095294F" w:rsidP="0095294F">
      <w:pPr>
        <w:rPr>
          <w:sz w:val="24"/>
        </w:rPr>
      </w:pPr>
    </w:p>
    <w:p w14:paraId="12DDFF7D" w14:textId="77777777" w:rsidR="0095294F" w:rsidRPr="0095294F" w:rsidRDefault="0095294F" w:rsidP="0095294F">
      <w:pPr>
        <w:rPr>
          <w:sz w:val="24"/>
        </w:rPr>
      </w:pPr>
    </w:p>
    <w:p w14:paraId="699F1435" w14:textId="77777777" w:rsidR="0095294F" w:rsidRPr="0095294F" w:rsidRDefault="0095294F" w:rsidP="0095294F">
      <w:pPr>
        <w:rPr>
          <w:sz w:val="24"/>
        </w:rPr>
      </w:pPr>
    </w:p>
    <w:p w14:paraId="16D71F21" w14:textId="77777777" w:rsidR="0095294F" w:rsidRPr="0095294F" w:rsidRDefault="0095294F" w:rsidP="0095294F">
      <w:pPr>
        <w:rPr>
          <w:sz w:val="24"/>
        </w:rPr>
      </w:pPr>
    </w:p>
    <w:p w14:paraId="55D201B7" w14:textId="77777777" w:rsidR="0095294F" w:rsidRPr="0095294F" w:rsidRDefault="0095294F" w:rsidP="0095294F">
      <w:pPr>
        <w:rPr>
          <w:sz w:val="24"/>
        </w:rPr>
      </w:pPr>
    </w:p>
    <w:p w14:paraId="7498A351" w14:textId="77777777" w:rsidR="0095294F" w:rsidRPr="0095294F" w:rsidRDefault="0095294F" w:rsidP="0095294F">
      <w:pPr>
        <w:rPr>
          <w:sz w:val="24"/>
        </w:rPr>
      </w:pPr>
    </w:p>
    <w:p w14:paraId="1EBE5277" w14:textId="77777777" w:rsidR="0095294F" w:rsidRPr="0095294F" w:rsidRDefault="0095294F" w:rsidP="0095294F">
      <w:pPr>
        <w:rPr>
          <w:sz w:val="24"/>
        </w:rPr>
      </w:pPr>
    </w:p>
    <w:p w14:paraId="066E5269" w14:textId="77777777" w:rsidR="0095294F" w:rsidRDefault="0095294F" w:rsidP="0095294F">
      <w:pPr>
        <w:rPr>
          <w:sz w:val="24"/>
        </w:rPr>
      </w:pPr>
    </w:p>
    <w:p w14:paraId="515C3BF1" w14:textId="77777777" w:rsidR="0095294F" w:rsidRDefault="0095294F" w:rsidP="0095294F">
      <w:pPr>
        <w:tabs>
          <w:tab w:val="left" w:pos="1440"/>
        </w:tabs>
        <w:rPr>
          <w:sz w:val="24"/>
        </w:rPr>
      </w:pPr>
      <w:r>
        <w:rPr>
          <w:sz w:val="24"/>
        </w:rPr>
        <w:tab/>
      </w:r>
    </w:p>
    <w:p w14:paraId="5A74766C" w14:textId="77777777" w:rsidR="0095294F" w:rsidRDefault="0095294F">
      <w:pPr>
        <w:rPr>
          <w:sz w:val="24"/>
        </w:rPr>
      </w:pPr>
      <w:r>
        <w:rPr>
          <w:sz w:val="24"/>
        </w:rPr>
        <w:br w:type="page"/>
      </w:r>
    </w:p>
    <w:sdt>
      <w:sdtPr>
        <w:rPr>
          <w:rFonts w:asciiTheme="minorHAnsi" w:eastAsiaTheme="minorHAnsi" w:hAnsiTheme="minorHAnsi" w:cstheme="minorBidi"/>
          <w:color w:val="auto"/>
          <w:sz w:val="22"/>
          <w:szCs w:val="22"/>
          <w:lang w:val="en-GB"/>
        </w:rPr>
        <w:id w:val="1164209106"/>
        <w:docPartObj>
          <w:docPartGallery w:val="Bibliographies"/>
          <w:docPartUnique/>
        </w:docPartObj>
      </w:sdtPr>
      <w:sdtEndPr/>
      <w:sdtContent>
        <w:p w14:paraId="40F00053" w14:textId="77777777" w:rsidR="0095294F" w:rsidRDefault="0095294F" w:rsidP="0095294F">
          <w:pPr>
            <w:pStyle w:val="Heading1"/>
          </w:pPr>
          <w:r>
            <w:t>Reference</w:t>
          </w:r>
          <w:bookmarkStart w:id="0" w:name="_GoBack"/>
          <w:r>
            <w:t>s</w:t>
          </w:r>
        </w:p>
        <w:sdt>
          <w:sdtPr>
            <w:id w:val="-573587230"/>
            <w:bibliography/>
          </w:sdtPr>
          <w:sdtEndPr/>
          <w:sdtContent>
            <w:p w14:paraId="070C442D" w14:textId="77777777" w:rsidR="008B0FDB" w:rsidRDefault="0095294F" w:rsidP="008B0FDB">
              <w:pPr>
                <w:pStyle w:val="Bibliography"/>
                <w:ind w:left="720" w:hanging="720"/>
                <w:rPr>
                  <w:noProof/>
                  <w:sz w:val="24"/>
                  <w:szCs w:val="24"/>
                  <w:lang w:val="en-US"/>
                </w:rPr>
              </w:pPr>
              <w:r>
                <w:fldChar w:fldCharType="begin"/>
              </w:r>
              <w:r>
                <w:instrText xml:space="preserve"> BIBLIOGRAPHY </w:instrText>
              </w:r>
              <w:r>
                <w:fldChar w:fldCharType="separate"/>
              </w:r>
              <w:r w:rsidR="008B0FDB">
                <w:rPr>
                  <w:noProof/>
                  <w:lang w:val="en-US"/>
                </w:rPr>
                <w:t xml:space="preserve">Centers for Disease Control and Prevention. (1982). A Cluster of Kaposi's Sarcoma and Pneumocystis carinii Pneumonia among Homosexual Male Residents of Los Angeles and range Counties, California. </w:t>
              </w:r>
              <w:r w:rsidR="008B0FDB">
                <w:rPr>
                  <w:i/>
                  <w:iCs/>
                  <w:noProof/>
                  <w:lang w:val="en-US"/>
                </w:rPr>
                <w:t>MMWR</w:t>
              </w:r>
              <w:r w:rsidR="008B0FDB">
                <w:rPr>
                  <w:noProof/>
                  <w:lang w:val="en-US"/>
                </w:rPr>
                <w:t>, 305-307.</w:t>
              </w:r>
            </w:p>
            <w:p w14:paraId="7CA02E49" w14:textId="77777777" w:rsidR="008B0FDB" w:rsidRDefault="008B0FDB" w:rsidP="008B0FDB">
              <w:pPr>
                <w:pStyle w:val="Bibliography"/>
                <w:ind w:left="720" w:hanging="720"/>
                <w:rPr>
                  <w:noProof/>
                  <w:lang w:val="en-US"/>
                </w:rPr>
              </w:pPr>
              <w:r>
                <w:rPr>
                  <w:noProof/>
                  <w:lang w:val="en-US"/>
                </w:rPr>
                <w:t xml:space="preserve">Charania, M. R., Crepaz, N., Guenther-Gray, C., Henny, K., Liau, A., &amp; Willis, L. A. (2011). Efficacy of structural-level condom distribution interventions: a meta-analysis of U.S. and international studies. </w:t>
              </w:r>
              <w:r>
                <w:rPr>
                  <w:i/>
                  <w:iCs/>
                  <w:noProof/>
                  <w:lang w:val="en-US"/>
                </w:rPr>
                <w:t>AIDS Behaviour</w:t>
              </w:r>
              <w:r>
                <w:rPr>
                  <w:noProof/>
                  <w:lang w:val="en-US"/>
                </w:rPr>
                <w:t>, 1283-97.</w:t>
              </w:r>
            </w:p>
            <w:p w14:paraId="281CB2B6" w14:textId="77777777" w:rsidR="008B0FDB" w:rsidRDefault="008B0FDB" w:rsidP="008B0FDB">
              <w:pPr>
                <w:pStyle w:val="Bibliography"/>
                <w:ind w:left="720" w:hanging="720"/>
                <w:rPr>
                  <w:noProof/>
                  <w:lang w:val="en-US"/>
                </w:rPr>
              </w:pPr>
              <w:r>
                <w:rPr>
                  <w:noProof/>
                  <w:lang w:val="en-US"/>
                </w:rPr>
                <w:t xml:space="preserve">Diaz, R. M., Ayala, G., Bein, E., Henne, J., &amp; Marin, B. (2001). The impact of homophobia, poverty, and racism on the mental health of gay and bisexual Latino men: Findings from 3 U.S. cities. </w:t>
              </w:r>
              <w:r>
                <w:rPr>
                  <w:i/>
                  <w:iCs/>
                  <w:noProof/>
                  <w:lang w:val="en-US"/>
                </w:rPr>
                <w:t>American Journal of Public Health</w:t>
              </w:r>
              <w:r>
                <w:rPr>
                  <w:noProof/>
                  <w:lang w:val="en-US"/>
                </w:rPr>
                <w:t>, 927–932.</w:t>
              </w:r>
            </w:p>
            <w:p w14:paraId="7000C442" w14:textId="77777777" w:rsidR="008B0FDB" w:rsidRDefault="008B0FDB" w:rsidP="008B0FDB">
              <w:pPr>
                <w:pStyle w:val="Bibliography"/>
                <w:ind w:left="720" w:hanging="720"/>
                <w:rPr>
                  <w:noProof/>
                  <w:lang w:val="en-US"/>
                </w:rPr>
              </w:pPr>
              <w:r>
                <w:rPr>
                  <w:noProof/>
                  <w:lang w:val="en-US"/>
                </w:rPr>
                <w:t xml:space="preserve">Frontline Aids. (2019, 01 02). </w:t>
              </w:r>
              <w:r>
                <w:rPr>
                  <w:i/>
                  <w:iCs/>
                  <w:noProof/>
                  <w:lang w:val="en-US"/>
                </w:rPr>
                <w:t>Frontline Aids: Who we are?</w:t>
              </w:r>
              <w:r>
                <w:rPr>
                  <w:noProof/>
                  <w:lang w:val="en-US"/>
                </w:rPr>
                <w:t xml:space="preserve"> Retrieved from Frontlineaids.org: 2019</w:t>
              </w:r>
            </w:p>
            <w:p w14:paraId="68761781" w14:textId="77777777" w:rsidR="008B0FDB" w:rsidRDefault="008B0FDB" w:rsidP="008B0FDB">
              <w:pPr>
                <w:pStyle w:val="Bibliography"/>
                <w:ind w:left="720" w:hanging="720"/>
                <w:rPr>
                  <w:noProof/>
                  <w:lang w:val="en-US"/>
                </w:rPr>
              </w:pPr>
              <w:r>
                <w:rPr>
                  <w:noProof/>
                  <w:lang w:val="en-US"/>
                </w:rPr>
                <w:t xml:space="preserve">Halkitis, N. P. (2012). Discrimination and homophobia fuel the HIV epidemic in gay and bisexual men. </w:t>
              </w:r>
              <w:r>
                <w:rPr>
                  <w:i/>
                  <w:iCs/>
                  <w:noProof/>
                  <w:lang w:val="en-US"/>
                </w:rPr>
                <w:t>Psychology and AIDS Exchange Newsletter</w:t>
              </w:r>
              <w:r>
                <w:rPr>
                  <w:noProof/>
                  <w:lang w:val="en-US"/>
                </w:rPr>
                <w:t>.</w:t>
              </w:r>
            </w:p>
            <w:p w14:paraId="15708FB3" w14:textId="77777777" w:rsidR="008B0FDB" w:rsidRDefault="008B0FDB" w:rsidP="008B0FDB">
              <w:pPr>
                <w:pStyle w:val="Bibliography"/>
                <w:ind w:left="720" w:hanging="720"/>
                <w:rPr>
                  <w:noProof/>
                  <w:lang w:val="en-US"/>
                </w:rPr>
              </w:pPr>
              <w:r>
                <w:rPr>
                  <w:noProof/>
                  <w:lang w:val="en-US"/>
                </w:rPr>
                <w:t xml:space="preserve">Halkitis, P. N., Fischgrund, B. N., &amp; Parsons, J. T. (2005). Explainations for methamphetamine use among gay and bisexual men in New York City. </w:t>
              </w:r>
              <w:r>
                <w:rPr>
                  <w:i/>
                  <w:iCs/>
                  <w:noProof/>
                  <w:lang w:val="en-US"/>
                </w:rPr>
                <w:t>Substance Use &amp; Misuse</w:t>
              </w:r>
              <w:r>
                <w:rPr>
                  <w:noProof/>
                  <w:lang w:val="en-US"/>
                </w:rPr>
                <w:t>, 1-15.</w:t>
              </w:r>
            </w:p>
            <w:p w14:paraId="1A4585B8" w14:textId="77777777" w:rsidR="008B0FDB" w:rsidRDefault="008B0FDB" w:rsidP="008B0FDB">
              <w:pPr>
                <w:pStyle w:val="Bibliography"/>
                <w:ind w:left="720" w:hanging="720"/>
                <w:rPr>
                  <w:noProof/>
                  <w:lang w:val="en-US"/>
                </w:rPr>
              </w:pPr>
              <w:r>
                <w:rPr>
                  <w:noProof/>
                  <w:lang w:val="en-US"/>
                </w:rPr>
                <w:t xml:space="preserve">Halkitis, P. N., Green, K. A., &amp; Wilton, L. (2004). Masculinity, body image, and sexual behavior in HIV-seropositive gay men: A two-phase behavioral investigation using the Internet. </w:t>
              </w:r>
              <w:r>
                <w:rPr>
                  <w:i/>
                  <w:iCs/>
                  <w:noProof/>
                  <w:lang w:val="en-US"/>
                </w:rPr>
                <w:t>International Journal of Men’s Health</w:t>
              </w:r>
              <w:r>
                <w:rPr>
                  <w:noProof/>
                  <w:lang w:val="en-US"/>
                </w:rPr>
                <w:t>, 27-42.</w:t>
              </w:r>
            </w:p>
            <w:p w14:paraId="7827A674" w14:textId="77777777" w:rsidR="008B0FDB" w:rsidRDefault="008B0FDB" w:rsidP="008B0FDB">
              <w:pPr>
                <w:pStyle w:val="Bibliography"/>
                <w:ind w:left="720" w:hanging="720"/>
                <w:rPr>
                  <w:noProof/>
                  <w:lang w:val="en-US"/>
                </w:rPr>
              </w:pPr>
              <w:r>
                <w:rPr>
                  <w:noProof/>
                  <w:lang w:val="en-US"/>
                </w:rPr>
                <w:t xml:space="preserve">Lo, N. C., Lowe, A., &amp; Bendavid, E. (2016). Abstinence Funding Was Not Associated With Reductions In HIV Risk Behavior In Sub-Saharan Africa. </w:t>
              </w:r>
              <w:r>
                <w:rPr>
                  <w:i/>
                  <w:iCs/>
                  <w:noProof/>
                  <w:lang w:val="en-US"/>
                </w:rPr>
                <w:t>Health affairs</w:t>
              </w:r>
              <w:r>
                <w:rPr>
                  <w:noProof/>
                  <w:lang w:val="en-US"/>
                </w:rPr>
                <w:t>, 856-863.</w:t>
              </w:r>
            </w:p>
            <w:p w14:paraId="24299C57" w14:textId="77777777" w:rsidR="008B0FDB" w:rsidRDefault="008B0FDB" w:rsidP="008B0FDB">
              <w:pPr>
                <w:pStyle w:val="Bibliography"/>
                <w:ind w:left="720" w:hanging="720"/>
                <w:rPr>
                  <w:noProof/>
                  <w:lang w:val="en-US"/>
                </w:rPr>
              </w:pPr>
              <w:r>
                <w:rPr>
                  <w:noProof/>
                  <w:lang w:val="en-US"/>
                </w:rPr>
                <w:t xml:space="preserve">Madiba, S., &amp; Ngwenya, N. (2017). </w:t>
              </w:r>
              <w:r>
                <w:rPr>
                  <w:i/>
                  <w:iCs/>
                  <w:noProof/>
                  <w:lang w:val="en-US"/>
                </w:rPr>
                <w:t>Cultural practices, gender inequality and inconsistent condom use increase vulnerability to HIV infection: narratives from married and cohabiting women in rural communities in Mpumalanga province.</w:t>
              </w:r>
              <w:r>
                <w:rPr>
                  <w:noProof/>
                  <w:lang w:val="en-US"/>
                </w:rPr>
                <w:t xml:space="preserve"> South Africa: Global Health Action.</w:t>
              </w:r>
            </w:p>
            <w:p w14:paraId="6B5F742B" w14:textId="77777777" w:rsidR="008B0FDB" w:rsidRDefault="008B0FDB" w:rsidP="008B0FDB">
              <w:pPr>
                <w:pStyle w:val="Bibliography"/>
                <w:ind w:left="720" w:hanging="720"/>
                <w:rPr>
                  <w:noProof/>
                  <w:lang w:val="en-US"/>
                </w:rPr>
              </w:pPr>
              <w:r>
                <w:rPr>
                  <w:noProof/>
                  <w:lang w:val="en-US"/>
                </w:rPr>
                <w:t xml:space="preserve">Okwundu, C. I., Uthman, O. A., &amp; Okoromah, C. A. (2012). Antiretroviral preexposure prophylaxis (PrEP) for preventing HIV in high-risk individuals. </w:t>
              </w:r>
              <w:r>
                <w:rPr>
                  <w:i/>
                  <w:iCs/>
                  <w:noProof/>
                  <w:lang w:val="en-US"/>
                </w:rPr>
                <w:t>Cochrane Database System Review</w:t>
              </w:r>
              <w:r>
                <w:rPr>
                  <w:noProof/>
                  <w:lang w:val="en-US"/>
                </w:rPr>
                <w:t>.</w:t>
              </w:r>
            </w:p>
            <w:p w14:paraId="47F88929" w14:textId="77777777" w:rsidR="008B0FDB" w:rsidRDefault="008B0FDB" w:rsidP="008B0FDB">
              <w:pPr>
                <w:pStyle w:val="Bibliography"/>
                <w:ind w:left="720" w:hanging="720"/>
                <w:rPr>
                  <w:noProof/>
                  <w:lang w:val="en-US"/>
                </w:rPr>
              </w:pPr>
              <w:r>
                <w:rPr>
                  <w:noProof/>
                  <w:lang w:val="en-US"/>
                </w:rPr>
                <w:t xml:space="preserve">Santelli, J. S., Speizer, I. S., &amp; Edelstein, Z. R. (2013). Abstinence promotion under PEPFAR: the shifting focus of HIV prevention for youth. </w:t>
              </w:r>
              <w:r>
                <w:rPr>
                  <w:i/>
                  <w:iCs/>
                  <w:noProof/>
                  <w:lang w:val="en-US"/>
                </w:rPr>
                <w:t>Global Public Health</w:t>
              </w:r>
              <w:r>
                <w:rPr>
                  <w:noProof/>
                  <w:lang w:val="en-US"/>
                </w:rPr>
                <w:t>, 1-12.</w:t>
              </w:r>
            </w:p>
            <w:p w14:paraId="24B2C755" w14:textId="77777777" w:rsidR="008B0FDB" w:rsidRDefault="008B0FDB" w:rsidP="008B0FDB">
              <w:pPr>
                <w:pStyle w:val="Bibliography"/>
                <w:ind w:left="720" w:hanging="720"/>
                <w:rPr>
                  <w:noProof/>
                  <w:lang w:val="en-US"/>
                </w:rPr>
              </w:pPr>
              <w:r>
                <w:rPr>
                  <w:noProof/>
                  <w:lang w:val="en-US"/>
                </w:rPr>
                <w:t xml:space="preserve">Santelli, J., Ott, M. A., Lyon, M., Rogers, J., Summers, D., &amp; Schleifer, R. (2006). Abstinence and abstinence-only education: a review of U.S. policies and programmes. </w:t>
              </w:r>
              <w:r>
                <w:rPr>
                  <w:i/>
                  <w:iCs/>
                  <w:noProof/>
                  <w:lang w:val="en-US"/>
                </w:rPr>
                <w:t>Journal of Adolescent Health</w:t>
              </w:r>
              <w:r>
                <w:rPr>
                  <w:noProof/>
                  <w:lang w:val="en-US"/>
                </w:rPr>
                <w:t>, 72-81.</w:t>
              </w:r>
            </w:p>
            <w:p w14:paraId="7995CEC2" w14:textId="77777777" w:rsidR="008B0FDB" w:rsidRDefault="008B0FDB" w:rsidP="008B0FDB">
              <w:pPr>
                <w:pStyle w:val="Bibliography"/>
                <w:ind w:left="720" w:hanging="720"/>
                <w:rPr>
                  <w:noProof/>
                  <w:lang w:val="en-US"/>
                </w:rPr>
              </w:pPr>
              <w:r>
                <w:rPr>
                  <w:noProof/>
                  <w:lang w:val="en-US"/>
                </w:rPr>
                <w:t xml:space="preserve">Tan, R. K. (2018). Internalized Homophobia, HIV Knowledge, and HIV/AIDS Personal Responsibility Beliefs: Correlates of HIV/AIDS Discrimination among MSM in the Context of Institutionalized Stigma. </w:t>
              </w:r>
              <w:r>
                <w:rPr>
                  <w:i/>
                  <w:iCs/>
                  <w:noProof/>
                  <w:lang w:val="en-US"/>
                </w:rPr>
                <w:t>Journal of homosexuality</w:t>
              </w:r>
              <w:r>
                <w:rPr>
                  <w:noProof/>
                  <w:lang w:val="en-US"/>
                </w:rPr>
                <w:t>, 1-22.</w:t>
              </w:r>
            </w:p>
            <w:p w14:paraId="0329E23D" w14:textId="77777777" w:rsidR="008B0FDB" w:rsidRDefault="008B0FDB" w:rsidP="008B0FDB">
              <w:pPr>
                <w:pStyle w:val="Bibliography"/>
                <w:ind w:left="720" w:hanging="720"/>
                <w:rPr>
                  <w:noProof/>
                  <w:lang w:val="en-US"/>
                </w:rPr>
              </w:pPr>
              <w:r>
                <w:rPr>
                  <w:noProof/>
                  <w:lang w:val="en-US"/>
                </w:rPr>
                <w:t xml:space="preserve">UNAIDS. (2018, December 1). </w:t>
              </w:r>
              <w:r>
                <w:rPr>
                  <w:i/>
                  <w:iCs/>
                  <w:noProof/>
                  <w:lang w:val="en-US"/>
                </w:rPr>
                <w:t>Global HIV &amp; AIDS statistics — 2018 fact sheet</w:t>
              </w:r>
              <w:r>
                <w:rPr>
                  <w:noProof/>
                  <w:lang w:val="en-US"/>
                </w:rPr>
                <w:t>. Retrieved from UNAIDS.org: http://www.unaids.org/sites/default/files/media_asset/UNAIDS_FactSheet_en.pdf</w:t>
              </w:r>
            </w:p>
            <w:p w14:paraId="78D8F814" w14:textId="77777777" w:rsidR="008B0FDB" w:rsidRDefault="008B0FDB" w:rsidP="008B0FDB">
              <w:pPr>
                <w:pStyle w:val="Bibliography"/>
                <w:ind w:left="720" w:hanging="720"/>
                <w:rPr>
                  <w:noProof/>
                  <w:lang w:val="en-US"/>
                </w:rPr>
              </w:pPr>
              <w:r>
                <w:rPr>
                  <w:noProof/>
                  <w:lang w:val="en-US"/>
                </w:rPr>
                <w:t xml:space="preserve">USDOHAHS. (2019, April 9). </w:t>
              </w:r>
              <w:r>
                <w:rPr>
                  <w:i/>
                  <w:iCs/>
                  <w:noProof/>
                  <w:lang w:val="en-US"/>
                </w:rPr>
                <w:t>HIV and Gay and Bisexual Men</w:t>
              </w:r>
              <w:r>
                <w:rPr>
                  <w:noProof/>
                  <w:lang w:val="en-US"/>
                </w:rPr>
                <w:t>. Retrieved from Aidsinfo.nih.org: https://aidsinfo.nih.gov/understanding-hiv-aids/fact-sheets/25/81/hiv-and-gay-and-bisexual-men</w:t>
              </w:r>
            </w:p>
            <w:p w14:paraId="36B200C5" w14:textId="77777777" w:rsidR="008B0FDB" w:rsidRDefault="008B0FDB" w:rsidP="008B0FDB">
              <w:pPr>
                <w:pStyle w:val="Bibliography"/>
                <w:ind w:left="720" w:hanging="720"/>
                <w:rPr>
                  <w:noProof/>
                  <w:lang w:val="en-US"/>
                </w:rPr>
              </w:pPr>
              <w:r>
                <w:rPr>
                  <w:noProof/>
                  <w:lang w:val="en-US"/>
                </w:rPr>
                <w:lastRenderedPageBreak/>
                <w:t xml:space="preserve">World Health Organisation. (2018). </w:t>
              </w:r>
              <w:r>
                <w:rPr>
                  <w:i/>
                  <w:iCs/>
                  <w:noProof/>
                  <w:lang w:val="en-US"/>
                </w:rPr>
                <w:t>Deaths by cause, age, sex, by country and by region.</w:t>
              </w:r>
              <w:r>
                <w:rPr>
                  <w:noProof/>
                  <w:lang w:val="en-US"/>
                </w:rPr>
                <w:t xml:space="preserve"> Geneva: World Health Organisation.</w:t>
              </w:r>
            </w:p>
            <w:p w14:paraId="2EBEBE2B" w14:textId="77777777" w:rsidR="0095294F" w:rsidRDefault="0095294F" w:rsidP="008B0FDB">
              <w:r>
                <w:rPr>
                  <w:b/>
                  <w:bCs/>
                  <w:noProof/>
                </w:rPr>
                <w:fldChar w:fldCharType="end"/>
              </w:r>
            </w:p>
            <w:bookmarkEnd w:id="0" w:displacedByCustomXml="next"/>
          </w:sdtContent>
        </w:sdt>
      </w:sdtContent>
    </w:sdt>
    <w:p w14:paraId="66923ECD" w14:textId="77777777" w:rsidR="00BE3366" w:rsidRPr="0095294F" w:rsidRDefault="00BE3366" w:rsidP="0095294F">
      <w:pPr>
        <w:tabs>
          <w:tab w:val="left" w:pos="1440"/>
        </w:tabs>
        <w:rPr>
          <w:sz w:val="24"/>
        </w:rPr>
      </w:pPr>
    </w:p>
    <w:sectPr w:rsidR="00BE3366" w:rsidRPr="009529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3366"/>
    <w:rsid w:val="00023160"/>
    <w:rsid w:val="00044899"/>
    <w:rsid w:val="000617B8"/>
    <w:rsid w:val="0009584C"/>
    <w:rsid w:val="00102611"/>
    <w:rsid w:val="001431A6"/>
    <w:rsid w:val="00247832"/>
    <w:rsid w:val="00271E30"/>
    <w:rsid w:val="002B1E38"/>
    <w:rsid w:val="002D3498"/>
    <w:rsid w:val="002D5DFC"/>
    <w:rsid w:val="00376239"/>
    <w:rsid w:val="00393B9F"/>
    <w:rsid w:val="003C0204"/>
    <w:rsid w:val="003C6533"/>
    <w:rsid w:val="003C6DA9"/>
    <w:rsid w:val="003E1375"/>
    <w:rsid w:val="003F2C86"/>
    <w:rsid w:val="004521C2"/>
    <w:rsid w:val="00476280"/>
    <w:rsid w:val="0048281A"/>
    <w:rsid w:val="004C7FB0"/>
    <w:rsid w:val="00505B7E"/>
    <w:rsid w:val="0051207B"/>
    <w:rsid w:val="00516443"/>
    <w:rsid w:val="005273E4"/>
    <w:rsid w:val="00543FC7"/>
    <w:rsid w:val="0054586A"/>
    <w:rsid w:val="00563F38"/>
    <w:rsid w:val="00564AE9"/>
    <w:rsid w:val="005E37F1"/>
    <w:rsid w:val="005E51C8"/>
    <w:rsid w:val="0064262A"/>
    <w:rsid w:val="00670BCA"/>
    <w:rsid w:val="0067604E"/>
    <w:rsid w:val="006813AD"/>
    <w:rsid w:val="006B416B"/>
    <w:rsid w:val="006C7A43"/>
    <w:rsid w:val="006F3472"/>
    <w:rsid w:val="006F6421"/>
    <w:rsid w:val="007065FD"/>
    <w:rsid w:val="00713B95"/>
    <w:rsid w:val="007336ED"/>
    <w:rsid w:val="00750DB3"/>
    <w:rsid w:val="00756DB4"/>
    <w:rsid w:val="0076165F"/>
    <w:rsid w:val="00773CE4"/>
    <w:rsid w:val="007C0027"/>
    <w:rsid w:val="007E0E64"/>
    <w:rsid w:val="0084560C"/>
    <w:rsid w:val="008A1BCE"/>
    <w:rsid w:val="008B0FDB"/>
    <w:rsid w:val="008D2A79"/>
    <w:rsid w:val="008F48EE"/>
    <w:rsid w:val="009000E0"/>
    <w:rsid w:val="00900576"/>
    <w:rsid w:val="0095294F"/>
    <w:rsid w:val="009C7F93"/>
    <w:rsid w:val="009E696C"/>
    <w:rsid w:val="00A31F59"/>
    <w:rsid w:val="00A3662A"/>
    <w:rsid w:val="00A36EF1"/>
    <w:rsid w:val="00A415AD"/>
    <w:rsid w:val="00A56DDF"/>
    <w:rsid w:val="00A96511"/>
    <w:rsid w:val="00A96513"/>
    <w:rsid w:val="00AF506B"/>
    <w:rsid w:val="00B31AF6"/>
    <w:rsid w:val="00B356E9"/>
    <w:rsid w:val="00B42D8D"/>
    <w:rsid w:val="00B70348"/>
    <w:rsid w:val="00B7116E"/>
    <w:rsid w:val="00B959E7"/>
    <w:rsid w:val="00BA2669"/>
    <w:rsid w:val="00BA4DEE"/>
    <w:rsid w:val="00BE3366"/>
    <w:rsid w:val="00BF6869"/>
    <w:rsid w:val="00C150AB"/>
    <w:rsid w:val="00C17790"/>
    <w:rsid w:val="00C85F8B"/>
    <w:rsid w:val="00C91ED5"/>
    <w:rsid w:val="00CA5F68"/>
    <w:rsid w:val="00CD7F71"/>
    <w:rsid w:val="00CF3CAC"/>
    <w:rsid w:val="00D35A19"/>
    <w:rsid w:val="00D57A9D"/>
    <w:rsid w:val="00D758B7"/>
    <w:rsid w:val="00D94AE8"/>
    <w:rsid w:val="00DA45D6"/>
    <w:rsid w:val="00DF4A5A"/>
    <w:rsid w:val="00E15375"/>
    <w:rsid w:val="00E43300"/>
    <w:rsid w:val="00E826CD"/>
    <w:rsid w:val="00EA27DB"/>
    <w:rsid w:val="00F93116"/>
    <w:rsid w:val="00FA019A"/>
    <w:rsid w:val="00FC51E3"/>
    <w:rsid w:val="00FD082F"/>
    <w:rsid w:val="00FE182D"/>
    <w:rsid w:val="00FE3E0A"/>
    <w:rsid w:val="00FF7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A6B9A"/>
  <w15:chartTrackingRefBased/>
  <w15:docId w15:val="{E84B96EC-25DA-4C8F-BE35-98702D65C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294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294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529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73159">
      <w:bodyDiv w:val="1"/>
      <w:marLeft w:val="0"/>
      <w:marRight w:val="0"/>
      <w:marTop w:val="0"/>
      <w:marBottom w:val="0"/>
      <w:divBdr>
        <w:top w:val="none" w:sz="0" w:space="0" w:color="auto"/>
        <w:left w:val="none" w:sz="0" w:space="0" w:color="auto"/>
        <w:bottom w:val="none" w:sz="0" w:space="0" w:color="auto"/>
        <w:right w:val="none" w:sz="0" w:space="0" w:color="auto"/>
      </w:divBdr>
    </w:div>
    <w:div w:id="66732522">
      <w:bodyDiv w:val="1"/>
      <w:marLeft w:val="0"/>
      <w:marRight w:val="0"/>
      <w:marTop w:val="0"/>
      <w:marBottom w:val="0"/>
      <w:divBdr>
        <w:top w:val="none" w:sz="0" w:space="0" w:color="auto"/>
        <w:left w:val="none" w:sz="0" w:space="0" w:color="auto"/>
        <w:bottom w:val="none" w:sz="0" w:space="0" w:color="auto"/>
        <w:right w:val="none" w:sz="0" w:space="0" w:color="auto"/>
      </w:divBdr>
    </w:div>
    <w:div w:id="105127260">
      <w:bodyDiv w:val="1"/>
      <w:marLeft w:val="0"/>
      <w:marRight w:val="0"/>
      <w:marTop w:val="0"/>
      <w:marBottom w:val="0"/>
      <w:divBdr>
        <w:top w:val="none" w:sz="0" w:space="0" w:color="auto"/>
        <w:left w:val="none" w:sz="0" w:space="0" w:color="auto"/>
        <w:bottom w:val="none" w:sz="0" w:space="0" w:color="auto"/>
        <w:right w:val="none" w:sz="0" w:space="0" w:color="auto"/>
      </w:divBdr>
    </w:div>
    <w:div w:id="118769106">
      <w:bodyDiv w:val="1"/>
      <w:marLeft w:val="0"/>
      <w:marRight w:val="0"/>
      <w:marTop w:val="0"/>
      <w:marBottom w:val="0"/>
      <w:divBdr>
        <w:top w:val="none" w:sz="0" w:space="0" w:color="auto"/>
        <w:left w:val="none" w:sz="0" w:space="0" w:color="auto"/>
        <w:bottom w:val="none" w:sz="0" w:space="0" w:color="auto"/>
        <w:right w:val="none" w:sz="0" w:space="0" w:color="auto"/>
      </w:divBdr>
    </w:div>
    <w:div w:id="121315159">
      <w:bodyDiv w:val="1"/>
      <w:marLeft w:val="0"/>
      <w:marRight w:val="0"/>
      <w:marTop w:val="0"/>
      <w:marBottom w:val="0"/>
      <w:divBdr>
        <w:top w:val="none" w:sz="0" w:space="0" w:color="auto"/>
        <w:left w:val="none" w:sz="0" w:space="0" w:color="auto"/>
        <w:bottom w:val="none" w:sz="0" w:space="0" w:color="auto"/>
        <w:right w:val="none" w:sz="0" w:space="0" w:color="auto"/>
      </w:divBdr>
    </w:div>
    <w:div w:id="160437882">
      <w:bodyDiv w:val="1"/>
      <w:marLeft w:val="0"/>
      <w:marRight w:val="0"/>
      <w:marTop w:val="0"/>
      <w:marBottom w:val="0"/>
      <w:divBdr>
        <w:top w:val="none" w:sz="0" w:space="0" w:color="auto"/>
        <w:left w:val="none" w:sz="0" w:space="0" w:color="auto"/>
        <w:bottom w:val="none" w:sz="0" w:space="0" w:color="auto"/>
        <w:right w:val="none" w:sz="0" w:space="0" w:color="auto"/>
      </w:divBdr>
    </w:div>
    <w:div w:id="184830083">
      <w:bodyDiv w:val="1"/>
      <w:marLeft w:val="0"/>
      <w:marRight w:val="0"/>
      <w:marTop w:val="0"/>
      <w:marBottom w:val="0"/>
      <w:divBdr>
        <w:top w:val="none" w:sz="0" w:space="0" w:color="auto"/>
        <w:left w:val="none" w:sz="0" w:space="0" w:color="auto"/>
        <w:bottom w:val="none" w:sz="0" w:space="0" w:color="auto"/>
        <w:right w:val="none" w:sz="0" w:space="0" w:color="auto"/>
      </w:divBdr>
    </w:div>
    <w:div w:id="203174177">
      <w:bodyDiv w:val="1"/>
      <w:marLeft w:val="0"/>
      <w:marRight w:val="0"/>
      <w:marTop w:val="0"/>
      <w:marBottom w:val="0"/>
      <w:divBdr>
        <w:top w:val="none" w:sz="0" w:space="0" w:color="auto"/>
        <w:left w:val="none" w:sz="0" w:space="0" w:color="auto"/>
        <w:bottom w:val="none" w:sz="0" w:space="0" w:color="auto"/>
        <w:right w:val="none" w:sz="0" w:space="0" w:color="auto"/>
      </w:divBdr>
    </w:div>
    <w:div w:id="250356261">
      <w:bodyDiv w:val="1"/>
      <w:marLeft w:val="0"/>
      <w:marRight w:val="0"/>
      <w:marTop w:val="0"/>
      <w:marBottom w:val="0"/>
      <w:divBdr>
        <w:top w:val="none" w:sz="0" w:space="0" w:color="auto"/>
        <w:left w:val="none" w:sz="0" w:space="0" w:color="auto"/>
        <w:bottom w:val="none" w:sz="0" w:space="0" w:color="auto"/>
        <w:right w:val="none" w:sz="0" w:space="0" w:color="auto"/>
      </w:divBdr>
    </w:div>
    <w:div w:id="282730056">
      <w:bodyDiv w:val="1"/>
      <w:marLeft w:val="0"/>
      <w:marRight w:val="0"/>
      <w:marTop w:val="0"/>
      <w:marBottom w:val="0"/>
      <w:divBdr>
        <w:top w:val="none" w:sz="0" w:space="0" w:color="auto"/>
        <w:left w:val="none" w:sz="0" w:space="0" w:color="auto"/>
        <w:bottom w:val="none" w:sz="0" w:space="0" w:color="auto"/>
        <w:right w:val="none" w:sz="0" w:space="0" w:color="auto"/>
      </w:divBdr>
    </w:div>
    <w:div w:id="287929021">
      <w:bodyDiv w:val="1"/>
      <w:marLeft w:val="0"/>
      <w:marRight w:val="0"/>
      <w:marTop w:val="0"/>
      <w:marBottom w:val="0"/>
      <w:divBdr>
        <w:top w:val="none" w:sz="0" w:space="0" w:color="auto"/>
        <w:left w:val="none" w:sz="0" w:space="0" w:color="auto"/>
        <w:bottom w:val="none" w:sz="0" w:space="0" w:color="auto"/>
        <w:right w:val="none" w:sz="0" w:space="0" w:color="auto"/>
      </w:divBdr>
    </w:div>
    <w:div w:id="342708026">
      <w:bodyDiv w:val="1"/>
      <w:marLeft w:val="0"/>
      <w:marRight w:val="0"/>
      <w:marTop w:val="0"/>
      <w:marBottom w:val="0"/>
      <w:divBdr>
        <w:top w:val="none" w:sz="0" w:space="0" w:color="auto"/>
        <w:left w:val="none" w:sz="0" w:space="0" w:color="auto"/>
        <w:bottom w:val="none" w:sz="0" w:space="0" w:color="auto"/>
        <w:right w:val="none" w:sz="0" w:space="0" w:color="auto"/>
      </w:divBdr>
    </w:div>
    <w:div w:id="353193475">
      <w:bodyDiv w:val="1"/>
      <w:marLeft w:val="0"/>
      <w:marRight w:val="0"/>
      <w:marTop w:val="0"/>
      <w:marBottom w:val="0"/>
      <w:divBdr>
        <w:top w:val="none" w:sz="0" w:space="0" w:color="auto"/>
        <w:left w:val="none" w:sz="0" w:space="0" w:color="auto"/>
        <w:bottom w:val="none" w:sz="0" w:space="0" w:color="auto"/>
        <w:right w:val="none" w:sz="0" w:space="0" w:color="auto"/>
      </w:divBdr>
    </w:div>
    <w:div w:id="384837134">
      <w:bodyDiv w:val="1"/>
      <w:marLeft w:val="0"/>
      <w:marRight w:val="0"/>
      <w:marTop w:val="0"/>
      <w:marBottom w:val="0"/>
      <w:divBdr>
        <w:top w:val="none" w:sz="0" w:space="0" w:color="auto"/>
        <w:left w:val="none" w:sz="0" w:space="0" w:color="auto"/>
        <w:bottom w:val="none" w:sz="0" w:space="0" w:color="auto"/>
        <w:right w:val="none" w:sz="0" w:space="0" w:color="auto"/>
      </w:divBdr>
    </w:div>
    <w:div w:id="420681718">
      <w:bodyDiv w:val="1"/>
      <w:marLeft w:val="0"/>
      <w:marRight w:val="0"/>
      <w:marTop w:val="0"/>
      <w:marBottom w:val="0"/>
      <w:divBdr>
        <w:top w:val="none" w:sz="0" w:space="0" w:color="auto"/>
        <w:left w:val="none" w:sz="0" w:space="0" w:color="auto"/>
        <w:bottom w:val="none" w:sz="0" w:space="0" w:color="auto"/>
        <w:right w:val="none" w:sz="0" w:space="0" w:color="auto"/>
      </w:divBdr>
    </w:div>
    <w:div w:id="420758422">
      <w:bodyDiv w:val="1"/>
      <w:marLeft w:val="0"/>
      <w:marRight w:val="0"/>
      <w:marTop w:val="0"/>
      <w:marBottom w:val="0"/>
      <w:divBdr>
        <w:top w:val="none" w:sz="0" w:space="0" w:color="auto"/>
        <w:left w:val="none" w:sz="0" w:space="0" w:color="auto"/>
        <w:bottom w:val="none" w:sz="0" w:space="0" w:color="auto"/>
        <w:right w:val="none" w:sz="0" w:space="0" w:color="auto"/>
      </w:divBdr>
    </w:div>
    <w:div w:id="442844369">
      <w:bodyDiv w:val="1"/>
      <w:marLeft w:val="0"/>
      <w:marRight w:val="0"/>
      <w:marTop w:val="0"/>
      <w:marBottom w:val="0"/>
      <w:divBdr>
        <w:top w:val="none" w:sz="0" w:space="0" w:color="auto"/>
        <w:left w:val="none" w:sz="0" w:space="0" w:color="auto"/>
        <w:bottom w:val="none" w:sz="0" w:space="0" w:color="auto"/>
        <w:right w:val="none" w:sz="0" w:space="0" w:color="auto"/>
      </w:divBdr>
    </w:div>
    <w:div w:id="447968851">
      <w:bodyDiv w:val="1"/>
      <w:marLeft w:val="0"/>
      <w:marRight w:val="0"/>
      <w:marTop w:val="0"/>
      <w:marBottom w:val="0"/>
      <w:divBdr>
        <w:top w:val="none" w:sz="0" w:space="0" w:color="auto"/>
        <w:left w:val="none" w:sz="0" w:space="0" w:color="auto"/>
        <w:bottom w:val="none" w:sz="0" w:space="0" w:color="auto"/>
        <w:right w:val="none" w:sz="0" w:space="0" w:color="auto"/>
      </w:divBdr>
    </w:div>
    <w:div w:id="449981445">
      <w:bodyDiv w:val="1"/>
      <w:marLeft w:val="0"/>
      <w:marRight w:val="0"/>
      <w:marTop w:val="0"/>
      <w:marBottom w:val="0"/>
      <w:divBdr>
        <w:top w:val="none" w:sz="0" w:space="0" w:color="auto"/>
        <w:left w:val="none" w:sz="0" w:space="0" w:color="auto"/>
        <w:bottom w:val="none" w:sz="0" w:space="0" w:color="auto"/>
        <w:right w:val="none" w:sz="0" w:space="0" w:color="auto"/>
      </w:divBdr>
    </w:div>
    <w:div w:id="454910986">
      <w:bodyDiv w:val="1"/>
      <w:marLeft w:val="0"/>
      <w:marRight w:val="0"/>
      <w:marTop w:val="0"/>
      <w:marBottom w:val="0"/>
      <w:divBdr>
        <w:top w:val="none" w:sz="0" w:space="0" w:color="auto"/>
        <w:left w:val="none" w:sz="0" w:space="0" w:color="auto"/>
        <w:bottom w:val="none" w:sz="0" w:space="0" w:color="auto"/>
        <w:right w:val="none" w:sz="0" w:space="0" w:color="auto"/>
      </w:divBdr>
    </w:div>
    <w:div w:id="474222456">
      <w:bodyDiv w:val="1"/>
      <w:marLeft w:val="0"/>
      <w:marRight w:val="0"/>
      <w:marTop w:val="0"/>
      <w:marBottom w:val="0"/>
      <w:divBdr>
        <w:top w:val="none" w:sz="0" w:space="0" w:color="auto"/>
        <w:left w:val="none" w:sz="0" w:space="0" w:color="auto"/>
        <w:bottom w:val="none" w:sz="0" w:space="0" w:color="auto"/>
        <w:right w:val="none" w:sz="0" w:space="0" w:color="auto"/>
      </w:divBdr>
    </w:div>
    <w:div w:id="483618508">
      <w:bodyDiv w:val="1"/>
      <w:marLeft w:val="0"/>
      <w:marRight w:val="0"/>
      <w:marTop w:val="0"/>
      <w:marBottom w:val="0"/>
      <w:divBdr>
        <w:top w:val="none" w:sz="0" w:space="0" w:color="auto"/>
        <w:left w:val="none" w:sz="0" w:space="0" w:color="auto"/>
        <w:bottom w:val="none" w:sz="0" w:space="0" w:color="auto"/>
        <w:right w:val="none" w:sz="0" w:space="0" w:color="auto"/>
      </w:divBdr>
    </w:div>
    <w:div w:id="511795994">
      <w:bodyDiv w:val="1"/>
      <w:marLeft w:val="0"/>
      <w:marRight w:val="0"/>
      <w:marTop w:val="0"/>
      <w:marBottom w:val="0"/>
      <w:divBdr>
        <w:top w:val="none" w:sz="0" w:space="0" w:color="auto"/>
        <w:left w:val="none" w:sz="0" w:space="0" w:color="auto"/>
        <w:bottom w:val="none" w:sz="0" w:space="0" w:color="auto"/>
        <w:right w:val="none" w:sz="0" w:space="0" w:color="auto"/>
      </w:divBdr>
    </w:div>
    <w:div w:id="511918007">
      <w:bodyDiv w:val="1"/>
      <w:marLeft w:val="0"/>
      <w:marRight w:val="0"/>
      <w:marTop w:val="0"/>
      <w:marBottom w:val="0"/>
      <w:divBdr>
        <w:top w:val="none" w:sz="0" w:space="0" w:color="auto"/>
        <w:left w:val="none" w:sz="0" w:space="0" w:color="auto"/>
        <w:bottom w:val="none" w:sz="0" w:space="0" w:color="auto"/>
        <w:right w:val="none" w:sz="0" w:space="0" w:color="auto"/>
      </w:divBdr>
    </w:div>
    <w:div w:id="542251108">
      <w:bodyDiv w:val="1"/>
      <w:marLeft w:val="0"/>
      <w:marRight w:val="0"/>
      <w:marTop w:val="0"/>
      <w:marBottom w:val="0"/>
      <w:divBdr>
        <w:top w:val="none" w:sz="0" w:space="0" w:color="auto"/>
        <w:left w:val="none" w:sz="0" w:space="0" w:color="auto"/>
        <w:bottom w:val="none" w:sz="0" w:space="0" w:color="auto"/>
        <w:right w:val="none" w:sz="0" w:space="0" w:color="auto"/>
      </w:divBdr>
    </w:div>
    <w:div w:id="542592998">
      <w:bodyDiv w:val="1"/>
      <w:marLeft w:val="0"/>
      <w:marRight w:val="0"/>
      <w:marTop w:val="0"/>
      <w:marBottom w:val="0"/>
      <w:divBdr>
        <w:top w:val="none" w:sz="0" w:space="0" w:color="auto"/>
        <w:left w:val="none" w:sz="0" w:space="0" w:color="auto"/>
        <w:bottom w:val="none" w:sz="0" w:space="0" w:color="auto"/>
        <w:right w:val="none" w:sz="0" w:space="0" w:color="auto"/>
      </w:divBdr>
    </w:div>
    <w:div w:id="546071208">
      <w:bodyDiv w:val="1"/>
      <w:marLeft w:val="0"/>
      <w:marRight w:val="0"/>
      <w:marTop w:val="0"/>
      <w:marBottom w:val="0"/>
      <w:divBdr>
        <w:top w:val="none" w:sz="0" w:space="0" w:color="auto"/>
        <w:left w:val="none" w:sz="0" w:space="0" w:color="auto"/>
        <w:bottom w:val="none" w:sz="0" w:space="0" w:color="auto"/>
        <w:right w:val="none" w:sz="0" w:space="0" w:color="auto"/>
      </w:divBdr>
    </w:div>
    <w:div w:id="566691678">
      <w:bodyDiv w:val="1"/>
      <w:marLeft w:val="0"/>
      <w:marRight w:val="0"/>
      <w:marTop w:val="0"/>
      <w:marBottom w:val="0"/>
      <w:divBdr>
        <w:top w:val="none" w:sz="0" w:space="0" w:color="auto"/>
        <w:left w:val="none" w:sz="0" w:space="0" w:color="auto"/>
        <w:bottom w:val="none" w:sz="0" w:space="0" w:color="auto"/>
        <w:right w:val="none" w:sz="0" w:space="0" w:color="auto"/>
      </w:divBdr>
    </w:div>
    <w:div w:id="575819523">
      <w:bodyDiv w:val="1"/>
      <w:marLeft w:val="0"/>
      <w:marRight w:val="0"/>
      <w:marTop w:val="0"/>
      <w:marBottom w:val="0"/>
      <w:divBdr>
        <w:top w:val="none" w:sz="0" w:space="0" w:color="auto"/>
        <w:left w:val="none" w:sz="0" w:space="0" w:color="auto"/>
        <w:bottom w:val="none" w:sz="0" w:space="0" w:color="auto"/>
        <w:right w:val="none" w:sz="0" w:space="0" w:color="auto"/>
      </w:divBdr>
    </w:div>
    <w:div w:id="648289161">
      <w:bodyDiv w:val="1"/>
      <w:marLeft w:val="0"/>
      <w:marRight w:val="0"/>
      <w:marTop w:val="0"/>
      <w:marBottom w:val="0"/>
      <w:divBdr>
        <w:top w:val="none" w:sz="0" w:space="0" w:color="auto"/>
        <w:left w:val="none" w:sz="0" w:space="0" w:color="auto"/>
        <w:bottom w:val="none" w:sz="0" w:space="0" w:color="auto"/>
        <w:right w:val="none" w:sz="0" w:space="0" w:color="auto"/>
      </w:divBdr>
    </w:div>
    <w:div w:id="649790778">
      <w:bodyDiv w:val="1"/>
      <w:marLeft w:val="0"/>
      <w:marRight w:val="0"/>
      <w:marTop w:val="0"/>
      <w:marBottom w:val="0"/>
      <w:divBdr>
        <w:top w:val="none" w:sz="0" w:space="0" w:color="auto"/>
        <w:left w:val="none" w:sz="0" w:space="0" w:color="auto"/>
        <w:bottom w:val="none" w:sz="0" w:space="0" w:color="auto"/>
        <w:right w:val="none" w:sz="0" w:space="0" w:color="auto"/>
      </w:divBdr>
    </w:div>
    <w:div w:id="655763571">
      <w:bodyDiv w:val="1"/>
      <w:marLeft w:val="0"/>
      <w:marRight w:val="0"/>
      <w:marTop w:val="0"/>
      <w:marBottom w:val="0"/>
      <w:divBdr>
        <w:top w:val="none" w:sz="0" w:space="0" w:color="auto"/>
        <w:left w:val="none" w:sz="0" w:space="0" w:color="auto"/>
        <w:bottom w:val="none" w:sz="0" w:space="0" w:color="auto"/>
        <w:right w:val="none" w:sz="0" w:space="0" w:color="auto"/>
      </w:divBdr>
    </w:div>
    <w:div w:id="700279513">
      <w:bodyDiv w:val="1"/>
      <w:marLeft w:val="0"/>
      <w:marRight w:val="0"/>
      <w:marTop w:val="0"/>
      <w:marBottom w:val="0"/>
      <w:divBdr>
        <w:top w:val="none" w:sz="0" w:space="0" w:color="auto"/>
        <w:left w:val="none" w:sz="0" w:space="0" w:color="auto"/>
        <w:bottom w:val="none" w:sz="0" w:space="0" w:color="auto"/>
        <w:right w:val="none" w:sz="0" w:space="0" w:color="auto"/>
      </w:divBdr>
    </w:div>
    <w:div w:id="700517612">
      <w:bodyDiv w:val="1"/>
      <w:marLeft w:val="0"/>
      <w:marRight w:val="0"/>
      <w:marTop w:val="0"/>
      <w:marBottom w:val="0"/>
      <w:divBdr>
        <w:top w:val="none" w:sz="0" w:space="0" w:color="auto"/>
        <w:left w:val="none" w:sz="0" w:space="0" w:color="auto"/>
        <w:bottom w:val="none" w:sz="0" w:space="0" w:color="auto"/>
        <w:right w:val="none" w:sz="0" w:space="0" w:color="auto"/>
      </w:divBdr>
    </w:div>
    <w:div w:id="727536816">
      <w:bodyDiv w:val="1"/>
      <w:marLeft w:val="0"/>
      <w:marRight w:val="0"/>
      <w:marTop w:val="0"/>
      <w:marBottom w:val="0"/>
      <w:divBdr>
        <w:top w:val="none" w:sz="0" w:space="0" w:color="auto"/>
        <w:left w:val="none" w:sz="0" w:space="0" w:color="auto"/>
        <w:bottom w:val="none" w:sz="0" w:space="0" w:color="auto"/>
        <w:right w:val="none" w:sz="0" w:space="0" w:color="auto"/>
      </w:divBdr>
    </w:div>
    <w:div w:id="758528047">
      <w:bodyDiv w:val="1"/>
      <w:marLeft w:val="0"/>
      <w:marRight w:val="0"/>
      <w:marTop w:val="0"/>
      <w:marBottom w:val="0"/>
      <w:divBdr>
        <w:top w:val="none" w:sz="0" w:space="0" w:color="auto"/>
        <w:left w:val="none" w:sz="0" w:space="0" w:color="auto"/>
        <w:bottom w:val="none" w:sz="0" w:space="0" w:color="auto"/>
        <w:right w:val="none" w:sz="0" w:space="0" w:color="auto"/>
      </w:divBdr>
    </w:div>
    <w:div w:id="771972787">
      <w:bodyDiv w:val="1"/>
      <w:marLeft w:val="0"/>
      <w:marRight w:val="0"/>
      <w:marTop w:val="0"/>
      <w:marBottom w:val="0"/>
      <w:divBdr>
        <w:top w:val="none" w:sz="0" w:space="0" w:color="auto"/>
        <w:left w:val="none" w:sz="0" w:space="0" w:color="auto"/>
        <w:bottom w:val="none" w:sz="0" w:space="0" w:color="auto"/>
        <w:right w:val="none" w:sz="0" w:space="0" w:color="auto"/>
      </w:divBdr>
    </w:div>
    <w:div w:id="855113922">
      <w:bodyDiv w:val="1"/>
      <w:marLeft w:val="0"/>
      <w:marRight w:val="0"/>
      <w:marTop w:val="0"/>
      <w:marBottom w:val="0"/>
      <w:divBdr>
        <w:top w:val="none" w:sz="0" w:space="0" w:color="auto"/>
        <w:left w:val="none" w:sz="0" w:space="0" w:color="auto"/>
        <w:bottom w:val="none" w:sz="0" w:space="0" w:color="auto"/>
        <w:right w:val="none" w:sz="0" w:space="0" w:color="auto"/>
      </w:divBdr>
    </w:div>
    <w:div w:id="865751556">
      <w:bodyDiv w:val="1"/>
      <w:marLeft w:val="0"/>
      <w:marRight w:val="0"/>
      <w:marTop w:val="0"/>
      <w:marBottom w:val="0"/>
      <w:divBdr>
        <w:top w:val="none" w:sz="0" w:space="0" w:color="auto"/>
        <w:left w:val="none" w:sz="0" w:space="0" w:color="auto"/>
        <w:bottom w:val="none" w:sz="0" w:space="0" w:color="auto"/>
        <w:right w:val="none" w:sz="0" w:space="0" w:color="auto"/>
      </w:divBdr>
    </w:div>
    <w:div w:id="886141664">
      <w:bodyDiv w:val="1"/>
      <w:marLeft w:val="0"/>
      <w:marRight w:val="0"/>
      <w:marTop w:val="0"/>
      <w:marBottom w:val="0"/>
      <w:divBdr>
        <w:top w:val="none" w:sz="0" w:space="0" w:color="auto"/>
        <w:left w:val="none" w:sz="0" w:space="0" w:color="auto"/>
        <w:bottom w:val="none" w:sz="0" w:space="0" w:color="auto"/>
        <w:right w:val="none" w:sz="0" w:space="0" w:color="auto"/>
      </w:divBdr>
    </w:div>
    <w:div w:id="923533746">
      <w:bodyDiv w:val="1"/>
      <w:marLeft w:val="0"/>
      <w:marRight w:val="0"/>
      <w:marTop w:val="0"/>
      <w:marBottom w:val="0"/>
      <w:divBdr>
        <w:top w:val="none" w:sz="0" w:space="0" w:color="auto"/>
        <w:left w:val="none" w:sz="0" w:space="0" w:color="auto"/>
        <w:bottom w:val="none" w:sz="0" w:space="0" w:color="auto"/>
        <w:right w:val="none" w:sz="0" w:space="0" w:color="auto"/>
      </w:divBdr>
    </w:div>
    <w:div w:id="938172229">
      <w:bodyDiv w:val="1"/>
      <w:marLeft w:val="0"/>
      <w:marRight w:val="0"/>
      <w:marTop w:val="0"/>
      <w:marBottom w:val="0"/>
      <w:divBdr>
        <w:top w:val="none" w:sz="0" w:space="0" w:color="auto"/>
        <w:left w:val="none" w:sz="0" w:space="0" w:color="auto"/>
        <w:bottom w:val="none" w:sz="0" w:space="0" w:color="auto"/>
        <w:right w:val="none" w:sz="0" w:space="0" w:color="auto"/>
      </w:divBdr>
    </w:div>
    <w:div w:id="944776982">
      <w:bodyDiv w:val="1"/>
      <w:marLeft w:val="0"/>
      <w:marRight w:val="0"/>
      <w:marTop w:val="0"/>
      <w:marBottom w:val="0"/>
      <w:divBdr>
        <w:top w:val="none" w:sz="0" w:space="0" w:color="auto"/>
        <w:left w:val="none" w:sz="0" w:space="0" w:color="auto"/>
        <w:bottom w:val="none" w:sz="0" w:space="0" w:color="auto"/>
        <w:right w:val="none" w:sz="0" w:space="0" w:color="auto"/>
      </w:divBdr>
    </w:div>
    <w:div w:id="946812635">
      <w:bodyDiv w:val="1"/>
      <w:marLeft w:val="0"/>
      <w:marRight w:val="0"/>
      <w:marTop w:val="0"/>
      <w:marBottom w:val="0"/>
      <w:divBdr>
        <w:top w:val="none" w:sz="0" w:space="0" w:color="auto"/>
        <w:left w:val="none" w:sz="0" w:space="0" w:color="auto"/>
        <w:bottom w:val="none" w:sz="0" w:space="0" w:color="auto"/>
        <w:right w:val="none" w:sz="0" w:space="0" w:color="auto"/>
      </w:divBdr>
    </w:div>
    <w:div w:id="947852550">
      <w:bodyDiv w:val="1"/>
      <w:marLeft w:val="0"/>
      <w:marRight w:val="0"/>
      <w:marTop w:val="0"/>
      <w:marBottom w:val="0"/>
      <w:divBdr>
        <w:top w:val="none" w:sz="0" w:space="0" w:color="auto"/>
        <w:left w:val="none" w:sz="0" w:space="0" w:color="auto"/>
        <w:bottom w:val="none" w:sz="0" w:space="0" w:color="auto"/>
        <w:right w:val="none" w:sz="0" w:space="0" w:color="auto"/>
      </w:divBdr>
    </w:div>
    <w:div w:id="957949071">
      <w:bodyDiv w:val="1"/>
      <w:marLeft w:val="0"/>
      <w:marRight w:val="0"/>
      <w:marTop w:val="0"/>
      <w:marBottom w:val="0"/>
      <w:divBdr>
        <w:top w:val="none" w:sz="0" w:space="0" w:color="auto"/>
        <w:left w:val="none" w:sz="0" w:space="0" w:color="auto"/>
        <w:bottom w:val="none" w:sz="0" w:space="0" w:color="auto"/>
        <w:right w:val="none" w:sz="0" w:space="0" w:color="auto"/>
      </w:divBdr>
    </w:div>
    <w:div w:id="1010565978">
      <w:bodyDiv w:val="1"/>
      <w:marLeft w:val="0"/>
      <w:marRight w:val="0"/>
      <w:marTop w:val="0"/>
      <w:marBottom w:val="0"/>
      <w:divBdr>
        <w:top w:val="none" w:sz="0" w:space="0" w:color="auto"/>
        <w:left w:val="none" w:sz="0" w:space="0" w:color="auto"/>
        <w:bottom w:val="none" w:sz="0" w:space="0" w:color="auto"/>
        <w:right w:val="none" w:sz="0" w:space="0" w:color="auto"/>
      </w:divBdr>
    </w:div>
    <w:div w:id="1069033103">
      <w:bodyDiv w:val="1"/>
      <w:marLeft w:val="0"/>
      <w:marRight w:val="0"/>
      <w:marTop w:val="0"/>
      <w:marBottom w:val="0"/>
      <w:divBdr>
        <w:top w:val="none" w:sz="0" w:space="0" w:color="auto"/>
        <w:left w:val="none" w:sz="0" w:space="0" w:color="auto"/>
        <w:bottom w:val="none" w:sz="0" w:space="0" w:color="auto"/>
        <w:right w:val="none" w:sz="0" w:space="0" w:color="auto"/>
      </w:divBdr>
    </w:div>
    <w:div w:id="1091388425">
      <w:bodyDiv w:val="1"/>
      <w:marLeft w:val="0"/>
      <w:marRight w:val="0"/>
      <w:marTop w:val="0"/>
      <w:marBottom w:val="0"/>
      <w:divBdr>
        <w:top w:val="none" w:sz="0" w:space="0" w:color="auto"/>
        <w:left w:val="none" w:sz="0" w:space="0" w:color="auto"/>
        <w:bottom w:val="none" w:sz="0" w:space="0" w:color="auto"/>
        <w:right w:val="none" w:sz="0" w:space="0" w:color="auto"/>
      </w:divBdr>
    </w:div>
    <w:div w:id="1158693019">
      <w:bodyDiv w:val="1"/>
      <w:marLeft w:val="0"/>
      <w:marRight w:val="0"/>
      <w:marTop w:val="0"/>
      <w:marBottom w:val="0"/>
      <w:divBdr>
        <w:top w:val="none" w:sz="0" w:space="0" w:color="auto"/>
        <w:left w:val="none" w:sz="0" w:space="0" w:color="auto"/>
        <w:bottom w:val="none" w:sz="0" w:space="0" w:color="auto"/>
        <w:right w:val="none" w:sz="0" w:space="0" w:color="auto"/>
      </w:divBdr>
    </w:div>
    <w:div w:id="1176068515">
      <w:bodyDiv w:val="1"/>
      <w:marLeft w:val="0"/>
      <w:marRight w:val="0"/>
      <w:marTop w:val="0"/>
      <w:marBottom w:val="0"/>
      <w:divBdr>
        <w:top w:val="none" w:sz="0" w:space="0" w:color="auto"/>
        <w:left w:val="none" w:sz="0" w:space="0" w:color="auto"/>
        <w:bottom w:val="none" w:sz="0" w:space="0" w:color="auto"/>
        <w:right w:val="none" w:sz="0" w:space="0" w:color="auto"/>
      </w:divBdr>
    </w:div>
    <w:div w:id="1215579422">
      <w:bodyDiv w:val="1"/>
      <w:marLeft w:val="0"/>
      <w:marRight w:val="0"/>
      <w:marTop w:val="0"/>
      <w:marBottom w:val="0"/>
      <w:divBdr>
        <w:top w:val="none" w:sz="0" w:space="0" w:color="auto"/>
        <w:left w:val="none" w:sz="0" w:space="0" w:color="auto"/>
        <w:bottom w:val="none" w:sz="0" w:space="0" w:color="auto"/>
        <w:right w:val="none" w:sz="0" w:space="0" w:color="auto"/>
      </w:divBdr>
    </w:div>
    <w:div w:id="1216743232">
      <w:bodyDiv w:val="1"/>
      <w:marLeft w:val="0"/>
      <w:marRight w:val="0"/>
      <w:marTop w:val="0"/>
      <w:marBottom w:val="0"/>
      <w:divBdr>
        <w:top w:val="none" w:sz="0" w:space="0" w:color="auto"/>
        <w:left w:val="none" w:sz="0" w:space="0" w:color="auto"/>
        <w:bottom w:val="none" w:sz="0" w:space="0" w:color="auto"/>
        <w:right w:val="none" w:sz="0" w:space="0" w:color="auto"/>
      </w:divBdr>
    </w:div>
    <w:div w:id="1224634725">
      <w:bodyDiv w:val="1"/>
      <w:marLeft w:val="0"/>
      <w:marRight w:val="0"/>
      <w:marTop w:val="0"/>
      <w:marBottom w:val="0"/>
      <w:divBdr>
        <w:top w:val="none" w:sz="0" w:space="0" w:color="auto"/>
        <w:left w:val="none" w:sz="0" w:space="0" w:color="auto"/>
        <w:bottom w:val="none" w:sz="0" w:space="0" w:color="auto"/>
        <w:right w:val="none" w:sz="0" w:space="0" w:color="auto"/>
      </w:divBdr>
    </w:div>
    <w:div w:id="1260062158">
      <w:bodyDiv w:val="1"/>
      <w:marLeft w:val="0"/>
      <w:marRight w:val="0"/>
      <w:marTop w:val="0"/>
      <w:marBottom w:val="0"/>
      <w:divBdr>
        <w:top w:val="none" w:sz="0" w:space="0" w:color="auto"/>
        <w:left w:val="none" w:sz="0" w:space="0" w:color="auto"/>
        <w:bottom w:val="none" w:sz="0" w:space="0" w:color="auto"/>
        <w:right w:val="none" w:sz="0" w:space="0" w:color="auto"/>
      </w:divBdr>
    </w:div>
    <w:div w:id="1286812786">
      <w:bodyDiv w:val="1"/>
      <w:marLeft w:val="0"/>
      <w:marRight w:val="0"/>
      <w:marTop w:val="0"/>
      <w:marBottom w:val="0"/>
      <w:divBdr>
        <w:top w:val="none" w:sz="0" w:space="0" w:color="auto"/>
        <w:left w:val="none" w:sz="0" w:space="0" w:color="auto"/>
        <w:bottom w:val="none" w:sz="0" w:space="0" w:color="auto"/>
        <w:right w:val="none" w:sz="0" w:space="0" w:color="auto"/>
      </w:divBdr>
    </w:div>
    <w:div w:id="1329165584">
      <w:bodyDiv w:val="1"/>
      <w:marLeft w:val="0"/>
      <w:marRight w:val="0"/>
      <w:marTop w:val="0"/>
      <w:marBottom w:val="0"/>
      <w:divBdr>
        <w:top w:val="none" w:sz="0" w:space="0" w:color="auto"/>
        <w:left w:val="none" w:sz="0" w:space="0" w:color="auto"/>
        <w:bottom w:val="none" w:sz="0" w:space="0" w:color="auto"/>
        <w:right w:val="none" w:sz="0" w:space="0" w:color="auto"/>
      </w:divBdr>
    </w:div>
    <w:div w:id="1351878782">
      <w:bodyDiv w:val="1"/>
      <w:marLeft w:val="0"/>
      <w:marRight w:val="0"/>
      <w:marTop w:val="0"/>
      <w:marBottom w:val="0"/>
      <w:divBdr>
        <w:top w:val="none" w:sz="0" w:space="0" w:color="auto"/>
        <w:left w:val="none" w:sz="0" w:space="0" w:color="auto"/>
        <w:bottom w:val="none" w:sz="0" w:space="0" w:color="auto"/>
        <w:right w:val="none" w:sz="0" w:space="0" w:color="auto"/>
      </w:divBdr>
    </w:div>
    <w:div w:id="1361321406">
      <w:bodyDiv w:val="1"/>
      <w:marLeft w:val="0"/>
      <w:marRight w:val="0"/>
      <w:marTop w:val="0"/>
      <w:marBottom w:val="0"/>
      <w:divBdr>
        <w:top w:val="none" w:sz="0" w:space="0" w:color="auto"/>
        <w:left w:val="none" w:sz="0" w:space="0" w:color="auto"/>
        <w:bottom w:val="none" w:sz="0" w:space="0" w:color="auto"/>
        <w:right w:val="none" w:sz="0" w:space="0" w:color="auto"/>
      </w:divBdr>
    </w:div>
    <w:div w:id="1431467173">
      <w:bodyDiv w:val="1"/>
      <w:marLeft w:val="0"/>
      <w:marRight w:val="0"/>
      <w:marTop w:val="0"/>
      <w:marBottom w:val="0"/>
      <w:divBdr>
        <w:top w:val="none" w:sz="0" w:space="0" w:color="auto"/>
        <w:left w:val="none" w:sz="0" w:space="0" w:color="auto"/>
        <w:bottom w:val="none" w:sz="0" w:space="0" w:color="auto"/>
        <w:right w:val="none" w:sz="0" w:space="0" w:color="auto"/>
      </w:divBdr>
    </w:div>
    <w:div w:id="1471241273">
      <w:bodyDiv w:val="1"/>
      <w:marLeft w:val="0"/>
      <w:marRight w:val="0"/>
      <w:marTop w:val="0"/>
      <w:marBottom w:val="0"/>
      <w:divBdr>
        <w:top w:val="none" w:sz="0" w:space="0" w:color="auto"/>
        <w:left w:val="none" w:sz="0" w:space="0" w:color="auto"/>
        <w:bottom w:val="none" w:sz="0" w:space="0" w:color="auto"/>
        <w:right w:val="none" w:sz="0" w:space="0" w:color="auto"/>
      </w:divBdr>
    </w:div>
    <w:div w:id="1486429310">
      <w:bodyDiv w:val="1"/>
      <w:marLeft w:val="0"/>
      <w:marRight w:val="0"/>
      <w:marTop w:val="0"/>
      <w:marBottom w:val="0"/>
      <w:divBdr>
        <w:top w:val="none" w:sz="0" w:space="0" w:color="auto"/>
        <w:left w:val="none" w:sz="0" w:space="0" w:color="auto"/>
        <w:bottom w:val="none" w:sz="0" w:space="0" w:color="auto"/>
        <w:right w:val="none" w:sz="0" w:space="0" w:color="auto"/>
      </w:divBdr>
    </w:div>
    <w:div w:id="1511993687">
      <w:bodyDiv w:val="1"/>
      <w:marLeft w:val="0"/>
      <w:marRight w:val="0"/>
      <w:marTop w:val="0"/>
      <w:marBottom w:val="0"/>
      <w:divBdr>
        <w:top w:val="none" w:sz="0" w:space="0" w:color="auto"/>
        <w:left w:val="none" w:sz="0" w:space="0" w:color="auto"/>
        <w:bottom w:val="none" w:sz="0" w:space="0" w:color="auto"/>
        <w:right w:val="none" w:sz="0" w:space="0" w:color="auto"/>
      </w:divBdr>
    </w:div>
    <w:div w:id="1514101840">
      <w:bodyDiv w:val="1"/>
      <w:marLeft w:val="0"/>
      <w:marRight w:val="0"/>
      <w:marTop w:val="0"/>
      <w:marBottom w:val="0"/>
      <w:divBdr>
        <w:top w:val="none" w:sz="0" w:space="0" w:color="auto"/>
        <w:left w:val="none" w:sz="0" w:space="0" w:color="auto"/>
        <w:bottom w:val="none" w:sz="0" w:space="0" w:color="auto"/>
        <w:right w:val="none" w:sz="0" w:space="0" w:color="auto"/>
      </w:divBdr>
    </w:div>
    <w:div w:id="1561482104">
      <w:bodyDiv w:val="1"/>
      <w:marLeft w:val="0"/>
      <w:marRight w:val="0"/>
      <w:marTop w:val="0"/>
      <w:marBottom w:val="0"/>
      <w:divBdr>
        <w:top w:val="none" w:sz="0" w:space="0" w:color="auto"/>
        <w:left w:val="none" w:sz="0" w:space="0" w:color="auto"/>
        <w:bottom w:val="none" w:sz="0" w:space="0" w:color="auto"/>
        <w:right w:val="none" w:sz="0" w:space="0" w:color="auto"/>
      </w:divBdr>
    </w:div>
    <w:div w:id="1568490040">
      <w:bodyDiv w:val="1"/>
      <w:marLeft w:val="0"/>
      <w:marRight w:val="0"/>
      <w:marTop w:val="0"/>
      <w:marBottom w:val="0"/>
      <w:divBdr>
        <w:top w:val="none" w:sz="0" w:space="0" w:color="auto"/>
        <w:left w:val="none" w:sz="0" w:space="0" w:color="auto"/>
        <w:bottom w:val="none" w:sz="0" w:space="0" w:color="auto"/>
        <w:right w:val="none" w:sz="0" w:space="0" w:color="auto"/>
      </w:divBdr>
    </w:div>
    <w:div w:id="1569262807">
      <w:bodyDiv w:val="1"/>
      <w:marLeft w:val="0"/>
      <w:marRight w:val="0"/>
      <w:marTop w:val="0"/>
      <w:marBottom w:val="0"/>
      <w:divBdr>
        <w:top w:val="none" w:sz="0" w:space="0" w:color="auto"/>
        <w:left w:val="none" w:sz="0" w:space="0" w:color="auto"/>
        <w:bottom w:val="none" w:sz="0" w:space="0" w:color="auto"/>
        <w:right w:val="none" w:sz="0" w:space="0" w:color="auto"/>
      </w:divBdr>
    </w:div>
    <w:div w:id="1573350204">
      <w:bodyDiv w:val="1"/>
      <w:marLeft w:val="0"/>
      <w:marRight w:val="0"/>
      <w:marTop w:val="0"/>
      <w:marBottom w:val="0"/>
      <w:divBdr>
        <w:top w:val="none" w:sz="0" w:space="0" w:color="auto"/>
        <w:left w:val="none" w:sz="0" w:space="0" w:color="auto"/>
        <w:bottom w:val="none" w:sz="0" w:space="0" w:color="auto"/>
        <w:right w:val="none" w:sz="0" w:space="0" w:color="auto"/>
      </w:divBdr>
    </w:div>
    <w:div w:id="1579048332">
      <w:bodyDiv w:val="1"/>
      <w:marLeft w:val="0"/>
      <w:marRight w:val="0"/>
      <w:marTop w:val="0"/>
      <w:marBottom w:val="0"/>
      <w:divBdr>
        <w:top w:val="none" w:sz="0" w:space="0" w:color="auto"/>
        <w:left w:val="none" w:sz="0" w:space="0" w:color="auto"/>
        <w:bottom w:val="none" w:sz="0" w:space="0" w:color="auto"/>
        <w:right w:val="none" w:sz="0" w:space="0" w:color="auto"/>
      </w:divBdr>
    </w:div>
    <w:div w:id="1598058105">
      <w:bodyDiv w:val="1"/>
      <w:marLeft w:val="0"/>
      <w:marRight w:val="0"/>
      <w:marTop w:val="0"/>
      <w:marBottom w:val="0"/>
      <w:divBdr>
        <w:top w:val="none" w:sz="0" w:space="0" w:color="auto"/>
        <w:left w:val="none" w:sz="0" w:space="0" w:color="auto"/>
        <w:bottom w:val="none" w:sz="0" w:space="0" w:color="auto"/>
        <w:right w:val="none" w:sz="0" w:space="0" w:color="auto"/>
      </w:divBdr>
    </w:div>
    <w:div w:id="1632176317">
      <w:bodyDiv w:val="1"/>
      <w:marLeft w:val="0"/>
      <w:marRight w:val="0"/>
      <w:marTop w:val="0"/>
      <w:marBottom w:val="0"/>
      <w:divBdr>
        <w:top w:val="none" w:sz="0" w:space="0" w:color="auto"/>
        <w:left w:val="none" w:sz="0" w:space="0" w:color="auto"/>
        <w:bottom w:val="none" w:sz="0" w:space="0" w:color="auto"/>
        <w:right w:val="none" w:sz="0" w:space="0" w:color="auto"/>
      </w:divBdr>
    </w:div>
    <w:div w:id="1691755515">
      <w:bodyDiv w:val="1"/>
      <w:marLeft w:val="0"/>
      <w:marRight w:val="0"/>
      <w:marTop w:val="0"/>
      <w:marBottom w:val="0"/>
      <w:divBdr>
        <w:top w:val="none" w:sz="0" w:space="0" w:color="auto"/>
        <w:left w:val="none" w:sz="0" w:space="0" w:color="auto"/>
        <w:bottom w:val="none" w:sz="0" w:space="0" w:color="auto"/>
        <w:right w:val="none" w:sz="0" w:space="0" w:color="auto"/>
      </w:divBdr>
    </w:div>
    <w:div w:id="1693606763">
      <w:bodyDiv w:val="1"/>
      <w:marLeft w:val="0"/>
      <w:marRight w:val="0"/>
      <w:marTop w:val="0"/>
      <w:marBottom w:val="0"/>
      <w:divBdr>
        <w:top w:val="none" w:sz="0" w:space="0" w:color="auto"/>
        <w:left w:val="none" w:sz="0" w:space="0" w:color="auto"/>
        <w:bottom w:val="none" w:sz="0" w:space="0" w:color="auto"/>
        <w:right w:val="none" w:sz="0" w:space="0" w:color="auto"/>
      </w:divBdr>
    </w:div>
    <w:div w:id="1715234777">
      <w:bodyDiv w:val="1"/>
      <w:marLeft w:val="0"/>
      <w:marRight w:val="0"/>
      <w:marTop w:val="0"/>
      <w:marBottom w:val="0"/>
      <w:divBdr>
        <w:top w:val="none" w:sz="0" w:space="0" w:color="auto"/>
        <w:left w:val="none" w:sz="0" w:space="0" w:color="auto"/>
        <w:bottom w:val="none" w:sz="0" w:space="0" w:color="auto"/>
        <w:right w:val="none" w:sz="0" w:space="0" w:color="auto"/>
      </w:divBdr>
    </w:div>
    <w:div w:id="1735199938">
      <w:bodyDiv w:val="1"/>
      <w:marLeft w:val="0"/>
      <w:marRight w:val="0"/>
      <w:marTop w:val="0"/>
      <w:marBottom w:val="0"/>
      <w:divBdr>
        <w:top w:val="none" w:sz="0" w:space="0" w:color="auto"/>
        <w:left w:val="none" w:sz="0" w:space="0" w:color="auto"/>
        <w:bottom w:val="none" w:sz="0" w:space="0" w:color="auto"/>
        <w:right w:val="none" w:sz="0" w:space="0" w:color="auto"/>
      </w:divBdr>
    </w:div>
    <w:div w:id="1735811070">
      <w:bodyDiv w:val="1"/>
      <w:marLeft w:val="0"/>
      <w:marRight w:val="0"/>
      <w:marTop w:val="0"/>
      <w:marBottom w:val="0"/>
      <w:divBdr>
        <w:top w:val="none" w:sz="0" w:space="0" w:color="auto"/>
        <w:left w:val="none" w:sz="0" w:space="0" w:color="auto"/>
        <w:bottom w:val="none" w:sz="0" w:space="0" w:color="auto"/>
        <w:right w:val="none" w:sz="0" w:space="0" w:color="auto"/>
      </w:divBdr>
    </w:div>
    <w:div w:id="1738936903">
      <w:bodyDiv w:val="1"/>
      <w:marLeft w:val="0"/>
      <w:marRight w:val="0"/>
      <w:marTop w:val="0"/>
      <w:marBottom w:val="0"/>
      <w:divBdr>
        <w:top w:val="none" w:sz="0" w:space="0" w:color="auto"/>
        <w:left w:val="none" w:sz="0" w:space="0" w:color="auto"/>
        <w:bottom w:val="none" w:sz="0" w:space="0" w:color="auto"/>
        <w:right w:val="none" w:sz="0" w:space="0" w:color="auto"/>
      </w:divBdr>
    </w:div>
    <w:div w:id="1783308123">
      <w:bodyDiv w:val="1"/>
      <w:marLeft w:val="0"/>
      <w:marRight w:val="0"/>
      <w:marTop w:val="0"/>
      <w:marBottom w:val="0"/>
      <w:divBdr>
        <w:top w:val="none" w:sz="0" w:space="0" w:color="auto"/>
        <w:left w:val="none" w:sz="0" w:space="0" w:color="auto"/>
        <w:bottom w:val="none" w:sz="0" w:space="0" w:color="auto"/>
        <w:right w:val="none" w:sz="0" w:space="0" w:color="auto"/>
      </w:divBdr>
    </w:div>
    <w:div w:id="1814904810">
      <w:bodyDiv w:val="1"/>
      <w:marLeft w:val="0"/>
      <w:marRight w:val="0"/>
      <w:marTop w:val="0"/>
      <w:marBottom w:val="0"/>
      <w:divBdr>
        <w:top w:val="none" w:sz="0" w:space="0" w:color="auto"/>
        <w:left w:val="none" w:sz="0" w:space="0" w:color="auto"/>
        <w:bottom w:val="none" w:sz="0" w:space="0" w:color="auto"/>
        <w:right w:val="none" w:sz="0" w:space="0" w:color="auto"/>
      </w:divBdr>
    </w:div>
    <w:div w:id="1815444343">
      <w:bodyDiv w:val="1"/>
      <w:marLeft w:val="0"/>
      <w:marRight w:val="0"/>
      <w:marTop w:val="0"/>
      <w:marBottom w:val="0"/>
      <w:divBdr>
        <w:top w:val="none" w:sz="0" w:space="0" w:color="auto"/>
        <w:left w:val="none" w:sz="0" w:space="0" w:color="auto"/>
        <w:bottom w:val="none" w:sz="0" w:space="0" w:color="auto"/>
        <w:right w:val="none" w:sz="0" w:space="0" w:color="auto"/>
      </w:divBdr>
    </w:div>
    <w:div w:id="1839685560">
      <w:bodyDiv w:val="1"/>
      <w:marLeft w:val="0"/>
      <w:marRight w:val="0"/>
      <w:marTop w:val="0"/>
      <w:marBottom w:val="0"/>
      <w:divBdr>
        <w:top w:val="none" w:sz="0" w:space="0" w:color="auto"/>
        <w:left w:val="none" w:sz="0" w:space="0" w:color="auto"/>
        <w:bottom w:val="none" w:sz="0" w:space="0" w:color="auto"/>
        <w:right w:val="none" w:sz="0" w:space="0" w:color="auto"/>
      </w:divBdr>
    </w:div>
    <w:div w:id="1842696438">
      <w:bodyDiv w:val="1"/>
      <w:marLeft w:val="0"/>
      <w:marRight w:val="0"/>
      <w:marTop w:val="0"/>
      <w:marBottom w:val="0"/>
      <w:divBdr>
        <w:top w:val="none" w:sz="0" w:space="0" w:color="auto"/>
        <w:left w:val="none" w:sz="0" w:space="0" w:color="auto"/>
        <w:bottom w:val="none" w:sz="0" w:space="0" w:color="auto"/>
        <w:right w:val="none" w:sz="0" w:space="0" w:color="auto"/>
      </w:divBdr>
    </w:div>
    <w:div w:id="1846549634">
      <w:bodyDiv w:val="1"/>
      <w:marLeft w:val="0"/>
      <w:marRight w:val="0"/>
      <w:marTop w:val="0"/>
      <w:marBottom w:val="0"/>
      <w:divBdr>
        <w:top w:val="none" w:sz="0" w:space="0" w:color="auto"/>
        <w:left w:val="none" w:sz="0" w:space="0" w:color="auto"/>
        <w:bottom w:val="none" w:sz="0" w:space="0" w:color="auto"/>
        <w:right w:val="none" w:sz="0" w:space="0" w:color="auto"/>
      </w:divBdr>
    </w:div>
    <w:div w:id="1853180073">
      <w:bodyDiv w:val="1"/>
      <w:marLeft w:val="0"/>
      <w:marRight w:val="0"/>
      <w:marTop w:val="0"/>
      <w:marBottom w:val="0"/>
      <w:divBdr>
        <w:top w:val="none" w:sz="0" w:space="0" w:color="auto"/>
        <w:left w:val="none" w:sz="0" w:space="0" w:color="auto"/>
        <w:bottom w:val="none" w:sz="0" w:space="0" w:color="auto"/>
        <w:right w:val="none" w:sz="0" w:space="0" w:color="auto"/>
      </w:divBdr>
    </w:div>
    <w:div w:id="1867450538">
      <w:bodyDiv w:val="1"/>
      <w:marLeft w:val="0"/>
      <w:marRight w:val="0"/>
      <w:marTop w:val="0"/>
      <w:marBottom w:val="0"/>
      <w:divBdr>
        <w:top w:val="none" w:sz="0" w:space="0" w:color="auto"/>
        <w:left w:val="none" w:sz="0" w:space="0" w:color="auto"/>
        <w:bottom w:val="none" w:sz="0" w:space="0" w:color="auto"/>
        <w:right w:val="none" w:sz="0" w:space="0" w:color="auto"/>
      </w:divBdr>
    </w:div>
    <w:div w:id="1874028713">
      <w:bodyDiv w:val="1"/>
      <w:marLeft w:val="0"/>
      <w:marRight w:val="0"/>
      <w:marTop w:val="0"/>
      <w:marBottom w:val="0"/>
      <w:divBdr>
        <w:top w:val="none" w:sz="0" w:space="0" w:color="auto"/>
        <w:left w:val="none" w:sz="0" w:space="0" w:color="auto"/>
        <w:bottom w:val="none" w:sz="0" w:space="0" w:color="auto"/>
        <w:right w:val="none" w:sz="0" w:space="0" w:color="auto"/>
      </w:divBdr>
    </w:div>
    <w:div w:id="1881438174">
      <w:bodyDiv w:val="1"/>
      <w:marLeft w:val="0"/>
      <w:marRight w:val="0"/>
      <w:marTop w:val="0"/>
      <w:marBottom w:val="0"/>
      <w:divBdr>
        <w:top w:val="none" w:sz="0" w:space="0" w:color="auto"/>
        <w:left w:val="none" w:sz="0" w:space="0" w:color="auto"/>
        <w:bottom w:val="none" w:sz="0" w:space="0" w:color="auto"/>
        <w:right w:val="none" w:sz="0" w:space="0" w:color="auto"/>
      </w:divBdr>
    </w:div>
    <w:div w:id="1926719038">
      <w:bodyDiv w:val="1"/>
      <w:marLeft w:val="0"/>
      <w:marRight w:val="0"/>
      <w:marTop w:val="0"/>
      <w:marBottom w:val="0"/>
      <w:divBdr>
        <w:top w:val="none" w:sz="0" w:space="0" w:color="auto"/>
        <w:left w:val="none" w:sz="0" w:space="0" w:color="auto"/>
        <w:bottom w:val="none" w:sz="0" w:space="0" w:color="auto"/>
        <w:right w:val="none" w:sz="0" w:space="0" w:color="auto"/>
      </w:divBdr>
    </w:div>
    <w:div w:id="1935898781">
      <w:bodyDiv w:val="1"/>
      <w:marLeft w:val="0"/>
      <w:marRight w:val="0"/>
      <w:marTop w:val="0"/>
      <w:marBottom w:val="0"/>
      <w:divBdr>
        <w:top w:val="none" w:sz="0" w:space="0" w:color="auto"/>
        <w:left w:val="none" w:sz="0" w:space="0" w:color="auto"/>
        <w:bottom w:val="none" w:sz="0" w:space="0" w:color="auto"/>
        <w:right w:val="none" w:sz="0" w:space="0" w:color="auto"/>
      </w:divBdr>
    </w:div>
    <w:div w:id="1999573143">
      <w:bodyDiv w:val="1"/>
      <w:marLeft w:val="0"/>
      <w:marRight w:val="0"/>
      <w:marTop w:val="0"/>
      <w:marBottom w:val="0"/>
      <w:divBdr>
        <w:top w:val="none" w:sz="0" w:space="0" w:color="auto"/>
        <w:left w:val="none" w:sz="0" w:space="0" w:color="auto"/>
        <w:bottom w:val="none" w:sz="0" w:space="0" w:color="auto"/>
        <w:right w:val="none" w:sz="0" w:space="0" w:color="auto"/>
      </w:divBdr>
    </w:div>
    <w:div w:id="2041197775">
      <w:bodyDiv w:val="1"/>
      <w:marLeft w:val="0"/>
      <w:marRight w:val="0"/>
      <w:marTop w:val="0"/>
      <w:marBottom w:val="0"/>
      <w:divBdr>
        <w:top w:val="none" w:sz="0" w:space="0" w:color="auto"/>
        <w:left w:val="none" w:sz="0" w:space="0" w:color="auto"/>
        <w:bottom w:val="none" w:sz="0" w:space="0" w:color="auto"/>
        <w:right w:val="none" w:sz="0" w:space="0" w:color="auto"/>
      </w:divBdr>
    </w:div>
    <w:div w:id="2088376995">
      <w:bodyDiv w:val="1"/>
      <w:marLeft w:val="0"/>
      <w:marRight w:val="0"/>
      <w:marTop w:val="0"/>
      <w:marBottom w:val="0"/>
      <w:divBdr>
        <w:top w:val="none" w:sz="0" w:space="0" w:color="auto"/>
        <w:left w:val="none" w:sz="0" w:space="0" w:color="auto"/>
        <w:bottom w:val="none" w:sz="0" w:space="0" w:color="auto"/>
        <w:right w:val="none" w:sz="0" w:space="0" w:color="auto"/>
      </w:divBdr>
    </w:div>
    <w:div w:id="2107800941">
      <w:bodyDiv w:val="1"/>
      <w:marLeft w:val="0"/>
      <w:marRight w:val="0"/>
      <w:marTop w:val="0"/>
      <w:marBottom w:val="0"/>
      <w:divBdr>
        <w:top w:val="none" w:sz="0" w:space="0" w:color="auto"/>
        <w:left w:val="none" w:sz="0" w:space="0" w:color="auto"/>
        <w:bottom w:val="none" w:sz="0" w:space="0" w:color="auto"/>
        <w:right w:val="none" w:sz="0" w:space="0" w:color="auto"/>
      </w:divBdr>
    </w:div>
    <w:div w:id="2134595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Fro19</b:Tag>
    <b:SourceType>InternetSite</b:SourceType>
    <b:Guid>{082E7E81-ABE0-4F41-8A78-297F2B0AE895}</b:Guid>
    <b:Title>Frontline Aids: Who we are?</b:Title>
    <b:Year>2019</b:Year>
    <b:Author>
      <b:Author>
        <b:Corporate>Frontline Aids</b:Corporate>
      </b:Author>
    </b:Author>
    <b:InternetSiteTitle>Frontlineaids.org</b:InternetSiteTitle>
    <b:Month>01</b:Month>
    <b:Day>02</b:Day>
    <b:URL>2019</b:URL>
    <b:RefOrder>8</b:RefOrder>
  </b:Source>
  <b:Source>
    <b:Tag>UNA18</b:Tag>
    <b:SourceType>InternetSite</b:SourceType>
    <b:Guid>{25458B0A-A2E6-4773-A2E5-85EFD730FCFE}</b:Guid>
    <b:Author>
      <b:Author>
        <b:Corporate>UNAIDS</b:Corporate>
      </b:Author>
    </b:Author>
    <b:Title>Global HIV &amp; AIDS statistics — 2018 fact sheet</b:Title>
    <b:JournalName>UNAIDS</b:JournalName>
    <b:Year>2018</b:Year>
    <b:InternetSiteTitle>UNAIDS.org</b:InternetSiteTitle>
    <b:Month>December</b:Month>
    <b:Day>1</b:Day>
    <b:URL>http://www.unaids.org/sites/default/files/media_asset/UNAIDS_FactSheet_en.pdf</b:URL>
    <b:RefOrder>9</b:RefOrder>
  </b:Source>
  <b:Source>
    <b:Tag>Wor18</b:Tag>
    <b:SourceType>Report</b:SourceType>
    <b:Guid>{3ED5FB86-58B1-43E7-94FD-1A3E9CFFE0A4}</b:Guid>
    <b:Title>Deaths by cause, age, sex, by country and by region</b:Title>
    <b:Year>2018</b:Year>
    <b:Author>
      <b:Author>
        <b:Corporate>World Health Organisation</b:Corporate>
      </b:Author>
    </b:Author>
    <b:Publisher>World Health Organisation</b:Publisher>
    <b:City>Geneva</b:City>
    <b:RefOrder>10</b:RefOrder>
  </b:Source>
  <b:Source>
    <b:Tag>LON16</b:Tag>
    <b:SourceType>JournalArticle</b:SourceType>
    <b:Guid>{2B27A19D-4721-4687-8A3A-1DE6B2B81B66}</b:Guid>
    <b:Title>Abstinence Funding Was Not Associated With Reductions In HIV Risk Behavior In Sub-Saharan Africa</b:Title>
    <b:Year>2016</b:Year>
    <b:Author>
      <b:Author>
        <b:NameList>
          <b:Person>
            <b:Last>Lo</b:Last>
            <b:First>N.</b:First>
            <b:Middle>C</b:Middle>
          </b:Person>
          <b:Person>
            <b:Last>Lowe</b:Last>
            <b:First>A</b:First>
          </b:Person>
          <b:Person>
            <b:Last>Bendavid</b:Last>
            <b:First>E</b:First>
          </b:Person>
        </b:NameList>
      </b:Author>
    </b:Author>
    <b:JournalName>Health affairs</b:JournalName>
    <b:Pages>856-863</b:Pages>
    <b:RefOrder>1</b:RefOrder>
  </b:Source>
  <b:Source>
    <b:Tag>San13</b:Tag>
    <b:SourceType>JournalArticle</b:SourceType>
    <b:Guid>{96EBC4E1-E43A-447D-8974-B95184954F44}</b:Guid>
    <b:Author>
      <b:Author>
        <b:NameList>
          <b:Person>
            <b:Last>Santelli</b:Last>
            <b:First>J.</b:First>
            <b:Middle>S</b:Middle>
          </b:Person>
          <b:Person>
            <b:Last>Speizer</b:Last>
            <b:First>I.</b:First>
            <b:Middle>S</b:Middle>
          </b:Person>
          <b:Person>
            <b:Last>Edelstein</b:Last>
            <b:First>Z.</b:First>
            <b:Middle>R</b:Middle>
          </b:Person>
        </b:NameList>
      </b:Author>
    </b:Author>
    <b:Title>Abstinence promotion under PEPFAR: the shifting focus of HIV prevention for youth</b:Title>
    <b:JournalName>Global Public Health</b:JournalName>
    <b:Year>2013</b:Year>
    <b:Pages>1-12</b:Pages>
    <b:Publisher>Global Public Health</b:Publisher>
    <b:City>8 Santelli JS, Speizer IS, Edelstein ZR. Abstinence promotion under PEPFAR: the shifting focus of HIV prevention for youth. Glob Public Health. 2013;8(1):1-12.</b:City>
    <b:RefOrder>2</b:RefOrder>
  </b:Source>
  <b:Source>
    <b:Tag>San06</b:Tag>
    <b:SourceType>JournalArticle</b:SourceType>
    <b:Guid>{16E85143-AF76-425F-A859-9015D4E06F54}</b:Guid>
    <b:Author>
      <b:Author>
        <b:NameList>
          <b:Person>
            <b:Last>Santelli</b:Last>
            <b:First>J</b:First>
          </b:Person>
          <b:Person>
            <b:Last>Ott</b:Last>
            <b:First>M.</b:First>
            <b:Middle>A</b:Middle>
          </b:Person>
          <b:Person>
            <b:Last>Lyon</b:Last>
            <b:First>M</b:First>
          </b:Person>
          <b:Person>
            <b:Last>Rogers</b:Last>
            <b:First>J</b:First>
          </b:Person>
          <b:Person>
            <b:Last>Summers</b:Last>
            <b:First>D</b:First>
          </b:Person>
          <b:Person>
            <b:Last>Schleifer</b:Last>
            <b:First>R</b:First>
          </b:Person>
        </b:NameList>
      </b:Author>
    </b:Author>
    <b:Title>Abstinence and abstinence-only education: a review of U.S. policies and programmes</b:Title>
    <b:JournalName>Journal of Adolescent Health</b:JournalName>
    <b:Year>2006</b:Year>
    <b:Pages>72-81</b:Pages>
    <b:RefOrder>11</b:RefOrder>
  </b:Source>
  <b:Source>
    <b:Tag>Cha11</b:Tag>
    <b:SourceType>JournalArticle</b:SourceType>
    <b:Guid>{40EF0119-C676-436C-80CD-21D98F2D28D3}</b:Guid>
    <b:Author>
      <b:Author>
        <b:NameList>
          <b:Person>
            <b:Last>Charania</b:Last>
            <b:First>M.</b:First>
            <b:Middle>R</b:Middle>
          </b:Person>
          <b:Person>
            <b:Last>Crepaz</b:Last>
            <b:First>N</b:First>
          </b:Person>
          <b:Person>
            <b:Last>Guenther-Gray</b:Last>
            <b:First>C</b:First>
          </b:Person>
          <b:Person>
            <b:Last>Henny</b:Last>
            <b:First>K</b:First>
          </b:Person>
          <b:Person>
            <b:Last>Liau</b:Last>
            <b:First>A</b:First>
          </b:Person>
          <b:Person>
            <b:Last>Willis</b:Last>
            <b:First>L.</b:First>
            <b:Middle>A</b:Middle>
          </b:Person>
        </b:NameList>
      </b:Author>
    </b:Author>
    <b:Title>Efficacy of structural-level condom distribution interventions: a meta-analysis of U.S. and international studies</b:Title>
    <b:JournalName>AIDS Behaviour</b:JournalName>
    <b:Year>2011</b:Year>
    <b:Pages>1283-97</b:Pages>
    <b:RefOrder>3</b:RefOrder>
  </b:Source>
  <b:Source>
    <b:Tag>Okw12</b:Tag>
    <b:SourceType>JournalArticle</b:SourceType>
    <b:Guid>{1A9C98B5-04EC-4CD5-9D0C-AC99DDAAF6D8}</b:Guid>
    <b:Title>Antiretroviral preexposure prophylaxis (PrEP) for preventing HIV in high-risk individuals</b:Title>
    <b:JournalName>Cochrane Database System Review</b:JournalName>
    <b:Year>2012</b:Year>
    <b:Publisher>15 Okwundu CI, Uthman OA, Okoromah CA. Antiretroviral preexposure prophylaxis (PrEP) for preventing HIV in high-risk individuals. Cochrane Database Syst Rev. 2012;7:CD007189.</b:Publisher>
    <b:Author>
      <b:Author>
        <b:NameList>
          <b:Person>
            <b:Last>Okwundu</b:Last>
            <b:First>C.</b:First>
            <b:Middle>I</b:Middle>
          </b:Person>
          <b:Person>
            <b:Last>Uthman</b:Last>
            <b:First>O.</b:First>
            <b:Middle>A</b:Middle>
          </b:Person>
          <b:Person>
            <b:Last>Okoromah</b:Last>
            <b:First>C.</b:First>
            <b:Middle>A</b:Middle>
          </b:Person>
        </b:NameList>
      </b:Author>
    </b:Author>
    <b:RefOrder>4</b:RefOrder>
  </b:Source>
  <b:Source>
    <b:Tag>Mad17</b:Tag>
    <b:SourceType>Report</b:SourceType>
    <b:Guid>{67DDC98D-7B12-48D5-8EFD-39258A340EF4}</b:Guid>
    <b:Author>
      <b:Author>
        <b:NameList>
          <b:Person>
            <b:Last>Madiba</b:Last>
            <b:First>S</b:First>
          </b:Person>
          <b:Person>
            <b:Last>Ngwenya</b:Last>
            <b:First>N</b:First>
          </b:Person>
        </b:NameList>
      </b:Author>
    </b:Author>
    <b:Title>Cultural practices, gender inequality and inconsistent condom use increase vulnerability to HIV infection: narratives from married and cohabiting women in rural communities in Mpumalanga province</b:Title>
    <b:JournalName>Global Health Action</b:JournalName>
    <b:Year>2017</b:Year>
    <b:Publisher>Global Health Action</b:Publisher>
    <b:City>South Africa</b:City>
    <b:RefOrder>12</b:RefOrder>
  </b:Source>
  <b:Source>
    <b:Tag>USD19</b:Tag>
    <b:SourceType>InternetSite</b:SourceType>
    <b:Guid>{CB7D89F5-6C0B-4BD8-8F30-5365C1430CFA}</b:Guid>
    <b:Title>HIV and Gay and Bisexual Men</b:Title>
    <b:Year>2019</b:Year>
    <b:Author>
      <b:Author>
        <b:Corporate>USDOHAHS</b:Corporate>
      </b:Author>
    </b:Author>
    <b:InternetSiteTitle>Aidsinfo.nih.org</b:InternetSiteTitle>
    <b:Month>April</b:Month>
    <b:Day>9</b:Day>
    <b:URL>https://aidsinfo.nih.gov/understanding-hiv-aids/fact-sheets/25/81/hiv-and-gay-and-bisexual-men</b:URL>
    <b:RefOrder>5</b:RefOrder>
  </b:Source>
  <b:Source>
    <b:Tag>Cen82</b:Tag>
    <b:SourceType>JournalArticle</b:SourceType>
    <b:Guid>{46E83D7F-6C9F-475F-91C2-BFCA76C3A68E}</b:Guid>
    <b:Title>A Cluster of Kaposi's Sarcoma and Pneumocystis carinii Pneumonia among Homosexual Male Residents of Los Angeles and range Counties, California</b:Title>
    <b:Year>1982</b:Year>
    <b:Author>
      <b:Author>
        <b:Corporate>Centers for Disease Control and Prevention</b:Corporate>
      </b:Author>
    </b:Author>
    <b:JournalName>MMWR</b:JournalName>
    <b:Pages>305-307</b:Pages>
    <b:RefOrder>6</b:RefOrder>
  </b:Source>
  <b:Source>
    <b:Tag>Hal12</b:Tag>
    <b:SourceType>JournalArticle</b:SourceType>
    <b:Guid>{AFEA4288-B9C5-4F40-9B05-E792EA397C54}</b:Guid>
    <b:Title>Discrimination and homophobia fuel the HIV epidemic in gay and bisexual men</b:Title>
    <b:JournalName>Psychology and AIDS Exchange Newsletter</b:JournalName>
    <b:Year>2012</b:Year>
    <b:Author>
      <b:Author>
        <b:NameList>
          <b:Person>
            <b:Last>Halkitis</b:Last>
            <b:First>N.</b:First>
            <b:Middle>P</b:Middle>
          </b:Person>
        </b:NameList>
      </b:Author>
    </b:Author>
    <b:Publisher>APA</b:Publisher>
    <b:RefOrder>13</b:RefOrder>
  </b:Source>
  <b:Source>
    <b:Tag>Hal05</b:Tag>
    <b:SourceType>JournalArticle</b:SourceType>
    <b:Guid>{8568E381-9830-498A-B665-A549BA1AA3FC}</b:Guid>
    <b:Author>
      <b:Author>
        <b:NameList>
          <b:Person>
            <b:Last>Halkitis</b:Last>
            <b:First>P.</b:First>
            <b:Middle>N</b:Middle>
          </b:Person>
          <b:Person>
            <b:Last>Fischgrund</b:Last>
            <b:First>B.</b:First>
            <b:Middle>N</b:Middle>
          </b:Person>
          <b:Person>
            <b:Last>Parsons</b:Last>
            <b:First>J.</b:First>
            <b:Middle>T</b:Middle>
          </b:Person>
        </b:NameList>
      </b:Author>
    </b:Author>
    <b:Title>Explainations for methamphetamine use among gay and bisexual men in New York City</b:Title>
    <b:JournalName>Substance Use &amp; Misuse</b:JournalName>
    <b:Year>2005</b:Year>
    <b:Pages>1-15</b:Pages>
    <b:RefOrder>14</b:RefOrder>
  </b:Source>
  <b:Source>
    <b:Tag>Hal04</b:Tag>
    <b:SourceType>JournalArticle</b:SourceType>
    <b:Guid>{D1058ECD-7362-4D3F-891A-8DF3E92C8BFD}</b:Guid>
    <b:Author>
      <b:Author>
        <b:NameList>
          <b:Person>
            <b:Last>Halkitis</b:Last>
            <b:First>P.</b:First>
            <b:Middle>N</b:Middle>
          </b:Person>
          <b:Person>
            <b:Last>Green</b:Last>
            <b:First>K.</b:First>
            <b:Middle>A</b:Middle>
          </b:Person>
          <b:Person>
            <b:Last>Wilton</b:Last>
            <b:First>L</b:First>
          </b:Person>
        </b:NameList>
      </b:Author>
    </b:Author>
    <b:Title>Masculinity, body image, and sexual behavior in HIV-seropositive gay men: A two-phase behavioral investigation using the Internet</b:Title>
    <b:JournalName>International Journal of Men’s Health</b:JournalName>
    <b:Year>2004</b:Year>
    <b:Pages>27-42</b:Pages>
    <b:RefOrder>15</b:RefOrder>
  </b:Source>
  <b:Source>
    <b:Tag>Dia01</b:Tag>
    <b:SourceType>JournalArticle</b:SourceType>
    <b:Guid>{6F4A8E79-4560-4F1A-BECD-120AF0F938F7}</b:Guid>
    <b:Author>
      <b:Author>
        <b:NameList>
          <b:Person>
            <b:Last>Diaz</b:Last>
            <b:First>R.</b:First>
            <b:Middle>M</b:Middle>
          </b:Person>
          <b:Person>
            <b:Last>Ayala</b:Last>
            <b:First>G</b:First>
          </b:Person>
          <b:Person>
            <b:Last>Bein</b:Last>
            <b:First>E</b:First>
          </b:Person>
          <b:Person>
            <b:Last>Henne</b:Last>
            <b:First>J</b:First>
          </b:Person>
          <b:Person>
            <b:Last>Marin</b:Last>
            <b:First>B.V</b:First>
          </b:Person>
        </b:NameList>
      </b:Author>
    </b:Author>
    <b:Title>The impact of homophobia, poverty, and racism on the mental health of gay and bisexual Latino men: Findings from 3 U.S. cities</b:Title>
    <b:JournalName>American Journal of Public Health</b:JournalName>
    <b:Year>2001</b:Year>
    <b:Pages>927–932</b:Pages>
    <b:RefOrder>7</b:RefOrder>
  </b:Source>
  <b:Source>
    <b:Tag>Tan18</b:Tag>
    <b:SourceType>JournalArticle</b:SourceType>
    <b:Guid>{5FF35F4C-DD40-4AA0-9836-492BF17F6549}</b:Guid>
    <b:Author>
      <b:Author>
        <b:NameList>
          <b:Person>
            <b:Last>Tan</b:Last>
            <b:First>R.</b:First>
            <b:Middle>K. J</b:Middle>
          </b:Person>
        </b:NameList>
      </b:Author>
    </b:Author>
    <b:Title>Internalized Homophobia, HIV Knowledge, and HIV/AIDS Personal Responsibility Beliefs: Correlates of HIV/AIDS Discrimination among MSM in the Context of Institutionalized Stigma.</b:Title>
    <b:JournalName>Journal of homosexuality</b:JournalName>
    <b:Year>2018</b:Year>
    <b:Pages>1-22</b:Pages>
    <b:RefOrder>16</b:RefOrder>
  </b:Source>
</b:Sources>
</file>

<file path=customXml/itemProps1.xml><?xml version="1.0" encoding="utf-8"?>
<ds:datastoreItem xmlns:ds="http://schemas.openxmlformats.org/officeDocument/2006/customXml" ds:itemID="{6314297A-7BF2-43B1-8076-04858C157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1497</Words>
  <Characters>8536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Bobby Farmer (1702887)</dc:creator>
  <cp:keywords/>
  <dc:description/>
  <cp:lastModifiedBy>Bobby Farmer</cp:lastModifiedBy>
  <cp:revision>2</cp:revision>
  <dcterms:created xsi:type="dcterms:W3CDTF">2019-04-30T21:56:00Z</dcterms:created>
  <dcterms:modified xsi:type="dcterms:W3CDTF">2019-04-30T21:56:00Z</dcterms:modified>
</cp:coreProperties>
</file>