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E7F8" w14:textId="77777777" w:rsidR="001F6138" w:rsidRDefault="001F6138" w:rsidP="001F6138">
      <w:pPr>
        <w:rPr>
          <w:rFonts w:ascii="Arial" w:hAnsi="Arial" w:cs="Arial"/>
          <w:b/>
          <w:bCs/>
          <w:sz w:val="40"/>
          <w:szCs w:val="40"/>
        </w:rPr>
      </w:pPr>
    </w:p>
    <w:p w14:paraId="79E3FE37" w14:textId="77777777" w:rsidR="001F6138" w:rsidRDefault="001F6138" w:rsidP="001F6138">
      <w:pPr>
        <w:rPr>
          <w:rFonts w:ascii="Arial" w:hAnsi="Arial" w:cs="Arial"/>
          <w:b/>
          <w:bCs/>
          <w:sz w:val="40"/>
          <w:szCs w:val="40"/>
        </w:rPr>
      </w:pPr>
      <w:r>
        <w:rPr>
          <w:noProof/>
        </w:rPr>
        <w:drawing>
          <wp:inline distT="0" distB="0" distL="0" distR="0" wp14:anchorId="77C5D914" wp14:editId="7C25BC1D">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A9C7E1D" w14:textId="77777777" w:rsidR="00A43BF9" w:rsidRDefault="00A43BF9" w:rsidP="001F6138">
      <w:pPr>
        <w:rPr>
          <w:rFonts w:ascii="Arial" w:hAnsi="Arial" w:cs="Arial"/>
          <w:b/>
          <w:bCs/>
          <w:sz w:val="40"/>
          <w:szCs w:val="40"/>
        </w:rPr>
      </w:pPr>
    </w:p>
    <w:p w14:paraId="209EFB60" w14:textId="77777777" w:rsidR="001F6138" w:rsidRPr="001F6138" w:rsidRDefault="001F6138" w:rsidP="001F6138">
      <w:pPr>
        <w:rPr>
          <w:rFonts w:ascii="Arial" w:hAnsi="Arial" w:cs="Arial"/>
          <w:sz w:val="40"/>
          <w:szCs w:val="40"/>
        </w:rPr>
      </w:pPr>
      <w:r w:rsidRPr="001F6138">
        <w:rPr>
          <w:rFonts w:ascii="Arial" w:hAnsi="Arial" w:cs="Arial"/>
          <w:b/>
          <w:bCs/>
          <w:sz w:val="40"/>
          <w:szCs w:val="40"/>
        </w:rPr>
        <w:t>Student name:</w:t>
      </w:r>
      <w:r w:rsidRPr="001F6138">
        <w:rPr>
          <w:rFonts w:ascii="Arial" w:hAnsi="Arial" w:cs="Arial"/>
          <w:sz w:val="40"/>
          <w:szCs w:val="40"/>
        </w:rPr>
        <w:t xml:space="preserve"> Nazra Bibi</w:t>
      </w:r>
    </w:p>
    <w:p w14:paraId="0E1E4761" w14:textId="77777777" w:rsidR="001F6138" w:rsidRPr="001F6138" w:rsidRDefault="001F6138" w:rsidP="001F6138">
      <w:pPr>
        <w:rPr>
          <w:rFonts w:ascii="Arial" w:hAnsi="Arial" w:cs="Arial"/>
          <w:sz w:val="40"/>
          <w:szCs w:val="40"/>
        </w:rPr>
      </w:pPr>
      <w:r w:rsidRPr="001F6138">
        <w:rPr>
          <w:rFonts w:ascii="Arial" w:hAnsi="Arial" w:cs="Arial"/>
          <w:b/>
          <w:bCs/>
          <w:sz w:val="40"/>
          <w:szCs w:val="40"/>
        </w:rPr>
        <w:t>Student ID number:</w:t>
      </w:r>
      <w:r w:rsidRPr="001F6138">
        <w:rPr>
          <w:rFonts w:ascii="Arial" w:hAnsi="Arial" w:cs="Arial"/>
          <w:sz w:val="40"/>
          <w:szCs w:val="40"/>
        </w:rPr>
        <w:t xml:space="preserve"> 2321286</w:t>
      </w:r>
    </w:p>
    <w:p w14:paraId="3AA4FBE0" w14:textId="77777777" w:rsidR="001F6138" w:rsidRPr="001F6138" w:rsidRDefault="001F6138" w:rsidP="001F6138">
      <w:pPr>
        <w:rPr>
          <w:rFonts w:ascii="Arial" w:hAnsi="Arial" w:cs="Arial"/>
          <w:sz w:val="40"/>
          <w:szCs w:val="40"/>
        </w:rPr>
      </w:pPr>
      <w:r w:rsidRPr="001F6138">
        <w:rPr>
          <w:rFonts w:ascii="Arial" w:hAnsi="Arial" w:cs="Arial"/>
          <w:b/>
          <w:bCs/>
          <w:sz w:val="40"/>
          <w:szCs w:val="40"/>
        </w:rPr>
        <w:t>Programme:</w:t>
      </w:r>
      <w:r w:rsidRPr="001F6138">
        <w:rPr>
          <w:rFonts w:ascii="Arial" w:hAnsi="Arial" w:cs="Arial"/>
          <w:sz w:val="40"/>
          <w:szCs w:val="40"/>
        </w:rPr>
        <w:t xml:space="preserve"> BA Leadership and Management</w:t>
      </w:r>
    </w:p>
    <w:p w14:paraId="665F9D95" w14:textId="77777777" w:rsidR="001F6138" w:rsidRDefault="001F6138" w:rsidP="001F6138">
      <w:pPr>
        <w:rPr>
          <w:rFonts w:ascii="Arial" w:hAnsi="Arial" w:cs="Arial"/>
          <w:sz w:val="40"/>
          <w:szCs w:val="40"/>
        </w:rPr>
      </w:pPr>
      <w:r w:rsidRPr="001F6138">
        <w:rPr>
          <w:rFonts w:ascii="Arial" w:hAnsi="Arial" w:cs="Arial"/>
          <w:b/>
          <w:bCs/>
          <w:sz w:val="40"/>
          <w:szCs w:val="40"/>
        </w:rPr>
        <w:t>Module:</w:t>
      </w:r>
      <w:r w:rsidRPr="001F6138">
        <w:rPr>
          <w:rFonts w:ascii="Arial" w:hAnsi="Arial" w:cs="Arial"/>
          <w:sz w:val="40"/>
          <w:szCs w:val="40"/>
        </w:rPr>
        <w:t xml:space="preserve"> Strategic Management for Business</w:t>
      </w:r>
    </w:p>
    <w:p w14:paraId="7D2D5BD4" w14:textId="77777777" w:rsidR="001F6138" w:rsidRPr="001F6138" w:rsidRDefault="001F6138" w:rsidP="001F6138">
      <w:pPr>
        <w:rPr>
          <w:rFonts w:ascii="Arial" w:hAnsi="Arial" w:cs="Arial"/>
          <w:sz w:val="40"/>
          <w:szCs w:val="40"/>
        </w:rPr>
      </w:pPr>
      <w:r w:rsidRPr="001F6138">
        <w:rPr>
          <w:rFonts w:ascii="Arial" w:hAnsi="Arial" w:cs="Arial"/>
          <w:b/>
          <w:bCs/>
          <w:sz w:val="40"/>
          <w:szCs w:val="40"/>
        </w:rPr>
        <w:t>Module code:</w:t>
      </w:r>
      <w:r w:rsidRPr="001F6138">
        <w:rPr>
          <w:rFonts w:ascii="Arial" w:hAnsi="Arial" w:cs="Arial"/>
          <w:sz w:val="40"/>
          <w:szCs w:val="40"/>
        </w:rPr>
        <w:t xml:space="preserve"> LCLM 600</w:t>
      </w:r>
      <w:r>
        <w:rPr>
          <w:rFonts w:ascii="Arial" w:hAnsi="Arial" w:cs="Arial"/>
          <w:sz w:val="40"/>
          <w:szCs w:val="40"/>
        </w:rPr>
        <w:t>1</w:t>
      </w:r>
    </w:p>
    <w:p w14:paraId="5028DA23" w14:textId="77777777" w:rsidR="001F6138" w:rsidRDefault="001F6138" w:rsidP="001F6138">
      <w:pPr>
        <w:rPr>
          <w:rFonts w:ascii="Arial" w:hAnsi="Arial" w:cs="Arial"/>
          <w:sz w:val="40"/>
          <w:szCs w:val="40"/>
        </w:rPr>
      </w:pPr>
      <w:r w:rsidRPr="001F6138">
        <w:rPr>
          <w:rFonts w:ascii="Arial" w:hAnsi="Arial" w:cs="Arial"/>
          <w:b/>
          <w:bCs/>
          <w:sz w:val="40"/>
          <w:szCs w:val="40"/>
        </w:rPr>
        <w:t>Assignment Title:</w:t>
      </w:r>
      <w:r w:rsidRPr="001F6138">
        <w:rPr>
          <w:rFonts w:ascii="Arial" w:hAnsi="Arial" w:cs="Arial"/>
          <w:sz w:val="40"/>
          <w:szCs w:val="40"/>
        </w:rPr>
        <w:t xml:space="preserve"> Individual Report</w:t>
      </w:r>
    </w:p>
    <w:p w14:paraId="4A454FF3" w14:textId="77777777" w:rsidR="001F6138" w:rsidRPr="001F6138" w:rsidRDefault="001F6138" w:rsidP="001F6138">
      <w:pPr>
        <w:rPr>
          <w:rFonts w:ascii="Arial" w:hAnsi="Arial" w:cs="Arial"/>
          <w:sz w:val="40"/>
          <w:szCs w:val="40"/>
        </w:rPr>
      </w:pPr>
      <w:r w:rsidRPr="001F6138">
        <w:rPr>
          <w:rFonts w:ascii="Arial" w:hAnsi="Arial" w:cs="Arial"/>
          <w:b/>
          <w:bCs/>
          <w:sz w:val="40"/>
          <w:szCs w:val="40"/>
        </w:rPr>
        <w:t xml:space="preserve">Scenario: </w:t>
      </w:r>
      <w:r w:rsidRPr="001F6138">
        <w:rPr>
          <w:rFonts w:ascii="Arial" w:hAnsi="Arial" w:cs="Arial"/>
          <w:sz w:val="40"/>
          <w:szCs w:val="40"/>
        </w:rPr>
        <w:t>Innocent Drinks – A Mission-Driven Business</w:t>
      </w:r>
    </w:p>
    <w:p w14:paraId="6018F1F2" w14:textId="77777777" w:rsidR="001F6138" w:rsidRPr="001F6138" w:rsidRDefault="001F6138" w:rsidP="001F6138">
      <w:pPr>
        <w:rPr>
          <w:rFonts w:ascii="Arial" w:hAnsi="Arial" w:cs="Arial"/>
          <w:sz w:val="40"/>
          <w:szCs w:val="40"/>
        </w:rPr>
      </w:pPr>
      <w:r>
        <w:rPr>
          <w:rFonts w:ascii="Arial" w:hAnsi="Arial" w:cs="Arial"/>
          <w:b/>
          <w:bCs/>
          <w:sz w:val="40"/>
          <w:szCs w:val="40"/>
        </w:rPr>
        <w:t xml:space="preserve">Individual Report </w:t>
      </w:r>
      <w:r w:rsidRPr="001F6138">
        <w:rPr>
          <w:rFonts w:ascii="Arial" w:hAnsi="Arial" w:cs="Arial"/>
          <w:b/>
          <w:bCs/>
          <w:sz w:val="40"/>
          <w:szCs w:val="40"/>
        </w:rPr>
        <w:t>Word count:</w:t>
      </w:r>
      <w:r w:rsidRPr="001F6138">
        <w:rPr>
          <w:rFonts w:ascii="Arial" w:hAnsi="Arial" w:cs="Arial"/>
          <w:sz w:val="40"/>
          <w:szCs w:val="40"/>
        </w:rPr>
        <w:t xml:space="preserve"> </w:t>
      </w:r>
      <w:r>
        <w:rPr>
          <w:rFonts w:ascii="Arial" w:hAnsi="Arial" w:cs="Arial"/>
          <w:sz w:val="40"/>
          <w:szCs w:val="40"/>
        </w:rPr>
        <w:t>3</w:t>
      </w:r>
      <w:r w:rsidRPr="001F6138">
        <w:rPr>
          <w:rFonts w:ascii="Arial" w:hAnsi="Arial" w:cs="Arial"/>
          <w:sz w:val="40"/>
          <w:szCs w:val="40"/>
        </w:rPr>
        <w:t>000 words</w:t>
      </w:r>
    </w:p>
    <w:p w14:paraId="3806B47F" w14:textId="77777777" w:rsidR="001F6138" w:rsidRPr="001F6138" w:rsidRDefault="001F6138" w:rsidP="001F6138"/>
    <w:p w14:paraId="74472EF8" w14:textId="77777777" w:rsidR="001F6138" w:rsidRDefault="001F6138"/>
    <w:p w14:paraId="69E1E131" w14:textId="77777777" w:rsidR="001827B0" w:rsidRDefault="001827B0"/>
    <w:sdt>
      <w:sdtPr>
        <w:rPr>
          <w:rFonts w:asciiTheme="minorHAnsi" w:eastAsiaTheme="minorHAnsi" w:hAnsiTheme="minorHAnsi" w:cstheme="minorBidi"/>
          <w:color w:val="auto"/>
          <w:kern w:val="2"/>
          <w:sz w:val="24"/>
          <w:szCs w:val="24"/>
          <w:lang w:eastAsia="en-US"/>
          <w14:ligatures w14:val="standardContextual"/>
        </w:rPr>
        <w:id w:val="1619337862"/>
        <w:docPartObj>
          <w:docPartGallery w:val="Table of Contents"/>
          <w:docPartUnique/>
        </w:docPartObj>
      </w:sdtPr>
      <w:sdtEndPr>
        <w:rPr>
          <w:b/>
          <w:bCs/>
        </w:rPr>
      </w:sdtEndPr>
      <w:sdtContent>
        <w:p w14:paraId="63502968" w14:textId="616EF2FA" w:rsidR="003E4A3C" w:rsidRDefault="003E4A3C" w:rsidP="003E4A3C">
          <w:pPr>
            <w:pStyle w:val="TOCHeading"/>
          </w:pPr>
        </w:p>
        <w:p w14:paraId="38523FA8" w14:textId="3ED9A1F1" w:rsidR="001827B0" w:rsidRDefault="00332B5F"/>
      </w:sdtContent>
    </w:sdt>
    <w:p w14:paraId="4660CF58" w14:textId="33CD5D65" w:rsidR="003455E1" w:rsidRDefault="003455E1"/>
    <w:p w14:paraId="6884AA67" w14:textId="77777777" w:rsidR="003455E1" w:rsidRDefault="003455E1">
      <w:r>
        <w:br w:type="page"/>
      </w:r>
    </w:p>
    <w:p w14:paraId="4B8B209D" w14:textId="77777777" w:rsidR="003455E1" w:rsidRPr="003455E1" w:rsidRDefault="003455E1" w:rsidP="003455E1">
      <w:pPr>
        <w:rPr>
          <w:rFonts w:ascii="Arial" w:hAnsi="Arial" w:cs="Arial"/>
          <w:sz w:val="36"/>
          <w:szCs w:val="36"/>
        </w:rPr>
      </w:pPr>
      <w:r w:rsidRPr="003455E1">
        <w:rPr>
          <w:rFonts w:ascii="Arial" w:hAnsi="Arial" w:cs="Arial"/>
          <w:b/>
          <w:bCs/>
          <w:sz w:val="36"/>
          <w:szCs w:val="36"/>
        </w:rPr>
        <w:lastRenderedPageBreak/>
        <w:t>Table of Contents</w:t>
      </w:r>
    </w:p>
    <w:p w14:paraId="336F134F" w14:textId="77777777" w:rsidR="003455E1" w:rsidRPr="003455E1" w:rsidRDefault="003455E1" w:rsidP="003455E1">
      <w:pPr>
        <w:numPr>
          <w:ilvl w:val="0"/>
          <w:numId w:val="10"/>
        </w:numPr>
        <w:rPr>
          <w:rFonts w:ascii="Arial" w:hAnsi="Arial" w:cs="Arial"/>
        </w:rPr>
      </w:pPr>
      <w:r w:rsidRPr="003455E1">
        <w:rPr>
          <w:rFonts w:ascii="Arial" w:hAnsi="Arial" w:cs="Arial"/>
        </w:rPr>
        <w:t>Executive Summary .................................................. 1</w:t>
      </w:r>
    </w:p>
    <w:p w14:paraId="4744833C" w14:textId="77777777" w:rsidR="003455E1" w:rsidRPr="003455E1" w:rsidRDefault="003455E1" w:rsidP="003455E1">
      <w:pPr>
        <w:numPr>
          <w:ilvl w:val="0"/>
          <w:numId w:val="10"/>
        </w:numPr>
        <w:rPr>
          <w:rFonts w:ascii="Arial" w:hAnsi="Arial" w:cs="Arial"/>
        </w:rPr>
      </w:pPr>
      <w:r w:rsidRPr="003455E1">
        <w:rPr>
          <w:rFonts w:ascii="Arial" w:hAnsi="Arial" w:cs="Arial"/>
        </w:rPr>
        <w:t>Introduction to Innocent Drinks ................................ 2</w:t>
      </w:r>
    </w:p>
    <w:p w14:paraId="2A6B5DDB" w14:textId="77777777" w:rsidR="003455E1" w:rsidRPr="003455E1" w:rsidRDefault="003455E1" w:rsidP="003455E1">
      <w:pPr>
        <w:numPr>
          <w:ilvl w:val="0"/>
          <w:numId w:val="10"/>
        </w:numPr>
        <w:rPr>
          <w:rFonts w:ascii="Arial" w:hAnsi="Arial" w:cs="Arial"/>
        </w:rPr>
      </w:pPr>
      <w:r w:rsidRPr="003455E1">
        <w:rPr>
          <w:rFonts w:ascii="Arial" w:hAnsi="Arial" w:cs="Arial"/>
        </w:rPr>
        <w:t>Evaluation of Current Market Situation ...................... 2</w:t>
      </w:r>
      <w:r w:rsidRPr="003455E1">
        <w:rPr>
          <w:rFonts w:ascii="Arial" w:hAnsi="Arial" w:cs="Arial"/>
        </w:rPr>
        <w:br/>
        <w:t>3.1 PESTEL Analysis .................................................... 2</w:t>
      </w:r>
      <w:r w:rsidRPr="003455E1">
        <w:rPr>
          <w:rFonts w:ascii="Arial" w:hAnsi="Arial" w:cs="Arial"/>
        </w:rPr>
        <w:br/>
        <w:t>3.2 Porter’s Five Forces ............................................... 3</w:t>
      </w:r>
      <w:r w:rsidRPr="003455E1">
        <w:rPr>
          <w:rFonts w:ascii="Arial" w:hAnsi="Arial" w:cs="Arial"/>
        </w:rPr>
        <w:br/>
        <w:t>3.3 SWOT Analysis ...................................................... 4</w:t>
      </w:r>
    </w:p>
    <w:p w14:paraId="73FC51DA" w14:textId="77777777" w:rsidR="003455E1" w:rsidRPr="003455E1" w:rsidRDefault="003455E1" w:rsidP="003455E1">
      <w:pPr>
        <w:numPr>
          <w:ilvl w:val="0"/>
          <w:numId w:val="10"/>
        </w:numPr>
        <w:rPr>
          <w:rFonts w:ascii="Arial" w:hAnsi="Arial" w:cs="Arial"/>
        </w:rPr>
      </w:pPr>
      <w:r w:rsidRPr="003455E1">
        <w:rPr>
          <w:rFonts w:ascii="Arial" w:hAnsi="Arial" w:cs="Arial"/>
        </w:rPr>
        <w:t>Strategic Growth Options and Proposed Strategy ....... 4</w:t>
      </w:r>
      <w:r w:rsidRPr="003455E1">
        <w:rPr>
          <w:rFonts w:ascii="Arial" w:hAnsi="Arial" w:cs="Arial"/>
        </w:rPr>
        <w:br/>
        <w:t>4.1 Growth Options Using the Ansoff Matrix .............. 4</w:t>
      </w:r>
      <w:r w:rsidRPr="003455E1">
        <w:rPr>
          <w:rFonts w:ascii="Arial" w:hAnsi="Arial" w:cs="Arial"/>
        </w:rPr>
        <w:br/>
        <w:t>4.2 Recommended Strategy: Sustainable Value Expansion .................................................................. 5</w:t>
      </w:r>
      <w:r w:rsidRPr="003455E1">
        <w:rPr>
          <w:rFonts w:ascii="Arial" w:hAnsi="Arial" w:cs="Arial"/>
        </w:rPr>
        <w:br/>
        <w:t>4.3 Why This Strategy Is the Best Fit ........................ 5</w:t>
      </w:r>
    </w:p>
    <w:p w14:paraId="31DD1A59" w14:textId="77777777" w:rsidR="003455E1" w:rsidRPr="003455E1" w:rsidRDefault="003455E1" w:rsidP="003455E1">
      <w:pPr>
        <w:numPr>
          <w:ilvl w:val="0"/>
          <w:numId w:val="10"/>
        </w:numPr>
        <w:rPr>
          <w:rFonts w:ascii="Arial" w:hAnsi="Arial" w:cs="Arial"/>
        </w:rPr>
      </w:pPr>
      <w:r w:rsidRPr="003455E1">
        <w:rPr>
          <w:rFonts w:ascii="Arial" w:hAnsi="Arial" w:cs="Arial"/>
        </w:rPr>
        <w:t>Strategy Evaluation (SFA) ...................................... 6</w:t>
      </w:r>
      <w:r w:rsidRPr="003455E1">
        <w:rPr>
          <w:rFonts w:ascii="Arial" w:hAnsi="Arial" w:cs="Arial"/>
        </w:rPr>
        <w:br/>
        <w:t>5.1 Suitability ............................................................ 6</w:t>
      </w:r>
      <w:r w:rsidRPr="003455E1">
        <w:rPr>
          <w:rFonts w:ascii="Arial" w:hAnsi="Arial" w:cs="Arial"/>
        </w:rPr>
        <w:br/>
        <w:t>5.2 Feasibility ............................................................ 6</w:t>
      </w:r>
      <w:r w:rsidRPr="003455E1">
        <w:rPr>
          <w:rFonts w:ascii="Arial" w:hAnsi="Arial" w:cs="Arial"/>
        </w:rPr>
        <w:br/>
        <w:t>5.3 Assumptions ........................................................ 6</w:t>
      </w:r>
      <w:r w:rsidRPr="003455E1">
        <w:rPr>
          <w:rFonts w:ascii="Arial" w:hAnsi="Arial" w:cs="Arial"/>
        </w:rPr>
        <w:br/>
        <w:t>5.4 Acceptability ....................................................... 6</w:t>
      </w:r>
    </w:p>
    <w:p w14:paraId="0A488F71" w14:textId="77777777" w:rsidR="003455E1" w:rsidRPr="003455E1" w:rsidRDefault="003455E1" w:rsidP="003455E1">
      <w:pPr>
        <w:numPr>
          <w:ilvl w:val="0"/>
          <w:numId w:val="10"/>
        </w:numPr>
        <w:rPr>
          <w:rFonts w:ascii="Arial" w:hAnsi="Arial" w:cs="Arial"/>
        </w:rPr>
      </w:pPr>
      <w:r w:rsidRPr="003455E1">
        <w:rPr>
          <w:rFonts w:ascii="Arial" w:hAnsi="Arial" w:cs="Arial"/>
        </w:rPr>
        <w:t>Stakeholder Analysis ............................................. 7</w:t>
      </w:r>
      <w:r w:rsidRPr="003455E1">
        <w:rPr>
          <w:rFonts w:ascii="Arial" w:hAnsi="Arial" w:cs="Arial"/>
        </w:rPr>
        <w:br/>
        <w:t>6.1 Mendelow’s Matrix (Power vs Interest) ............... 7</w:t>
      </w:r>
      <w:r w:rsidRPr="003455E1">
        <w:rPr>
          <w:rFonts w:ascii="Arial" w:hAnsi="Arial" w:cs="Arial"/>
        </w:rPr>
        <w:br/>
        <w:t>6.2 Stakeholder Impacts of the Strategy .................... 7</w:t>
      </w:r>
      <w:r w:rsidRPr="003455E1">
        <w:rPr>
          <w:rFonts w:ascii="Arial" w:hAnsi="Arial" w:cs="Arial"/>
        </w:rPr>
        <w:br/>
        <w:t>6.3 Stakeholder Engagement Plan ............................. 8</w:t>
      </w:r>
    </w:p>
    <w:p w14:paraId="1CB3A3FD" w14:textId="77777777" w:rsidR="003455E1" w:rsidRPr="003455E1" w:rsidRDefault="003455E1" w:rsidP="003455E1">
      <w:pPr>
        <w:numPr>
          <w:ilvl w:val="0"/>
          <w:numId w:val="10"/>
        </w:numPr>
        <w:rPr>
          <w:rFonts w:ascii="Arial" w:hAnsi="Arial" w:cs="Arial"/>
        </w:rPr>
      </w:pPr>
      <w:r w:rsidRPr="003455E1">
        <w:rPr>
          <w:rFonts w:ascii="Arial" w:hAnsi="Arial" w:cs="Arial"/>
        </w:rPr>
        <w:t>Implementation and Monitoring .............................. 8</w:t>
      </w:r>
    </w:p>
    <w:p w14:paraId="32A6F4C2" w14:textId="77777777" w:rsidR="003455E1" w:rsidRPr="003455E1" w:rsidRDefault="003455E1" w:rsidP="003455E1">
      <w:pPr>
        <w:numPr>
          <w:ilvl w:val="0"/>
          <w:numId w:val="10"/>
        </w:numPr>
        <w:rPr>
          <w:rFonts w:ascii="Arial" w:hAnsi="Arial" w:cs="Arial"/>
        </w:rPr>
      </w:pPr>
      <w:r w:rsidRPr="003455E1">
        <w:rPr>
          <w:rFonts w:ascii="Arial" w:hAnsi="Arial" w:cs="Arial"/>
        </w:rPr>
        <w:t>Conclusion ............................................................. 9</w:t>
      </w:r>
    </w:p>
    <w:p w14:paraId="4A0873C5" w14:textId="77777777" w:rsidR="003455E1" w:rsidRPr="003455E1" w:rsidRDefault="003455E1" w:rsidP="003455E1">
      <w:pPr>
        <w:numPr>
          <w:ilvl w:val="0"/>
          <w:numId w:val="10"/>
        </w:numPr>
        <w:rPr>
          <w:rFonts w:ascii="Arial" w:hAnsi="Arial" w:cs="Arial"/>
        </w:rPr>
      </w:pPr>
      <w:r w:rsidRPr="003455E1">
        <w:rPr>
          <w:rFonts w:ascii="Arial" w:hAnsi="Arial" w:cs="Arial"/>
        </w:rPr>
        <w:t>Reference List ....................................................... 10</w:t>
      </w:r>
    </w:p>
    <w:p w14:paraId="4B2A60B8" w14:textId="77777777" w:rsidR="001827B0" w:rsidRDefault="001827B0" w:rsidP="003455E1"/>
    <w:p w14:paraId="0AFF4F78" w14:textId="77777777" w:rsidR="00A43BF9" w:rsidRDefault="001827B0">
      <w:r>
        <w:br w:type="page"/>
      </w:r>
    </w:p>
    <w:p w14:paraId="7F9862AA" w14:textId="77777777" w:rsidR="00A43BF9" w:rsidRDefault="00A43BF9"/>
    <w:p w14:paraId="140E1D2E" w14:textId="77777777" w:rsidR="00A43BF9" w:rsidRDefault="00A43BF9" w:rsidP="00A43BF9">
      <w:pPr>
        <w:pStyle w:val="Heading1"/>
      </w:pPr>
      <w:bookmarkStart w:id="0" w:name="_Toc224185182"/>
      <w:r>
        <w:t>1. Executive Summary</w:t>
      </w:r>
      <w:bookmarkEnd w:id="0"/>
      <w:r>
        <w:t xml:space="preserve"> </w:t>
      </w:r>
    </w:p>
    <w:p w14:paraId="7C822647" w14:textId="751E6380" w:rsidR="00A43BF9" w:rsidRPr="00A43BF9" w:rsidRDefault="00CB2A18" w:rsidP="00A43BF9">
      <w:pPr>
        <w:rPr>
          <w:rFonts w:ascii="Arial" w:hAnsi="Arial" w:cs="Arial"/>
          <w:sz w:val="22"/>
          <w:szCs w:val="22"/>
        </w:rPr>
      </w:pPr>
      <w:r w:rsidRPr="00CB2A18">
        <w:rPr>
          <w:rFonts w:ascii="Arial" w:hAnsi="Arial" w:cs="Arial"/>
          <w:sz w:val="22"/>
          <w:szCs w:val="22"/>
        </w:rPr>
        <w:t xml:space="preserve">Innocent Drinks, a mission-driven UK business with a strong ethical record, is a certified B Corp. It has also made a public commitment to sustainability through goals based on research and annual reporting. In a congested market, these benefits have helped Innocent stand out and build trust. </w:t>
      </w:r>
      <w:r w:rsidR="00A43BF9" w:rsidRPr="00A43BF9">
        <w:rPr>
          <w:rFonts w:ascii="Arial" w:hAnsi="Arial" w:cs="Arial"/>
          <w:sz w:val="22"/>
          <w:szCs w:val="22"/>
        </w:rPr>
        <w:t>But the environment is becoming more difficult. UK consumers are still price conscious, and the juices and smoothies’ market has seen pressure on sales as private label and more recent health-conscious companies have become more competitive (Mintel, 2024). At the same time, packaging is becoming more complicated and expensive due to regulatory changes, such as Extended Producer Responsibility fees and the unpredictability of Deposit Return Scheme timings (GOV.UK, 2025; The Guardian, 2024).</w:t>
      </w:r>
    </w:p>
    <w:p w14:paraId="28037751" w14:textId="77777777" w:rsidR="00A43BF9" w:rsidRDefault="00A43BF9" w:rsidP="00A43BF9">
      <w:pPr>
        <w:rPr>
          <w:rFonts w:ascii="Arial" w:hAnsi="Arial" w:cs="Arial"/>
          <w:sz w:val="22"/>
          <w:szCs w:val="22"/>
        </w:rPr>
      </w:pPr>
      <w:r w:rsidRPr="00927A36">
        <w:rPr>
          <w:rFonts w:ascii="Arial" w:hAnsi="Arial" w:cs="Arial"/>
          <w:sz w:val="22"/>
          <w:szCs w:val="22"/>
        </w:rPr>
        <w:t>According to the report's findings, Innocent's growth problem goes beyond just introducing new goods. It's about becoming more approachable while maintaining brand integrity and transforming sustainability from a marketing gimmick to a quantifiable benefit.</w:t>
      </w:r>
      <w:r w:rsidRPr="00A43BF9">
        <w:rPr>
          <w:rFonts w:ascii="Arial" w:hAnsi="Arial" w:cs="Arial"/>
          <w:sz w:val="22"/>
          <w:szCs w:val="22"/>
        </w:rPr>
        <w:t xml:space="preserve"> Sustainable Value Expansion is the suggested course of action. This strategy expands into adjacent daily health occasions through functional and plant-based innovation that stays true to Innocent's identity, while protecting the core range through enhanced price-pack architecture and stronger availability in everyday channels. Sustainability is a practical operational priority in sourcing and package design, and the strategy is developed to be in line with Innocent's goal and vision (Innocent Drinks, n.d.). An implementation roadmap with well-defined KPIs and a stakeholder strategy support the proposal, which is assessed using the SFA framework.</w:t>
      </w:r>
    </w:p>
    <w:p w14:paraId="28052C47" w14:textId="05B097EE" w:rsidR="00A43BF9" w:rsidRDefault="00EF4F48" w:rsidP="00EF4F48">
      <w:pPr>
        <w:pStyle w:val="Heading1"/>
      </w:pPr>
      <w:bookmarkStart w:id="1" w:name="_Toc224185183"/>
      <w:r w:rsidRPr="00EF4F48">
        <w:t>2. Introduction to Innocent Drinks</w:t>
      </w:r>
      <w:bookmarkEnd w:id="1"/>
    </w:p>
    <w:p w14:paraId="66870379" w14:textId="77777777" w:rsidR="00225C34" w:rsidRDefault="00225C34" w:rsidP="00095A81">
      <w:pPr>
        <w:rPr>
          <w:rFonts w:ascii="Arial" w:hAnsi="Arial" w:cs="Arial"/>
        </w:rPr>
      </w:pPr>
      <w:r w:rsidRPr="00225C34">
        <w:rPr>
          <w:rFonts w:ascii="Arial" w:hAnsi="Arial" w:cs="Arial"/>
        </w:rPr>
        <w:t>Innocent Drinks is a UK-based firm that produces plant-based smoothies, juices, and drinks. The firm is renowned for its humorous tone, focus on natural products, and transparent commitment to moral business conduct. Innocent's mission is to produce delicious, natural foods and drinks that support healthy aging. The company's approach to sustainability, sourcing, and stakeholder expectations is influenced by its overarching objective of leaving things better than it found them (Innocent Drinks, n.d.).</w:t>
      </w:r>
    </w:p>
    <w:p w14:paraId="5C61F9DB" w14:textId="1EB3496B" w:rsidR="002E25EF" w:rsidRDefault="002E25EF" w:rsidP="00095A81">
      <w:pPr>
        <w:pStyle w:val="Heading1"/>
        <w:rPr>
          <w:rFonts w:ascii="Arial" w:eastAsiaTheme="minorHAnsi" w:hAnsi="Arial" w:cs="Arial"/>
          <w:color w:val="auto"/>
          <w:sz w:val="24"/>
          <w:szCs w:val="24"/>
        </w:rPr>
      </w:pPr>
      <w:bookmarkStart w:id="2" w:name="_Toc224185184"/>
      <w:r w:rsidRPr="002E25EF">
        <w:rPr>
          <w:rFonts w:ascii="Arial" w:eastAsiaTheme="minorHAnsi" w:hAnsi="Arial" w:cs="Arial"/>
          <w:color w:val="auto"/>
          <w:sz w:val="24"/>
          <w:szCs w:val="24"/>
        </w:rPr>
        <w:lastRenderedPageBreak/>
        <w:t xml:space="preserve">Innocent disseminates information on its B Impact performance, encompassing governance, workers, community, and environmental performance, and is acknowledged as a B Corporation (B Lab, 2026). Along with initiatives to minimize operational emissions, Innocent also makes explicit climate commitments, such as aligning with science-based goals and seeking to reduce its carbon footprint per bottle throughout the value chain by 2030 (Innocent Drinks, n.d.). These assurances boost consumer confidence in the company, but they also breed suspicion. Particularly </w:t>
      </w:r>
      <w:r w:rsidR="00C02DE0" w:rsidRPr="002E25EF">
        <w:rPr>
          <w:rFonts w:ascii="Arial" w:eastAsiaTheme="minorHAnsi" w:hAnsi="Arial" w:cs="Arial"/>
          <w:color w:val="auto"/>
          <w:sz w:val="24"/>
          <w:szCs w:val="24"/>
        </w:rPr>
        <w:t>considering</w:t>
      </w:r>
      <w:r w:rsidRPr="002E25EF">
        <w:rPr>
          <w:rFonts w:ascii="Arial" w:eastAsiaTheme="minorHAnsi" w:hAnsi="Arial" w:cs="Arial"/>
          <w:color w:val="auto"/>
          <w:sz w:val="24"/>
          <w:szCs w:val="24"/>
        </w:rPr>
        <w:t xml:space="preserve"> the difficulties posed by international fruit supply chains, packaging laws, and growing expenses, stakeholders desire consistency and visible progress. Thus, growth strategies that maintain Innocent's mission-driven character while improving business performance are the main emphasis of this study.</w:t>
      </w:r>
    </w:p>
    <w:p w14:paraId="4C33FF2C" w14:textId="764C91F1" w:rsidR="00D55261" w:rsidRPr="002E25EF" w:rsidRDefault="00B875E7" w:rsidP="002E25EF">
      <w:pPr>
        <w:pStyle w:val="Heading1"/>
        <w:rPr>
          <w:rFonts w:ascii="Arial" w:hAnsi="Arial" w:cs="Arial"/>
        </w:rPr>
      </w:pPr>
      <w:r w:rsidRPr="00B875E7">
        <w:t>3. Evaluation of Current Market Situation</w:t>
      </w:r>
      <w:bookmarkEnd w:id="2"/>
    </w:p>
    <w:p w14:paraId="01D12AEE" w14:textId="77777777" w:rsidR="00D55261" w:rsidRPr="00D55261" w:rsidRDefault="006A08A0" w:rsidP="00D55261">
      <w:pPr>
        <w:pStyle w:val="Heading2"/>
      </w:pPr>
      <w:bookmarkStart w:id="3" w:name="_Toc224185185"/>
      <w:r>
        <w:t xml:space="preserve">3.1. </w:t>
      </w:r>
      <w:r w:rsidR="00020096" w:rsidRPr="00020096">
        <w:t>PESTEL analysis</w:t>
      </w:r>
      <w:bookmarkEnd w:id="3"/>
    </w:p>
    <w:tbl>
      <w:tblPr>
        <w:tblStyle w:val="TableGrid"/>
        <w:tblW w:w="9923" w:type="dxa"/>
        <w:tblInd w:w="-289" w:type="dxa"/>
        <w:tblLook w:val="04A0" w:firstRow="1" w:lastRow="0" w:firstColumn="1" w:lastColumn="0" w:noHBand="0" w:noVBand="1"/>
      </w:tblPr>
      <w:tblGrid>
        <w:gridCol w:w="2127"/>
        <w:gridCol w:w="3544"/>
        <w:gridCol w:w="4252"/>
      </w:tblGrid>
      <w:tr w:rsidR="00DA21BF" w14:paraId="2E11DA1D" w14:textId="77777777" w:rsidTr="00854C25">
        <w:trPr>
          <w:trHeight w:val="574"/>
        </w:trPr>
        <w:tc>
          <w:tcPr>
            <w:tcW w:w="2127" w:type="dxa"/>
            <w:shd w:val="clear" w:color="auto" w:fill="A5C9EB" w:themeFill="text2" w:themeFillTint="40"/>
          </w:tcPr>
          <w:p w14:paraId="5068AE2C" w14:textId="77777777" w:rsidR="00870513" w:rsidRPr="00680BAF" w:rsidRDefault="00870513" w:rsidP="00020096">
            <w:pPr>
              <w:rPr>
                <w:rFonts w:ascii="Arial" w:hAnsi="Arial" w:cs="Arial"/>
                <w:b/>
                <w:bCs/>
                <w:sz w:val="22"/>
                <w:szCs w:val="22"/>
              </w:rPr>
            </w:pPr>
            <w:r w:rsidRPr="00680BAF">
              <w:rPr>
                <w:rFonts w:ascii="Arial" w:hAnsi="Arial" w:cs="Arial"/>
                <w:b/>
                <w:bCs/>
                <w:sz w:val="22"/>
                <w:szCs w:val="22"/>
              </w:rPr>
              <w:t>PESTEL Factor</w:t>
            </w:r>
            <w:r w:rsidRPr="00680BAF">
              <w:rPr>
                <w:rFonts w:ascii="Arial" w:hAnsi="Arial" w:cs="Arial"/>
                <w:b/>
                <w:bCs/>
                <w:sz w:val="22"/>
                <w:szCs w:val="22"/>
              </w:rPr>
              <w:tab/>
            </w:r>
            <w:r w:rsidRPr="00680BAF">
              <w:rPr>
                <w:rFonts w:ascii="Arial" w:hAnsi="Arial" w:cs="Arial"/>
                <w:b/>
                <w:bCs/>
                <w:sz w:val="22"/>
                <w:szCs w:val="22"/>
              </w:rPr>
              <w:tab/>
            </w:r>
          </w:p>
        </w:tc>
        <w:tc>
          <w:tcPr>
            <w:tcW w:w="3544" w:type="dxa"/>
            <w:shd w:val="clear" w:color="auto" w:fill="A5C9EB" w:themeFill="text2" w:themeFillTint="40"/>
          </w:tcPr>
          <w:p w14:paraId="5AEEB34A" w14:textId="77777777" w:rsidR="00DA21BF" w:rsidRPr="00680BAF" w:rsidRDefault="00742503" w:rsidP="00020096">
            <w:pPr>
              <w:rPr>
                <w:rFonts w:ascii="Arial" w:hAnsi="Arial" w:cs="Arial"/>
                <w:b/>
                <w:bCs/>
                <w:sz w:val="22"/>
                <w:szCs w:val="22"/>
              </w:rPr>
            </w:pPr>
            <w:r w:rsidRPr="00680BAF">
              <w:rPr>
                <w:rFonts w:ascii="Arial" w:hAnsi="Arial" w:cs="Arial"/>
                <w:b/>
                <w:bCs/>
                <w:sz w:val="22"/>
                <w:szCs w:val="22"/>
              </w:rPr>
              <w:t>Key issues for Innocent Drinks</w:t>
            </w:r>
          </w:p>
        </w:tc>
        <w:tc>
          <w:tcPr>
            <w:tcW w:w="4252" w:type="dxa"/>
            <w:shd w:val="clear" w:color="auto" w:fill="A5C9EB" w:themeFill="text2" w:themeFillTint="40"/>
          </w:tcPr>
          <w:p w14:paraId="1260FE8B" w14:textId="77777777" w:rsidR="00DA21BF" w:rsidRPr="00680BAF" w:rsidRDefault="00742503" w:rsidP="00020096">
            <w:pPr>
              <w:rPr>
                <w:rFonts w:ascii="Arial" w:hAnsi="Arial" w:cs="Arial"/>
                <w:b/>
                <w:bCs/>
                <w:sz w:val="22"/>
                <w:szCs w:val="22"/>
              </w:rPr>
            </w:pPr>
            <w:r w:rsidRPr="00680BAF">
              <w:rPr>
                <w:rFonts w:ascii="Arial" w:hAnsi="Arial" w:cs="Arial"/>
                <w:b/>
                <w:bCs/>
                <w:sz w:val="22"/>
                <w:szCs w:val="22"/>
              </w:rPr>
              <w:t>Why it matters (impact on strategy)</w:t>
            </w:r>
          </w:p>
        </w:tc>
      </w:tr>
      <w:tr w:rsidR="002B666A" w14:paraId="0E582122" w14:textId="77777777" w:rsidTr="00854C25">
        <w:trPr>
          <w:trHeight w:val="1405"/>
        </w:trPr>
        <w:tc>
          <w:tcPr>
            <w:tcW w:w="2127" w:type="dxa"/>
            <w:shd w:val="clear" w:color="auto" w:fill="A5C9EB" w:themeFill="text2" w:themeFillTint="40"/>
          </w:tcPr>
          <w:p w14:paraId="7DE9462D" w14:textId="77777777" w:rsidR="002B666A" w:rsidRPr="00680BAF" w:rsidRDefault="002B666A" w:rsidP="002B666A">
            <w:pPr>
              <w:rPr>
                <w:rFonts w:ascii="Arial" w:hAnsi="Arial" w:cs="Arial"/>
                <w:b/>
                <w:bCs/>
                <w:sz w:val="22"/>
                <w:szCs w:val="22"/>
              </w:rPr>
            </w:pPr>
            <w:r w:rsidRPr="00680BAF">
              <w:rPr>
                <w:rFonts w:ascii="Arial" w:hAnsi="Arial" w:cs="Arial"/>
                <w:b/>
                <w:bCs/>
                <w:sz w:val="22"/>
                <w:szCs w:val="22"/>
              </w:rPr>
              <w:t xml:space="preserve">Political </w:t>
            </w:r>
          </w:p>
        </w:tc>
        <w:tc>
          <w:tcPr>
            <w:tcW w:w="3544" w:type="dxa"/>
            <w:shd w:val="clear" w:color="auto" w:fill="DAE9F7" w:themeFill="text2" w:themeFillTint="1A"/>
          </w:tcPr>
          <w:p w14:paraId="79361CA9" w14:textId="77777777" w:rsidR="00134B7C" w:rsidRPr="00134B7C" w:rsidRDefault="00134B7C" w:rsidP="00134B7C">
            <w:pPr>
              <w:rPr>
                <w:rFonts w:ascii="Arial" w:hAnsi="Arial" w:cs="Arial"/>
                <w:sz w:val="22"/>
                <w:szCs w:val="22"/>
              </w:rPr>
            </w:pPr>
            <w:r w:rsidRPr="00134B7C">
              <w:rPr>
                <w:rFonts w:ascii="Arial" w:hAnsi="Arial" w:cs="Arial"/>
                <w:sz w:val="22"/>
                <w:szCs w:val="22"/>
              </w:rPr>
              <w:t>Packaging cost responsibility is increased by EPR; uncertainty is created by DRS delays; and the government continues to focus on sugar regulations.</w:t>
            </w:r>
          </w:p>
          <w:p w14:paraId="2BF68A63" w14:textId="77777777" w:rsidR="002B666A" w:rsidRPr="00680BAF" w:rsidRDefault="002B666A" w:rsidP="002B666A">
            <w:pPr>
              <w:rPr>
                <w:rFonts w:ascii="Arial" w:hAnsi="Arial" w:cs="Arial"/>
                <w:sz w:val="22"/>
                <w:szCs w:val="22"/>
              </w:rPr>
            </w:pPr>
          </w:p>
        </w:tc>
        <w:tc>
          <w:tcPr>
            <w:tcW w:w="4252" w:type="dxa"/>
            <w:shd w:val="clear" w:color="auto" w:fill="DAE9F7" w:themeFill="text2" w:themeFillTint="1A"/>
          </w:tcPr>
          <w:p w14:paraId="2C27CFB5" w14:textId="77777777" w:rsidR="002B666A" w:rsidRPr="00680BAF" w:rsidRDefault="00673E79" w:rsidP="002B666A">
            <w:pPr>
              <w:rPr>
                <w:rFonts w:ascii="Arial" w:hAnsi="Arial" w:cs="Arial"/>
                <w:sz w:val="22"/>
                <w:szCs w:val="22"/>
              </w:rPr>
            </w:pPr>
            <w:r w:rsidRPr="00680BAF">
              <w:rPr>
                <w:rFonts w:ascii="Arial" w:hAnsi="Arial" w:cs="Arial"/>
                <w:sz w:val="22"/>
                <w:szCs w:val="22"/>
              </w:rPr>
              <w:t>Increased packaging expenses, unpredictability in planning, and pressure to innovate without raising regulatory risks</w:t>
            </w:r>
          </w:p>
        </w:tc>
      </w:tr>
      <w:tr w:rsidR="002B666A" w14:paraId="79212755" w14:textId="77777777" w:rsidTr="00854C25">
        <w:trPr>
          <w:trHeight w:val="874"/>
        </w:trPr>
        <w:tc>
          <w:tcPr>
            <w:tcW w:w="2127" w:type="dxa"/>
            <w:shd w:val="clear" w:color="auto" w:fill="A5C9EB" w:themeFill="text2" w:themeFillTint="40"/>
          </w:tcPr>
          <w:p w14:paraId="65FBC8AD" w14:textId="77777777" w:rsidR="002B666A" w:rsidRPr="00680BAF" w:rsidRDefault="002B666A" w:rsidP="002B666A">
            <w:pPr>
              <w:rPr>
                <w:rFonts w:ascii="Arial" w:hAnsi="Arial" w:cs="Arial"/>
                <w:b/>
                <w:bCs/>
                <w:sz w:val="22"/>
                <w:szCs w:val="22"/>
              </w:rPr>
            </w:pPr>
            <w:r w:rsidRPr="00680BAF">
              <w:rPr>
                <w:rFonts w:ascii="Arial" w:hAnsi="Arial" w:cs="Arial"/>
                <w:b/>
                <w:bCs/>
                <w:sz w:val="22"/>
                <w:szCs w:val="22"/>
              </w:rPr>
              <w:t>Economic</w:t>
            </w:r>
          </w:p>
        </w:tc>
        <w:tc>
          <w:tcPr>
            <w:tcW w:w="3544" w:type="dxa"/>
            <w:shd w:val="clear" w:color="auto" w:fill="DAE9F7" w:themeFill="text2" w:themeFillTint="1A"/>
          </w:tcPr>
          <w:p w14:paraId="074E7EF3" w14:textId="77777777" w:rsidR="002B666A" w:rsidRPr="00680BAF" w:rsidRDefault="004D2F43" w:rsidP="002B666A">
            <w:pPr>
              <w:rPr>
                <w:rFonts w:ascii="Arial" w:hAnsi="Arial" w:cs="Arial"/>
                <w:sz w:val="22"/>
                <w:szCs w:val="22"/>
              </w:rPr>
            </w:pPr>
            <w:r w:rsidRPr="00680BAF">
              <w:rPr>
                <w:rFonts w:ascii="Arial" w:hAnsi="Arial" w:cs="Arial"/>
                <w:sz w:val="22"/>
                <w:szCs w:val="22"/>
              </w:rPr>
              <w:t>Trading declines due to pressure from the cost of living, category volume, and input cost volatility (currency, logistics, agricultural).</w:t>
            </w:r>
          </w:p>
        </w:tc>
        <w:tc>
          <w:tcPr>
            <w:tcW w:w="4252" w:type="dxa"/>
            <w:shd w:val="clear" w:color="auto" w:fill="DAE9F7" w:themeFill="text2" w:themeFillTint="1A"/>
          </w:tcPr>
          <w:p w14:paraId="6968EB8B" w14:textId="77777777" w:rsidR="002B666A" w:rsidRPr="00680BAF" w:rsidRDefault="00802A2D" w:rsidP="002B666A">
            <w:pPr>
              <w:rPr>
                <w:rFonts w:ascii="Arial" w:hAnsi="Arial" w:cs="Arial"/>
                <w:sz w:val="22"/>
                <w:szCs w:val="22"/>
              </w:rPr>
            </w:pPr>
            <w:r w:rsidRPr="00680BAF">
              <w:rPr>
                <w:rFonts w:ascii="Arial" w:hAnsi="Arial" w:cs="Arial"/>
                <w:sz w:val="22"/>
                <w:szCs w:val="22"/>
              </w:rPr>
              <w:t>To safeguard margins and demand, a more robust value perception and stricter cost control are required.</w:t>
            </w:r>
          </w:p>
        </w:tc>
      </w:tr>
      <w:tr w:rsidR="002B666A" w14:paraId="20B822D8" w14:textId="77777777" w:rsidTr="00854C25">
        <w:trPr>
          <w:trHeight w:val="988"/>
        </w:trPr>
        <w:tc>
          <w:tcPr>
            <w:tcW w:w="2127" w:type="dxa"/>
            <w:shd w:val="clear" w:color="auto" w:fill="A5C9EB" w:themeFill="text2" w:themeFillTint="40"/>
          </w:tcPr>
          <w:p w14:paraId="07EEE10B" w14:textId="77777777" w:rsidR="002B666A" w:rsidRPr="00680BAF" w:rsidRDefault="002B666A" w:rsidP="002B666A">
            <w:pPr>
              <w:rPr>
                <w:rFonts w:ascii="Arial" w:hAnsi="Arial" w:cs="Arial"/>
                <w:b/>
                <w:bCs/>
                <w:sz w:val="22"/>
                <w:szCs w:val="22"/>
              </w:rPr>
            </w:pPr>
            <w:r w:rsidRPr="00680BAF">
              <w:rPr>
                <w:rFonts w:ascii="Arial" w:hAnsi="Arial" w:cs="Arial"/>
                <w:b/>
                <w:bCs/>
                <w:sz w:val="22"/>
                <w:szCs w:val="22"/>
              </w:rPr>
              <w:t>Social</w:t>
            </w:r>
          </w:p>
        </w:tc>
        <w:tc>
          <w:tcPr>
            <w:tcW w:w="3544" w:type="dxa"/>
            <w:shd w:val="clear" w:color="auto" w:fill="DAE9F7" w:themeFill="text2" w:themeFillTint="1A"/>
          </w:tcPr>
          <w:p w14:paraId="723C0B88" w14:textId="77777777" w:rsidR="002B666A" w:rsidRPr="00680BAF" w:rsidRDefault="00287719" w:rsidP="002B666A">
            <w:pPr>
              <w:rPr>
                <w:rFonts w:ascii="Arial" w:hAnsi="Arial" w:cs="Arial"/>
                <w:sz w:val="22"/>
                <w:szCs w:val="22"/>
              </w:rPr>
            </w:pPr>
            <w:r w:rsidRPr="00680BAF">
              <w:rPr>
                <w:rFonts w:ascii="Arial" w:hAnsi="Arial" w:cs="Arial"/>
                <w:sz w:val="22"/>
                <w:szCs w:val="22"/>
              </w:rPr>
              <w:t>Demand for health and wellbeing is ongoing, but expectations are growing; authenticity and trust are being scrutinized more.</w:t>
            </w:r>
          </w:p>
        </w:tc>
        <w:tc>
          <w:tcPr>
            <w:tcW w:w="4252" w:type="dxa"/>
            <w:shd w:val="clear" w:color="auto" w:fill="DAE9F7" w:themeFill="text2" w:themeFillTint="1A"/>
          </w:tcPr>
          <w:p w14:paraId="04934484" w14:textId="77777777" w:rsidR="002B666A" w:rsidRPr="00680BAF" w:rsidRDefault="00287719" w:rsidP="002B666A">
            <w:pPr>
              <w:rPr>
                <w:rFonts w:ascii="Arial" w:hAnsi="Arial" w:cs="Arial"/>
                <w:sz w:val="22"/>
                <w:szCs w:val="22"/>
              </w:rPr>
            </w:pPr>
            <w:r w:rsidRPr="00680BAF">
              <w:rPr>
                <w:rFonts w:ascii="Arial" w:hAnsi="Arial" w:cs="Arial"/>
                <w:sz w:val="22"/>
                <w:szCs w:val="22"/>
              </w:rPr>
              <w:t>"Healthy + inexpensive" must be balanced while maintaining brand trust.</w:t>
            </w:r>
          </w:p>
        </w:tc>
      </w:tr>
      <w:tr w:rsidR="002B666A" w14:paraId="0CFAF384" w14:textId="77777777" w:rsidTr="00854C25">
        <w:trPr>
          <w:trHeight w:val="946"/>
        </w:trPr>
        <w:tc>
          <w:tcPr>
            <w:tcW w:w="2127" w:type="dxa"/>
            <w:shd w:val="clear" w:color="auto" w:fill="A5C9EB" w:themeFill="text2" w:themeFillTint="40"/>
          </w:tcPr>
          <w:p w14:paraId="531D765C" w14:textId="77777777" w:rsidR="002B666A" w:rsidRPr="00680BAF" w:rsidRDefault="002B666A" w:rsidP="002B666A">
            <w:pPr>
              <w:rPr>
                <w:rFonts w:ascii="Arial" w:hAnsi="Arial" w:cs="Arial"/>
                <w:b/>
                <w:bCs/>
                <w:sz w:val="22"/>
                <w:szCs w:val="22"/>
              </w:rPr>
            </w:pPr>
            <w:r w:rsidRPr="00680BAF">
              <w:rPr>
                <w:rFonts w:ascii="Arial" w:hAnsi="Arial" w:cs="Arial"/>
                <w:b/>
                <w:bCs/>
                <w:sz w:val="22"/>
                <w:szCs w:val="22"/>
              </w:rPr>
              <w:t>Technological</w:t>
            </w:r>
          </w:p>
        </w:tc>
        <w:tc>
          <w:tcPr>
            <w:tcW w:w="3544" w:type="dxa"/>
            <w:shd w:val="clear" w:color="auto" w:fill="DAE9F7" w:themeFill="text2" w:themeFillTint="1A"/>
          </w:tcPr>
          <w:p w14:paraId="2C52829C" w14:textId="77777777" w:rsidR="002B666A" w:rsidRPr="00680BAF" w:rsidRDefault="00EF7872" w:rsidP="002B666A">
            <w:pPr>
              <w:rPr>
                <w:rFonts w:ascii="Arial" w:hAnsi="Arial" w:cs="Arial"/>
                <w:sz w:val="22"/>
                <w:szCs w:val="22"/>
              </w:rPr>
            </w:pPr>
            <w:r w:rsidRPr="00680BAF">
              <w:rPr>
                <w:rFonts w:ascii="Arial" w:hAnsi="Arial" w:cs="Arial"/>
                <w:sz w:val="22"/>
                <w:szCs w:val="22"/>
              </w:rPr>
              <w:t>Improved tools for emissions measurement, waste reduction, forecasting, and traceability</w:t>
            </w:r>
          </w:p>
        </w:tc>
        <w:tc>
          <w:tcPr>
            <w:tcW w:w="4252" w:type="dxa"/>
            <w:shd w:val="clear" w:color="auto" w:fill="DAE9F7" w:themeFill="text2" w:themeFillTint="1A"/>
          </w:tcPr>
          <w:p w14:paraId="746976AE" w14:textId="77777777" w:rsidR="002B666A" w:rsidRPr="00680BAF" w:rsidRDefault="008A624E" w:rsidP="002B666A">
            <w:pPr>
              <w:rPr>
                <w:rFonts w:ascii="Arial" w:hAnsi="Arial" w:cs="Arial"/>
                <w:sz w:val="22"/>
                <w:szCs w:val="22"/>
              </w:rPr>
            </w:pPr>
            <w:r w:rsidRPr="00680BAF">
              <w:rPr>
                <w:rFonts w:ascii="Arial" w:hAnsi="Arial" w:cs="Arial"/>
                <w:sz w:val="22"/>
                <w:szCs w:val="22"/>
              </w:rPr>
              <w:t>increases effectiveness and fortifies the evidence supporting sustainability claims</w:t>
            </w:r>
          </w:p>
        </w:tc>
      </w:tr>
      <w:tr w:rsidR="00680BAF" w14:paraId="3F78EAC6" w14:textId="77777777" w:rsidTr="00854C25">
        <w:tc>
          <w:tcPr>
            <w:tcW w:w="2127" w:type="dxa"/>
            <w:shd w:val="clear" w:color="auto" w:fill="A5C9EB" w:themeFill="text2" w:themeFillTint="40"/>
          </w:tcPr>
          <w:p w14:paraId="125CBDA3" w14:textId="77777777" w:rsidR="00680BAF" w:rsidRPr="00680BAF" w:rsidRDefault="00680BAF" w:rsidP="00680BAF">
            <w:pPr>
              <w:rPr>
                <w:rFonts w:ascii="Arial" w:hAnsi="Arial" w:cs="Arial"/>
                <w:b/>
                <w:bCs/>
                <w:sz w:val="22"/>
                <w:szCs w:val="22"/>
              </w:rPr>
            </w:pPr>
            <w:r w:rsidRPr="00680BAF">
              <w:rPr>
                <w:rFonts w:ascii="Arial" w:hAnsi="Arial" w:cs="Arial"/>
                <w:b/>
                <w:bCs/>
                <w:sz w:val="22"/>
                <w:szCs w:val="22"/>
              </w:rPr>
              <w:t>Environmental</w:t>
            </w:r>
          </w:p>
        </w:tc>
        <w:tc>
          <w:tcPr>
            <w:tcW w:w="3544" w:type="dxa"/>
            <w:shd w:val="clear" w:color="auto" w:fill="DAE9F7" w:themeFill="text2" w:themeFillTint="1A"/>
          </w:tcPr>
          <w:p w14:paraId="0AE3CFEA" w14:textId="77777777" w:rsidR="00680BAF" w:rsidRPr="00680BAF" w:rsidRDefault="00680BAF" w:rsidP="00680BAF">
            <w:pPr>
              <w:rPr>
                <w:rFonts w:ascii="Arial" w:hAnsi="Arial" w:cs="Arial"/>
                <w:sz w:val="22"/>
                <w:szCs w:val="22"/>
              </w:rPr>
            </w:pPr>
            <w:r w:rsidRPr="00680BAF">
              <w:rPr>
                <w:rFonts w:ascii="Arial" w:hAnsi="Arial" w:cs="Arial"/>
                <w:sz w:val="22"/>
                <w:szCs w:val="22"/>
              </w:rPr>
              <w:t>Growing need for packaging and carbon; complexity of Scope 3 reduction; constraints on recycling systems</w:t>
            </w:r>
          </w:p>
        </w:tc>
        <w:tc>
          <w:tcPr>
            <w:tcW w:w="4252" w:type="dxa"/>
            <w:shd w:val="clear" w:color="auto" w:fill="DAE9F7" w:themeFill="text2" w:themeFillTint="1A"/>
          </w:tcPr>
          <w:p w14:paraId="60ABF23D" w14:textId="77777777" w:rsidR="00680BAF" w:rsidRPr="00680BAF" w:rsidRDefault="00680BAF" w:rsidP="00680BAF">
            <w:pPr>
              <w:rPr>
                <w:rFonts w:ascii="Arial" w:hAnsi="Arial" w:cs="Arial"/>
                <w:sz w:val="22"/>
                <w:szCs w:val="22"/>
              </w:rPr>
            </w:pPr>
            <w:r w:rsidRPr="00680BAF">
              <w:rPr>
                <w:rFonts w:ascii="Arial" w:hAnsi="Arial" w:cs="Arial"/>
                <w:sz w:val="22"/>
                <w:szCs w:val="22"/>
              </w:rPr>
              <w:t>Decisions about sourcing and packaging must take sustainability into account, not just marketing.</w:t>
            </w:r>
          </w:p>
        </w:tc>
      </w:tr>
      <w:tr w:rsidR="00680BAF" w14:paraId="0CA0D76E" w14:textId="77777777" w:rsidTr="00854C25">
        <w:trPr>
          <w:trHeight w:val="960"/>
        </w:trPr>
        <w:tc>
          <w:tcPr>
            <w:tcW w:w="2127" w:type="dxa"/>
            <w:shd w:val="clear" w:color="auto" w:fill="A5C9EB" w:themeFill="text2" w:themeFillTint="40"/>
          </w:tcPr>
          <w:p w14:paraId="1CD374E4" w14:textId="77777777" w:rsidR="00680BAF" w:rsidRPr="00680BAF" w:rsidRDefault="00680BAF" w:rsidP="00680BAF">
            <w:pPr>
              <w:rPr>
                <w:rFonts w:ascii="Arial" w:hAnsi="Arial" w:cs="Arial"/>
                <w:b/>
                <w:bCs/>
                <w:sz w:val="22"/>
                <w:szCs w:val="22"/>
              </w:rPr>
            </w:pPr>
            <w:r w:rsidRPr="00680BAF">
              <w:rPr>
                <w:rFonts w:ascii="Arial" w:hAnsi="Arial" w:cs="Arial"/>
                <w:b/>
                <w:bCs/>
                <w:sz w:val="22"/>
                <w:szCs w:val="22"/>
              </w:rPr>
              <w:t>Legal</w:t>
            </w:r>
          </w:p>
        </w:tc>
        <w:tc>
          <w:tcPr>
            <w:tcW w:w="3544" w:type="dxa"/>
            <w:shd w:val="clear" w:color="auto" w:fill="DAE9F7" w:themeFill="text2" w:themeFillTint="1A"/>
          </w:tcPr>
          <w:p w14:paraId="773802D3" w14:textId="77777777" w:rsidR="00680BAF" w:rsidRPr="00680BAF" w:rsidRDefault="00680BAF" w:rsidP="00680BAF">
            <w:pPr>
              <w:rPr>
                <w:rFonts w:ascii="Arial" w:hAnsi="Arial" w:cs="Arial"/>
                <w:sz w:val="22"/>
                <w:szCs w:val="22"/>
              </w:rPr>
            </w:pPr>
            <w:r w:rsidRPr="00680BAF">
              <w:rPr>
                <w:rFonts w:ascii="Arial" w:hAnsi="Arial" w:cs="Arial"/>
                <w:sz w:val="22"/>
                <w:szCs w:val="22"/>
              </w:rPr>
              <w:t>Compliance with functional claims, labelling, and health claims carries a higher risk.</w:t>
            </w:r>
          </w:p>
        </w:tc>
        <w:tc>
          <w:tcPr>
            <w:tcW w:w="4252" w:type="dxa"/>
            <w:shd w:val="clear" w:color="auto" w:fill="DAE9F7" w:themeFill="text2" w:themeFillTint="1A"/>
          </w:tcPr>
          <w:p w14:paraId="3AD15B1A" w14:textId="77777777" w:rsidR="00680BAF" w:rsidRPr="00680BAF" w:rsidRDefault="00680BAF" w:rsidP="00680BAF">
            <w:pPr>
              <w:rPr>
                <w:rFonts w:ascii="Arial" w:hAnsi="Arial" w:cs="Arial"/>
                <w:sz w:val="22"/>
                <w:szCs w:val="22"/>
              </w:rPr>
            </w:pPr>
            <w:r w:rsidRPr="00680BAF">
              <w:rPr>
                <w:rFonts w:ascii="Arial" w:hAnsi="Arial" w:cs="Arial"/>
                <w:sz w:val="22"/>
                <w:szCs w:val="22"/>
              </w:rPr>
              <w:t>Compliance with functional claims, labelling, and health claims carries a higher risk.</w:t>
            </w:r>
          </w:p>
        </w:tc>
      </w:tr>
    </w:tbl>
    <w:p w14:paraId="1175486B" w14:textId="77777777" w:rsidR="00C55C74" w:rsidRDefault="00C55C74" w:rsidP="00B2186F">
      <w:pPr>
        <w:pStyle w:val="Heading2"/>
        <w:rPr>
          <w:rFonts w:ascii="Arial" w:eastAsiaTheme="minorHAnsi" w:hAnsi="Arial" w:cs="Arial"/>
          <w:color w:val="auto"/>
          <w:sz w:val="22"/>
          <w:szCs w:val="22"/>
        </w:rPr>
      </w:pPr>
    </w:p>
    <w:p w14:paraId="5B67DFDA" w14:textId="77777777" w:rsidR="00D55261" w:rsidRPr="00C55C74" w:rsidRDefault="00C55C74" w:rsidP="00B2186F">
      <w:pPr>
        <w:pStyle w:val="Heading2"/>
        <w:rPr>
          <w:rFonts w:ascii="Arial" w:hAnsi="Arial" w:cs="Arial"/>
          <w:sz w:val="22"/>
          <w:szCs w:val="22"/>
        </w:rPr>
      </w:pPr>
      <w:bookmarkStart w:id="4" w:name="_Toc224185186"/>
      <w:r w:rsidRPr="00C55C74">
        <w:rPr>
          <w:rFonts w:ascii="Arial" w:eastAsiaTheme="minorHAnsi" w:hAnsi="Arial" w:cs="Arial"/>
          <w:color w:val="auto"/>
          <w:sz w:val="22"/>
          <w:szCs w:val="22"/>
        </w:rPr>
        <w:t xml:space="preserve">Overall, the PESTEL reveals a market that is influenced by price sensitivity caused by cost of living as well as growing regulatory and sustainability concerns, particularly </w:t>
      </w:r>
      <w:r w:rsidR="007739B8" w:rsidRPr="00C55C74">
        <w:rPr>
          <w:rFonts w:ascii="Arial" w:eastAsiaTheme="minorHAnsi" w:hAnsi="Arial" w:cs="Arial"/>
          <w:color w:val="auto"/>
          <w:sz w:val="22"/>
          <w:szCs w:val="22"/>
        </w:rPr>
        <w:t>regarding</w:t>
      </w:r>
      <w:r w:rsidRPr="00C55C74">
        <w:rPr>
          <w:rFonts w:ascii="Arial" w:eastAsiaTheme="minorHAnsi" w:hAnsi="Arial" w:cs="Arial"/>
          <w:color w:val="auto"/>
          <w:sz w:val="22"/>
          <w:szCs w:val="22"/>
        </w:rPr>
        <w:t xml:space="preserve"> packaging. For Innocent, this means that to maintain competitiveness and safeguard brand trust, "value with integrity" and quantifiable sustainability progress are crucial.</w:t>
      </w:r>
      <w:bookmarkEnd w:id="4"/>
    </w:p>
    <w:p w14:paraId="3B0383C4" w14:textId="77777777" w:rsidR="00D55261" w:rsidRDefault="00D55261" w:rsidP="00B2186F">
      <w:pPr>
        <w:pStyle w:val="Heading2"/>
      </w:pPr>
    </w:p>
    <w:p w14:paraId="10E2BA51" w14:textId="77777777" w:rsidR="00020096" w:rsidRDefault="00020096" w:rsidP="00B2186F">
      <w:pPr>
        <w:pStyle w:val="Heading2"/>
      </w:pPr>
    </w:p>
    <w:p w14:paraId="65126D2C" w14:textId="77777777" w:rsidR="00D55261" w:rsidRDefault="00D55261" w:rsidP="00D55261"/>
    <w:p w14:paraId="0EF31039" w14:textId="77777777" w:rsidR="00D55261" w:rsidRDefault="00D55261" w:rsidP="00D55261"/>
    <w:p w14:paraId="1DC20904" w14:textId="77777777" w:rsidR="00D55261" w:rsidRDefault="00D55261" w:rsidP="00D55261"/>
    <w:p w14:paraId="37E09BAC" w14:textId="77777777" w:rsidR="00D55261" w:rsidRDefault="00D55261" w:rsidP="00D55261"/>
    <w:p w14:paraId="3EC0D852" w14:textId="77777777" w:rsidR="00D55261" w:rsidRDefault="00D55261" w:rsidP="00D55261"/>
    <w:p w14:paraId="07379C88" w14:textId="77777777" w:rsidR="00D55261" w:rsidRPr="006908AE" w:rsidRDefault="006908AE" w:rsidP="006908AE">
      <w:pPr>
        <w:pStyle w:val="Heading2"/>
      </w:pPr>
      <w:bookmarkStart w:id="5" w:name="_Toc224185187"/>
      <w:r>
        <w:t xml:space="preserve">3.2. </w:t>
      </w:r>
      <w:r w:rsidR="005974E0" w:rsidRPr="006908AE">
        <w:t>Porter’s Five Forces</w:t>
      </w:r>
      <w:bookmarkEnd w:id="5"/>
    </w:p>
    <w:p w14:paraId="7B7CBF9B" w14:textId="77777777" w:rsidR="00D55261" w:rsidRPr="00D55261" w:rsidRDefault="00D55261" w:rsidP="00D55261"/>
    <w:tbl>
      <w:tblPr>
        <w:tblStyle w:val="TableGrid"/>
        <w:tblW w:w="10206" w:type="dxa"/>
        <w:tblInd w:w="-572" w:type="dxa"/>
        <w:tblLook w:val="04A0" w:firstRow="1" w:lastRow="0" w:firstColumn="1" w:lastColumn="0" w:noHBand="0" w:noVBand="1"/>
      </w:tblPr>
      <w:tblGrid>
        <w:gridCol w:w="2133"/>
        <w:gridCol w:w="1153"/>
        <w:gridCol w:w="2668"/>
        <w:gridCol w:w="4252"/>
      </w:tblGrid>
      <w:tr w:rsidR="002427B0" w14:paraId="6BE4C6EA" w14:textId="77777777" w:rsidTr="00854C25">
        <w:tc>
          <w:tcPr>
            <w:tcW w:w="2133" w:type="dxa"/>
            <w:shd w:val="clear" w:color="auto" w:fill="A5C9EB" w:themeFill="text2" w:themeFillTint="40"/>
            <w:vAlign w:val="center"/>
          </w:tcPr>
          <w:p w14:paraId="7BCF91F8" w14:textId="77777777" w:rsidR="002427B0" w:rsidRPr="00C13D9C" w:rsidRDefault="002427B0" w:rsidP="002427B0">
            <w:pPr>
              <w:rPr>
                <w:rFonts w:ascii="Arial" w:hAnsi="Arial" w:cs="Arial"/>
                <w:sz w:val="22"/>
                <w:szCs w:val="22"/>
              </w:rPr>
            </w:pPr>
            <w:r w:rsidRPr="00C13D9C">
              <w:rPr>
                <w:rFonts w:ascii="Arial" w:hAnsi="Arial" w:cs="Arial"/>
                <w:b/>
                <w:bCs/>
                <w:sz w:val="22"/>
                <w:szCs w:val="22"/>
              </w:rPr>
              <w:t>Force</w:t>
            </w:r>
          </w:p>
        </w:tc>
        <w:tc>
          <w:tcPr>
            <w:tcW w:w="1153" w:type="dxa"/>
            <w:shd w:val="clear" w:color="auto" w:fill="A5C9EB" w:themeFill="text2" w:themeFillTint="40"/>
            <w:vAlign w:val="center"/>
          </w:tcPr>
          <w:p w14:paraId="651FD040" w14:textId="77777777" w:rsidR="002427B0" w:rsidRPr="00C13D9C" w:rsidRDefault="002427B0" w:rsidP="002427B0">
            <w:pPr>
              <w:rPr>
                <w:rFonts w:ascii="Arial" w:hAnsi="Arial" w:cs="Arial"/>
                <w:sz w:val="22"/>
                <w:szCs w:val="22"/>
              </w:rPr>
            </w:pPr>
            <w:r w:rsidRPr="00C13D9C">
              <w:rPr>
                <w:rFonts w:ascii="Arial" w:hAnsi="Arial" w:cs="Arial"/>
                <w:b/>
                <w:bCs/>
                <w:sz w:val="22"/>
                <w:szCs w:val="22"/>
              </w:rPr>
              <w:t>Strength</w:t>
            </w:r>
          </w:p>
        </w:tc>
        <w:tc>
          <w:tcPr>
            <w:tcW w:w="2668" w:type="dxa"/>
            <w:shd w:val="clear" w:color="auto" w:fill="A5C9EB" w:themeFill="text2" w:themeFillTint="40"/>
            <w:vAlign w:val="center"/>
          </w:tcPr>
          <w:p w14:paraId="10851C84" w14:textId="77777777" w:rsidR="002427B0" w:rsidRPr="00C13D9C" w:rsidRDefault="002427B0" w:rsidP="002427B0">
            <w:pPr>
              <w:rPr>
                <w:rFonts w:ascii="Arial" w:hAnsi="Arial" w:cs="Arial"/>
                <w:sz w:val="22"/>
                <w:szCs w:val="22"/>
              </w:rPr>
            </w:pPr>
            <w:r w:rsidRPr="00C13D9C">
              <w:rPr>
                <w:rFonts w:ascii="Arial" w:hAnsi="Arial" w:cs="Arial"/>
                <w:b/>
                <w:bCs/>
                <w:sz w:val="22"/>
                <w:szCs w:val="22"/>
              </w:rPr>
              <w:t>What’s driving it</w:t>
            </w:r>
          </w:p>
        </w:tc>
        <w:tc>
          <w:tcPr>
            <w:tcW w:w="4252" w:type="dxa"/>
            <w:shd w:val="clear" w:color="auto" w:fill="A5C9EB" w:themeFill="text2" w:themeFillTint="40"/>
            <w:vAlign w:val="center"/>
          </w:tcPr>
          <w:p w14:paraId="5DA3B1B1" w14:textId="77777777" w:rsidR="002427B0" w:rsidRPr="00C13D9C" w:rsidRDefault="002427B0" w:rsidP="002427B0">
            <w:pPr>
              <w:rPr>
                <w:rFonts w:ascii="Arial" w:hAnsi="Arial" w:cs="Arial"/>
                <w:sz w:val="22"/>
                <w:szCs w:val="22"/>
              </w:rPr>
            </w:pPr>
            <w:r w:rsidRPr="00C13D9C">
              <w:rPr>
                <w:rFonts w:ascii="Arial" w:hAnsi="Arial" w:cs="Arial"/>
                <w:b/>
                <w:bCs/>
                <w:sz w:val="22"/>
                <w:szCs w:val="22"/>
              </w:rPr>
              <w:t>What it means for Innocent</w:t>
            </w:r>
          </w:p>
        </w:tc>
      </w:tr>
      <w:tr w:rsidR="00BE7442" w14:paraId="51B6F75F" w14:textId="77777777" w:rsidTr="00854C25">
        <w:tc>
          <w:tcPr>
            <w:tcW w:w="2133" w:type="dxa"/>
            <w:shd w:val="clear" w:color="auto" w:fill="A5C9EB" w:themeFill="text2" w:themeFillTint="40"/>
            <w:vAlign w:val="center"/>
          </w:tcPr>
          <w:p w14:paraId="42AFE343"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Competitive rivalry</w:t>
            </w:r>
          </w:p>
        </w:tc>
        <w:tc>
          <w:tcPr>
            <w:tcW w:w="1153" w:type="dxa"/>
            <w:shd w:val="clear" w:color="auto" w:fill="DAE9F7" w:themeFill="text2" w:themeFillTint="1A"/>
            <w:vAlign w:val="center"/>
          </w:tcPr>
          <w:p w14:paraId="70AE5CAD"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High</w:t>
            </w:r>
          </w:p>
        </w:tc>
        <w:tc>
          <w:tcPr>
            <w:tcW w:w="2668" w:type="dxa"/>
            <w:shd w:val="clear" w:color="auto" w:fill="DAE9F7" w:themeFill="text2" w:themeFillTint="1A"/>
          </w:tcPr>
          <w:p w14:paraId="6C2642CB" w14:textId="77777777" w:rsidR="00BE7442" w:rsidRPr="002D376F" w:rsidRDefault="00811048" w:rsidP="00BE7442">
            <w:pPr>
              <w:rPr>
                <w:rFonts w:ascii="Arial" w:hAnsi="Arial" w:cs="Arial"/>
                <w:sz w:val="22"/>
                <w:szCs w:val="22"/>
              </w:rPr>
            </w:pPr>
            <w:r w:rsidRPr="00811048">
              <w:rPr>
                <w:rFonts w:ascii="Arial" w:hAnsi="Arial" w:cs="Arial"/>
                <w:sz w:val="22"/>
                <w:szCs w:val="22"/>
              </w:rPr>
              <w:t>Strong private labels, large brands, and a plethora of "wellness" options</w:t>
            </w:r>
          </w:p>
        </w:tc>
        <w:tc>
          <w:tcPr>
            <w:tcW w:w="4252" w:type="dxa"/>
            <w:shd w:val="clear" w:color="auto" w:fill="DAE9F7" w:themeFill="text2" w:themeFillTint="1A"/>
          </w:tcPr>
          <w:p w14:paraId="12DD5FF5" w14:textId="77777777" w:rsidR="00BE7442" w:rsidRPr="00715064" w:rsidRDefault="002B66F1" w:rsidP="00BE7442">
            <w:pPr>
              <w:rPr>
                <w:rFonts w:ascii="Arial" w:hAnsi="Arial" w:cs="Arial"/>
                <w:sz w:val="22"/>
                <w:szCs w:val="22"/>
              </w:rPr>
            </w:pPr>
            <w:r w:rsidRPr="002B66F1">
              <w:rPr>
                <w:rFonts w:ascii="Arial" w:hAnsi="Arial" w:cs="Arial"/>
                <w:sz w:val="22"/>
                <w:szCs w:val="22"/>
              </w:rPr>
              <w:t>Preserve uniqueness (sustainability, quality, and brand trust). Steer clear of price wars</w:t>
            </w:r>
          </w:p>
        </w:tc>
      </w:tr>
      <w:tr w:rsidR="00BE7442" w14:paraId="41B9ED4A" w14:textId="77777777" w:rsidTr="00854C25">
        <w:tc>
          <w:tcPr>
            <w:tcW w:w="2133" w:type="dxa"/>
            <w:shd w:val="clear" w:color="auto" w:fill="A5C9EB" w:themeFill="text2" w:themeFillTint="40"/>
            <w:vAlign w:val="center"/>
          </w:tcPr>
          <w:p w14:paraId="733CC848"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Threat of new entrants</w:t>
            </w:r>
          </w:p>
        </w:tc>
        <w:tc>
          <w:tcPr>
            <w:tcW w:w="1153" w:type="dxa"/>
            <w:shd w:val="clear" w:color="auto" w:fill="DAE9F7" w:themeFill="text2" w:themeFillTint="1A"/>
            <w:vAlign w:val="center"/>
          </w:tcPr>
          <w:p w14:paraId="7DDC6B03"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Medium</w:t>
            </w:r>
          </w:p>
        </w:tc>
        <w:tc>
          <w:tcPr>
            <w:tcW w:w="2668" w:type="dxa"/>
            <w:shd w:val="clear" w:color="auto" w:fill="DAE9F7" w:themeFill="text2" w:themeFillTint="1A"/>
          </w:tcPr>
          <w:p w14:paraId="0C0251D9" w14:textId="77777777" w:rsidR="00BE7442" w:rsidRPr="00CF0B9E" w:rsidRDefault="00EA330A" w:rsidP="00BE7442">
            <w:pPr>
              <w:rPr>
                <w:rFonts w:ascii="Arial" w:hAnsi="Arial" w:cs="Arial"/>
                <w:sz w:val="22"/>
                <w:szCs w:val="22"/>
              </w:rPr>
            </w:pPr>
            <w:r w:rsidRPr="00EA330A">
              <w:rPr>
                <w:rFonts w:ascii="Arial" w:hAnsi="Arial" w:cs="Arial"/>
                <w:sz w:val="22"/>
                <w:szCs w:val="22"/>
              </w:rPr>
              <w:t>Distribution and production are obstacles, but competitors can grow by using social marketing and contract manufacturing.</w:t>
            </w:r>
          </w:p>
        </w:tc>
        <w:tc>
          <w:tcPr>
            <w:tcW w:w="4252" w:type="dxa"/>
            <w:shd w:val="clear" w:color="auto" w:fill="DAE9F7" w:themeFill="text2" w:themeFillTint="1A"/>
          </w:tcPr>
          <w:p w14:paraId="500A99C5" w14:textId="77777777" w:rsidR="00BE7442" w:rsidRPr="00715064" w:rsidRDefault="00CA1C93" w:rsidP="00BE7442">
            <w:pPr>
              <w:rPr>
                <w:rFonts w:ascii="Arial" w:hAnsi="Arial" w:cs="Arial"/>
                <w:sz w:val="22"/>
                <w:szCs w:val="22"/>
              </w:rPr>
            </w:pPr>
            <w:r w:rsidRPr="00CA1C93">
              <w:rPr>
                <w:rFonts w:ascii="Arial" w:hAnsi="Arial" w:cs="Arial"/>
                <w:sz w:val="22"/>
                <w:szCs w:val="22"/>
              </w:rPr>
              <w:t>Continue innovation, particularly in functional domains that are expanding quickly.</w:t>
            </w:r>
          </w:p>
        </w:tc>
      </w:tr>
      <w:tr w:rsidR="00BE7442" w14:paraId="6EBCC52C" w14:textId="77777777" w:rsidTr="00854C25">
        <w:tc>
          <w:tcPr>
            <w:tcW w:w="2133" w:type="dxa"/>
            <w:shd w:val="clear" w:color="auto" w:fill="A5C9EB" w:themeFill="text2" w:themeFillTint="40"/>
            <w:vAlign w:val="center"/>
          </w:tcPr>
          <w:p w14:paraId="14D0F7BE"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Threat of substitutes</w:t>
            </w:r>
          </w:p>
        </w:tc>
        <w:tc>
          <w:tcPr>
            <w:tcW w:w="1153" w:type="dxa"/>
            <w:shd w:val="clear" w:color="auto" w:fill="DAE9F7" w:themeFill="text2" w:themeFillTint="1A"/>
            <w:vAlign w:val="center"/>
          </w:tcPr>
          <w:p w14:paraId="2FBCEEEB" w14:textId="77777777" w:rsidR="00BE7442" w:rsidRPr="00C13D9C" w:rsidRDefault="00BE7442" w:rsidP="00BE7442">
            <w:pPr>
              <w:rPr>
                <w:rFonts w:ascii="Arial" w:hAnsi="Arial" w:cs="Arial"/>
                <w:sz w:val="22"/>
                <w:szCs w:val="22"/>
              </w:rPr>
            </w:pPr>
            <w:r w:rsidRPr="00C13D9C">
              <w:rPr>
                <w:rStyle w:val="Strong"/>
                <w:rFonts w:ascii="Arial" w:hAnsi="Arial" w:cs="Arial"/>
                <w:sz w:val="22"/>
                <w:szCs w:val="22"/>
              </w:rPr>
              <w:t>High</w:t>
            </w:r>
          </w:p>
        </w:tc>
        <w:tc>
          <w:tcPr>
            <w:tcW w:w="2668" w:type="dxa"/>
            <w:shd w:val="clear" w:color="auto" w:fill="DAE9F7" w:themeFill="text2" w:themeFillTint="1A"/>
          </w:tcPr>
          <w:p w14:paraId="7E267E5D" w14:textId="77777777" w:rsidR="00BE7442" w:rsidRPr="002742C0" w:rsidRDefault="005F6288" w:rsidP="00BE7442">
            <w:pPr>
              <w:rPr>
                <w:rFonts w:ascii="Arial" w:hAnsi="Arial" w:cs="Arial"/>
                <w:sz w:val="22"/>
                <w:szCs w:val="22"/>
              </w:rPr>
            </w:pPr>
            <w:r w:rsidRPr="005F6288">
              <w:rPr>
                <w:rFonts w:ascii="Arial" w:hAnsi="Arial" w:cs="Arial"/>
                <w:sz w:val="22"/>
                <w:szCs w:val="22"/>
              </w:rPr>
              <w:t>Customers can switch to more affordable beverages, protein drinks, flavoured waters, and fresh fruit.</w:t>
            </w:r>
          </w:p>
        </w:tc>
        <w:tc>
          <w:tcPr>
            <w:tcW w:w="4252" w:type="dxa"/>
            <w:shd w:val="clear" w:color="auto" w:fill="DAE9F7" w:themeFill="text2" w:themeFillTint="1A"/>
          </w:tcPr>
          <w:p w14:paraId="25CAC38D" w14:textId="77777777" w:rsidR="00BE7442" w:rsidRPr="002742C0" w:rsidRDefault="002742C0" w:rsidP="00BE7442">
            <w:pPr>
              <w:rPr>
                <w:rFonts w:ascii="Arial" w:hAnsi="Arial" w:cs="Arial"/>
                <w:sz w:val="22"/>
                <w:szCs w:val="22"/>
              </w:rPr>
            </w:pPr>
            <w:r w:rsidRPr="002742C0">
              <w:rPr>
                <w:rFonts w:ascii="Arial" w:hAnsi="Arial" w:cs="Arial"/>
                <w:sz w:val="22"/>
                <w:szCs w:val="22"/>
              </w:rPr>
              <w:t>Gain "occasion ownership" (breakfast, on-the-go, after the gym) and demonstrate definite advantages.</w:t>
            </w:r>
          </w:p>
        </w:tc>
      </w:tr>
      <w:tr w:rsidR="002427B0" w14:paraId="4531DA51" w14:textId="77777777" w:rsidTr="00854C25">
        <w:trPr>
          <w:trHeight w:val="983"/>
        </w:trPr>
        <w:tc>
          <w:tcPr>
            <w:tcW w:w="2133" w:type="dxa"/>
            <w:shd w:val="clear" w:color="auto" w:fill="A5C9EB" w:themeFill="text2" w:themeFillTint="40"/>
            <w:vAlign w:val="center"/>
          </w:tcPr>
          <w:p w14:paraId="5AE517BA" w14:textId="77777777" w:rsidR="002427B0" w:rsidRPr="00C13D9C" w:rsidRDefault="002427B0" w:rsidP="002427B0">
            <w:pPr>
              <w:rPr>
                <w:rFonts w:ascii="Arial" w:hAnsi="Arial" w:cs="Arial"/>
                <w:sz w:val="22"/>
                <w:szCs w:val="22"/>
              </w:rPr>
            </w:pPr>
            <w:r w:rsidRPr="00C13D9C">
              <w:rPr>
                <w:rStyle w:val="Strong"/>
                <w:rFonts w:ascii="Arial" w:hAnsi="Arial" w:cs="Arial"/>
                <w:sz w:val="22"/>
                <w:szCs w:val="22"/>
              </w:rPr>
              <w:t>Buyer power</w:t>
            </w:r>
          </w:p>
        </w:tc>
        <w:tc>
          <w:tcPr>
            <w:tcW w:w="1153" w:type="dxa"/>
            <w:shd w:val="clear" w:color="auto" w:fill="DAE9F7" w:themeFill="text2" w:themeFillTint="1A"/>
            <w:vAlign w:val="center"/>
          </w:tcPr>
          <w:p w14:paraId="21CC2665" w14:textId="77777777" w:rsidR="002427B0" w:rsidRPr="00C13D9C" w:rsidRDefault="002427B0" w:rsidP="002427B0">
            <w:pPr>
              <w:rPr>
                <w:rFonts w:ascii="Arial" w:hAnsi="Arial" w:cs="Arial"/>
                <w:sz w:val="22"/>
                <w:szCs w:val="22"/>
              </w:rPr>
            </w:pPr>
            <w:r w:rsidRPr="00C13D9C">
              <w:rPr>
                <w:rStyle w:val="Strong"/>
                <w:rFonts w:ascii="Arial" w:hAnsi="Arial" w:cs="Arial"/>
                <w:sz w:val="22"/>
                <w:szCs w:val="22"/>
              </w:rPr>
              <w:t>High</w:t>
            </w:r>
          </w:p>
        </w:tc>
        <w:tc>
          <w:tcPr>
            <w:tcW w:w="2668" w:type="dxa"/>
            <w:shd w:val="clear" w:color="auto" w:fill="DAE9F7" w:themeFill="text2" w:themeFillTint="1A"/>
            <w:vAlign w:val="center"/>
          </w:tcPr>
          <w:p w14:paraId="2FE9B2C8" w14:textId="77777777" w:rsidR="002427B0" w:rsidRPr="00C13D9C" w:rsidRDefault="00454A2E" w:rsidP="002427B0">
            <w:pPr>
              <w:rPr>
                <w:rFonts w:ascii="Arial" w:hAnsi="Arial" w:cs="Arial"/>
                <w:sz w:val="22"/>
                <w:szCs w:val="22"/>
              </w:rPr>
            </w:pPr>
            <w:r w:rsidRPr="00454A2E">
              <w:rPr>
                <w:rFonts w:ascii="Arial" w:hAnsi="Arial" w:cs="Arial"/>
                <w:sz w:val="22"/>
                <w:szCs w:val="22"/>
              </w:rPr>
              <w:t>Retailers manage promotions, shelf space, and private label expansion.</w:t>
            </w:r>
          </w:p>
        </w:tc>
        <w:tc>
          <w:tcPr>
            <w:tcW w:w="4252" w:type="dxa"/>
            <w:shd w:val="clear" w:color="auto" w:fill="DAE9F7" w:themeFill="text2" w:themeFillTint="1A"/>
            <w:vAlign w:val="center"/>
          </w:tcPr>
          <w:p w14:paraId="337C5E13" w14:textId="77777777" w:rsidR="002427B0" w:rsidRPr="00C13D9C" w:rsidRDefault="008359FF" w:rsidP="002427B0">
            <w:pPr>
              <w:rPr>
                <w:rFonts w:ascii="Arial" w:hAnsi="Arial" w:cs="Arial"/>
                <w:sz w:val="22"/>
                <w:szCs w:val="22"/>
              </w:rPr>
            </w:pPr>
            <w:r w:rsidRPr="008359FF">
              <w:rPr>
                <w:rFonts w:ascii="Arial" w:hAnsi="Arial" w:cs="Arial"/>
                <w:sz w:val="22"/>
                <w:szCs w:val="22"/>
              </w:rPr>
              <w:t>Retailer-friendly innovation, data-driven category stories, and solid collaborative business planning.</w:t>
            </w:r>
          </w:p>
        </w:tc>
      </w:tr>
      <w:tr w:rsidR="002427B0" w14:paraId="073781E3" w14:textId="77777777" w:rsidTr="00854C25">
        <w:tc>
          <w:tcPr>
            <w:tcW w:w="2133" w:type="dxa"/>
            <w:shd w:val="clear" w:color="auto" w:fill="A5C9EB" w:themeFill="text2" w:themeFillTint="40"/>
            <w:vAlign w:val="center"/>
          </w:tcPr>
          <w:p w14:paraId="24911FFB" w14:textId="77777777" w:rsidR="002427B0" w:rsidRPr="00C13D9C" w:rsidRDefault="002427B0" w:rsidP="002427B0">
            <w:pPr>
              <w:rPr>
                <w:rFonts w:ascii="Arial" w:hAnsi="Arial" w:cs="Arial"/>
                <w:sz w:val="22"/>
                <w:szCs w:val="22"/>
              </w:rPr>
            </w:pPr>
            <w:r w:rsidRPr="00C13D9C">
              <w:rPr>
                <w:rStyle w:val="Strong"/>
                <w:rFonts w:ascii="Arial" w:hAnsi="Arial" w:cs="Arial"/>
                <w:sz w:val="22"/>
                <w:szCs w:val="22"/>
              </w:rPr>
              <w:t>Supplier power</w:t>
            </w:r>
          </w:p>
        </w:tc>
        <w:tc>
          <w:tcPr>
            <w:tcW w:w="1153" w:type="dxa"/>
            <w:shd w:val="clear" w:color="auto" w:fill="DAE9F7" w:themeFill="text2" w:themeFillTint="1A"/>
            <w:vAlign w:val="center"/>
          </w:tcPr>
          <w:p w14:paraId="6E84AFC1" w14:textId="77777777" w:rsidR="002427B0" w:rsidRPr="00C13D9C" w:rsidRDefault="002427B0" w:rsidP="002427B0">
            <w:pPr>
              <w:rPr>
                <w:rFonts w:ascii="Arial" w:hAnsi="Arial" w:cs="Arial"/>
                <w:sz w:val="22"/>
                <w:szCs w:val="22"/>
              </w:rPr>
            </w:pPr>
            <w:r w:rsidRPr="00C13D9C">
              <w:rPr>
                <w:rStyle w:val="Strong"/>
                <w:rFonts w:ascii="Arial" w:hAnsi="Arial" w:cs="Arial"/>
                <w:sz w:val="22"/>
                <w:szCs w:val="22"/>
              </w:rPr>
              <w:t>Med–High</w:t>
            </w:r>
          </w:p>
        </w:tc>
        <w:tc>
          <w:tcPr>
            <w:tcW w:w="2668" w:type="dxa"/>
            <w:shd w:val="clear" w:color="auto" w:fill="DAE9F7" w:themeFill="text2" w:themeFillTint="1A"/>
            <w:vAlign w:val="center"/>
          </w:tcPr>
          <w:p w14:paraId="73577B91" w14:textId="77777777" w:rsidR="002427B0" w:rsidRPr="00C13D9C" w:rsidRDefault="00534B29" w:rsidP="002427B0">
            <w:pPr>
              <w:rPr>
                <w:rFonts w:ascii="Arial" w:hAnsi="Arial" w:cs="Arial"/>
                <w:sz w:val="22"/>
                <w:szCs w:val="22"/>
              </w:rPr>
            </w:pPr>
            <w:r w:rsidRPr="00534B29">
              <w:rPr>
                <w:rFonts w:ascii="Arial" w:hAnsi="Arial" w:cs="Arial"/>
                <w:sz w:val="22"/>
                <w:szCs w:val="22"/>
              </w:rPr>
              <w:t>Fruit is impacted by climate change, packaging modifications, and restrictions on recyclable materials.</w:t>
            </w:r>
          </w:p>
        </w:tc>
        <w:tc>
          <w:tcPr>
            <w:tcW w:w="4252" w:type="dxa"/>
            <w:shd w:val="clear" w:color="auto" w:fill="DAE9F7" w:themeFill="text2" w:themeFillTint="1A"/>
            <w:vAlign w:val="center"/>
          </w:tcPr>
          <w:p w14:paraId="7E2C5EA3" w14:textId="77777777" w:rsidR="002427B0" w:rsidRPr="00C13D9C" w:rsidRDefault="00534B29" w:rsidP="002427B0">
            <w:pPr>
              <w:rPr>
                <w:rFonts w:ascii="Arial" w:hAnsi="Arial" w:cs="Arial"/>
                <w:sz w:val="22"/>
                <w:szCs w:val="22"/>
              </w:rPr>
            </w:pPr>
            <w:r w:rsidRPr="00534B29">
              <w:rPr>
                <w:rFonts w:ascii="Arial" w:hAnsi="Arial" w:cs="Arial"/>
                <w:sz w:val="22"/>
                <w:szCs w:val="22"/>
              </w:rPr>
              <w:t>Create enduring relationships with suppliers and bolster sourcing resiliency.</w:t>
            </w:r>
          </w:p>
        </w:tc>
      </w:tr>
    </w:tbl>
    <w:p w14:paraId="777E9FE1" w14:textId="77777777" w:rsidR="00257194" w:rsidRDefault="00257194" w:rsidP="00B2186F"/>
    <w:p w14:paraId="4FC86057" w14:textId="77777777" w:rsidR="00B2186F" w:rsidRDefault="00257194" w:rsidP="00B2186F">
      <w:pPr>
        <w:rPr>
          <w:rFonts w:ascii="Arial" w:hAnsi="Arial" w:cs="Arial"/>
          <w:sz w:val="22"/>
          <w:szCs w:val="22"/>
        </w:rPr>
      </w:pPr>
      <w:r w:rsidRPr="00257194">
        <w:rPr>
          <w:rFonts w:ascii="Arial" w:hAnsi="Arial" w:cs="Arial"/>
          <w:sz w:val="22"/>
          <w:szCs w:val="22"/>
        </w:rPr>
        <w:lastRenderedPageBreak/>
        <w:t>All things considered, the forces point to a challenging market in which Innocent must compete through distinctive distinctiveness and astute innovation while also safeguarding margins through robust supply chain resilience and improved retailer cooperation (The Grocer, 2024).</w:t>
      </w:r>
    </w:p>
    <w:p w14:paraId="5524CF22" w14:textId="77777777" w:rsidR="00046950" w:rsidRDefault="00046950" w:rsidP="00B2186F">
      <w:pPr>
        <w:rPr>
          <w:rFonts w:ascii="Arial" w:hAnsi="Arial" w:cs="Arial"/>
          <w:sz w:val="22"/>
          <w:szCs w:val="22"/>
        </w:rPr>
      </w:pPr>
    </w:p>
    <w:p w14:paraId="002B29EA" w14:textId="77777777" w:rsidR="00046950" w:rsidRDefault="00046950" w:rsidP="00B2186F">
      <w:pPr>
        <w:rPr>
          <w:rFonts w:ascii="Arial" w:hAnsi="Arial" w:cs="Arial"/>
          <w:sz w:val="22"/>
          <w:szCs w:val="22"/>
        </w:rPr>
      </w:pPr>
    </w:p>
    <w:p w14:paraId="12F3B254" w14:textId="77777777" w:rsidR="00046950" w:rsidRDefault="00046950" w:rsidP="00B2186F">
      <w:pPr>
        <w:rPr>
          <w:rFonts w:ascii="Arial" w:hAnsi="Arial" w:cs="Arial"/>
          <w:sz w:val="22"/>
          <w:szCs w:val="22"/>
        </w:rPr>
      </w:pPr>
    </w:p>
    <w:p w14:paraId="2A0CFC76" w14:textId="77777777" w:rsidR="00046950" w:rsidRDefault="00046950" w:rsidP="00B2186F">
      <w:pPr>
        <w:rPr>
          <w:rFonts w:ascii="Arial" w:hAnsi="Arial" w:cs="Arial"/>
          <w:sz w:val="22"/>
          <w:szCs w:val="22"/>
        </w:rPr>
      </w:pPr>
    </w:p>
    <w:p w14:paraId="4F3E08B3" w14:textId="77777777" w:rsidR="00046950" w:rsidRDefault="00046950" w:rsidP="00B2186F">
      <w:pPr>
        <w:rPr>
          <w:rFonts w:ascii="Arial" w:hAnsi="Arial" w:cs="Arial"/>
          <w:sz w:val="22"/>
          <w:szCs w:val="22"/>
        </w:rPr>
      </w:pPr>
    </w:p>
    <w:p w14:paraId="19E0922C" w14:textId="77777777" w:rsidR="00046950" w:rsidRDefault="00046950" w:rsidP="00B2186F">
      <w:pPr>
        <w:rPr>
          <w:rFonts w:ascii="Arial" w:hAnsi="Arial" w:cs="Arial"/>
          <w:sz w:val="22"/>
          <w:szCs w:val="22"/>
        </w:rPr>
      </w:pPr>
    </w:p>
    <w:p w14:paraId="57545EFA" w14:textId="77777777" w:rsidR="00046950" w:rsidRDefault="00046950" w:rsidP="00B2186F">
      <w:pPr>
        <w:rPr>
          <w:rFonts w:ascii="Arial" w:hAnsi="Arial" w:cs="Arial"/>
          <w:sz w:val="22"/>
          <w:szCs w:val="22"/>
        </w:rPr>
      </w:pPr>
    </w:p>
    <w:p w14:paraId="5ACC711D" w14:textId="77777777" w:rsidR="00046950" w:rsidRDefault="00046950" w:rsidP="00B2186F">
      <w:pPr>
        <w:rPr>
          <w:rFonts w:ascii="Arial" w:hAnsi="Arial" w:cs="Arial"/>
          <w:sz w:val="22"/>
          <w:szCs w:val="22"/>
        </w:rPr>
      </w:pPr>
    </w:p>
    <w:p w14:paraId="701C4CA2" w14:textId="77777777" w:rsidR="00046950" w:rsidRDefault="00046950" w:rsidP="00B2186F">
      <w:pPr>
        <w:rPr>
          <w:rFonts w:ascii="Arial" w:hAnsi="Arial" w:cs="Arial"/>
          <w:sz w:val="22"/>
          <w:szCs w:val="22"/>
        </w:rPr>
      </w:pPr>
    </w:p>
    <w:p w14:paraId="08B4E0A9" w14:textId="77777777" w:rsidR="005A72DA" w:rsidRPr="006908AE" w:rsidRDefault="006908AE" w:rsidP="006908AE">
      <w:pPr>
        <w:pStyle w:val="Heading2"/>
      </w:pPr>
      <w:bookmarkStart w:id="6" w:name="_Toc224185188"/>
      <w:r>
        <w:lastRenderedPageBreak/>
        <w:t xml:space="preserve">3.3. </w:t>
      </w:r>
      <w:r w:rsidR="005A72DA" w:rsidRPr="006908AE">
        <w:t>SWOT</w:t>
      </w:r>
      <w:bookmarkEnd w:id="6"/>
    </w:p>
    <w:p w14:paraId="1E1B65F9" w14:textId="77777777" w:rsidR="00E938BF" w:rsidRDefault="00B540E2" w:rsidP="00E938BF">
      <w:pPr>
        <w:rPr>
          <w:noProof/>
        </w:rPr>
      </w:pPr>
      <w:r>
        <w:rPr>
          <w:noProof/>
        </w:rPr>
        <w:drawing>
          <wp:inline distT="0" distB="0" distL="0" distR="0" wp14:anchorId="783EE957" wp14:editId="0BBD9B55">
            <wp:extent cx="5777230" cy="5168348"/>
            <wp:effectExtent l="0" t="0" r="33020" b="13335"/>
            <wp:docPr id="204824466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45EFE47" w14:textId="18E7EDCF" w:rsidR="00F06A6B" w:rsidRDefault="00D61AFD" w:rsidP="00D02C76">
      <w:pPr>
        <w:rPr>
          <w:rFonts w:ascii="Arial" w:hAnsi="Arial" w:cs="Arial"/>
          <w:sz w:val="22"/>
          <w:szCs w:val="22"/>
        </w:rPr>
      </w:pPr>
      <w:r w:rsidRPr="00D61AFD">
        <w:rPr>
          <w:rFonts w:ascii="Arial" w:hAnsi="Arial" w:cs="Arial"/>
          <w:sz w:val="22"/>
          <w:szCs w:val="22"/>
        </w:rPr>
        <w:t xml:space="preserve">According to B Lab (2026) and Innocent Drinks (n.d.), the SWOT analysis shows that Innocent's most significant advantage is its reliable brand equity, which is supported by reputable pledges to ethics and the environment. The main difficulty is to maintain premium positioning in a market with limited value while meeting increasing demands for tangible sustainability achievements. Growth is most achievable through accessible price formats and innovation connected to common health occurrences </w:t>
      </w:r>
      <w:proofErr w:type="gramStart"/>
      <w:r w:rsidRPr="00D61AFD">
        <w:rPr>
          <w:rFonts w:ascii="Arial" w:hAnsi="Arial" w:cs="Arial"/>
          <w:sz w:val="22"/>
          <w:szCs w:val="22"/>
        </w:rPr>
        <w:t>in order to</w:t>
      </w:r>
      <w:proofErr w:type="gramEnd"/>
      <w:r w:rsidRPr="00D61AFD">
        <w:rPr>
          <w:rFonts w:ascii="Arial" w:hAnsi="Arial" w:cs="Arial"/>
          <w:sz w:val="22"/>
          <w:szCs w:val="22"/>
        </w:rPr>
        <w:t xml:space="preserve"> stay ahead of regulatory and competitive issues (Mintel, 2024; GOV.UK, 2025).</w:t>
      </w:r>
    </w:p>
    <w:p w14:paraId="6B4DB385" w14:textId="77777777" w:rsidR="002E00F5" w:rsidRDefault="002E00F5" w:rsidP="00D02C76">
      <w:pPr>
        <w:rPr>
          <w:rFonts w:ascii="Arial" w:hAnsi="Arial" w:cs="Arial"/>
          <w:sz w:val="22"/>
          <w:szCs w:val="22"/>
        </w:rPr>
      </w:pPr>
    </w:p>
    <w:p w14:paraId="1EECEB55" w14:textId="77777777" w:rsidR="002E00F5" w:rsidRDefault="002E00F5" w:rsidP="00D02C76">
      <w:pPr>
        <w:rPr>
          <w:rFonts w:ascii="Arial" w:hAnsi="Arial" w:cs="Arial"/>
          <w:sz w:val="22"/>
          <w:szCs w:val="22"/>
        </w:rPr>
      </w:pPr>
    </w:p>
    <w:p w14:paraId="020CD2A8" w14:textId="77777777" w:rsidR="002E00F5" w:rsidRDefault="002E00F5" w:rsidP="00D02C76">
      <w:pPr>
        <w:rPr>
          <w:rFonts w:ascii="Arial" w:hAnsi="Arial" w:cs="Arial"/>
          <w:sz w:val="22"/>
          <w:szCs w:val="22"/>
        </w:rPr>
      </w:pPr>
    </w:p>
    <w:p w14:paraId="40FA220A" w14:textId="77777777" w:rsidR="002E00F5" w:rsidRDefault="002E00F5" w:rsidP="00D02C76">
      <w:pPr>
        <w:rPr>
          <w:rFonts w:ascii="Arial" w:hAnsi="Arial" w:cs="Arial"/>
          <w:sz w:val="22"/>
          <w:szCs w:val="22"/>
        </w:rPr>
      </w:pPr>
    </w:p>
    <w:p w14:paraId="56F8BD83" w14:textId="77777777" w:rsidR="002E00F5" w:rsidRDefault="002E00F5" w:rsidP="00D02C76">
      <w:pPr>
        <w:rPr>
          <w:rFonts w:ascii="Arial" w:hAnsi="Arial" w:cs="Arial"/>
          <w:sz w:val="22"/>
          <w:szCs w:val="22"/>
        </w:rPr>
      </w:pPr>
    </w:p>
    <w:p w14:paraId="1F8B404E" w14:textId="77777777" w:rsidR="002E00F5" w:rsidRDefault="002E00F5" w:rsidP="002E00F5">
      <w:pPr>
        <w:pStyle w:val="Heading1"/>
      </w:pPr>
      <w:bookmarkStart w:id="7" w:name="_Toc224185189"/>
      <w:r w:rsidRPr="002E00F5">
        <w:lastRenderedPageBreak/>
        <w:t>4. Strategic Growth Options and Proposed Strategy</w:t>
      </w:r>
      <w:bookmarkEnd w:id="7"/>
    </w:p>
    <w:p w14:paraId="3C2EB186" w14:textId="77777777" w:rsidR="00EB4478" w:rsidRDefault="006908AE" w:rsidP="00EB4478">
      <w:pPr>
        <w:pStyle w:val="Heading2"/>
      </w:pPr>
      <w:bookmarkStart w:id="8" w:name="_Toc224185190"/>
      <w:r>
        <w:t xml:space="preserve">4.1. </w:t>
      </w:r>
      <w:r w:rsidR="00EB4478" w:rsidRPr="00EB4478">
        <w:t>Growth options using the Ansoff Matrix</w:t>
      </w:r>
      <w:bookmarkEnd w:id="8"/>
    </w:p>
    <w:p w14:paraId="665D3C91" w14:textId="77777777" w:rsidR="0042343D" w:rsidRPr="0042343D" w:rsidRDefault="0042343D" w:rsidP="0042343D"/>
    <w:tbl>
      <w:tblPr>
        <w:tblStyle w:val="TableGrid"/>
        <w:tblW w:w="0" w:type="auto"/>
        <w:tblLook w:val="04A0" w:firstRow="1" w:lastRow="0" w:firstColumn="1" w:lastColumn="0" w:noHBand="0" w:noVBand="1"/>
      </w:tblPr>
      <w:tblGrid>
        <w:gridCol w:w="1696"/>
        <w:gridCol w:w="3544"/>
        <w:gridCol w:w="3776"/>
      </w:tblGrid>
      <w:tr w:rsidR="0042343D" w:rsidRPr="00FE778D" w14:paraId="3D503072" w14:textId="77777777" w:rsidTr="00FE778D">
        <w:trPr>
          <w:trHeight w:val="717"/>
        </w:trPr>
        <w:tc>
          <w:tcPr>
            <w:tcW w:w="1696" w:type="dxa"/>
            <w:shd w:val="clear" w:color="auto" w:fill="A5C9EB" w:themeFill="text2" w:themeFillTint="40"/>
          </w:tcPr>
          <w:p w14:paraId="21E96D2E" w14:textId="77777777" w:rsidR="0042343D" w:rsidRPr="00FE778D" w:rsidRDefault="0042343D" w:rsidP="0042343D">
            <w:pPr>
              <w:rPr>
                <w:rFonts w:ascii="Arial" w:hAnsi="Arial" w:cs="Arial"/>
                <w:sz w:val="22"/>
                <w:szCs w:val="22"/>
              </w:rPr>
            </w:pPr>
          </w:p>
        </w:tc>
        <w:tc>
          <w:tcPr>
            <w:tcW w:w="3544" w:type="dxa"/>
            <w:shd w:val="clear" w:color="auto" w:fill="A5C9EB" w:themeFill="text2" w:themeFillTint="40"/>
          </w:tcPr>
          <w:p w14:paraId="130E43C6" w14:textId="77777777" w:rsidR="0042343D" w:rsidRPr="00FE778D" w:rsidRDefault="0042343D" w:rsidP="0042343D">
            <w:pPr>
              <w:rPr>
                <w:rFonts w:ascii="Arial" w:hAnsi="Arial" w:cs="Arial"/>
                <w:b/>
                <w:bCs/>
                <w:sz w:val="22"/>
                <w:szCs w:val="22"/>
              </w:rPr>
            </w:pPr>
            <w:r w:rsidRPr="00FE778D">
              <w:rPr>
                <w:rFonts w:ascii="Arial" w:hAnsi="Arial" w:cs="Arial"/>
                <w:b/>
                <w:bCs/>
                <w:sz w:val="22"/>
                <w:szCs w:val="22"/>
              </w:rPr>
              <w:t>Existing markets (UK core)</w:t>
            </w:r>
          </w:p>
        </w:tc>
        <w:tc>
          <w:tcPr>
            <w:tcW w:w="3776" w:type="dxa"/>
            <w:shd w:val="clear" w:color="auto" w:fill="A5C9EB" w:themeFill="text2" w:themeFillTint="40"/>
          </w:tcPr>
          <w:p w14:paraId="254AB00A" w14:textId="77777777" w:rsidR="0042343D" w:rsidRPr="00FE778D" w:rsidRDefault="0042343D" w:rsidP="0042343D">
            <w:pPr>
              <w:rPr>
                <w:rFonts w:ascii="Arial" w:hAnsi="Arial" w:cs="Arial"/>
                <w:b/>
                <w:bCs/>
                <w:sz w:val="22"/>
                <w:szCs w:val="22"/>
              </w:rPr>
            </w:pPr>
            <w:r w:rsidRPr="00FE778D">
              <w:rPr>
                <w:rFonts w:ascii="Arial" w:hAnsi="Arial" w:cs="Arial"/>
                <w:b/>
                <w:bCs/>
                <w:sz w:val="22"/>
                <w:szCs w:val="22"/>
              </w:rPr>
              <w:t>New markets (new regions/channels)</w:t>
            </w:r>
          </w:p>
        </w:tc>
      </w:tr>
      <w:tr w:rsidR="0042343D" w:rsidRPr="00FE778D" w14:paraId="1A36FC3E" w14:textId="77777777" w:rsidTr="00FE778D">
        <w:tc>
          <w:tcPr>
            <w:tcW w:w="1696" w:type="dxa"/>
            <w:shd w:val="clear" w:color="auto" w:fill="A5C9EB" w:themeFill="text2" w:themeFillTint="40"/>
          </w:tcPr>
          <w:p w14:paraId="485F63D3" w14:textId="77777777" w:rsidR="0042343D" w:rsidRPr="00FE778D" w:rsidRDefault="0042343D" w:rsidP="0042343D">
            <w:pPr>
              <w:rPr>
                <w:rFonts w:ascii="Arial" w:hAnsi="Arial" w:cs="Arial"/>
                <w:b/>
                <w:bCs/>
                <w:sz w:val="22"/>
                <w:szCs w:val="22"/>
              </w:rPr>
            </w:pPr>
            <w:r w:rsidRPr="00FE778D">
              <w:rPr>
                <w:rFonts w:ascii="Arial" w:hAnsi="Arial" w:cs="Arial"/>
                <w:b/>
                <w:bCs/>
                <w:sz w:val="22"/>
                <w:szCs w:val="22"/>
              </w:rPr>
              <w:t>Existing products</w:t>
            </w:r>
          </w:p>
        </w:tc>
        <w:tc>
          <w:tcPr>
            <w:tcW w:w="3544" w:type="dxa"/>
            <w:shd w:val="clear" w:color="auto" w:fill="DAE9F7" w:themeFill="text2" w:themeFillTint="1A"/>
          </w:tcPr>
          <w:p w14:paraId="0E856A66" w14:textId="77777777" w:rsidR="0042343D" w:rsidRPr="00FE778D" w:rsidRDefault="00B75D7A" w:rsidP="0042343D">
            <w:pPr>
              <w:rPr>
                <w:rFonts w:ascii="Arial" w:hAnsi="Arial" w:cs="Arial"/>
                <w:sz w:val="22"/>
                <w:szCs w:val="22"/>
              </w:rPr>
            </w:pPr>
            <w:r w:rsidRPr="00A73A20">
              <w:rPr>
                <w:rFonts w:ascii="Arial" w:hAnsi="Arial" w:cs="Arial"/>
                <w:b/>
                <w:bCs/>
                <w:sz w:val="22"/>
                <w:szCs w:val="22"/>
              </w:rPr>
              <w:t>Market Penetration:</w:t>
            </w:r>
            <w:r w:rsidRPr="00B75D7A">
              <w:rPr>
                <w:rFonts w:ascii="Arial" w:hAnsi="Arial" w:cs="Arial"/>
                <w:sz w:val="22"/>
                <w:szCs w:val="22"/>
              </w:rPr>
              <w:t xml:space="preserve"> Increased presence in convenience/food-to-go, greater promotions, and a clearer price-pack design will all help to improve value perception and encourage repeat purchases.</w:t>
            </w:r>
          </w:p>
        </w:tc>
        <w:tc>
          <w:tcPr>
            <w:tcW w:w="3776" w:type="dxa"/>
            <w:shd w:val="clear" w:color="auto" w:fill="DAE9F7" w:themeFill="text2" w:themeFillTint="1A"/>
          </w:tcPr>
          <w:p w14:paraId="2F4F8F3E" w14:textId="77777777" w:rsidR="0042343D" w:rsidRPr="00FE778D" w:rsidRDefault="00B37496" w:rsidP="0042343D">
            <w:pPr>
              <w:rPr>
                <w:rFonts w:ascii="Arial" w:hAnsi="Arial" w:cs="Arial"/>
                <w:sz w:val="22"/>
                <w:szCs w:val="22"/>
              </w:rPr>
            </w:pPr>
            <w:r w:rsidRPr="00A73A20">
              <w:rPr>
                <w:rFonts w:ascii="Arial" w:hAnsi="Arial" w:cs="Arial"/>
                <w:b/>
                <w:bCs/>
                <w:sz w:val="22"/>
                <w:szCs w:val="22"/>
              </w:rPr>
              <w:t>Market Development:</w:t>
            </w:r>
            <w:r w:rsidRPr="00B37496">
              <w:rPr>
                <w:rFonts w:ascii="Arial" w:hAnsi="Arial" w:cs="Arial"/>
                <w:sz w:val="22"/>
                <w:szCs w:val="22"/>
              </w:rPr>
              <w:t xml:space="preserve"> Expand current product lines into new markets or channels, although doing so adds complexity and may divert attention from the UK's top priorities.</w:t>
            </w:r>
          </w:p>
        </w:tc>
      </w:tr>
      <w:tr w:rsidR="0042343D" w:rsidRPr="00FE778D" w14:paraId="2464410D" w14:textId="77777777" w:rsidTr="00FE778D">
        <w:trPr>
          <w:trHeight w:val="1904"/>
        </w:trPr>
        <w:tc>
          <w:tcPr>
            <w:tcW w:w="1696" w:type="dxa"/>
            <w:shd w:val="clear" w:color="auto" w:fill="A5C9EB" w:themeFill="text2" w:themeFillTint="40"/>
          </w:tcPr>
          <w:p w14:paraId="4A778B46" w14:textId="77777777" w:rsidR="0042343D" w:rsidRPr="00FE778D" w:rsidRDefault="0042343D" w:rsidP="0042343D">
            <w:pPr>
              <w:rPr>
                <w:rFonts w:ascii="Arial" w:hAnsi="Arial" w:cs="Arial"/>
                <w:b/>
                <w:bCs/>
                <w:sz w:val="22"/>
                <w:szCs w:val="22"/>
              </w:rPr>
            </w:pPr>
            <w:r w:rsidRPr="00FE778D">
              <w:rPr>
                <w:rFonts w:ascii="Arial" w:hAnsi="Arial" w:cs="Arial"/>
                <w:b/>
                <w:bCs/>
                <w:sz w:val="22"/>
                <w:szCs w:val="22"/>
              </w:rPr>
              <w:t>New products</w:t>
            </w:r>
          </w:p>
        </w:tc>
        <w:tc>
          <w:tcPr>
            <w:tcW w:w="3544" w:type="dxa"/>
            <w:shd w:val="clear" w:color="auto" w:fill="DAE9F7" w:themeFill="text2" w:themeFillTint="1A"/>
          </w:tcPr>
          <w:p w14:paraId="6726D179" w14:textId="77777777" w:rsidR="0042343D" w:rsidRPr="00FE778D" w:rsidRDefault="00184B93" w:rsidP="0042343D">
            <w:pPr>
              <w:rPr>
                <w:rFonts w:ascii="Arial" w:hAnsi="Arial" w:cs="Arial"/>
                <w:sz w:val="22"/>
                <w:szCs w:val="22"/>
              </w:rPr>
            </w:pPr>
            <w:r w:rsidRPr="00A73A20">
              <w:rPr>
                <w:rFonts w:ascii="Arial" w:hAnsi="Arial" w:cs="Arial"/>
                <w:b/>
                <w:bCs/>
                <w:sz w:val="22"/>
                <w:szCs w:val="22"/>
              </w:rPr>
              <w:t>Product Development:</w:t>
            </w:r>
            <w:r w:rsidRPr="00184B93">
              <w:rPr>
                <w:rFonts w:ascii="Arial" w:hAnsi="Arial" w:cs="Arial"/>
                <w:sz w:val="22"/>
                <w:szCs w:val="22"/>
              </w:rPr>
              <w:t xml:space="preserve"> Introduce plant-based, function-led products with compliance claims that are targeted at everyday health benefits for existing customers</w:t>
            </w:r>
          </w:p>
        </w:tc>
        <w:tc>
          <w:tcPr>
            <w:tcW w:w="3776" w:type="dxa"/>
            <w:shd w:val="clear" w:color="auto" w:fill="DAE9F7" w:themeFill="text2" w:themeFillTint="1A"/>
          </w:tcPr>
          <w:p w14:paraId="573EEF04" w14:textId="77777777" w:rsidR="0042343D" w:rsidRPr="00FE778D" w:rsidRDefault="00A73A20" w:rsidP="0042343D">
            <w:pPr>
              <w:rPr>
                <w:rFonts w:ascii="Arial" w:hAnsi="Arial" w:cs="Arial"/>
                <w:sz w:val="22"/>
                <w:szCs w:val="22"/>
              </w:rPr>
            </w:pPr>
            <w:r w:rsidRPr="00A73A20">
              <w:rPr>
                <w:rFonts w:ascii="Arial" w:hAnsi="Arial" w:cs="Arial"/>
                <w:b/>
                <w:bCs/>
                <w:sz w:val="22"/>
                <w:szCs w:val="22"/>
              </w:rPr>
              <w:t>Diversification:</w:t>
            </w:r>
            <w:r w:rsidRPr="00A73A20">
              <w:rPr>
                <w:rFonts w:ascii="Arial" w:hAnsi="Arial" w:cs="Arial"/>
                <w:sz w:val="22"/>
                <w:szCs w:val="22"/>
              </w:rPr>
              <w:t xml:space="preserve"> Entering completely new markets and categories carries the biggest risk and could weaken Innocent's brand if it isn't closely connected to the company's goal and ingredient values.</w:t>
            </w:r>
          </w:p>
        </w:tc>
      </w:tr>
    </w:tbl>
    <w:p w14:paraId="352045F9" w14:textId="77777777" w:rsidR="00FE778D" w:rsidRDefault="00FE778D" w:rsidP="00EB4478">
      <w:pPr>
        <w:rPr>
          <w:rFonts w:ascii="Arial" w:hAnsi="Arial" w:cs="Arial"/>
          <w:sz w:val="22"/>
          <w:szCs w:val="22"/>
        </w:rPr>
      </w:pPr>
    </w:p>
    <w:p w14:paraId="3229286A" w14:textId="77777777" w:rsidR="00EB4478" w:rsidRDefault="0038160C" w:rsidP="0038160C">
      <w:pPr>
        <w:rPr>
          <w:rFonts w:ascii="Arial" w:hAnsi="Arial" w:cs="Arial"/>
          <w:sz w:val="22"/>
          <w:szCs w:val="22"/>
        </w:rPr>
      </w:pPr>
      <w:r w:rsidRPr="0038160C">
        <w:rPr>
          <w:rFonts w:ascii="Arial" w:hAnsi="Arial" w:cs="Arial"/>
          <w:sz w:val="22"/>
          <w:szCs w:val="22"/>
        </w:rPr>
        <w:t>The best course of action, given the current market pressure, is Market Penetration + Product Development, which safeguards the UK core while fostering growth through innovation that is in line with the objective without overstretching the company.</w:t>
      </w:r>
    </w:p>
    <w:p w14:paraId="700044DE" w14:textId="77777777" w:rsidR="006355D3" w:rsidRDefault="002F4F7D" w:rsidP="006355D3">
      <w:pPr>
        <w:pStyle w:val="Heading2"/>
      </w:pPr>
      <w:bookmarkStart w:id="9" w:name="_Toc224185191"/>
      <w:r>
        <w:lastRenderedPageBreak/>
        <w:t xml:space="preserve">4.2. </w:t>
      </w:r>
      <w:r w:rsidR="006355D3" w:rsidRPr="006355D3">
        <w:t>Recommended strategy: Sustainable Value Expansion</w:t>
      </w:r>
      <w:bookmarkEnd w:id="9"/>
    </w:p>
    <w:p w14:paraId="3515D768" w14:textId="77777777" w:rsidR="00860E11" w:rsidRPr="00860E11" w:rsidRDefault="00860E11" w:rsidP="00860E11">
      <w:pPr>
        <w:pStyle w:val="Heading3"/>
        <w:rPr>
          <w:rFonts w:ascii="Arial" w:eastAsiaTheme="minorHAnsi" w:hAnsi="Arial" w:cs="Arial"/>
          <w:color w:val="auto"/>
          <w:sz w:val="22"/>
          <w:szCs w:val="22"/>
        </w:rPr>
      </w:pPr>
      <w:bookmarkStart w:id="10" w:name="_Toc224185192"/>
      <w:r w:rsidRPr="00860E11">
        <w:rPr>
          <w:rFonts w:ascii="Arial" w:eastAsiaTheme="minorHAnsi" w:hAnsi="Arial" w:cs="Arial"/>
          <w:color w:val="auto"/>
          <w:sz w:val="22"/>
          <w:szCs w:val="22"/>
        </w:rPr>
        <w:t xml:space="preserve">According to this analysis, Innocent Drinks' best growth strategy is Sustainable Value Expansion. By making the brand more approachable to the </w:t>
      </w:r>
      <w:proofErr w:type="gramStart"/>
      <w:r w:rsidRPr="00860E11">
        <w:rPr>
          <w:rFonts w:ascii="Arial" w:eastAsiaTheme="minorHAnsi" w:hAnsi="Arial" w:cs="Arial"/>
          <w:color w:val="auto"/>
          <w:sz w:val="22"/>
          <w:szCs w:val="22"/>
        </w:rPr>
        <w:t>general public</w:t>
      </w:r>
      <w:proofErr w:type="gramEnd"/>
      <w:r w:rsidRPr="00860E11">
        <w:rPr>
          <w:rFonts w:ascii="Arial" w:eastAsiaTheme="minorHAnsi" w:hAnsi="Arial" w:cs="Arial"/>
          <w:color w:val="auto"/>
          <w:sz w:val="22"/>
          <w:szCs w:val="22"/>
        </w:rPr>
        <w:t xml:space="preserve"> and utilizing sustainability as a tangible, quantifiable benefit rather than merely a message, the goal is to develop responsibly.</w:t>
      </w:r>
    </w:p>
    <w:p w14:paraId="54082AA1" w14:textId="3F330BCF" w:rsidR="00393B2B" w:rsidRDefault="00860E11" w:rsidP="00860E11">
      <w:pPr>
        <w:pStyle w:val="Heading3"/>
      </w:pPr>
      <w:r w:rsidRPr="00860E11">
        <w:rPr>
          <w:rFonts w:ascii="Arial" w:eastAsiaTheme="minorHAnsi" w:hAnsi="Arial" w:cs="Arial"/>
          <w:color w:val="auto"/>
          <w:sz w:val="22"/>
          <w:szCs w:val="22"/>
        </w:rPr>
        <w:t xml:space="preserve">The best way to characterize the approach is as accessible premium execution combined with targeted distinction. </w:t>
      </w:r>
      <w:r w:rsidR="00590AE2" w:rsidRPr="00590AE2">
        <w:rPr>
          <w:rFonts w:ascii="Arial" w:eastAsiaTheme="minorHAnsi" w:hAnsi="Arial" w:cs="Arial"/>
          <w:color w:val="auto"/>
          <w:sz w:val="22"/>
          <w:szCs w:val="22"/>
        </w:rPr>
        <w:t xml:space="preserve">Innocent should continue to stand out for its taste, ingredient integrity, and confidence built via transparent reporting and real environmental achievements. </w:t>
      </w:r>
      <w:r w:rsidRPr="00590AE2">
        <w:rPr>
          <w:rFonts w:ascii="Arial" w:eastAsiaTheme="minorHAnsi" w:hAnsi="Arial" w:cs="Arial"/>
          <w:color w:val="auto"/>
          <w:sz w:val="22"/>
          <w:szCs w:val="22"/>
        </w:rPr>
        <w:t>To</w:t>
      </w:r>
      <w:r w:rsidR="00590AE2" w:rsidRPr="00590AE2">
        <w:rPr>
          <w:rFonts w:ascii="Arial" w:eastAsiaTheme="minorHAnsi" w:hAnsi="Arial" w:cs="Arial"/>
          <w:color w:val="auto"/>
          <w:sz w:val="22"/>
          <w:szCs w:val="22"/>
        </w:rPr>
        <w:t xml:space="preserve"> close the gap between consumers who like the brand and those who regularly buy it, it must simultaneously increase price and relevancy across increasingly commonplace occasions. </w:t>
      </w:r>
      <w:r w:rsidR="00393B2B" w:rsidRPr="00EA130B">
        <w:t>Key elements of the strategy</w:t>
      </w:r>
      <w:bookmarkEnd w:id="10"/>
    </w:p>
    <w:p w14:paraId="585837D5" w14:textId="77777777" w:rsidR="00520E02" w:rsidRPr="00393B2B" w:rsidRDefault="00520E02" w:rsidP="00520E02">
      <w:pPr>
        <w:pStyle w:val="Heading3"/>
      </w:pPr>
      <w:bookmarkStart w:id="11" w:name="_Toc224185193"/>
      <w:r w:rsidRPr="00393B2B">
        <w:t>1) Value without compromise</w:t>
      </w:r>
      <w:bookmarkEnd w:id="11"/>
    </w:p>
    <w:p w14:paraId="62613D13" w14:textId="3E825D3B" w:rsidR="0040158D" w:rsidRPr="00590AE2" w:rsidRDefault="00520E02" w:rsidP="00590AE2">
      <w:pPr>
        <w:pStyle w:val="Heading3"/>
        <w:rPr>
          <w:rFonts w:ascii="Arial" w:eastAsiaTheme="minorHAnsi" w:hAnsi="Arial" w:cs="Arial"/>
          <w:color w:val="auto"/>
          <w:sz w:val="22"/>
          <w:szCs w:val="22"/>
        </w:rPr>
      </w:pPr>
      <w:bookmarkStart w:id="12" w:name="_Toc224185194"/>
      <w:r w:rsidRPr="0040158D">
        <w:rPr>
          <w:rFonts w:ascii="Arial" w:eastAsiaTheme="minorHAnsi" w:hAnsi="Arial" w:cs="Arial"/>
          <w:color w:val="auto"/>
          <w:sz w:val="22"/>
          <w:szCs w:val="22"/>
        </w:rPr>
        <w:t>Increase accessibility by using multipacks, lower pack sizes, and a more understandable good-better-best hierarchy. Offering entry-level prices without compromising ingredient quality or brand standards is the aim.</w:t>
      </w:r>
      <w:bookmarkEnd w:id="12"/>
    </w:p>
    <w:p w14:paraId="4770E123" w14:textId="77777777" w:rsidR="00393B2B" w:rsidRPr="00393B2B" w:rsidRDefault="00393B2B" w:rsidP="00EA130B">
      <w:pPr>
        <w:pStyle w:val="Heading3"/>
      </w:pPr>
      <w:bookmarkStart w:id="13" w:name="_Toc224185195"/>
      <w:r w:rsidRPr="00393B2B">
        <w:t>2) Occasion-led innovation</w:t>
      </w:r>
      <w:bookmarkEnd w:id="13"/>
    </w:p>
    <w:p w14:paraId="5079D062" w14:textId="15BD4907" w:rsidR="00393B2B" w:rsidRPr="00393B2B" w:rsidRDefault="00590AE2" w:rsidP="00EA130B">
      <w:pPr>
        <w:pStyle w:val="Heading3"/>
      </w:pPr>
      <w:bookmarkStart w:id="14" w:name="_Toc224185196"/>
      <w:r w:rsidRPr="00F61CC4">
        <w:rPr>
          <w:rFonts w:ascii="Arial" w:eastAsiaTheme="minorHAnsi" w:hAnsi="Arial" w:cs="Arial"/>
          <w:color w:val="auto"/>
          <w:sz w:val="22"/>
          <w:szCs w:val="22"/>
        </w:rPr>
        <w:t>Instead,</w:t>
      </w:r>
      <w:r w:rsidR="00F61CC4" w:rsidRPr="00F61CC4">
        <w:rPr>
          <w:rFonts w:ascii="Arial" w:eastAsiaTheme="minorHAnsi" w:hAnsi="Arial" w:cs="Arial"/>
          <w:color w:val="auto"/>
          <w:sz w:val="22"/>
          <w:szCs w:val="22"/>
        </w:rPr>
        <w:t xml:space="preserve"> </w:t>
      </w:r>
      <w:r w:rsidR="000A0307" w:rsidRPr="00F61CC4">
        <w:rPr>
          <w:rFonts w:ascii="Arial" w:eastAsiaTheme="minorHAnsi" w:hAnsi="Arial" w:cs="Arial"/>
          <w:color w:val="auto"/>
          <w:sz w:val="22"/>
          <w:szCs w:val="22"/>
        </w:rPr>
        <w:t>then</w:t>
      </w:r>
      <w:r w:rsidR="00F61CC4" w:rsidRPr="00F61CC4">
        <w:rPr>
          <w:rFonts w:ascii="Arial" w:eastAsiaTheme="minorHAnsi" w:hAnsi="Arial" w:cs="Arial"/>
          <w:color w:val="auto"/>
          <w:sz w:val="22"/>
          <w:szCs w:val="22"/>
        </w:rPr>
        <w:t xml:space="preserve"> focusing only on a single smoothie occasion, create goods that fit more regular "health moments." This includes plant-based nutrition blends and function-led solutions that feel true to Innocent's brand.</w:t>
      </w:r>
      <w:bookmarkEnd w:id="14"/>
    </w:p>
    <w:p w14:paraId="6C3C232E" w14:textId="77777777" w:rsidR="00393B2B" w:rsidRPr="00393B2B" w:rsidRDefault="00393B2B" w:rsidP="00EA130B">
      <w:pPr>
        <w:pStyle w:val="Heading3"/>
      </w:pPr>
      <w:bookmarkStart w:id="15" w:name="_Toc224185197"/>
      <w:r w:rsidRPr="00393B2B">
        <w:t>3) Sustainability embedded into growth</w:t>
      </w:r>
      <w:bookmarkEnd w:id="15"/>
    </w:p>
    <w:p w14:paraId="22BE4DCE" w14:textId="4CFAC685" w:rsidR="000A0307" w:rsidRPr="000A0307" w:rsidRDefault="000A0307" w:rsidP="000A0307">
      <w:pPr>
        <w:pStyle w:val="Heading3"/>
        <w:rPr>
          <w:rFonts w:ascii="Arial" w:eastAsiaTheme="minorHAnsi" w:hAnsi="Arial" w:cs="Arial"/>
          <w:color w:val="auto"/>
          <w:sz w:val="22"/>
          <w:szCs w:val="22"/>
        </w:rPr>
      </w:pPr>
      <w:r w:rsidRPr="000A0307">
        <w:rPr>
          <w:rFonts w:ascii="Arial" w:eastAsiaTheme="minorHAnsi" w:hAnsi="Arial" w:cs="Arial"/>
          <w:color w:val="auto"/>
          <w:sz w:val="22"/>
          <w:szCs w:val="22"/>
        </w:rPr>
        <w:t>Redesign packaging and enhance sourcing to reduce emissions and manage regulatory cost exposure to integrate sustainability into supply chain and product choices (Innocent Drinks, n.d.; GOV.UK, 2025). This boosts credibility and provides stakeholders with stronger proof.</w:t>
      </w:r>
    </w:p>
    <w:p w14:paraId="250953D3" w14:textId="725DF3BE" w:rsidR="000A0307" w:rsidRDefault="000A0307" w:rsidP="000A0307">
      <w:pPr>
        <w:pStyle w:val="Heading3"/>
        <w:rPr>
          <w:rFonts w:ascii="Arial" w:eastAsiaTheme="minorHAnsi" w:hAnsi="Arial" w:cs="Arial"/>
          <w:color w:val="auto"/>
          <w:sz w:val="22"/>
          <w:szCs w:val="22"/>
        </w:rPr>
      </w:pPr>
      <w:r w:rsidRPr="000A0307">
        <w:rPr>
          <w:rFonts w:ascii="Arial" w:eastAsiaTheme="minorHAnsi" w:hAnsi="Arial" w:cs="Arial"/>
          <w:color w:val="auto"/>
          <w:sz w:val="22"/>
          <w:szCs w:val="22"/>
        </w:rPr>
        <w:t>Overall, this strategy supports Innocent's objective and vision by maintaining authenticity and making real-world product choices easier. It also supports Innocent's B Corp positioning by keeping sustainability and stakeholder impact at the centre of growth decisions (B Lab, 2026).</w:t>
      </w:r>
    </w:p>
    <w:p w14:paraId="07EEE8ED" w14:textId="4B9EC571" w:rsidR="0014280F" w:rsidRPr="00F90D5A" w:rsidRDefault="008A51D9" w:rsidP="000A0307">
      <w:pPr>
        <w:pStyle w:val="Heading3"/>
        <w:rPr>
          <w:rFonts w:ascii="Arial" w:hAnsi="Arial" w:cs="Arial"/>
          <w:sz w:val="22"/>
          <w:szCs w:val="22"/>
        </w:rPr>
      </w:pPr>
      <w:r w:rsidRPr="00F90D5A">
        <w:rPr>
          <w:rFonts w:ascii="Arial" w:hAnsi="Arial" w:cs="Arial"/>
          <w:sz w:val="22"/>
          <w:szCs w:val="22"/>
        </w:rPr>
        <w:t>4.3. Why this strategy is the best fit</w:t>
      </w:r>
    </w:p>
    <w:p w14:paraId="320DB0D8" w14:textId="74C04F9E" w:rsidR="007F777A" w:rsidRPr="007F777A" w:rsidRDefault="007F777A" w:rsidP="007F777A">
      <w:pPr>
        <w:rPr>
          <w:rFonts w:ascii="Arial" w:hAnsi="Arial" w:cs="Arial"/>
          <w:sz w:val="22"/>
          <w:szCs w:val="22"/>
        </w:rPr>
      </w:pPr>
      <w:r w:rsidRPr="007F777A">
        <w:rPr>
          <w:rFonts w:ascii="Arial" w:hAnsi="Arial" w:cs="Arial"/>
          <w:sz w:val="22"/>
          <w:szCs w:val="22"/>
        </w:rPr>
        <w:t xml:space="preserve">According to Porter's Generic Strategies, Innocent ought should stay away from cost leadership. </w:t>
      </w:r>
      <w:r w:rsidR="009970EC" w:rsidRPr="009970EC">
        <w:rPr>
          <w:rFonts w:ascii="Arial" w:hAnsi="Arial" w:cs="Arial"/>
          <w:sz w:val="22"/>
          <w:szCs w:val="22"/>
        </w:rPr>
        <w:t xml:space="preserve">If it were to compete exclusively on price, its premium brand equity would likely be diminished, and fewer resources would be available to maintain ingredient quality and fulfil sustainability objectives. Conversely, focused differentiation is a better fit: Innocent makes the brand feel more "everyday" with innovative box designs and more evident value signals while maintaining a distinct point of differentiation through flavour, natural ingredients, and dependable ethical delivery. </w:t>
      </w:r>
      <w:r w:rsidRPr="007F777A">
        <w:rPr>
          <w:rFonts w:ascii="Arial" w:hAnsi="Arial" w:cs="Arial"/>
          <w:sz w:val="22"/>
          <w:szCs w:val="22"/>
        </w:rPr>
        <w:t>This responds to market value pressure while safeguarding the brand's identity.</w:t>
      </w:r>
    </w:p>
    <w:p w14:paraId="7C44FC44" w14:textId="77777777" w:rsidR="00E0599A" w:rsidRPr="00E0599A" w:rsidRDefault="007F777A" w:rsidP="00E0599A">
      <w:pPr>
        <w:rPr>
          <w:rFonts w:ascii="Arial" w:hAnsi="Arial" w:cs="Arial"/>
          <w:sz w:val="22"/>
          <w:szCs w:val="22"/>
        </w:rPr>
      </w:pPr>
      <w:r w:rsidRPr="007F777A">
        <w:rPr>
          <w:rFonts w:ascii="Arial" w:hAnsi="Arial" w:cs="Arial"/>
          <w:sz w:val="22"/>
          <w:szCs w:val="22"/>
        </w:rPr>
        <w:t xml:space="preserve">Market penetration plus product development is the </w:t>
      </w:r>
      <w:proofErr w:type="gramStart"/>
      <w:r w:rsidRPr="007F777A">
        <w:rPr>
          <w:rFonts w:ascii="Arial" w:hAnsi="Arial" w:cs="Arial"/>
          <w:sz w:val="22"/>
          <w:szCs w:val="22"/>
        </w:rPr>
        <w:t>best balanced</w:t>
      </w:r>
      <w:proofErr w:type="gramEnd"/>
      <w:r w:rsidRPr="007F777A">
        <w:rPr>
          <w:rFonts w:ascii="Arial" w:hAnsi="Arial" w:cs="Arial"/>
          <w:sz w:val="22"/>
          <w:szCs w:val="22"/>
        </w:rPr>
        <w:t xml:space="preserve"> growth strategy, according to the Ansoff Matrix. By increasing purchase frequency, visibility, and availability in high-frequency channels like convenience and food-to-go, market penetration fortifies the </w:t>
      </w:r>
      <w:r w:rsidRPr="007F777A">
        <w:rPr>
          <w:rFonts w:ascii="Arial" w:hAnsi="Arial" w:cs="Arial"/>
          <w:sz w:val="22"/>
          <w:szCs w:val="22"/>
        </w:rPr>
        <w:lastRenderedPageBreak/>
        <w:t xml:space="preserve">core. </w:t>
      </w:r>
      <w:r w:rsidR="00E0599A" w:rsidRPr="00E0599A">
        <w:rPr>
          <w:rFonts w:ascii="Arial" w:hAnsi="Arial" w:cs="Arial"/>
          <w:sz w:val="22"/>
          <w:szCs w:val="22"/>
        </w:rPr>
        <w:t>Then, through function-led and plant-based innovation that aligns with the vision and steers clear of irrelevant diversification, product creation fosters growth in adjacent spaces. At a time when supply chain volatility and packaging regulations already add complexity, this strategy limits operational overstretch and lowers strategic risk when compared to market development or diversification.</w:t>
      </w:r>
    </w:p>
    <w:p w14:paraId="1BC6AE15" w14:textId="7D8EC478" w:rsidR="0014280F" w:rsidRPr="00F90D5A" w:rsidRDefault="00E0599A" w:rsidP="00E0599A">
      <w:pPr>
        <w:rPr>
          <w:rFonts w:ascii="Arial" w:hAnsi="Arial" w:cs="Arial"/>
          <w:sz w:val="22"/>
          <w:szCs w:val="22"/>
        </w:rPr>
      </w:pPr>
      <w:r w:rsidRPr="00E0599A">
        <w:rPr>
          <w:rFonts w:ascii="Arial" w:hAnsi="Arial" w:cs="Arial"/>
          <w:sz w:val="22"/>
          <w:szCs w:val="22"/>
        </w:rPr>
        <w:t xml:space="preserve">Innovation should adhere to three guidelines </w:t>
      </w:r>
      <w:proofErr w:type="gramStart"/>
      <w:r w:rsidRPr="00E0599A">
        <w:rPr>
          <w:rFonts w:ascii="Arial" w:hAnsi="Arial" w:cs="Arial"/>
          <w:sz w:val="22"/>
          <w:szCs w:val="22"/>
        </w:rPr>
        <w:t>in order to</w:t>
      </w:r>
      <w:proofErr w:type="gramEnd"/>
      <w:r w:rsidRPr="00E0599A">
        <w:rPr>
          <w:rFonts w:ascii="Arial" w:hAnsi="Arial" w:cs="Arial"/>
          <w:sz w:val="22"/>
          <w:szCs w:val="22"/>
        </w:rPr>
        <w:t xml:space="preserve"> preserve authenticity. Every launch must first have a clear connection to the ingredient principles and objective. Second, functional positioning needs to describe advantages in simple terms and employ compliant, evidence-based language. Third, restricted pilots should be used to evaluate new ranges before they are scaled out. Trial-to-repeat and rate-of-sale figures should be used to verify real demand before a broader rollout.</w:t>
      </w:r>
    </w:p>
    <w:p w14:paraId="3011188C" w14:textId="77777777" w:rsidR="00564A20" w:rsidRPr="00651B33" w:rsidRDefault="00356024" w:rsidP="00356024">
      <w:pPr>
        <w:pStyle w:val="Heading1"/>
      </w:pPr>
      <w:bookmarkStart w:id="16" w:name="_Toc224185198"/>
      <w:r>
        <w:t xml:space="preserve">5. </w:t>
      </w:r>
      <w:r w:rsidR="00564A20" w:rsidRPr="00651B33">
        <w:t>Strategy Evaluation (SFA)</w:t>
      </w:r>
      <w:bookmarkEnd w:id="16"/>
    </w:p>
    <w:p w14:paraId="1AE78030" w14:textId="77777777" w:rsidR="00016DA9" w:rsidRPr="00016DA9" w:rsidRDefault="00D47C5D" w:rsidP="00016DA9">
      <w:pPr>
        <w:rPr>
          <w:rFonts w:ascii="Arial" w:hAnsi="Arial" w:cs="Arial"/>
          <w:sz w:val="22"/>
          <w:szCs w:val="22"/>
        </w:rPr>
      </w:pPr>
      <w:r w:rsidRPr="00D47C5D">
        <w:rPr>
          <w:rFonts w:ascii="Arial" w:hAnsi="Arial" w:cs="Arial"/>
          <w:sz w:val="22"/>
          <w:szCs w:val="22"/>
        </w:rPr>
        <w:t>The suggested Sustainable Value Expansion plan is tested using the SFA framework to see if it is acceptable to important stakeholders, viable to implement, and appropriate for the environment.</w:t>
      </w:r>
    </w:p>
    <w:tbl>
      <w:tblPr>
        <w:tblStyle w:val="TableGrid"/>
        <w:tblW w:w="10207" w:type="dxa"/>
        <w:tblInd w:w="-856" w:type="dxa"/>
        <w:tblLook w:val="04A0" w:firstRow="1" w:lastRow="0" w:firstColumn="1" w:lastColumn="0" w:noHBand="0" w:noVBand="1"/>
      </w:tblPr>
      <w:tblGrid>
        <w:gridCol w:w="1665"/>
        <w:gridCol w:w="4027"/>
        <w:gridCol w:w="3097"/>
        <w:gridCol w:w="1418"/>
      </w:tblGrid>
      <w:tr w:rsidR="00D42E2A" w14:paraId="2B03E54B" w14:textId="77777777" w:rsidTr="006E5BC8">
        <w:tc>
          <w:tcPr>
            <w:tcW w:w="1665" w:type="dxa"/>
            <w:shd w:val="clear" w:color="auto" w:fill="A5C9EB" w:themeFill="text2" w:themeFillTint="40"/>
            <w:vAlign w:val="center"/>
          </w:tcPr>
          <w:p w14:paraId="3E2D764C" w14:textId="77777777" w:rsidR="00D42E2A" w:rsidRPr="00D42E2A" w:rsidRDefault="00D42E2A" w:rsidP="00D42E2A">
            <w:pPr>
              <w:rPr>
                <w:rFonts w:ascii="Arial" w:hAnsi="Arial" w:cs="Arial"/>
                <w:sz w:val="22"/>
                <w:szCs w:val="22"/>
              </w:rPr>
            </w:pPr>
            <w:r w:rsidRPr="00D42E2A">
              <w:rPr>
                <w:rFonts w:ascii="Arial" w:hAnsi="Arial" w:cs="Arial"/>
                <w:b/>
                <w:bCs/>
                <w:sz w:val="22"/>
                <w:szCs w:val="22"/>
              </w:rPr>
              <w:t>SFA Criteria</w:t>
            </w:r>
          </w:p>
        </w:tc>
        <w:tc>
          <w:tcPr>
            <w:tcW w:w="4027" w:type="dxa"/>
            <w:shd w:val="clear" w:color="auto" w:fill="A5C9EB" w:themeFill="text2" w:themeFillTint="40"/>
            <w:vAlign w:val="center"/>
          </w:tcPr>
          <w:p w14:paraId="712018AC" w14:textId="77777777" w:rsidR="00D42E2A" w:rsidRPr="00D42E2A" w:rsidRDefault="00D42E2A" w:rsidP="00D42E2A">
            <w:pPr>
              <w:rPr>
                <w:rFonts w:ascii="Arial" w:hAnsi="Arial" w:cs="Arial"/>
                <w:sz w:val="22"/>
                <w:szCs w:val="22"/>
              </w:rPr>
            </w:pPr>
            <w:r w:rsidRPr="00D42E2A">
              <w:rPr>
                <w:rFonts w:ascii="Arial" w:hAnsi="Arial" w:cs="Arial"/>
                <w:b/>
                <w:bCs/>
                <w:sz w:val="22"/>
                <w:szCs w:val="22"/>
              </w:rPr>
              <w:t>Evidence from analysis</w:t>
            </w:r>
          </w:p>
        </w:tc>
        <w:tc>
          <w:tcPr>
            <w:tcW w:w="3097" w:type="dxa"/>
            <w:shd w:val="clear" w:color="auto" w:fill="A5C9EB" w:themeFill="text2" w:themeFillTint="40"/>
            <w:vAlign w:val="center"/>
          </w:tcPr>
          <w:p w14:paraId="775F813B" w14:textId="77777777" w:rsidR="00D42E2A" w:rsidRPr="00D42E2A" w:rsidRDefault="00D42E2A" w:rsidP="00D42E2A">
            <w:pPr>
              <w:rPr>
                <w:rFonts w:ascii="Arial" w:hAnsi="Arial" w:cs="Arial"/>
                <w:sz w:val="22"/>
                <w:szCs w:val="22"/>
              </w:rPr>
            </w:pPr>
            <w:r w:rsidRPr="00D42E2A">
              <w:rPr>
                <w:rFonts w:ascii="Arial" w:hAnsi="Arial" w:cs="Arial"/>
                <w:b/>
                <w:bCs/>
                <w:sz w:val="22"/>
                <w:szCs w:val="22"/>
              </w:rPr>
              <w:t>Risks / constraints</w:t>
            </w:r>
          </w:p>
        </w:tc>
        <w:tc>
          <w:tcPr>
            <w:tcW w:w="1418" w:type="dxa"/>
            <w:shd w:val="clear" w:color="auto" w:fill="A5C9EB" w:themeFill="text2" w:themeFillTint="40"/>
            <w:vAlign w:val="center"/>
          </w:tcPr>
          <w:p w14:paraId="25EDB34A" w14:textId="77777777" w:rsidR="00D42E2A" w:rsidRPr="00D42E2A" w:rsidRDefault="00D42E2A" w:rsidP="00D42E2A">
            <w:pPr>
              <w:rPr>
                <w:rFonts w:ascii="Arial" w:hAnsi="Arial" w:cs="Arial"/>
                <w:sz w:val="22"/>
                <w:szCs w:val="22"/>
              </w:rPr>
            </w:pPr>
            <w:r w:rsidRPr="00D42E2A">
              <w:rPr>
                <w:rFonts w:ascii="Arial" w:hAnsi="Arial" w:cs="Arial"/>
                <w:b/>
                <w:bCs/>
                <w:sz w:val="22"/>
                <w:szCs w:val="22"/>
              </w:rPr>
              <w:t>Overall judgement</w:t>
            </w:r>
          </w:p>
        </w:tc>
      </w:tr>
      <w:tr w:rsidR="00D42E2A" w14:paraId="606DF34B" w14:textId="77777777" w:rsidTr="006E5BC8">
        <w:tc>
          <w:tcPr>
            <w:tcW w:w="1665" w:type="dxa"/>
            <w:shd w:val="clear" w:color="auto" w:fill="A5C9EB" w:themeFill="text2" w:themeFillTint="40"/>
            <w:vAlign w:val="center"/>
          </w:tcPr>
          <w:p w14:paraId="4F8025B1"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Suitability</w:t>
            </w:r>
          </w:p>
        </w:tc>
        <w:tc>
          <w:tcPr>
            <w:tcW w:w="4027" w:type="dxa"/>
            <w:shd w:val="clear" w:color="auto" w:fill="DAE9F7" w:themeFill="text2" w:themeFillTint="1A"/>
            <w:vAlign w:val="center"/>
          </w:tcPr>
          <w:p w14:paraId="0232E107" w14:textId="77777777" w:rsidR="00D42E2A" w:rsidRPr="00D42E2A" w:rsidRDefault="007E7547" w:rsidP="00D42E2A">
            <w:pPr>
              <w:rPr>
                <w:rFonts w:ascii="Arial" w:hAnsi="Arial" w:cs="Arial"/>
                <w:sz w:val="22"/>
                <w:szCs w:val="22"/>
              </w:rPr>
            </w:pPr>
            <w:r>
              <w:rPr>
                <w:rFonts w:ascii="Arial" w:hAnsi="Arial" w:cs="Arial"/>
                <w:sz w:val="22"/>
                <w:szCs w:val="22"/>
              </w:rPr>
              <w:t>M</w:t>
            </w:r>
            <w:r w:rsidRPr="007E7547">
              <w:rPr>
                <w:rFonts w:ascii="Arial" w:hAnsi="Arial" w:cs="Arial"/>
                <w:sz w:val="22"/>
                <w:szCs w:val="22"/>
              </w:rPr>
              <w:t>eets category pressure and value-conscious UK consumers (Mintel, 2024). improves packaging in a way that is both commercially sensible and compliant with regulatory cost pressure from EPR (GOV.UK, 2025). Innovation preserves authenticity by staying near "healthy and natural."</w:t>
            </w:r>
          </w:p>
        </w:tc>
        <w:tc>
          <w:tcPr>
            <w:tcW w:w="3097" w:type="dxa"/>
            <w:shd w:val="clear" w:color="auto" w:fill="DAE9F7" w:themeFill="text2" w:themeFillTint="1A"/>
            <w:vAlign w:val="center"/>
          </w:tcPr>
          <w:p w14:paraId="74EF8854" w14:textId="77777777" w:rsidR="00D42E2A" w:rsidRPr="00D42E2A" w:rsidRDefault="00BA33B5" w:rsidP="00D42E2A">
            <w:pPr>
              <w:rPr>
                <w:rFonts w:ascii="Arial" w:hAnsi="Arial" w:cs="Arial"/>
                <w:sz w:val="22"/>
                <w:szCs w:val="22"/>
              </w:rPr>
            </w:pPr>
            <w:r w:rsidRPr="00BA33B5">
              <w:rPr>
                <w:rFonts w:ascii="Arial" w:hAnsi="Arial" w:cs="Arial"/>
                <w:sz w:val="22"/>
                <w:szCs w:val="22"/>
              </w:rPr>
              <w:t>Differentiation may be weakened if value adjustments are perceived as "cheapening" the brand.</w:t>
            </w:r>
          </w:p>
        </w:tc>
        <w:tc>
          <w:tcPr>
            <w:tcW w:w="1418" w:type="dxa"/>
            <w:shd w:val="clear" w:color="auto" w:fill="DAE9F7" w:themeFill="text2" w:themeFillTint="1A"/>
            <w:vAlign w:val="center"/>
          </w:tcPr>
          <w:p w14:paraId="244E06F7"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Strong fit</w:t>
            </w:r>
          </w:p>
        </w:tc>
      </w:tr>
      <w:tr w:rsidR="00D42E2A" w14:paraId="2FD19F60" w14:textId="77777777" w:rsidTr="006E5BC8">
        <w:tc>
          <w:tcPr>
            <w:tcW w:w="1665" w:type="dxa"/>
            <w:shd w:val="clear" w:color="auto" w:fill="A5C9EB" w:themeFill="text2" w:themeFillTint="40"/>
            <w:vAlign w:val="center"/>
          </w:tcPr>
          <w:p w14:paraId="751B5B9C"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Feasibility</w:t>
            </w:r>
          </w:p>
        </w:tc>
        <w:tc>
          <w:tcPr>
            <w:tcW w:w="4027" w:type="dxa"/>
            <w:shd w:val="clear" w:color="auto" w:fill="DAE9F7" w:themeFill="text2" w:themeFillTint="1A"/>
            <w:vAlign w:val="center"/>
          </w:tcPr>
          <w:p w14:paraId="359667EF" w14:textId="77777777" w:rsidR="00D42E2A" w:rsidRPr="00D42E2A" w:rsidRDefault="00D42E2A" w:rsidP="00D42E2A">
            <w:pPr>
              <w:rPr>
                <w:rFonts w:ascii="Arial" w:hAnsi="Arial" w:cs="Arial"/>
                <w:sz w:val="22"/>
                <w:szCs w:val="22"/>
              </w:rPr>
            </w:pPr>
            <w:r w:rsidRPr="00D42E2A">
              <w:rPr>
                <w:rFonts w:ascii="Arial" w:hAnsi="Arial" w:cs="Arial"/>
                <w:sz w:val="22"/>
                <w:szCs w:val="22"/>
              </w:rPr>
              <w:t>Strong brand equity and distribution relationships support retailer buy-in. Existing sustainability reporting and targets support measurement and accountability (Innocent Drinks, n.d.). B Corp governance supports stakeholder-led delivery (B Lab, 2026).</w:t>
            </w:r>
          </w:p>
        </w:tc>
        <w:tc>
          <w:tcPr>
            <w:tcW w:w="3097" w:type="dxa"/>
            <w:shd w:val="clear" w:color="auto" w:fill="DAE9F7" w:themeFill="text2" w:themeFillTint="1A"/>
            <w:vAlign w:val="center"/>
          </w:tcPr>
          <w:p w14:paraId="661E03D4" w14:textId="77777777" w:rsidR="00D42E2A" w:rsidRPr="00D42E2A" w:rsidRDefault="00D42E2A" w:rsidP="00D42E2A">
            <w:pPr>
              <w:rPr>
                <w:rFonts w:ascii="Arial" w:hAnsi="Arial" w:cs="Arial"/>
                <w:sz w:val="22"/>
                <w:szCs w:val="22"/>
              </w:rPr>
            </w:pPr>
            <w:r w:rsidRPr="00D42E2A">
              <w:rPr>
                <w:rFonts w:ascii="Arial" w:hAnsi="Arial" w:cs="Arial"/>
                <w:sz w:val="22"/>
                <w:szCs w:val="22"/>
              </w:rPr>
              <w:t>Packaging lead times, supply chain complexity, and compliance requirements for functional claims.</w:t>
            </w:r>
          </w:p>
        </w:tc>
        <w:tc>
          <w:tcPr>
            <w:tcW w:w="1418" w:type="dxa"/>
            <w:shd w:val="clear" w:color="auto" w:fill="DAE9F7" w:themeFill="text2" w:themeFillTint="1A"/>
            <w:vAlign w:val="center"/>
          </w:tcPr>
          <w:p w14:paraId="2885CB36"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Feasible with phased delivery</w:t>
            </w:r>
          </w:p>
        </w:tc>
      </w:tr>
      <w:tr w:rsidR="00D42E2A" w14:paraId="4984A6A7" w14:textId="77777777" w:rsidTr="006E5BC8">
        <w:tc>
          <w:tcPr>
            <w:tcW w:w="1665" w:type="dxa"/>
            <w:shd w:val="clear" w:color="auto" w:fill="A5C9EB" w:themeFill="text2" w:themeFillTint="40"/>
            <w:vAlign w:val="center"/>
          </w:tcPr>
          <w:p w14:paraId="17DBE7AA"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Acceptability</w:t>
            </w:r>
          </w:p>
        </w:tc>
        <w:tc>
          <w:tcPr>
            <w:tcW w:w="4027" w:type="dxa"/>
            <w:shd w:val="clear" w:color="auto" w:fill="DAE9F7" w:themeFill="text2" w:themeFillTint="1A"/>
            <w:vAlign w:val="center"/>
          </w:tcPr>
          <w:p w14:paraId="6A532AAA" w14:textId="77777777" w:rsidR="00D42E2A" w:rsidRPr="00D42E2A" w:rsidRDefault="00D42E2A" w:rsidP="00D42E2A">
            <w:pPr>
              <w:rPr>
                <w:rFonts w:ascii="Arial" w:hAnsi="Arial" w:cs="Arial"/>
                <w:sz w:val="22"/>
                <w:szCs w:val="22"/>
              </w:rPr>
            </w:pPr>
            <w:r w:rsidRPr="00D42E2A">
              <w:rPr>
                <w:rFonts w:ascii="Arial" w:hAnsi="Arial" w:cs="Arial"/>
                <w:sz w:val="22"/>
                <w:szCs w:val="22"/>
              </w:rPr>
              <w:t>Balances growth and risk for the board. Improves access for consumers without changing the brand’s core strengths. Reinforces purpose and trust for employees and B Corp stakeholders (B Lab, 2026; Innocent Drinks, n.d.).</w:t>
            </w:r>
          </w:p>
        </w:tc>
        <w:tc>
          <w:tcPr>
            <w:tcW w:w="3097" w:type="dxa"/>
            <w:shd w:val="clear" w:color="auto" w:fill="DAE9F7" w:themeFill="text2" w:themeFillTint="1A"/>
            <w:vAlign w:val="center"/>
          </w:tcPr>
          <w:p w14:paraId="1398A7A8" w14:textId="77777777" w:rsidR="00D42E2A" w:rsidRPr="00D42E2A" w:rsidRDefault="00D42E2A" w:rsidP="00D42E2A">
            <w:pPr>
              <w:rPr>
                <w:rFonts w:ascii="Arial" w:hAnsi="Arial" w:cs="Arial"/>
                <w:sz w:val="22"/>
                <w:szCs w:val="22"/>
              </w:rPr>
            </w:pPr>
            <w:r w:rsidRPr="00D42E2A">
              <w:rPr>
                <w:rFonts w:ascii="Arial" w:hAnsi="Arial" w:cs="Arial"/>
                <w:sz w:val="22"/>
                <w:szCs w:val="22"/>
              </w:rPr>
              <w:t>Portfolio complexity could confuse customers if too many variants are launched.</w:t>
            </w:r>
          </w:p>
        </w:tc>
        <w:tc>
          <w:tcPr>
            <w:tcW w:w="1418" w:type="dxa"/>
            <w:shd w:val="clear" w:color="auto" w:fill="DAE9F7" w:themeFill="text2" w:themeFillTint="1A"/>
            <w:vAlign w:val="center"/>
          </w:tcPr>
          <w:p w14:paraId="6264A116" w14:textId="77777777" w:rsidR="00D42E2A" w:rsidRPr="00D42E2A" w:rsidRDefault="00D42E2A" w:rsidP="00D42E2A">
            <w:pPr>
              <w:rPr>
                <w:rFonts w:ascii="Arial" w:hAnsi="Arial" w:cs="Arial"/>
                <w:sz w:val="22"/>
                <w:szCs w:val="22"/>
              </w:rPr>
            </w:pPr>
            <w:r w:rsidRPr="00D42E2A">
              <w:rPr>
                <w:rStyle w:val="Strong"/>
                <w:rFonts w:ascii="Arial" w:hAnsi="Arial" w:cs="Arial"/>
                <w:sz w:val="22"/>
                <w:szCs w:val="22"/>
              </w:rPr>
              <w:t>High, if portfolio stays simple</w:t>
            </w:r>
          </w:p>
        </w:tc>
      </w:tr>
    </w:tbl>
    <w:p w14:paraId="00FA3076" w14:textId="77777777" w:rsidR="0014280F" w:rsidRDefault="0014280F"/>
    <w:p w14:paraId="1921BF8A" w14:textId="77777777" w:rsidR="0014280F" w:rsidRPr="003D6EEA" w:rsidRDefault="008A51D9" w:rsidP="003D6EEA">
      <w:pPr>
        <w:pStyle w:val="Heading2"/>
      </w:pPr>
      <w:r w:rsidRPr="003D6EEA">
        <w:lastRenderedPageBreak/>
        <w:t>5.1. Suitability</w:t>
      </w:r>
    </w:p>
    <w:p w14:paraId="0550C454" w14:textId="77777777" w:rsidR="00937C25" w:rsidRDefault="00937C25" w:rsidP="003D6EEA">
      <w:pPr>
        <w:pStyle w:val="Heading2"/>
        <w:rPr>
          <w:rFonts w:asciiTheme="minorHAnsi" w:eastAsiaTheme="minorHAnsi" w:hAnsiTheme="minorHAnsi" w:cstheme="minorBidi"/>
          <w:color w:val="auto"/>
          <w:sz w:val="24"/>
          <w:szCs w:val="24"/>
        </w:rPr>
      </w:pPr>
      <w:r w:rsidRPr="00937C25">
        <w:rPr>
          <w:rFonts w:asciiTheme="minorHAnsi" w:eastAsiaTheme="minorHAnsi" w:hAnsiTheme="minorHAnsi" w:cstheme="minorBidi"/>
          <w:color w:val="auto"/>
          <w:sz w:val="24"/>
          <w:szCs w:val="24"/>
        </w:rPr>
        <w:t>The primary external forces found in the market analysis are immediately addressed by the strategy. Value perception and frequency of purchases are priorities for UK customers, who are still value conscious. Category research shows pressure on juices and smoothies. In response, the approach protects Innocent's differentiation on quality and trust while enhancing accessibility through price-pack architecture and channel focus (Mintel, 2024). It also makes sense in the perspective of regulations. Making packaging redesign a component of the strategy is both ethical and economically sound because Extended Producer Responsibility raises the cost impact of packaging decisions (GOV.UK, 2025). Lastly, by staying true to Innocent's primary promise of natural, health-led products rather than branching out into unrelated categories that would weaken the brand, the emphasis on adjacent innovation is appropriate.</w:t>
      </w:r>
    </w:p>
    <w:p w14:paraId="124BE4EA" w14:textId="5EC6A264" w:rsidR="0014280F" w:rsidRPr="003D6EEA" w:rsidRDefault="008A51D9" w:rsidP="003D6EEA">
      <w:pPr>
        <w:pStyle w:val="Heading2"/>
      </w:pPr>
      <w:r w:rsidRPr="003D6EEA">
        <w:t>5.2. Feasibility</w:t>
      </w:r>
    </w:p>
    <w:p w14:paraId="7725B755" w14:textId="77777777" w:rsidR="00F51652" w:rsidRDefault="0011460B" w:rsidP="0011460B">
      <w:pPr>
        <w:pStyle w:val="Heading2"/>
        <w:rPr>
          <w:rFonts w:asciiTheme="minorHAnsi" w:eastAsiaTheme="minorHAnsi" w:hAnsiTheme="minorHAnsi" w:cstheme="minorBidi"/>
          <w:color w:val="auto"/>
          <w:sz w:val="24"/>
          <w:szCs w:val="24"/>
        </w:rPr>
      </w:pPr>
      <w:r w:rsidRPr="0011460B">
        <w:rPr>
          <w:rFonts w:asciiTheme="minorHAnsi" w:eastAsiaTheme="minorHAnsi" w:hAnsiTheme="minorHAnsi" w:cstheme="minorBidi"/>
          <w:color w:val="auto"/>
          <w:sz w:val="24"/>
          <w:szCs w:val="24"/>
        </w:rPr>
        <w:t xml:space="preserve">Delivery is supported by </w:t>
      </w:r>
      <w:proofErr w:type="gramStart"/>
      <w:r w:rsidRPr="0011460B">
        <w:rPr>
          <w:rFonts w:asciiTheme="minorHAnsi" w:eastAsiaTheme="minorHAnsi" w:hAnsiTheme="minorHAnsi" w:cstheme="minorBidi"/>
          <w:color w:val="auto"/>
          <w:sz w:val="24"/>
          <w:szCs w:val="24"/>
        </w:rPr>
        <w:t>a number of</w:t>
      </w:r>
      <w:proofErr w:type="gramEnd"/>
      <w:r w:rsidRPr="0011460B">
        <w:rPr>
          <w:rFonts w:asciiTheme="minorHAnsi" w:eastAsiaTheme="minorHAnsi" w:hAnsiTheme="minorHAnsi" w:cstheme="minorBidi"/>
          <w:color w:val="auto"/>
          <w:sz w:val="24"/>
          <w:szCs w:val="24"/>
        </w:rPr>
        <w:t xml:space="preserve"> Innocent's advantages. Retailer support for novel pack formats and trial launches is more likely when there is strong brand equity and established distribution partnerships. </w:t>
      </w:r>
      <w:r w:rsidR="00F51652" w:rsidRPr="00F51652">
        <w:rPr>
          <w:rFonts w:asciiTheme="minorHAnsi" w:eastAsiaTheme="minorHAnsi" w:hAnsiTheme="minorHAnsi" w:cstheme="minorBidi"/>
          <w:color w:val="auto"/>
          <w:sz w:val="24"/>
          <w:szCs w:val="24"/>
        </w:rPr>
        <w:t>A framework for accountability and oversight is also provided by public sustainability commitments and reporting (Innocent Drinks, n.d.). B Corp governance also supports stakeholder-led decision-making, which is essential for balancing growth with ethical and environmental responsibilities (B Lab, 2026).</w:t>
      </w:r>
    </w:p>
    <w:p w14:paraId="06515425" w14:textId="504B631A" w:rsidR="0011460B" w:rsidRPr="0011460B" w:rsidRDefault="0011460B" w:rsidP="0011460B">
      <w:pPr>
        <w:pStyle w:val="Heading2"/>
        <w:rPr>
          <w:rFonts w:asciiTheme="minorHAnsi" w:eastAsiaTheme="minorHAnsi" w:hAnsiTheme="minorHAnsi" w:cstheme="minorBidi"/>
          <w:color w:val="auto"/>
          <w:sz w:val="24"/>
          <w:szCs w:val="24"/>
        </w:rPr>
      </w:pPr>
      <w:r w:rsidRPr="0011460B">
        <w:rPr>
          <w:rFonts w:asciiTheme="minorHAnsi" w:eastAsiaTheme="minorHAnsi" w:hAnsiTheme="minorHAnsi" w:cstheme="minorBidi"/>
          <w:color w:val="auto"/>
          <w:sz w:val="24"/>
          <w:szCs w:val="24"/>
        </w:rPr>
        <w:t xml:space="preserve">Lead times for packaging modifications, the intricacy of the supply chain, and the requirement for cautious compliance if functional benefits are conveyed on </w:t>
      </w:r>
      <w:proofErr w:type="gramStart"/>
      <w:r w:rsidRPr="0011460B">
        <w:rPr>
          <w:rFonts w:asciiTheme="minorHAnsi" w:eastAsiaTheme="minorHAnsi" w:hAnsiTheme="minorHAnsi" w:cstheme="minorBidi"/>
          <w:color w:val="auto"/>
          <w:sz w:val="24"/>
          <w:szCs w:val="24"/>
        </w:rPr>
        <w:t>pack</w:t>
      </w:r>
      <w:proofErr w:type="gramEnd"/>
      <w:r w:rsidRPr="0011460B">
        <w:rPr>
          <w:rFonts w:asciiTheme="minorHAnsi" w:eastAsiaTheme="minorHAnsi" w:hAnsiTheme="minorHAnsi" w:cstheme="minorBidi"/>
          <w:color w:val="auto"/>
          <w:sz w:val="24"/>
          <w:szCs w:val="24"/>
        </w:rPr>
        <w:t xml:space="preserve"> are important limitations. Phased rollouts, unambiguous decision gates, and pilot testing prior to expanding can all help mitigate these risks. To lower legal and reputational risk, claims governance should have an internal approval procedure and uniform, evidence-based terminology.</w:t>
      </w:r>
    </w:p>
    <w:p w14:paraId="4ECF9923" w14:textId="77777777" w:rsidR="0014280F" w:rsidRPr="003D6EEA" w:rsidRDefault="008A51D9" w:rsidP="003D6EEA">
      <w:pPr>
        <w:pStyle w:val="Heading2"/>
      </w:pPr>
      <w:r w:rsidRPr="003D6EEA">
        <w:t>5.3. Assumptions</w:t>
      </w:r>
    </w:p>
    <w:p w14:paraId="5D7395F0" w14:textId="1AFB236F" w:rsidR="00DF71A2" w:rsidRDefault="00DF71A2" w:rsidP="003D6EEA">
      <w:pPr>
        <w:pStyle w:val="Heading2"/>
        <w:rPr>
          <w:rFonts w:asciiTheme="minorHAnsi" w:eastAsiaTheme="minorHAnsi" w:hAnsiTheme="minorHAnsi" w:cstheme="minorBidi"/>
          <w:color w:val="auto"/>
          <w:sz w:val="24"/>
          <w:szCs w:val="24"/>
        </w:rPr>
      </w:pPr>
      <w:r w:rsidRPr="00DF71A2">
        <w:rPr>
          <w:rFonts w:asciiTheme="minorHAnsi" w:eastAsiaTheme="minorHAnsi" w:hAnsiTheme="minorHAnsi" w:cstheme="minorBidi"/>
          <w:color w:val="auto"/>
          <w:sz w:val="24"/>
          <w:szCs w:val="24"/>
        </w:rPr>
        <w:t>When internal data is not accessible to the public, two assumptions are made. First, based on the ownership structure disclosed in the public domain, it is assumed that Innocent has the operational and financial resources to invest in packaging innovation and redesign (Neate, 2013). Second, if commercial performance continues to be robust, it is expected that big retail partners would support innovation when it clearly increases category value and satisfies sustainability requirements.</w:t>
      </w:r>
    </w:p>
    <w:p w14:paraId="6B41BD61" w14:textId="37980138" w:rsidR="0014280F" w:rsidRPr="003D6EEA" w:rsidRDefault="008A51D9" w:rsidP="003D6EEA">
      <w:pPr>
        <w:pStyle w:val="Heading2"/>
      </w:pPr>
      <w:r w:rsidRPr="003D6EEA">
        <w:t>5.4. Acceptability</w:t>
      </w:r>
    </w:p>
    <w:p w14:paraId="0D1843AC" w14:textId="19B4308F" w:rsidR="001B78AB" w:rsidRDefault="001B78AB" w:rsidP="00590AFD">
      <w:pPr>
        <w:pStyle w:val="Heading1"/>
        <w:rPr>
          <w:rFonts w:asciiTheme="minorHAnsi" w:eastAsiaTheme="minorHAnsi" w:hAnsiTheme="minorHAnsi" w:cstheme="minorBidi"/>
          <w:color w:val="auto"/>
          <w:sz w:val="24"/>
          <w:szCs w:val="24"/>
        </w:rPr>
      </w:pPr>
      <w:bookmarkStart w:id="17" w:name="_Toc224185199"/>
      <w:r w:rsidRPr="001B78AB">
        <w:rPr>
          <w:rFonts w:asciiTheme="minorHAnsi" w:eastAsiaTheme="minorHAnsi" w:hAnsiTheme="minorHAnsi" w:cstheme="minorBidi"/>
          <w:color w:val="auto"/>
          <w:sz w:val="24"/>
          <w:szCs w:val="24"/>
        </w:rPr>
        <w:lastRenderedPageBreak/>
        <w:t xml:space="preserve">By protecting the core while branching out onto related prospects, the approach strikes a balance between growth and risk for the board and owners. It increases accessibility for customers while preserving the tone, quality, and trust that foster brand loyalty. Product architecture must remain straightforward and simple to use on the shelf since the primary acceptability risk is customer confusion if too many new versions are introduced. The strategy supports trust and reputation for B Corp stakeholders and employees by strengthening delivery against public promises and reinforcing purpose (B Lab, 2026; Innocent Drinks, n.d.). </w:t>
      </w:r>
      <w:r w:rsidR="0097265D" w:rsidRPr="0097265D">
        <w:rPr>
          <w:rFonts w:asciiTheme="minorHAnsi" w:eastAsiaTheme="minorHAnsi" w:hAnsiTheme="minorHAnsi" w:cstheme="minorBidi"/>
          <w:color w:val="auto"/>
          <w:sz w:val="24"/>
          <w:szCs w:val="24"/>
        </w:rPr>
        <w:t xml:space="preserve">The SFA assessment usually endorses the strategy </w:t>
      </w:r>
      <w:proofErr w:type="gramStart"/>
      <w:r w:rsidR="0097265D" w:rsidRPr="0097265D">
        <w:rPr>
          <w:rFonts w:asciiTheme="minorHAnsi" w:eastAsiaTheme="minorHAnsi" w:hAnsiTheme="minorHAnsi" w:cstheme="minorBidi"/>
          <w:color w:val="auto"/>
          <w:sz w:val="24"/>
          <w:szCs w:val="24"/>
        </w:rPr>
        <w:t>as long as</w:t>
      </w:r>
      <w:proofErr w:type="gramEnd"/>
      <w:r w:rsidR="0097265D" w:rsidRPr="0097265D">
        <w:rPr>
          <w:rFonts w:asciiTheme="minorHAnsi" w:eastAsiaTheme="minorHAnsi" w:hAnsiTheme="minorHAnsi" w:cstheme="minorBidi"/>
          <w:color w:val="auto"/>
          <w:sz w:val="24"/>
          <w:szCs w:val="24"/>
        </w:rPr>
        <w:t xml:space="preserve"> it is implemented in a methodical, transparent, and brand-consistent manner.</w:t>
      </w:r>
    </w:p>
    <w:p w14:paraId="5942A7C3" w14:textId="76D60F5C" w:rsidR="00A43BF9" w:rsidRDefault="00590AFD" w:rsidP="00590AFD">
      <w:pPr>
        <w:pStyle w:val="Heading1"/>
      </w:pPr>
      <w:r w:rsidRPr="00590AFD">
        <w:t>6. Stakeholder Analysis</w:t>
      </w:r>
      <w:bookmarkEnd w:id="17"/>
    </w:p>
    <w:p w14:paraId="6D2AD966" w14:textId="77777777" w:rsidR="00590AFD" w:rsidRDefault="005F08A7" w:rsidP="00590AFD">
      <w:pPr>
        <w:rPr>
          <w:rFonts w:ascii="Arial" w:hAnsi="Arial" w:cs="Arial"/>
          <w:sz w:val="22"/>
          <w:szCs w:val="22"/>
        </w:rPr>
      </w:pPr>
      <w:r w:rsidRPr="005F08A7">
        <w:rPr>
          <w:rFonts w:ascii="Arial" w:hAnsi="Arial" w:cs="Arial"/>
          <w:sz w:val="22"/>
          <w:szCs w:val="22"/>
        </w:rPr>
        <w:t>Customers, workers, merchants, suppliers, community partners, regulators, certification organizations like B Lab, and owners/investors are among Innocent's primary stakeholders. According to stakeholder theory, organizations that balance stakeholder needs rather than concentrating solely on short-term financial results do better over the long run.</w:t>
      </w:r>
    </w:p>
    <w:p w14:paraId="1FE31E09" w14:textId="77777777" w:rsidR="0046582F" w:rsidRDefault="00B54628" w:rsidP="001171CF">
      <w:pPr>
        <w:pStyle w:val="Heading2"/>
      </w:pPr>
      <w:bookmarkStart w:id="18" w:name="_Toc224185200"/>
      <w:r>
        <w:t xml:space="preserve">6.1. </w:t>
      </w:r>
      <w:r w:rsidR="0046582F" w:rsidRPr="0046582F">
        <w:t>Mendelow’s Matrix (power vs interest)</w:t>
      </w:r>
      <w:bookmarkEnd w:id="18"/>
    </w:p>
    <w:tbl>
      <w:tblPr>
        <w:tblStyle w:val="GridTable1Light-Accent4"/>
        <w:tblW w:w="0" w:type="auto"/>
        <w:tblLook w:val="04A0" w:firstRow="1" w:lastRow="0" w:firstColumn="1" w:lastColumn="0" w:noHBand="0" w:noVBand="1"/>
      </w:tblPr>
      <w:tblGrid>
        <w:gridCol w:w="2254"/>
        <w:gridCol w:w="2254"/>
        <w:gridCol w:w="2254"/>
        <w:gridCol w:w="2254"/>
      </w:tblGrid>
      <w:tr w:rsidR="001171CF" w14:paraId="2680A764" w14:textId="77777777" w:rsidTr="00FF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DAE9F7" w:themeFill="text2" w:themeFillTint="1A"/>
          </w:tcPr>
          <w:p w14:paraId="6703FC09" w14:textId="77777777" w:rsidR="001171CF" w:rsidRDefault="001171CF" w:rsidP="001171CF">
            <w:pPr>
              <w:rPr>
                <w:rFonts w:ascii="Arial" w:hAnsi="Arial" w:cs="Arial"/>
                <w:sz w:val="22"/>
                <w:szCs w:val="22"/>
              </w:rPr>
            </w:pPr>
            <w:r>
              <w:rPr>
                <w:b w:val="0"/>
                <w:bCs w:val="0"/>
              </w:rPr>
              <w:t>Stakeholder group</w:t>
            </w:r>
          </w:p>
        </w:tc>
        <w:tc>
          <w:tcPr>
            <w:tcW w:w="2254" w:type="dxa"/>
            <w:shd w:val="clear" w:color="auto" w:fill="DAE9F7" w:themeFill="text2" w:themeFillTint="1A"/>
          </w:tcPr>
          <w:p w14:paraId="1EE8CB06" w14:textId="77777777" w:rsidR="001171CF" w:rsidRDefault="001171CF" w:rsidP="001171CF">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b w:val="0"/>
                <w:bCs w:val="0"/>
              </w:rPr>
              <w:t>Power</w:t>
            </w:r>
          </w:p>
        </w:tc>
        <w:tc>
          <w:tcPr>
            <w:tcW w:w="2254" w:type="dxa"/>
            <w:shd w:val="clear" w:color="auto" w:fill="DAE9F7" w:themeFill="text2" w:themeFillTint="1A"/>
          </w:tcPr>
          <w:p w14:paraId="63C17247" w14:textId="77777777" w:rsidR="001171CF" w:rsidRDefault="001171CF" w:rsidP="001171CF">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b w:val="0"/>
                <w:bCs w:val="0"/>
              </w:rPr>
              <w:t>Interest</w:t>
            </w:r>
          </w:p>
        </w:tc>
        <w:tc>
          <w:tcPr>
            <w:tcW w:w="2254" w:type="dxa"/>
            <w:shd w:val="clear" w:color="auto" w:fill="DAE9F7" w:themeFill="text2" w:themeFillTint="1A"/>
          </w:tcPr>
          <w:p w14:paraId="0F4A0A7A" w14:textId="77777777" w:rsidR="001171CF" w:rsidRDefault="001171CF" w:rsidP="001171CF">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b w:val="0"/>
                <w:bCs w:val="0"/>
              </w:rPr>
              <w:t>What Innocent should do</w:t>
            </w:r>
          </w:p>
        </w:tc>
      </w:tr>
      <w:tr w:rsidR="001171CF" w14:paraId="36194EE4" w14:textId="77777777" w:rsidTr="001171CF">
        <w:tc>
          <w:tcPr>
            <w:cnfStyle w:val="001000000000" w:firstRow="0" w:lastRow="0" w:firstColumn="1" w:lastColumn="0" w:oddVBand="0" w:evenVBand="0" w:oddHBand="0" w:evenHBand="0" w:firstRowFirstColumn="0" w:firstRowLastColumn="0" w:lastRowFirstColumn="0" w:lastRowLastColumn="0"/>
            <w:tcW w:w="2254" w:type="dxa"/>
          </w:tcPr>
          <w:p w14:paraId="30A25C3B" w14:textId="77777777" w:rsidR="001171CF" w:rsidRDefault="001171CF" w:rsidP="001171CF">
            <w:pPr>
              <w:rPr>
                <w:rFonts w:ascii="Arial" w:hAnsi="Arial" w:cs="Arial"/>
                <w:sz w:val="22"/>
                <w:szCs w:val="22"/>
              </w:rPr>
            </w:pPr>
            <w:r>
              <w:t>Retailers, board/owners, regulators, B Lab, key suppliers</w:t>
            </w:r>
          </w:p>
        </w:tc>
        <w:tc>
          <w:tcPr>
            <w:tcW w:w="2254" w:type="dxa"/>
          </w:tcPr>
          <w:p w14:paraId="5FB9000D"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High</w:t>
            </w:r>
          </w:p>
        </w:tc>
        <w:tc>
          <w:tcPr>
            <w:tcW w:w="2254" w:type="dxa"/>
          </w:tcPr>
          <w:p w14:paraId="5743CA8A"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High</w:t>
            </w:r>
          </w:p>
        </w:tc>
        <w:tc>
          <w:tcPr>
            <w:tcW w:w="2254" w:type="dxa"/>
          </w:tcPr>
          <w:p w14:paraId="5EBDE579"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Style w:val="Strong"/>
              </w:rPr>
              <w:t>Manage closely</w:t>
            </w:r>
            <w:r>
              <w:t xml:space="preserve"> with structured engagement and regular performance reviews</w:t>
            </w:r>
          </w:p>
        </w:tc>
      </w:tr>
      <w:tr w:rsidR="001171CF" w14:paraId="5BF9284B" w14:textId="77777777" w:rsidTr="001171CF">
        <w:tc>
          <w:tcPr>
            <w:cnfStyle w:val="001000000000" w:firstRow="0" w:lastRow="0" w:firstColumn="1" w:lastColumn="0" w:oddVBand="0" w:evenVBand="0" w:oddHBand="0" w:evenHBand="0" w:firstRowFirstColumn="0" w:firstRowLastColumn="0" w:lastRowFirstColumn="0" w:lastRowLastColumn="0"/>
            <w:tcW w:w="2254" w:type="dxa"/>
          </w:tcPr>
          <w:p w14:paraId="03F444F1" w14:textId="77777777" w:rsidR="001171CF" w:rsidRDefault="001171CF" w:rsidP="001171CF">
            <w:pPr>
              <w:rPr>
                <w:rFonts w:ascii="Arial" w:hAnsi="Arial" w:cs="Arial"/>
                <w:sz w:val="22"/>
                <w:szCs w:val="22"/>
              </w:rPr>
            </w:pPr>
            <w:r>
              <w:t>Logistics partners, some industry bodies</w:t>
            </w:r>
          </w:p>
        </w:tc>
        <w:tc>
          <w:tcPr>
            <w:tcW w:w="2254" w:type="dxa"/>
          </w:tcPr>
          <w:p w14:paraId="4D05894C"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High</w:t>
            </w:r>
          </w:p>
        </w:tc>
        <w:tc>
          <w:tcPr>
            <w:tcW w:w="2254" w:type="dxa"/>
          </w:tcPr>
          <w:p w14:paraId="687107D7"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Lower</w:t>
            </w:r>
          </w:p>
        </w:tc>
        <w:tc>
          <w:tcPr>
            <w:tcW w:w="2254" w:type="dxa"/>
          </w:tcPr>
          <w:p w14:paraId="5346BE23"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Style w:val="Strong"/>
              </w:rPr>
              <w:t>Keep satisfied</w:t>
            </w:r>
            <w:r>
              <w:t xml:space="preserve"> with compliance updates and operational communication</w:t>
            </w:r>
          </w:p>
        </w:tc>
      </w:tr>
      <w:tr w:rsidR="001171CF" w14:paraId="0D98BC7E" w14:textId="77777777" w:rsidTr="001171CF">
        <w:tc>
          <w:tcPr>
            <w:cnfStyle w:val="001000000000" w:firstRow="0" w:lastRow="0" w:firstColumn="1" w:lastColumn="0" w:oddVBand="0" w:evenVBand="0" w:oddHBand="0" w:evenHBand="0" w:firstRowFirstColumn="0" w:firstRowLastColumn="0" w:lastRowFirstColumn="0" w:lastRowLastColumn="0"/>
            <w:tcW w:w="2254" w:type="dxa"/>
          </w:tcPr>
          <w:p w14:paraId="008BAE73" w14:textId="77777777" w:rsidR="001171CF" w:rsidRDefault="001171CF" w:rsidP="001171CF">
            <w:pPr>
              <w:rPr>
                <w:rFonts w:ascii="Arial" w:hAnsi="Arial" w:cs="Arial"/>
                <w:sz w:val="22"/>
                <w:szCs w:val="22"/>
              </w:rPr>
            </w:pPr>
            <w:r>
              <w:t>Consumers, employees, community partners/charities</w:t>
            </w:r>
          </w:p>
        </w:tc>
        <w:tc>
          <w:tcPr>
            <w:tcW w:w="2254" w:type="dxa"/>
          </w:tcPr>
          <w:p w14:paraId="09B02628"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Lower</w:t>
            </w:r>
          </w:p>
        </w:tc>
        <w:tc>
          <w:tcPr>
            <w:tcW w:w="2254" w:type="dxa"/>
          </w:tcPr>
          <w:p w14:paraId="45B47EBC"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High</w:t>
            </w:r>
          </w:p>
        </w:tc>
        <w:tc>
          <w:tcPr>
            <w:tcW w:w="2254" w:type="dxa"/>
          </w:tcPr>
          <w:p w14:paraId="386ECC19"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Style w:val="Strong"/>
              </w:rPr>
              <w:t>Keep informed</w:t>
            </w:r>
            <w:r>
              <w:t xml:space="preserve"> through transparent reporting and two-way feedback</w:t>
            </w:r>
          </w:p>
        </w:tc>
      </w:tr>
      <w:tr w:rsidR="001171CF" w14:paraId="0D59290B" w14:textId="77777777" w:rsidTr="001171CF">
        <w:tc>
          <w:tcPr>
            <w:cnfStyle w:val="001000000000" w:firstRow="0" w:lastRow="0" w:firstColumn="1" w:lastColumn="0" w:oddVBand="0" w:evenVBand="0" w:oddHBand="0" w:evenHBand="0" w:firstRowFirstColumn="0" w:firstRowLastColumn="0" w:lastRowFirstColumn="0" w:lastRowLastColumn="0"/>
            <w:tcW w:w="2254" w:type="dxa"/>
          </w:tcPr>
          <w:p w14:paraId="3783E658" w14:textId="77777777" w:rsidR="001171CF" w:rsidRDefault="001171CF" w:rsidP="001171CF">
            <w:pPr>
              <w:rPr>
                <w:rFonts w:ascii="Arial" w:hAnsi="Arial" w:cs="Arial"/>
                <w:sz w:val="22"/>
                <w:szCs w:val="22"/>
              </w:rPr>
            </w:pPr>
            <w:r>
              <w:t>Low-engagement audiences/</w:t>
            </w:r>
            <w:proofErr w:type="gramStart"/>
            <w:r>
              <w:t>general public</w:t>
            </w:r>
            <w:proofErr w:type="gramEnd"/>
          </w:p>
        </w:tc>
        <w:tc>
          <w:tcPr>
            <w:tcW w:w="2254" w:type="dxa"/>
          </w:tcPr>
          <w:p w14:paraId="5A289D20"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Lower</w:t>
            </w:r>
          </w:p>
        </w:tc>
        <w:tc>
          <w:tcPr>
            <w:tcW w:w="2254" w:type="dxa"/>
          </w:tcPr>
          <w:p w14:paraId="6320C8B0"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t>Lower</w:t>
            </w:r>
          </w:p>
        </w:tc>
        <w:tc>
          <w:tcPr>
            <w:tcW w:w="2254" w:type="dxa"/>
          </w:tcPr>
          <w:p w14:paraId="7BBFEFA3" w14:textId="77777777" w:rsidR="001171CF" w:rsidRDefault="001171CF" w:rsidP="001171CF">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Pr>
                <w:rStyle w:val="Strong"/>
              </w:rPr>
              <w:t>Monitor</w:t>
            </w:r>
            <w:r>
              <w:t xml:space="preserve"> for reputation issues and emerging risks</w:t>
            </w:r>
          </w:p>
        </w:tc>
      </w:tr>
    </w:tbl>
    <w:p w14:paraId="308842F8" w14:textId="77777777" w:rsidR="005F08A7" w:rsidRDefault="00B54628" w:rsidP="00D52B8C">
      <w:pPr>
        <w:pStyle w:val="Heading2"/>
      </w:pPr>
      <w:bookmarkStart w:id="19" w:name="_Toc224185201"/>
      <w:r>
        <w:t xml:space="preserve">6.2. </w:t>
      </w:r>
      <w:r w:rsidR="00D52B8C" w:rsidRPr="00D52B8C">
        <w:t>Stakeholder impacts of the strategy</w:t>
      </w:r>
      <w:bookmarkEnd w:id="19"/>
    </w:p>
    <w:p w14:paraId="58B4C051" w14:textId="7600A4A9" w:rsidR="009A6F3A" w:rsidRDefault="000750C7" w:rsidP="000750C7">
      <w:pPr>
        <w:rPr>
          <w:rFonts w:ascii="Arial" w:hAnsi="Arial" w:cs="Arial"/>
          <w:sz w:val="22"/>
          <w:szCs w:val="22"/>
        </w:rPr>
      </w:pPr>
      <w:r w:rsidRPr="000750C7">
        <w:rPr>
          <w:rFonts w:ascii="Arial" w:hAnsi="Arial" w:cs="Arial"/>
          <w:sz w:val="22"/>
          <w:szCs w:val="22"/>
        </w:rPr>
        <w:t xml:space="preserve">Stakeholders are impacted by the Sustainable Value Expansion plan in a variety of ways. More easily available packets and more obvious options should be advantageous to customers, but Innocent must keep the selection straightforward to prevent </w:t>
      </w:r>
      <w:r w:rsidRPr="000750C7">
        <w:rPr>
          <w:rFonts w:ascii="Arial" w:hAnsi="Arial" w:cs="Arial"/>
          <w:sz w:val="22"/>
          <w:szCs w:val="22"/>
        </w:rPr>
        <w:lastRenderedPageBreak/>
        <w:t xml:space="preserve">misunderstanding. </w:t>
      </w:r>
      <w:r w:rsidR="007A3F70" w:rsidRPr="007A3F70">
        <w:rPr>
          <w:rFonts w:ascii="Arial" w:hAnsi="Arial" w:cs="Arial"/>
          <w:sz w:val="22"/>
          <w:szCs w:val="22"/>
        </w:rPr>
        <w:t xml:space="preserve">In addition to receiving a stronger category proposal and a more transparent innovation pipeline, retailers seek outstanding sales performance and operational consistency. Although suppliers will be held to higher standards for sustainability and traceability, longer-term partnerships can provide stability and cooperative planning. Employees are given a stronger feeling of purpose and direction, but they will need training and clear messaging to explain changes regularly </w:t>
      </w:r>
      <w:proofErr w:type="gramStart"/>
      <w:r w:rsidR="007A3F70" w:rsidRPr="007A3F70">
        <w:rPr>
          <w:rFonts w:ascii="Arial" w:hAnsi="Arial" w:cs="Arial"/>
          <w:sz w:val="22"/>
          <w:szCs w:val="22"/>
        </w:rPr>
        <w:t>in order to</w:t>
      </w:r>
      <w:proofErr w:type="gramEnd"/>
      <w:r w:rsidR="007A3F70" w:rsidRPr="007A3F70">
        <w:rPr>
          <w:rFonts w:ascii="Arial" w:hAnsi="Arial" w:cs="Arial"/>
          <w:sz w:val="22"/>
          <w:szCs w:val="22"/>
        </w:rPr>
        <w:t xml:space="preserve"> reduce the likelihood of greenwashing perceptions. Regulators and B Lab are anticipated to respond </w:t>
      </w:r>
      <w:proofErr w:type="spellStart"/>
      <w:r w:rsidR="007A3F70" w:rsidRPr="007A3F70">
        <w:rPr>
          <w:rFonts w:ascii="Arial" w:hAnsi="Arial" w:cs="Arial"/>
          <w:sz w:val="22"/>
          <w:szCs w:val="22"/>
        </w:rPr>
        <w:t>favorably</w:t>
      </w:r>
      <w:proofErr w:type="spellEnd"/>
      <w:r w:rsidR="007A3F70" w:rsidRPr="007A3F70">
        <w:rPr>
          <w:rFonts w:ascii="Arial" w:hAnsi="Arial" w:cs="Arial"/>
          <w:sz w:val="22"/>
          <w:szCs w:val="22"/>
        </w:rPr>
        <w:t xml:space="preserve"> to the proposal since it boosts delivery against packaging responsibility and emissions reduction targets (GOV.UK, 2025; B Lab, 2026).</w:t>
      </w:r>
    </w:p>
    <w:p w14:paraId="2942C835" w14:textId="77777777" w:rsidR="009A6F3A" w:rsidRDefault="00B54628" w:rsidP="009A6F3A">
      <w:pPr>
        <w:pStyle w:val="Heading2"/>
      </w:pPr>
      <w:bookmarkStart w:id="20" w:name="_Toc224185202"/>
      <w:r>
        <w:t xml:space="preserve">6.3. </w:t>
      </w:r>
      <w:r w:rsidR="009A6F3A" w:rsidRPr="009A6F3A">
        <w:t>Stakeholder engagement plan</w:t>
      </w:r>
      <w:bookmarkEnd w:id="20"/>
    </w:p>
    <w:p w14:paraId="0207587F" w14:textId="77777777" w:rsidR="00CD6437" w:rsidRPr="00CD6437" w:rsidRDefault="00CD6437" w:rsidP="00CD6437">
      <w:pPr>
        <w:rPr>
          <w:rFonts w:ascii="Arial" w:hAnsi="Arial" w:cs="Arial"/>
          <w:sz w:val="22"/>
          <w:szCs w:val="22"/>
        </w:rPr>
      </w:pPr>
      <w:r w:rsidRPr="00343D52">
        <w:rPr>
          <w:rFonts w:ascii="Arial" w:hAnsi="Arial" w:cs="Arial"/>
          <w:b/>
          <w:bCs/>
          <w:sz w:val="22"/>
          <w:szCs w:val="22"/>
        </w:rPr>
        <w:t>Retailers:</w:t>
      </w:r>
      <w:r w:rsidRPr="00CD6437">
        <w:rPr>
          <w:rFonts w:ascii="Arial" w:hAnsi="Arial" w:cs="Arial"/>
          <w:sz w:val="22"/>
          <w:szCs w:val="22"/>
        </w:rPr>
        <w:t xml:space="preserve"> test launches for new packs and items, collaborative business planning, and quarterly category evaluations.</w:t>
      </w:r>
    </w:p>
    <w:p w14:paraId="6EDABF4C" w14:textId="77777777" w:rsidR="00CD6437" w:rsidRPr="00CD6437" w:rsidRDefault="00CD6437" w:rsidP="00CD6437">
      <w:pPr>
        <w:rPr>
          <w:rFonts w:ascii="Arial" w:hAnsi="Arial" w:cs="Arial"/>
          <w:sz w:val="22"/>
          <w:szCs w:val="22"/>
        </w:rPr>
      </w:pPr>
      <w:r w:rsidRPr="00343D52">
        <w:rPr>
          <w:rFonts w:ascii="Arial" w:hAnsi="Arial" w:cs="Arial"/>
          <w:b/>
          <w:bCs/>
          <w:sz w:val="22"/>
          <w:szCs w:val="22"/>
        </w:rPr>
        <w:t>Suppliers:</w:t>
      </w:r>
      <w:r w:rsidRPr="00CD6437">
        <w:rPr>
          <w:rFonts w:ascii="Arial" w:hAnsi="Arial" w:cs="Arial"/>
          <w:sz w:val="22"/>
          <w:szCs w:val="22"/>
        </w:rPr>
        <w:t xml:space="preserve"> multi-year contracts associated with emissions reduction, resilience, and quality benchmarks.</w:t>
      </w:r>
    </w:p>
    <w:p w14:paraId="58E9CB89" w14:textId="77777777" w:rsidR="00343D52" w:rsidRDefault="007441F0" w:rsidP="00CD6437">
      <w:pPr>
        <w:rPr>
          <w:rFonts w:ascii="Arial" w:hAnsi="Arial" w:cs="Arial"/>
          <w:sz w:val="22"/>
          <w:szCs w:val="22"/>
        </w:rPr>
      </w:pPr>
      <w:r w:rsidRPr="007441F0">
        <w:rPr>
          <w:rFonts w:ascii="Arial" w:hAnsi="Arial" w:cs="Arial"/>
          <w:b/>
          <w:bCs/>
          <w:sz w:val="22"/>
          <w:szCs w:val="22"/>
        </w:rPr>
        <w:t>Consumers:</w:t>
      </w:r>
      <w:r>
        <w:rPr>
          <w:rFonts w:ascii="Arial" w:hAnsi="Arial" w:cs="Arial"/>
          <w:b/>
          <w:bCs/>
          <w:sz w:val="22"/>
          <w:szCs w:val="22"/>
        </w:rPr>
        <w:t xml:space="preserve"> </w:t>
      </w:r>
      <w:r w:rsidR="00CD6437" w:rsidRPr="00CD6437">
        <w:rPr>
          <w:rFonts w:ascii="Arial" w:hAnsi="Arial" w:cs="Arial"/>
          <w:sz w:val="22"/>
          <w:szCs w:val="22"/>
        </w:rPr>
        <w:t xml:space="preserve">straightforward evidence linked to yearly reports, together with feedback loops through online and in-store activities (Innocent Drinks, n.d.). </w:t>
      </w:r>
    </w:p>
    <w:p w14:paraId="1C321A2B" w14:textId="77777777" w:rsidR="009A6F3A" w:rsidRDefault="00F856A7" w:rsidP="00CD6437">
      <w:pPr>
        <w:rPr>
          <w:rFonts w:ascii="Arial" w:hAnsi="Arial" w:cs="Arial"/>
          <w:sz w:val="22"/>
          <w:szCs w:val="22"/>
        </w:rPr>
      </w:pPr>
      <w:r w:rsidRPr="00F856A7">
        <w:rPr>
          <w:rFonts w:ascii="Arial" w:hAnsi="Arial" w:cs="Arial"/>
          <w:b/>
          <w:bCs/>
          <w:sz w:val="22"/>
          <w:szCs w:val="22"/>
        </w:rPr>
        <w:t>Employees:</w:t>
      </w:r>
      <w:r w:rsidRPr="00CD6437">
        <w:rPr>
          <w:rFonts w:ascii="Arial" w:hAnsi="Arial" w:cs="Arial"/>
          <w:sz w:val="22"/>
          <w:szCs w:val="22"/>
        </w:rPr>
        <w:t xml:space="preserve"> To</w:t>
      </w:r>
      <w:r w:rsidR="00CD6437" w:rsidRPr="00CD6437">
        <w:rPr>
          <w:rFonts w:ascii="Arial" w:hAnsi="Arial" w:cs="Arial"/>
          <w:sz w:val="22"/>
          <w:szCs w:val="22"/>
        </w:rPr>
        <w:t xml:space="preserve"> guarantee consistency, internal toolkits, brief training sessions, and authorized language for product and sustainability messaging are used.</w:t>
      </w:r>
    </w:p>
    <w:p w14:paraId="49229D77" w14:textId="77777777" w:rsidR="00F856A7" w:rsidRDefault="00481AB5" w:rsidP="00481AB5">
      <w:pPr>
        <w:pStyle w:val="Heading1"/>
      </w:pPr>
      <w:bookmarkStart w:id="21" w:name="_Toc224185203"/>
      <w:r w:rsidRPr="00481AB5">
        <w:t>7. Implementation and Monitoring</w:t>
      </w:r>
      <w:bookmarkEnd w:id="21"/>
    </w:p>
    <w:p w14:paraId="0B5E4836" w14:textId="77777777" w:rsidR="005F503C" w:rsidRDefault="005F503C" w:rsidP="00CA0696">
      <w:pPr>
        <w:pStyle w:val="Heading2"/>
        <w:rPr>
          <w:rFonts w:ascii="Arial" w:eastAsiaTheme="minorHAnsi" w:hAnsi="Arial" w:cs="Arial"/>
          <w:color w:val="auto"/>
          <w:sz w:val="22"/>
          <w:szCs w:val="22"/>
        </w:rPr>
      </w:pPr>
      <w:r w:rsidRPr="005F503C">
        <w:rPr>
          <w:rFonts w:ascii="Arial" w:eastAsiaTheme="minorHAnsi" w:hAnsi="Arial" w:cs="Arial"/>
          <w:color w:val="auto"/>
          <w:sz w:val="22"/>
          <w:szCs w:val="22"/>
        </w:rPr>
        <w:t>Over the course of 12 to 18 months, this approach will be implemented in three workstreams with quantifiable KPIs and unambiguous actions. Protecting the core business, expanding through focused innovation, and making sure sustainable delivery is integrated into daily operations are the goals.</w:t>
      </w:r>
    </w:p>
    <w:p w14:paraId="2192CD36" w14:textId="1A856AC8" w:rsidR="00CA0696" w:rsidRDefault="00941B2B" w:rsidP="00CA0696">
      <w:pPr>
        <w:pStyle w:val="Heading2"/>
      </w:pPr>
      <w:r>
        <w:t xml:space="preserve"> </w:t>
      </w:r>
      <w:bookmarkStart w:id="22" w:name="_Toc224185204"/>
      <w:r w:rsidR="00CA0696" w:rsidRPr="00CA0696">
        <w:t>Objective A: Defend and grow the core through accessible value (0–12 months)</w:t>
      </w:r>
      <w:bookmarkEnd w:id="22"/>
    </w:p>
    <w:p w14:paraId="17D75854" w14:textId="77777777" w:rsidR="00A81F62" w:rsidRPr="00AA3500" w:rsidRDefault="00A81F62" w:rsidP="00A81F62">
      <w:pPr>
        <w:rPr>
          <w:rFonts w:ascii="Arial" w:hAnsi="Arial" w:cs="Arial"/>
          <w:b/>
          <w:bCs/>
          <w:sz w:val="22"/>
          <w:szCs w:val="22"/>
          <w:u w:val="single"/>
        </w:rPr>
      </w:pPr>
      <w:r w:rsidRPr="00AA3500">
        <w:rPr>
          <w:rFonts w:ascii="Arial" w:hAnsi="Arial" w:cs="Arial"/>
          <w:b/>
          <w:bCs/>
          <w:sz w:val="22"/>
          <w:szCs w:val="22"/>
          <w:u w:val="single"/>
        </w:rPr>
        <w:t>Key actions</w:t>
      </w:r>
    </w:p>
    <w:p w14:paraId="3B643B79" w14:textId="77777777" w:rsidR="00EA2FA1" w:rsidRPr="00AA3500" w:rsidRDefault="00EA2FA1" w:rsidP="00AA3500">
      <w:pPr>
        <w:pStyle w:val="ListParagraph"/>
        <w:numPr>
          <w:ilvl w:val="0"/>
          <w:numId w:val="1"/>
        </w:numPr>
        <w:rPr>
          <w:rFonts w:ascii="Arial" w:hAnsi="Arial" w:cs="Arial"/>
          <w:sz w:val="22"/>
          <w:szCs w:val="22"/>
        </w:rPr>
      </w:pPr>
      <w:r w:rsidRPr="00AA3500">
        <w:rPr>
          <w:rFonts w:ascii="Arial" w:hAnsi="Arial" w:cs="Arial"/>
          <w:sz w:val="22"/>
          <w:szCs w:val="22"/>
        </w:rPr>
        <w:t>To increase accessibility without sacrificing standards, update the price-pack architecture with multipacks and entry sizes.</w:t>
      </w:r>
    </w:p>
    <w:p w14:paraId="0F4A6A33" w14:textId="77777777" w:rsidR="00EA2FA1" w:rsidRPr="00AA3500" w:rsidRDefault="00EA2FA1" w:rsidP="00AA3500">
      <w:pPr>
        <w:pStyle w:val="ListParagraph"/>
        <w:numPr>
          <w:ilvl w:val="0"/>
          <w:numId w:val="1"/>
        </w:numPr>
        <w:rPr>
          <w:rFonts w:ascii="Arial" w:hAnsi="Arial" w:cs="Arial"/>
          <w:sz w:val="22"/>
          <w:szCs w:val="22"/>
        </w:rPr>
      </w:pPr>
      <w:r w:rsidRPr="00AA3500">
        <w:rPr>
          <w:rFonts w:ascii="Arial" w:hAnsi="Arial" w:cs="Arial"/>
          <w:sz w:val="22"/>
          <w:szCs w:val="22"/>
        </w:rPr>
        <w:t>Boost marketing strategy to encourage recurring business and preserve value perception.</w:t>
      </w:r>
    </w:p>
    <w:p w14:paraId="34D8E6D1" w14:textId="77777777" w:rsidR="00EA2FA1" w:rsidRPr="00AA3500" w:rsidRDefault="00EA2FA1" w:rsidP="00AA3500">
      <w:pPr>
        <w:pStyle w:val="ListParagraph"/>
        <w:numPr>
          <w:ilvl w:val="0"/>
          <w:numId w:val="1"/>
        </w:numPr>
        <w:rPr>
          <w:rFonts w:ascii="Arial" w:hAnsi="Arial" w:cs="Arial"/>
          <w:sz w:val="22"/>
          <w:szCs w:val="22"/>
        </w:rPr>
      </w:pPr>
      <w:r w:rsidRPr="00AA3500">
        <w:rPr>
          <w:rFonts w:ascii="Arial" w:hAnsi="Arial" w:cs="Arial"/>
          <w:sz w:val="22"/>
          <w:szCs w:val="22"/>
        </w:rPr>
        <w:t>Boost visibility in high-frequency channels, especially food-to-go and convenience.</w:t>
      </w:r>
    </w:p>
    <w:p w14:paraId="001BB3ED" w14:textId="77777777" w:rsidR="00CA0696" w:rsidRPr="00AA3500" w:rsidRDefault="00EA2FA1" w:rsidP="00AA3500">
      <w:pPr>
        <w:pStyle w:val="ListParagraph"/>
        <w:numPr>
          <w:ilvl w:val="0"/>
          <w:numId w:val="1"/>
        </w:numPr>
        <w:rPr>
          <w:rFonts w:ascii="Arial" w:hAnsi="Arial" w:cs="Arial"/>
          <w:sz w:val="22"/>
          <w:szCs w:val="22"/>
        </w:rPr>
      </w:pPr>
      <w:r w:rsidRPr="00AA3500">
        <w:rPr>
          <w:rFonts w:ascii="Arial" w:hAnsi="Arial" w:cs="Arial"/>
          <w:sz w:val="22"/>
          <w:szCs w:val="22"/>
        </w:rPr>
        <w:t>Refresh communications to ensure that "value" is communicated in a clear and mission-aligned manner.</w:t>
      </w:r>
    </w:p>
    <w:p w14:paraId="41D22FF6" w14:textId="77777777" w:rsidR="00F856A7" w:rsidRDefault="00AA3500" w:rsidP="00CD6437">
      <w:pPr>
        <w:rPr>
          <w:rFonts w:ascii="Arial" w:hAnsi="Arial" w:cs="Arial"/>
          <w:b/>
          <w:bCs/>
          <w:sz w:val="22"/>
          <w:szCs w:val="22"/>
          <w:u w:val="single"/>
        </w:rPr>
      </w:pPr>
      <w:r w:rsidRPr="00AA3500">
        <w:rPr>
          <w:rFonts w:ascii="Arial" w:hAnsi="Arial" w:cs="Arial"/>
          <w:b/>
          <w:bCs/>
          <w:sz w:val="22"/>
          <w:szCs w:val="22"/>
          <w:u w:val="single"/>
        </w:rPr>
        <w:t>KPIs</w:t>
      </w:r>
    </w:p>
    <w:p w14:paraId="3786D84C" w14:textId="77777777" w:rsidR="00BB7C8F"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t>Core volume growth</w:t>
      </w:r>
    </w:p>
    <w:p w14:paraId="4B249B00" w14:textId="77777777" w:rsidR="00BB7C8F"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t>Repeat purchase rate</w:t>
      </w:r>
    </w:p>
    <w:p w14:paraId="565B1C1A" w14:textId="77777777" w:rsidR="00BB7C8F"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t>Household penetration</w:t>
      </w:r>
    </w:p>
    <w:p w14:paraId="0051E7C4" w14:textId="77777777" w:rsidR="00BB7C8F"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t>Promotion effectiveness (incremental uplift)</w:t>
      </w:r>
    </w:p>
    <w:p w14:paraId="61350745" w14:textId="77777777" w:rsidR="00BB7C8F"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lastRenderedPageBreak/>
        <w:t>Net revenue per litre</w:t>
      </w:r>
    </w:p>
    <w:p w14:paraId="4A64BD55" w14:textId="77777777" w:rsidR="00AA3500" w:rsidRPr="00BB7C8F" w:rsidRDefault="00BB7C8F" w:rsidP="00BB7C8F">
      <w:pPr>
        <w:pStyle w:val="ListParagraph"/>
        <w:numPr>
          <w:ilvl w:val="0"/>
          <w:numId w:val="2"/>
        </w:numPr>
        <w:rPr>
          <w:rFonts w:ascii="Arial" w:hAnsi="Arial" w:cs="Arial"/>
          <w:sz w:val="22"/>
          <w:szCs w:val="22"/>
        </w:rPr>
      </w:pPr>
      <w:r w:rsidRPr="00BB7C8F">
        <w:rPr>
          <w:rFonts w:ascii="Arial" w:hAnsi="Arial" w:cs="Arial"/>
          <w:sz w:val="22"/>
          <w:szCs w:val="22"/>
        </w:rPr>
        <w:t>Margin mix</w:t>
      </w:r>
    </w:p>
    <w:p w14:paraId="15C030E3" w14:textId="77777777" w:rsidR="00343D52" w:rsidRDefault="00BC27B2" w:rsidP="00BC27B2">
      <w:pPr>
        <w:pStyle w:val="Heading2"/>
      </w:pPr>
      <w:bookmarkStart w:id="23" w:name="_Toc224185205"/>
      <w:r w:rsidRPr="00BC27B2">
        <w:t>Objective B: Build adjacent growth through functional and plant-based innovation (0–18 months)</w:t>
      </w:r>
      <w:bookmarkEnd w:id="23"/>
    </w:p>
    <w:p w14:paraId="09202120" w14:textId="77777777" w:rsidR="00BC27B2" w:rsidRDefault="00BC27B2" w:rsidP="00BC27B2">
      <w:pPr>
        <w:rPr>
          <w:rFonts w:ascii="Arial" w:hAnsi="Arial" w:cs="Arial"/>
          <w:b/>
          <w:bCs/>
          <w:sz w:val="22"/>
          <w:szCs w:val="22"/>
          <w:u w:val="single"/>
        </w:rPr>
      </w:pPr>
      <w:r w:rsidRPr="00BC27B2">
        <w:rPr>
          <w:rFonts w:ascii="Arial" w:hAnsi="Arial" w:cs="Arial"/>
          <w:b/>
          <w:bCs/>
          <w:sz w:val="22"/>
          <w:szCs w:val="22"/>
          <w:u w:val="single"/>
        </w:rPr>
        <w:t>Key actions</w:t>
      </w:r>
    </w:p>
    <w:p w14:paraId="30A385FE" w14:textId="77777777" w:rsidR="00FD294A" w:rsidRPr="004C3630" w:rsidRDefault="004C3630" w:rsidP="004C3630">
      <w:pPr>
        <w:pStyle w:val="ListParagraph"/>
        <w:numPr>
          <w:ilvl w:val="0"/>
          <w:numId w:val="3"/>
        </w:numPr>
        <w:rPr>
          <w:rFonts w:ascii="Arial" w:hAnsi="Arial" w:cs="Arial"/>
          <w:sz w:val="22"/>
          <w:szCs w:val="22"/>
        </w:rPr>
      </w:pPr>
      <w:r>
        <w:rPr>
          <w:rFonts w:ascii="Arial" w:hAnsi="Arial" w:cs="Arial"/>
          <w:sz w:val="22"/>
          <w:szCs w:val="22"/>
        </w:rPr>
        <w:t>I</w:t>
      </w:r>
      <w:r w:rsidRPr="004C3630">
        <w:rPr>
          <w:rFonts w:ascii="Arial" w:hAnsi="Arial" w:cs="Arial"/>
          <w:sz w:val="22"/>
          <w:szCs w:val="22"/>
        </w:rPr>
        <w:t>ntroduce</w:t>
      </w:r>
      <w:r w:rsidR="00FD294A" w:rsidRPr="004C3630">
        <w:rPr>
          <w:rFonts w:ascii="Arial" w:hAnsi="Arial" w:cs="Arial"/>
          <w:sz w:val="22"/>
          <w:szCs w:val="22"/>
        </w:rPr>
        <w:t xml:space="preserve"> two to three function-driven lines with clear ingredient justification and compliant claims.</w:t>
      </w:r>
    </w:p>
    <w:p w14:paraId="0C58320D" w14:textId="77777777" w:rsidR="00FD294A" w:rsidRPr="004C3630" w:rsidRDefault="00FD294A" w:rsidP="004C3630">
      <w:pPr>
        <w:pStyle w:val="ListParagraph"/>
        <w:numPr>
          <w:ilvl w:val="0"/>
          <w:numId w:val="3"/>
        </w:numPr>
        <w:rPr>
          <w:rFonts w:ascii="Arial" w:hAnsi="Arial" w:cs="Arial"/>
          <w:sz w:val="22"/>
          <w:szCs w:val="22"/>
        </w:rPr>
      </w:pPr>
      <w:r w:rsidRPr="004C3630">
        <w:rPr>
          <w:rFonts w:ascii="Arial" w:hAnsi="Arial" w:cs="Arial"/>
          <w:sz w:val="22"/>
          <w:szCs w:val="22"/>
        </w:rPr>
        <w:t>To ensure brand credibility, assess demand through limited pilots prior to a broad launch.</w:t>
      </w:r>
    </w:p>
    <w:p w14:paraId="2E84C8DB" w14:textId="77777777" w:rsidR="00B9092B" w:rsidRPr="004C3630" w:rsidRDefault="00FD294A" w:rsidP="004C3630">
      <w:pPr>
        <w:pStyle w:val="ListParagraph"/>
        <w:numPr>
          <w:ilvl w:val="0"/>
          <w:numId w:val="3"/>
        </w:numPr>
        <w:rPr>
          <w:rFonts w:ascii="Arial" w:hAnsi="Arial" w:cs="Arial"/>
          <w:sz w:val="22"/>
          <w:szCs w:val="22"/>
        </w:rPr>
      </w:pPr>
      <w:r w:rsidRPr="004C3630">
        <w:rPr>
          <w:rFonts w:ascii="Arial" w:hAnsi="Arial" w:cs="Arial"/>
          <w:sz w:val="22"/>
          <w:szCs w:val="22"/>
        </w:rPr>
        <w:t>Increase relevance throughout the day by developing occasion-led activation</w:t>
      </w:r>
    </w:p>
    <w:p w14:paraId="371A52E0" w14:textId="77777777" w:rsidR="005550C0" w:rsidRPr="005550C0" w:rsidRDefault="005550C0" w:rsidP="005550C0">
      <w:pPr>
        <w:rPr>
          <w:rFonts w:ascii="Arial" w:hAnsi="Arial" w:cs="Arial"/>
          <w:b/>
          <w:bCs/>
          <w:sz w:val="22"/>
          <w:szCs w:val="22"/>
          <w:u w:val="single"/>
        </w:rPr>
      </w:pPr>
      <w:r w:rsidRPr="005550C0">
        <w:rPr>
          <w:rFonts w:ascii="Arial" w:hAnsi="Arial" w:cs="Arial"/>
          <w:b/>
          <w:bCs/>
          <w:sz w:val="22"/>
          <w:szCs w:val="22"/>
          <w:u w:val="single"/>
        </w:rPr>
        <w:t>KPIs</w:t>
      </w:r>
    </w:p>
    <w:p w14:paraId="07EA22A3" w14:textId="77777777" w:rsidR="005550C0" w:rsidRPr="000626CC" w:rsidRDefault="005550C0" w:rsidP="005550C0">
      <w:pPr>
        <w:pStyle w:val="ListParagraph"/>
        <w:numPr>
          <w:ilvl w:val="0"/>
          <w:numId w:val="4"/>
        </w:numPr>
        <w:rPr>
          <w:rFonts w:ascii="Arial" w:hAnsi="Arial" w:cs="Arial"/>
          <w:sz w:val="22"/>
          <w:szCs w:val="22"/>
        </w:rPr>
      </w:pPr>
      <w:r w:rsidRPr="000626CC">
        <w:rPr>
          <w:rFonts w:ascii="Arial" w:hAnsi="Arial" w:cs="Arial"/>
          <w:sz w:val="22"/>
          <w:szCs w:val="22"/>
        </w:rPr>
        <w:t>Revenue share from new products</w:t>
      </w:r>
    </w:p>
    <w:p w14:paraId="3C3F70BA" w14:textId="77777777" w:rsidR="005550C0" w:rsidRPr="000626CC" w:rsidRDefault="005550C0" w:rsidP="005550C0">
      <w:pPr>
        <w:pStyle w:val="ListParagraph"/>
        <w:numPr>
          <w:ilvl w:val="0"/>
          <w:numId w:val="4"/>
        </w:numPr>
        <w:rPr>
          <w:rFonts w:ascii="Arial" w:hAnsi="Arial" w:cs="Arial"/>
          <w:sz w:val="22"/>
          <w:szCs w:val="22"/>
        </w:rPr>
      </w:pPr>
      <w:r w:rsidRPr="000626CC">
        <w:rPr>
          <w:rFonts w:ascii="Arial" w:hAnsi="Arial" w:cs="Arial"/>
          <w:sz w:val="22"/>
          <w:szCs w:val="22"/>
        </w:rPr>
        <w:t>Trial-to-repeat conversion</w:t>
      </w:r>
    </w:p>
    <w:p w14:paraId="68D45B2C" w14:textId="77777777" w:rsidR="005550C0" w:rsidRPr="000626CC" w:rsidRDefault="005550C0" w:rsidP="005550C0">
      <w:pPr>
        <w:pStyle w:val="ListParagraph"/>
        <w:numPr>
          <w:ilvl w:val="0"/>
          <w:numId w:val="4"/>
        </w:numPr>
        <w:rPr>
          <w:rFonts w:ascii="Arial" w:hAnsi="Arial" w:cs="Arial"/>
          <w:sz w:val="22"/>
          <w:szCs w:val="22"/>
        </w:rPr>
      </w:pPr>
      <w:r w:rsidRPr="000626CC">
        <w:rPr>
          <w:rFonts w:ascii="Arial" w:hAnsi="Arial" w:cs="Arial"/>
          <w:sz w:val="22"/>
          <w:szCs w:val="22"/>
        </w:rPr>
        <w:t>Distribution breadth</w:t>
      </w:r>
    </w:p>
    <w:p w14:paraId="35BA8B64" w14:textId="77777777" w:rsidR="009A6F3A" w:rsidRPr="000626CC" w:rsidRDefault="005550C0" w:rsidP="005550C0">
      <w:pPr>
        <w:pStyle w:val="ListParagraph"/>
        <w:numPr>
          <w:ilvl w:val="0"/>
          <w:numId w:val="4"/>
        </w:numPr>
        <w:rPr>
          <w:rFonts w:ascii="Arial" w:hAnsi="Arial" w:cs="Arial"/>
          <w:sz w:val="22"/>
          <w:szCs w:val="22"/>
        </w:rPr>
      </w:pPr>
      <w:r w:rsidRPr="000626CC">
        <w:rPr>
          <w:rFonts w:ascii="Arial" w:hAnsi="Arial" w:cs="Arial"/>
          <w:sz w:val="22"/>
          <w:szCs w:val="22"/>
        </w:rPr>
        <w:t>Rate of sale per store per week</w:t>
      </w:r>
    </w:p>
    <w:p w14:paraId="50823E17" w14:textId="77777777" w:rsidR="005550C0" w:rsidRDefault="0041134C" w:rsidP="0041134C">
      <w:pPr>
        <w:pStyle w:val="Heading2"/>
      </w:pPr>
      <w:bookmarkStart w:id="24" w:name="_Toc224185206"/>
      <w:r w:rsidRPr="0041134C">
        <w:t>Objective C: Embed sustainability into growth delivery (0–18 months)</w:t>
      </w:r>
      <w:bookmarkEnd w:id="24"/>
    </w:p>
    <w:p w14:paraId="2F94CC20" w14:textId="77777777" w:rsidR="0041134C" w:rsidRPr="0041134C" w:rsidRDefault="0041134C" w:rsidP="0041134C">
      <w:pPr>
        <w:rPr>
          <w:rFonts w:ascii="Arial" w:hAnsi="Arial" w:cs="Arial"/>
          <w:b/>
          <w:bCs/>
          <w:sz w:val="22"/>
          <w:szCs w:val="22"/>
          <w:u w:val="single"/>
        </w:rPr>
      </w:pPr>
      <w:r w:rsidRPr="0041134C">
        <w:rPr>
          <w:rFonts w:ascii="Arial" w:hAnsi="Arial" w:cs="Arial"/>
          <w:b/>
          <w:bCs/>
          <w:sz w:val="22"/>
          <w:szCs w:val="22"/>
          <w:u w:val="single"/>
        </w:rPr>
        <w:t>Key actions</w:t>
      </w:r>
    </w:p>
    <w:p w14:paraId="7A67C44F" w14:textId="77777777" w:rsidR="007B5DF8" w:rsidRPr="00336616" w:rsidRDefault="007B5DF8" w:rsidP="005C56F2">
      <w:pPr>
        <w:pStyle w:val="ListParagraph"/>
        <w:numPr>
          <w:ilvl w:val="0"/>
          <w:numId w:val="5"/>
        </w:numPr>
        <w:rPr>
          <w:rFonts w:ascii="Arial" w:hAnsi="Arial" w:cs="Arial"/>
          <w:sz w:val="22"/>
          <w:szCs w:val="22"/>
        </w:rPr>
      </w:pPr>
      <w:r w:rsidRPr="00336616">
        <w:rPr>
          <w:rFonts w:ascii="Arial" w:hAnsi="Arial" w:cs="Arial"/>
          <w:sz w:val="22"/>
          <w:szCs w:val="22"/>
        </w:rPr>
        <w:t xml:space="preserve">Give packaging redesign top priority </w:t>
      </w:r>
      <w:proofErr w:type="gramStart"/>
      <w:r w:rsidRPr="00336616">
        <w:rPr>
          <w:rFonts w:ascii="Arial" w:hAnsi="Arial" w:cs="Arial"/>
          <w:sz w:val="22"/>
          <w:szCs w:val="22"/>
        </w:rPr>
        <w:t>in order to</w:t>
      </w:r>
      <w:proofErr w:type="gramEnd"/>
      <w:r w:rsidRPr="00336616">
        <w:rPr>
          <w:rFonts w:ascii="Arial" w:hAnsi="Arial" w:cs="Arial"/>
          <w:sz w:val="22"/>
          <w:szCs w:val="22"/>
        </w:rPr>
        <w:t xml:space="preserve"> lower material consumption and increase recyclability, which will assist control exposure to EPR costs (GOV.UK, 2025).</w:t>
      </w:r>
    </w:p>
    <w:p w14:paraId="79E2FEFC" w14:textId="77777777" w:rsidR="00323DFC" w:rsidRPr="00336616" w:rsidRDefault="007B5DF8" w:rsidP="005C56F2">
      <w:pPr>
        <w:pStyle w:val="ListParagraph"/>
        <w:numPr>
          <w:ilvl w:val="0"/>
          <w:numId w:val="5"/>
        </w:numPr>
        <w:rPr>
          <w:rFonts w:ascii="Arial" w:hAnsi="Arial" w:cs="Arial"/>
          <w:sz w:val="22"/>
          <w:szCs w:val="22"/>
        </w:rPr>
      </w:pPr>
      <w:r w:rsidRPr="00336616">
        <w:rPr>
          <w:rFonts w:ascii="Arial" w:hAnsi="Arial" w:cs="Arial"/>
          <w:sz w:val="22"/>
          <w:szCs w:val="22"/>
        </w:rPr>
        <w:t xml:space="preserve">Boost supplier initiatives to reduce farm-to-fridge emissions in line with the 2030 per-bottle reduction goal (Innocent Drinks, n.d.). </w:t>
      </w:r>
    </w:p>
    <w:p w14:paraId="145D0628" w14:textId="77777777" w:rsidR="00D52B8C" w:rsidRPr="00336616" w:rsidRDefault="007B5DF8" w:rsidP="005C56F2">
      <w:pPr>
        <w:pStyle w:val="ListParagraph"/>
        <w:numPr>
          <w:ilvl w:val="0"/>
          <w:numId w:val="5"/>
        </w:numPr>
        <w:rPr>
          <w:rFonts w:ascii="Arial" w:hAnsi="Arial" w:cs="Arial"/>
          <w:sz w:val="22"/>
          <w:szCs w:val="22"/>
        </w:rPr>
      </w:pPr>
      <w:r w:rsidRPr="00336616">
        <w:rPr>
          <w:rFonts w:ascii="Arial" w:hAnsi="Arial" w:cs="Arial"/>
          <w:sz w:val="22"/>
          <w:szCs w:val="22"/>
        </w:rPr>
        <w:t>Publish updates on progress that are in line with yearly reporting to preserve openness and stakeholder trust.</w:t>
      </w:r>
    </w:p>
    <w:p w14:paraId="4FC1E2B4" w14:textId="77777777" w:rsidR="00323DFC" w:rsidRDefault="00336616" w:rsidP="007B5DF8">
      <w:pPr>
        <w:rPr>
          <w:rFonts w:ascii="Arial" w:hAnsi="Arial" w:cs="Arial"/>
          <w:b/>
          <w:bCs/>
          <w:sz w:val="22"/>
          <w:szCs w:val="22"/>
          <w:u w:val="single"/>
        </w:rPr>
      </w:pPr>
      <w:r w:rsidRPr="00336616">
        <w:rPr>
          <w:rFonts w:ascii="Arial" w:hAnsi="Arial" w:cs="Arial"/>
          <w:b/>
          <w:bCs/>
          <w:sz w:val="22"/>
          <w:szCs w:val="22"/>
          <w:u w:val="single"/>
        </w:rPr>
        <w:t>KPIs</w:t>
      </w:r>
    </w:p>
    <w:p w14:paraId="5C22F9BE" w14:textId="77777777" w:rsidR="00CA2E76" w:rsidRPr="00CA2E76" w:rsidRDefault="00CA2E76" w:rsidP="00CA2E76">
      <w:pPr>
        <w:pStyle w:val="ListParagraph"/>
        <w:numPr>
          <w:ilvl w:val="0"/>
          <w:numId w:val="6"/>
        </w:numPr>
        <w:rPr>
          <w:rFonts w:ascii="Arial" w:hAnsi="Arial" w:cs="Arial"/>
          <w:sz w:val="22"/>
          <w:szCs w:val="22"/>
        </w:rPr>
      </w:pPr>
      <w:r w:rsidRPr="00CA2E76">
        <w:rPr>
          <w:rFonts w:ascii="Arial" w:hAnsi="Arial" w:cs="Arial"/>
          <w:sz w:val="22"/>
          <w:szCs w:val="22"/>
        </w:rPr>
        <w:t>Comparing the carbon footprint of each bottle to the baseline</w:t>
      </w:r>
    </w:p>
    <w:p w14:paraId="44D3CC82" w14:textId="77777777" w:rsidR="00CA2E76" w:rsidRPr="00CA2E76" w:rsidRDefault="00CA2E76" w:rsidP="00CA2E76">
      <w:pPr>
        <w:pStyle w:val="ListParagraph"/>
        <w:numPr>
          <w:ilvl w:val="0"/>
          <w:numId w:val="6"/>
        </w:numPr>
        <w:rPr>
          <w:rFonts w:ascii="Arial" w:hAnsi="Arial" w:cs="Arial"/>
          <w:sz w:val="22"/>
          <w:szCs w:val="22"/>
        </w:rPr>
      </w:pPr>
      <w:r w:rsidRPr="00CA2E76">
        <w:rPr>
          <w:rFonts w:ascii="Arial" w:hAnsi="Arial" w:cs="Arial"/>
          <w:sz w:val="22"/>
          <w:szCs w:val="22"/>
        </w:rPr>
        <w:t>Achievement of operational emissions targets</w:t>
      </w:r>
    </w:p>
    <w:p w14:paraId="0C5972F1" w14:textId="77777777" w:rsidR="00CA2E76" w:rsidRPr="00CA2E76" w:rsidRDefault="00CA2E76" w:rsidP="00CA2E76">
      <w:pPr>
        <w:pStyle w:val="ListParagraph"/>
        <w:numPr>
          <w:ilvl w:val="0"/>
          <w:numId w:val="6"/>
        </w:numPr>
        <w:rPr>
          <w:rFonts w:ascii="Arial" w:hAnsi="Arial" w:cs="Arial"/>
          <w:sz w:val="22"/>
          <w:szCs w:val="22"/>
        </w:rPr>
      </w:pPr>
      <w:r w:rsidRPr="00CA2E76">
        <w:rPr>
          <w:rFonts w:ascii="Arial" w:hAnsi="Arial" w:cs="Arial"/>
          <w:sz w:val="22"/>
          <w:szCs w:val="22"/>
        </w:rPr>
        <w:t>Weight reduction in packaging</w:t>
      </w:r>
    </w:p>
    <w:p w14:paraId="5E9B479D" w14:textId="77777777" w:rsidR="00CA2E76" w:rsidRPr="00CA2E76" w:rsidRDefault="00CA2E76" w:rsidP="00CA2E76">
      <w:pPr>
        <w:pStyle w:val="ListParagraph"/>
        <w:numPr>
          <w:ilvl w:val="0"/>
          <w:numId w:val="6"/>
        </w:numPr>
        <w:rPr>
          <w:rFonts w:ascii="Arial" w:hAnsi="Arial" w:cs="Arial"/>
          <w:sz w:val="22"/>
          <w:szCs w:val="22"/>
        </w:rPr>
      </w:pPr>
      <w:r w:rsidRPr="00CA2E76">
        <w:rPr>
          <w:rFonts w:ascii="Arial" w:hAnsi="Arial" w:cs="Arial"/>
          <w:sz w:val="22"/>
          <w:szCs w:val="22"/>
        </w:rPr>
        <w:t>proportion of recycled content</w:t>
      </w:r>
    </w:p>
    <w:p w14:paraId="0617377E" w14:textId="77777777" w:rsidR="007D149A" w:rsidRDefault="00CA2E76" w:rsidP="007D149A">
      <w:pPr>
        <w:pStyle w:val="ListParagraph"/>
        <w:numPr>
          <w:ilvl w:val="0"/>
          <w:numId w:val="6"/>
        </w:numPr>
        <w:rPr>
          <w:rFonts w:ascii="Arial" w:hAnsi="Arial" w:cs="Arial"/>
          <w:sz w:val="22"/>
          <w:szCs w:val="22"/>
        </w:rPr>
      </w:pPr>
      <w:r w:rsidRPr="00CA2E76">
        <w:rPr>
          <w:rFonts w:ascii="Arial" w:hAnsi="Arial" w:cs="Arial"/>
          <w:sz w:val="22"/>
          <w:szCs w:val="22"/>
        </w:rPr>
        <w:t>Impact of estimated EPR costs</w:t>
      </w:r>
    </w:p>
    <w:p w14:paraId="43B88E00" w14:textId="77777777" w:rsidR="00CA2E76" w:rsidRDefault="002427C9" w:rsidP="007D149A">
      <w:pPr>
        <w:rPr>
          <w:rFonts w:ascii="Arial" w:hAnsi="Arial" w:cs="Arial"/>
          <w:b/>
          <w:bCs/>
          <w:sz w:val="22"/>
          <w:szCs w:val="22"/>
          <w:u w:val="single"/>
        </w:rPr>
      </w:pPr>
      <w:r w:rsidRPr="007D149A">
        <w:rPr>
          <w:rFonts w:ascii="Arial" w:hAnsi="Arial" w:cs="Arial"/>
          <w:b/>
          <w:bCs/>
          <w:sz w:val="22"/>
          <w:szCs w:val="22"/>
          <w:u w:val="single"/>
        </w:rPr>
        <w:t>Monitoring cadence</w:t>
      </w:r>
    </w:p>
    <w:p w14:paraId="1A2C7CCE" w14:textId="77777777" w:rsidR="008F412A" w:rsidRPr="009655BD" w:rsidRDefault="008F412A" w:rsidP="009655BD">
      <w:pPr>
        <w:pStyle w:val="ListParagraph"/>
        <w:numPr>
          <w:ilvl w:val="0"/>
          <w:numId w:val="8"/>
        </w:numPr>
        <w:rPr>
          <w:rFonts w:ascii="Arial" w:hAnsi="Arial" w:cs="Arial"/>
          <w:sz w:val="22"/>
          <w:szCs w:val="22"/>
        </w:rPr>
      </w:pPr>
      <w:r w:rsidRPr="009655BD">
        <w:rPr>
          <w:rFonts w:ascii="Arial" w:hAnsi="Arial" w:cs="Arial"/>
          <w:sz w:val="22"/>
          <w:szCs w:val="22"/>
        </w:rPr>
        <w:t xml:space="preserve">Monitor business performance </w:t>
      </w:r>
      <w:proofErr w:type="gramStart"/>
      <w:r w:rsidRPr="009655BD">
        <w:rPr>
          <w:rFonts w:ascii="Arial" w:hAnsi="Arial" w:cs="Arial"/>
          <w:sz w:val="22"/>
          <w:szCs w:val="22"/>
        </w:rPr>
        <w:t>on a monthly basis</w:t>
      </w:r>
      <w:proofErr w:type="gramEnd"/>
      <w:r w:rsidRPr="009655BD">
        <w:rPr>
          <w:rFonts w:ascii="Arial" w:hAnsi="Arial" w:cs="Arial"/>
          <w:sz w:val="22"/>
          <w:szCs w:val="22"/>
        </w:rPr>
        <w:t xml:space="preserve"> (distribution, margin, supplier disruption threats).</w:t>
      </w:r>
    </w:p>
    <w:p w14:paraId="37BCA668" w14:textId="77777777" w:rsidR="008F412A" w:rsidRPr="009655BD" w:rsidRDefault="008F412A" w:rsidP="009655BD">
      <w:pPr>
        <w:pStyle w:val="ListParagraph"/>
        <w:numPr>
          <w:ilvl w:val="0"/>
          <w:numId w:val="8"/>
        </w:numPr>
        <w:rPr>
          <w:rFonts w:ascii="Arial" w:hAnsi="Arial" w:cs="Arial"/>
          <w:sz w:val="22"/>
          <w:szCs w:val="22"/>
        </w:rPr>
      </w:pPr>
      <w:r w:rsidRPr="009655BD">
        <w:rPr>
          <w:rFonts w:ascii="Arial" w:hAnsi="Arial" w:cs="Arial"/>
          <w:sz w:val="22"/>
          <w:szCs w:val="22"/>
        </w:rPr>
        <w:t>Review innovation performance (trial-to-repeat, rate of sale) and stakeholder input every three months.</w:t>
      </w:r>
    </w:p>
    <w:p w14:paraId="5B48A6C4" w14:textId="77777777" w:rsidR="007D149A" w:rsidRDefault="008F412A" w:rsidP="009655BD">
      <w:pPr>
        <w:pStyle w:val="ListParagraph"/>
        <w:numPr>
          <w:ilvl w:val="0"/>
          <w:numId w:val="8"/>
        </w:numPr>
        <w:rPr>
          <w:rFonts w:ascii="Arial" w:hAnsi="Arial" w:cs="Arial"/>
          <w:sz w:val="22"/>
          <w:szCs w:val="22"/>
        </w:rPr>
      </w:pPr>
      <w:r w:rsidRPr="009655BD">
        <w:rPr>
          <w:rFonts w:ascii="Arial" w:hAnsi="Arial" w:cs="Arial"/>
          <w:sz w:val="22"/>
          <w:szCs w:val="22"/>
        </w:rPr>
        <w:t>Report sustainability progress against goals on an annual basis, with interim updates provided as needed (Innocent Drinks, n.d.; GOV.UK, 2025).</w:t>
      </w:r>
    </w:p>
    <w:p w14:paraId="0D3295E2" w14:textId="77777777" w:rsidR="009655BD" w:rsidRDefault="008E2358" w:rsidP="008E2358">
      <w:pPr>
        <w:pStyle w:val="Heading1"/>
      </w:pPr>
      <w:bookmarkStart w:id="25" w:name="_Toc224185207"/>
      <w:r w:rsidRPr="008E2358">
        <w:lastRenderedPageBreak/>
        <w:t>8. Conclusion</w:t>
      </w:r>
      <w:bookmarkEnd w:id="25"/>
    </w:p>
    <w:p w14:paraId="68ACA90F" w14:textId="77777777" w:rsidR="008E2358" w:rsidRDefault="000626CC" w:rsidP="008E2358">
      <w:pPr>
        <w:rPr>
          <w:rFonts w:ascii="Arial" w:hAnsi="Arial" w:cs="Arial"/>
          <w:sz w:val="22"/>
          <w:szCs w:val="22"/>
        </w:rPr>
      </w:pPr>
      <w:r w:rsidRPr="000626CC">
        <w:rPr>
          <w:rFonts w:ascii="Arial" w:hAnsi="Arial" w:cs="Arial"/>
          <w:sz w:val="22"/>
          <w:szCs w:val="22"/>
        </w:rPr>
        <w:t xml:space="preserve">Strong brand confidence, a defined mission, and reputable ethical credentials backed by B Corp accreditation and publicized climate promises make Innocent Drinks well-positioned for expansion (B Lab, 2026; Innocent Drinks, n.d.). The UK market is still challenging, nevertheless, with consumers searching for better deals, pressure on the juices and </w:t>
      </w:r>
      <w:proofErr w:type="gramStart"/>
      <w:r w:rsidRPr="000626CC">
        <w:rPr>
          <w:rFonts w:ascii="Arial" w:hAnsi="Arial" w:cs="Arial"/>
          <w:sz w:val="22"/>
          <w:szCs w:val="22"/>
        </w:rPr>
        <w:t>smoothies</w:t>
      </w:r>
      <w:proofErr w:type="gramEnd"/>
      <w:r w:rsidRPr="000626CC">
        <w:rPr>
          <w:rFonts w:ascii="Arial" w:hAnsi="Arial" w:cs="Arial"/>
          <w:sz w:val="22"/>
          <w:szCs w:val="22"/>
        </w:rPr>
        <w:t xml:space="preserve"> sector, and regulatory changes that raise the cost and complexity of packaging (Mintel, 2024; GOV.UK, 2025).</w:t>
      </w:r>
    </w:p>
    <w:p w14:paraId="42DE99DD" w14:textId="0C7B4C0A" w:rsidR="001E5309" w:rsidRDefault="001E5309" w:rsidP="008E2358">
      <w:pPr>
        <w:rPr>
          <w:rFonts w:ascii="Arial" w:hAnsi="Arial" w:cs="Arial"/>
          <w:sz w:val="22"/>
          <w:szCs w:val="22"/>
        </w:rPr>
      </w:pPr>
      <w:r w:rsidRPr="001E5309">
        <w:rPr>
          <w:rFonts w:ascii="Arial" w:hAnsi="Arial" w:cs="Arial"/>
          <w:sz w:val="22"/>
          <w:szCs w:val="22"/>
        </w:rPr>
        <w:t>A practical path forward is provided by the suggested Sustainable Value Expansion plan. While fostering fresh development through practical and plant-based innovation that aligns with Innocent's identity and goal, it safeguards the core by enhancing accessibility and bolstering everyday availability. Innocent may make quantifiable progress, safeguard credibility, and develop long-term resilience by including sustainability into packaging and sourcing choices. The company must execute in stages, maintain transparency regarding progress against its commitments, and keep the range basic </w:t>
      </w:r>
      <w:r w:rsidR="00D61D0D" w:rsidRPr="001E5309">
        <w:rPr>
          <w:rFonts w:ascii="Arial" w:hAnsi="Arial" w:cs="Arial"/>
          <w:sz w:val="22"/>
          <w:szCs w:val="22"/>
        </w:rPr>
        <w:t>to</w:t>
      </w:r>
      <w:r w:rsidRPr="001E5309">
        <w:rPr>
          <w:rFonts w:ascii="Arial" w:hAnsi="Arial" w:cs="Arial"/>
          <w:sz w:val="22"/>
          <w:szCs w:val="22"/>
        </w:rPr>
        <w:t> succeed.</w:t>
      </w:r>
    </w:p>
    <w:p w14:paraId="70C17EF6" w14:textId="77777777" w:rsidR="000626CC" w:rsidRDefault="00BF2CD1" w:rsidP="00BF2CD1">
      <w:pPr>
        <w:pStyle w:val="Heading1"/>
      </w:pPr>
      <w:bookmarkStart w:id="26" w:name="_Toc224185208"/>
      <w:r>
        <w:t>9.</w:t>
      </w:r>
      <w:r w:rsidRPr="00BF2CD1">
        <w:t>Reference List</w:t>
      </w:r>
      <w:bookmarkEnd w:id="26"/>
    </w:p>
    <w:p w14:paraId="4A308EBD"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B Lab (2026) </w:t>
      </w:r>
      <w:r w:rsidRPr="00894D62">
        <w:rPr>
          <w:rFonts w:ascii="Arial" w:hAnsi="Arial" w:cs="Arial"/>
          <w:i/>
          <w:iCs/>
          <w:sz w:val="22"/>
          <w:szCs w:val="22"/>
        </w:rPr>
        <w:t>Innocent Drinks: Certified B Corporation profile</w:t>
      </w:r>
      <w:r w:rsidRPr="00894D62">
        <w:rPr>
          <w:rFonts w:ascii="Arial" w:hAnsi="Arial" w:cs="Arial"/>
          <w:sz w:val="22"/>
          <w:szCs w:val="22"/>
        </w:rPr>
        <w:t>. Available at: Bcorporation.net (Accessed: 12 March 2026).</w:t>
      </w:r>
    </w:p>
    <w:p w14:paraId="43E0CDBD"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GOV.UK (2025) </w:t>
      </w:r>
      <w:r w:rsidRPr="00894D62">
        <w:rPr>
          <w:rFonts w:ascii="Arial" w:hAnsi="Arial" w:cs="Arial"/>
          <w:i/>
          <w:iCs/>
          <w:sz w:val="22"/>
          <w:szCs w:val="22"/>
        </w:rPr>
        <w:t>Extended Producer Responsibility for Packaging: 2025 base fees</w:t>
      </w:r>
      <w:r w:rsidRPr="00894D62">
        <w:rPr>
          <w:rFonts w:ascii="Arial" w:hAnsi="Arial" w:cs="Arial"/>
          <w:sz w:val="22"/>
          <w:szCs w:val="22"/>
        </w:rPr>
        <w:t>. Available at: GOV.UK (Accessed: 12 March 2026).</w:t>
      </w:r>
    </w:p>
    <w:p w14:paraId="2241A6C6"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Innocent Drinks (n.d.) </w:t>
      </w:r>
      <w:r w:rsidRPr="00894D62">
        <w:rPr>
          <w:rFonts w:ascii="Arial" w:hAnsi="Arial" w:cs="Arial"/>
          <w:i/>
          <w:iCs/>
          <w:sz w:val="22"/>
          <w:szCs w:val="22"/>
        </w:rPr>
        <w:t>Climate and carbon emissions: how we’re tackling our footprint</w:t>
      </w:r>
      <w:r w:rsidRPr="00894D62">
        <w:rPr>
          <w:rFonts w:ascii="Arial" w:hAnsi="Arial" w:cs="Arial"/>
          <w:sz w:val="22"/>
          <w:szCs w:val="22"/>
        </w:rPr>
        <w:t>. Available at: innocentdrinks.co.uk (Accessed: 12 March 2026).</w:t>
      </w:r>
    </w:p>
    <w:p w14:paraId="4BA7CEF9"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Innocent Drinks (2021) </w:t>
      </w:r>
      <w:r w:rsidRPr="00894D62">
        <w:rPr>
          <w:rFonts w:ascii="Arial" w:hAnsi="Arial" w:cs="Arial"/>
          <w:i/>
          <w:iCs/>
          <w:sz w:val="22"/>
          <w:szCs w:val="22"/>
        </w:rPr>
        <w:t>The good stuff we did in 2021 (Impact Report)</w:t>
      </w:r>
      <w:r w:rsidRPr="00894D62">
        <w:rPr>
          <w:rFonts w:ascii="Arial" w:hAnsi="Arial" w:cs="Arial"/>
          <w:sz w:val="22"/>
          <w:szCs w:val="22"/>
        </w:rPr>
        <w:t>. Available at: innocentdrinks.co.uk (Accessed: 12 March 2026).</w:t>
      </w:r>
    </w:p>
    <w:p w14:paraId="7FBC0683"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Mintel (2024) </w:t>
      </w:r>
      <w:r w:rsidRPr="00894D62">
        <w:rPr>
          <w:rFonts w:ascii="Arial" w:hAnsi="Arial" w:cs="Arial"/>
          <w:i/>
          <w:iCs/>
          <w:sz w:val="22"/>
          <w:szCs w:val="22"/>
        </w:rPr>
        <w:t>UK Fruit Juice, Juice Drinks and Smoothies Market Report 2024</w:t>
      </w:r>
      <w:r w:rsidRPr="00894D62">
        <w:rPr>
          <w:rFonts w:ascii="Arial" w:hAnsi="Arial" w:cs="Arial"/>
          <w:sz w:val="22"/>
          <w:szCs w:val="22"/>
        </w:rPr>
        <w:t>. London: Mintel Group Ltd. (Accessed: 12 March 2026).</w:t>
      </w:r>
    </w:p>
    <w:p w14:paraId="6B52CA8B"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Neate, R. (2013) ‘Coca-Cola takes full control of Innocent’, </w:t>
      </w:r>
      <w:r w:rsidRPr="00894D62">
        <w:rPr>
          <w:rFonts w:ascii="Arial" w:hAnsi="Arial" w:cs="Arial"/>
          <w:i/>
          <w:iCs/>
          <w:sz w:val="22"/>
          <w:szCs w:val="22"/>
        </w:rPr>
        <w:t>The Guardian</w:t>
      </w:r>
      <w:r w:rsidRPr="00894D62">
        <w:rPr>
          <w:rFonts w:ascii="Arial" w:hAnsi="Arial" w:cs="Arial"/>
          <w:sz w:val="22"/>
          <w:szCs w:val="22"/>
        </w:rPr>
        <w:t>, 22 February. (Accessed: 12 March 2026).</w:t>
      </w:r>
    </w:p>
    <w:p w14:paraId="6231398B"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The Grocer (2024) ‘Juices and </w:t>
      </w:r>
      <w:proofErr w:type="gramStart"/>
      <w:r w:rsidRPr="00894D62">
        <w:rPr>
          <w:rFonts w:ascii="Arial" w:hAnsi="Arial" w:cs="Arial"/>
          <w:sz w:val="22"/>
          <w:szCs w:val="22"/>
        </w:rPr>
        <w:t>smoothies</w:t>
      </w:r>
      <w:proofErr w:type="gramEnd"/>
      <w:r w:rsidRPr="00894D62">
        <w:rPr>
          <w:rFonts w:ascii="Arial" w:hAnsi="Arial" w:cs="Arial"/>
          <w:sz w:val="22"/>
          <w:szCs w:val="22"/>
        </w:rPr>
        <w:t xml:space="preserve"> trends 2024: Facing the squeeze’, </w:t>
      </w:r>
      <w:r w:rsidRPr="00894D62">
        <w:rPr>
          <w:rFonts w:ascii="Arial" w:hAnsi="Arial" w:cs="Arial"/>
          <w:i/>
          <w:iCs/>
          <w:sz w:val="22"/>
          <w:szCs w:val="22"/>
        </w:rPr>
        <w:t>The Grocer</w:t>
      </w:r>
      <w:r w:rsidRPr="00894D62">
        <w:rPr>
          <w:rFonts w:ascii="Arial" w:hAnsi="Arial" w:cs="Arial"/>
          <w:sz w:val="22"/>
          <w:szCs w:val="22"/>
        </w:rPr>
        <w:t>. (Accessed: 12 March 2026).</w:t>
      </w:r>
    </w:p>
    <w:p w14:paraId="15797DDD"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The Grocer (2026) ‘The new demon drink? Trends in juices and smoothies 2026’, </w:t>
      </w:r>
      <w:r w:rsidRPr="00894D62">
        <w:rPr>
          <w:rFonts w:ascii="Arial" w:hAnsi="Arial" w:cs="Arial"/>
          <w:i/>
          <w:iCs/>
          <w:sz w:val="22"/>
          <w:szCs w:val="22"/>
        </w:rPr>
        <w:t>The Grocer</w:t>
      </w:r>
      <w:r w:rsidRPr="00894D62">
        <w:rPr>
          <w:rFonts w:ascii="Arial" w:hAnsi="Arial" w:cs="Arial"/>
          <w:sz w:val="22"/>
          <w:szCs w:val="22"/>
        </w:rPr>
        <w:t>. (Accessed: 12 March 2026).</w:t>
      </w:r>
    </w:p>
    <w:p w14:paraId="70DE3E21"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The Guardian (2024) ‘Huge disappointment as UK delays bottle deposit plan and excludes glass’, </w:t>
      </w:r>
      <w:r w:rsidRPr="00894D62">
        <w:rPr>
          <w:rFonts w:ascii="Arial" w:hAnsi="Arial" w:cs="Arial"/>
          <w:i/>
          <w:iCs/>
          <w:sz w:val="22"/>
          <w:szCs w:val="22"/>
        </w:rPr>
        <w:t>The Guardian</w:t>
      </w:r>
      <w:r w:rsidRPr="00894D62">
        <w:rPr>
          <w:rFonts w:ascii="Arial" w:hAnsi="Arial" w:cs="Arial"/>
          <w:sz w:val="22"/>
          <w:szCs w:val="22"/>
        </w:rPr>
        <w:t>, 25 April. (Accessed: 12 March 2026).</w:t>
      </w:r>
    </w:p>
    <w:p w14:paraId="190276B2"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The Guardian (2025) ‘UK sugar tax to be extended to more soft drinks and milkshakes’, </w:t>
      </w:r>
      <w:r w:rsidRPr="00894D62">
        <w:rPr>
          <w:rFonts w:ascii="Arial" w:hAnsi="Arial" w:cs="Arial"/>
          <w:i/>
          <w:iCs/>
          <w:sz w:val="22"/>
          <w:szCs w:val="22"/>
        </w:rPr>
        <w:t>The Guardian</w:t>
      </w:r>
      <w:r w:rsidRPr="00894D62">
        <w:rPr>
          <w:rFonts w:ascii="Arial" w:hAnsi="Arial" w:cs="Arial"/>
          <w:sz w:val="22"/>
          <w:szCs w:val="22"/>
        </w:rPr>
        <w:t>, 25 November. (Accessed: 12 March 2026).</w:t>
      </w:r>
    </w:p>
    <w:p w14:paraId="0E904423" w14:textId="77777777" w:rsidR="00151198" w:rsidRPr="00894D62" w:rsidRDefault="00151198" w:rsidP="00894D62">
      <w:pPr>
        <w:pStyle w:val="ListParagraph"/>
        <w:numPr>
          <w:ilvl w:val="0"/>
          <w:numId w:val="9"/>
        </w:numPr>
        <w:rPr>
          <w:rFonts w:ascii="Arial" w:hAnsi="Arial" w:cs="Arial"/>
          <w:sz w:val="22"/>
          <w:szCs w:val="22"/>
        </w:rPr>
      </w:pPr>
      <w:r w:rsidRPr="00894D62">
        <w:rPr>
          <w:rFonts w:ascii="Arial" w:hAnsi="Arial" w:cs="Arial"/>
          <w:sz w:val="22"/>
          <w:szCs w:val="22"/>
        </w:rPr>
        <w:t xml:space="preserve">Welsh Government (2026) </w:t>
      </w:r>
      <w:r w:rsidRPr="00894D62">
        <w:rPr>
          <w:rFonts w:ascii="Arial" w:hAnsi="Arial" w:cs="Arial"/>
          <w:i/>
          <w:iCs/>
          <w:sz w:val="22"/>
          <w:szCs w:val="22"/>
        </w:rPr>
        <w:t>Amendments to Extended Producer Responsibility for packaging to cover street-binned and littered packaging</w:t>
      </w:r>
      <w:r w:rsidRPr="00894D62">
        <w:rPr>
          <w:rFonts w:ascii="Arial" w:hAnsi="Arial" w:cs="Arial"/>
          <w:sz w:val="22"/>
          <w:szCs w:val="22"/>
        </w:rPr>
        <w:t xml:space="preserve">. Available at: </w:t>
      </w:r>
      <w:proofErr w:type="spellStart"/>
      <w:proofErr w:type="gramStart"/>
      <w:r w:rsidRPr="00894D62">
        <w:rPr>
          <w:rFonts w:ascii="Arial" w:hAnsi="Arial" w:cs="Arial"/>
          <w:sz w:val="22"/>
          <w:szCs w:val="22"/>
        </w:rPr>
        <w:t>gov.wales</w:t>
      </w:r>
      <w:proofErr w:type="spellEnd"/>
      <w:proofErr w:type="gramEnd"/>
      <w:r w:rsidRPr="00894D62">
        <w:rPr>
          <w:rFonts w:ascii="Arial" w:hAnsi="Arial" w:cs="Arial"/>
          <w:sz w:val="22"/>
          <w:szCs w:val="22"/>
        </w:rPr>
        <w:t xml:space="preserve"> (Accessed: 12 March 2026).</w:t>
      </w:r>
    </w:p>
    <w:p w14:paraId="4F92B267" w14:textId="77777777" w:rsidR="00151198" w:rsidRPr="00151198" w:rsidRDefault="00151198" w:rsidP="00151198"/>
    <w:p w14:paraId="49D30264" w14:textId="77777777" w:rsidR="00F05540" w:rsidRPr="00F05540" w:rsidRDefault="00F05540" w:rsidP="00F05540"/>
    <w:sectPr w:rsidR="00F05540" w:rsidRPr="00F05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41CE0" w14:textId="77777777" w:rsidR="00332B5F" w:rsidRDefault="00332B5F" w:rsidP="000C4B7B">
      <w:pPr>
        <w:spacing w:after="0" w:line="240" w:lineRule="auto"/>
      </w:pPr>
      <w:r>
        <w:separator/>
      </w:r>
    </w:p>
  </w:endnote>
  <w:endnote w:type="continuationSeparator" w:id="0">
    <w:p w14:paraId="48AD0CBD" w14:textId="77777777" w:rsidR="00332B5F" w:rsidRDefault="00332B5F" w:rsidP="000C4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67609" w14:textId="77777777" w:rsidR="00332B5F" w:rsidRDefault="00332B5F" w:rsidP="000C4B7B">
      <w:pPr>
        <w:spacing w:after="0" w:line="240" w:lineRule="auto"/>
      </w:pPr>
      <w:r>
        <w:separator/>
      </w:r>
    </w:p>
  </w:footnote>
  <w:footnote w:type="continuationSeparator" w:id="0">
    <w:p w14:paraId="7C5066A4" w14:textId="77777777" w:rsidR="00332B5F" w:rsidRDefault="00332B5F" w:rsidP="000C4B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16F1"/>
    <w:multiLevelType w:val="hybridMultilevel"/>
    <w:tmpl w:val="C7720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06673"/>
    <w:multiLevelType w:val="hybridMultilevel"/>
    <w:tmpl w:val="1D40A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26C91"/>
    <w:multiLevelType w:val="hybridMultilevel"/>
    <w:tmpl w:val="8E54C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042CD"/>
    <w:multiLevelType w:val="hybridMultilevel"/>
    <w:tmpl w:val="CE2E7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F1329"/>
    <w:multiLevelType w:val="multilevel"/>
    <w:tmpl w:val="8788D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9A2A09"/>
    <w:multiLevelType w:val="hybridMultilevel"/>
    <w:tmpl w:val="C3EC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6215CC"/>
    <w:multiLevelType w:val="hybridMultilevel"/>
    <w:tmpl w:val="CB8A0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EB1E42"/>
    <w:multiLevelType w:val="hybridMultilevel"/>
    <w:tmpl w:val="03123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D37760"/>
    <w:multiLevelType w:val="hybridMultilevel"/>
    <w:tmpl w:val="0232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1C233D"/>
    <w:multiLevelType w:val="hybridMultilevel"/>
    <w:tmpl w:val="34D2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523984">
    <w:abstractNumId w:val="3"/>
  </w:num>
  <w:num w:numId="2" w16cid:durableId="1634555905">
    <w:abstractNumId w:val="7"/>
  </w:num>
  <w:num w:numId="3" w16cid:durableId="1201165559">
    <w:abstractNumId w:val="5"/>
  </w:num>
  <w:num w:numId="4" w16cid:durableId="700280001">
    <w:abstractNumId w:val="9"/>
  </w:num>
  <w:num w:numId="5" w16cid:durableId="1534154520">
    <w:abstractNumId w:val="0"/>
  </w:num>
  <w:num w:numId="6" w16cid:durableId="1701783320">
    <w:abstractNumId w:val="8"/>
  </w:num>
  <w:num w:numId="7" w16cid:durableId="424616165">
    <w:abstractNumId w:val="2"/>
  </w:num>
  <w:num w:numId="8" w16cid:durableId="867913080">
    <w:abstractNumId w:val="6"/>
  </w:num>
  <w:num w:numId="9" w16cid:durableId="124004655">
    <w:abstractNumId w:val="1"/>
  </w:num>
  <w:num w:numId="10" w16cid:durableId="1067727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138"/>
    <w:rsid w:val="000046DB"/>
    <w:rsid w:val="00005A33"/>
    <w:rsid w:val="00016DA9"/>
    <w:rsid w:val="00020096"/>
    <w:rsid w:val="00025E8B"/>
    <w:rsid w:val="00046950"/>
    <w:rsid w:val="000626CC"/>
    <w:rsid w:val="000750C7"/>
    <w:rsid w:val="00095A81"/>
    <w:rsid w:val="000A0307"/>
    <w:rsid w:val="000C4B7B"/>
    <w:rsid w:val="000F102E"/>
    <w:rsid w:val="0011460B"/>
    <w:rsid w:val="001171CF"/>
    <w:rsid w:val="00134B7C"/>
    <w:rsid w:val="00140701"/>
    <w:rsid w:val="0014280F"/>
    <w:rsid w:val="00151198"/>
    <w:rsid w:val="0016497D"/>
    <w:rsid w:val="00171106"/>
    <w:rsid w:val="001827B0"/>
    <w:rsid w:val="00184B93"/>
    <w:rsid w:val="0019415A"/>
    <w:rsid w:val="001B49C9"/>
    <w:rsid w:val="001B78AB"/>
    <w:rsid w:val="001E5309"/>
    <w:rsid w:val="001F6138"/>
    <w:rsid w:val="00211E81"/>
    <w:rsid w:val="00225C34"/>
    <w:rsid w:val="002427B0"/>
    <w:rsid w:val="002427C9"/>
    <w:rsid w:val="0025597B"/>
    <w:rsid w:val="00257194"/>
    <w:rsid w:val="00266650"/>
    <w:rsid w:val="002742C0"/>
    <w:rsid w:val="002834FC"/>
    <w:rsid w:val="00287719"/>
    <w:rsid w:val="002A3DA7"/>
    <w:rsid w:val="002A4CEF"/>
    <w:rsid w:val="002B666A"/>
    <w:rsid w:val="002B66F1"/>
    <w:rsid w:val="002D376F"/>
    <w:rsid w:val="002E00F5"/>
    <w:rsid w:val="002E25EF"/>
    <w:rsid w:val="002E6FB7"/>
    <w:rsid w:val="002F4F7D"/>
    <w:rsid w:val="00323DFC"/>
    <w:rsid w:val="00324501"/>
    <w:rsid w:val="0033156C"/>
    <w:rsid w:val="00332B5F"/>
    <w:rsid w:val="00336616"/>
    <w:rsid w:val="00343D52"/>
    <w:rsid w:val="003455E1"/>
    <w:rsid w:val="00356024"/>
    <w:rsid w:val="0038160C"/>
    <w:rsid w:val="00393B2B"/>
    <w:rsid w:val="003D6EEA"/>
    <w:rsid w:val="003E4A3C"/>
    <w:rsid w:val="003F40E4"/>
    <w:rsid w:val="004003B0"/>
    <w:rsid w:val="0040158D"/>
    <w:rsid w:val="0041134C"/>
    <w:rsid w:val="00416102"/>
    <w:rsid w:val="0042343D"/>
    <w:rsid w:val="00427A1C"/>
    <w:rsid w:val="00454A2E"/>
    <w:rsid w:val="0046582F"/>
    <w:rsid w:val="0047087C"/>
    <w:rsid w:val="00481AB5"/>
    <w:rsid w:val="00492B1F"/>
    <w:rsid w:val="004C3630"/>
    <w:rsid w:val="004D114E"/>
    <w:rsid w:val="004D2F43"/>
    <w:rsid w:val="004F39E3"/>
    <w:rsid w:val="00520E02"/>
    <w:rsid w:val="00534B29"/>
    <w:rsid w:val="005550C0"/>
    <w:rsid w:val="00564A20"/>
    <w:rsid w:val="00590AE2"/>
    <w:rsid w:val="00590AFD"/>
    <w:rsid w:val="005974E0"/>
    <w:rsid w:val="005A72DA"/>
    <w:rsid w:val="005C56F2"/>
    <w:rsid w:val="005F08A7"/>
    <w:rsid w:val="005F503C"/>
    <w:rsid w:val="005F6288"/>
    <w:rsid w:val="006355D3"/>
    <w:rsid w:val="00641F7E"/>
    <w:rsid w:val="00651B33"/>
    <w:rsid w:val="00653FAC"/>
    <w:rsid w:val="00673E79"/>
    <w:rsid w:val="00680BAF"/>
    <w:rsid w:val="006908AE"/>
    <w:rsid w:val="006A08A0"/>
    <w:rsid w:val="006C61B5"/>
    <w:rsid w:val="006C65E5"/>
    <w:rsid w:val="006E5BC8"/>
    <w:rsid w:val="006F76B6"/>
    <w:rsid w:val="00701994"/>
    <w:rsid w:val="00715064"/>
    <w:rsid w:val="00737A37"/>
    <w:rsid w:val="00742503"/>
    <w:rsid w:val="007441F0"/>
    <w:rsid w:val="007739B8"/>
    <w:rsid w:val="00784970"/>
    <w:rsid w:val="00787DCC"/>
    <w:rsid w:val="00790B81"/>
    <w:rsid w:val="007A0626"/>
    <w:rsid w:val="007A38CA"/>
    <w:rsid w:val="007A3F70"/>
    <w:rsid w:val="007B4E3B"/>
    <w:rsid w:val="007B5DF8"/>
    <w:rsid w:val="007D149A"/>
    <w:rsid w:val="007E3852"/>
    <w:rsid w:val="007E7547"/>
    <w:rsid w:val="007F3033"/>
    <w:rsid w:val="007F777A"/>
    <w:rsid w:val="00802A2D"/>
    <w:rsid w:val="008069CA"/>
    <w:rsid w:val="00811048"/>
    <w:rsid w:val="008204E5"/>
    <w:rsid w:val="00833253"/>
    <w:rsid w:val="008359FF"/>
    <w:rsid w:val="00837830"/>
    <w:rsid w:val="00853E4E"/>
    <w:rsid w:val="00854C25"/>
    <w:rsid w:val="00860E11"/>
    <w:rsid w:val="008626EB"/>
    <w:rsid w:val="00870513"/>
    <w:rsid w:val="00886E44"/>
    <w:rsid w:val="00891183"/>
    <w:rsid w:val="00894D62"/>
    <w:rsid w:val="008A51D9"/>
    <w:rsid w:val="008A624E"/>
    <w:rsid w:val="008A672A"/>
    <w:rsid w:val="008A73BB"/>
    <w:rsid w:val="008E2358"/>
    <w:rsid w:val="008F412A"/>
    <w:rsid w:val="00910F8E"/>
    <w:rsid w:val="00916627"/>
    <w:rsid w:val="00927A36"/>
    <w:rsid w:val="00931CD6"/>
    <w:rsid w:val="00937C25"/>
    <w:rsid w:val="00941B2B"/>
    <w:rsid w:val="00955462"/>
    <w:rsid w:val="009556AB"/>
    <w:rsid w:val="009655BD"/>
    <w:rsid w:val="0097265D"/>
    <w:rsid w:val="009970EC"/>
    <w:rsid w:val="009A6F3A"/>
    <w:rsid w:val="009B1C52"/>
    <w:rsid w:val="009C49A7"/>
    <w:rsid w:val="009E3D4F"/>
    <w:rsid w:val="00A05E10"/>
    <w:rsid w:val="00A172D0"/>
    <w:rsid w:val="00A43BF9"/>
    <w:rsid w:val="00A5581F"/>
    <w:rsid w:val="00A66084"/>
    <w:rsid w:val="00A736A5"/>
    <w:rsid w:val="00A73A20"/>
    <w:rsid w:val="00A747D9"/>
    <w:rsid w:val="00A81F62"/>
    <w:rsid w:val="00AA3500"/>
    <w:rsid w:val="00AD5B92"/>
    <w:rsid w:val="00AE1B4F"/>
    <w:rsid w:val="00B2186F"/>
    <w:rsid w:val="00B37496"/>
    <w:rsid w:val="00B540E2"/>
    <w:rsid w:val="00B54628"/>
    <w:rsid w:val="00B75D7A"/>
    <w:rsid w:val="00B875E7"/>
    <w:rsid w:val="00B9092B"/>
    <w:rsid w:val="00BA33B5"/>
    <w:rsid w:val="00BB7C8F"/>
    <w:rsid w:val="00BC27B2"/>
    <w:rsid w:val="00BE7442"/>
    <w:rsid w:val="00BF2CD1"/>
    <w:rsid w:val="00C02DE0"/>
    <w:rsid w:val="00C13D9C"/>
    <w:rsid w:val="00C217E7"/>
    <w:rsid w:val="00C41A6D"/>
    <w:rsid w:val="00C435C7"/>
    <w:rsid w:val="00C46D67"/>
    <w:rsid w:val="00C55C74"/>
    <w:rsid w:val="00C666A2"/>
    <w:rsid w:val="00C7051C"/>
    <w:rsid w:val="00CA0696"/>
    <w:rsid w:val="00CA1C93"/>
    <w:rsid w:val="00CA2E76"/>
    <w:rsid w:val="00CB2A18"/>
    <w:rsid w:val="00CB656A"/>
    <w:rsid w:val="00CD6437"/>
    <w:rsid w:val="00CF0B9E"/>
    <w:rsid w:val="00D02C76"/>
    <w:rsid w:val="00D03663"/>
    <w:rsid w:val="00D101C5"/>
    <w:rsid w:val="00D42E2A"/>
    <w:rsid w:val="00D46344"/>
    <w:rsid w:val="00D47C5D"/>
    <w:rsid w:val="00D52B8C"/>
    <w:rsid w:val="00D55261"/>
    <w:rsid w:val="00D61AFD"/>
    <w:rsid w:val="00D61D0D"/>
    <w:rsid w:val="00D83FC2"/>
    <w:rsid w:val="00DA21BF"/>
    <w:rsid w:val="00DA6BE4"/>
    <w:rsid w:val="00DB1F0F"/>
    <w:rsid w:val="00DC69FC"/>
    <w:rsid w:val="00DE14C0"/>
    <w:rsid w:val="00DF71A2"/>
    <w:rsid w:val="00E0599A"/>
    <w:rsid w:val="00E3684C"/>
    <w:rsid w:val="00E43BC3"/>
    <w:rsid w:val="00E738C4"/>
    <w:rsid w:val="00E82226"/>
    <w:rsid w:val="00E938BF"/>
    <w:rsid w:val="00EA130B"/>
    <w:rsid w:val="00EA2FA1"/>
    <w:rsid w:val="00EA330A"/>
    <w:rsid w:val="00EA6D1E"/>
    <w:rsid w:val="00EB4478"/>
    <w:rsid w:val="00EF4F48"/>
    <w:rsid w:val="00EF7872"/>
    <w:rsid w:val="00F05540"/>
    <w:rsid w:val="00F06A6B"/>
    <w:rsid w:val="00F51652"/>
    <w:rsid w:val="00F51D74"/>
    <w:rsid w:val="00F6002F"/>
    <w:rsid w:val="00F61CC4"/>
    <w:rsid w:val="00F70AE2"/>
    <w:rsid w:val="00F72345"/>
    <w:rsid w:val="00F72BC9"/>
    <w:rsid w:val="00F856A7"/>
    <w:rsid w:val="00F90CBF"/>
    <w:rsid w:val="00F90D5A"/>
    <w:rsid w:val="00F964A9"/>
    <w:rsid w:val="00FC7C8C"/>
    <w:rsid w:val="00FD294A"/>
    <w:rsid w:val="00FE778D"/>
    <w:rsid w:val="00FF4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051E0"/>
  <w15:chartTrackingRefBased/>
  <w15:docId w15:val="{69B0ABB3-8272-47C8-A914-24D8D45FE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1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1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61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1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1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1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1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1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1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1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1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61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1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1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1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1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1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138"/>
    <w:rPr>
      <w:rFonts w:eastAsiaTheme="majorEastAsia" w:cstheme="majorBidi"/>
      <w:color w:val="272727" w:themeColor="text1" w:themeTint="D8"/>
    </w:rPr>
  </w:style>
  <w:style w:type="paragraph" w:styleId="Title">
    <w:name w:val="Title"/>
    <w:basedOn w:val="Normal"/>
    <w:next w:val="Normal"/>
    <w:link w:val="TitleChar"/>
    <w:uiPriority w:val="10"/>
    <w:qFormat/>
    <w:rsid w:val="001F61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1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1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1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138"/>
    <w:pPr>
      <w:spacing w:before="160"/>
      <w:jc w:val="center"/>
    </w:pPr>
    <w:rPr>
      <w:i/>
      <w:iCs/>
      <w:color w:val="404040" w:themeColor="text1" w:themeTint="BF"/>
    </w:rPr>
  </w:style>
  <w:style w:type="character" w:customStyle="1" w:styleId="QuoteChar">
    <w:name w:val="Quote Char"/>
    <w:basedOn w:val="DefaultParagraphFont"/>
    <w:link w:val="Quote"/>
    <w:uiPriority w:val="29"/>
    <w:rsid w:val="001F6138"/>
    <w:rPr>
      <w:i/>
      <w:iCs/>
      <w:color w:val="404040" w:themeColor="text1" w:themeTint="BF"/>
    </w:rPr>
  </w:style>
  <w:style w:type="paragraph" w:styleId="ListParagraph">
    <w:name w:val="List Paragraph"/>
    <w:basedOn w:val="Normal"/>
    <w:uiPriority w:val="34"/>
    <w:qFormat/>
    <w:rsid w:val="001F6138"/>
    <w:pPr>
      <w:ind w:left="720"/>
      <w:contextualSpacing/>
    </w:pPr>
  </w:style>
  <w:style w:type="character" w:styleId="IntenseEmphasis">
    <w:name w:val="Intense Emphasis"/>
    <w:basedOn w:val="DefaultParagraphFont"/>
    <w:uiPriority w:val="21"/>
    <w:qFormat/>
    <w:rsid w:val="001F6138"/>
    <w:rPr>
      <w:i/>
      <w:iCs/>
      <w:color w:val="0F4761" w:themeColor="accent1" w:themeShade="BF"/>
    </w:rPr>
  </w:style>
  <w:style w:type="paragraph" w:styleId="IntenseQuote">
    <w:name w:val="Intense Quote"/>
    <w:basedOn w:val="Normal"/>
    <w:next w:val="Normal"/>
    <w:link w:val="IntenseQuoteChar"/>
    <w:uiPriority w:val="30"/>
    <w:qFormat/>
    <w:rsid w:val="001F61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138"/>
    <w:rPr>
      <w:i/>
      <w:iCs/>
      <w:color w:val="0F4761" w:themeColor="accent1" w:themeShade="BF"/>
    </w:rPr>
  </w:style>
  <w:style w:type="character" w:styleId="IntenseReference">
    <w:name w:val="Intense Reference"/>
    <w:basedOn w:val="DefaultParagraphFont"/>
    <w:uiPriority w:val="32"/>
    <w:qFormat/>
    <w:rsid w:val="001F6138"/>
    <w:rPr>
      <w:b/>
      <w:bCs/>
      <w:smallCaps/>
      <w:color w:val="0F4761" w:themeColor="accent1" w:themeShade="BF"/>
      <w:spacing w:val="5"/>
    </w:rPr>
  </w:style>
  <w:style w:type="paragraph" w:styleId="Header">
    <w:name w:val="header"/>
    <w:basedOn w:val="Normal"/>
    <w:link w:val="HeaderChar"/>
    <w:uiPriority w:val="99"/>
    <w:unhideWhenUsed/>
    <w:rsid w:val="000C4B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B7B"/>
  </w:style>
  <w:style w:type="paragraph" w:styleId="Footer">
    <w:name w:val="footer"/>
    <w:basedOn w:val="Normal"/>
    <w:link w:val="FooterChar"/>
    <w:uiPriority w:val="99"/>
    <w:unhideWhenUsed/>
    <w:rsid w:val="000C4B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B7B"/>
  </w:style>
  <w:style w:type="table" w:styleId="TableGrid">
    <w:name w:val="Table Grid"/>
    <w:basedOn w:val="TableNormal"/>
    <w:uiPriority w:val="39"/>
    <w:rsid w:val="000C4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C4B7B"/>
    <w:rPr>
      <w:b/>
      <w:bCs/>
    </w:rPr>
  </w:style>
  <w:style w:type="table" w:styleId="GridTable1Light-Accent4">
    <w:name w:val="Grid Table 1 Light Accent 4"/>
    <w:basedOn w:val="TableNormal"/>
    <w:uiPriority w:val="46"/>
    <w:rsid w:val="001171CF"/>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A08A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A08A0"/>
    <w:pPr>
      <w:spacing w:after="100"/>
    </w:pPr>
  </w:style>
  <w:style w:type="paragraph" w:styleId="TOC2">
    <w:name w:val="toc 2"/>
    <w:basedOn w:val="Normal"/>
    <w:next w:val="Normal"/>
    <w:autoRedefine/>
    <w:uiPriority w:val="39"/>
    <w:unhideWhenUsed/>
    <w:rsid w:val="006A08A0"/>
    <w:pPr>
      <w:spacing w:after="100"/>
      <w:ind w:left="240"/>
    </w:pPr>
  </w:style>
  <w:style w:type="paragraph" w:styleId="TOC3">
    <w:name w:val="toc 3"/>
    <w:basedOn w:val="Normal"/>
    <w:next w:val="Normal"/>
    <w:autoRedefine/>
    <w:uiPriority w:val="39"/>
    <w:unhideWhenUsed/>
    <w:rsid w:val="006A08A0"/>
    <w:pPr>
      <w:spacing w:after="100"/>
      <w:ind w:left="480"/>
    </w:pPr>
  </w:style>
  <w:style w:type="character" w:styleId="Hyperlink">
    <w:name w:val="Hyperlink"/>
    <w:basedOn w:val="DefaultParagraphFont"/>
    <w:uiPriority w:val="99"/>
    <w:unhideWhenUsed/>
    <w:rsid w:val="006A08A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06A0D2-BD17-4362-8C19-F0C68268A35C}" type="doc">
      <dgm:prSet loTypeId="urn:microsoft.com/office/officeart/2005/8/layout/matrix1" loCatId="matrix" qsTypeId="urn:microsoft.com/office/officeart/2005/8/quickstyle/simple1" qsCatId="simple" csTypeId="urn:microsoft.com/office/officeart/2005/8/colors/accent1_5" csCatId="accent1" phldr="1"/>
      <dgm:spPr/>
      <dgm:t>
        <a:bodyPr/>
        <a:lstStyle/>
        <a:p>
          <a:endParaRPr lang="en-GB"/>
        </a:p>
      </dgm:t>
    </dgm:pt>
    <dgm:pt modelId="{DBFED839-58F0-4825-9340-5EA89329025F}">
      <dgm:prSet phldrT="[Text]"/>
      <dgm:spPr/>
      <dgm:t>
        <a:bodyPr/>
        <a:lstStyle/>
        <a:p>
          <a:r>
            <a:rPr lang="en-GB" b="1">
              <a:latin typeface="Arial" panose="020B0604020202020204" pitchFamily="34" charset="0"/>
              <a:cs typeface="Arial" panose="020B0604020202020204" pitchFamily="34" charset="0"/>
            </a:rPr>
            <a:t>SWOT</a:t>
          </a:r>
        </a:p>
      </dgm:t>
    </dgm:pt>
    <dgm:pt modelId="{691B1ECD-FB6B-44A1-B905-277327B2EECE}" type="parTrans" cxnId="{1FD0BD4A-A65C-4BAC-A2BE-18F15BEF9C7B}">
      <dgm:prSet/>
      <dgm:spPr/>
      <dgm:t>
        <a:bodyPr/>
        <a:lstStyle/>
        <a:p>
          <a:endParaRPr lang="en-GB"/>
        </a:p>
      </dgm:t>
    </dgm:pt>
    <dgm:pt modelId="{A591F284-A2C1-4625-AC51-92710E05448E}" type="sibTrans" cxnId="{1FD0BD4A-A65C-4BAC-A2BE-18F15BEF9C7B}">
      <dgm:prSet/>
      <dgm:spPr/>
      <dgm:t>
        <a:bodyPr/>
        <a:lstStyle/>
        <a:p>
          <a:endParaRPr lang="en-GB"/>
        </a:p>
      </dgm:t>
    </dgm:pt>
    <dgm:pt modelId="{742346BA-9108-43C2-A2B5-5A6DA41F9596}">
      <dgm:prSet phldrT="[Text]" custT="1"/>
      <dgm:spPr/>
      <dgm:t>
        <a:bodyPr/>
        <a:lstStyle/>
        <a:p>
          <a:r>
            <a:rPr lang="en-GB" sz="1200" b="1">
              <a:latin typeface="Arial" panose="020B0604020202020204" pitchFamily="34" charset="0"/>
              <a:cs typeface="Arial" panose="020B0604020202020204" pitchFamily="34" charset="0"/>
            </a:rPr>
            <a:t>Strength</a:t>
          </a:r>
        </a:p>
        <a:p>
          <a:r>
            <a:rPr lang="en-GB" sz="1100">
              <a:latin typeface="Arial" panose="020B0604020202020204" pitchFamily="34" charset="0"/>
              <a:cs typeface="Arial" panose="020B0604020202020204" pitchFamily="34" charset="0"/>
            </a:rPr>
            <a:t>Strong brand equity and recognisable personality</a:t>
          </a:r>
        </a:p>
        <a:p>
          <a:r>
            <a:rPr lang="en-GB" sz="1100">
              <a:latin typeface="Arial" panose="020B0604020202020204" pitchFamily="34" charset="0"/>
              <a:cs typeface="Arial" panose="020B0604020202020204" pitchFamily="34" charset="0"/>
            </a:rPr>
            <a:t>Credible ethical positioning (B Corp certification and impact scoring) (B Lab, 2026)</a:t>
          </a:r>
        </a:p>
        <a:p>
          <a:r>
            <a:rPr lang="en-GB" sz="1100">
              <a:latin typeface="Arial" panose="020B0604020202020204" pitchFamily="34" charset="0"/>
              <a:cs typeface="Arial" panose="020B0604020202020204" pitchFamily="34" charset="0"/>
            </a:rPr>
            <a:t>Clear climate commitments that can build trust if delivered consistently (Innocent Drinks, n.d.)</a:t>
          </a:r>
        </a:p>
        <a:p>
          <a:endParaRPr lang="en-GB" sz="800"/>
        </a:p>
      </dgm:t>
    </dgm:pt>
    <dgm:pt modelId="{6B70823D-67BE-4AA3-8D7B-76032C1FEE61}" type="parTrans" cxnId="{B045BA3C-683C-4457-914A-7E476D7FEF8F}">
      <dgm:prSet/>
      <dgm:spPr/>
      <dgm:t>
        <a:bodyPr/>
        <a:lstStyle/>
        <a:p>
          <a:endParaRPr lang="en-GB"/>
        </a:p>
      </dgm:t>
    </dgm:pt>
    <dgm:pt modelId="{010C9D6A-145A-45A7-A999-994A0D53A0A3}" type="sibTrans" cxnId="{B045BA3C-683C-4457-914A-7E476D7FEF8F}">
      <dgm:prSet/>
      <dgm:spPr/>
      <dgm:t>
        <a:bodyPr/>
        <a:lstStyle/>
        <a:p>
          <a:endParaRPr lang="en-GB"/>
        </a:p>
      </dgm:t>
    </dgm:pt>
    <dgm:pt modelId="{3FB9B3AD-9828-42E8-83FF-F4E12170778D}">
      <dgm:prSet phldrT="[Text]" custT="1"/>
      <dgm:spPr/>
      <dgm:t>
        <a:bodyPr/>
        <a:lstStyle/>
        <a:p>
          <a:r>
            <a:rPr lang="en-GB" sz="1200" b="1">
              <a:latin typeface="Arial" panose="020B0604020202020204" pitchFamily="34" charset="0"/>
              <a:cs typeface="Arial" panose="020B0604020202020204" pitchFamily="34" charset="0"/>
            </a:rPr>
            <a:t>Opportunities</a:t>
          </a:r>
        </a:p>
        <a:p>
          <a:r>
            <a:rPr lang="en-GB" sz="1100">
              <a:latin typeface="Arial" panose="020B0604020202020204" pitchFamily="34" charset="0"/>
              <a:cs typeface="Arial" panose="020B0604020202020204" pitchFamily="34" charset="0"/>
            </a:rPr>
            <a:t>Improve accessibility through smarter price-pack architecture</a:t>
          </a:r>
        </a:p>
        <a:p>
          <a:r>
            <a:rPr lang="en-GB" sz="1100">
              <a:latin typeface="Arial" panose="020B0604020202020204" pitchFamily="34" charset="0"/>
              <a:cs typeface="Arial" panose="020B0604020202020204" pitchFamily="34" charset="0"/>
            </a:rPr>
            <a:t>Grow through daily health occasions (functional, plant-based, new usage moments)</a:t>
          </a:r>
        </a:p>
        <a:p>
          <a:r>
            <a:rPr lang="en-GB" sz="1100">
              <a:latin typeface="Arial" panose="020B0604020202020204" pitchFamily="34" charset="0"/>
              <a:cs typeface="Arial" panose="020B0604020202020204" pitchFamily="34" charset="0"/>
            </a:rPr>
            <a:t>Packaging redesign to reduce EPR cost exposure (GOV.UK, 2025)</a:t>
          </a:r>
        </a:p>
      </dgm:t>
    </dgm:pt>
    <dgm:pt modelId="{84859144-F864-449E-985A-4D66A8DC8152}" type="parTrans" cxnId="{E2C0883D-85B6-4FD2-BF7F-0BC9B8438143}">
      <dgm:prSet/>
      <dgm:spPr/>
      <dgm:t>
        <a:bodyPr/>
        <a:lstStyle/>
        <a:p>
          <a:endParaRPr lang="en-GB"/>
        </a:p>
      </dgm:t>
    </dgm:pt>
    <dgm:pt modelId="{E9633294-CA04-4E51-9C95-CB7070366457}" type="sibTrans" cxnId="{E2C0883D-85B6-4FD2-BF7F-0BC9B8438143}">
      <dgm:prSet/>
      <dgm:spPr/>
      <dgm:t>
        <a:bodyPr/>
        <a:lstStyle/>
        <a:p>
          <a:endParaRPr lang="en-GB"/>
        </a:p>
      </dgm:t>
    </dgm:pt>
    <dgm:pt modelId="{316900E1-61F6-4203-AFB1-3F0A09E7E8F2}">
      <dgm:prSet phldrT="[Text]" custT="1"/>
      <dgm:spPr/>
      <dgm:t>
        <a:bodyPr/>
        <a:lstStyle/>
        <a:p>
          <a:r>
            <a:rPr lang="en-GB" sz="1200" b="1">
              <a:latin typeface="Arial" panose="020B0604020202020204" pitchFamily="34" charset="0"/>
              <a:cs typeface="Arial" panose="020B0604020202020204" pitchFamily="34" charset="0"/>
            </a:rPr>
            <a:t>Threats</a:t>
          </a:r>
        </a:p>
        <a:p>
          <a:r>
            <a:rPr lang="en-GB" sz="1100">
              <a:latin typeface="Arial" panose="020B0604020202020204" pitchFamily="34" charset="0"/>
              <a:cs typeface="Arial" panose="020B0604020202020204" pitchFamily="34" charset="0"/>
            </a:rPr>
            <a:t>Volume pressure and price sensitivity in the category (Mintel, 2024)</a:t>
          </a:r>
        </a:p>
        <a:p>
          <a:r>
            <a:rPr lang="en-GB" sz="1100">
              <a:latin typeface="Arial" panose="020B0604020202020204" pitchFamily="34" charset="0"/>
              <a:cs typeface="Arial" panose="020B0604020202020204" pitchFamily="34" charset="0"/>
            </a:rPr>
            <a:t>Regulatory changes increase cost and packaging pressure (GOV.UK, 2025)</a:t>
          </a:r>
        </a:p>
        <a:p>
          <a:r>
            <a:rPr lang="en-GB" sz="1100">
              <a:latin typeface="Arial" panose="020B0604020202020204" pitchFamily="34" charset="0"/>
              <a:cs typeface="Arial" panose="020B0604020202020204" pitchFamily="34" charset="0"/>
            </a:rPr>
            <a:t>Intensifying competition and “purpose” copycats without real proof</a:t>
          </a:r>
        </a:p>
        <a:p>
          <a:endParaRPr lang="en-GB" sz="1200"/>
        </a:p>
      </dgm:t>
    </dgm:pt>
    <dgm:pt modelId="{2BB88121-0DB1-4A9D-8948-9827335597DC}" type="parTrans" cxnId="{78E0D690-B5AB-44BD-A1CA-9920048FB3D3}">
      <dgm:prSet/>
      <dgm:spPr/>
      <dgm:t>
        <a:bodyPr/>
        <a:lstStyle/>
        <a:p>
          <a:endParaRPr lang="en-GB"/>
        </a:p>
      </dgm:t>
    </dgm:pt>
    <dgm:pt modelId="{E1EE86FA-D39C-484F-9173-C75383242B35}" type="sibTrans" cxnId="{78E0D690-B5AB-44BD-A1CA-9920048FB3D3}">
      <dgm:prSet/>
      <dgm:spPr/>
      <dgm:t>
        <a:bodyPr/>
        <a:lstStyle/>
        <a:p>
          <a:endParaRPr lang="en-GB"/>
        </a:p>
      </dgm:t>
    </dgm:pt>
    <dgm:pt modelId="{5EBC7FFD-7142-418B-8AF5-3762B8C7570E}">
      <dgm:prSet phldrT="[Text]" phldr="1"/>
      <dgm:spPr/>
      <dgm:t>
        <a:bodyPr/>
        <a:lstStyle/>
        <a:p>
          <a:endParaRPr lang="en-GB"/>
        </a:p>
      </dgm:t>
    </dgm:pt>
    <dgm:pt modelId="{7A98F2B8-DB63-4477-AE41-2588B9FE3DCD}" type="parTrans" cxnId="{419180FD-6774-4A0C-A7F4-9AF517752546}">
      <dgm:prSet/>
      <dgm:spPr/>
      <dgm:t>
        <a:bodyPr/>
        <a:lstStyle/>
        <a:p>
          <a:endParaRPr lang="en-GB"/>
        </a:p>
      </dgm:t>
    </dgm:pt>
    <dgm:pt modelId="{4A91A09F-A6E8-4859-A7C6-2C3298D0FE92}" type="sibTrans" cxnId="{419180FD-6774-4A0C-A7F4-9AF517752546}">
      <dgm:prSet/>
      <dgm:spPr/>
      <dgm:t>
        <a:bodyPr/>
        <a:lstStyle/>
        <a:p>
          <a:endParaRPr lang="en-GB"/>
        </a:p>
      </dgm:t>
    </dgm:pt>
    <dgm:pt modelId="{94676B85-DC22-43AF-A842-3B10A042D59B}">
      <dgm:prSet custT="1"/>
      <dgm:spPr/>
      <dgm:t>
        <a:bodyPr/>
        <a:lstStyle/>
        <a:p>
          <a:r>
            <a:rPr lang="en-GB" sz="1200" b="1">
              <a:latin typeface="Arial" panose="020B0604020202020204" pitchFamily="34" charset="0"/>
              <a:cs typeface="Arial" panose="020B0604020202020204" pitchFamily="34" charset="0"/>
            </a:rPr>
            <a:t>Weaknesses</a:t>
          </a:r>
        </a:p>
        <a:p>
          <a:r>
            <a:rPr lang="en-GB" sz="1100">
              <a:latin typeface="Arial" panose="020B0604020202020204" pitchFamily="34" charset="0"/>
              <a:cs typeface="Arial" panose="020B0604020202020204" pitchFamily="34" charset="0"/>
            </a:rPr>
            <a:t>Premium price perception in a value-focused market</a:t>
          </a:r>
        </a:p>
        <a:p>
          <a:r>
            <a:rPr lang="en-GB" sz="1100">
              <a:latin typeface="Arial" panose="020B0604020202020204" pitchFamily="34" charset="0"/>
              <a:cs typeface="Arial" panose="020B0604020202020204" pitchFamily="34" charset="0"/>
            </a:rPr>
            <a:t>Sustainability claims face higher scrutiny and reputational risk</a:t>
          </a:r>
        </a:p>
        <a:p>
          <a:r>
            <a:rPr lang="en-GB" sz="1100">
              <a:latin typeface="Arial" panose="020B0604020202020204" pitchFamily="34" charset="0"/>
              <a:cs typeface="Arial" panose="020B0604020202020204" pitchFamily="34" charset="0"/>
            </a:rPr>
            <a:t>Global sourcing and Scope 3 reduction add complexity and cost</a:t>
          </a:r>
        </a:p>
        <a:p>
          <a:endParaRPr lang="en-GB" sz="1300"/>
        </a:p>
      </dgm:t>
    </dgm:pt>
    <dgm:pt modelId="{FB3C9C9D-73C2-461C-88E5-305993E05270}" type="parTrans" cxnId="{EF4D57E4-CC5F-4295-A493-36A9FD9039EC}">
      <dgm:prSet/>
      <dgm:spPr/>
      <dgm:t>
        <a:bodyPr/>
        <a:lstStyle/>
        <a:p>
          <a:endParaRPr lang="en-GB"/>
        </a:p>
      </dgm:t>
    </dgm:pt>
    <dgm:pt modelId="{85D7ADC7-A1EE-4197-AD71-8CB8392261B8}" type="sibTrans" cxnId="{EF4D57E4-CC5F-4295-A493-36A9FD9039EC}">
      <dgm:prSet/>
      <dgm:spPr/>
      <dgm:t>
        <a:bodyPr/>
        <a:lstStyle/>
        <a:p>
          <a:endParaRPr lang="en-GB"/>
        </a:p>
      </dgm:t>
    </dgm:pt>
    <dgm:pt modelId="{497EE654-3E8B-44E2-8DAC-8985D7DF15E9}" type="pres">
      <dgm:prSet presAssocID="{A306A0D2-BD17-4362-8C19-F0C68268A35C}" presName="diagram" presStyleCnt="0">
        <dgm:presLayoutVars>
          <dgm:chMax val="1"/>
          <dgm:dir/>
          <dgm:animLvl val="ctr"/>
          <dgm:resizeHandles val="exact"/>
        </dgm:presLayoutVars>
      </dgm:prSet>
      <dgm:spPr/>
    </dgm:pt>
    <dgm:pt modelId="{9105396D-306B-4850-A17D-EC46CF6B2A4B}" type="pres">
      <dgm:prSet presAssocID="{A306A0D2-BD17-4362-8C19-F0C68268A35C}" presName="matrix" presStyleCnt="0"/>
      <dgm:spPr/>
    </dgm:pt>
    <dgm:pt modelId="{4B35CA3B-95A9-40F3-88C4-1306DD89D583}" type="pres">
      <dgm:prSet presAssocID="{A306A0D2-BD17-4362-8C19-F0C68268A35C}" presName="tile1" presStyleLbl="node1" presStyleIdx="0" presStyleCnt="4"/>
      <dgm:spPr/>
    </dgm:pt>
    <dgm:pt modelId="{5A194C9E-631A-4E52-9875-6C643FA866E7}" type="pres">
      <dgm:prSet presAssocID="{A306A0D2-BD17-4362-8C19-F0C68268A35C}" presName="tile1text" presStyleLbl="node1" presStyleIdx="0" presStyleCnt="4">
        <dgm:presLayoutVars>
          <dgm:chMax val="0"/>
          <dgm:chPref val="0"/>
          <dgm:bulletEnabled val="1"/>
        </dgm:presLayoutVars>
      </dgm:prSet>
      <dgm:spPr/>
    </dgm:pt>
    <dgm:pt modelId="{A6BDDFAF-23AA-466F-8D86-59836338463F}" type="pres">
      <dgm:prSet presAssocID="{A306A0D2-BD17-4362-8C19-F0C68268A35C}" presName="tile2" presStyleLbl="node1" presStyleIdx="1" presStyleCnt="4"/>
      <dgm:spPr/>
    </dgm:pt>
    <dgm:pt modelId="{2BBF20C2-18E2-4061-A453-258B3485BADF}" type="pres">
      <dgm:prSet presAssocID="{A306A0D2-BD17-4362-8C19-F0C68268A35C}" presName="tile2text" presStyleLbl="node1" presStyleIdx="1" presStyleCnt="4">
        <dgm:presLayoutVars>
          <dgm:chMax val="0"/>
          <dgm:chPref val="0"/>
          <dgm:bulletEnabled val="1"/>
        </dgm:presLayoutVars>
      </dgm:prSet>
      <dgm:spPr/>
    </dgm:pt>
    <dgm:pt modelId="{5FA4663E-4DE5-4EE7-870A-A777E938EDDE}" type="pres">
      <dgm:prSet presAssocID="{A306A0D2-BD17-4362-8C19-F0C68268A35C}" presName="tile3" presStyleLbl="node1" presStyleIdx="2" presStyleCnt="4"/>
      <dgm:spPr/>
    </dgm:pt>
    <dgm:pt modelId="{44AE463E-D480-460B-927C-6CD28C648997}" type="pres">
      <dgm:prSet presAssocID="{A306A0D2-BD17-4362-8C19-F0C68268A35C}" presName="tile3text" presStyleLbl="node1" presStyleIdx="2" presStyleCnt="4">
        <dgm:presLayoutVars>
          <dgm:chMax val="0"/>
          <dgm:chPref val="0"/>
          <dgm:bulletEnabled val="1"/>
        </dgm:presLayoutVars>
      </dgm:prSet>
      <dgm:spPr/>
    </dgm:pt>
    <dgm:pt modelId="{5764199F-5E96-48FF-845E-A5A27F1895F2}" type="pres">
      <dgm:prSet presAssocID="{A306A0D2-BD17-4362-8C19-F0C68268A35C}" presName="tile4" presStyleLbl="node1" presStyleIdx="3" presStyleCnt="4" custLinFactNeighborX="1927" custLinFactNeighborY="-308"/>
      <dgm:spPr/>
    </dgm:pt>
    <dgm:pt modelId="{0652C952-169F-4222-ACF4-177926B6FD71}" type="pres">
      <dgm:prSet presAssocID="{A306A0D2-BD17-4362-8C19-F0C68268A35C}" presName="tile4text" presStyleLbl="node1" presStyleIdx="3" presStyleCnt="4">
        <dgm:presLayoutVars>
          <dgm:chMax val="0"/>
          <dgm:chPref val="0"/>
          <dgm:bulletEnabled val="1"/>
        </dgm:presLayoutVars>
      </dgm:prSet>
      <dgm:spPr/>
    </dgm:pt>
    <dgm:pt modelId="{B812562D-9FEF-42B6-9D47-C57669939160}" type="pres">
      <dgm:prSet presAssocID="{A306A0D2-BD17-4362-8C19-F0C68268A35C}" presName="centerTile" presStyleLbl="fgShp" presStyleIdx="0" presStyleCnt="1">
        <dgm:presLayoutVars>
          <dgm:chMax val="0"/>
          <dgm:chPref val="0"/>
        </dgm:presLayoutVars>
      </dgm:prSet>
      <dgm:spPr/>
    </dgm:pt>
  </dgm:ptLst>
  <dgm:cxnLst>
    <dgm:cxn modelId="{088FB51C-11C7-42BF-8CD0-CB7B802121BC}" type="presOf" srcId="{742346BA-9108-43C2-A2B5-5A6DA41F9596}" destId="{4B35CA3B-95A9-40F3-88C4-1306DD89D583}" srcOrd="0" destOrd="0" presId="urn:microsoft.com/office/officeart/2005/8/layout/matrix1"/>
    <dgm:cxn modelId="{B045BA3C-683C-4457-914A-7E476D7FEF8F}" srcId="{DBFED839-58F0-4825-9340-5EA89329025F}" destId="{742346BA-9108-43C2-A2B5-5A6DA41F9596}" srcOrd="0" destOrd="0" parTransId="{6B70823D-67BE-4AA3-8D7B-76032C1FEE61}" sibTransId="{010C9D6A-145A-45A7-A999-994A0D53A0A3}"/>
    <dgm:cxn modelId="{E2C0883D-85B6-4FD2-BF7F-0BC9B8438143}" srcId="{DBFED839-58F0-4825-9340-5EA89329025F}" destId="{3FB9B3AD-9828-42E8-83FF-F4E12170778D}" srcOrd="2" destOrd="0" parTransId="{84859144-F864-449E-985A-4D66A8DC8152}" sibTransId="{E9633294-CA04-4E51-9C95-CB7070366457}"/>
    <dgm:cxn modelId="{1FD0BD4A-A65C-4BAC-A2BE-18F15BEF9C7B}" srcId="{A306A0D2-BD17-4362-8C19-F0C68268A35C}" destId="{DBFED839-58F0-4825-9340-5EA89329025F}" srcOrd="0" destOrd="0" parTransId="{691B1ECD-FB6B-44A1-B905-277327B2EECE}" sibTransId="{A591F284-A2C1-4625-AC51-92710E05448E}"/>
    <dgm:cxn modelId="{DF35C771-C097-4B2C-B6C1-87B9175636B2}" type="presOf" srcId="{316900E1-61F6-4203-AFB1-3F0A09E7E8F2}" destId="{0652C952-169F-4222-ACF4-177926B6FD71}" srcOrd="1" destOrd="0" presId="urn:microsoft.com/office/officeart/2005/8/layout/matrix1"/>
    <dgm:cxn modelId="{05167352-C6CA-4A4C-B63A-ADD26473A41E}" type="presOf" srcId="{742346BA-9108-43C2-A2B5-5A6DA41F9596}" destId="{5A194C9E-631A-4E52-9875-6C643FA866E7}" srcOrd="1" destOrd="0" presId="urn:microsoft.com/office/officeart/2005/8/layout/matrix1"/>
    <dgm:cxn modelId="{208B7A53-FEAC-43D1-AF36-625BE867670B}" type="presOf" srcId="{94676B85-DC22-43AF-A842-3B10A042D59B}" destId="{A6BDDFAF-23AA-466F-8D86-59836338463F}" srcOrd="0" destOrd="0" presId="urn:microsoft.com/office/officeart/2005/8/layout/matrix1"/>
    <dgm:cxn modelId="{3026427F-4C48-4C00-A961-F78730E936D4}" type="presOf" srcId="{3FB9B3AD-9828-42E8-83FF-F4E12170778D}" destId="{44AE463E-D480-460B-927C-6CD28C648997}" srcOrd="1" destOrd="0" presId="urn:microsoft.com/office/officeart/2005/8/layout/matrix1"/>
    <dgm:cxn modelId="{78E0D690-B5AB-44BD-A1CA-9920048FB3D3}" srcId="{DBFED839-58F0-4825-9340-5EA89329025F}" destId="{316900E1-61F6-4203-AFB1-3F0A09E7E8F2}" srcOrd="3" destOrd="0" parTransId="{2BB88121-0DB1-4A9D-8948-9827335597DC}" sibTransId="{E1EE86FA-D39C-484F-9173-C75383242B35}"/>
    <dgm:cxn modelId="{2EB601A9-90D8-4EB1-AE53-725389C0B1A9}" type="presOf" srcId="{3FB9B3AD-9828-42E8-83FF-F4E12170778D}" destId="{5FA4663E-4DE5-4EE7-870A-A777E938EDDE}" srcOrd="0" destOrd="0" presId="urn:microsoft.com/office/officeart/2005/8/layout/matrix1"/>
    <dgm:cxn modelId="{D99CFEB9-8BE3-46FE-964B-2AFC08DBAAF5}" type="presOf" srcId="{94676B85-DC22-43AF-A842-3B10A042D59B}" destId="{2BBF20C2-18E2-4061-A453-258B3485BADF}" srcOrd="1" destOrd="0" presId="urn:microsoft.com/office/officeart/2005/8/layout/matrix1"/>
    <dgm:cxn modelId="{9C3F72C4-F206-4656-A1F7-C3307F545EAC}" type="presOf" srcId="{A306A0D2-BD17-4362-8C19-F0C68268A35C}" destId="{497EE654-3E8B-44E2-8DAC-8985D7DF15E9}" srcOrd="0" destOrd="0" presId="urn:microsoft.com/office/officeart/2005/8/layout/matrix1"/>
    <dgm:cxn modelId="{AAB887C4-C6F5-40FF-86A1-70753A3C6BBF}" type="presOf" srcId="{316900E1-61F6-4203-AFB1-3F0A09E7E8F2}" destId="{5764199F-5E96-48FF-845E-A5A27F1895F2}" srcOrd="0" destOrd="0" presId="urn:microsoft.com/office/officeart/2005/8/layout/matrix1"/>
    <dgm:cxn modelId="{E02813D0-7D9B-4310-877D-770BEF3A1E54}" type="presOf" srcId="{DBFED839-58F0-4825-9340-5EA89329025F}" destId="{B812562D-9FEF-42B6-9D47-C57669939160}" srcOrd="0" destOrd="0" presId="urn:microsoft.com/office/officeart/2005/8/layout/matrix1"/>
    <dgm:cxn modelId="{EF4D57E4-CC5F-4295-A493-36A9FD9039EC}" srcId="{DBFED839-58F0-4825-9340-5EA89329025F}" destId="{94676B85-DC22-43AF-A842-3B10A042D59B}" srcOrd="1" destOrd="0" parTransId="{FB3C9C9D-73C2-461C-88E5-305993E05270}" sibTransId="{85D7ADC7-A1EE-4197-AD71-8CB8392261B8}"/>
    <dgm:cxn modelId="{419180FD-6774-4A0C-A7F4-9AF517752546}" srcId="{DBFED839-58F0-4825-9340-5EA89329025F}" destId="{5EBC7FFD-7142-418B-8AF5-3762B8C7570E}" srcOrd="4" destOrd="0" parTransId="{7A98F2B8-DB63-4477-AE41-2588B9FE3DCD}" sibTransId="{4A91A09F-A6E8-4859-A7C6-2C3298D0FE92}"/>
    <dgm:cxn modelId="{AEEC349B-0B6D-4C0B-A053-651778D2E2AF}" type="presParOf" srcId="{497EE654-3E8B-44E2-8DAC-8985D7DF15E9}" destId="{9105396D-306B-4850-A17D-EC46CF6B2A4B}" srcOrd="0" destOrd="0" presId="urn:microsoft.com/office/officeart/2005/8/layout/matrix1"/>
    <dgm:cxn modelId="{35F1D049-B098-4320-B3B8-736F263240D5}" type="presParOf" srcId="{9105396D-306B-4850-A17D-EC46CF6B2A4B}" destId="{4B35CA3B-95A9-40F3-88C4-1306DD89D583}" srcOrd="0" destOrd="0" presId="urn:microsoft.com/office/officeart/2005/8/layout/matrix1"/>
    <dgm:cxn modelId="{F6AFEB87-2CC8-463B-B4A1-72E80ABFEA5F}" type="presParOf" srcId="{9105396D-306B-4850-A17D-EC46CF6B2A4B}" destId="{5A194C9E-631A-4E52-9875-6C643FA866E7}" srcOrd="1" destOrd="0" presId="urn:microsoft.com/office/officeart/2005/8/layout/matrix1"/>
    <dgm:cxn modelId="{79F61012-98AF-42E5-B846-56C75ADB42CF}" type="presParOf" srcId="{9105396D-306B-4850-A17D-EC46CF6B2A4B}" destId="{A6BDDFAF-23AA-466F-8D86-59836338463F}" srcOrd="2" destOrd="0" presId="urn:microsoft.com/office/officeart/2005/8/layout/matrix1"/>
    <dgm:cxn modelId="{7221A721-CB4C-4009-BFD7-455E43D30F5A}" type="presParOf" srcId="{9105396D-306B-4850-A17D-EC46CF6B2A4B}" destId="{2BBF20C2-18E2-4061-A453-258B3485BADF}" srcOrd="3" destOrd="0" presId="urn:microsoft.com/office/officeart/2005/8/layout/matrix1"/>
    <dgm:cxn modelId="{6ACA635F-EEA2-4290-8390-88C4F094B340}" type="presParOf" srcId="{9105396D-306B-4850-A17D-EC46CF6B2A4B}" destId="{5FA4663E-4DE5-4EE7-870A-A777E938EDDE}" srcOrd="4" destOrd="0" presId="urn:microsoft.com/office/officeart/2005/8/layout/matrix1"/>
    <dgm:cxn modelId="{52054FF2-D9A8-490A-A39B-2B16B27C945F}" type="presParOf" srcId="{9105396D-306B-4850-A17D-EC46CF6B2A4B}" destId="{44AE463E-D480-460B-927C-6CD28C648997}" srcOrd="5" destOrd="0" presId="urn:microsoft.com/office/officeart/2005/8/layout/matrix1"/>
    <dgm:cxn modelId="{41FBC488-4921-439E-9E61-8ADA87133656}" type="presParOf" srcId="{9105396D-306B-4850-A17D-EC46CF6B2A4B}" destId="{5764199F-5E96-48FF-845E-A5A27F1895F2}" srcOrd="6" destOrd="0" presId="urn:microsoft.com/office/officeart/2005/8/layout/matrix1"/>
    <dgm:cxn modelId="{04DE2A36-9C13-48C2-B7A3-FA17CB947193}" type="presParOf" srcId="{9105396D-306B-4850-A17D-EC46CF6B2A4B}" destId="{0652C952-169F-4222-ACF4-177926B6FD71}" srcOrd="7" destOrd="0" presId="urn:microsoft.com/office/officeart/2005/8/layout/matrix1"/>
    <dgm:cxn modelId="{9AD6A33A-A319-4824-A007-26246C888961}" type="presParOf" srcId="{497EE654-3E8B-44E2-8DAC-8985D7DF15E9}" destId="{B812562D-9FEF-42B6-9D47-C57669939160}"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35CA3B-95A9-40F3-88C4-1306DD89D583}">
      <dsp:nvSpPr>
        <dsp:cNvPr id="0" name=""/>
        <dsp:cNvSpPr/>
      </dsp:nvSpPr>
      <dsp:spPr>
        <a:xfrm rot="16200000">
          <a:off x="152220" y="-152220"/>
          <a:ext cx="2584174" cy="2888615"/>
        </a:xfrm>
        <a:prstGeom prst="round1Rect">
          <a:avLst/>
        </a:prstGeom>
        <a:solidFill>
          <a:schemeClr val="accent1">
            <a:alpha val="9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Strength</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Strong brand equity and recognisable personality</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Credible ethical positioning (B Corp certification and impact scoring) (B Lab, 2026)</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Clear climate commitments that can build trust if delivered consistently (Innocent Drinks, n.d.)</a:t>
          </a:r>
        </a:p>
        <a:p>
          <a:pPr marL="0" lvl="0" indent="0" algn="ctr" defTabSz="533400">
            <a:lnSpc>
              <a:spcPct val="90000"/>
            </a:lnSpc>
            <a:spcBef>
              <a:spcPct val="0"/>
            </a:spcBef>
            <a:spcAft>
              <a:spcPct val="35000"/>
            </a:spcAft>
            <a:buNone/>
          </a:pPr>
          <a:endParaRPr lang="en-GB" sz="800" kern="1200"/>
        </a:p>
      </dsp:txBody>
      <dsp:txXfrm rot="5400000">
        <a:off x="0" y="0"/>
        <a:ext cx="2888615" cy="1938130"/>
      </dsp:txXfrm>
    </dsp:sp>
    <dsp:sp modelId="{A6BDDFAF-23AA-466F-8D86-59836338463F}">
      <dsp:nvSpPr>
        <dsp:cNvPr id="0" name=""/>
        <dsp:cNvSpPr/>
      </dsp:nvSpPr>
      <dsp:spPr>
        <a:xfrm>
          <a:off x="2888615" y="0"/>
          <a:ext cx="2888615" cy="2584174"/>
        </a:xfrm>
        <a:prstGeom prst="round1Rect">
          <a:avLst/>
        </a:prstGeom>
        <a:solidFill>
          <a:schemeClr val="accent1">
            <a:alpha val="90000"/>
            <a:hueOff val="0"/>
            <a:satOff val="0"/>
            <a:lumOff val="0"/>
            <a:alphaOff val="-13333"/>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Weaknesses</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Premium price perception in a value-focused market</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Sustainability claims face higher scrutiny and reputational risk</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Global sourcing and Scope 3 reduction add complexity and cost</a:t>
          </a:r>
        </a:p>
        <a:p>
          <a:pPr marL="0" lvl="0" indent="0" algn="ctr" defTabSz="533400">
            <a:lnSpc>
              <a:spcPct val="90000"/>
            </a:lnSpc>
            <a:spcBef>
              <a:spcPct val="0"/>
            </a:spcBef>
            <a:spcAft>
              <a:spcPct val="35000"/>
            </a:spcAft>
            <a:buNone/>
          </a:pPr>
          <a:endParaRPr lang="en-GB" sz="1300" kern="1200"/>
        </a:p>
      </dsp:txBody>
      <dsp:txXfrm>
        <a:off x="2888615" y="0"/>
        <a:ext cx="2888615" cy="1938130"/>
      </dsp:txXfrm>
    </dsp:sp>
    <dsp:sp modelId="{5FA4663E-4DE5-4EE7-870A-A777E938EDDE}">
      <dsp:nvSpPr>
        <dsp:cNvPr id="0" name=""/>
        <dsp:cNvSpPr/>
      </dsp:nvSpPr>
      <dsp:spPr>
        <a:xfrm rot="10800000">
          <a:off x="0" y="2584174"/>
          <a:ext cx="2888615" cy="2584174"/>
        </a:xfrm>
        <a:prstGeom prst="round1Rect">
          <a:avLst/>
        </a:prstGeom>
        <a:solidFill>
          <a:schemeClr val="accent1">
            <a:alpha val="90000"/>
            <a:hueOff val="0"/>
            <a:satOff val="0"/>
            <a:lumOff val="0"/>
            <a:alphaOff val="-26667"/>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Opportunities</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Improve accessibility through smarter price-pack architecture</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Grow through daily health occasions (functional, plant-based, new usage moments)</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Packaging redesign to reduce EPR cost exposure (GOV.UK, 2025)</a:t>
          </a:r>
        </a:p>
      </dsp:txBody>
      <dsp:txXfrm rot="10800000">
        <a:off x="0" y="3230217"/>
        <a:ext cx="2888615" cy="1938130"/>
      </dsp:txXfrm>
    </dsp:sp>
    <dsp:sp modelId="{5764199F-5E96-48FF-845E-A5A27F1895F2}">
      <dsp:nvSpPr>
        <dsp:cNvPr id="0" name=""/>
        <dsp:cNvSpPr/>
      </dsp:nvSpPr>
      <dsp:spPr>
        <a:xfrm rot="5400000">
          <a:off x="3040835" y="2423994"/>
          <a:ext cx="2584174" cy="2888615"/>
        </a:xfrm>
        <a:prstGeom prst="round1Rect">
          <a:avLst/>
        </a:prstGeom>
        <a:solidFill>
          <a:schemeClr val="accent1">
            <a:alpha val="90000"/>
            <a:hueOff val="0"/>
            <a:satOff val="0"/>
            <a:lumOff val="0"/>
            <a:alphaOff val="-4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Threats</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Volume pressure and price sensitivity in the category (Mintel, 2024)</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Regulatory changes increase cost and packaging pressure (GOV.UK, 2025)</a:t>
          </a:r>
        </a:p>
        <a:p>
          <a:pPr marL="0" lvl="0" indent="0" algn="ctr" defTabSz="5334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Intensifying competition and “purpose” copycats without real proof</a:t>
          </a:r>
        </a:p>
        <a:p>
          <a:pPr marL="0" lvl="0" indent="0" algn="ctr" defTabSz="533400">
            <a:lnSpc>
              <a:spcPct val="90000"/>
            </a:lnSpc>
            <a:spcBef>
              <a:spcPct val="0"/>
            </a:spcBef>
            <a:spcAft>
              <a:spcPct val="35000"/>
            </a:spcAft>
            <a:buNone/>
          </a:pPr>
          <a:endParaRPr lang="en-GB" sz="1200" kern="1200"/>
        </a:p>
      </dsp:txBody>
      <dsp:txXfrm rot="-5400000">
        <a:off x="2888615" y="3222257"/>
        <a:ext cx="2888615" cy="1938130"/>
      </dsp:txXfrm>
    </dsp:sp>
    <dsp:sp modelId="{B812562D-9FEF-42B6-9D47-C57669939160}">
      <dsp:nvSpPr>
        <dsp:cNvPr id="0" name=""/>
        <dsp:cNvSpPr/>
      </dsp:nvSpPr>
      <dsp:spPr>
        <a:xfrm>
          <a:off x="2022030" y="1938130"/>
          <a:ext cx="1733169" cy="1292087"/>
        </a:xfrm>
        <a:prstGeom prst="roundRect">
          <a:avLst/>
        </a:prstGeom>
        <a:solidFill>
          <a:schemeClr val="accent1">
            <a:tint val="4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0" tIns="133350" rIns="133350" bIns="133350" numCol="1" spcCol="1270" anchor="ctr" anchorCtr="0">
          <a:noAutofit/>
        </a:bodyPr>
        <a:lstStyle/>
        <a:p>
          <a:pPr marL="0" lvl="0" indent="0" algn="ctr" defTabSz="1555750">
            <a:lnSpc>
              <a:spcPct val="90000"/>
            </a:lnSpc>
            <a:spcBef>
              <a:spcPct val="0"/>
            </a:spcBef>
            <a:spcAft>
              <a:spcPct val="35000"/>
            </a:spcAft>
            <a:buNone/>
          </a:pPr>
          <a:r>
            <a:rPr lang="en-GB" sz="3500" b="1" kern="1200">
              <a:latin typeface="Arial" panose="020B0604020202020204" pitchFamily="34" charset="0"/>
              <a:cs typeface="Arial" panose="020B0604020202020204" pitchFamily="34" charset="0"/>
            </a:rPr>
            <a:t>SWOT</a:t>
          </a:r>
        </a:p>
      </dsp:txBody>
      <dsp:txXfrm>
        <a:off x="2085104" y="2001204"/>
        <a:ext cx="1607021" cy="1165939"/>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15327-BC72-4469-921F-A01CEE450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3511</Words>
  <Characters>22652</Characters>
  <Application>Microsoft Office Word</Application>
  <DocSecurity>0</DocSecurity>
  <Lines>596</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Nazra Bibi (2321286)</dc:creator>
  <cp:keywords/>
  <dc:description/>
  <cp:lastModifiedBy>Nazra Bibi (2321286)</cp:lastModifiedBy>
  <cp:revision>47</cp:revision>
  <dcterms:created xsi:type="dcterms:W3CDTF">2026-03-12T05:29:00Z</dcterms:created>
  <dcterms:modified xsi:type="dcterms:W3CDTF">2026-03-14T04:39:00Z</dcterms:modified>
</cp:coreProperties>
</file>