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4F1C39">
        <w:tc>
          <w:tcPr>
            <w:tcW w:w="10799" w:type="dxa"/>
          </w:tcPr>
          <w:p w14:paraId="02F8EE88" w14:textId="77D6A34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F1C39">
              <w:rPr>
                <w:rFonts w:ascii="Times New Roman" w:hAnsi="Times New Roman" w:cs="Times New Roman"/>
                <w:b/>
                <w:color w:val="auto"/>
                <w:sz w:val="48"/>
              </w:rPr>
              <w:t>Sian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C6CFB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F1C39">
              <w:t xml:space="preserve"> </w:t>
            </w:r>
            <w:r w:rsidR="004F1C39" w:rsidRPr="004F1C39">
              <w:rPr>
                <w:rFonts w:ascii="Times New Roman" w:hAnsi="Times New Roman" w:cs="Times New Roman"/>
                <w:b/>
                <w:color w:val="auto"/>
                <w:sz w:val="48"/>
              </w:rPr>
              <w:t>1604911@student.uwtsd.ac.uk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99B9B7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F1C39">
              <w:rPr>
                <w:rFonts w:ascii="Times New Roman" w:hAnsi="Times New Roman" w:cs="Times New Roman"/>
                <w:b/>
                <w:color w:val="auto"/>
                <w:sz w:val="48"/>
              </w:rPr>
              <w:t>1604911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2F8A7CA5" w14:textId="5D6DA20F" w:rsidR="008D5999" w:rsidRDefault="000A584A" w:rsidP="00064063">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B6187B3"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Safeguarding practice with noticeably young children frequently requires professionals to work within contexts of uncertainty, escalating risk, and differing professional judgements (</w:t>
            </w:r>
            <w:proofErr w:type="spellStart"/>
            <w:r w:rsidRPr="0055498E">
              <w:rPr>
                <w:rFonts w:ascii="Aptos" w:eastAsia="Aptos" w:hAnsi="Aptos" w:cs="Times New Roman"/>
                <w:color w:val="auto"/>
                <w:kern w:val="2"/>
                <w:sz w:val="24"/>
                <w:szCs w:val="24"/>
                <w:lang w:eastAsia="en-US"/>
                <w14:ligatures w14:val="standardContextual"/>
              </w:rPr>
              <w:t>Koubel</w:t>
            </w:r>
            <w:proofErr w:type="spellEnd"/>
            <w:r w:rsidRPr="0055498E">
              <w:rPr>
                <w:rFonts w:ascii="Aptos" w:eastAsia="Aptos" w:hAnsi="Aptos" w:cs="Times New Roman"/>
                <w:color w:val="auto"/>
                <w:kern w:val="2"/>
                <w:sz w:val="24"/>
                <w:szCs w:val="24"/>
                <w:lang w:eastAsia="en-US"/>
                <w14:ligatures w14:val="standardContextual"/>
              </w:rPr>
              <w:t>, 2016). In my role as a social worker within a children’s services team, I completed a care and support assessment for a two-year-old boy whose circumstances subsequently escalated, leading to the implementation of a child protection plan and, ultimately, the initiation of a Letter Before Proceedings.</w:t>
            </w:r>
          </w:p>
          <w:p w14:paraId="379F9DB8"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This reflection offers a critical examination of my developing practice in assessment, collaborative working, and the formulation of professional judgments within increasingly complex situations across this trajectory. It explores how my decision</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making is grounded by relevant legislation, national and local safeguarding policies, and strategic frameworks. In addition, it draws upon key theories and the distinctive dimensions of practice within Wales to analyse how these factors inform my role, responsibilities, and professional growth.</w:t>
            </w:r>
          </w:p>
          <w:p w14:paraId="01725E76" w14:textId="3C48D936"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Concerns of neglect were raised regarding a 2-year-old boy who lived alone with his young mother. The Concerns were raised through a referral from the health visiting service. The Wales Safeguarding Procedures 2019 instruct that safeguarding is everyone’s responsibility. Effective safeguarding involves every professional from all organisations to ensure they understand their duty to report any child at risk (Social Care Wales, 2026</w:t>
            </w:r>
            <w:r w:rsidR="00BF492B">
              <w:rPr>
                <w:rFonts w:ascii="Aptos" w:eastAsia="Aptos" w:hAnsi="Aptos" w:cs="Times New Roman"/>
                <w:color w:val="auto"/>
                <w:kern w:val="2"/>
                <w:sz w:val="24"/>
                <w:szCs w:val="24"/>
                <w:lang w:eastAsia="en-US"/>
                <w14:ligatures w14:val="standardContextual"/>
              </w:rPr>
              <w:t>a</w:t>
            </w:r>
            <w:r w:rsidRPr="0055498E">
              <w:rPr>
                <w:rFonts w:ascii="Aptos" w:eastAsia="Aptos" w:hAnsi="Aptos" w:cs="Times New Roman"/>
                <w:color w:val="auto"/>
                <w:kern w:val="2"/>
                <w:sz w:val="24"/>
                <w:szCs w:val="24"/>
                <w:lang w:eastAsia="en-US"/>
                <w14:ligatures w14:val="standardContextual"/>
              </w:rPr>
              <w:t xml:space="preserve">). </w:t>
            </w:r>
          </w:p>
          <w:p w14:paraId="1B9E7457"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The concerns raised in the referral were for the safety of the young boy, being left on his own for prolonged periods, being shouted at by his mother and parental substance misuse. It was noted that the mother had mental health difficulties and Attention-Deficit/Hyperactivity Disorder (ADHD). The mother had a very troubled and traumatic childhood and teenage years. They fled domestic abuse to a costal rural town unknown to them. They had no support or family in the area leaving them very isolated. </w:t>
            </w:r>
          </w:p>
          <w:p w14:paraId="28E1EC2C"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 local Authority has a duty to assess a child’s needs where they believe a child has needs for care and support (Welsh Government, 2014</w:t>
            </w:r>
            <w:r>
              <w:rPr>
                <w:rFonts w:ascii="Aptos" w:eastAsia="Aptos" w:hAnsi="Aptos" w:cs="Times New Roman"/>
                <w:color w:val="auto"/>
                <w:kern w:val="2"/>
                <w:sz w:val="24"/>
                <w:szCs w:val="24"/>
                <w:lang w:eastAsia="en-US"/>
                <w14:ligatures w14:val="standardContextual"/>
              </w:rPr>
              <w:t>a</w:t>
            </w:r>
            <w:r w:rsidRPr="0055498E">
              <w:rPr>
                <w:rFonts w:ascii="Aptos" w:eastAsia="Aptos" w:hAnsi="Aptos" w:cs="Times New Roman"/>
                <w:color w:val="auto"/>
                <w:kern w:val="2"/>
                <w:sz w:val="24"/>
                <w:szCs w:val="24"/>
                <w:lang w:eastAsia="en-US"/>
                <w14:ligatures w14:val="standardContextual"/>
              </w:rPr>
              <w:t>). A social worker from the Duty and Assessment Team completed a care and support assessment under Part 3 of the Social Services and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(Wales) Act 2014. This assessment was child</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centred and focused specifically on the child</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needs. It was concluded that the family would be unable to sustain improvements without continued support from social services. Following this, I worked with the family to develop a Care and Support Plan in line with Section 54 of the SSWBA (2014), which requires professionals to create and regularly review such plans in relation to the child (Legislation.gov.uk, 2014).</w:t>
            </w:r>
          </w:p>
          <w:p w14:paraId="7E2E2CA9"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During the development of the Care and Support Plan, further safeguarding concerns emerged. Professionals observed ongoing patterns of the young boy being left to his own devices for long periods while his mother either smoked cannabis in the shed or slept during the day. Increasing worries centred on the child</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basic needs not being met, including inconsistent access to food, fluids, and appropriate supervision. On one occasion, the mother disclosed that she had slept from 10 a.m. until 7 p.m., during which time the child received no food, water, or stimulation. These incidents raised significant concerns regarding neglect and the child’s overall safety and wellbeing.</w:t>
            </w:r>
          </w:p>
          <w:p w14:paraId="4C743B54"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Understanding Erikson’s Psychosocial Development Theory (1950) enabled me to recognise the depth of the impact that neglect can have on a noticeably young child. Erikson proposes that children move through a series of psychosocial stages, each characterised by a core developmental task that must be supported by consistent and responsive caregiving. Early childhood is identified as a particularly sensitive period, where the foundations of emotional security, autonomy and self</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confidence begin to form (Scheck, 2014).</w:t>
            </w:r>
          </w:p>
          <w:p w14:paraId="2214E55A"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At two years old, this child was in the stage Erikson describes as Autonomy versus Shame and Doubt, where children typically develop independence, language, mobility and early emotional regulation (</w:t>
            </w:r>
            <w:proofErr w:type="spellStart"/>
            <w:r w:rsidRPr="0055498E">
              <w:rPr>
                <w:rFonts w:ascii="Aptos" w:eastAsia="Aptos" w:hAnsi="Aptos" w:cs="Times New Roman"/>
                <w:color w:val="auto"/>
                <w:kern w:val="2"/>
                <w:sz w:val="24"/>
                <w:szCs w:val="24"/>
                <w:lang w:eastAsia="en-US"/>
                <w14:ligatures w14:val="standardContextual"/>
              </w:rPr>
              <w:t>Mcleod</w:t>
            </w:r>
            <w:proofErr w:type="spellEnd"/>
            <w:r w:rsidRPr="0055498E">
              <w:rPr>
                <w:rFonts w:ascii="Aptos" w:eastAsia="Aptos" w:hAnsi="Aptos" w:cs="Times New Roman"/>
                <w:color w:val="auto"/>
                <w:kern w:val="2"/>
                <w:sz w:val="24"/>
                <w:szCs w:val="24"/>
                <w:lang w:eastAsia="en-US"/>
                <w14:ligatures w14:val="standardContextual"/>
              </w:rPr>
              <w:t>, 2025). Progress in this stage relies heavily on caregivers providing encouragement, predictable routines and emotional warmth. Reflecting on this case through the developmental theory helped me understand that the child’s experience of neglect meant these essential developmental conditions were not being met. Without consistent supervision, stimulation, nutrition and emotional responsiveness, the child was at risk of developing doubt, insecurity and difficulties with self</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regulation (Scheck, 2014).</w:t>
            </w:r>
          </w:p>
          <w:p w14:paraId="16AF6D63"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The mother had fled domestic violence and relocated to a rural town where she had no existing support networks. This significant disruption meant that a range of environmental and contextual factors were contributing to the challenges the family was experiencing.</w:t>
            </w:r>
            <w:r w:rsidRPr="0055498E">
              <w:rPr>
                <w:rFonts w:ascii="Aptos" w:eastAsia="Aptos" w:hAnsi="Aptos" w:cs="Times New Roman"/>
                <w:color w:val="auto"/>
                <w:kern w:val="2"/>
                <w:sz w:val="24"/>
                <w:szCs w:val="24"/>
                <w:lang w:val="cy-GB" w:eastAsia="en-US"/>
                <w14:ligatures w14:val="standardContextual"/>
              </w:rPr>
              <w:t xml:space="preserve"> </w:t>
            </w:r>
            <w:r w:rsidRPr="0055498E">
              <w:rPr>
                <w:rFonts w:ascii="Aptos" w:eastAsia="Aptos" w:hAnsi="Aptos" w:cs="Times New Roman"/>
                <w:color w:val="auto"/>
                <w:kern w:val="2"/>
                <w:sz w:val="24"/>
                <w:szCs w:val="24"/>
                <w:lang w:eastAsia="en-US"/>
                <w14:ligatures w14:val="standardContextual"/>
              </w:rPr>
              <w:t>Whilst using a person</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centred approach to this assessment it became clear that there was a tension between avoiding a parent</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blaming narrative and recognising the very real impact of parenting stressors, trauma, and social isolation on her capacity to meet her child</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needs.</w:t>
            </w:r>
          </w:p>
          <w:p w14:paraId="63043193"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Bronfenbrenner’s Ecological Systems Theory (1977) provided a useful framework for understanding these dynamics. By considering the mother’s situation across multiple interacting systems such as the immediate home environment, the absence of informal support networks, the rural community context, and the wider structural factors such as poverty, mental health, substance misuse and the aftermath of domestic abuse. This Theory supported me to apply analysis in assessment and develop a better understanding of why she was struggling and how these pressures influenced her parenting behaviours (Payne, 2021a). </w:t>
            </w:r>
          </w:p>
          <w:p w14:paraId="32EEC09A"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This theory supported me to balance empathy for her circumstances with a clear focus on the child’s safety and wellbeing. This approach aligns with the Munro Review of Child Protection, which emphasises the importance of balanced, child-centred assessment that avoids a purely blame-focused view of parents. Munro highlights the need for practitioners to consider the wider family and systemic context influencing parental behaviour, while maintaining a clear focus on the child’s lived experience. The review also reinforces the role of effective multi-agency working in reducing risk and supporting better outcomes for children (Munro, 2011) which supported me to work effectively with others in a muti agency approach to conduct an assessment using person centred approach.</w:t>
            </w:r>
          </w:p>
          <w:p w14:paraId="0C5F9284"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I recognised that it was difficult to maintain this perspective while trying to support the mother.</w:t>
            </w:r>
            <w:r w:rsidRPr="0055498E">
              <w:rPr>
                <w:rFonts w:ascii="Aptos" w:eastAsia="Aptos" w:hAnsi="Aptos" w:cs="Times New Roman"/>
                <w:color w:val="auto"/>
                <w:kern w:val="2"/>
                <w:sz w:val="24"/>
                <w:szCs w:val="24"/>
                <w:lang w:val="cy-GB" w:eastAsia="en-US"/>
                <w14:ligatures w14:val="standardContextual"/>
              </w:rPr>
              <w:t xml:space="preserve"> </w:t>
            </w:r>
            <w:r w:rsidRPr="0055498E">
              <w:rPr>
                <w:rFonts w:ascii="Aptos" w:eastAsia="Aptos" w:hAnsi="Aptos" w:cs="Times New Roman"/>
                <w:color w:val="auto"/>
                <w:kern w:val="2"/>
                <w:sz w:val="24"/>
                <w:szCs w:val="24"/>
                <w:lang w:eastAsia="en-US"/>
                <w14:ligatures w14:val="standardContextual"/>
              </w:rPr>
              <w:t xml:space="preserve">Before developing my understanding of ecological systems theory, I initially viewed her as a parent who simply did not want to safeguard her child. I found myself questioning why she appeared unwilling to meet his basic needs and why her own needs seemed to take priority. This was one of the first neglect cases I had worked on, and I became aware that my limited experience was influencing how I interpreted the situation. </w:t>
            </w:r>
          </w:p>
          <w:p w14:paraId="498478C4"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On reflection, I can see that this assumption was influenced not only by my limited experience but also by my own values around parenting, responsibility and care. I now recognise that my emotional response was shaping my interpretation of the situation more than I had realised at the time. This was through frustration, confusion and a sense of protectiveness towards the child. This made me reflect on the expectations set out in the Code of Professional Practice for Social Care Workers, which requires practitioners to maintain professional integrity, self</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awareness and reflective practice (Social Care Wales, 2017</w:t>
            </w:r>
            <w:r>
              <w:rPr>
                <w:rFonts w:ascii="Aptos" w:eastAsia="Aptos" w:hAnsi="Aptos" w:cs="Times New Roman"/>
                <w:color w:val="auto"/>
                <w:kern w:val="2"/>
                <w:sz w:val="24"/>
                <w:szCs w:val="24"/>
                <w:lang w:eastAsia="en-US"/>
                <w14:ligatures w14:val="standardContextual"/>
              </w:rPr>
              <w:t>a</w:t>
            </w:r>
            <w:r w:rsidRPr="0055498E">
              <w:rPr>
                <w:rFonts w:ascii="Aptos" w:eastAsia="Aptos" w:hAnsi="Aptos" w:cs="Times New Roman"/>
                <w:color w:val="auto"/>
                <w:kern w:val="2"/>
                <w:sz w:val="24"/>
                <w:szCs w:val="24"/>
                <w:lang w:eastAsia="en-US"/>
                <w14:ligatures w14:val="standardContextual"/>
              </w:rPr>
              <w:t>). By recognising and managing the influence of my emotions, I ensured that my assessment remained objective and evidence based.</w:t>
            </w:r>
          </w:p>
          <w:p w14:paraId="7A19D47C"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Engaging with ecological systems theory helped me step back and consider the wider context influencing the mother’s behaviour, including her social environment, stressors, relationships and access to support. This shift challenged my initial judgement and supported me to make professional judgements based on assessment information as well as reminded me of the </w:t>
            </w:r>
            <w:r w:rsidRPr="0055498E">
              <w:rPr>
                <w:rFonts w:ascii="Aptos" w:eastAsia="Aptos" w:hAnsi="Aptos" w:cs="Times New Roman"/>
                <w:color w:val="auto"/>
                <w:kern w:val="2"/>
                <w:sz w:val="24"/>
                <w:szCs w:val="24"/>
                <w:lang w:eastAsia="en-US"/>
                <w14:ligatures w14:val="standardContextual"/>
              </w:rPr>
              <w:lastRenderedPageBreak/>
              <w:t>importance of curiosity rather than assumption. It also highlighted how easily it is to slip into deficit</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focused thinking when faced with complex neglect (Davis &amp;</w:t>
            </w:r>
            <w:r w:rsidRPr="0055498E">
              <w:rPr>
                <w:rFonts w:ascii="Aptos" w:eastAsia="Aptos" w:hAnsi="Aptos" w:cs="Times New Roman"/>
                <w:color w:val="auto"/>
                <w:kern w:val="2"/>
                <w:sz w:val="24"/>
                <w:szCs w:val="24"/>
                <w:lang w:val="cy-GB" w:eastAsia="en-US"/>
                <w14:ligatures w14:val="standardContextual"/>
              </w:rPr>
              <w:t xml:space="preserve"> </w:t>
            </w:r>
            <w:proofErr w:type="spellStart"/>
            <w:r w:rsidRPr="0055498E">
              <w:rPr>
                <w:rFonts w:ascii="Aptos" w:eastAsia="Aptos" w:hAnsi="Aptos" w:cs="Times New Roman"/>
                <w:color w:val="auto"/>
                <w:kern w:val="2"/>
                <w:sz w:val="24"/>
                <w:szCs w:val="24"/>
                <w:lang w:eastAsia="en-US"/>
                <w14:ligatures w14:val="standardContextual"/>
              </w:rPr>
              <w:t>Museus</w:t>
            </w:r>
            <w:proofErr w:type="spellEnd"/>
            <w:r w:rsidRPr="0055498E">
              <w:rPr>
                <w:rFonts w:ascii="Aptos" w:eastAsia="Aptos" w:hAnsi="Aptos" w:cs="Times New Roman"/>
                <w:color w:val="auto"/>
                <w:kern w:val="2"/>
                <w:sz w:val="24"/>
                <w:szCs w:val="24"/>
                <w:lang w:eastAsia="en-US"/>
                <w14:ligatures w14:val="standardContextual"/>
              </w:rPr>
              <w:t xml:space="preserve">, 2019). </w:t>
            </w:r>
          </w:p>
          <w:p w14:paraId="4BF99EB8"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Drawing on Erikson’s developmental theory (1950) helped me deepen the perspective I had gained through ecological systems theory when considering the mother’s behaviour. This encouraged me to think about the broader influences shaping her parenting, while Erikson’s work enabled me to reflect on how her own developmental experiences may have contributed to the difficulties she faced. Erikson suggests that unresolved challenges in earlier psychosocial stages can impact a person’s ability to manage later developmental tasks, including forming secure relationships and coping with emotional demands (Scheck, 2014).</w:t>
            </w:r>
          </w:p>
          <w:p w14:paraId="424AD47B"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In this case, the mother had experienced significant trauma in both her childhood and teenage years. Reflecting on this through Erikson’s framework helped me recognise that her behaviour might not be a matter of intentional neglect, but rather a reflection of her own unmet developmental needs, the trauma she has experienced may have impacted her ability to provide these same qualities to her child (Payne, 2021b).</w:t>
            </w:r>
          </w:p>
          <w:p w14:paraId="4BC65224"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At the point I became involved, the mother was only receiving support from the health visitor, although she had previously engaged with third</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sector services. During the assessment, she acknowledged that she was struggling and explained that she had been asking her health visitor for additional support. Through our discussions, it became evident that she would benefit from more structured and consistent intervention. We identified that accessing a social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services</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provided support service would help to empower her in her parenting role and contribute to breaking the cycle of trauma that continued to impact both her and her child.</w:t>
            </w:r>
          </w:p>
          <w:p w14:paraId="124A18A8"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It became increasingly difficult for the mother to build trust and communicate openly with professionals as concerns about her son’s safety escalated. This created tension in our attempts to work collaboratively, as she appeared to feel scrutinised and overwhelmed by professional involvement. Over time, her engagement reduced further, and she eventually stopped allowing us access to the home or opportunities to see her son. </w:t>
            </w:r>
          </w:p>
          <w:p w14:paraId="3FA095E3"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 xml:space="preserve">Due to the escalation concerns it was at this </w:t>
            </w:r>
            <w:proofErr w:type="gramStart"/>
            <w:r w:rsidRPr="0055498E">
              <w:rPr>
                <w:rFonts w:ascii="Aptos" w:eastAsia="Aptos" w:hAnsi="Aptos" w:cs="Times New Roman"/>
                <w:color w:val="auto"/>
                <w:kern w:val="2"/>
                <w:sz w:val="24"/>
                <w:szCs w:val="24"/>
                <w:lang w:eastAsia="en-US"/>
                <w14:ligatures w14:val="standardContextual"/>
              </w:rPr>
              <w:t>point,</w:t>
            </w:r>
            <w:proofErr w:type="gramEnd"/>
            <w:r w:rsidRPr="0055498E">
              <w:rPr>
                <w:rFonts w:ascii="Aptos" w:eastAsia="Aptos" w:hAnsi="Aptos" w:cs="Times New Roman"/>
                <w:color w:val="auto"/>
                <w:kern w:val="2"/>
                <w:sz w:val="24"/>
                <w:szCs w:val="24"/>
                <w:lang w:eastAsia="en-US"/>
                <w14:ligatures w14:val="standardContextual"/>
              </w:rPr>
              <w:t xml:space="preserve"> I made a strategy referral so that the concerns could be considered at a strategy meeting. A strategy meeting must include a safeguarding lead from social services and the police, and it can be helpful for other professionals who know the child to attend and contribute relevant information. If the meeting concludes that there is reasonable cause to suspect significant harm, a Section 47 enquiry under the Children Act 1989 should be initiated, which must be completed within ten working days (Social Care Wales, 20</w:t>
            </w:r>
            <w:r>
              <w:rPr>
                <w:rFonts w:ascii="Aptos" w:eastAsia="Aptos" w:hAnsi="Aptos" w:cs="Times New Roman"/>
                <w:color w:val="auto"/>
                <w:kern w:val="2"/>
                <w:sz w:val="24"/>
                <w:szCs w:val="24"/>
                <w:lang w:eastAsia="en-US"/>
                <w14:ligatures w14:val="standardContextual"/>
              </w:rPr>
              <w:t>2</w:t>
            </w:r>
            <w:r w:rsidRPr="0055498E">
              <w:rPr>
                <w:rFonts w:ascii="Aptos" w:eastAsia="Aptos" w:hAnsi="Aptos" w:cs="Times New Roman"/>
                <w:color w:val="auto"/>
                <w:kern w:val="2"/>
                <w:sz w:val="24"/>
                <w:szCs w:val="24"/>
                <w:lang w:eastAsia="en-US"/>
                <w14:ligatures w14:val="standardContextual"/>
              </w:rPr>
              <w:t>6b).</w:t>
            </w:r>
          </w:p>
          <w:p w14:paraId="0EA2E96E"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 Section 47 enquiry requires effective multi</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agency collaboration to gather and analyse information (Gov.UK, 1989b). Discussions were held with the health visitor, school, and other services involved with the family. This collaborative approach ensured that decisions were not made in isolation but were grounded in shared professional knowledge and evidence.</w:t>
            </w:r>
          </w:p>
          <w:p w14:paraId="1AE1CAC6"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From a practice perspective, this decision required the exercise of careful professional judgement. Reaching the threshold for safeguarding involves considering patterns of behaviour, cumulative concerns, and the impact on the child’s day-to-day lived experience (Social Care Wales, 2026a). In this case, the mother’s increasing disengagement, the child’s unmet basic needs, and the absence of consistent and safe supervision together indicated an escalating level of risk that could no longer be managed through voluntary support alone.</w:t>
            </w:r>
          </w:p>
          <w:p w14:paraId="632CCF0A" w14:textId="2348A859"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The Social Services and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(Wales) Act 2014 emphasises early intervention, strengths</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based practice, and working collaboratively with families (Welsh Government, 2014</w:t>
            </w:r>
            <w:r w:rsidR="00E2794F">
              <w:rPr>
                <w:rFonts w:ascii="Aptos" w:eastAsia="Aptos" w:hAnsi="Aptos" w:cs="Times New Roman"/>
                <w:color w:val="auto"/>
                <w:kern w:val="2"/>
                <w:sz w:val="24"/>
                <w:szCs w:val="24"/>
                <w:lang w:eastAsia="en-US"/>
                <w14:ligatures w14:val="standardContextual"/>
              </w:rPr>
              <w:t>b</w:t>
            </w:r>
            <w:r w:rsidRPr="0055498E">
              <w:rPr>
                <w:rFonts w:ascii="Aptos" w:eastAsia="Aptos" w:hAnsi="Aptos" w:cs="Times New Roman"/>
                <w:color w:val="auto"/>
                <w:kern w:val="2"/>
                <w:sz w:val="24"/>
                <w:szCs w:val="24"/>
                <w:lang w:eastAsia="en-US"/>
                <w14:ligatures w14:val="standardContextual"/>
              </w:rPr>
              <w:t>). However, it also places a clear duty on practitioners to act decisively when a child</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safety is at risk. Balancing these duties required me to hold two realities at once: empathy for the mother</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trauma, isolation, and stressors, and a firm recognition that the child</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welfare must remain paramount.</w:t>
            </w:r>
          </w:p>
          <w:p w14:paraId="490FACEA"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The section 47 for this family concluded that concerns had been substantiated and the child was at risk of significant harm, it was believed that the harm would increase without intervention. Therefore, it needed to proceed to initial child protection case conference (ICC), an ICC needs to be held within fifteen working days of the decision made (Social Care Wales, 2026</w:t>
            </w:r>
            <w:r>
              <w:rPr>
                <w:rFonts w:ascii="Aptos" w:eastAsia="Aptos" w:hAnsi="Aptos" w:cs="Times New Roman"/>
                <w:color w:val="auto"/>
                <w:kern w:val="2"/>
                <w:sz w:val="24"/>
                <w:szCs w:val="24"/>
                <w:lang w:eastAsia="en-US"/>
                <w14:ligatures w14:val="standardContextual"/>
              </w:rPr>
              <w:t>b</w:t>
            </w:r>
            <w:r w:rsidRPr="0055498E">
              <w:rPr>
                <w:rFonts w:ascii="Aptos" w:eastAsia="Aptos" w:hAnsi="Aptos" w:cs="Times New Roman"/>
                <w:color w:val="auto"/>
                <w:kern w:val="2"/>
                <w:sz w:val="24"/>
                <w:szCs w:val="24"/>
                <w:lang w:eastAsia="en-US"/>
                <w14:ligatures w14:val="standardContextual"/>
              </w:rPr>
              <w:t>).</w:t>
            </w:r>
          </w:p>
          <w:p w14:paraId="796977A1"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Safeguarding practice often involves tensions between children’s rights and parents’ rights. Although Article 8 of the Human Rights Act 1998 protects individuals’ right to family life, it is a qualified right and can be lawfully restricted when necessary and proportionate to protect others (Human Rights Act, 1998). In this case, growing concerns about the child’s safety meant that interference with Article 8 was justified, despite the mother’s wish for this right to be fully upheld.</w:t>
            </w:r>
          </w:p>
          <w:p w14:paraId="5E1F4789"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In contrast, Article 19 of the UNCRC (1989) places a clear duty on professionals to protect children from harm (United nations, 2026). When these rights conflict, social workers must prioritise the child’s welfare. Therefore, safeguarding the child outweighed unrestricted respect for family privacy, and the intervention was proportionate.</w:t>
            </w:r>
          </w:p>
          <w:p w14:paraId="710829E9"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This approach is reinforced by Section 1 of the Children Act 1989, which states that the child’s welfare is the paramount consideration. This provides a clear legal basis for prioritising the child’s safety when Article 8 rights come into tension with safeguarding duties (The National Archives, 2013).</w:t>
            </w:r>
          </w:p>
          <w:p w14:paraId="613CB2FF"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Safeguarding legislation varies significantly across Wales, the wider United Kingdom (UK), the European Union (EU) and countries beyond Europe, reflecting different legal structures and policy priorities. Wales was the first country to embed the UNCRC principles into its law (Welsh Government, 2026).</w:t>
            </w:r>
          </w:p>
          <w:p w14:paraId="70ABDB71"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In Wales, safeguarding is guided by devolved legislation, most notably Part 7 of the Social Services and Well</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being (Wales) Act 2014. This legislation brings together adult and child safeguarding and places a strong focus on wellbeing, rights, and preventative support (</w:t>
            </w:r>
            <w:proofErr w:type="spellStart"/>
            <w:r w:rsidRPr="0055498E">
              <w:rPr>
                <w:rFonts w:ascii="Aptos" w:eastAsia="Aptos" w:hAnsi="Aptos" w:cs="Times New Roman"/>
                <w:kern w:val="2"/>
                <w:sz w:val="24"/>
                <w:szCs w:val="24"/>
                <w:lang w:eastAsia="en-US"/>
                <w14:ligatures w14:val="standardContextual"/>
              </w:rPr>
              <w:t>Gov.Wales</w:t>
            </w:r>
            <w:proofErr w:type="spellEnd"/>
            <w:r w:rsidRPr="0055498E">
              <w:rPr>
                <w:rFonts w:ascii="Aptos" w:eastAsia="Aptos" w:hAnsi="Aptos" w:cs="Times New Roman"/>
                <w:kern w:val="2"/>
                <w:sz w:val="24"/>
                <w:szCs w:val="24"/>
                <w:lang w:eastAsia="en-US"/>
                <w14:ligatures w14:val="standardContextual"/>
              </w:rPr>
              <w:t>, 2021). Alongside this, the Wales Safeguarding Procedures (2019) provide a practical, step</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by</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step framework for professionals, ensuring a consistent and coordinated approach when responding to safeguarding concerns. While the rest of the UK shares core principles such as the paramountcy of the child’s welfare and multi</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agency working. However, each nation operates within its own statutory and policy framework, reflecting devolved responsibilities for children</w:t>
            </w:r>
            <w:r w:rsidRPr="0055498E">
              <w:rPr>
                <w:rFonts w:ascii="Aptos" w:eastAsia="Aptos" w:hAnsi="Aptos" w:cs="Aptos"/>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 xml:space="preserve">s services. </w:t>
            </w:r>
          </w:p>
          <w:p w14:paraId="0C0E7318"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lastRenderedPageBreak/>
              <w:t>In England, safeguarding practice is governed by Working Together to Safeguard Children (HM Government, 2023), which sets expectations for inter</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agency cooperation and outlines duties under the Children Act 1989. Scotland follows the Getting It Right for Every Child (GIRFEC) model (Scottish Government, 2023), a national approach focused on wellbeing, early intervention, and coordinated multi</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agency planning. In Northern Ireland, safeguarding is shaped by the Children (Northern Ireland) Order 1995 (Legislation.gov.uk, 1995), which provides the legal basis for child protection and mirrors many principles of the Children Act 1989. Although each nation uses different frameworks, they all share the aim of ensuring children receive timely, proportionate, and rights</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based protection.</w:t>
            </w:r>
          </w:p>
          <w:p w14:paraId="216208B5"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The European Union established EU</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level human rights instruments to protect fundamental rights across all member states (European Union, 2012). These frameworks guide safeguarding by setting core requirements for protecting children, victims, and vulnerable individuals. However, each member state also applies its own national child protection laws (European Parliament and Council of the European Union, 2012).</w:t>
            </w:r>
          </w:p>
          <w:p w14:paraId="48F4C8F1"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For example, France uses a centralised legal framework with strict mandatory reporting laws, requiring professionals to report any suspected abuse or neglect, with criminal penalties for non</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compliance. French safeguarding also relies heavily on judicial oversight, with specialist child judges overseeing welfare cases and intervention decisions (Bolter &amp; S</w:t>
            </w:r>
            <w:r w:rsidRPr="0055498E">
              <w:rPr>
                <w:rFonts w:ascii="Aptos" w:eastAsia="Aptos" w:hAnsi="Aptos" w:cs="Aptos"/>
                <w:kern w:val="2"/>
                <w:sz w:val="24"/>
                <w:szCs w:val="24"/>
                <w:lang w:eastAsia="en-US"/>
                <w14:ligatures w14:val="standardContextual"/>
              </w:rPr>
              <w:t>é</w:t>
            </w:r>
            <w:r w:rsidRPr="0055498E">
              <w:rPr>
                <w:rFonts w:ascii="Aptos" w:eastAsia="Aptos" w:hAnsi="Aptos" w:cs="Times New Roman"/>
                <w:kern w:val="2"/>
                <w:sz w:val="24"/>
                <w:szCs w:val="24"/>
                <w:lang w:eastAsia="en-US"/>
                <w14:ligatures w14:val="standardContextual"/>
              </w:rPr>
              <w:t>raphin, 2018). In contrast, safeguarding in Wales is guided by the Social Services and Well</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 xml:space="preserve">being (Wales) Act 2014 and relies more on professional judgement, supported by the Wales Safeguarding Procedures 2019 which set out clear expectations for recognising, reporting, and responding to concerns. </w:t>
            </w:r>
          </w:p>
          <w:p w14:paraId="71CDA070"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 xml:space="preserve">In preparation for ICPC, every professional who works with or knows the family must provide a written report. These reports are then considered during the conference, where all involved professionals and the mother are present. After discussing the information and sharing evidence, each professional is required to give a recommendation on whether the child is at risk of significant harm and whether their name should be placed on the child protection register. If the </w:t>
            </w:r>
            <w:r w:rsidRPr="0055498E">
              <w:rPr>
                <w:rFonts w:ascii="Aptos" w:eastAsia="Aptos" w:hAnsi="Aptos" w:cs="Times New Roman"/>
                <w:kern w:val="2"/>
                <w:sz w:val="24"/>
                <w:szCs w:val="24"/>
                <w:lang w:eastAsia="en-US"/>
                <w14:ligatures w14:val="standardContextual"/>
              </w:rPr>
              <w:lastRenderedPageBreak/>
              <w:t>professionals agree that registration is necessary, they must also identify the primary category of harm such as emotional, neglect, physical, or sexual.</w:t>
            </w:r>
          </w:p>
          <w:p w14:paraId="7890CF30"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In this case, all professionals agreed that the child’s name should be placed on the Child Protection Register under the category of neglect, with emotional harm identified as a secondary category. A Child Protection Plan was then developed to outline the support the family needed to achieve change, using the Steps to Change framework (2023). This framework helps professionals and families understand how concerns can progress from an elevated level of risk to a reduced, “good enough” standard of care (</w:t>
            </w:r>
            <w:r>
              <w:rPr>
                <w:rFonts w:ascii="Aptos" w:eastAsia="Aptos" w:hAnsi="Aptos" w:cs="Times New Roman"/>
                <w:kern w:val="2"/>
                <w:sz w:val="24"/>
                <w:szCs w:val="24"/>
                <w:lang w:eastAsia="en-US"/>
                <w14:ligatures w14:val="standardContextual"/>
              </w:rPr>
              <w:t>Effective Child Protection</w:t>
            </w:r>
            <w:r w:rsidRPr="0055498E">
              <w:rPr>
                <w:rFonts w:ascii="Aptos" w:eastAsia="Aptos" w:hAnsi="Aptos" w:cs="Times New Roman"/>
                <w:kern w:val="2"/>
                <w:sz w:val="24"/>
                <w:szCs w:val="24"/>
                <w:lang w:eastAsia="en-US"/>
                <w14:ligatures w14:val="standardContextual"/>
              </w:rPr>
              <w:t xml:space="preserve">, 2023). The visual guide within the framework was particularly helpful for the mother, as it clearly presented the concerns and highlighted the areas where </w:t>
            </w:r>
            <w:r w:rsidRPr="00DC03B9">
              <w:rPr>
                <w:rFonts w:ascii="Aptos" w:eastAsia="Aptos" w:hAnsi="Aptos" w:cs="Times New Roman"/>
                <w:kern w:val="2"/>
                <w:sz w:val="24"/>
                <w:szCs w:val="24"/>
                <w:lang w:eastAsia="en-US"/>
                <w14:ligatures w14:val="standardContextual"/>
              </w:rPr>
              <w:t>improvement was required.</w:t>
            </w:r>
          </w:p>
          <w:p w14:paraId="666950DB"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In my own work with this family, when concerns escalated and no changes were made on the child protection plan. I followed the Public Law Outline (PLO) framework which sets out legal requirements for pre</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proceedings and mandates that local authorities issue a Letter Before Proceedings before considering care proceedings</w:t>
            </w:r>
            <w:r>
              <w:rPr>
                <w:rFonts w:ascii="Aptos" w:eastAsia="Aptos" w:hAnsi="Aptos" w:cs="Times New Roman"/>
                <w:kern w:val="2"/>
                <w:sz w:val="24"/>
                <w:szCs w:val="24"/>
                <w:lang w:eastAsia="en-US"/>
                <w14:ligatures w14:val="standardContextual"/>
              </w:rPr>
              <w:t xml:space="preserve"> (Mclean, 2023)</w:t>
            </w:r>
            <w:r w:rsidRPr="0055498E">
              <w:rPr>
                <w:rFonts w:ascii="Aptos" w:eastAsia="Aptos" w:hAnsi="Aptos" w:cs="Times New Roman"/>
                <w:kern w:val="2"/>
                <w:sz w:val="24"/>
                <w:szCs w:val="24"/>
                <w:lang w:eastAsia="en-US"/>
                <w14:ligatures w14:val="standardContextual"/>
              </w:rPr>
              <w:t>. I had considered pre proceedings and issued a Letter Before Proceedings to this family. Under the French system, however, this level of concern would likely have been brought before a child judge much earlier, as judicial involvement forms a routine part of France’s child</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protection process. This contrast highlights how France follows a more centralised and legally prescriptive model, whereas Wales operates a collaborative, guidance</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led approach that relies more on professional judgement.</w:t>
            </w:r>
          </w:p>
          <w:p w14:paraId="714FDB77"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Outside the EU, safeguarding systems differ considerably. While some countries have strong statutory protections and mandatory reporting duties, others rely more heavily on the UN Convention on the Rights of the Child, with implementation shaped by cultural, political, and economic factors. In Japan, deep</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rooted cultural expectations around family privacy mean parents are afforded significant authority over child</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 xml:space="preserve">rearing, and professionals are often reluctant to report concerns despite mandatory reporting laws (Goodman, 2000). As a result, the threshold for state intervention is extremely high (Fujiwara, Yamaoka &amp; Kawachi, 2018). Reflecting on this case, had I not intervened to support the mother, the child’s safety and </w:t>
            </w:r>
            <w:r w:rsidRPr="0055498E">
              <w:rPr>
                <w:rFonts w:ascii="Aptos" w:eastAsia="Aptos" w:hAnsi="Aptos" w:cs="Times New Roman"/>
                <w:kern w:val="2"/>
                <w:sz w:val="24"/>
                <w:szCs w:val="24"/>
                <w:lang w:eastAsia="en-US"/>
                <w14:ligatures w14:val="standardContextual"/>
              </w:rPr>
              <w:lastRenderedPageBreak/>
              <w:t>wellbeing could have been left at risk, highlighting the importance of decisive action within the Welsh safeguarding framework.</w:t>
            </w:r>
          </w:p>
          <w:p w14:paraId="1FA35261" w14:textId="593CCAFE"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kern w:val="2"/>
                <w:sz w:val="24"/>
                <w:szCs w:val="24"/>
                <w:lang w:eastAsia="en-US"/>
                <w14:ligatures w14:val="standardContextual"/>
              </w:rPr>
            </w:pPr>
            <w:r w:rsidRPr="0055498E">
              <w:rPr>
                <w:rFonts w:ascii="Aptos" w:eastAsia="Aptos" w:hAnsi="Aptos" w:cs="Times New Roman"/>
                <w:kern w:val="2"/>
                <w:sz w:val="24"/>
                <w:szCs w:val="24"/>
                <w:lang w:eastAsia="en-US"/>
                <w14:ligatures w14:val="standardContextual"/>
              </w:rPr>
              <w:t>Following the ICPC, an Initial Core Group meeting must be held within 10 working days, bringing together the multi</w:t>
            </w:r>
            <w:r w:rsidRPr="0055498E">
              <w:rPr>
                <w:rFonts w:ascii="Cambria Math" w:eastAsia="Aptos" w:hAnsi="Cambria Math" w:cs="Cambria Math"/>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agency professionals involved. The Core Group then meets every four weeks to review the Child Protection Plan and assess progress within the Steps to Change framework (2023)</w:t>
            </w:r>
            <w:r w:rsidR="00DC03B9">
              <w:rPr>
                <w:rFonts w:ascii="Aptos" w:eastAsia="Aptos" w:hAnsi="Aptos" w:cs="Times New Roman"/>
                <w:kern w:val="2"/>
                <w:sz w:val="24"/>
                <w:szCs w:val="24"/>
                <w:lang w:eastAsia="en-US"/>
                <w14:ligatures w14:val="standardContextual"/>
              </w:rPr>
              <w:t xml:space="preserve"> (Social Care Wales, 2026b)</w:t>
            </w:r>
            <w:r w:rsidRPr="0055498E">
              <w:rPr>
                <w:rFonts w:ascii="Aptos" w:eastAsia="Aptos" w:hAnsi="Aptos" w:cs="Times New Roman"/>
                <w:kern w:val="2"/>
                <w:sz w:val="24"/>
                <w:szCs w:val="24"/>
                <w:lang w:eastAsia="en-US"/>
                <w14:ligatures w14:val="standardContextual"/>
              </w:rPr>
              <w:t xml:space="preserve">. For example, Step Two confirms that care is not </w:t>
            </w:r>
            <w:r w:rsidRPr="0055498E">
              <w:rPr>
                <w:rFonts w:ascii="Aptos" w:eastAsia="Aptos" w:hAnsi="Aptos" w:cs="Aptos"/>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good enough</w:t>
            </w:r>
            <w:r w:rsidRPr="0055498E">
              <w:rPr>
                <w:rFonts w:ascii="Aptos" w:eastAsia="Aptos" w:hAnsi="Aptos" w:cs="Aptos"/>
                <w:kern w:val="2"/>
                <w:sz w:val="24"/>
                <w:szCs w:val="24"/>
                <w:lang w:eastAsia="en-US"/>
                <w14:ligatures w14:val="standardContextual"/>
              </w:rPr>
              <w:t>”</w:t>
            </w:r>
            <w:r w:rsidRPr="0055498E">
              <w:rPr>
                <w:rFonts w:ascii="Aptos" w:eastAsia="Aptos" w:hAnsi="Aptos" w:cs="Times New Roman"/>
                <w:kern w:val="2"/>
                <w:sz w:val="24"/>
                <w:szCs w:val="24"/>
                <w:lang w:eastAsia="en-US"/>
                <w14:ligatures w14:val="standardContextual"/>
              </w:rPr>
              <w:t xml:space="preserve"> as established in the ICPC, while Step Three reflects the first signs of change, where the parent begins to acknowledge and understand the concerns. The framework progresses to Step Eight, where clear evidence demonstrates that care has reached a “good enough” standard, agreed within the ICPC (Effective Child Protection, 2023). In this case, the mother struggled to move beyond Step Three, as she did not consistently acknowledge the concerns and believed many were justifiable.</w:t>
            </w:r>
          </w:p>
          <w:p w14:paraId="579C0750" w14:textId="661BF180"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As the months progressed, the family continued to be subject to a Child Protection Plan, and the concerns were increasing rather than reducing. At this stage, it was felt that initiating the Public Law Outline (PLO) process was necessary.</w:t>
            </w:r>
            <w:r w:rsidRPr="0055498E">
              <w:rPr>
                <w:rFonts w:ascii="Aptos" w:eastAsia="Aptos" w:hAnsi="Aptos" w:cs="Times New Roman"/>
                <w:color w:val="auto"/>
                <w:kern w:val="2"/>
                <w:sz w:val="24"/>
                <w:szCs w:val="24"/>
                <w:lang w:val="cy-GB" w:eastAsia="en-US"/>
                <w14:ligatures w14:val="standardContextual"/>
              </w:rPr>
              <w:t xml:space="preserve"> </w:t>
            </w:r>
            <w:r w:rsidRPr="0055498E">
              <w:rPr>
                <w:rFonts w:ascii="Aptos" w:eastAsia="Aptos" w:hAnsi="Aptos" w:cs="Times New Roman"/>
                <w:color w:val="auto"/>
                <w:kern w:val="2"/>
                <w:sz w:val="24"/>
                <w:szCs w:val="24"/>
                <w:lang w:eastAsia="en-US"/>
                <w14:ligatures w14:val="standardContextual"/>
              </w:rPr>
              <w:t>In Wales, the PLO process lies within Section 31 of the Children Act 1989</w:t>
            </w:r>
            <w:r w:rsidR="002657CC">
              <w:rPr>
                <w:rFonts w:ascii="Aptos" w:eastAsia="Aptos" w:hAnsi="Aptos" w:cs="Times New Roman"/>
                <w:color w:val="auto"/>
                <w:kern w:val="2"/>
                <w:sz w:val="24"/>
                <w:szCs w:val="24"/>
                <w:lang w:eastAsia="en-US"/>
                <w14:ligatures w14:val="standardContextual"/>
              </w:rPr>
              <w:t xml:space="preserve"> (GOV.UK, 1989a)</w:t>
            </w:r>
            <w:r w:rsidRPr="0055498E">
              <w:rPr>
                <w:rFonts w:ascii="Aptos" w:eastAsia="Aptos" w:hAnsi="Aptos" w:cs="Times New Roman"/>
                <w:color w:val="auto"/>
                <w:kern w:val="2"/>
                <w:sz w:val="24"/>
                <w:szCs w:val="24"/>
                <w:lang w:eastAsia="en-US"/>
                <w14:ligatures w14:val="standardContextual"/>
              </w:rPr>
              <w:t xml:space="preserve">, it is used by local authorities to discuss cases whereby significant harm is a concern before taking legal action (Care Inspectorate Wales, 2024). </w:t>
            </w:r>
          </w:p>
          <w:p w14:paraId="17D16B1F"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An internal meeting was held with team managers and the local authority’s legal representatives to consider whether the case met the threshold for progressing into pre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proceedings. It was concluded that the level of harm was not reducing, and therefore issuing a Letter Before Proceedings was the appropriate course of action as it would provide the family with a three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month period to demonstrate meaningful change and reduce the risk of the situation escalating to court proceedings.</w:t>
            </w:r>
          </w:p>
          <w:p w14:paraId="58073CAE" w14:textId="2F3C60B1"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The PLO process fits well with the Ways of Working set out in the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of Future Generations (Wales) Act 2015, which guides public services in Wales to promote long</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term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The Act requires a focus on prevention, involvement, collaboration, integration, and long</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 xml:space="preserve">term </w:t>
            </w:r>
            <w:r w:rsidRPr="000A67F4">
              <w:rPr>
                <w:rFonts w:ascii="Aptos" w:eastAsia="Aptos" w:hAnsi="Aptos" w:cs="Times New Roman"/>
                <w:color w:val="auto"/>
                <w:kern w:val="2"/>
                <w:sz w:val="24"/>
                <w:szCs w:val="24"/>
                <w:lang w:eastAsia="en-US"/>
                <w14:ligatures w14:val="standardContextual"/>
              </w:rPr>
              <w:t>thinking, all of which directly align with the purpose of the PLO</w:t>
            </w:r>
            <w:r w:rsidR="00E1781D" w:rsidRPr="000A67F4">
              <w:rPr>
                <w:rFonts w:ascii="Aptos" w:eastAsia="Aptos" w:hAnsi="Aptos" w:cs="Times New Roman"/>
                <w:color w:val="auto"/>
                <w:kern w:val="2"/>
                <w:sz w:val="24"/>
                <w:szCs w:val="24"/>
                <w:lang w:eastAsia="en-US"/>
                <w14:ligatures w14:val="standardContextual"/>
              </w:rPr>
              <w:t xml:space="preserve"> </w:t>
            </w:r>
            <w:r w:rsidR="000A67F4">
              <w:rPr>
                <w:rFonts w:ascii="Aptos" w:eastAsia="Aptos" w:hAnsi="Aptos" w:cs="Times New Roman"/>
                <w:color w:val="auto"/>
                <w:kern w:val="2"/>
                <w:sz w:val="24"/>
                <w:szCs w:val="24"/>
                <w:lang w:eastAsia="en-US"/>
                <w14:ligatures w14:val="standardContextual"/>
              </w:rPr>
              <w:t>(Welsh Government, 2015)</w:t>
            </w:r>
            <w:r w:rsidRPr="000A67F4">
              <w:rPr>
                <w:rFonts w:ascii="Aptos" w:eastAsia="Aptos" w:hAnsi="Aptos" w:cs="Times New Roman"/>
                <w:color w:val="auto"/>
                <w:kern w:val="2"/>
                <w:sz w:val="24"/>
                <w:szCs w:val="24"/>
                <w:lang w:eastAsia="en-US"/>
                <w14:ligatures w14:val="standardContextual"/>
              </w:rPr>
              <w:t>.</w:t>
            </w:r>
          </w:p>
          <w:p w14:paraId="28AFD6CC" w14:textId="58481D68"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The PLO process supports the Act’s duty to promote long</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term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by looking beyond the immediate risks of significant harm and focusing on securing positive outcomes for children. This means families are supported to make meaningful and sustainable changes, which can prevent the need for court proceedings and help children experience safer and more positive outcomes</w:t>
            </w:r>
            <w:r w:rsidR="000A67F4">
              <w:rPr>
                <w:rFonts w:ascii="Aptos" w:eastAsia="Aptos" w:hAnsi="Aptos" w:cs="Times New Roman"/>
                <w:color w:val="auto"/>
                <w:kern w:val="2"/>
                <w:sz w:val="24"/>
                <w:szCs w:val="24"/>
                <w:lang w:eastAsia="en-US"/>
                <w14:ligatures w14:val="standardContextual"/>
              </w:rPr>
              <w:t xml:space="preserve"> (</w:t>
            </w:r>
            <w:r w:rsidR="000A67F4" w:rsidRPr="000A67F4">
              <w:rPr>
                <w:rFonts w:ascii="Aptos" w:eastAsia="Aptos" w:hAnsi="Aptos" w:cs="Times New Roman"/>
                <w:color w:val="auto"/>
                <w:kern w:val="2"/>
                <w:sz w:val="24"/>
                <w:szCs w:val="24"/>
                <w:lang w:eastAsia="en-US"/>
                <w14:ligatures w14:val="standardContextual"/>
              </w:rPr>
              <w:t>Care Inspectorate Wales</w:t>
            </w:r>
            <w:r w:rsidR="000A67F4">
              <w:rPr>
                <w:rFonts w:ascii="Aptos" w:eastAsia="Aptos" w:hAnsi="Aptos" w:cs="Times New Roman"/>
                <w:color w:val="auto"/>
                <w:kern w:val="2"/>
                <w:sz w:val="24"/>
                <w:szCs w:val="24"/>
                <w:lang w:eastAsia="en-US"/>
                <w14:ligatures w14:val="standardContextual"/>
              </w:rPr>
              <w:t>, 2</w:t>
            </w:r>
            <w:r w:rsidR="000A67F4" w:rsidRPr="000A67F4">
              <w:rPr>
                <w:rFonts w:ascii="Aptos" w:eastAsia="Aptos" w:hAnsi="Aptos" w:cs="Times New Roman"/>
                <w:color w:val="auto"/>
                <w:kern w:val="2"/>
                <w:sz w:val="24"/>
                <w:szCs w:val="24"/>
                <w:lang w:eastAsia="en-US"/>
                <w14:ligatures w14:val="standardContextual"/>
              </w:rPr>
              <w:t>024)</w:t>
            </w:r>
            <w:r w:rsidR="000A67F4">
              <w:rPr>
                <w:rFonts w:ascii="Aptos" w:eastAsia="Aptos" w:hAnsi="Aptos" w:cs="Times New Roman"/>
                <w:color w:val="auto"/>
                <w:kern w:val="2"/>
                <w:sz w:val="24"/>
                <w:szCs w:val="24"/>
                <w:lang w:eastAsia="en-US"/>
                <w14:ligatures w14:val="standardContextual"/>
              </w:rPr>
              <w:t>.</w:t>
            </w:r>
          </w:p>
          <w:p w14:paraId="7CD0260C" w14:textId="34065A92"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PLO also encourages collaborative working with families, ensuring they are involved in decisions and supported through each step. The structured support provided during the PLO process fits with the Act’s focus on improving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by working alongside families and involving them in decisions</w:t>
            </w:r>
            <w:r w:rsidR="000A67F4">
              <w:rPr>
                <w:rFonts w:ascii="Aptos" w:eastAsia="Aptos" w:hAnsi="Aptos" w:cs="Times New Roman"/>
                <w:color w:val="auto"/>
                <w:kern w:val="2"/>
                <w:sz w:val="24"/>
                <w:szCs w:val="24"/>
                <w:lang w:eastAsia="en-US"/>
                <w14:ligatures w14:val="standardContextual"/>
              </w:rPr>
              <w:t xml:space="preserve"> (Social Care Wales, 2017b)</w:t>
            </w:r>
            <w:r w:rsidRPr="0055498E">
              <w:rPr>
                <w:rFonts w:ascii="Aptos" w:eastAsia="Aptos" w:hAnsi="Aptos" w:cs="Times New Roman"/>
                <w:color w:val="auto"/>
                <w:kern w:val="2"/>
                <w:sz w:val="24"/>
                <w:szCs w:val="24"/>
                <w:lang w:eastAsia="en-US"/>
                <w14:ligatures w14:val="standardContextual"/>
              </w:rPr>
              <w:t>. This co</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produced approach helps to create positive, long</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term changes and supports better outcomes for children.</w:t>
            </w:r>
          </w:p>
          <w:p w14:paraId="5850A7AC"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One of the recommendations from the PLO process was to complete a specialist parenting assessment with the mother using Parent Assess. Parent Assess is a structured assessment model grounded in case law and designed specifically for assessing parents with learning disabilities. It focuses on adapting the assessment process to meet the parent’s needs. Giving the professional a clear understanding of the parent’s capacity to make and sustain safe changes (</w:t>
            </w:r>
            <w:proofErr w:type="spellStart"/>
            <w:r w:rsidRPr="0055498E">
              <w:rPr>
                <w:rFonts w:ascii="Aptos" w:eastAsia="Aptos" w:hAnsi="Aptos" w:cs="Times New Roman"/>
                <w:color w:val="auto"/>
                <w:kern w:val="2"/>
                <w:sz w:val="24"/>
                <w:szCs w:val="24"/>
                <w:lang w:eastAsia="en-US"/>
                <w14:ligatures w14:val="standardContextual"/>
              </w:rPr>
              <w:t>ParentAssess</w:t>
            </w:r>
            <w:proofErr w:type="spellEnd"/>
            <w:r w:rsidRPr="0055498E">
              <w:rPr>
                <w:rFonts w:ascii="Aptos" w:eastAsia="Aptos" w:hAnsi="Aptos" w:cs="Times New Roman"/>
                <w:color w:val="auto"/>
                <w:kern w:val="2"/>
                <w:sz w:val="24"/>
                <w:szCs w:val="24"/>
                <w:lang w:eastAsia="en-US"/>
                <w14:ligatures w14:val="standardContextual"/>
              </w:rPr>
              <w:t>, 2025).</w:t>
            </w:r>
          </w:p>
          <w:p w14:paraId="293D6181"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This assessment was considered necessary because the mother had not been able to make or maintain any changes so far. There was a need to understand whether she had any underlying barriers that might be preventing her from making progress, and whether additional support or adaptations were required to help her do so. </w:t>
            </w:r>
          </w:p>
          <w:p w14:paraId="32D25A8B"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At the end of the Parent Assess assessment, I was required to outline my findings and make recommendations about what support or intervention was needed next. This was an extraordinarily complex case with multiple barriers, and I remember feeling out of my depth when trying to reach such a significant conclusion. Although it was my responsibility as the social worker to provide this recommendation, I felt too involved in the case to be fully objective. I believed that an external practitioner with more specialist knowledge of different learning disabilities might have been better placed to make an informed judgement.</w:t>
            </w:r>
          </w:p>
          <w:p w14:paraId="4AE867AE"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lastRenderedPageBreak/>
              <w:t xml:space="preserve">I was also conscious that my view of the case may have been influenced by my own frustrations as the allocated </w:t>
            </w:r>
            <w:proofErr w:type="gramStart"/>
            <w:r w:rsidRPr="0055498E">
              <w:rPr>
                <w:rFonts w:ascii="Aptos" w:eastAsia="Aptos" w:hAnsi="Aptos" w:cs="Times New Roman"/>
                <w:color w:val="auto"/>
                <w:kern w:val="2"/>
                <w:sz w:val="24"/>
                <w:szCs w:val="24"/>
                <w:lang w:eastAsia="en-US"/>
                <w14:ligatures w14:val="standardContextual"/>
              </w:rPr>
              <w:t>Social</w:t>
            </w:r>
            <w:proofErr w:type="gramEnd"/>
            <w:r w:rsidRPr="0055498E">
              <w:rPr>
                <w:rFonts w:ascii="Aptos" w:eastAsia="Aptos" w:hAnsi="Aptos" w:cs="Times New Roman"/>
                <w:color w:val="auto"/>
                <w:kern w:val="2"/>
                <w:sz w:val="24"/>
                <w:szCs w:val="24"/>
                <w:lang w:eastAsia="en-US"/>
                <w14:ligatures w14:val="standardContextual"/>
              </w:rPr>
              <w:t xml:space="preserve"> worker, which could have affected my ability to give a fully fair recommendation. However, on reflection, I recognised that this feeling was partly connected to my own lack of confidence rather than a lack of ability. Ultimately, it was my role to reach a conclusion, and I knew the family’s circumstances better than anyone involved at that stage. This experience highlighted the importance of acknowledging both my professional strengths and my areas for further development.</w:t>
            </w:r>
          </w:p>
          <w:p w14:paraId="50DE483D"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My recommendation was that the case should be brought back to the three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month PLO meeting once the LBP had been completed, as further discussion would be needed if there was any meaningful change.</w:t>
            </w:r>
          </w:p>
          <w:p w14:paraId="7A8637AE"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I stepped away from the case during the pre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proceedings stage of the Letter Before Proceedings, as I was leaving my role to move to the adults</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 xml:space="preserve"> team. I am not aware of how the case progressed after this point or whether the mother made any changes. Following the end of the pre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proceedings period, there would have been a review involving managers and legal representatives to consider any evidence of change. If it were assessed that the mother had not made sufficient progress, the decision would likely have been to initiate legal proceedings and begin care proceedings under the Children’s Act (1989).</w:t>
            </w:r>
          </w:p>
          <w:p w14:paraId="0A130128"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At this stage, the local authority would apply to the court for a Care Order for the child. This application would include detailed evidence outlining why court intervention is necessary and clearly setting out the concerns. Following this, the first hearing would take place, during which initial decisions about the child’s plan would be made (Doughty &amp; Davies, 2018).</w:t>
            </w:r>
          </w:p>
          <w:p w14:paraId="16200139"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 xml:space="preserve">The case would then move into the stage where the court considers an Interim Care Order. This would grant the local authority temporary parental responsibility to ensure the child’s safety while assessments continue. After this, there would be a period of evidence gathering, during which the court obtains information from various professionals and reviews all relevant reports. This prepares the court for the final hearing, where a decision is made based on the child’s best interests. Possible outcomes at the final hearing include a Care Order, a Supervision Order, or a </w:t>
            </w:r>
            <w:r w:rsidRPr="0055498E">
              <w:rPr>
                <w:rFonts w:ascii="Aptos" w:eastAsia="Aptos" w:hAnsi="Aptos" w:cs="Times New Roman"/>
                <w:color w:val="auto"/>
                <w:kern w:val="2"/>
                <w:sz w:val="24"/>
                <w:szCs w:val="24"/>
                <w:lang w:eastAsia="en-US"/>
                <w14:ligatures w14:val="standardContextual"/>
              </w:rPr>
              <w:lastRenderedPageBreak/>
              <w:t xml:space="preserve">Family Assistance Order (Cafcass Cymru, 2026). For the child’s best interest, it was my hope that the mother made the meaningful changes and was able to sustain them for the child’s future development. </w:t>
            </w:r>
          </w:p>
          <w:p w14:paraId="64DBA931"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In conclusion, this case highlighted the complexity and emotional intensity of safeguarding work with very young children. Through the assessment and escalation into child</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protection processes, I strengthened my understanding of how professional judgement must be grounded in legislation, policy, theory, and reflective practice. Erikson</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psychosocial theory and Bronfenbrenner</w:t>
            </w:r>
            <w:r w:rsidRPr="0055498E">
              <w:rPr>
                <w:rFonts w:ascii="Aptos" w:eastAsia="Aptos" w:hAnsi="Aptos" w:cs="Aptos"/>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s ecological systems model helped me move beyond a narrow focus on parental behaviour and towards a broader understanding of how trauma, environment, and developmental needs affect parenting capacity. This supported a more balanced, child</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centred approach aligned with the Munro Review.</w:t>
            </w:r>
          </w:p>
          <w:p w14:paraId="59F6B390"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The case also demonstrated the difficulty of maintaining constructive relationships with parents during escalating concerns, and how disengagement can heighten risk. Balancing parental rights with the need to act decisively required careful ethical reasoning, guided by duties within the Children Act 1989, the Social Services and Well</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being (Wales) Act 2014, and the UNCRC, ensuring decisions were lawful, proportionate, and centred on the child.</w:t>
            </w:r>
          </w:p>
          <w:p w14:paraId="68537154" w14:textId="77777777"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Engagement in the Section 47 enquiry, Child Protection Planning, the Steps to Change framework, and the PLO process underscored the importance of multi</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agency collaboration, timely action, and structured, strengths</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based interventions. Completing the Parent Assess also highlighted areas for my own development, including confidence in forming complex judgements, recommendations and recognising the influence of my emotions on practice.</w:t>
            </w:r>
          </w:p>
          <w:p w14:paraId="642F916F" w14:textId="77777777" w:rsidR="004F1C39" w:rsidRDefault="004F1C39" w:rsidP="004F1C39">
            <w:pPr>
              <w:overflowPunct/>
              <w:autoSpaceDE/>
              <w:autoSpaceDN/>
              <w:adjustRightInd/>
              <w:spacing w:after="160" w:line="360" w:lineRule="auto"/>
              <w:jc w:val="both"/>
              <w:textAlignment w:val="auto"/>
              <w:rPr>
                <w:rFonts w:ascii="Aptos" w:eastAsia="Aptos" w:hAnsi="Aptos" w:cs="Times New Roman"/>
                <w:color w:val="auto"/>
                <w:kern w:val="2"/>
                <w:sz w:val="24"/>
                <w:szCs w:val="24"/>
                <w:lang w:eastAsia="en-US"/>
                <w14:ligatures w14:val="standardContextual"/>
              </w:rPr>
            </w:pPr>
            <w:r w:rsidRPr="0055498E">
              <w:rPr>
                <w:rFonts w:ascii="Aptos" w:eastAsia="Aptos" w:hAnsi="Aptos" w:cs="Times New Roman"/>
                <w:color w:val="auto"/>
                <w:kern w:val="2"/>
                <w:sz w:val="24"/>
                <w:szCs w:val="24"/>
                <w:lang w:eastAsia="en-US"/>
                <w14:ligatures w14:val="standardContextual"/>
              </w:rPr>
              <w:t>Although I left the case before its conclusion, it significantly shaped my understanding of safeguarding, reinforcing the need for reflective, ethical, evidence</w:t>
            </w:r>
            <w:r w:rsidRPr="0055498E">
              <w:rPr>
                <w:rFonts w:ascii="Cambria Math" w:eastAsia="Aptos" w:hAnsi="Cambria Math" w:cs="Cambria Math"/>
                <w:color w:val="auto"/>
                <w:kern w:val="2"/>
                <w:sz w:val="24"/>
                <w:szCs w:val="24"/>
                <w:lang w:eastAsia="en-US"/>
                <w14:ligatures w14:val="standardContextual"/>
              </w:rPr>
              <w:t>‑</w:t>
            </w:r>
            <w:r w:rsidRPr="0055498E">
              <w:rPr>
                <w:rFonts w:ascii="Aptos" w:eastAsia="Aptos" w:hAnsi="Aptos" w:cs="Times New Roman"/>
                <w:color w:val="auto"/>
                <w:kern w:val="2"/>
                <w:sz w:val="24"/>
                <w:szCs w:val="24"/>
                <w:lang w:eastAsia="en-US"/>
                <w14:ligatures w14:val="standardContextual"/>
              </w:rPr>
              <w:t>based practice. Above all, it reaffirmed that the child’s safety, wellbeing, and development must always remain the paramount consideration.</w:t>
            </w:r>
          </w:p>
          <w:p w14:paraId="0FEB3B13" w14:textId="683C63ED" w:rsidR="004F1C39" w:rsidRPr="0055498E" w:rsidRDefault="004F1C39" w:rsidP="004F1C39">
            <w:pPr>
              <w:overflowPunct/>
              <w:autoSpaceDE/>
              <w:autoSpaceDN/>
              <w:adjustRightInd/>
              <w:spacing w:after="160" w:line="360" w:lineRule="auto"/>
              <w:jc w:val="both"/>
              <w:textAlignment w:val="auto"/>
              <w:rPr>
                <w:rFonts w:ascii="Aptos" w:eastAsia="Aptos" w:hAnsi="Aptos" w:cs="Times New Roman"/>
                <w:b/>
                <w:bCs/>
                <w:color w:val="auto"/>
                <w:kern w:val="2"/>
                <w:sz w:val="24"/>
                <w:szCs w:val="24"/>
                <w:lang w:eastAsia="en-US"/>
                <w14:ligatures w14:val="standardContextual"/>
              </w:rPr>
            </w:pPr>
            <w:r>
              <w:rPr>
                <w:rFonts w:ascii="Aptos" w:eastAsia="Aptos" w:hAnsi="Aptos" w:cs="Times New Roman"/>
                <w:b/>
                <w:bCs/>
                <w:color w:val="auto"/>
                <w:kern w:val="2"/>
                <w:sz w:val="24"/>
                <w:szCs w:val="24"/>
                <w:lang w:eastAsia="en-US"/>
                <w14:ligatures w14:val="standardContextual"/>
              </w:rPr>
              <w:t>Word Count - 42</w:t>
            </w:r>
            <w:r w:rsidR="000A67F4">
              <w:rPr>
                <w:rFonts w:ascii="Aptos" w:eastAsia="Aptos" w:hAnsi="Aptos" w:cs="Times New Roman"/>
                <w:b/>
                <w:bCs/>
                <w:color w:val="auto"/>
                <w:kern w:val="2"/>
                <w:sz w:val="24"/>
                <w:szCs w:val="24"/>
                <w:lang w:eastAsia="en-US"/>
                <w14:ligatures w14:val="standardContextual"/>
              </w:rPr>
              <w:t>7</w:t>
            </w:r>
            <w:r w:rsidR="00B96F97">
              <w:rPr>
                <w:rFonts w:ascii="Aptos" w:eastAsia="Aptos" w:hAnsi="Aptos" w:cs="Times New Roman"/>
                <w:b/>
                <w:bCs/>
                <w:color w:val="auto"/>
                <w:kern w:val="2"/>
                <w:sz w:val="24"/>
                <w:szCs w:val="24"/>
                <w:lang w:eastAsia="en-US"/>
                <w14:ligatures w14:val="standardContextual"/>
              </w:rPr>
              <w:t>8</w:t>
            </w:r>
          </w:p>
          <w:p w14:paraId="20370495" w14:textId="79B79501" w:rsidR="00D3203C" w:rsidRPr="004F1C39" w:rsidRDefault="00D3203C" w:rsidP="00FF7EBB">
            <w:pPr>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5A454988" w14:textId="77777777" w:rsidR="004F1C39" w:rsidRDefault="004F1C39" w:rsidP="00FF7EBB">
            <w:pPr>
              <w:jc w:val="both"/>
              <w:rPr>
                <w:i/>
                <w:sz w:val="24"/>
                <w:szCs w:val="24"/>
              </w:rPr>
            </w:pPr>
          </w:p>
          <w:p w14:paraId="658BE7A8" w14:textId="77777777" w:rsidR="004F1C39" w:rsidRDefault="004F1C39" w:rsidP="00FF7EBB">
            <w:pPr>
              <w:jc w:val="both"/>
              <w:rPr>
                <w:i/>
                <w:sz w:val="24"/>
                <w:szCs w:val="24"/>
              </w:rPr>
            </w:pPr>
          </w:p>
          <w:p w14:paraId="7DFA5F01" w14:textId="77777777" w:rsidR="004F1C39" w:rsidRDefault="004F1C39" w:rsidP="00FF7EBB">
            <w:pPr>
              <w:jc w:val="both"/>
              <w:rPr>
                <w:i/>
                <w:sz w:val="24"/>
                <w:szCs w:val="24"/>
              </w:rPr>
            </w:pPr>
          </w:p>
          <w:p w14:paraId="029E8FF3" w14:textId="77777777" w:rsidR="004F1C39" w:rsidRDefault="004F1C39" w:rsidP="00FF7EBB">
            <w:pPr>
              <w:jc w:val="both"/>
              <w:rPr>
                <w:i/>
                <w:sz w:val="24"/>
                <w:szCs w:val="24"/>
              </w:rPr>
            </w:pPr>
          </w:p>
          <w:p w14:paraId="12A04D7A" w14:textId="77777777" w:rsidR="004F1C39" w:rsidRDefault="004F1C39" w:rsidP="00FF7EBB">
            <w:pPr>
              <w:jc w:val="both"/>
              <w:rPr>
                <w:i/>
                <w:sz w:val="24"/>
                <w:szCs w:val="24"/>
              </w:rPr>
            </w:pPr>
          </w:p>
          <w:p w14:paraId="79DA0DFC" w14:textId="77777777" w:rsidR="004F1C39" w:rsidRDefault="004F1C39" w:rsidP="00FF7EBB">
            <w:pPr>
              <w:jc w:val="both"/>
              <w:rPr>
                <w:i/>
                <w:sz w:val="24"/>
                <w:szCs w:val="24"/>
              </w:rPr>
            </w:pPr>
          </w:p>
          <w:p w14:paraId="612E59ED" w14:textId="77777777" w:rsidR="004F1C39" w:rsidRDefault="004F1C39" w:rsidP="00FF7EBB">
            <w:pPr>
              <w:jc w:val="both"/>
              <w:rPr>
                <w:i/>
                <w:sz w:val="24"/>
                <w:szCs w:val="24"/>
              </w:rPr>
            </w:pPr>
          </w:p>
          <w:p w14:paraId="16EE4440" w14:textId="77777777" w:rsidR="004F1C39" w:rsidRDefault="004F1C39" w:rsidP="00FF7EBB">
            <w:pPr>
              <w:jc w:val="both"/>
              <w:rPr>
                <w:i/>
                <w:sz w:val="24"/>
                <w:szCs w:val="24"/>
              </w:rPr>
            </w:pPr>
          </w:p>
          <w:p w14:paraId="65A7A133" w14:textId="77777777" w:rsidR="004F1C39" w:rsidRDefault="004F1C39" w:rsidP="00FF7EBB">
            <w:pPr>
              <w:jc w:val="both"/>
              <w:rPr>
                <w:i/>
                <w:sz w:val="24"/>
                <w:szCs w:val="24"/>
              </w:rPr>
            </w:pPr>
          </w:p>
          <w:p w14:paraId="2F39659F" w14:textId="77777777" w:rsidR="004F1C39" w:rsidRDefault="004F1C39" w:rsidP="00FF7EBB">
            <w:pPr>
              <w:jc w:val="both"/>
              <w:rPr>
                <w:i/>
                <w:sz w:val="24"/>
                <w:szCs w:val="24"/>
              </w:rPr>
            </w:pPr>
          </w:p>
          <w:p w14:paraId="36111F47" w14:textId="77777777" w:rsidR="004F1C39" w:rsidRDefault="004F1C39" w:rsidP="00FF7EBB">
            <w:pPr>
              <w:jc w:val="both"/>
              <w:rPr>
                <w:i/>
                <w:sz w:val="24"/>
                <w:szCs w:val="24"/>
              </w:rPr>
            </w:pPr>
          </w:p>
          <w:p w14:paraId="23A1C5CA" w14:textId="77777777" w:rsidR="004F1C39" w:rsidRDefault="004F1C39" w:rsidP="00FF7EBB">
            <w:pPr>
              <w:jc w:val="both"/>
              <w:rPr>
                <w:i/>
                <w:sz w:val="24"/>
                <w:szCs w:val="24"/>
              </w:rPr>
            </w:pPr>
          </w:p>
          <w:p w14:paraId="416CE7CC" w14:textId="77777777" w:rsidR="004F1C39" w:rsidRDefault="004F1C39" w:rsidP="00FF7EBB">
            <w:pPr>
              <w:jc w:val="both"/>
              <w:rPr>
                <w:i/>
                <w:sz w:val="24"/>
                <w:szCs w:val="24"/>
              </w:rPr>
            </w:pPr>
          </w:p>
          <w:p w14:paraId="0886C9BB" w14:textId="77777777" w:rsidR="004F1C39" w:rsidRDefault="004F1C39" w:rsidP="00FF7EBB">
            <w:pPr>
              <w:jc w:val="both"/>
              <w:rPr>
                <w:i/>
                <w:sz w:val="24"/>
                <w:szCs w:val="24"/>
              </w:rPr>
            </w:pPr>
          </w:p>
          <w:p w14:paraId="30208D9C" w14:textId="77777777" w:rsidR="004F1C39" w:rsidRDefault="004F1C39"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37F40" w14:textId="77777777" w:rsidR="00505ADD" w:rsidRDefault="00505ADD">
      <w:r>
        <w:separator/>
      </w:r>
    </w:p>
  </w:endnote>
  <w:endnote w:type="continuationSeparator" w:id="0">
    <w:p w14:paraId="50CE156C" w14:textId="77777777" w:rsidR="00505ADD" w:rsidRDefault="00505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7D4AB" w14:textId="77777777" w:rsidR="00505ADD" w:rsidRDefault="00505ADD">
      <w:r>
        <w:separator/>
      </w:r>
    </w:p>
  </w:footnote>
  <w:footnote w:type="continuationSeparator" w:id="0">
    <w:p w14:paraId="3A68C0DA" w14:textId="77777777" w:rsidR="00505ADD" w:rsidRDefault="00505A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7F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05"/>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CC"/>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292"/>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C39"/>
    <w:rsid w:val="004F1E21"/>
    <w:rsid w:val="004F2542"/>
    <w:rsid w:val="004F4E33"/>
    <w:rsid w:val="004F740D"/>
    <w:rsid w:val="004F7B8F"/>
    <w:rsid w:val="00500748"/>
    <w:rsid w:val="005011D6"/>
    <w:rsid w:val="00502A14"/>
    <w:rsid w:val="005042F1"/>
    <w:rsid w:val="0050481B"/>
    <w:rsid w:val="00505ADD"/>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C15"/>
    <w:rsid w:val="005F64AA"/>
    <w:rsid w:val="005F7851"/>
    <w:rsid w:val="00606E27"/>
    <w:rsid w:val="006108C9"/>
    <w:rsid w:val="0061347E"/>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2AA"/>
    <w:rsid w:val="00902A65"/>
    <w:rsid w:val="00903932"/>
    <w:rsid w:val="00903D7F"/>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1CB"/>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B10"/>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FE9"/>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524"/>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6F97"/>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92B"/>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3801"/>
    <w:rsid w:val="00DA5682"/>
    <w:rsid w:val="00DA5860"/>
    <w:rsid w:val="00DA5C0C"/>
    <w:rsid w:val="00DA7BBD"/>
    <w:rsid w:val="00DB2767"/>
    <w:rsid w:val="00DC03B9"/>
    <w:rsid w:val="00DC1B10"/>
    <w:rsid w:val="00DC2924"/>
    <w:rsid w:val="00DC4729"/>
    <w:rsid w:val="00DD31C5"/>
    <w:rsid w:val="00DD5020"/>
    <w:rsid w:val="00DD63BE"/>
    <w:rsid w:val="00DE4296"/>
    <w:rsid w:val="00DF2469"/>
    <w:rsid w:val="00DF7899"/>
    <w:rsid w:val="00E0524C"/>
    <w:rsid w:val="00E15751"/>
    <w:rsid w:val="00E17160"/>
    <w:rsid w:val="00E1781D"/>
    <w:rsid w:val="00E17D41"/>
    <w:rsid w:val="00E231D1"/>
    <w:rsid w:val="00E2794F"/>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4494</Words>
  <Characters>25707</Characters>
  <Application>Microsoft Office Word</Application>
  <DocSecurity>0</DocSecurity>
  <Lines>408</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Louise Evans (OEDOLION)</cp:lastModifiedBy>
  <cp:revision>8</cp:revision>
  <cp:lastPrinted>2020-02-11T19:20:00Z</cp:lastPrinted>
  <dcterms:created xsi:type="dcterms:W3CDTF">2026-02-21T21:34:00Z</dcterms:created>
  <dcterms:modified xsi:type="dcterms:W3CDTF">2026-02-23T22:20:00Z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