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CBC84B" w14:textId="77777777" w:rsidR="00B43E36" w:rsidRDefault="00B43E36" w:rsidP="001C65B8">
      <w:pPr>
        <w:spacing w:after="0" w:line="360" w:lineRule="auto"/>
        <w:rPr>
          <w:rFonts w:ascii="Times New Roman" w:hAnsi="Times New Roman" w:cs="Times New Roman"/>
          <w:b/>
          <w:bCs/>
        </w:rPr>
      </w:pPr>
    </w:p>
    <w:p w14:paraId="706A7422" w14:textId="7D902628" w:rsidR="00B43E36" w:rsidRDefault="00B43E36" w:rsidP="001C65B8">
      <w:pPr>
        <w:spacing w:after="0"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STUDENT NAME: CHRISTIANA ADDO FYNN</w:t>
      </w:r>
    </w:p>
    <w:p w14:paraId="1FCB30F0" w14:textId="4194C186" w:rsidR="00B43E36" w:rsidRDefault="00B43E36" w:rsidP="001C65B8">
      <w:pPr>
        <w:spacing w:after="0"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STUDENT ID :         2336424</w:t>
      </w:r>
    </w:p>
    <w:p w14:paraId="06027668" w14:textId="77777777" w:rsidR="00B43E36" w:rsidRDefault="00B43E36" w:rsidP="001C65B8">
      <w:pPr>
        <w:spacing w:after="0" w:line="360" w:lineRule="auto"/>
        <w:rPr>
          <w:rFonts w:ascii="Times New Roman" w:hAnsi="Times New Roman" w:cs="Times New Roman"/>
          <w:b/>
          <w:bCs/>
        </w:rPr>
      </w:pPr>
    </w:p>
    <w:p w14:paraId="3C426980" w14:textId="77777777" w:rsidR="00B43E36" w:rsidRDefault="00B43E36" w:rsidP="001C65B8">
      <w:pPr>
        <w:spacing w:after="0" w:line="360" w:lineRule="auto"/>
        <w:rPr>
          <w:rFonts w:ascii="Times New Roman" w:hAnsi="Times New Roman" w:cs="Times New Roman"/>
          <w:b/>
          <w:bCs/>
        </w:rPr>
      </w:pPr>
    </w:p>
    <w:p w14:paraId="6434A42F" w14:textId="77777777" w:rsidR="00B43E36" w:rsidRDefault="00B43E36" w:rsidP="001C65B8">
      <w:pPr>
        <w:spacing w:after="0" w:line="360" w:lineRule="auto"/>
        <w:rPr>
          <w:rFonts w:ascii="Times New Roman" w:hAnsi="Times New Roman" w:cs="Times New Roman"/>
          <w:b/>
          <w:bCs/>
        </w:rPr>
      </w:pPr>
    </w:p>
    <w:p w14:paraId="4CD28D5C" w14:textId="77777777" w:rsidR="00B43E36" w:rsidRDefault="00B43E36" w:rsidP="001C65B8">
      <w:pPr>
        <w:spacing w:after="0" w:line="360" w:lineRule="auto"/>
        <w:rPr>
          <w:rFonts w:ascii="Times New Roman" w:hAnsi="Times New Roman" w:cs="Times New Roman"/>
          <w:b/>
          <w:bCs/>
        </w:rPr>
      </w:pPr>
    </w:p>
    <w:p w14:paraId="5DEFAD0E" w14:textId="77777777" w:rsidR="00B43E36" w:rsidRDefault="00B43E36" w:rsidP="001C65B8">
      <w:pPr>
        <w:spacing w:after="0" w:line="360" w:lineRule="auto"/>
        <w:rPr>
          <w:rFonts w:ascii="Times New Roman" w:hAnsi="Times New Roman" w:cs="Times New Roman"/>
          <w:b/>
          <w:bCs/>
        </w:rPr>
      </w:pPr>
    </w:p>
    <w:p w14:paraId="6F77A900" w14:textId="77777777" w:rsidR="00B43E36" w:rsidRDefault="00B43E36" w:rsidP="001C65B8">
      <w:pPr>
        <w:spacing w:after="0" w:line="360" w:lineRule="auto"/>
        <w:rPr>
          <w:rFonts w:ascii="Times New Roman" w:hAnsi="Times New Roman" w:cs="Times New Roman"/>
          <w:b/>
          <w:bCs/>
        </w:rPr>
      </w:pPr>
    </w:p>
    <w:p w14:paraId="4BFFE1AE" w14:textId="77777777" w:rsidR="00B43E36" w:rsidRDefault="00B43E36" w:rsidP="001C65B8">
      <w:pPr>
        <w:spacing w:after="0" w:line="360" w:lineRule="auto"/>
        <w:rPr>
          <w:rFonts w:ascii="Times New Roman" w:hAnsi="Times New Roman" w:cs="Times New Roman"/>
          <w:b/>
          <w:bCs/>
        </w:rPr>
      </w:pPr>
    </w:p>
    <w:p w14:paraId="01379614" w14:textId="5C9B4701" w:rsidR="001C65B8" w:rsidRPr="001C65B8" w:rsidRDefault="001C65B8" w:rsidP="001C65B8">
      <w:pPr>
        <w:spacing w:after="0" w:line="360" w:lineRule="auto"/>
        <w:rPr>
          <w:rFonts w:ascii="Times New Roman" w:hAnsi="Times New Roman" w:cs="Times New Roman"/>
          <w:b/>
          <w:bCs/>
        </w:rPr>
      </w:pPr>
      <w:r w:rsidRPr="001C65B8">
        <w:rPr>
          <w:rFonts w:ascii="Times New Roman" w:hAnsi="Times New Roman" w:cs="Times New Roman"/>
          <w:b/>
          <w:bCs/>
        </w:rPr>
        <w:t xml:space="preserve">Reference </w:t>
      </w:r>
    </w:p>
    <w:p w14:paraId="4C851B50" w14:textId="77777777" w:rsidR="00E805C9" w:rsidRPr="00E805C9" w:rsidRDefault="001C65B8" w:rsidP="001C65B8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</w:rPr>
      </w:pPr>
      <w:r w:rsidRPr="001C65B8">
        <w:rPr>
          <w:rFonts w:ascii="Times New Roman" w:hAnsi="Times New Roman" w:cs="Times New Roman"/>
          <w:color w:val="222222"/>
          <w:shd w:val="clear" w:color="auto" w:fill="FFFFFF"/>
        </w:rPr>
        <w:t>Denton, N.J., 2023. </w:t>
      </w:r>
      <w:r w:rsidRPr="001C65B8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A case study of co-located service providers within community children's centres, and the influence on collaborative working</w:t>
      </w:r>
      <w:r w:rsidRPr="001C65B8">
        <w:rPr>
          <w:rFonts w:ascii="Times New Roman" w:hAnsi="Times New Roman" w:cs="Times New Roman"/>
          <w:color w:val="222222"/>
          <w:shd w:val="clear" w:color="auto" w:fill="FFFFFF"/>
        </w:rPr>
        <w:t> (Doctoral dissertation, University of Southampton).</w:t>
      </w:r>
    </w:p>
    <w:p w14:paraId="29759FAF" w14:textId="77777777" w:rsidR="00E805C9" w:rsidRPr="00E805C9" w:rsidRDefault="00E805C9" w:rsidP="001C65B8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</w:rPr>
      </w:pPr>
      <w:r w:rsidRPr="00E805C9">
        <w:rPr>
          <w:rFonts w:ascii="Times New Roman" w:hAnsi="Times New Roman" w:cs="Times New Roman"/>
        </w:rPr>
        <w:t xml:space="preserve">Finkelhor, D. (2020) ‘Trends in adverse childhood experiences (ACEs) in the United States’, </w:t>
      </w:r>
      <w:r w:rsidRPr="00E805C9">
        <w:rPr>
          <w:rFonts w:ascii="Times New Roman" w:hAnsi="Times New Roman" w:cs="Times New Roman"/>
          <w:i/>
          <w:iCs/>
        </w:rPr>
        <w:t>Child Abuse &amp; Neglect</w:t>
      </w:r>
      <w:r w:rsidRPr="00E805C9">
        <w:rPr>
          <w:rFonts w:ascii="Times New Roman" w:hAnsi="Times New Roman" w:cs="Times New Roman"/>
        </w:rPr>
        <w:t>, 108, p. 104641.</w:t>
      </w:r>
    </w:p>
    <w:p w14:paraId="207BD6CA" w14:textId="77777777" w:rsidR="00E805C9" w:rsidRPr="00E805C9" w:rsidRDefault="001C65B8" w:rsidP="001C65B8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</w:rPr>
      </w:pPr>
      <w:r w:rsidRPr="001C65B8">
        <w:rPr>
          <w:rFonts w:ascii="Times New Roman" w:hAnsi="Times New Roman" w:cs="Times New Roman"/>
          <w:color w:val="222222"/>
          <w:shd w:val="clear" w:color="auto" w:fill="FFFFFF"/>
        </w:rPr>
        <w:t>Hindman, E., Wiseman, E. and Hassmén, P., 2024. Burnout, resilience, and retention of child protection caseworkers. </w:t>
      </w:r>
      <w:r w:rsidRPr="001C65B8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Journal of public child welfare</w:t>
      </w:r>
      <w:r w:rsidRPr="001C65B8">
        <w:rPr>
          <w:rFonts w:ascii="Times New Roman" w:hAnsi="Times New Roman" w:cs="Times New Roman"/>
          <w:color w:val="222222"/>
          <w:shd w:val="clear" w:color="auto" w:fill="FFFFFF"/>
        </w:rPr>
        <w:t>, </w:t>
      </w:r>
      <w:r w:rsidRPr="001C65B8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18</w:t>
      </w:r>
      <w:r w:rsidRPr="001C65B8">
        <w:rPr>
          <w:rFonts w:ascii="Times New Roman" w:hAnsi="Times New Roman" w:cs="Times New Roman"/>
          <w:color w:val="222222"/>
          <w:shd w:val="clear" w:color="auto" w:fill="FFFFFF"/>
        </w:rPr>
        <w:t>(5), pp.955-970.</w:t>
      </w:r>
    </w:p>
    <w:p w14:paraId="49EBD188" w14:textId="77777777" w:rsidR="001C65B8" w:rsidRPr="001C65B8" w:rsidRDefault="00E805C9" w:rsidP="001C65B8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</w:rPr>
      </w:pPr>
      <w:r w:rsidRPr="00E805C9">
        <w:rPr>
          <w:rFonts w:ascii="Times New Roman" w:hAnsi="Times New Roman" w:cs="Times New Roman"/>
        </w:rPr>
        <w:t xml:space="preserve">Hood, R. (2020) ‘Complexity and integrated working in children's services’, </w:t>
      </w:r>
      <w:r w:rsidRPr="00E805C9">
        <w:rPr>
          <w:rFonts w:ascii="Times New Roman" w:hAnsi="Times New Roman" w:cs="Times New Roman"/>
          <w:i/>
          <w:iCs/>
        </w:rPr>
        <w:t>Journal of Children's Services</w:t>
      </w:r>
      <w:r w:rsidRPr="00E805C9">
        <w:rPr>
          <w:rFonts w:ascii="Times New Roman" w:hAnsi="Times New Roman" w:cs="Times New Roman"/>
        </w:rPr>
        <w:t>, 15(1), pp. 1–15</w:t>
      </w:r>
      <w:r w:rsidR="001C65B8" w:rsidRPr="001C65B8">
        <w:rPr>
          <w:rFonts w:ascii="Times New Roman" w:hAnsi="Times New Roman" w:cs="Times New Roman"/>
        </w:rPr>
        <w:t xml:space="preserve"> </w:t>
      </w:r>
      <w:r w:rsidR="001C65B8" w:rsidRPr="001C65B8">
        <w:rPr>
          <w:rFonts w:ascii="Times New Roman" w:hAnsi="Times New Roman" w:cs="Times New Roman"/>
          <w:color w:val="05103E"/>
        </w:rPr>
        <w:t> </w:t>
      </w:r>
      <w:r w:rsidR="001C65B8" w:rsidRPr="001C65B8">
        <w:rPr>
          <w:rStyle w:val="url"/>
          <w:rFonts w:ascii="Times New Roman" w:hAnsi="Times New Roman" w:cs="Times New Roman"/>
          <w:color w:val="05103E"/>
          <w:bdr w:val="single" w:sz="2" w:space="0" w:color="ECEDEE" w:frame="1"/>
        </w:rPr>
        <w:t>https://www.researchgate.net/publication/270438151_Complexity_and_Integrated_Working_in_Children's_Services</w:t>
      </w:r>
      <w:r w:rsidR="001C65B8" w:rsidRPr="001C65B8">
        <w:rPr>
          <w:rFonts w:ascii="Times New Roman" w:hAnsi="Times New Roman" w:cs="Times New Roman"/>
          <w:color w:val="05103E"/>
        </w:rPr>
        <w:t> (Accessed: November 27, 2025).</w:t>
      </w:r>
    </w:p>
    <w:p w14:paraId="76D2398D" w14:textId="77777777" w:rsidR="00E805C9" w:rsidRPr="00E805C9" w:rsidRDefault="00E805C9" w:rsidP="001C65B8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</w:rPr>
      </w:pPr>
      <w:r w:rsidRPr="00E805C9">
        <w:rPr>
          <w:rFonts w:ascii="Times New Roman" w:hAnsi="Times New Roman" w:cs="Times New Roman"/>
        </w:rPr>
        <w:t xml:space="preserve">Hughes, K. et al. (2021) ‘The effect of multiple adverse childhood experiences on health: a systematic review and meta-analysis’, </w:t>
      </w:r>
      <w:r w:rsidRPr="00E805C9">
        <w:rPr>
          <w:rFonts w:ascii="Times New Roman" w:hAnsi="Times New Roman" w:cs="Times New Roman"/>
          <w:i/>
          <w:iCs/>
        </w:rPr>
        <w:t>Lancet Public Health</w:t>
      </w:r>
      <w:r w:rsidRPr="00E805C9">
        <w:rPr>
          <w:rFonts w:ascii="Times New Roman" w:hAnsi="Times New Roman" w:cs="Times New Roman"/>
        </w:rPr>
        <w:t>, 6(11), pp. e848–e857.</w:t>
      </w:r>
    </w:p>
    <w:p w14:paraId="79F6CCAE" w14:textId="77777777" w:rsidR="00E805C9" w:rsidRPr="00E805C9" w:rsidRDefault="001C65B8" w:rsidP="001C65B8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</w:rPr>
      </w:pPr>
      <w:r w:rsidRPr="001C65B8">
        <w:rPr>
          <w:rFonts w:ascii="Times New Roman" w:hAnsi="Times New Roman" w:cs="Times New Roman"/>
          <w:color w:val="222222"/>
          <w:shd w:val="clear" w:color="auto" w:fill="FFFFFF"/>
        </w:rPr>
        <w:t>McTavish, J.R., Gonzalez, A., Santesso, N., MacGregor, J.C., McKee, C. and MacMillan, H.L., 2020. Identifying children exposed to maltreatment: a systematic review update. </w:t>
      </w:r>
      <w:r w:rsidRPr="001C65B8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BMC pediatrics</w:t>
      </w:r>
      <w:r w:rsidRPr="001C65B8">
        <w:rPr>
          <w:rFonts w:ascii="Times New Roman" w:hAnsi="Times New Roman" w:cs="Times New Roman"/>
          <w:color w:val="222222"/>
          <w:shd w:val="clear" w:color="auto" w:fill="FFFFFF"/>
        </w:rPr>
        <w:t>, </w:t>
      </w:r>
      <w:r w:rsidRPr="001C65B8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20</w:t>
      </w:r>
      <w:r w:rsidRPr="001C65B8">
        <w:rPr>
          <w:rFonts w:ascii="Times New Roman" w:hAnsi="Times New Roman" w:cs="Times New Roman"/>
          <w:color w:val="222222"/>
          <w:shd w:val="clear" w:color="auto" w:fill="FFFFFF"/>
        </w:rPr>
        <w:t>(1), p.113.</w:t>
      </w:r>
    </w:p>
    <w:p w14:paraId="0C173629" w14:textId="77777777" w:rsidR="00E805C9" w:rsidRPr="00E805C9" w:rsidRDefault="00E805C9" w:rsidP="001C65B8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</w:rPr>
      </w:pPr>
      <w:r w:rsidRPr="00E805C9">
        <w:rPr>
          <w:rFonts w:ascii="Times New Roman" w:hAnsi="Times New Roman" w:cs="Times New Roman"/>
        </w:rPr>
        <w:t xml:space="preserve">Munro, E. (2020) ‘The Munro Review Ten Years On’, </w:t>
      </w:r>
      <w:r w:rsidRPr="00E805C9">
        <w:rPr>
          <w:rFonts w:ascii="Times New Roman" w:hAnsi="Times New Roman" w:cs="Times New Roman"/>
          <w:i/>
          <w:iCs/>
        </w:rPr>
        <w:t>Child &amp; Family Social Work</w:t>
      </w:r>
      <w:r w:rsidRPr="00E805C9">
        <w:rPr>
          <w:rFonts w:ascii="Times New Roman" w:hAnsi="Times New Roman" w:cs="Times New Roman"/>
        </w:rPr>
        <w:t>, 25(4), pp. 567–574</w:t>
      </w:r>
      <w:r w:rsidR="001C65B8" w:rsidRPr="001C65B8">
        <w:rPr>
          <w:rFonts w:ascii="Times New Roman" w:hAnsi="Times New Roman" w:cs="Times New Roman"/>
        </w:rPr>
        <w:t xml:space="preserve"> chrome-extension://efaidnbmnnnibpcajpcglclefindmkaj/https://assets.publishing.service.gov.uk/media/5a7b455ee5274a34770ea939/Munro-Review.pdf</w:t>
      </w:r>
      <w:r w:rsidRPr="00E805C9">
        <w:rPr>
          <w:rFonts w:ascii="Times New Roman" w:hAnsi="Times New Roman" w:cs="Times New Roman"/>
        </w:rPr>
        <w:t>.</w:t>
      </w:r>
    </w:p>
    <w:p w14:paraId="71857B9D" w14:textId="77777777" w:rsidR="00E805C9" w:rsidRPr="00E805C9" w:rsidRDefault="001C65B8" w:rsidP="001C65B8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</w:rPr>
      </w:pPr>
      <w:r w:rsidRPr="001C65B8">
        <w:rPr>
          <w:rFonts w:ascii="Times New Roman" w:hAnsi="Times New Roman" w:cs="Times New Roman"/>
          <w:color w:val="05103E"/>
        </w:rPr>
        <w:lastRenderedPageBreak/>
        <w:t>Spratt, T., Devaney, J. and Frederick, J. (2021) 'Adverse Childhood Experiences: Beyond Signs of Safety; Reimagining the Organisation and Practice of Social Work with Children and Families,' </w:t>
      </w:r>
      <w:r w:rsidRPr="001C65B8">
        <w:rPr>
          <w:rFonts w:ascii="Times New Roman" w:hAnsi="Times New Roman" w:cs="Times New Roman"/>
          <w:i/>
          <w:iCs/>
          <w:color w:val="05103E"/>
          <w:bdr w:val="single" w:sz="2" w:space="0" w:color="ECEDEE" w:frame="1"/>
        </w:rPr>
        <w:t>The British Journal of Social Work</w:t>
      </w:r>
      <w:r w:rsidRPr="001C65B8">
        <w:rPr>
          <w:rFonts w:ascii="Times New Roman" w:hAnsi="Times New Roman" w:cs="Times New Roman"/>
          <w:color w:val="05103E"/>
        </w:rPr>
        <w:t>, 49(8), pp. 2042–2058. </w:t>
      </w:r>
      <w:r w:rsidRPr="001C65B8">
        <w:rPr>
          <w:rStyle w:val="url"/>
          <w:rFonts w:ascii="Times New Roman" w:hAnsi="Times New Roman" w:cs="Times New Roman"/>
          <w:color w:val="05103E"/>
          <w:bdr w:val="single" w:sz="2" w:space="0" w:color="ECEDEE" w:frame="1"/>
        </w:rPr>
        <w:t>https://www.researchgate.net/publication/331714602_Adverse_Childhood_Experiences_Beyond_Signs_of_Safety_Reimagining_the_Organisation_and_Practice_of_Social_Work_with_Children_and_Families</w:t>
      </w:r>
      <w:r w:rsidRPr="001C65B8">
        <w:rPr>
          <w:rFonts w:ascii="Times New Roman" w:hAnsi="Times New Roman" w:cs="Times New Roman"/>
          <w:color w:val="05103E"/>
        </w:rPr>
        <w:t>.</w:t>
      </w:r>
    </w:p>
    <w:p w14:paraId="28E42322" w14:textId="77777777" w:rsidR="001C65B8" w:rsidRPr="001C65B8" w:rsidRDefault="00E805C9" w:rsidP="001C65B8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</w:rPr>
      </w:pPr>
      <w:r w:rsidRPr="00E805C9">
        <w:rPr>
          <w:rFonts w:ascii="Times New Roman" w:hAnsi="Times New Roman" w:cs="Times New Roman"/>
        </w:rPr>
        <w:t xml:space="preserve">White, S., Wastell, D. and Broadhurst, K. (2022) ‘Inter-agency working in child protection’, </w:t>
      </w:r>
      <w:r w:rsidRPr="00E805C9">
        <w:rPr>
          <w:rFonts w:ascii="Times New Roman" w:hAnsi="Times New Roman" w:cs="Times New Roman"/>
          <w:i/>
          <w:iCs/>
        </w:rPr>
        <w:t>Child &amp; Family Social Work</w:t>
      </w:r>
      <w:r w:rsidRPr="00E805C9">
        <w:rPr>
          <w:rFonts w:ascii="Times New Roman" w:hAnsi="Times New Roman" w:cs="Times New Roman"/>
        </w:rPr>
        <w:t>, 27(1), pp. 45–56.</w:t>
      </w:r>
    </w:p>
    <w:sectPr w:rsidR="001C65B8" w:rsidRPr="001C65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19"/>
    <w:multiLevelType w:val="multilevel"/>
    <w:tmpl w:val="5FC228A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6F4B66C7"/>
    <w:multiLevelType w:val="hybridMultilevel"/>
    <w:tmpl w:val="3A0EAD42"/>
    <w:lvl w:ilvl="0" w:tplc="5E0420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1E47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0C9D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5C35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9404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C16EB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48E3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6EAD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6EDB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937713954">
    <w:abstractNumId w:val="1"/>
  </w:num>
  <w:num w:numId="2" w16cid:durableId="866720286">
    <w:abstractNumId w:val="0"/>
  </w:num>
  <w:num w:numId="3" w16cid:durableId="403723025">
    <w:abstractNumId w:val="0"/>
  </w:num>
  <w:num w:numId="4" w16cid:durableId="2599208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5C9"/>
    <w:rsid w:val="000352EC"/>
    <w:rsid w:val="000551B2"/>
    <w:rsid w:val="000A0253"/>
    <w:rsid w:val="0015095A"/>
    <w:rsid w:val="001C65B8"/>
    <w:rsid w:val="001D3EE3"/>
    <w:rsid w:val="002F7B3D"/>
    <w:rsid w:val="003378DB"/>
    <w:rsid w:val="004418D7"/>
    <w:rsid w:val="00466ABE"/>
    <w:rsid w:val="004E3AC7"/>
    <w:rsid w:val="0050653C"/>
    <w:rsid w:val="00665B90"/>
    <w:rsid w:val="007370B6"/>
    <w:rsid w:val="0081561E"/>
    <w:rsid w:val="00911912"/>
    <w:rsid w:val="00982F9D"/>
    <w:rsid w:val="009E7DEA"/>
    <w:rsid w:val="00A4313D"/>
    <w:rsid w:val="00B43E36"/>
    <w:rsid w:val="00B97CAF"/>
    <w:rsid w:val="00BE32F6"/>
    <w:rsid w:val="00BE7828"/>
    <w:rsid w:val="00C24E47"/>
    <w:rsid w:val="00C46641"/>
    <w:rsid w:val="00CC0C0F"/>
    <w:rsid w:val="00E44A99"/>
    <w:rsid w:val="00E805C9"/>
    <w:rsid w:val="00F00C2E"/>
    <w:rsid w:val="00F25F0B"/>
    <w:rsid w:val="00FA5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609A67"/>
  <w15:chartTrackingRefBased/>
  <w15:docId w15:val="{8F146CB8-5DF5-E64C-929E-366D0538D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00C2E"/>
    <w:pPr>
      <w:keepNext/>
      <w:keepLines/>
      <w:spacing w:after="0" w:line="240" w:lineRule="auto"/>
      <w:jc w:val="both"/>
      <w:outlineLvl w:val="0"/>
    </w:pPr>
    <w:rPr>
      <w:rFonts w:ascii="Times New Roman" w:eastAsiaTheme="majorEastAsia" w:hAnsi="Times New Roman" w:cstheme="majorBidi"/>
      <w:b/>
      <w:bCs/>
      <w:szCs w:val="28"/>
    </w:rPr>
  </w:style>
  <w:style w:type="paragraph" w:styleId="Heading2">
    <w:name w:val="heading 2"/>
    <w:basedOn w:val="NormalWeb"/>
    <w:next w:val="Normal"/>
    <w:link w:val="Heading2Char"/>
    <w:autoRedefine/>
    <w:uiPriority w:val="9"/>
    <w:unhideWhenUsed/>
    <w:qFormat/>
    <w:rsid w:val="009E7DEA"/>
    <w:pPr>
      <w:spacing w:after="0" w:line="240" w:lineRule="auto"/>
      <w:jc w:val="both"/>
      <w:outlineLvl w:val="1"/>
    </w:pPr>
    <w:rPr>
      <w:b/>
      <w:kern w:val="0"/>
      <w:lang w:val="en-US"/>
      <w14:ligatures w14:val="none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44A99"/>
    <w:pPr>
      <w:keepNext/>
      <w:keepLines/>
      <w:spacing w:before="200" w:after="0" w:line="276" w:lineRule="auto"/>
      <w:jc w:val="both"/>
      <w:outlineLvl w:val="2"/>
    </w:pPr>
    <w:rPr>
      <w:rFonts w:ascii="Times New Roman" w:eastAsiaTheme="majorEastAsia" w:hAnsi="Times New Roman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05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05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05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05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05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05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autoRedefine/>
    <w:qFormat/>
    <w:rsid w:val="000551B2"/>
    <w:pPr>
      <w:spacing w:after="0" w:line="240" w:lineRule="auto"/>
      <w:jc w:val="center"/>
    </w:pPr>
    <w:rPr>
      <w:rFonts w:ascii="Times New Roman" w:eastAsia="Calibri" w:hAnsi="Times New Roman" w:cs="Calibri"/>
      <w:b/>
      <w:kern w:val="0"/>
      <w:szCs w:val="22"/>
      <w:lang w:val="en-US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F00C2E"/>
    <w:rPr>
      <w:rFonts w:ascii="Times New Roman" w:eastAsiaTheme="majorEastAsia" w:hAnsi="Times New Roman" w:cstheme="majorBidi"/>
      <w:b/>
      <w:bCs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9E7DEA"/>
    <w:rPr>
      <w:rFonts w:ascii="Times New Roman" w:hAnsi="Times New Roman" w:cs="Times New Roman"/>
      <w:b/>
      <w:kern w:val="0"/>
      <w:lang w:val="en-US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E44A99"/>
    <w:rPr>
      <w:rFonts w:ascii="Times New Roman" w:eastAsiaTheme="majorEastAsia" w:hAnsi="Times New Roman" w:cstheme="majorBidi"/>
      <w:b/>
      <w:bCs/>
    </w:rPr>
  </w:style>
  <w:style w:type="paragraph" w:styleId="NormalWeb">
    <w:name w:val="Normal (Web)"/>
    <w:basedOn w:val="Normal"/>
    <w:uiPriority w:val="99"/>
    <w:semiHidden/>
    <w:unhideWhenUsed/>
    <w:rsid w:val="00BE7828"/>
    <w:rPr>
      <w:rFonts w:ascii="Times New Roman" w:hAnsi="Times New Roman" w:cs="Times New Roman"/>
    </w:rPr>
  </w:style>
  <w:style w:type="paragraph" w:styleId="BodyText">
    <w:name w:val="Body Text"/>
    <w:basedOn w:val="Normal"/>
    <w:link w:val="BodyTextChar"/>
    <w:uiPriority w:val="99"/>
    <w:semiHidden/>
    <w:unhideWhenUsed/>
    <w:rsid w:val="00F25F0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25F0B"/>
  </w:style>
  <w:style w:type="character" w:customStyle="1" w:styleId="Heading4Char">
    <w:name w:val="Heading 4 Char"/>
    <w:basedOn w:val="DefaultParagraphFont"/>
    <w:link w:val="Heading4"/>
    <w:uiPriority w:val="9"/>
    <w:semiHidden/>
    <w:rsid w:val="00E805C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05C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05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05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05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05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05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05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05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05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05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05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05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05C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05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05C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05C9"/>
    <w:rPr>
      <w:b/>
      <w:bCs/>
      <w:smallCaps/>
      <w:color w:val="0F4761" w:themeColor="accent1" w:themeShade="BF"/>
      <w:spacing w:val="5"/>
    </w:rPr>
  </w:style>
  <w:style w:type="character" w:customStyle="1" w:styleId="url">
    <w:name w:val="url"/>
    <w:basedOn w:val="DefaultParagraphFont"/>
    <w:rsid w:val="009119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oduniyi</dc:creator>
  <cp:keywords/>
  <dc:description/>
  <cp:lastModifiedBy>Christiana Addo Fynn (2336424)</cp:lastModifiedBy>
  <cp:revision>2</cp:revision>
  <dcterms:created xsi:type="dcterms:W3CDTF">2025-11-27T10:19:00Z</dcterms:created>
  <dcterms:modified xsi:type="dcterms:W3CDTF">2025-11-27T10:19:00Z</dcterms:modified>
</cp:coreProperties>
</file>