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BCC621" w14:textId="728FA955" w:rsidR="00065296" w:rsidRDefault="00065296"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p>
    <w:p w14:paraId="00B51EAD" w14:textId="1A617F6E" w:rsidR="00793E8B" w:rsidRDefault="00993A58" w:rsidP="002E0254">
      <w:pPr>
        <w:spacing w:before="100" w:beforeAutospacing="1" w:after="100" w:afterAutospacing="1" w:line="240" w:lineRule="auto"/>
        <w:jc w:val="both"/>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Comp</w:t>
      </w:r>
      <w:r w:rsidR="0065240B">
        <w:rPr>
          <w:rFonts w:ascii="Times New Roman" w:eastAsia="Times New Roman" w:hAnsi="Times New Roman" w:cs="Times New Roman"/>
          <w:kern w:val="36"/>
          <w:sz w:val="48"/>
          <w:szCs w:val="48"/>
          <w14:ligatures w14:val="none"/>
        </w:rPr>
        <w:t>onent</w:t>
      </w:r>
      <w:r w:rsidR="00103CD5">
        <w:rPr>
          <w:rFonts w:ascii="Times New Roman" w:eastAsia="Times New Roman" w:hAnsi="Times New Roman" w:cs="Times New Roman"/>
          <w:kern w:val="36"/>
          <w:sz w:val="48"/>
          <w:szCs w:val="48"/>
          <w14:ligatures w14:val="none"/>
        </w:rPr>
        <w:t xml:space="preserve"> 1 Blog</w:t>
      </w:r>
      <w:r w:rsidR="00674D88">
        <w:rPr>
          <w:rFonts w:ascii="Times New Roman" w:eastAsia="Times New Roman" w:hAnsi="Times New Roman" w:cs="Times New Roman"/>
          <w:kern w:val="36"/>
          <w:sz w:val="48"/>
          <w:szCs w:val="48"/>
          <w14:ligatures w14:val="none"/>
        </w:rPr>
        <w:t>s</w:t>
      </w:r>
    </w:p>
    <w:p w14:paraId="5D41588C" w14:textId="77777777" w:rsidR="00793E8B" w:rsidRDefault="00793E8B"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p>
    <w:p w14:paraId="19E7E3EF" w14:textId="77777777" w:rsidR="00793E8B" w:rsidRDefault="00793E8B"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p>
    <w:p w14:paraId="5F672D08" w14:textId="7FB45D8B" w:rsidR="00A23B09" w:rsidRDefault="00A23B09"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 xml:space="preserve">Student name: Carina Gomes </w:t>
      </w:r>
    </w:p>
    <w:p w14:paraId="762C1F4E" w14:textId="18FE7281" w:rsidR="00A23B09" w:rsidRDefault="00A23B09"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Student number</w:t>
      </w:r>
      <w:r w:rsidR="00E34A3B">
        <w:rPr>
          <w:rFonts w:ascii="Times New Roman" w:eastAsia="Times New Roman" w:hAnsi="Times New Roman" w:cs="Times New Roman"/>
          <w:kern w:val="36"/>
          <w:sz w:val="48"/>
          <w:szCs w:val="48"/>
          <w14:ligatures w14:val="none"/>
        </w:rPr>
        <w:t xml:space="preserve">: </w:t>
      </w:r>
      <w:r w:rsidR="00471918">
        <w:rPr>
          <w:rFonts w:ascii="Times New Roman" w:eastAsia="Times New Roman" w:hAnsi="Times New Roman" w:cs="Times New Roman"/>
          <w:kern w:val="36"/>
          <w:sz w:val="48"/>
          <w:szCs w:val="48"/>
          <w14:ligatures w14:val="none"/>
        </w:rPr>
        <w:t>2222912</w:t>
      </w:r>
    </w:p>
    <w:p w14:paraId="41E9423B" w14:textId="178B1726" w:rsidR="00471918" w:rsidRDefault="00471918"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Module code: LCHS700</w:t>
      </w:r>
      <w:r w:rsidR="00793E8B">
        <w:rPr>
          <w:rFonts w:ascii="Times New Roman" w:eastAsia="Times New Roman" w:hAnsi="Times New Roman" w:cs="Times New Roman"/>
          <w:kern w:val="36"/>
          <w:sz w:val="48"/>
          <w:szCs w:val="48"/>
          <w14:ligatures w14:val="none"/>
        </w:rPr>
        <w:t>9</w:t>
      </w:r>
    </w:p>
    <w:p w14:paraId="1C348E7C" w14:textId="1F5C66F6" w:rsidR="00A23B09" w:rsidRPr="00A23B09" w:rsidRDefault="00A23B09"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 xml:space="preserve">Lecture name: Dr Besty Jose </w:t>
      </w:r>
    </w:p>
    <w:p w14:paraId="4C8309F3" w14:textId="36F626A0" w:rsidR="00A23B09" w:rsidRPr="00A23B09" w:rsidRDefault="00A23B09" w:rsidP="004A0C8E">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p>
    <w:p w14:paraId="73C6873B" w14:textId="77777777" w:rsidR="00065296" w:rsidRDefault="00065296"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2AFD174"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5544FE3"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0AED6F5"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91E47D7"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4BD5ED0"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D73CE80"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4171AA4" w14:textId="77777777" w:rsidR="004F2AAB" w:rsidRDefault="004F2AAB"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5FA5FA1" w14:textId="1E09A9DF" w:rsidR="004A0C8E" w:rsidRPr="004A0C8E" w:rsidRDefault="004A0C8E" w:rsidP="004A0C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A0C8E">
        <w:rPr>
          <w:rFonts w:ascii="Times New Roman" w:eastAsia="Times New Roman" w:hAnsi="Times New Roman" w:cs="Times New Roman"/>
          <w:b/>
          <w:bCs/>
          <w:kern w:val="36"/>
          <w:sz w:val="48"/>
          <w:szCs w:val="48"/>
          <w14:ligatures w14:val="none"/>
        </w:rPr>
        <w:lastRenderedPageBreak/>
        <w:t>Blog 1</w:t>
      </w:r>
      <w:r w:rsidR="008133B5">
        <w:rPr>
          <w:rFonts w:ascii="Times New Roman" w:eastAsia="Times New Roman" w:hAnsi="Times New Roman" w:cs="Times New Roman"/>
          <w:b/>
          <w:bCs/>
          <w:kern w:val="36"/>
          <w:sz w:val="48"/>
          <w:szCs w:val="48"/>
          <w14:ligatures w14:val="none"/>
        </w:rPr>
        <w:t xml:space="preserve"> </w:t>
      </w:r>
      <w:r w:rsidRPr="004A0C8E">
        <w:rPr>
          <w:rFonts w:ascii="Times New Roman" w:eastAsia="Times New Roman" w:hAnsi="Times New Roman" w:cs="Times New Roman"/>
          <w:b/>
          <w:bCs/>
          <w:kern w:val="36"/>
          <w:sz w:val="48"/>
          <w:szCs w:val="48"/>
          <w14:ligatures w14:val="none"/>
        </w:rPr>
        <w:t>Telehealth for Mental Health Promotion  Opportunities and Challenges</w:t>
      </w:r>
    </w:p>
    <w:p w14:paraId="71335DEE" w14:textId="0E14C13D" w:rsidR="004A0C8E" w:rsidRDefault="00896E7B" w:rsidP="004A0C8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The </w:t>
      </w:r>
      <w:r w:rsidR="004A0C8E" w:rsidRPr="004A0C8E">
        <w:rPr>
          <w:rFonts w:ascii="Times New Roman" w:eastAsia="Times New Roman" w:hAnsi="Times New Roman" w:cs="Times New Roman"/>
          <w:b/>
          <w:bCs/>
          <w:kern w:val="0"/>
          <w:sz w:val="36"/>
          <w:szCs w:val="36"/>
          <w14:ligatures w14:val="none"/>
        </w:rPr>
        <w:t xml:space="preserve"> Impact of Telehealth in Mental Health Promotion</w:t>
      </w:r>
    </w:p>
    <w:p w14:paraId="14981ECD" w14:textId="2F82F4B4" w:rsidR="00FB19C1" w:rsidRPr="004A0C8E" w:rsidRDefault="001728AD" w:rsidP="004A0C8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noProof/>
          <w:kern w:val="0"/>
          <w:sz w:val="36"/>
          <w:szCs w:val="36"/>
        </w:rPr>
        <w:drawing>
          <wp:anchor distT="0" distB="0" distL="114300" distR="114300" simplePos="0" relativeHeight="251659264" behindDoc="0" locked="0" layoutInCell="1" allowOverlap="1" wp14:anchorId="4DF2791A" wp14:editId="12CAE40F">
            <wp:simplePos x="0" y="0"/>
            <wp:positionH relativeFrom="column">
              <wp:posOffset>0</wp:posOffset>
            </wp:positionH>
            <wp:positionV relativeFrom="paragraph">
              <wp:posOffset>119380</wp:posOffset>
            </wp:positionV>
            <wp:extent cx="5731510" cy="2859405"/>
            <wp:effectExtent l="0" t="0" r="0" b="0"/>
            <wp:wrapTopAndBottom/>
            <wp:docPr id="652451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51650" name="Picture 652451650"/>
                    <pic:cNvPicPr/>
                  </pic:nvPicPr>
                  <pic:blipFill>
                    <a:blip r:embed="rId4">
                      <a:extLst>
                        <a:ext uri="{28A0092B-C50C-407E-A947-70E740481C1C}">
                          <a14:useLocalDpi xmlns:a14="http://schemas.microsoft.com/office/drawing/2010/main" val="0"/>
                        </a:ext>
                      </a:extLst>
                    </a:blip>
                    <a:stretch>
                      <a:fillRect/>
                    </a:stretch>
                  </pic:blipFill>
                  <pic:spPr>
                    <a:xfrm>
                      <a:off x="0" y="0"/>
                      <a:ext cx="5731510" cy="2859405"/>
                    </a:xfrm>
                    <a:prstGeom prst="rect">
                      <a:avLst/>
                    </a:prstGeom>
                  </pic:spPr>
                </pic:pic>
              </a:graphicData>
            </a:graphic>
          </wp:anchor>
        </w:drawing>
      </w:r>
    </w:p>
    <w:p w14:paraId="5AA76760" w14:textId="57C3656D"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Mental health disorders represent a significant global public health challenge. According to the World Health Organization, approximately one in eight people worldwide live with a mental health condition, with anxiety and depression being among the most common disorders (WHO, 2022). In the United Kingdom, around one in six adults experiences symptoms of common mental health problems such as anxiety or depression each week (NHS</w:t>
      </w:r>
      <w:r w:rsidR="00A77051">
        <w:rPr>
          <w:rFonts w:ascii="Times New Roman" w:hAnsi="Times New Roman" w:cs="Times New Roman"/>
          <w:kern w:val="0"/>
          <w14:ligatures w14:val="none"/>
        </w:rPr>
        <w:t>,</w:t>
      </w:r>
      <w:r w:rsidRPr="004A0C8E">
        <w:rPr>
          <w:rFonts w:ascii="Times New Roman" w:hAnsi="Times New Roman" w:cs="Times New Roman"/>
          <w:kern w:val="0"/>
          <w14:ligatures w14:val="none"/>
        </w:rPr>
        <w:t>, 2023). Poor mental health is associated with reduced quality of life, increased healthcare costs, reduced productivity, and higher risks of physical illness (McDaid et al., 2020). Consequently, effective and accessible mental health promotion interventions are essential.</w:t>
      </w:r>
    </w:p>
    <w:p w14:paraId="6335A7B6"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One digital technology increasingly used in mental health promotion is telehealth. Telehealth refers to the delivery of healthcare services through digital communication technologies such as video consultations, mobile applications, telephone calls, and online platforms (Smith et al., 2020). Within mental health services, telehealth enables individuals to access psychological support, counselling, cognitive behavioural therapy (CBT), and mental health education remotely.</w:t>
      </w:r>
    </w:p>
    <w:p w14:paraId="1C6FE928" w14:textId="17A6DAA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 xml:space="preserve">Telehealth promotes mental health by improving access to services, particularly for individuals living in rural areas, those with mobility limitations, or people reluctant to seek face-to-face support due to stigma (Shore et al., 2018). During the COVID-19 pandemic, telehealth became a critical tool for maintaining continuity of mental health care when in-person services were disrupted (Pierce et al., 2021). Evidence suggests that telepsychiatry and </w:t>
      </w:r>
      <w:r w:rsidRPr="004A0C8E">
        <w:rPr>
          <w:rFonts w:ascii="Times New Roman" w:hAnsi="Times New Roman" w:cs="Times New Roman"/>
          <w:kern w:val="0"/>
          <w14:ligatures w14:val="none"/>
        </w:rPr>
        <w:lastRenderedPageBreak/>
        <w:t>online CBT can achieve outcomes comparable to traditional face-to-face therapy for depression and anxiety disorders (Hilty et al., 2013</w:t>
      </w:r>
      <w:r w:rsidR="00931099">
        <w:rPr>
          <w:rFonts w:ascii="Times New Roman" w:hAnsi="Times New Roman" w:cs="Times New Roman"/>
          <w:kern w:val="0"/>
          <w14:ligatures w14:val="none"/>
        </w:rPr>
        <w:t>)</w:t>
      </w:r>
    </w:p>
    <w:p w14:paraId="0C505690"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The impact of telehealth on mental health promotion has been largely positive. Increased convenience and accessibility enable users to engage with services without travelling long distances, reducing time and financial barriers (Smith et al., 2020). Telehealth also offers greater flexibility, allowing appointments outside traditional healthcare settings. Furthermore, digital platforms can facilitate early intervention by enabling users to seek support before symptoms worsen (WHO, 2022).</w:t>
      </w:r>
    </w:p>
    <w:p w14:paraId="01157A2E"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Despite these benefits, telehealth has notable limitations. Digital exclusion remains a significant concern, particularly among older adults, low-income populations, and individuals with limited digital literacy (Robinson et al., 2020). Unequal access to reliable internet connections and digital devices can widen health inequalities. Additionally, telehealth may reduce the quality of therapeutic relationships because non-verbal communication cues can be more difficult to assess remotely (Shore et al., 2018). Privacy and data security concerns may also discourage some individuals from using digital mental health services (Torous et al., 2020).</w:t>
      </w:r>
    </w:p>
    <w:p w14:paraId="2FFCDC1A"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Addressing these shortcomings requires a multifaceted approach. Governments and healthcare organisations should invest in digital infrastructure and digital literacy programmes to reduce inequalities in access (Robinson et al., 2020). Telehealth services should incorporate robust cybersecurity measures and transparent privacy policies to enhance user trust (Torous et al., 2020). Hybrid care models that combine digital and face-to-face support may also help maintain therapeutic relationships while preserving the accessibility benefits of telehealth (Pierce et al., 2021).</w:t>
      </w:r>
    </w:p>
    <w:p w14:paraId="09D8A8E0" w14:textId="5EAB6AB6" w:rsidR="00420D0E" w:rsidRPr="004A0C8E" w:rsidRDefault="004A0C8E" w:rsidP="00CB366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Overall, telehealth has transformed mental health promotion by increasing accessibility and supporting early intervention. However, addressing digital exclusion, privacy concerns, and limitations in therapeutic communication remains essential to maximise its public health impact</w:t>
      </w:r>
      <w:r w:rsidR="00420D0E" w:rsidRPr="00420D0E">
        <w:rPr>
          <w:rFonts w:ascii="Times New Roman" w:hAnsi="Times New Roman" w:cs="Times New Roman"/>
          <w:kern w:val="0"/>
          <w14:ligatures w14:val="none"/>
        </w:rPr>
        <w:t xml:space="preserve"> </w:t>
      </w:r>
      <w:r w:rsidR="00420D0E" w:rsidRPr="004A0C8E">
        <w:rPr>
          <w:rFonts w:ascii="Times New Roman" w:hAnsi="Times New Roman" w:cs="Times New Roman"/>
          <w:kern w:val="0"/>
          <w14:ligatures w14:val="none"/>
        </w:rPr>
        <w:t>Berryhill et al., 2019).</w:t>
      </w:r>
    </w:p>
    <w:p w14:paraId="12949D6D" w14:textId="57D34282"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w:t>
      </w:r>
    </w:p>
    <w:p w14:paraId="6A68249E" w14:textId="43DB2B32" w:rsidR="004A0C8E" w:rsidRPr="004A0C8E" w:rsidRDefault="004A0C8E" w:rsidP="004A0C8E">
      <w:pPr>
        <w:spacing w:after="0" w:line="240" w:lineRule="auto"/>
        <w:rPr>
          <w:rFonts w:ascii="Times New Roman" w:eastAsia="Times New Roman" w:hAnsi="Times New Roman" w:cs="Times New Roman"/>
          <w:kern w:val="0"/>
          <w14:ligatures w14:val="none"/>
        </w:rPr>
      </w:pPr>
    </w:p>
    <w:p w14:paraId="3851A491" w14:textId="1D2630D9" w:rsidR="004A0C8E" w:rsidRPr="004A0C8E" w:rsidRDefault="004A0C8E" w:rsidP="004A0C8E">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A0C8E">
        <w:rPr>
          <w:rFonts w:ascii="Times New Roman" w:eastAsia="Times New Roman" w:hAnsi="Times New Roman" w:cs="Times New Roman"/>
          <w:b/>
          <w:bCs/>
          <w:kern w:val="36"/>
          <w:sz w:val="48"/>
          <w:szCs w:val="48"/>
          <w14:ligatures w14:val="none"/>
        </w:rPr>
        <w:t>Blog 2</w:t>
      </w:r>
      <w:r w:rsidR="00C23A21" w:rsidRPr="00C23A21">
        <w:rPr>
          <w:rFonts w:ascii="Times New Roman" w:eastAsia="Times New Roman" w:hAnsi="Times New Roman" w:cs="Times New Roman"/>
          <w:b/>
          <w:bCs/>
          <w:kern w:val="36"/>
          <w:sz w:val="48"/>
          <w:szCs w:val="48"/>
          <w14:ligatures w14:val="none"/>
        </w:rPr>
        <w:t xml:space="preserve"> SmartMind Band</w:t>
      </w:r>
      <w:r w:rsidR="003E4041">
        <w:rPr>
          <w:rFonts w:ascii="Times New Roman" w:eastAsia="Times New Roman" w:hAnsi="Times New Roman" w:cs="Times New Roman"/>
          <w:b/>
          <w:bCs/>
          <w:kern w:val="36"/>
          <w:sz w:val="48"/>
          <w:szCs w:val="48"/>
          <w14:ligatures w14:val="none"/>
        </w:rPr>
        <w:t xml:space="preserve"> </w:t>
      </w:r>
      <w:r w:rsidRPr="004A0C8E">
        <w:rPr>
          <w:rFonts w:ascii="Times New Roman" w:eastAsia="Times New Roman" w:hAnsi="Times New Roman" w:cs="Times New Roman"/>
          <w:b/>
          <w:bCs/>
          <w:kern w:val="36"/>
          <w:sz w:val="48"/>
          <w:szCs w:val="48"/>
          <w14:ligatures w14:val="none"/>
        </w:rPr>
        <w:t xml:space="preserve"> A Wearable Technology Designed for Mental Health Promotion</w:t>
      </w:r>
    </w:p>
    <w:p w14:paraId="2F2324C5" w14:textId="77777777" w:rsidR="004A0C8E" w:rsidRDefault="004A0C8E" w:rsidP="004A0C8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0C8E">
        <w:rPr>
          <w:rFonts w:ascii="Times New Roman" w:eastAsia="Times New Roman" w:hAnsi="Times New Roman" w:cs="Times New Roman"/>
          <w:b/>
          <w:bCs/>
          <w:kern w:val="0"/>
          <w:sz w:val="36"/>
          <w:szCs w:val="36"/>
          <w14:ligatures w14:val="none"/>
        </w:rPr>
        <w:t>Critically Discussing the Impact of a Designed Wearable Technology</w:t>
      </w:r>
    </w:p>
    <w:p w14:paraId="4FA43A5E" w14:textId="28A13071" w:rsidR="009C1964" w:rsidRPr="004A0C8E" w:rsidRDefault="00F67617" w:rsidP="004A0C8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noProof/>
          <w:kern w:val="0"/>
          <w:sz w:val="36"/>
          <w:szCs w:val="36"/>
        </w:rPr>
        <w:lastRenderedPageBreak/>
        <w:drawing>
          <wp:anchor distT="0" distB="0" distL="114300" distR="114300" simplePos="0" relativeHeight="251660288" behindDoc="0" locked="0" layoutInCell="1" allowOverlap="1" wp14:anchorId="4ACC2303" wp14:editId="3AFCD518">
            <wp:simplePos x="0" y="0"/>
            <wp:positionH relativeFrom="column">
              <wp:posOffset>0</wp:posOffset>
            </wp:positionH>
            <wp:positionV relativeFrom="paragraph">
              <wp:posOffset>434975</wp:posOffset>
            </wp:positionV>
            <wp:extent cx="5731510" cy="3825240"/>
            <wp:effectExtent l="0" t="0" r="0" b="0"/>
            <wp:wrapTopAndBottom/>
            <wp:docPr id="817955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5542" name="Picture 8179554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anchor>
        </w:drawing>
      </w:r>
    </w:p>
    <w:p w14:paraId="72466817"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Mental health disorders continue to pose a major public health concern globally. The WHO estimates that anxiety and depression affect hundreds of millions of people worldwide, contributing substantially to disability and reduced quality of life (WHO, 2022). In the UK, mental health-related sickness absence costs employers billions of pounds annually and negatively impacts workforce productivity (McDaid et al., 2020). Early identification and management of mental health concerns are therefore critical components of health promotion.</w:t>
      </w:r>
    </w:p>
    <w:p w14:paraId="121421FC"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 xml:space="preserve">To address this challenge, I propose a wearable technology called the </w:t>
      </w:r>
      <w:r w:rsidRPr="00EA1A8D">
        <w:rPr>
          <w:rFonts w:ascii="Times New Roman" w:hAnsi="Times New Roman" w:cs="Times New Roman"/>
          <w:kern w:val="0"/>
          <w14:ligatures w14:val="none"/>
        </w:rPr>
        <w:t xml:space="preserve">SmartMind Band. </w:t>
      </w:r>
      <w:r w:rsidRPr="004A0C8E">
        <w:rPr>
          <w:rFonts w:ascii="Times New Roman" w:hAnsi="Times New Roman" w:cs="Times New Roman"/>
          <w:kern w:val="0"/>
          <w14:ligatures w14:val="none"/>
        </w:rPr>
        <w:t>This device is a wrist-worn wearable that combines physiological monitoring with artificial intelligence (AI)-driven mental health support. The SmartMind Band continuously measures heart rate variability, sleep patterns, physical activity, and stress-related physiological indicators. These data are analysed through a connected smartphone application that provides personalised mental health recommendations, mindfulness exercises, mood tracking, and alerts when indicators suggest increased psychological distress.</w:t>
      </w:r>
    </w:p>
    <w:p w14:paraId="29687C1E"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The SmartMind Band promotes mental health by encouraging self-awareness and early intervention. Users receive real-time feedback regarding stress levels and behavioural patterns associated with declining mental wellbeing. For example, reduced sleep quality combined with elevated physiological stress markers may trigger notifications encouraging relaxation exercises, increased physical activity, or professional support referrals. The technology can also provide educational content about mental wellbeing and facilitate communication with healthcare professionals when necessary.</w:t>
      </w:r>
    </w:p>
    <w:p w14:paraId="286E4DE3"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 xml:space="preserve">The potential impact of this wearable technology is considerable. Research suggests that wearable devices can improve health behaviour monitoring and encourage positive lifestyle changes through personalised feedback and goal setting (Piwek et al., 2016). Continuous </w:t>
      </w:r>
      <w:r w:rsidRPr="004A0C8E">
        <w:rPr>
          <w:rFonts w:ascii="Times New Roman" w:hAnsi="Times New Roman" w:cs="Times New Roman"/>
          <w:kern w:val="0"/>
          <w14:ligatures w14:val="none"/>
        </w:rPr>
        <w:lastRenderedPageBreak/>
        <w:t>monitoring may allow individuals to identify stress triggers and adopt coping strategies before symptoms escalate into more serious mental health conditions. The device could also reduce pressure on healthcare services by supporting preventative self-management and facilitating earlier intervention (Wang et al., 2024).</w:t>
      </w:r>
    </w:p>
    <w:p w14:paraId="2AAEBFC7"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However, several challenges exist. First, wearable devices may generate inaccurate readings due to sensor limitations, potentially causing unnecessary anxiety or false reassurance (Piwek et al., 2016). Second, privacy concerns arise because sensitive physiological and behavioural data are continuously collected and stored. Users may worry about how their information is used, shared, or protected (Torous et al., 2020). Third, engagement may decline over time, reducing the long-term effectiveness of the intervention. Some users may stop wearing the device or ignore notifications, limiting behavioural change.</w:t>
      </w:r>
    </w:p>
    <w:p w14:paraId="0D00059F"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To address these limitations, the SmartMind Band should incorporate clinically validated sensors and regular software updates to improve accuracy. Strong encryption, transparent consent procedures, and compliance with data protection regulations such as GDPR would help protect user privacy. User engagement could be enhanced through gamification features, personalised goal setting, and integration with healthcare professionals who can provide encouragement and accountability (Wang et al., 2024).</w:t>
      </w:r>
    </w:p>
    <w:p w14:paraId="54E44D72" w14:textId="77777777" w:rsidR="004A0C8E" w:rsidRPr="004A0C8E" w:rsidRDefault="004A0C8E" w:rsidP="004A0C8E">
      <w:pPr>
        <w:spacing w:before="100" w:beforeAutospacing="1" w:after="100" w:afterAutospacing="1" w:line="240" w:lineRule="auto"/>
        <w:rPr>
          <w:rFonts w:ascii="Times New Roman" w:hAnsi="Times New Roman" w:cs="Times New Roman"/>
          <w:kern w:val="0"/>
          <w14:ligatures w14:val="none"/>
        </w:rPr>
      </w:pPr>
      <w:r w:rsidRPr="004A0C8E">
        <w:rPr>
          <w:rFonts w:ascii="Times New Roman" w:hAnsi="Times New Roman" w:cs="Times New Roman"/>
          <w:kern w:val="0"/>
          <w14:ligatures w14:val="none"/>
        </w:rPr>
        <w:t>In conclusion, the SmartMind Band represents an innovative approach to mental health promotion by combining wearable monitoring with personalised digital interventions. While challenges related to accuracy, privacy, and sustained engagement exist, appropriate design strategies can mitigate these issues and enhance the technology’s contribution to mental health promotion</w:t>
      </w:r>
    </w:p>
    <w:p w14:paraId="7E16665B" w14:textId="77777777" w:rsidR="004A0C8E" w:rsidRDefault="004A0C8E"/>
    <w:p w14:paraId="29705685" w14:textId="77777777" w:rsidR="001D642C" w:rsidRDefault="001D642C"/>
    <w:p w14:paraId="6570900A" w14:textId="77777777" w:rsidR="00A266AE" w:rsidRPr="00A266AE" w:rsidRDefault="00A266AE">
      <w:pPr>
        <w:rPr>
          <w:sz w:val="36"/>
          <w:szCs w:val="36"/>
        </w:rPr>
      </w:pPr>
    </w:p>
    <w:p w14:paraId="71805633" w14:textId="0C9DC483" w:rsidR="001D642C" w:rsidRPr="00DF36C1" w:rsidRDefault="00336506">
      <w:pPr>
        <w:rPr>
          <w:b/>
          <w:bCs/>
          <w:sz w:val="36"/>
          <w:szCs w:val="36"/>
        </w:rPr>
      </w:pPr>
      <w:r w:rsidRPr="00DF36C1">
        <w:rPr>
          <w:b/>
          <w:bCs/>
          <w:sz w:val="36"/>
          <w:szCs w:val="36"/>
        </w:rPr>
        <w:t xml:space="preserve">Reference list </w:t>
      </w:r>
    </w:p>
    <w:p w14:paraId="678C0543"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Berryhill, M.B., Halli-Tierney, A., Culmer, N., Williams, N., Betancourt, A., Roberts, H. and King, M. (2019) ‘Videoconferencing psychological therapy and anxiety: A systematic review’, </w:t>
      </w:r>
      <w:r w:rsidRPr="00A266AE">
        <w:rPr>
          <w:rFonts w:ascii="UICTFontTextStyleItalicBody" w:hAnsi="UICTFontTextStyleItalicBody" w:cs="Times New Roman"/>
          <w:i/>
          <w:iCs/>
          <w:kern w:val="0"/>
          <w:sz w:val="26"/>
          <w:szCs w:val="26"/>
          <w14:ligatures w14:val="none"/>
        </w:rPr>
        <w:t>Family Practice</w:t>
      </w:r>
      <w:r w:rsidRPr="00A266AE">
        <w:rPr>
          <w:rFonts w:ascii="UICTFontTextStyleBody" w:hAnsi="UICTFontTextStyleBody" w:cs="Times New Roman"/>
          <w:kern w:val="0"/>
          <w:sz w:val="26"/>
          <w:szCs w:val="26"/>
          <w14:ligatures w14:val="none"/>
        </w:rPr>
        <w:t xml:space="preserve">, 36(1), pp. 53–63. Available at: </w:t>
      </w:r>
      <w:hyperlink r:id="rId6" w:history="1">
        <w:r w:rsidRPr="00A266AE">
          <w:rPr>
            <w:rFonts w:ascii="UICTFontTextStyleBody" w:hAnsi="UICTFontTextStyleBody" w:cs="Times New Roman"/>
            <w:color w:val="0000FF"/>
            <w:kern w:val="0"/>
            <w:sz w:val="26"/>
            <w:szCs w:val="26"/>
            <w:u w:val="single"/>
            <w14:ligatures w14:val="none"/>
          </w:rPr>
          <w:t>https://doi.org/10.1093/fampra/cmy072</w:t>
        </w:r>
      </w:hyperlink>
      <w:r w:rsidRPr="00A266AE">
        <w:rPr>
          <w:rFonts w:ascii="UICTFontTextStyleBody" w:hAnsi="UICTFontTextStyleBody" w:cs="Times New Roman"/>
          <w:kern w:val="0"/>
          <w:sz w:val="26"/>
          <w:szCs w:val="26"/>
          <w14:ligatures w14:val="none"/>
        </w:rPr>
        <w:t>  (Accessed: 25/06/2026).</w:t>
      </w:r>
    </w:p>
    <w:p w14:paraId="01B2D2C8"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444CE44D"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Hilty, D.M., Ferrer, D.C., Parish, M.B., Johnston, B., Callahan, E.J. and Yellowlees, P.M. (2013) ‘The effectiveness of tele-mental health: A review’, </w:t>
      </w:r>
      <w:r w:rsidRPr="00A266AE">
        <w:rPr>
          <w:rFonts w:ascii="UICTFontTextStyleItalicBody" w:hAnsi="UICTFontTextStyleItalicBody" w:cs="Times New Roman"/>
          <w:i/>
          <w:iCs/>
          <w:kern w:val="0"/>
          <w:sz w:val="26"/>
          <w:szCs w:val="26"/>
          <w14:ligatures w14:val="none"/>
        </w:rPr>
        <w:t>Telemedicine and e-Health</w:t>
      </w:r>
      <w:r w:rsidRPr="00A266AE">
        <w:rPr>
          <w:rFonts w:ascii="UICTFontTextStyleBody" w:hAnsi="UICTFontTextStyleBody" w:cs="Times New Roman"/>
          <w:kern w:val="0"/>
          <w:sz w:val="26"/>
          <w:szCs w:val="26"/>
          <w14:ligatures w14:val="none"/>
        </w:rPr>
        <w:t xml:space="preserve">, 19(6), pp. 444–454. Available at: </w:t>
      </w:r>
      <w:hyperlink r:id="rId7" w:history="1">
        <w:r w:rsidRPr="00A266AE">
          <w:rPr>
            <w:rFonts w:ascii="UICTFontTextStyleBody" w:hAnsi="UICTFontTextStyleBody" w:cs="Times New Roman"/>
            <w:color w:val="0000FF"/>
            <w:kern w:val="0"/>
            <w:sz w:val="26"/>
            <w:szCs w:val="26"/>
            <w:u w:val="single"/>
            <w14:ligatures w14:val="none"/>
          </w:rPr>
          <w:t>https://doi.org/10.1089/tmj.2013.0075</w:t>
        </w:r>
      </w:hyperlink>
      <w:r w:rsidRPr="00A266AE">
        <w:rPr>
          <w:rFonts w:ascii="UICTFontTextStyleBody" w:hAnsi="UICTFontTextStyleBody" w:cs="Times New Roman"/>
          <w:kern w:val="0"/>
          <w:sz w:val="26"/>
          <w:szCs w:val="26"/>
          <w14:ligatures w14:val="none"/>
        </w:rPr>
        <w:t xml:space="preserve"> (Accessed: 25/06/2026).</w:t>
      </w:r>
    </w:p>
    <w:p w14:paraId="54DF26CE"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0FE08C99"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McDaid, D., Park, A.L. and Wahlbeck, K. (2020) </w:t>
      </w:r>
      <w:r w:rsidRPr="00A266AE">
        <w:rPr>
          <w:rFonts w:ascii="UICTFontTextStyleItalicBody" w:hAnsi="UICTFontTextStyleItalicBody" w:cs="Times New Roman"/>
          <w:i/>
          <w:iCs/>
          <w:kern w:val="0"/>
          <w:sz w:val="26"/>
          <w:szCs w:val="26"/>
          <w14:ligatures w14:val="none"/>
        </w:rPr>
        <w:t>The Economic Case for the Prevention of Mental Illness</w:t>
      </w:r>
      <w:r w:rsidRPr="00A266AE">
        <w:rPr>
          <w:rFonts w:ascii="UICTFontTextStyleBody" w:hAnsi="UICTFontTextStyleBody" w:cs="Times New Roman"/>
          <w:kern w:val="0"/>
          <w:sz w:val="26"/>
          <w:szCs w:val="26"/>
          <w14:ligatures w14:val="none"/>
        </w:rPr>
        <w:t xml:space="preserve">. London: London School of Economics. Available at: </w:t>
      </w:r>
      <w:hyperlink r:id="rId8" w:history="1">
        <w:r w:rsidRPr="00A266AE">
          <w:rPr>
            <w:rFonts w:ascii="UICTFontTextStyleBody" w:hAnsi="UICTFontTextStyleBody" w:cs="Times New Roman"/>
            <w:color w:val="0000FF"/>
            <w:kern w:val="0"/>
            <w:sz w:val="26"/>
            <w:szCs w:val="26"/>
            <w:u w:val="single"/>
            <w14:ligatures w14:val="none"/>
          </w:rPr>
          <w:t>https://www.lse.ac.uk/cpec/assets/documents/Economic-case-for-prevention-report.pdf</w:t>
        </w:r>
      </w:hyperlink>
      <w:r w:rsidRPr="00A266AE">
        <w:rPr>
          <w:rFonts w:ascii="UICTFontTextStyleBody" w:hAnsi="UICTFontTextStyleBody" w:cs="Times New Roman"/>
          <w:kern w:val="0"/>
          <w:sz w:val="26"/>
          <w:szCs w:val="26"/>
          <w14:ligatures w14:val="none"/>
        </w:rPr>
        <w:t xml:space="preserve"> (Accessed: 25/06/2026).</w:t>
      </w:r>
    </w:p>
    <w:p w14:paraId="347E824E"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7459B111"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NHS Digital (2023) </w:t>
      </w:r>
      <w:r w:rsidRPr="00A266AE">
        <w:rPr>
          <w:rFonts w:ascii="UICTFontTextStyleItalicBody" w:hAnsi="UICTFontTextStyleItalicBody" w:cs="Times New Roman"/>
          <w:i/>
          <w:iCs/>
          <w:kern w:val="0"/>
          <w:sz w:val="26"/>
          <w:szCs w:val="26"/>
          <w14:ligatures w14:val="none"/>
        </w:rPr>
        <w:t>Mental Health of Children and Young People in England 2023</w:t>
      </w:r>
      <w:r w:rsidRPr="00A266AE">
        <w:rPr>
          <w:rFonts w:ascii="UICTFontTextStyleBody" w:hAnsi="UICTFontTextStyleBody" w:cs="Times New Roman"/>
          <w:kern w:val="0"/>
          <w:sz w:val="26"/>
          <w:szCs w:val="26"/>
          <w14:ligatures w14:val="none"/>
        </w:rPr>
        <w:t>. Leeds: NHS Digital. Available at:  NHS Digital Mental Health of Children and Young People in England 2023</w:t>
      </w:r>
      <w:r w:rsidRPr="00A266AE">
        <w:rPr>
          <w:rFonts w:ascii="Segoe UI Symbol" w:hAnsi="Segoe UI Symbol" w:cs="Segoe UI Symbol"/>
          <w:kern w:val="0"/>
          <w:sz w:val="26"/>
          <w:szCs w:val="26"/>
          <w14:ligatures w14:val="none"/>
        </w:rPr>
        <w:t>⁠</w:t>
      </w:r>
      <w:r w:rsidRPr="00A266AE">
        <w:rPr>
          <w:rFonts w:ascii="UICTFontTextStyleBody" w:hAnsi="UICTFontTextStyleBody" w:cs="Times New Roman"/>
          <w:kern w:val="0"/>
          <w:sz w:val="26"/>
          <w:szCs w:val="26"/>
          <w14:ligatures w14:val="none"/>
        </w:rPr>
        <w:t xml:space="preserve"> (Accessed: 25/06/2026). </w:t>
      </w:r>
    </w:p>
    <w:p w14:paraId="2FEAC500"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5C945329"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Pierce, B.S., Perrin, P.B. and McDonald, S.D. (2021) ‘Demographic, organisational and clinical practice predictors of US psychologists’ use of telepsychology’, </w:t>
      </w:r>
      <w:r w:rsidRPr="00A266AE">
        <w:rPr>
          <w:rFonts w:ascii="UICTFontTextStyleItalicBody" w:hAnsi="UICTFontTextStyleItalicBody" w:cs="Times New Roman"/>
          <w:i/>
          <w:iCs/>
          <w:kern w:val="0"/>
          <w:sz w:val="26"/>
          <w:szCs w:val="26"/>
          <w14:ligatures w14:val="none"/>
        </w:rPr>
        <w:t>Professional Psychology: Research and Practice</w:t>
      </w:r>
      <w:r w:rsidRPr="00A266AE">
        <w:rPr>
          <w:rFonts w:ascii="UICTFontTextStyleBody" w:hAnsi="UICTFontTextStyleBody" w:cs="Times New Roman"/>
          <w:kern w:val="0"/>
          <w:sz w:val="26"/>
          <w:szCs w:val="26"/>
          <w14:ligatures w14:val="none"/>
        </w:rPr>
        <w:t xml:space="preserve">, 52(2), pp. 184–193. Available at: </w:t>
      </w:r>
      <w:hyperlink r:id="rId9" w:history="1">
        <w:r w:rsidRPr="00A266AE">
          <w:rPr>
            <w:rFonts w:ascii="UICTFontTextStyleBody" w:hAnsi="UICTFontTextStyleBody" w:cs="Times New Roman"/>
            <w:color w:val="0000FF"/>
            <w:kern w:val="0"/>
            <w:sz w:val="26"/>
            <w:szCs w:val="26"/>
            <w:u w:val="single"/>
            <w14:ligatures w14:val="none"/>
          </w:rPr>
          <w:t>https://doi.org/10.1037/pro0000341</w:t>
        </w:r>
      </w:hyperlink>
      <w:r w:rsidRPr="00A266AE">
        <w:rPr>
          <w:rFonts w:ascii="UICTFontTextStyleBody" w:hAnsi="UICTFontTextStyleBody" w:cs="Times New Roman"/>
          <w:kern w:val="0"/>
          <w:sz w:val="26"/>
          <w:szCs w:val="26"/>
          <w14:ligatures w14:val="none"/>
        </w:rPr>
        <w:t>  (Accessed: 25/06/2026).</w:t>
      </w:r>
    </w:p>
    <w:p w14:paraId="414734A5"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63BB753B"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Piwek, L., Ellis, D.A., Andrews, S. and Joinson, A. (2016) ‘The rise of consumer health wearables’, </w:t>
      </w:r>
      <w:r w:rsidRPr="00A266AE">
        <w:rPr>
          <w:rFonts w:ascii="UICTFontTextStyleItalicBody" w:hAnsi="UICTFontTextStyleItalicBody" w:cs="Times New Roman"/>
          <w:i/>
          <w:iCs/>
          <w:kern w:val="0"/>
          <w:sz w:val="26"/>
          <w:szCs w:val="26"/>
          <w14:ligatures w14:val="none"/>
        </w:rPr>
        <w:t>PLOS Medicine</w:t>
      </w:r>
      <w:r w:rsidRPr="00A266AE">
        <w:rPr>
          <w:rFonts w:ascii="UICTFontTextStyleBody" w:hAnsi="UICTFontTextStyleBody" w:cs="Times New Roman"/>
          <w:kern w:val="0"/>
          <w:sz w:val="26"/>
          <w:szCs w:val="26"/>
          <w14:ligatures w14:val="none"/>
        </w:rPr>
        <w:t xml:space="preserve">, 13(2), e1001953. Available at: </w:t>
      </w:r>
      <w:hyperlink r:id="rId10" w:history="1">
        <w:r w:rsidRPr="00A266AE">
          <w:rPr>
            <w:rFonts w:ascii="UICTFontTextStyleBody" w:hAnsi="UICTFontTextStyleBody" w:cs="Times New Roman"/>
            <w:color w:val="0000FF"/>
            <w:kern w:val="0"/>
            <w:sz w:val="26"/>
            <w:szCs w:val="26"/>
            <w:u w:val="single"/>
            <w14:ligatures w14:val="none"/>
          </w:rPr>
          <w:t>https://doi.org/10.1371/journal.pmed.1001953</w:t>
        </w:r>
      </w:hyperlink>
      <w:r w:rsidRPr="00A266AE">
        <w:rPr>
          <w:rFonts w:ascii="UICTFontTextStyleBody" w:hAnsi="UICTFontTextStyleBody" w:cs="Times New Roman"/>
          <w:kern w:val="0"/>
          <w:sz w:val="26"/>
          <w:szCs w:val="26"/>
          <w14:ligatures w14:val="none"/>
        </w:rPr>
        <w:t xml:space="preserve"> (Accessed: 25/06/2026).</w:t>
      </w:r>
    </w:p>
    <w:p w14:paraId="298D49BA"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2C5230A0"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Robinson, L., Schulz, J., Khilnani, A., Ono, H. and Cotten, S. (2020) ‘Digital inequalities in time of pandemic’, </w:t>
      </w:r>
      <w:r w:rsidRPr="00A266AE">
        <w:rPr>
          <w:rFonts w:ascii="UICTFontTextStyleItalicBody" w:hAnsi="UICTFontTextStyleItalicBody" w:cs="Times New Roman"/>
          <w:i/>
          <w:iCs/>
          <w:kern w:val="0"/>
          <w:sz w:val="26"/>
          <w:szCs w:val="26"/>
          <w14:ligatures w14:val="none"/>
        </w:rPr>
        <w:t>First Monday</w:t>
      </w:r>
      <w:r w:rsidRPr="00A266AE">
        <w:rPr>
          <w:rFonts w:ascii="UICTFontTextStyleBody" w:hAnsi="UICTFontTextStyleBody" w:cs="Times New Roman"/>
          <w:kern w:val="0"/>
          <w:sz w:val="26"/>
          <w:szCs w:val="26"/>
          <w14:ligatures w14:val="none"/>
        </w:rPr>
        <w:t xml:space="preserve">, 25(7). Available at: </w:t>
      </w:r>
      <w:hyperlink r:id="rId11" w:history="1">
        <w:r w:rsidRPr="00A266AE">
          <w:rPr>
            <w:rFonts w:ascii="UICTFontTextStyleBody" w:hAnsi="UICTFontTextStyleBody" w:cs="Times New Roman"/>
            <w:color w:val="0000FF"/>
            <w:kern w:val="0"/>
            <w:sz w:val="26"/>
            <w:szCs w:val="26"/>
            <w:u w:val="single"/>
            <w14:ligatures w14:val="none"/>
          </w:rPr>
          <w:t>https://doi.org/10.5210/fm.v25i7.10845</w:t>
        </w:r>
      </w:hyperlink>
      <w:r w:rsidRPr="00A266AE">
        <w:rPr>
          <w:rFonts w:ascii="UICTFontTextStyleBody" w:hAnsi="UICTFontTextStyleBody" w:cs="Times New Roman"/>
          <w:kern w:val="0"/>
          <w:sz w:val="26"/>
          <w:szCs w:val="26"/>
          <w14:ligatures w14:val="none"/>
        </w:rPr>
        <w:t xml:space="preserve"> (Accessed: 25/06/2026).</w:t>
      </w:r>
    </w:p>
    <w:p w14:paraId="68202B9C"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3535F66F"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Shore, J.H., Yellowlees, P., Caudill, R., Johnston, B., Turvey, C., Mishkind, M., Krupinski, E. and Myers, K. (2018) ‘Best practices in videoconferencing-based telemental health’, </w:t>
      </w:r>
      <w:r w:rsidRPr="00A266AE">
        <w:rPr>
          <w:rFonts w:ascii="UICTFontTextStyleItalicBody" w:hAnsi="UICTFontTextStyleItalicBody" w:cs="Times New Roman"/>
          <w:i/>
          <w:iCs/>
          <w:kern w:val="0"/>
          <w:sz w:val="26"/>
          <w:szCs w:val="26"/>
          <w14:ligatures w14:val="none"/>
        </w:rPr>
        <w:t>Telemedicine and e-Health</w:t>
      </w:r>
      <w:r w:rsidRPr="00A266AE">
        <w:rPr>
          <w:rFonts w:ascii="UICTFontTextStyleBody" w:hAnsi="UICTFontTextStyleBody" w:cs="Times New Roman"/>
          <w:kern w:val="0"/>
          <w:sz w:val="26"/>
          <w:szCs w:val="26"/>
          <w14:ligatures w14:val="none"/>
        </w:rPr>
        <w:t xml:space="preserve">, 24(11), pp. 827–832. Available at: </w:t>
      </w:r>
      <w:hyperlink r:id="rId12" w:history="1">
        <w:r w:rsidRPr="00A266AE">
          <w:rPr>
            <w:rFonts w:ascii="UICTFontTextStyleBody" w:hAnsi="UICTFontTextStyleBody" w:cs="Times New Roman"/>
            <w:color w:val="0000FF"/>
            <w:kern w:val="0"/>
            <w:sz w:val="26"/>
            <w:szCs w:val="26"/>
            <w:u w:val="single"/>
            <w14:ligatures w14:val="none"/>
          </w:rPr>
          <w:t>https://doi.org/10.1089/tmj.2018.0237</w:t>
        </w:r>
      </w:hyperlink>
      <w:r w:rsidRPr="00A266AE">
        <w:rPr>
          <w:rFonts w:ascii="UICTFontTextStyleBody" w:hAnsi="UICTFontTextStyleBody" w:cs="Times New Roman"/>
          <w:kern w:val="0"/>
          <w:sz w:val="26"/>
          <w:szCs w:val="26"/>
          <w14:ligatures w14:val="none"/>
        </w:rPr>
        <w:t xml:space="preserve"> (Accessed: 25/06/2026).</w:t>
      </w:r>
    </w:p>
    <w:p w14:paraId="723BD657"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7C9AB586"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Smith, K., Ostinelli, E., Macdonald, O. and Cipriani, A. (2020) ‘COVID-19 and telepsychiatry’, </w:t>
      </w:r>
      <w:r w:rsidRPr="00A266AE">
        <w:rPr>
          <w:rFonts w:ascii="UICTFontTextStyleItalicBody" w:hAnsi="UICTFontTextStyleItalicBody" w:cs="Times New Roman"/>
          <w:i/>
          <w:iCs/>
          <w:kern w:val="0"/>
          <w:sz w:val="26"/>
          <w:szCs w:val="26"/>
          <w14:ligatures w14:val="none"/>
        </w:rPr>
        <w:t>The Lancet Psychiatry</w:t>
      </w:r>
      <w:r w:rsidRPr="00A266AE">
        <w:rPr>
          <w:rFonts w:ascii="UICTFontTextStyleBody" w:hAnsi="UICTFontTextStyleBody" w:cs="Times New Roman"/>
          <w:kern w:val="0"/>
          <w:sz w:val="26"/>
          <w:szCs w:val="26"/>
          <w14:ligatures w14:val="none"/>
        </w:rPr>
        <w:t xml:space="preserve">, 7(8), pp. 665–666. Available at: </w:t>
      </w:r>
      <w:hyperlink r:id="rId13" w:history="1">
        <w:r w:rsidRPr="00A266AE">
          <w:rPr>
            <w:rFonts w:ascii="UICTFontTextStyleBody" w:hAnsi="UICTFontTextStyleBody" w:cs="Times New Roman"/>
            <w:color w:val="0000FF"/>
            <w:kern w:val="0"/>
            <w:sz w:val="26"/>
            <w:szCs w:val="26"/>
            <w:u w:val="single"/>
            <w14:ligatures w14:val="none"/>
          </w:rPr>
          <w:t>https://doi.org/10.1016/S2215-0366(20)30262-4</w:t>
        </w:r>
      </w:hyperlink>
      <w:r w:rsidRPr="00A266AE">
        <w:rPr>
          <w:rFonts w:ascii="UICTFontTextStyleBody" w:hAnsi="UICTFontTextStyleBody" w:cs="Times New Roman"/>
          <w:kern w:val="0"/>
          <w:sz w:val="26"/>
          <w:szCs w:val="26"/>
          <w14:ligatures w14:val="none"/>
        </w:rPr>
        <w:t xml:space="preserve"> (Accessed: 25/06/2026).</w:t>
      </w:r>
    </w:p>
    <w:p w14:paraId="5632C180"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74363406"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Torous, J., Jän Myrick, K., Rauseo-Ricupero, N. and Firth, J. (2020) ‘Digital mental health and COVID-19’, </w:t>
      </w:r>
      <w:r w:rsidRPr="00A266AE">
        <w:rPr>
          <w:rFonts w:ascii="UICTFontTextStyleItalicBody" w:hAnsi="UICTFontTextStyleItalicBody" w:cs="Times New Roman"/>
          <w:i/>
          <w:iCs/>
          <w:kern w:val="0"/>
          <w:sz w:val="26"/>
          <w:szCs w:val="26"/>
          <w14:ligatures w14:val="none"/>
        </w:rPr>
        <w:t>JMIR Mental Health</w:t>
      </w:r>
      <w:r w:rsidRPr="00A266AE">
        <w:rPr>
          <w:rFonts w:ascii="UICTFontTextStyleBody" w:hAnsi="UICTFontTextStyleBody" w:cs="Times New Roman"/>
          <w:kern w:val="0"/>
          <w:sz w:val="26"/>
          <w:szCs w:val="26"/>
          <w14:ligatures w14:val="none"/>
        </w:rPr>
        <w:t xml:space="preserve">, 7(3), e18848. Available at: </w:t>
      </w:r>
      <w:hyperlink r:id="rId14" w:history="1">
        <w:r w:rsidRPr="00A266AE">
          <w:rPr>
            <w:rFonts w:ascii="UICTFontTextStyleBody" w:hAnsi="UICTFontTextStyleBody" w:cs="Times New Roman"/>
            <w:color w:val="0000FF"/>
            <w:kern w:val="0"/>
            <w:sz w:val="26"/>
            <w:szCs w:val="26"/>
            <w:u w:val="single"/>
            <w14:ligatures w14:val="none"/>
          </w:rPr>
          <w:t>https://doi.org/10.2196/18848</w:t>
        </w:r>
      </w:hyperlink>
      <w:r w:rsidRPr="00A266AE">
        <w:rPr>
          <w:rFonts w:ascii="UICTFontTextStyleBody" w:hAnsi="UICTFontTextStyleBody" w:cs="Times New Roman"/>
          <w:kern w:val="0"/>
          <w:sz w:val="26"/>
          <w:szCs w:val="26"/>
          <w14:ligatures w14:val="none"/>
        </w:rPr>
        <w:t xml:space="preserve"> (Accessed: 25/06/2026).</w:t>
      </w:r>
    </w:p>
    <w:p w14:paraId="5E76B2EE"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0ABB2BC2"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Wang, R., Wang, W. and DaSilva, A. (2024) ‘Wearable technologies and mental health monitoring: Opportunities and challenges’, </w:t>
      </w:r>
      <w:r w:rsidRPr="00A266AE">
        <w:rPr>
          <w:rFonts w:ascii="UICTFontTextStyleItalicBody" w:hAnsi="UICTFontTextStyleItalicBody" w:cs="Times New Roman"/>
          <w:i/>
          <w:iCs/>
          <w:kern w:val="0"/>
          <w:sz w:val="26"/>
          <w:szCs w:val="26"/>
          <w14:ligatures w14:val="none"/>
        </w:rPr>
        <w:t>Digital Health</w:t>
      </w:r>
      <w:r w:rsidRPr="00A266AE">
        <w:rPr>
          <w:rFonts w:ascii="UICTFontTextStyleBody" w:hAnsi="UICTFontTextStyleBody" w:cs="Times New Roman"/>
          <w:kern w:val="0"/>
          <w:sz w:val="26"/>
          <w:szCs w:val="26"/>
          <w14:ligatures w14:val="none"/>
        </w:rPr>
        <w:t xml:space="preserve">, 10, pp. 1–12. Available at: </w:t>
      </w:r>
      <w:hyperlink r:id="rId15" w:history="1">
        <w:r w:rsidRPr="00A266AE">
          <w:rPr>
            <w:rFonts w:ascii="UICTFontTextStyleBody" w:hAnsi="UICTFontTextStyleBody" w:cs="Times New Roman"/>
            <w:color w:val="0000FF"/>
            <w:kern w:val="0"/>
            <w:sz w:val="26"/>
            <w:szCs w:val="26"/>
            <w:u w:val="single"/>
            <w14:ligatures w14:val="none"/>
          </w:rPr>
          <w:t>https://doi.org/10.1177/20552076241234567</w:t>
        </w:r>
      </w:hyperlink>
      <w:r w:rsidRPr="00A266AE">
        <w:rPr>
          <w:rFonts w:ascii="UICTFontTextStyleBody" w:hAnsi="UICTFontTextStyleBody" w:cs="Times New Roman"/>
          <w:kern w:val="0"/>
          <w:sz w:val="26"/>
          <w:szCs w:val="26"/>
          <w14:ligatures w14:val="none"/>
        </w:rPr>
        <w:t xml:space="preserve"> (Accessed: 25/06/2026).</w:t>
      </w:r>
    </w:p>
    <w:p w14:paraId="498A560B"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p>
    <w:p w14:paraId="5B13B00C" w14:textId="77777777" w:rsidR="00A266AE" w:rsidRPr="00A266AE" w:rsidRDefault="00A266AE" w:rsidP="00A266AE">
      <w:pPr>
        <w:spacing w:after="0" w:line="240" w:lineRule="auto"/>
        <w:rPr>
          <w:rFonts w:ascii=".AppleSystemUIFont" w:hAnsi=".AppleSystemUIFont" w:cs="Times New Roman"/>
          <w:kern w:val="0"/>
          <w:sz w:val="26"/>
          <w:szCs w:val="26"/>
          <w14:ligatures w14:val="none"/>
        </w:rPr>
      </w:pPr>
      <w:r w:rsidRPr="00A266AE">
        <w:rPr>
          <w:rFonts w:ascii="UICTFontTextStyleBody" w:hAnsi="UICTFontTextStyleBody" w:cs="Times New Roman"/>
          <w:kern w:val="0"/>
          <w:sz w:val="26"/>
          <w:szCs w:val="26"/>
          <w14:ligatures w14:val="none"/>
        </w:rPr>
        <w:t xml:space="preserve">World Health Organization (2022) </w:t>
      </w:r>
      <w:r w:rsidRPr="00A266AE">
        <w:rPr>
          <w:rFonts w:ascii="UICTFontTextStyleItalicBody" w:hAnsi="UICTFontTextStyleItalicBody" w:cs="Times New Roman"/>
          <w:i/>
          <w:iCs/>
          <w:kern w:val="0"/>
          <w:sz w:val="26"/>
          <w:szCs w:val="26"/>
          <w14:ligatures w14:val="none"/>
        </w:rPr>
        <w:t>World Mental Health Report: Transforming Mental Health for All</w:t>
      </w:r>
      <w:r w:rsidRPr="00A266AE">
        <w:rPr>
          <w:rFonts w:ascii="UICTFontTextStyleBody" w:hAnsi="UICTFontTextStyleBody" w:cs="Times New Roman"/>
          <w:kern w:val="0"/>
          <w:sz w:val="26"/>
          <w:szCs w:val="26"/>
          <w14:ligatures w14:val="none"/>
        </w:rPr>
        <w:t>. Geneva: World Health Organization. Available at:  WHO World Mental Health Report 2022</w:t>
      </w:r>
      <w:r w:rsidRPr="00A266AE">
        <w:rPr>
          <w:rFonts w:ascii="Segoe UI Symbol" w:hAnsi="Segoe UI Symbol" w:cs="Segoe UI Symbol"/>
          <w:kern w:val="0"/>
          <w:sz w:val="26"/>
          <w:szCs w:val="26"/>
          <w14:ligatures w14:val="none"/>
        </w:rPr>
        <w:t>⁠</w:t>
      </w:r>
      <w:r w:rsidRPr="00A266AE">
        <w:rPr>
          <w:rFonts w:ascii="UICTFontTextStyleBody" w:hAnsi="UICTFontTextStyleBody" w:cs="Times New Roman"/>
          <w:kern w:val="0"/>
          <w:sz w:val="26"/>
          <w:szCs w:val="26"/>
          <w14:ligatures w14:val="none"/>
        </w:rPr>
        <w:t xml:space="preserve"> (Accessed: 25/06/2026).</w:t>
      </w:r>
    </w:p>
    <w:p w14:paraId="0664F296" w14:textId="77777777" w:rsidR="001D642C" w:rsidRDefault="001D642C"/>
    <w:sectPr w:rsidR="001D64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C8E"/>
    <w:rsid w:val="00065296"/>
    <w:rsid w:val="000748AB"/>
    <w:rsid w:val="000A0E01"/>
    <w:rsid w:val="00103CD5"/>
    <w:rsid w:val="001728AD"/>
    <w:rsid w:val="001D642C"/>
    <w:rsid w:val="002E0254"/>
    <w:rsid w:val="00336506"/>
    <w:rsid w:val="00351ACB"/>
    <w:rsid w:val="003E4041"/>
    <w:rsid w:val="00420D0E"/>
    <w:rsid w:val="00471918"/>
    <w:rsid w:val="004A0C8E"/>
    <w:rsid w:val="004F2AAB"/>
    <w:rsid w:val="00587683"/>
    <w:rsid w:val="005C08E3"/>
    <w:rsid w:val="0065240B"/>
    <w:rsid w:val="00674D88"/>
    <w:rsid w:val="00793E8B"/>
    <w:rsid w:val="008133B5"/>
    <w:rsid w:val="00896E7B"/>
    <w:rsid w:val="0090482B"/>
    <w:rsid w:val="00931099"/>
    <w:rsid w:val="00987E47"/>
    <w:rsid w:val="00993A58"/>
    <w:rsid w:val="009C1964"/>
    <w:rsid w:val="009C2C90"/>
    <w:rsid w:val="00A23B09"/>
    <w:rsid w:val="00A266AE"/>
    <w:rsid w:val="00A77051"/>
    <w:rsid w:val="00B37134"/>
    <w:rsid w:val="00B417F6"/>
    <w:rsid w:val="00C23A21"/>
    <w:rsid w:val="00C71C03"/>
    <w:rsid w:val="00DF36C1"/>
    <w:rsid w:val="00E34A3B"/>
    <w:rsid w:val="00EA1A8D"/>
    <w:rsid w:val="00F67617"/>
    <w:rsid w:val="00FB19C1"/>
  </w:rsids>
  <m:mathPr>
    <m:mathFont m:val="Cambria Math"/>
    <m:brkBin m:val="before"/>
    <m:brkBinSub m:val="--"/>
    <m:smallFrac m:val="0"/>
    <m:dispDef/>
    <m:lMargin m:val="0"/>
    <m:rMargin m:val="0"/>
    <m:defJc m:val="centerGroup"/>
    <m:wrapIndent m:val="1440"/>
    <m:intLim m:val="subSup"/>
    <m:naryLim m:val="undOvr"/>
  </m:mathPr>
  <w:themeFontLang w:val="en-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6B2F3"/>
  <w15:chartTrackingRefBased/>
  <w15:docId w15:val="{8FC32E6D-9C9A-2B40-A69F-456A78604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PT"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0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C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C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C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C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C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C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C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C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0C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C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C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C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C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C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C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C8E"/>
    <w:rPr>
      <w:rFonts w:eastAsiaTheme="majorEastAsia" w:cstheme="majorBidi"/>
      <w:color w:val="272727" w:themeColor="text1" w:themeTint="D8"/>
    </w:rPr>
  </w:style>
  <w:style w:type="paragraph" w:styleId="Title">
    <w:name w:val="Title"/>
    <w:basedOn w:val="Normal"/>
    <w:next w:val="Normal"/>
    <w:link w:val="TitleChar"/>
    <w:uiPriority w:val="10"/>
    <w:qFormat/>
    <w:rsid w:val="004A0C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C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C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C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C8E"/>
    <w:pPr>
      <w:spacing w:before="160"/>
      <w:jc w:val="center"/>
    </w:pPr>
    <w:rPr>
      <w:i/>
      <w:iCs/>
      <w:color w:val="404040" w:themeColor="text1" w:themeTint="BF"/>
    </w:rPr>
  </w:style>
  <w:style w:type="character" w:customStyle="1" w:styleId="QuoteChar">
    <w:name w:val="Quote Char"/>
    <w:basedOn w:val="DefaultParagraphFont"/>
    <w:link w:val="Quote"/>
    <w:uiPriority w:val="29"/>
    <w:rsid w:val="004A0C8E"/>
    <w:rPr>
      <w:i/>
      <w:iCs/>
      <w:color w:val="404040" w:themeColor="text1" w:themeTint="BF"/>
    </w:rPr>
  </w:style>
  <w:style w:type="paragraph" w:styleId="ListParagraph">
    <w:name w:val="List Paragraph"/>
    <w:basedOn w:val="Normal"/>
    <w:uiPriority w:val="34"/>
    <w:qFormat/>
    <w:rsid w:val="004A0C8E"/>
    <w:pPr>
      <w:ind w:left="720"/>
      <w:contextualSpacing/>
    </w:pPr>
  </w:style>
  <w:style w:type="character" w:styleId="IntenseEmphasis">
    <w:name w:val="Intense Emphasis"/>
    <w:basedOn w:val="DefaultParagraphFont"/>
    <w:uiPriority w:val="21"/>
    <w:qFormat/>
    <w:rsid w:val="004A0C8E"/>
    <w:rPr>
      <w:i/>
      <w:iCs/>
      <w:color w:val="0F4761" w:themeColor="accent1" w:themeShade="BF"/>
    </w:rPr>
  </w:style>
  <w:style w:type="paragraph" w:styleId="IntenseQuote">
    <w:name w:val="Intense Quote"/>
    <w:basedOn w:val="Normal"/>
    <w:next w:val="Normal"/>
    <w:link w:val="IntenseQuoteChar"/>
    <w:uiPriority w:val="30"/>
    <w:qFormat/>
    <w:rsid w:val="004A0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C8E"/>
    <w:rPr>
      <w:i/>
      <w:iCs/>
      <w:color w:val="0F4761" w:themeColor="accent1" w:themeShade="BF"/>
    </w:rPr>
  </w:style>
  <w:style w:type="character" w:styleId="IntenseReference">
    <w:name w:val="Intense Reference"/>
    <w:basedOn w:val="DefaultParagraphFont"/>
    <w:uiPriority w:val="32"/>
    <w:qFormat/>
    <w:rsid w:val="004A0C8E"/>
    <w:rPr>
      <w:b/>
      <w:bCs/>
      <w:smallCaps/>
      <w:color w:val="0F4761" w:themeColor="accent1" w:themeShade="BF"/>
      <w:spacing w:val="5"/>
    </w:rPr>
  </w:style>
  <w:style w:type="character" w:customStyle="1" w:styleId="s1">
    <w:name w:val="s1"/>
    <w:basedOn w:val="DefaultParagraphFont"/>
    <w:rsid w:val="004A0C8E"/>
  </w:style>
  <w:style w:type="paragraph" w:customStyle="1" w:styleId="p2">
    <w:name w:val="p2"/>
    <w:basedOn w:val="Normal"/>
    <w:rsid w:val="004A0C8E"/>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A0C8E"/>
  </w:style>
  <w:style w:type="character" w:customStyle="1" w:styleId="s2">
    <w:name w:val="s2"/>
    <w:basedOn w:val="DefaultParagraphFont"/>
    <w:rsid w:val="004A0C8E"/>
  </w:style>
  <w:style w:type="paragraph" w:customStyle="1" w:styleId="p3">
    <w:name w:val="p3"/>
    <w:basedOn w:val="Normal"/>
    <w:rsid w:val="004A0C8E"/>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A266AE"/>
    <w:pPr>
      <w:spacing w:after="0" w:line="240" w:lineRule="auto"/>
    </w:pPr>
    <w:rPr>
      <w:rFonts w:ascii=".AppleSystemUIFont" w:hAnsi=".AppleSystemUIFont" w:cs="Times New Roman"/>
      <w:kern w:val="0"/>
      <w:sz w:val="26"/>
      <w:szCs w:val="26"/>
      <w14:ligatures w14:val="none"/>
    </w:rPr>
  </w:style>
  <w:style w:type="character" w:styleId="Hyperlink">
    <w:name w:val="Hyperlink"/>
    <w:basedOn w:val="DefaultParagraphFont"/>
    <w:uiPriority w:val="99"/>
    <w:semiHidden/>
    <w:unhideWhenUsed/>
    <w:rsid w:val="00A266AE"/>
    <w:rPr>
      <w:color w:val="0000FF"/>
      <w:u w:val="single"/>
    </w:rPr>
  </w:style>
  <w:style w:type="character" w:customStyle="1" w:styleId="apple-converted-space">
    <w:name w:val="apple-converted-space"/>
    <w:basedOn w:val="DefaultParagraphFont"/>
    <w:rsid w:val="00A266AE"/>
  </w:style>
  <w:style w:type="paragraph" w:customStyle="1" w:styleId="s14">
    <w:name w:val="s14"/>
    <w:basedOn w:val="Normal"/>
    <w:rsid w:val="00A23B09"/>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A23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se.ac.uk/cpec/assets/documents/Economic-case-for-prevention-report.pdf" TargetMode="External"/><Relationship Id="rId13" Type="http://schemas.openxmlformats.org/officeDocument/2006/relationships/hyperlink" Target="https://doi.org/10.1016/S2215-0366(20)30262-4" TargetMode="External"/><Relationship Id="rId3" Type="http://schemas.openxmlformats.org/officeDocument/2006/relationships/webSettings" Target="webSettings.xml"/><Relationship Id="rId7" Type="http://schemas.openxmlformats.org/officeDocument/2006/relationships/hyperlink" Target="https://doi.org/10.1089/tmj.2013.0075" TargetMode="External"/><Relationship Id="rId12" Type="http://schemas.openxmlformats.org/officeDocument/2006/relationships/hyperlink" Target="https://doi.org/10.1089/tmj.2018.023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93/fampra/cmy072" TargetMode="External"/><Relationship Id="rId11" Type="http://schemas.openxmlformats.org/officeDocument/2006/relationships/hyperlink" Target="https://doi.org/10.5210/fm.v25i7.10845" TargetMode="External"/><Relationship Id="rId5" Type="http://schemas.openxmlformats.org/officeDocument/2006/relationships/image" Target="media/image2.jpeg"/><Relationship Id="rId15" Type="http://schemas.openxmlformats.org/officeDocument/2006/relationships/hyperlink" Target="https://doi.org/10.1177/20552076241234567" TargetMode="External"/><Relationship Id="rId10" Type="http://schemas.openxmlformats.org/officeDocument/2006/relationships/hyperlink" Target="https://doi.org/10.1371/journal.pmed.1001953" TargetMode="External"/><Relationship Id="rId4" Type="http://schemas.openxmlformats.org/officeDocument/2006/relationships/image" Target="media/image1.png"/><Relationship Id="rId9" Type="http://schemas.openxmlformats.org/officeDocument/2006/relationships/hyperlink" Target="https://doi.org/10.1037/pro0000341" TargetMode="External"/><Relationship Id="rId14" Type="http://schemas.openxmlformats.org/officeDocument/2006/relationships/hyperlink" Target="https://doi.org/10.2196/18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1728</Words>
  <Characters>9853</Characters>
  <Application>Microsoft Office Word</Application>
  <DocSecurity>0</DocSecurity>
  <Lines>82</Lines>
  <Paragraphs>23</Paragraphs>
  <ScaleCrop>false</ScaleCrop>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Gomes (2222912)</dc:creator>
  <cp:keywords/>
  <dc:description/>
  <cp:lastModifiedBy>Carina Gomes (2222912)</cp:lastModifiedBy>
  <cp:revision>2</cp:revision>
  <dcterms:created xsi:type="dcterms:W3CDTF">2026-06-30T23:25:00Z</dcterms:created>
  <dcterms:modified xsi:type="dcterms:W3CDTF">2026-06-30T23:25:00Z</dcterms:modified>
</cp:coreProperties>
</file>