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7D92FB" wp14:paraId="1A5DE378" wp14:textId="46CE22AC">
      <w:pPr>
        <w:jc w:val="center"/>
        <w:rPr>
          <w:rFonts w:ascii="Calibri" w:hAnsi="Calibri" w:eastAsia="Calibri" w:cs="Calibri"/>
          <w:b w:val="1"/>
          <w:bCs w:val="1"/>
        </w:rPr>
      </w:pPr>
      <w:r w:rsidRPr="217D92FB" w:rsidR="43F86435">
        <w:rPr>
          <w:rFonts w:ascii="Calibri" w:hAnsi="Calibri" w:eastAsia="Calibri" w:cs="Calibri"/>
          <w:b w:val="1"/>
          <w:bCs w:val="1"/>
        </w:rPr>
        <w:t xml:space="preserve">Terrorism and Cybercrime (BMCJ7008D) </w:t>
      </w:r>
    </w:p>
    <w:p xmlns:wp14="http://schemas.microsoft.com/office/word/2010/wordml" w:rsidP="217D92FB" wp14:paraId="75E0985D" wp14:textId="00E943CF">
      <w:pPr>
        <w:pStyle w:val="Normal"/>
        <w:jc w:val="center"/>
        <w:rPr>
          <w:rFonts w:ascii="Calibri" w:hAnsi="Calibri" w:eastAsia="Calibri" w:cs="Calibri"/>
          <w:b w:val="1"/>
          <w:bCs w:val="1"/>
        </w:rPr>
      </w:pPr>
      <w:r w:rsidRPr="217D92FB" w:rsidR="43F86435">
        <w:rPr>
          <w:rFonts w:ascii="Calibri" w:hAnsi="Calibri" w:eastAsia="Calibri" w:cs="Calibri"/>
          <w:b w:val="1"/>
          <w:bCs w:val="1"/>
        </w:rPr>
        <w:t xml:space="preserve"> </w:t>
      </w:r>
    </w:p>
    <w:p xmlns:wp14="http://schemas.microsoft.com/office/word/2010/wordml" w:rsidP="217D92FB" wp14:paraId="428E18FD" wp14:textId="3AA6F36E">
      <w:pPr>
        <w:pStyle w:val="Normal"/>
        <w:jc w:val="center"/>
        <w:rPr>
          <w:rFonts w:ascii="Calibri" w:hAnsi="Calibri" w:eastAsia="Calibri" w:cs="Calibri"/>
          <w:b w:val="1"/>
          <w:bCs w:val="1"/>
        </w:rPr>
      </w:pPr>
    </w:p>
    <w:p xmlns:wp14="http://schemas.microsoft.com/office/word/2010/wordml" w:rsidP="217D92FB" wp14:paraId="0CA58A29" wp14:textId="63FCD597">
      <w:pPr>
        <w:pStyle w:val="Normal"/>
        <w:jc w:val="center"/>
        <w:rPr>
          <w:rFonts w:ascii="Calibri" w:hAnsi="Calibri" w:eastAsia="Calibri" w:cs="Calibri"/>
          <w:b w:val="1"/>
          <w:bCs w:val="1"/>
        </w:rPr>
      </w:pPr>
    </w:p>
    <w:p xmlns:wp14="http://schemas.microsoft.com/office/word/2010/wordml" w:rsidP="217D92FB" wp14:paraId="00330464" wp14:textId="34D184B6">
      <w:pPr>
        <w:pStyle w:val="Normal"/>
        <w:jc w:val="center"/>
        <w:rPr>
          <w:rFonts w:ascii="Calibri" w:hAnsi="Calibri" w:eastAsia="Calibri" w:cs="Calibri"/>
          <w:b w:val="1"/>
          <w:bCs w:val="1"/>
        </w:rPr>
      </w:pPr>
    </w:p>
    <w:p xmlns:wp14="http://schemas.microsoft.com/office/word/2010/wordml" w:rsidP="217D92FB" wp14:paraId="2C43F3E1" wp14:textId="02C25D5D">
      <w:pPr>
        <w:pStyle w:val="Normal"/>
        <w:jc w:val="center"/>
        <w:rPr>
          <w:rFonts w:ascii="Calibri" w:hAnsi="Calibri" w:eastAsia="Calibri" w:cs="Calibri"/>
          <w:b w:val="1"/>
          <w:bCs w:val="1"/>
        </w:rPr>
      </w:pPr>
    </w:p>
    <w:p xmlns:wp14="http://schemas.microsoft.com/office/word/2010/wordml" w:rsidP="217D92FB" wp14:paraId="7EA09E9F" wp14:textId="54007C7E">
      <w:pPr>
        <w:pStyle w:val="Normal"/>
        <w:jc w:val="center"/>
        <w:rPr>
          <w:rFonts w:ascii="Calibri" w:hAnsi="Calibri" w:eastAsia="Calibri" w:cs="Calibri"/>
          <w:b w:val="1"/>
          <w:bCs w:val="1"/>
        </w:rPr>
      </w:pPr>
    </w:p>
    <w:p xmlns:wp14="http://schemas.microsoft.com/office/word/2010/wordml" w:rsidP="217D92FB" wp14:paraId="63534139" wp14:textId="4CA842DF">
      <w:pPr>
        <w:pStyle w:val="Normal"/>
        <w:jc w:val="center"/>
        <w:rPr>
          <w:rFonts w:ascii="Calibri" w:hAnsi="Calibri" w:eastAsia="Calibri" w:cs="Calibri"/>
          <w:b w:val="1"/>
          <w:bCs w:val="1"/>
        </w:rPr>
      </w:pPr>
    </w:p>
    <w:p xmlns:wp14="http://schemas.microsoft.com/office/word/2010/wordml" w:rsidP="217D92FB" wp14:paraId="27DEDCB2" wp14:textId="4367D4B1">
      <w:pPr>
        <w:pStyle w:val="Normal"/>
        <w:jc w:val="center"/>
        <w:rPr>
          <w:rFonts w:ascii="Calibri" w:hAnsi="Calibri" w:eastAsia="Calibri" w:cs="Calibri"/>
          <w:b w:val="1"/>
          <w:bCs w:val="1"/>
        </w:rPr>
      </w:pPr>
      <w:r w:rsidRPr="217D92FB" w:rsidR="43F86435">
        <w:rPr>
          <w:rFonts w:ascii="Calibri" w:hAnsi="Calibri" w:eastAsia="Calibri" w:cs="Calibri"/>
          <w:b w:val="1"/>
          <w:bCs w:val="1"/>
        </w:rPr>
        <w:t xml:space="preserve">Policing Cybercrime: Strategies, </w:t>
      </w:r>
      <w:r w:rsidRPr="217D92FB" w:rsidR="43F86435">
        <w:rPr>
          <w:rFonts w:ascii="Calibri" w:hAnsi="Calibri" w:eastAsia="Calibri" w:cs="Calibri"/>
          <w:b w:val="1"/>
          <w:bCs w:val="1"/>
        </w:rPr>
        <w:t>tools</w:t>
      </w:r>
      <w:r w:rsidRPr="217D92FB" w:rsidR="43F86435">
        <w:rPr>
          <w:rFonts w:ascii="Calibri" w:hAnsi="Calibri" w:eastAsia="Calibri" w:cs="Calibri"/>
          <w:b w:val="1"/>
          <w:bCs w:val="1"/>
        </w:rPr>
        <w:t xml:space="preserve"> and collaborative responses.</w:t>
      </w:r>
    </w:p>
    <w:p xmlns:wp14="http://schemas.microsoft.com/office/word/2010/wordml" w:rsidP="217D92FB" wp14:paraId="179C2027" wp14:textId="24C55DE7">
      <w:pPr>
        <w:pStyle w:val="Normal"/>
        <w:jc w:val="center"/>
        <w:rPr>
          <w:rFonts w:ascii="Calibri" w:hAnsi="Calibri" w:eastAsia="Calibri" w:cs="Calibri"/>
          <w:b w:val="1"/>
          <w:bCs w:val="1"/>
        </w:rPr>
      </w:pPr>
      <w:r w:rsidRPr="217D92FB" w:rsidR="43F86435">
        <w:rPr>
          <w:rFonts w:ascii="Calibri" w:hAnsi="Calibri" w:eastAsia="Calibri" w:cs="Calibri"/>
          <w:b w:val="1"/>
          <w:bCs w:val="1"/>
        </w:rPr>
        <w:t xml:space="preserve"> </w:t>
      </w:r>
    </w:p>
    <w:p xmlns:wp14="http://schemas.microsoft.com/office/word/2010/wordml" w:rsidP="217D92FB" wp14:paraId="2AD4D0DE" wp14:textId="313278D0">
      <w:pPr>
        <w:pStyle w:val="Normal"/>
        <w:jc w:val="center"/>
        <w:rPr>
          <w:rFonts w:ascii="Calibri" w:hAnsi="Calibri" w:eastAsia="Calibri" w:cs="Calibri"/>
          <w:b w:val="1"/>
          <w:bCs w:val="1"/>
        </w:rPr>
      </w:pPr>
    </w:p>
    <w:p xmlns:wp14="http://schemas.microsoft.com/office/word/2010/wordml" w:rsidP="217D92FB" wp14:paraId="4592428B" wp14:textId="79DFB5EF">
      <w:pPr>
        <w:pStyle w:val="Normal"/>
        <w:jc w:val="center"/>
        <w:rPr>
          <w:rFonts w:ascii="Calibri" w:hAnsi="Calibri" w:eastAsia="Calibri" w:cs="Calibri"/>
          <w:b w:val="1"/>
          <w:bCs w:val="1"/>
        </w:rPr>
      </w:pPr>
    </w:p>
    <w:p xmlns:wp14="http://schemas.microsoft.com/office/word/2010/wordml" w:rsidP="217D92FB" wp14:paraId="1DD9AD1D" wp14:textId="51F6CEE2">
      <w:pPr>
        <w:pStyle w:val="Normal"/>
        <w:jc w:val="center"/>
        <w:rPr>
          <w:rFonts w:ascii="Calibri" w:hAnsi="Calibri" w:eastAsia="Calibri" w:cs="Calibri"/>
          <w:b w:val="1"/>
          <w:bCs w:val="1"/>
        </w:rPr>
      </w:pPr>
    </w:p>
    <w:p xmlns:wp14="http://schemas.microsoft.com/office/word/2010/wordml" w:rsidP="217D92FB" wp14:paraId="1C09105F" wp14:textId="6C6DA670">
      <w:pPr>
        <w:pStyle w:val="Normal"/>
        <w:jc w:val="center"/>
        <w:rPr>
          <w:rFonts w:ascii="Calibri" w:hAnsi="Calibri" w:eastAsia="Calibri" w:cs="Calibri"/>
          <w:b w:val="1"/>
          <w:bCs w:val="1"/>
        </w:rPr>
      </w:pPr>
    </w:p>
    <w:p xmlns:wp14="http://schemas.microsoft.com/office/word/2010/wordml" w:rsidP="217D92FB" wp14:paraId="0E1D9BD4" wp14:textId="6D5DF2FE">
      <w:pPr>
        <w:pStyle w:val="Normal"/>
        <w:jc w:val="center"/>
        <w:rPr>
          <w:rFonts w:ascii="Calibri" w:hAnsi="Calibri" w:eastAsia="Calibri" w:cs="Calibri"/>
          <w:b w:val="1"/>
          <w:bCs w:val="1"/>
        </w:rPr>
      </w:pPr>
    </w:p>
    <w:p xmlns:wp14="http://schemas.microsoft.com/office/word/2010/wordml" w:rsidP="217D92FB" wp14:paraId="32972520" wp14:textId="2B1BA5F7">
      <w:pPr>
        <w:pStyle w:val="Normal"/>
        <w:jc w:val="center"/>
        <w:rPr>
          <w:rFonts w:ascii="Calibri" w:hAnsi="Calibri" w:eastAsia="Calibri" w:cs="Calibri"/>
          <w:b w:val="1"/>
          <w:bCs w:val="1"/>
        </w:rPr>
      </w:pPr>
    </w:p>
    <w:p xmlns:wp14="http://schemas.microsoft.com/office/word/2010/wordml" w:rsidP="217D92FB" wp14:paraId="733AFCE2" wp14:textId="2B52E382">
      <w:pPr>
        <w:pStyle w:val="Normal"/>
        <w:jc w:val="center"/>
        <w:rPr>
          <w:rFonts w:ascii="Calibri" w:hAnsi="Calibri" w:eastAsia="Calibri" w:cs="Calibri"/>
          <w:b w:val="1"/>
          <w:bCs w:val="1"/>
        </w:rPr>
      </w:pPr>
    </w:p>
    <w:p xmlns:wp14="http://schemas.microsoft.com/office/word/2010/wordml" w:rsidP="217D92FB" wp14:paraId="300CC6B8" wp14:textId="686CED54">
      <w:pPr>
        <w:pStyle w:val="Normal"/>
        <w:jc w:val="center"/>
        <w:rPr>
          <w:rFonts w:ascii="Calibri" w:hAnsi="Calibri" w:eastAsia="Calibri" w:cs="Calibri"/>
          <w:b w:val="1"/>
          <w:bCs w:val="1"/>
        </w:rPr>
      </w:pPr>
    </w:p>
    <w:p xmlns:wp14="http://schemas.microsoft.com/office/word/2010/wordml" w:rsidP="217D92FB" wp14:paraId="6CFA92D3" wp14:textId="2862C184">
      <w:pPr>
        <w:pStyle w:val="Normal"/>
        <w:jc w:val="center"/>
        <w:rPr>
          <w:rFonts w:ascii="Calibri" w:hAnsi="Calibri" w:eastAsia="Calibri" w:cs="Calibri"/>
          <w:b w:val="1"/>
          <w:bCs w:val="1"/>
        </w:rPr>
      </w:pPr>
      <w:r w:rsidRPr="0918BD82" w:rsidR="43F86435">
        <w:rPr>
          <w:rFonts w:ascii="Calibri" w:hAnsi="Calibri" w:eastAsia="Calibri" w:cs="Calibri"/>
          <w:b w:val="1"/>
          <w:bCs w:val="1"/>
        </w:rPr>
        <w:t xml:space="preserve">Word Count -   </w:t>
      </w:r>
      <w:r w:rsidRPr="0918BD82" w:rsidR="1B509000">
        <w:rPr>
          <w:rFonts w:ascii="Calibri" w:hAnsi="Calibri" w:eastAsia="Calibri" w:cs="Calibri"/>
          <w:b w:val="1"/>
          <w:bCs w:val="1"/>
        </w:rPr>
        <w:t>3,</w:t>
      </w:r>
      <w:r w:rsidRPr="0918BD82" w:rsidR="581EAD6B">
        <w:rPr>
          <w:rFonts w:ascii="Calibri" w:hAnsi="Calibri" w:eastAsia="Calibri" w:cs="Calibri"/>
          <w:b w:val="1"/>
          <w:bCs w:val="1"/>
        </w:rPr>
        <w:t>428</w:t>
      </w:r>
    </w:p>
    <w:p xmlns:wp14="http://schemas.microsoft.com/office/word/2010/wordml" w:rsidP="217D92FB" wp14:paraId="6F91904C" wp14:textId="74F0FCC2">
      <w:pPr>
        <w:pStyle w:val="Normal"/>
        <w:jc w:val="center"/>
        <w:rPr>
          <w:rFonts w:ascii="Calibri" w:hAnsi="Calibri" w:eastAsia="Calibri" w:cs="Calibri"/>
          <w:b w:val="1"/>
          <w:bCs w:val="1"/>
        </w:rPr>
      </w:pPr>
      <w:r w:rsidRPr="217D92FB" w:rsidR="43F86435">
        <w:rPr>
          <w:rFonts w:ascii="Calibri" w:hAnsi="Calibri" w:eastAsia="Calibri" w:cs="Calibri"/>
          <w:b w:val="1"/>
          <w:bCs w:val="1"/>
        </w:rPr>
        <w:t xml:space="preserve"> </w:t>
      </w:r>
    </w:p>
    <w:p xmlns:wp14="http://schemas.microsoft.com/office/word/2010/wordml" w:rsidP="217D92FB" wp14:paraId="5B12463D" wp14:textId="140E06DF">
      <w:pPr>
        <w:pStyle w:val="Normal"/>
        <w:jc w:val="center"/>
        <w:rPr>
          <w:rFonts w:ascii="Calibri" w:hAnsi="Calibri" w:eastAsia="Calibri" w:cs="Calibri"/>
          <w:b w:val="1"/>
          <w:bCs w:val="1"/>
        </w:rPr>
      </w:pPr>
    </w:p>
    <w:p xmlns:wp14="http://schemas.microsoft.com/office/word/2010/wordml" w:rsidP="217D92FB" wp14:paraId="267DF61E" wp14:textId="7337AC13">
      <w:pPr>
        <w:pStyle w:val="Normal"/>
        <w:jc w:val="center"/>
        <w:rPr>
          <w:rFonts w:ascii="Calibri" w:hAnsi="Calibri" w:eastAsia="Calibri" w:cs="Calibri"/>
          <w:b w:val="1"/>
          <w:bCs w:val="1"/>
        </w:rPr>
      </w:pPr>
    </w:p>
    <w:p xmlns:wp14="http://schemas.microsoft.com/office/word/2010/wordml" w:rsidP="217D92FB" wp14:paraId="2710F1FC" wp14:textId="45748481">
      <w:pPr>
        <w:pStyle w:val="Normal"/>
        <w:jc w:val="center"/>
        <w:rPr>
          <w:rFonts w:ascii="Calibri" w:hAnsi="Calibri" w:eastAsia="Calibri" w:cs="Calibri"/>
          <w:b w:val="1"/>
          <w:bCs w:val="1"/>
        </w:rPr>
      </w:pPr>
    </w:p>
    <w:p xmlns:wp14="http://schemas.microsoft.com/office/word/2010/wordml" w:rsidP="217D92FB" wp14:paraId="3D645335" wp14:textId="12538F14">
      <w:pPr>
        <w:pStyle w:val="Normal"/>
        <w:jc w:val="center"/>
        <w:rPr>
          <w:rFonts w:ascii="Calibri" w:hAnsi="Calibri" w:eastAsia="Calibri" w:cs="Calibri"/>
          <w:b w:val="1"/>
          <w:bCs w:val="1"/>
        </w:rPr>
      </w:pPr>
    </w:p>
    <w:p xmlns:wp14="http://schemas.microsoft.com/office/word/2010/wordml" w:rsidP="217D92FB" wp14:paraId="3D958C0A" wp14:textId="1A18775E">
      <w:pPr>
        <w:pStyle w:val="Normal"/>
        <w:jc w:val="center"/>
        <w:rPr>
          <w:rFonts w:ascii="Calibri" w:hAnsi="Calibri" w:eastAsia="Calibri" w:cs="Calibri"/>
          <w:b w:val="1"/>
          <w:bCs w:val="1"/>
        </w:rPr>
      </w:pPr>
    </w:p>
    <w:p xmlns:wp14="http://schemas.microsoft.com/office/word/2010/wordml" w:rsidP="217D92FB" wp14:paraId="5263344A" wp14:textId="249E07F9">
      <w:pPr>
        <w:pStyle w:val="Normal"/>
        <w:jc w:val="center"/>
        <w:rPr>
          <w:rFonts w:ascii="Calibri" w:hAnsi="Calibri" w:eastAsia="Calibri" w:cs="Calibri"/>
          <w:b w:val="1"/>
          <w:bCs w:val="1"/>
        </w:rPr>
      </w:pPr>
    </w:p>
    <w:p xmlns:wp14="http://schemas.microsoft.com/office/word/2010/wordml" w:rsidP="217D92FB" wp14:paraId="002493FF" wp14:textId="031925C3">
      <w:pPr>
        <w:pStyle w:val="Normal"/>
        <w:jc w:val="center"/>
        <w:rPr>
          <w:rFonts w:ascii="Calibri" w:hAnsi="Calibri" w:eastAsia="Calibri" w:cs="Calibri"/>
          <w:b w:val="1"/>
          <w:bCs w:val="1"/>
        </w:rPr>
      </w:pPr>
    </w:p>
    <w:p xmlns:wp14="http://schemas.microsoft.com/office/word/2010/wordml" w:rsidP="217D92FB" wp14:paraId="12EBBB18" wp14:textId="7A595626">
      <w:pPr>
        <w:pStyle w:val="Normal"/>
        <w:jc w:val="center"/>
        <w:rPr>
          <w:rFonts w:ascii="Calibri" w:hAnsi="Calibri" w:eastAsia="Calibri" w:cs="Calibri"/>
          <w:b w:val="1"/>
          <w:bCs w:val="1"/>
        </w:rPr>
      </w:pPr>
      <w:r w:rsidRPr="217D92FB" w:rsidR="43F86435">
        <w:rPr>
          <w:rFonts w:ascii="Calibri" w:hAnsi="Calibri" w:eastAsia="Calibri" w:cs="Calibri"/>
          <w:b w:val="1"/>
          <w:bCs w:val="1"/>
        </w:rPr>
        <w:t>Leah Jones 2500925</w:t>
      </w:r>
    </w:p>
    <w:p xmlns:wp14="http://schemas.microsoft.com/office/word/2010/wordml" w:rsidP="217D92FB" wp14:paraId="7C9682E7" wp14:textId="15D96D18">
      <w:pPr>
        <w:pStyle w:val="Normal"/>
        <w:spacing w:after="0" w:afterAutospacing="off" w:line="360" w:lineRule="auto"/>
        <w:jc w:val="both"/>
        <w:rPr>
          <w:rFonts w:ascii="Calibri" w:hAnsi="Calibri" w:eastAsia="Calibri" w:cs="Calibri"/>
        </w:rPr>
      </w:pPr>
      <w:r w:rsidRPr="217D92FB" w:rsidR="43F86435">
        <w:rPr>
          <w:rFonts w:ascii="Calibri" w:hAnsi="Calibri" w:eastAsia="Calibri" w:cs="Calibri"/>
        </w:rPr>
        <w:t xml:space="preserve">Cybercrimes are a complex transnational policing challenge that increasingly strains conventional Law enforcement frameworks. The complexity of cybercrimes is rooted in their borderless character, digital modality, and the rapid evolution of technologies exploited by offenders, which outpace traditional policing capacities and legal </w:t>
      </w:r>
      <w:r w:rsidRPr="217D92FB" w:rsidR="43F86435">
        <w:rPr>
          <w:rFonts w:ascii="Calibri" w:hAnsi="Calibri" w:eastAsia="Calibri" w:cs="Calibri"/>
        </w:rPr>
        <w:t>jurisdictions</w:t>
      </w:r>
      <w:r w:rsidRPr="217D92FB" w:rsidR="43F86435">
        <w:rPr>
          <w:rFonts w:ascii="Calibri" w:hAnsi="Calibri" w:eastAsia="Calibri" w:cs="Calibri"/>
        </w:rPr>
        <w:t xml:space="preserve"> (Singh, 2024). The rise of the show platforms and network systems has blurred physical jurisdictional boundaries, demanding combined transnational cooperation and innovative policing strategies to mitigate harm effectively. </w:t>
      </w:r>
      <w:r>
        <w:tab/>
      </w:r>
      <w:r>
        <w:tab/>
      </w:r>
      <w:r>
        <w:tab/>
      </w:r>
    </w:p>
    <w:p xmlns:wp14="http://schemas.microsoft.com/office/word/2010/wordml" w:rsidP="217D92FB" wp14:paraId="5D50D954" wp14:textId="3713FC93">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C</w:t>
      </w:r>
      <w:r w:rsidRPr="0918BD82" w:rsidR="43F86435">
        <w:rPr>
          <w:rFonts w:ascii="Calibri" w:hAnsi="Calibri" w:eastAsia="Calibri" w:cs="Calibri"/>
        </w:rPr>
        <w:t>ontemporary police are responding to a growing reliance on digital forensic threats intelligence and public-private partnerships as a core mechanism for detecting, investigating, and disrupt</w:t>
      </w:r>
      <w:r w:rsidRPr="0918BD82" w:rsidR="43F86435">
        <w:rPr>
          <w:rFonts w:ascii="Calibri" w:hAnsi="Calibri" w:eastAsia="Calibri" w:cs="Calibri"/>
        </w:rPr>
        <w:t>ing cybercriminal activity.</w:t>
      </w:r>
      <w:r w:rsidRPr="0918BD82" w:rsidR="43F86435">
        <w:rPr>
          <w:rFonts w:ascii="Calibri" w:hAnsi="Calibri" w:eastAsia="Calibri" w:cs="Calibri"/>
        </w:rPr>
        <w:t xml:space="preserve"> </w:t>
      </w:r>
      <w:r w:rsidRPr="0918BD82" w:rsidR="3AC3D068">
        <w:rPr>
          <w:rFonts w:ascii="Calibri" w:hAnsi="Calibri" w:eastAsia="Calibri" w:cs="Calibri"/>
        </w:rPr>
        <w:t xml:space="preserve"> E</w:t>
      </w:r>
      <w:r w:rsidRPr="0918BD82" w:rsidR="43F86435">
        <w:rPr>
          <w:rFonts w:ascii="Calibri" w:hAnsi="Calibri" w:eastAsia="Calibri" w:cs="Calibri"/>
        </w:rPr>
        <w:t>nables investigations to recover and interpret digital evidence from computer networks and cloud environments in ways that sustain legal prosecution</w:t>
      </w:r>
      <w:r w:rsidRPr="0918BD82" w:rsidR="43F86435">
        <w:rPr>
          <w:rFonts w:ascii="Calibri" w:hAnsi="Calibri" w:eastAsia="Calibri" w:cs="Calibri"/>
        </w:rPr>
        <w:t xml:space="preserve"> (</w:t>
      </w:r>
      <w:r w:rsidRPr="0918BD82" w:rsidR="43F86435">
        <w:rPr>
          <w:rFonts w:ascii="Calibri" w:hAnsi="Calibri" w:eastAsia="Calibri" w:cs="Calibri"/>
        </w:rPr>
        <w:t>Akeiber</w:t>
      </w:r>
      <w:r w:rsidRPr="0918BD82" w:rsidR="43F86435">
        <w:rPr>
          <w:rFonts w:ascii="Calibri" w:hAnsi="Calibri" w:eastAsia="Calibri" w:cs="Calibri"/>
        </w:rPr>
        <w:t>, 2025). Moreover, the threat intelligence frameworks systematically gather and analyse indicators of compromise across open, deep, and dark web sources, enabling anticipatory and real-time responses to emerging threats. (</w:t>
      </w:r>
      <w:r w:rsidRPr="0918BD82" w:rsidR="43F86435">
        <w:rPr>
          <w:rFonts w:ascii="Calibri" w:hAnsi="Calibri" w:eastAsia="Calibri" w:cs="Calibri"/>
        </w:rPr>
        <w:t>Cascavilla</w:t>
      </w:r>
      <w:r w:rsidRPr="0918BD82" w:rsidR="43F86435">
        <w:rPr>
          <w:rFonts w:ascii="Calibri" w:hAnsi="Calibri" w:eastAsia="Calibri" w:cs="Calibri"/>
        </w:rPr>
        <w:t xml:space="preserve">, Tamburri and Heuvel, 2021). Public-private partnerships have become indispensable, as no single entity </w:t>
      </w:r>
      <w:r w:rsidRPr="0918BD82" w:rsidR="43F86435">
        <w:rPr>
          <w:rFonts w:ascii="Calibri" w:hAnsi="Calibri" w:eastAsia="Calibri" w:cs="Calibri"/>
        </w:rPr>
        <w:t>possesses</w:t>
      </w:r>
      <w:r w:rsidRPr="0918BD82" w:rsidR="43F86435">
        <w:rPr>
          <w:rFonts w:ascii="Calibri" w:hAnsi="Calibri" w:eastAsia="Calibri" w:cs="Calibri"/>
        </w:rPr>
        <w:t xml:space="preserve"> comprehensive visibility or resources to address cyber threats alone. Collaboration in information sharing, joint operations, and technical ability enhances investigative and preventive capacity (Foreign, Commonwealth &amp; Development Office, 2021)</w:t>
      </w:r>
      <w:r w:rsidRPr="0918BD82" w:rsidR="4C19E1E9">
        <w:rPr>
          <w:rFonts w:ascii="Calibri" w:hAnsi="Calibri" w:eastAsia="Calibri" w:cs="Calibri"/>
        </w:rPr>
        <w:t>.</w:t>
      </w:r>
    </w:p>
    <w:p xmlns:wp14="http://schemas.microsoft.com/office/word/2010/wordml" w:rsidP="217D92FB" wp14:paraId="19B12B6B" wp14:textId="413B4CD4">
      <w:pPr>
        <w:pStyle w:val="Normal"/>
        <w:spacing w:after="0" w:afterAutospacing="off" w:line="360" w:lineRule="auto"/>
        <w:ind w:firstLine="720"/>
        <w:jc w:val="both"/>
        <w:rPr>
          <w:rFonts w:ascii="Calibri" w:hAnsi="Calibri" w:eastAsia="Calibri" w:cs="Calibri"/>
        </w:rPr>
      </w:pPr>
      <w:r w:rsidRPr="217D92FB" w:rsidR="4C19E1E9">
        <w:rPr>
          <w:rFonts w:ascii="Calibri" w:hAnsi="Calibri" w:eastAsia="Calibri" w:cs="Calibri"/>
        </w:rPr>
        <w:t>T</w:t>
      </w:r>
      <w:r w:rsidRPr="217D92FB" w:rsidR="43F86435">
        <w:rPr>
          <w:rFonts w:ascii="Calibri" w:hAnsi="Calibri" w:eastAsia="Calibri" w:cs="Calibri"/>
        </w:rPr>
        <w:t>his report aims to critically evaluate the effectiveness of policing strategies, tools, and institutional responses to cybercrime, with a specific focus on digital forensics, threat intelligence, and public-private partnerships. The evaluation will deploy operational effectiveness, adaptability to technological change, and capacity to overcome jurisdictional barriers as evaluative criteria.</w:t>
      </w:r>
      <w:r>
        <w:tab/>
      </w:r>
      <w:r w:rsidRPr="217D92FB" w:rsidR="58CD5E47">
        <w:rPr>
          <w:rFonts w:ascii="Calibri" w:hAnsi="Calibri" w:eastAsia="Calibri" w:cs="Calibri"/>
        </w:rPr>
        <w:t xml:space="preserve"> </w:t>
      </w:r>
      <w:r w:rsidRPr="217D92FB" w:rsidR="43F86435">
        <w:rPr>
          <w:rFonts w:ascii="Calibri" w:hAnsi="Calibri" w:eastAsia="Calibri" w:cs="Calibri"/>
        </w:rPr>
        <w:t xml:space="preserve">In this context, cybercrime is defined as a criminal act that requires computer systems, networks or digital data as intrinsic components of its execution and impact (Phillips et al., 2022).In contrast, cyber-enabled crime refers to traditional criminal conduct that is significantly scaled, shaped or eased by digital technologies such as fraud committed through online financial platforms (Dawda, </w:t>
      </w:r>
      <w:r w:rsidRPr="217D92FB" w:rsidR="43F86435">
        <w:rPr>
          <w:rFonts w:ascii="Calibri" w:hAnsi="Calibri" w:eastAsia="Calibri" w:cs="Calibri"/>
        </w:rPr>
        <w:t>Janjeva</w:t>
      </w:r>
      <w:r w:rsidRPr="217D92FB" w:rsidR="43F86435">
        <w:rPr>
          <w:rFonts w:ascii="Calibri" w:hAnsi="Calibri" w:eastAsia="Calibri" w:cs="Calibri"/>
        </w:rPr>
        <w:t xml:space="preserve"> and </w:t>
      </w:r>
      <w:r w:rsidRPr="217D92FB" w:rsidR="43F86435">
        <w:rPr>
          <w:rFonts w:ascii="Calibri" w:hAnsi="Calibri" w:eastAsia="Calibri" w:cs="Calibri"/>
        </w:rPr>
        <w:t>Moiseienko</w:t>
      </w:r>
      <w:r w:rsidRPr="217D92FB" w:rsidR="43F86435">
        <w:rPr>
          <w:rFonts w:ascii="Calibri" w:hAnsi="Calibri" w:eastAsia="Calibri" w:cs="Calibri"/>
        </w:rPr>
        <w:t>, 2021)</w:t>
      </w:r>
    </w:p>
    <w:p xmlns:wp14="http://schemas.microsoft.com/office/word/2010/wordml" w:rsidP="217D92FB" wp14:paraId="04141EC9" wp14:textId="63C1669D">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 xml:space="preserve">The report concentrates on three prominent and high-impact manifestations of cybercrime. Firstly, ransomware refers to a class of cybercrime that encrypts or denies access to data for victims, increasingly targeting critical infrastructure and private organisations (Ramalho and University Fernando Pessoa, 2024). Secondly, data breaches involve unauthorised access, exfiltration, and disclosure of sensitive data with far-reaching implications for privacy, security, and organisational trust in </w:t>
      </w:r>
      <w:r w:rsidRPr="0918BD82" w:rsidR="43F86435">
        <w:rPr>
          <w:rFonts w:ascii="Calibri" w:hAnsi="Calibri" w:eastAsia="Calibri" w:cs="Calibri"/>
        </w:rPr>
        <w:t>jurisdictions</w:t>
      </w:r>
      <w:r w:rsidRPr="0918BD82" w:rsidR="43F86435">
        <w:rPr>
          <w:rFonts w:ascii="Calibri" w:hAnsi="Calibri" w:eastAsia="Calibri" w:cs="Calibri"/>
        </w:rPr>
        <w:t xml:space="preserve">. Third, cyber-enabled fraud exemplifies crimes such as investment </w:t>
      </w:r>
      <w:r w:rsidRPr="0918BD82" w:rsidR="43F86435">
        <w:rPr>
          <w:rFonts w:ascii="Calibri" w:hAnsi="Calibri" w:eastAsia="Calibri" w:cs="Calibri"/>
        </w:rPr>
        <w:t>scams</w:t>
      </w:r>
      <w:r w:rsidRPr="0918BD82" w:rsidR="43F86435">
        <w:rPr>
          <w:rFonts w:ascii="Calibri" w:hAnsi="Calibri" w:eastAsia="Calibri" w:cs="Calibri"/>
        </w:rPr>
        <w:t xml:space="preserve">, phishing, or business email compromise  that </w:t>
      </w:r>
      <w:r w:rsidRPr="0918BD82" w:rsidR="43F86435">
        <w:rPr>
          <w:rFonts w:ascii="Calibri" w:hAnsi="Calibri" w:eastAsia="Calibri" w:cs="Calibri"/>
        </w:rPr>
        <w:t>leverage</w:t>
      </w:r>
      <w:r w:rsidRPr="0918BD82" w:rsidR="43F86435">
        <w:rPr>
          <w:rFonts w:ascii="Calibri" w:hAnsi="Calibri" w:eastAsia="Calibri" w:cs="Calibri"/>
        </w:rPr>
        <w:t xml:space="preserve"> digital systems to scale financial deception and economic loss (MacColl and Mott, 2023)</w:t>
      </w:r>
      <w:r w:rsidRPr="0918BD82" w:rsidR="43F86435">
        <w:rPr>
          <w:rFonts w:ascii="Calibri" w:hAnsi="Calibri" w:eastAsia="Calibri" w:cs="Calibri"/>
        </w:rPr>
        <w:t xml:space="preserve">.  </w:t>
      </w:r>
      <w:r w:rsidRPr="0918BD82" w:rsidR="43F86435">
        <w:rPr>
          <w:rFonts w:ascii="Calibri" w:hAnsi="Calibri" w:eastAsia="Calibri" w:cs="Calibri"/>
        </w:rPr>
        <w:t xml:space="preserve">      </w:t>
      </w:r>
    </w:p>
    <w:p xmlns:wp14="http://schemas.microsoft.com/office/word/2010/wordml" w:rsidP="217D92FB" wp14:paraId="7688F1D3" wp14:textId="6FF1ACD8">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This will define key cybercrime typologies and evaluative criteria for policing effectiveness. Secondly, an analysis of current tools and strategies, including the strengths and limitations of det</w:t>
      </w:r>
      <w:r w:rsidRPr="0918BD82" w:rsidR="43F86435">
        <w:rPr>
          <w:rFonts w:ascii="Calibri" w:hAnsi="Calibri" w:eastAsia="Calibri" w:cs="Calibri"/>
        </w:rPr>
        <w:t>ai</w:t>
      </w:r>
      <w:r w:rsidRPr="0918BD82" w:rsidR="43F86435">
        <w:rPr>
          <w:rFonts w:ascii="Calibri" w:hAnsi="Calibri" w:eastAsia="Calibri" w:cs="Calibri"/>
        </w:rPr>
        <w:t>led forensic technologies, threat intelligence methodologies, and public-private cooperation constr</w:t>
      </w:r>
      <w:r w:rsidRPr="0918BD82" w:rsidR="43F86435">
        <w:rPr>
          <w:rFonts w:ascii="Calibri" w:hAnsi="Calibri" w:eastAsia="Calibri" w:cs="Calibri"/>
        </w:rPr>
        <w:t>ai</w:t>
      </w:r>
      <w:r w:rsidRPr="0918BD82" w:rsidR="43F86435">
        <w:rPr>
          <w:rFonts w:ascii="Calibri" w:hAnsi="Calibri" w:eastAsia="Calibri" w:cs="Calibri"/>
        </w:rPr>
        <w:t>nts and skills deficits, is proposed to commend evidence-based innovation that improves policing</w:t>
      </w:r>
      <w:r w:rsidRPr="0918BD82" w:rsidR="6B51F753">
        <w:rPr>
          <w:rFonts w:ascii="Calibri" w:hAnsi="Calibri" w:eastAsia="Calibri" w:cs="Calibri"/>
        </w:rPr>
        <w:t xml:space="preserve"> </w:t>
      </w:r>
      <w:r w:rsidRPr="0918BD82" w:rsidR="43F86435">
        <w:rPr>
          <w:rFonts w:ascii="Calibri" w:hAnsi="Calibri" w:eastAsia="Calibri" w:cs="Calibri"/>
        </w:rPr>
        <w:t>effectiveness ag</w:t>
      </w:r>
      <w:r w:rsidRPr="0918BD82" w:rsidR="43F86435">
        <w:rPr>
          <w:rFonts w:ascii="Calibri" w:hAnsi="Calibri" w:eastAsia="Calibri" w:cs="Calibri"/>
        </w:rPr>
        <w:t>ai</w:t>
      </w:r>
      <w:r w:rsidRPr="0918BD82" w:rsidR="43F86435">
        <w:rPr>
          <w:rFonts w:ascii="Calibri" w:hAnsi="Calibri" w:eastAsia="Calibri" w:cs="Calibri"/>
        </w:rPr>
        <w:t>nst cybercrime</w:t>
      </w:r>
      <w:r w:rsidRPr="0918BD82" w:rsidR="43F86435">
        <w:rPr>
          <w:rFonts w:ascii="Calibri" w:hAnsi="Calibri" w:eastAsia="Calibri" w:cs="Calibri"/>
        </w:rPr>
        <w:t xml:space="preserve">.  </w:t>
      </w:r>
      <w:r w:rsidRPr="0918BD82" w:rsidR="43F86435">
        <w:rPr>
          <w:rFonts w:ascii="Calibri" w:hAnsi="Calibri" w:eastAsia="Calibri" w:cs="Calibri"/>
        </w:rPr>
        <w:t xml:space="preserve">        </w:t>
      </w:r>
    </w:p>
    <w:p xmlns:wp14="http://schemas.microsoft.com/office/word/2010/wordml" w:rsidP="217D92FB" wp14:paraId="67A5897C" wp14:textId="07AF22D0">
      <w:pPr>
        <w:pStyle w:val="Normal"/>
        <w:spacing w:after="0" w:afterAutospacing="off" w:line="360" w:lineRule="auto"/>
        <w:ind w:firstLine="720"/>
        <w:jc w:val="both"/>
        <w:rPr>
          <w:rFonts w:ascii="Calibri" w:hAnsi="Calibri" w:eastAsia="Calibri" w:cs="Calibri"/>
        </w:rPr>
      </w:pPr>
      <w:r w:rsidRPr="217D92FB" w:rsidR="684C8D38">
        <w:rPr>
          <w:rFonts w:ascii="Calibri" w:hAnsi="Calibri" w:eastAsia="Calibri" w:cs="Calibri"/>
        </w:rPr>
        <w:t>Ra</w:t>
      </w:r>
      <w:r w:rsidRPr="217D92FB" w:rsidR="43F86435">
        <w:rPr>
          <w:rFonts w:ascii="Calibri" w:hAnsi="Calibri" w:eastAsia="Calibri" w:cs="Calibri"/>
        </w:rPr>
        <w:t xml:space="preserve">nsomware is a form of cyber-enabled extortion in which offenders unlawfully restrict access to data, usually through encryption, until a ransom is paid (O'Gorman and McDonald, 2012). The National Cyber Security Centre </w:t>
      </w:r>
      <w:r w:rsidRPr="217D92FB" w:rsidR="43F86435">
        <w:rPr>
          <w:rFonts w:ascii="Calibri" w:hAnsi="Calibri" w:eastAsia="Calibri" w:cs="Calibri"/>
        </w:rPr>
        <w:t>identifies</w:t>
      </w:r>
      <w:r w:rsidRPr="217D92FB" w:rsidR="43F86435">
        <w:rPr>
          <w:rFonts w:ascii="Calibri" w:hAnsi="Calibri" w:eastAsia="Calibri" w:cs="Calibri"/>
        </w:rPr>
        <w:t xml:space="preserve"> ransomware as a growing threat to public and private organisations, with modern attacks often involving data encryption to increase pressure on victims (National Cyber Security Centre, no date). This development broadens victimisation beyond organisations to include individuals whose personal data is compromised.</w:t>
      </w:r>
    </w:p>
    <w:p xmlns:wp14="http://schemas.microsoft.com/office/word/2010/wordml" w:rsidP="217D92FB" wp14:paraId="6C88A106" wp14:textId="59BF73BB">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Policing responses to ransomware are constrained by encrypted and cryptocurrency payments, which limit data recovery, hinder financial investigation, and complicate offenders' attribution (O'Gorman and McDonald, 2012). These challenges are amplified by the transnational nature of ransomware groups, reducing the effectiveness of traditional enforcement and shifting the emphasis towards preventing, disrupting, and providing victim support (National Cyber Security Centre, no date). </w:t>
      </w:r>
    </w:p>
    <w:p xmlns:wp14="http://schemas.microsoft.com/office/word/2010/wordml" w:rsidP="217D92FB" wp14:paraId="2D5629C1" wp14:textId="40F9E165">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The impact on critical infrastructure and public services is particularly concerning. Ransomware attacks can disrupt essential services, disproportionately affecting vulnerable individuals who rely on public sector provision. Structural weaknesses, such as legacy systems and limited resources, increase susceptibility within the public sector, raising questions about the adequacy of current protection (O'Kane, Sezer, and Carlin, 2018).</w:t>
      </w:r>
    </w:p>
    <w:p w:rsidR="5F6F1FED" w:rsidP="0918BD82" w:rsidRDefault="5F6F1FED" w14:paraId="1637DBEE" w14:textId="26CB02EF">
      <w:pPr>
        <w:pStyle w:val="Normal"/>
        <w:spacing w:after="0" w:afterAutospacing="off" w:line="360" w:lineRule="auto"/>
        <w:ind w:firstLine="720"/>
        <w:jc w:val="both"/>
        <w:rPr>
          <w:rFonts w:ascii="Calibri" w:hAnsi="Calibri" w:eastAsia="Calibri" w:cs="Calibri"/>
          <w:noProof w:val="0"/>
          <w:lang w:val="en-GB"/>
        </w:rPr>
      </w:pPr>
      <w:r w:rsidRPr="0918BD82" w:rsidR="5F6F1FED">
        <w:rPr>
          <w:rFonts w:ascii="Calibri" w:hAnsi="Calibri" w:eastAsia="Calibri" w:cs="Calibri"/>
          <w:noProof w:val="0"/>
          <w:lang w:val="en-GB"/>
        </w:rPr>
        <w:t xml:space="preserve">A data breach refers to an unauthorised </w:t>
      </w:r>
      <w:r w:rsidRPr="0918BD82" w:rsidR="05A38F08">
        <w:rPr>
          <w:rFonts w:ascii="Calibri" w:hAnsi="Calibri" w:eastAsia="Calibri" w:cs="Calibri"/>
          <w:noProof w:val="0"/>
          <w:lang w:val="en-GB"/>
        </w:rPr>
        <w:t xml:space="preserve">access, </w:t>
      </w:r>
      <w:r w:rsidRPr="0918BD82" w:rsidR="05A38F08">
        <w:rPr>
          <w:rFonts w:ascii="Calibri" w:hAnsi="Calibri" w:eastAsia="Calibri" w:cs="Calibri"/>
          <w:noProof w:val="0"/>
          <w:lang w:val="en-GB"/>
        </w:rPr>
        <w:t>acquisition</w:t>
      </w:r>
      <w:r w:rsidRPr="0918BD82" w:rsidR="5F6F1FED">
        <w:rPr>
          <w:rFonts w:ascii="Calibri" w:hAnsi="Calibri" w:eastAsia="Calibri" w:cs="Calibri"/>
          <w:noProof w:val="0"/>
          <w:lang w:val="en-GB"/>
        </w:rPr>
        <w:t xml:space="preserve"> or disclosure of personal or sensitive information, often resulting from weaknesses in organisation </w:t>
      </w:r>
      <w:r w:rsidRPr="0918BD82" w:rsidR="5F6F1FED">
        <w:rPr>
          <w:rFonts w:ascii="Calibri" w:hAnsi="Calibri" w:eastAsia="Calibri" w:cs="Calibri"/>
          <w:noProof w:val="0"/>
          <w:lang w:val="en-GB"/>
        </w:rPr>
        <w:t>cyber crime</w:t>
      </w:r>
      <w:r w:rsidRPr="0918BD82" w:rsidR="5F6F1FED">
        <w:rPr>
          <w:rFonts w:ascii="Calibri" w:hAnsi="Calibri" w:eastAsia="Calibri" w:cs="Calibri"/>
          <w:noProof w:val="0"/>
          <w:lang w:val="en-GB"/>
        </w:rPr>
        <w:t xml:space="preserve"> security controls. Such Breaches are increasingly associated with ransomware attacks,</w:t>
      </w:r>
      <w:r w:rsidRPr="0918BD82" w:rsidR="7156C8E4">
        <w:rPr>
          <w:rFonts w:ascii="Calibri" w:hAnsi="Calibri" w:eastAsia="Calibri" w:cs="Calibri"/>
          <w:noProof w:val="0"/>
          <w:lang w:val="en-GB"/>
        </w:rPr>
        <w:t xml:space="preserve"> where threat actors both encrypt systems and exfiltrate data to exert pressure on the organisation. </w:t>
      </w:r>
      <w:r w:rsidRPr="0918BD82" w:rsidR="1138C742">
        <w:rPr>
          <w:rFonts w:ascii="Calibri" w:hAnsi="Calibri" w:eastAsia="Calibri" w:cs="Calibri"/>
          <w:noProof w:val="0"/>
          <w:lang w:val="en-GB"/>
        </w:rPr>
        <w:t>T</w:t>
      </w:r>
      <w:r w:rsidRPr="0918BD82" w:rsidR="7156C8E4">
        <w:rPr>
          <w:rFonts w:ascii="Calibri" w:hAnsi="Calibri" w:eastAsia="Calibri" w:cs="Calibri"/>
          <w:noProof w:val="0"/>
          <w:lang w:val="en-GB"/>
        </w:rPr>
        <w:t>he Marks and Spencer breach illustrates how failure in corporate cybersecurity governance can expose large numbers of customers data significantly increasing the risk of identity theft and financial fraud. beyond the direct harm to affect individuals these incidents</w:t>
      </w:r>
      <w:r w:rsidRPr="0918BD82" w:rsidR="18687577">
        <w:rPr>
          <w:rFonts w:ascii="Calibri" w:hAnsi="Calibri" w:eastAsia="Calibri" w:cs="Calibri"/>
          <w:noProof w:val="0"/>
          <w:lang w:val="en-GB"/>
        </w:rPr>
        <w:t xml:space="preserve"> impose </w:t>
      </w:r>
      <w:r w:rsidRPr="0918BD82" w:rsidR="18687577">
        <w:rPr>
          <w:rFonts w:ascii="Calibri" w:hAnsi="Calibri" w:eastAsia="Calibri" w:cs="Calibri"/>
          <w:noProof w:val="0"/>
          <w:lang w:val="en-GB"/>
        </w:rPr>
        <w:t>substantial</w:t>
      </w:r>
      <w:r w:rsidRPr="0918BD82" w:rsidR="18687577">
        <w:rPr>
          <w:rFonts w:ascii="Calibri" w:hAnsi="Calibri" w:eastAsia="Calibri" w:cs="Calibri"/>
          <w:noProof w:val="0"/>
          <w:lang w:val="en-GB"/>
        </w:rPr>
        <w:t xml:space="preserve"> financial loses, regulatory </w:t>
      </w:r>
      <w:r w:rsidRPr="0918BD82" w:rsidR="00F58E31">
        <w:rPr>
          <w:rFonts w:ascii="Calibri" w:hAnsi="Calibri" w:eastAsia="Calibri" w:cs="Calibri"/>
          <w:noProof w:val="0"/>
          <w:lang w:val="en-GB"/>
        </w:rPr>
        <w:t>scrutiny</w:t>
      </w:r>
      <w:r w:rsidRPr="0918BD82" w:rsidR="18687577">
        <w:rPr>
          <w:rFonts w:ascii="Calibri" w:hAnsi="Calibri" w:eastAsia="Calibri" w:cs="Calibri"/>
          <w:noProof w:val="0"/>
          <w:lang w:val="en-GB"/>
        </w:rPr>
        <w:t xml:space="preserve">, operational disruption and </w:t>
      </w:r>
      <w:r w:rsidRPr="0918BD82" w:rsidR="18687577">
        <w:rPr>
          <w:rFonts w:ascii="Calibri" w:hAnsi="Calibri" w:eastAsia="Calibri" w:cs="Calibri"/>
          <w:noProof w:val="0"/>
          <w:lang w:val="en-GB"/>
        </w:rPr>
        <w:t>long term</w:t>
      </w:r>
      <w:r w:rsidRPr="0918BD82" w:rsidR="18687577">
        <w:rPr>
          <w:rFonts w:ascii="Calibri" w:hAnsi="Calibri" w:eastAsia="Calibri" w:cs="Calibri"/>
          <w:noProof w:val="0"/>
          <w:lang w:val="en-GB"/>
        </w:rPr>
        <w:t xml:space="preserve"> </w:t>
      </w:r>
      <w:r w:rsidRPr="0918BD82" w:rsidR="191554EE">
        <w:rPr>
          <w:rFonts w:ascii="Calibri" w:hAnsi="Calibri" w:eastAsia="Calibri" w:cs="Calibri"/>
          <w:noProof w:val="0"/>
          <w:lang w:val="en-GB"/>
        </w:rPr>
        <w:t>reputational</w:t>
      </w:r>
      <w:r w:rsidRPr="0918BD82" w:rsidR="18687577">
        <w:rPr>
          <w:rFonts w:ascii="Calibri" w:hAnsi="Calibri" w:eastAsia="Calibri" w:cs="Calibri"/>
          <w:noProof w:val="0"/>
          <w:lang w:val="en-GB"/>
        </w:rPr>
        <w:t xml:space="preserve"> </w:t>
      </w:r>
      <w:r w:rsidRPr="0918BD82" w:rsidR="0DE765B5">
        <w:rPr>
          <w:rFonts w:ascii="Calibri" w:hAnsi="Calibri" w:eastAsia="Calibri" w:cs="Calibri"/>
          <w:noProof w:val="0"/>
          <w:lang w:val="en-GB"/>
        </w:rPr>
        <w:t>damage</w:t>
      </w:r>
      <w:r w:rsidRPr="0918BD82" w:rsidR="18687577">
        <w:rPr>
          <w:rFonts w:ascii="Calibri" w:hAnsi="Calibri" w:eastAsia="Calibri" w:cs="Calibri"/>
          <w:noProof w:val="0"/>
          <w:lang w:val="en-GB"/>
        </w:rPr>
        <w:t xml:space="preserve"> on organis</w:t>
      </w:r>
      <w:r w:rsidRPr="0918BD82" w:rsidR="2FA6456F">
        <w:rPr>
          <w:rFonts w:ascii="Calibri" w:hAnsi="Calibri" w:eastAsia="Calibri" w:cs="Calibri"/>
          <w:noProof w:val="0"/>
          <w:lang w:val="en-GB"/>
        </w:rPr>
        <w:t xml:space="preserve">ation, </w:t>
      </w:r>
      <w:r w:rsidRPr="0918BD82" w:rsidR="10A59E32">
        <w:rPr>
          <w:rFonts w:ascii="Calibri" w:hAnsi="Calibri" w:eastAsia="Calibri" w:cs="Calibri"/>
          <w:noProof w:val="0"/>
          <w:lang w:val="en-GB"/>
        </w:rPr>
        <w:t>highlighting</w:t>
      </w:r>
      <w:r w:rsidRPr="0918BD82" w:rsidR="2FA6456F">
        <w:rPr>
          <w:rFonts w:ascii="Calibri" w:hAnsi="Calibri" w:eastAsia="Calibri" w:cs="Calibri"/>
          <w:noProof w:val="0"/>
          <w:lang w:val="en-GB"/>
        </w:rPr>
        <w:t xml:space="preserve"> the critical importance of information security frameworks and proactive risk </w:t>
      </w:r>
      <w:r w:rsidRPr="0918BD82" w:rsidR="21C981EB">
        <w:rPr>
          <w:rFonts w:ascii="Calibri" w:hAnsi="Calibri" w:eastAsia="Calibri" w:cs="Calibri"/>
          <w:noProof w:val="0"/>
          <w:lang w:val="en-GB"/>
        </w:rPr>
        <w:t>management (Scot</w:t>
      </w:r>
      <w:r w:rsidRPr="0918BD82" w:rsidR="2ADE652D">
        <w:rPr>
          <w:rFonts w:ascii="Calibri" w:hAnsi="Calibri" w:eastAsia="Calibri" w:cs="Calibri"/>
          <w:noProof w:val="0"/>
          <w:lang w:val="en-GB"/>
        </w:rPr>
        <w:t>land,2025)</w:t>
      </w:r>
    </w:p>
    <w:p xmlns:wp14="http://schemas.microsoft.com/office/word/2010/wordml" w:rsidP="217D92FB" wp14:paraId="1DEE04A4" wp14:textId="7C067C7C">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 xml:space="preserve"> Parliamentary analysis suggests that repeated breaches highlight systemic weaknesses in corporate governance and reporting practices, with implications for national security and victim protection (House of Commons, House of Lords, 2023).</w:t>
      </w:r>
    </w:p>
    <w:p xmlns:wp14="http://schemas.microsoft.com/office/word/2010/wordml" w:rsidP="217D92FB" wp14:paraId="244B0CDE" wp14:textId="7C00626F">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Cyber-enabled fraud refers to traditional fraudulent Offences but amplified or </w:t>
      </w:r>
      <w:r w:rsidRPr="217D92FB" w:rsidR="43F86435">
        <w:rPr>
          <w:rFonts w:ascii="Calibri" w:hAnsi="Calibri" w:eastAsia="Calibri" w:cs="Calibri"/>
        </w:rPr>
        <w:t>facilitated</w:t>
      </w:r>
      <w:r w:rsidRPr="217D92FB" w:rsidR="43F86435">
        <w:rPr>
          <w:rFonts w:ascii="Calibri" w:hAnsi="Calibri" w:eastAsia="Calibri" w:cs="Calibri"/>
        </w:rPr>
        <w:t xml:space="preserve"> by digital technologies, enabling offenders to reach larger numbers of victims more effectively (Gabriel Weimann, 2004). Common forms included phishing </w:t>
      </w:r>
      <w:r w:rsidRPr="217D92FB" w:rsidR="43F86435">
        <w:rPr>
          <w:rFonts w:ascii="Calibri" w:hAnsi="Calibri" w:eastAsia="Calibri" w:cs="Calibri"/>
        </w:rPr>
        <w:t>scams</w:t>
      </w:r>
      <w:r w:rsidRPr="217D92FB" w:rsidR="43F86435">
        <w:rPr>
          <w:rFonts w:ascii="Calibri" w:hAnsi="Calibri" w:eastAsia="Calibri" w:cs="Calibri"/>
        </w:rPr>
        <w:t xml:space="preserve">, where fraudulent messages trick recipients into </w:t>
      </w:r>
      <w:r w:rsidRPr="217D92FB" w:rsidR="43F86435">
        <w:rPr>
          <w:rFonts w:ascii="Calibri" w:hAnsi="Calibri" w:eastAsia="Calibri" w:cs="Calibri"/>
        </w:rPr>
        <w:t>disclosing</w:t>
      </w:r>
      <w:r w:rsidRPr="217D92FB" w:rsidR="43F86435">
        <w:rPr>
          <w:rFonts w:ascii="Calibri" w:hAnsi="Calibri" w:eastAsia="Calibri" w:cs="Calibri"/>
        </w:rPr>
        <w:t xml:space="preserve"> sensitive information; romance frauds, which exploit emotional trust to extract money; and business emails compromised, targeting organisations to authorise fraudulent transactions (Gabriel Weimann, 2004).</w:t>
      </w:r>
    </w:p>
    <w:p xmlns:wp14="http://schemas.microsoft.com/office/word/2010/wordml" w:rsidP="217D92FB" wp14:paraId="62B18ECB" wp14:textId="3EAB5F21">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T</w:t>
      </w:r>
      <w:r w:rsidRPr="217D92FB" w:rsidR="43F86435">
        <w:rPr>
          <w:rFonts w:ascii="Calibri" w:hAnsi="Calibri" w:eastAsia="Calibri" w:cs="Calibri"/>
        </w:rPr>
        <w:t xml:space="preserve">he digital environment has increased the complexity of fraud. Offenders exploit anonymity, automation, and cross-border connectivity, allowing the rapid dissemination of fraudulent schemes and complicating detection, investigation, and prosecution (Macdonald and Whittaker, 2010). Platforms such as social media, email, and emerging communication apps </w:t>
      </w:r>
      <w:r w:rsidRPr="217D92FB" w:rsidR="43F86435">
        <w:rPr>
          <w:rFonts w:ascii="Calibri" w:hAnsi="Calibri" w:eastAsia="Calibri" w:cs="Calibri"/>
        </w:rPr>
        <w:t>facilitate</w:t>
      </w:r>
      <w:r w:rsidRPr="217D92FB" w:rsidR="43F86435">
        <w:rPr>
          <w:rFonts w:ascii="Calibri" w:hAnsi="Calibri" w:eastAsia="Calibri" w:cs="Calibri"/>
        </w:rPr>
        <w:t xml:space="preserve"> victim targeting at unprecedented speed and volume, creating significant operational challenges for police and agencies (Goodwin and Business, 2021).</w:t>
      </w:r>
    </w:p>
    <w:p xmlns:wp14="http://schemas.microsoft.com/office/word/2010/wordml" w:rsidP="217D92FB" wp14:paraId="6D050397" wp14:textId="63A1E0EA">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T</w:t>
      </w:r>
      <w:r w:rsidRPr="217D92FB" w:rsidR="43F86435">
        <w:rPr>
          <w:rFonts w:ascii="Calibri" w:hAnsi="Calibri" w:eastAsia="Calibri" w:cs="Calibri"/>
        </w:rPr>
        <w:t xml:space="preserve">he rise of cyber-enabled fraud highlights the need for multi-agent corporations, public awareness initiatives, and specialised cybercrime units. Enforcement strategies are often insufficient, as offenders </w:t>
      </w:r>
      <w:r w:rsidRPr="217D92FB" w:rsidR="43F86435">
        <w:rPr>
          <w:rFonts w:ascii="Calibri" w:hAnsi="Calibri" w:eastAsia="Calibri" w:cs="Calibri"/>
        </w:rPr>
        <w:t>leverage</w:t>
      </w:r>
      <w:r w:rsidRPr="217D92FB" w:rsidR="43F86435">
        <w:rPr>
          <w:rFonts w:ascii="Calibri" w:hAnsi="Calibri" w:eastAsia="Calibri" w:cs="Calibri"/>
        </w:rPr>
        <w:t xml:space="preserve"> technological tools to evade detection and exploit jurisdictional boundaries (Thomas, 2003). Effective mitigation requires a combination of a regulatory framework, digital literacy education, and proactive intelligence-led policing (Goodwin and Business, 2021).</w:t>
      </w:r>
    </w:p>
    <w:p xmlns:wp14="http://schemas.microsoft.com/office/word/2010/wordml" w:rsidP="0918BD82" wp14:paraId="676CDC91" wp14:textId="749C48EE">
      <w:pPr>
        <w:pStyle w:val="Normal"/>
        <w:spacing w:after="0" w:afterAutospacing="off" w:line="360" w:lineRule="auto"/>
        <w:ind w:firstLine="720"/>
        <w:jc w:val="both"/>
        <w:rPr>
          <w:rFonts w:ascii="Calibri" w:hAnsi="Calibri" w:eastAsia="Calibri" w:cs="Calibri"/>
          <w:highlight w:val="yellow"/>
        </w:rPr>
      </w:pPr>
      <w:r w:rsidRPr="0918BD82" w:rsidR="43F86435">
        <w:rPr>
          <w:rFonts w:ascii="Calibri" w:hAnsi="Calibri" w:eastAsia="Calibri" w:cs="Calibri"/>
        </w:rPr>
        <w:t xml:space="preserve">Cyber-dependent crime refers to offences that can only be committed using digital technologies, such as hacking and ransomware, where computer systems are both the target and the means of committing the offence (United Nations Office on Drugs and Crime, 2012).In contrast, cyber-enabled crime involves traditional offences, including fraud and identity theft, that are amplified by digital technologies, allowing offenders to operate at a greater scale and across jurisdictions (Gabriel Weimann, 2004). The distinction is significant for UK policing because cyber-dependent crime requires specialist cyber units, advanced digital forensic and technical </w:t>
      </w:r>
      <w:r w:rsidRPr="0918BD82" w:rsidR="43F86435">
        <w:rPr>
          <w:rFonts w:ascii="Calibri" w:hAnsi="Calibri" w:eastAsia="Calibri" w:cs="Calibri"/>
        </w:rPr>
        <w:t>expertise</w:t>
      </w:r>
      <w:r w:rsidRPr="0918BD82" w:rsidR="43F86435">
        <w:rPr>
          <w:rFonts w:ascii="Calibri" w:hAnsi="Calibri" w:eastAsia="Calibri" w:cs="Calibri"/>
        </w:rPr>
        <w:t>, while cyber-enabled crime places pressure on mainstream policing through high case volumes and widespread victimisation. Effective policing, therefore, depends on differentiated strategies that balance specialist capabilities with prevention, prioritisation, and victim-focused responses (United Nations Office on Drugs and Crime, 2012; Gabriel Weimann, 2004).</w:t>
      </w:r>
      <w:r w:rsidRPr="0918BD82" w:rsidR="0B6CECEF">
        <w:rPr>
          <w:rFonts w:ascii="Calibri" w:hAnsi="Calibri" w:eastAsia="Calibri" w:cs="Calibri"/>
        </w:rPr>
        <w:t xml:space="preserve"> </w:t>
      </w:r>
    </w:p>
    <w:p xmlns:wp14="http://schemas.microsoft.com/office/word/2010/wordml" w:rsidP="217D92FB" wp14:paraId="2C63D54B" wp14:textId="3E8F71B8">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Assessing the effectiveness of cybercrime policing requires criteria that reflect the distinctive characteristics of digitally mediated offending, including anonymity, high volume, rapid harm escalation, and cross-border activity. While traditional policing metrics such as arrest and conviction rates </w:t>
      </w:r>
      <w:r w:rsidRPr="217D92FB" w:rsidR="43F86435">
        <w:rPr>
          <w:rFonts w:ascii="Calibri" w:hAnsi="Calibri" w:eastAsia="Calibri" w:cs="Calibri"/>
        </w:rPr>
        <w:t>remain</w:t>
      </w:r>
      <w:r w:rsidRPr="217D92FB" w:rsidR="43F86435">
        <w:rPr>
          <w:rFonts w:ascii="Calibri" w:hAnsi="Calibri" w:eastAsia="Calibri" w:cs="Calibri"/>
        </w:rPr>
        <w:t xml:space="preserve"> relevant indicators of accountability, their utility in assessing cybercrime policing is limited. The animosity, encryption, and transnational organisation of cyber offending mean that many effective interventions do not culminate in prosecution. Overreliance on enforcement outcomes therefore risks undervaluing preventative and disruptive policing activities that significantly reduce harm but fall short of criminal convictions.</w:t>
      </w:r>
    </w:p>
    <w:p xmlns:wp14="http://schemas.microsoft.com/office/word/2010/wordml" w:rsidP="217D92FB" wp14:paraId="3F25C4E9" wp14:textId="7DD86EC5">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I</w:t>
      </w:r>
      <w:r w:rsidRPr="217D92FB" w:rsidR="43F86435">
        <w:rPr>
          <w:rFonts w:ascii="Calibri" w:hAnsi="Calibri" w:eastAsia="Calibri" w:cs="Calibri"/>
        </w:rPr>
        <w:t xml:space="preserve">n this context, effectiveness must be assessed through a border harm reduction lens, incorporating early detection, infrastructure disruption, victim </w:t>
      </w:r>
      <w:r w:rsidRPr="217D92FB" w:rsidR="43F86435">
        <w:rPr>
          <w:rFonts w:ascii="Calibri" w:hAnsi="Calibri" w:eastAsia="Calibri" w:cs="Calibri"/>
        </w:rPr>
        <w:t>p</w:t>
      </w:r>
      <w:r w:rsidRPr="217D92FB" w:rsidR="43F86435">
        <w:rPr>
          <w:rFonts w:ascii="Calibri" w:hAnsi="Calibri" w:eastAsia="Calibri" w:cs="Calibri"/>
        </w:rPr>
        <w:t>rotection</w:t>
      </w:r>
      <w:r w:rsidRPr="217D92FB" w:rsidR="43F86435">
        <w:rPr>
          <w:rFonts w:ascii="Calibri" w:hAnsi="Calibri" w:eastAsia="Calibri" w:cs="Calibri"/>
        </w:rPr>
        <w:t xml:space="preserve"> </w:t>
      </w:r>
      <w:r w:rsidRPr="217D92FB" w:rsidR="43F86435">
        <w:rPr>
          <w:rFonts w:ascii="Calibri" w:hAnsi="Calibri" w:eastAsia="Calibri" w:cs="Calibri"/>
        </w:rPr>
        <w:t xml:space="preserve">and adaptive capacity. Such an approach aligns with contemporary policing scholarship, which argues that in a complex digital crime environment, success is better measured by reduced victimisation and system resilience rather than punitive outcomes alone (Philips et al, 2022; Singh, 2024). This framework is particularly suitable for ransomware and cyber-enabled fraud, where </w:t>
      </w:r>
      <w:r w:rsidRPr="217D92FB" w:rsidR="43F86435">
        <w:rPr>
          <w:rFonts w:ascii="Calibri" w:hAnsi="Calibri" w:eastAsia="Calibri" w:cs="Calibri"/>
        </w:rPr>
        <w:t>t</w:t>
      </w:r>
      <w:r w:rsidRPr="217D92FB" w:rsidR="43F86435">
        <w:rPr>
          <w:rFonts w:ascii="Calibri" w:hAnsi="Calibri" w:eastAsia="Calibri" w:cs="Calibri"/>
        </w:rPr>
        <w:t>imely</w:t>
      </w:r>
      <w:r w:rsidRPr="217D92FB" w:rsidR="43F86435">
        <w:rPr>
          <w:rFonts w:ascii="Calibri" w:hAnsi="Calibri" w:eastAsia="Calibri" w:cs="Calibri"/>
        </w:rPr>
        <w:t xml:space="preserve"> </w:t>
      </w:r>
      <w:r w:rsidRPr="217D92FB" w:rsidR="43F86435">
        <w:rPr>
          <w:rFonts w:ascii="Calibri" w:hAnsi="Calibri" w:eastAsia="Calibri" w:cs="Calibri"/>
        </w:rPr>
        <w:t xml:space="preserve">intervention can </w:t>
      </w:r>
      <w:r w:rsidRPr="217D92FB" w:rsidR="43F86435">
        <w:rPr>
          <w:rFonts w:ascii="Calibri" w:hAnsi="Calibri" w:eastAsia="Calibri" w:cs="Calibri"/>
        </w:rPr>
        <w:t>s</w:t>
      </w:r>
      <w:r w:rsidRPr="217D92FB" w:rsidR="43F86435">
        <w:rPr>
          <w:rFonts w:ascii="Calibri" w:hAnsi="Calibri" w:eastAsia="Calibri" w:cs="Calibri"/>
        </w:rPr>
        <w:t>ubstantially limit</w:t>
      </w:r>
      <w:r w:rsidRPr="217D92FB" w:rsidR="43F86435">
        <w:rPr>
          <w:rFonts w:ascii="Calibri" w:hAnsi="Calibri" w:eastAsia="Calibri" w:cs="Calibri"/>
        </w:rPr>
        <w:t xml:space="preserve"> </w:t>
      </w:r>
      <w:r w:rsidRPr="217D92FB" w:rsidR="43F86435">
        <w:rPr>
          <w:rFonts w:ascii="Calibri" w:hAnsi="Calibri" w:eastAsia="Calibri" w:cs="Calibri"/>
        </w:rPr>
        <w:t>both financial and social harm, even when offender attribution is unattainable.</w:t>
      </w:r>
    </w:p>
    <w:p xmlns:wp14="http://schemas.microsoft.com/office/word/2010/wordml" w:rsidP="217D92FB" wp14:paraId="697E647B" wp14:textId="2475CB5C">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Conventional measures of policing success, particularly arrest and conviction rates, provide an incomplete picture of performance in this context and risk obscuring practical harm reduction activities (Johnson and Post, 1997; Singh, 2024). Effectiveness is therefore judged here through a multi-dimensional framework that captures operational capability, strategic </w:t>
      </w:r>
      <w:r w:rsidRPr="217D92FB" w:rsidR="43F86435">
        <w:rPr>
          <w:rFonts w:ascii="Calibri" w:hAnsi="Calibri" w:eastAsia="Calibri" w:cs="Calibri"/>
        </w:rPr>
        <w:t>impact</w:t>
      </w:r>
      <w:r w:rsidRPr="217D92FB" w:rsidR="43F86435">
        <w:rPr>
          <w:rFonts w:ascii="Calibri" w:hAnsi="Calibri" w:eastAsia="Calibri" w:cs="Calibri"/>
        </w:rPr>
        <w:t xml:space="preserve"> and victim outcomes (Phillips,2022) </w:t>
      </w:r>
    </w:p>
    <w:p xmlns:wp14="http://schemas.microsoft.com/office/word/2010/wordml" w:rsidP="217D92FB" wp14:paraId="3058B626" wp14:textId="79EC4A5D">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Detection capability evaluates the speed and accuracy with which cyber offences are </w:t>
      </w:r>
      <w:r w:rsidRPr="217D92FB" w:rsidR="43F86435">
        <w:rPr>
          <w:rFonts w:ascii="Calibri" w:hAnsi="Calibri" w:eastAsia="Calibri" w:cs="Calibri"/>
        </w:rPr>
        <w:t>identified</w:t>
      </w:r>
      <w:r w:rsidRPr="217D92FB" w:rsidR="43F86435">
        <w:rPr>
          <w:rFonts w:ascii="Calibri" w:hAnsi="Calibri" w:eastAsia="Calibri" w:cs="Calibri"/>
        </w:rPr>
        <w:t xml:space="preserve">, a critical factor in limiting data loss and financial harm in ransomware and data breach incidents (O'Kane, </w:t>
      </w:r>
      <w:r w:rsidRPr="217D92FB" w:rsidR="43F86435">
        <w:rPr>
          <w:rFonts w:ascii="Calibri" w:hAnsi="Calibri" w:eastAsia="Calibri" w:cs="Calibri"/>
        </w:rPr>
        <w:t>Sezer</w:t>
      </w:r>
      <w:r w:rsidRPr="217D92FB" w:rsidR="43F86435">
        <w:rPr>
          <w:rFonts w:ascii="Calibri" w:hAnsi="Calibri" w:eastAsia="Calibri" w:cs="Calibri"/>
        </w:rPr>
        <w:t xml:space="preserve"> and Carlin, 2018). Attribution measures the ability to </w:t>
      </w:r>
      <w:r w:rsidRPr="217D92FB" w:rsidR="43F86435">
        <w:rPr>
          <w:rFonts w:ascii="Calibri" w:hAnsi="Calibri" w:eastAsia="Calibri" w:cs="Calibri"/>
        </w:rPr>
        <w:t>identify</w:t>
      </w:r>
      <w:r w:rsidRPr="217D92FB" w:rsidR="43F86435">
        <w:rPr>
          <w:rFonts w:ascii="Calibri" w:hAnsi="Calibri" w:eastAsia="Calibri" w:cs="Calibri"/>
        </w:rPr>
        <w:t xml:space="preserve"> offenders, although this </w:t>
      </w:r>
      <w:r w:rsidRPr="217D92FB" w:rsidR="43F86435">
        <w:rPr>
          <w:rFonts w:ascii="Calibri" w:hAnsi="Calibri" w:eastAsia="Calibri" w:cs="Calibri"/>
        </w:rPr>
        <w:t>remains</w:t>
      </w:r>
      <w:r w:rsidRPr="217D92FB" w:rsidR="43F86435">
        <w:rPr>
          <w:rFonts w:ascii="Calibri" w:hAnsi="Calibri" w:eastAsia="Calibri" w:cs="Calibri"/>
        </w:rPr>
        <w:t xml:space="preserve"> structurally constrained by encryption anonymisation and judicial fragmentation, limiting enforcement potential and deterrence (Singh, 2024)</w:t>
      </w:r>
    </w:p>
    <w:p xmlns:wp14="http://schemas.microsoft.com/office/word/2010/wordml" w:rsidP="217D92FB" wp14:paraId="4338D8E0" wp14:textId="792EE07E">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Given these constraints, distribution and prevention provide a more realistic indicator of effectiveness. Takedowns, asset seizure, and infrastructure disruption are increasingly prioritised by UK policy bodies and mechanisms of harm reduction where prosecution is unlikely (House of Commons and House of Lords, 2023). Investigative efficiency encompassing time, cost and resources allocation, is particularly relevant in cyber-enabled fraud cases where high volumes overwhelmed traditional investigative models (Dawda, </w:t>
      </w:r>
      <w:r w:rsidRPr="217D92FB" w:rsidR="43F86435">
        <w:rPr>
          <w:rFonts w:ascii="Calibri" w:hAnsi="Calibri" w:eastAsia="Calibri" w:cs="Calibri"/>
        </w:rPr>
        <w:t>Janjeva</w:t>
      </w:r>
      <w:r w:rsidRPr="217D92FB" w:rsidR="43F86435">
        <w:rPr>
          <w:rFonts w:ascii="Calibri" w:hAnsi="Calibri" w:eastAsia="Calibri" w:cs="Calibri"/>
        </w:rPr>
        <w:t xml:space="preserve">, and </w:t>
      </w:r>
      <w:r w:rsidRPr="217D92FB" w:rsidR="43F86435">
        <w:rPr>
          <w:rFonts w:ascii="Calibri" w:hAnsi="Calibri" w:eastAsia="Calibri" w:cs="Calibri"/>
        </w:rPr>
        <w:t>Moiseienko</w:t>
      </w:r>
      <w:r w:rsidRPr="217D92FB" w:rsidR="43F86435">
        <w:rPr>
          <w:rFonts w:ascii="Calibri" w:hAnsi="Calibri" w:eastAsia="Calibri" w:cs="Calibri"/>
        </w:rPr>
        <w:t>, 2021)</w:t>
      </w:r>
    </w:p>
    <w:p xmlns:wp14="http://schemas.microsoft.com/office/word/2010/wordml" w:rsidP="217D92FB" wp14:paraId="2B1980B1" wp14:textId="6059768A">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While prosecution outcomes </w:t>
      </w:r>
      <w:r w:rsidRPr="217D92FB" w:rsidR="43F86435">
        <w:rPr>
          <w:rFonts w:ascii="Calibri" w:hAnsi="Calibri" w:eastAsia="Calibri" w:cs="Calibri"/>
        </w:rPr>
        <w:t>remain</w:t>
      </w:r>
      <w:r w:rsidRPr="217D92FB" w:rsidR="43F86435">
        <w:rPr>
          <w:rFonts w:ascii="Calibri" w:hAnsi="Calibri" w:eastAsia="Calibri" w:cs="Calibri"/>
        </w:rPr>
        <w:t xml:space="preserve"> relevant for accountability, the limited reach of cybercrime </w:t>
      </w:r>
      <w:r w:rsidRPr="217D92FB" w:rsidR="43F86435">
        <w:rPr>
          <w:rFonts w:ascii="Calibri" w:hAnsi="Calibri" w:eastAsia="Calibri" w:cs="Calibri"/>
        </w:rPr>
        <w:t>necessitates</w:t>
      </w:r>
      <w:r w:rsidRPr="217D92FB" w:rsidR="43F86435">
        <w:rPr>
          <w:rFonts w:ascii="Calibri" w:hAnsi="Calibri" w:eastAsia="Calibri" w:cs="Calibri"/>
        </w:rPr>
        <w:t xml:space="preserve"> a greater emphasis on victim protection and recovery, including harm mitigation and support mechanisms following data breaches (Scotland, 2025). Finally, adaptability reflects on the capability of policing strategies to integrate evolving digital forensics, threat </w:t>
      </w:r>
      <w:r w:rsidRPr="217D92FB" w:rsidR="43F86435">
        <w:rPr>
          <w:rFonts w:ascii="Calibri" w:hAnsi="Calibri" w:eastAsia="Calibri" w:cs="Calibri"/>
        </w:rPr>
        <w:t>intelligence</w:t>
      </w:r>
      <w:r w:rsidRPr="217D92FB" w:rsidR="43F86435">
        <w:rPr>
          <w:rFonts w:ascii="Calibri" w:hAnsi="Calibri" w:eastAsia="Calibri" w:cs="Calibri"/>
        </w:rPr>
        <w:t xml:space="preserve"> and public-private partnerships in response to rapidly changing offender tactics (</w:t>
      </w:r>
      <w:r w:rsidRPr="217D92FB" w:rsidR="43F86435">
        <w:rPr>
          <w:rFonts w:ascii="Calibri" w:hAnsi="Calibri" w:eastAsia="Calibri" w:cs="Calibri"/>
        </w:rPr>
        <w:t>Cascavilla</w:t>
      </w:r>
      <w:r w:rsidRPr="217D92FB" w:rsidR="43F86435">
        <w:rPr>
          <w:rFonts w:ascii="Calibri" w:hAnsi="Calibri" w:eastAsia="Calibri" w:cs="Calibri"/>
        </w:rPr>
        <w:t xml:space="preserve">, </w:t>
      </w:r>
      <w:r w:rsidRPr="217D92FB" w:rsidR="43F86435">
        <w:rPr>
          <w:rFonts w:ascii="Calibri" w:hAnsi="Calibri" w:eastAsia="Calibri" w:cs="Calibri"/>
        </w:rPr>
        <w:t>Tamburri,  and</w:t>
      </w:r>
      <w:r w:rsidRPr="217D92FB" w:rsidR="43F86435">
        <w:rPr>
          <w:rFonts w:ascii="Calibri" w:hAnsi="Calibri" w:eastAsia="Calibri" w:cs="Calibri"/>
        </w:rPr>
        <w:t xml:space="preserve"> Heuvel, 2021)</w:t>
      </w:r>
    </w:p>
    <w:p xmlns:wp14="http://schemas.microsoft.com/office/word/2010/wordml" w:rsidP="217D92FB" wp14:paraId="3DDD9EA0" wp14:textId="740EF469">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Digital forensics plays </w:t>
      </w:r>
      <w:r w:rsidRPr="217D92FB" w:rsidR="43F86435">
        <w:rPr>
          <w:rFonts w:ascii="Calibri" w:hAnsi="Calibri" w:eastAsia="Calibri" w:cs="Calibri"/>
        </w:rPr>
        <w:t>a central role</w:t>
      </w:r>
      <w:r w:rsidRPr="217D92FB" w:rsidR="43F86435">
        <w:rPr>
          <w:rFonts w:ascii="Calibri" w:hAnsi="Calibri" w:eastAsia="Calibri" w:cs="Calibri"/>
        </w:rPr>
        <w:t xml:space="preserve"> in cybercrime policing by enabling the identification, </w:t>
      </w:r>
      <w:r w:rsidRPr="217D92FB" w:rsidR="43F86435">
        <w:rPr>
          <w:rFonts w:ascii="Calibri" w:hAnsi="Calibri" w:eastAsia="Calibri" w:cs="Calibri"/>
        </w:rPr>
        <w:t>preservation</w:t>
      </w:r>
      <w:r w:rsidRPr="217D92FB" w:rsidR="43F86435">
        <w:rPr>
          <w:rFonts w:ascii="Calibri" w:hAnsi="Calibri" w:eastAsia="Calibri" w:cs="Calibri"/>
        </w:rPr>
        <w:t xml:space="preserve"> and analysis of official evidence in a manner that is admissible in court. It underpins investigations into ransomware, data </w:t>
      </w:r>
      <w:r w:rsidRPr="217D92FB" w:rsidR="43F86435">
        <w:rPr>
          <w:rFonts w:ascii="Calibri" w:hAnsi="Calibri" w:eastAsia="Calibri" w:cs="Calibri"/>
        </w:rPr>
        <w:t>breaches</w:t>
      </w:r>
      <w:r w:rsidRPr="217D92FB" w:rsidR="43F86435">
        <w:rPr>
          <w:rFonts w:ascii="Calibri" w:hAnsi="Calibri" w:eastAsia="Calibri" w:cs="Calibri"/>
        </w:rPr>
        <w:t xml:space="preserve"> and cyber-enabled fraud by reconstructing events, </w:t>
      </w:r>
      <w:r w:rsidRPr="217D92FB" w:rsidR="43F86435">
        <w:rPr>
          <w:rFonts w:ascii="Calibri" w:hAnsi="Calibri" w:eastAsia="Calibri" w:cs="Calibri"/>
        </w:rPr>
        <w:t>identifying</w:t>
      </w:r>
      <w:r w:rsidRPr="217D92FB" w:rsidR="43F86435">
        <w:rPr>
          <w:rFonts w:ascii="Calibri" w:hAnsi="Calibri" w:eastAsia="Calibri" w:cs="Calibri"/>
        </w:rPr>
        <w:t xml:space="preserve"> malicious </w:t>
      </w:r>
      <w:r w:rsidRPr="217D92FB" w:rsidR="43F86435">
        <w:rPr>
          <w:rFonts w:ascii="Calibri" w:hAnsi="Calibri" w:eastAsia="Calibri" w:cs="Calibri"/>
        </w:rPr>
        <w:t>activity</w:t>
      </w:r>
      <w:r w:rsidRPr="217D92FB" w:rsidR="43F86435">
        <w:rPr>
          <w:rFonts w:ascii="Calibri" w:hAnsi="Calibri" w:eastAsia="Calibri" w:cs="Calibri"/>
        </w:rPr>
        <w:t xml:space="preserve"> and supporting attributions where possible (</w:t>
      </w:r>
      <w:r w:rsidRPr="217D92FB" w:rsidR="43F86435">
        <w:rPr>
          <w:rFonts w:ascii="Calibri" w:hAnsi="Calibri" w:eastAsia="Calibri" w:cs="Calibri"/>
        </w:rPr>
        <w:t>Akeiber</w:t>
      </w:r>
      <w:r w:rsidRPr="217D92FB" w:rsidR="43F86435">
        <w:rPr>
          <w:rFonts w:ascii="Calibri" w:hAnsi="Calibri" w:eastAsia="Calibri" w:cs="Calibri"/>
        </w:rPr>
        <w:t>, 2025; Phillips,2022)</w:t>
      </w:r>
    </w:p>
    <w:p xmlns:wp14="http://schemas.microsoft.com/office/word/2010/wordml" w:rsidP="217D92FB" wp14:paraId="668579DA" wp14:textId="2F8C128E">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The primary forensic tool includes device imaging, which preserves the integrity of computers and mobile devices. Memory analysis is used to capture volatile data, such as encryption keys or running malware, and network forensics, which examines traffic logs to </w:t>
      </w:r>
      <w:r w:rsidRPr="217D92FB" w:rsidR="43F86435">
        <w:rPr>
          <w:rFonts w:ascii="Calibri" w:hAnsi="Calibri" w:eastAsia="Calibri" w:cs="Calibri"/>
        </w:rPr>
        <w:t>identify</w:t>
      </w:r>
      <w:r w:rsidRPr="217D92FB" w:rsidR="43F86435">
        <w:rPr>
          <w:rFonts w:ascii="Calibri" w:hAnsi="Calibri" w:eastAsia="Calibri" w:cs="Calibri"/>
        </w:rPr>
        <w:t xml:space="preserve"> intrusion vectors, data exfiltration and command and control infrastructure (</w:t>
      </w:r>
      <w:r w:rsidRPr="217D92FB" w:rsidR="43F86435">
        <w:rPr>
          <w:rFonts w:ascii="Calibri" w:hAnsi="Calibri" w:eastAsia="Calibri" w:cs="Calibri"/>
        </w:rPr>
        <w:t>Akeiber</w:t>
      </w:r>
      <w:r w:rsidRPr="217D92FB" w:rsidR="43F86435">
        <w:rPr>
          <w:rFonts w:ascii="Calibri" w:hAnsi="Calibri" w:eastAsia="Calibri" w:cs="Calibri"/>
        </w:rPr>
        <w:t xml:space="preserve">, 2025). In ransomware cases, digital forensics supports malware identification and timeline reconstruction, while in data breach investigations, it </w:t>
      </w:r>
      <w:r w:rsidRPr="217D92FB" w:rsidR="43F86435">
        <w:rPr>
          <w:rFonts w:ascii="Calibri" w:hAnsi="Calibri" w:eastAsia="Calibri" w:cs="Calibri"/>
        </w:rPr>
        <w:t>assists</w:t>
      </w:r>
      <w:r w:rsidRPr="217D92FB" w:rsidR="43F86435">
        <w:rPr>
          <w:rFonts w:ascii="Calibri" w:hAnsi="Calibri" w:eastAsia="Calibri" w:cs="Calibri"/>
        </w:rPr>
        <w:t xml:space="preserve"> in </w:t>
      </w:r>
      <w:r w:rsidRPr="217D92FB" w:rsidR="43F86435">
        <w:rPr>
          <w:rFonts w:ascii="Calibri" w:hAnsi="Calibri" w:eastAsia="Calibri" w:cs="Calibri"/>
        </w:rPr>
        <w:t>determining</w:t>
      </w:r>
      <w:r w:rsidRPr="217D92FB" w:rsidR="43F86435">
        <w:rPr>
          <w:rFonts w:ascii="Calibri" w:hAnsi="Calibri" w:eastAsia="Calibri" w:cs="Calibri"/>
        </w:rPr>
        <w:t xml:space="preserve"> the scope of unauthorised access. In cyber-enabled fraud, forensic analysis is often used to trace compromised accounts and transaction activity (O'Kane, Sezer, and Carlin, 2018)</w:t>
      </w:r>
    </w:p>
    <w:p xmlns:wp14="http://schemas.microsoft.com/office/word/2010/wordml" w:rsidP="217D92FB" wp14:paraId="675184F1" wp14:textId="1D4BFD11">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A key strength of digital forensics lies in its evidential validity. When properly conducted, forensic processes provide reliable, auditable evidence that can withstand judicial scrutiny, supporting prosecutions and regulatory action (Philips, 2022). However, its effectiveness is increasingly constrained by several systemic limitations. Although digital forensics provides substantial evidential value, its operational effectiveness is increasingly shaped by trade-offs between depth, </w:t>
      </w:r>
      <w:r w:rsidRPr="217D92FB" w:rsidR="43F86435">
        <w:rPr>
          <w:rFonts w:ascii="Calibri" w:hAnsi="Calibri" w:eastAsia="Calibri" w:cs="Calibri"/>
        </w:rPr>
        <w:t>speed</w:t>
      </w:r>
      <w:r w:rsidRPr="217D92FB" w:rsidR="43F86435">
        <w:rPr>
          <w:rFonts w:ascii="Calibri" w:hAnsi="Calibri" w:eastAsia="Calibri" w:cs="Calibri"/>
        </w:rPr>
        <w:t xml:space="preserve"> and scalability. Traditional forensic processes prioritise evidential integrity and judicial admissibility, yet these standards can slow investigations in fast-moving cyber incidents where harm escalates rapidly. In high-volume cyber-enabled fraud cases, exhaustive forensic examination may be neither proportionate nor operationally </w:t>
      </w:r>
      <w:r w:rsidRPr="217D92FB" w:rsidR="43F86435">
        <w:rPr>
          <w:rFonts w:ascii="Calibri" w:hAnsi="Calibri" w:eastAsia="Calibri" w:cs="Calibri"/>
        </w:rPr>
        <w:t>viable</w:t>
      </w:r>
      <w:r w:rsidRPr="217D92FB" w:rsidR="43F86435">
        <w:rPr>
          <w:rFonts w:ascii="Calibri" w:hAnsi="Calibri" w:eastAsia="Calibri" w:cs="Calibri"/>
        </w:rPr>
        <w:t>.</w:t>
      </w:r>
    </w:p>
    <w:p xmlns:wp14="http://schemas.microsoft.com/office/word/2010/wordml" w:rsidP="217D92FB" wp14:paraId="47672156" wp14:textId="5A6718AC">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Emerging</w:t>
      </w:r>
      <w:r w:rsidRPr="0918BD82" w:rsidR="43F86435">
        <w:rPr>
          <w:rFonts w:ascii="Calibri" w:hAnsi="Calibri" w:eastAsia="Calibri" w:cs="Calibri"/>
        </w:rPr>
        <w:t xml:space="preserve"> forensic </w:t>
      </w:r>
      <w:r w:rsidRPr="0918BD82" w:rsidR="43F86435">
        <w:rPr>
          <w:rFonts w:ascii="Calibri" w:hAnsi="Calibri" w:eastAsia="Calibri" w:cs="Calibri"/>
        </w:rPr>
        <w:t>automation</w:t>
      </w:r>
      <w:r w:rsidRPr="0918BD82" w:rsidR="7AC30D44">
        <w:rPr>
          <w:rFonts w:ascii="Calibri" w:hAnsi="Calibri" w:eastAsia="Calibri" w:cs="Calibri"/>
        </w:rPr>
        <w:t xml:space="preserve"> artificial</w:t>
      </w:r>
      <w:r w:rsidRPr="0918BD82" w:rsidR="7AC30D44">
        <w:rPr>
          <w:rFonts w:ascii="Calibri" w:hAnsi="Calibri" w:eastAsia="Calibri" w:cs="Calibri"/>
        </w:rPr>
        <w:t xml:space="preserve"> intelligence s</w:t>
      </w:r>
      <w:r w:rsidRPr="0918BD82" w:rsidR="43F86435">
        <w:rPr>
          <w:rFonts w:ascii="Calibri" w:hAnsi="Calibri" w:eastAsia="Calibri" w:cs="Calibri"/>
        </w:rPr>
        <w:t>upported analysis offer potential efficiency g</w:t>
      </w:r>
      <w:r w:rsidRPr="0918BD82" w:rsidR="43F86435">
        <w:rPr>
          <w:rFonts w:ascii="Calibri" w:hAnsi="Calibri" w:eastAsia="Calibri" w:cs="Calibri"/>
        </w:rPr>
        <w:t>ai</w:t>
      </w:r>
      <w:r w:rsidRPr="0918BD82" w:rsidR="43F86435">
        <w:rPr>
          <w:rFonts w:ascii="Calibri" w:hAnsi="Calibri" w:eastAsia="Calibri" w:cs="Calibri"/>
        </w:rPr>
        <w:t xml:space="preserve">ns but introduce new challenges related to transparency, bias, and legal defensibility. Courts may scrutinise algorithmic decision-making processes, requiring policing bodies to </w:t>
      </w:r>
      <w:r w:rsidRPr="0918BD82" w:rsidR="43F86435">
        <w:rPr>
          <w:rFonts w:ascii="Calibri" w:hAnsi="Calibri" w:eastAsia="Calibri" w:cs="Calibri"/>
        </w:rPr>
        <w:t>demonstrate</w:t>
      </w:r>
      <w:r w:rsidRPr="0918BD82" w:rsidR="43F86435">
        <w:rPr>
          <w:rFonts w:ascii="Calibri" w:hAnsi="Calibri" w:eastAsia="Calibri" w:cs="Calibri"/>
        </w:rPr>
        <w:t xml:space="preserve"> methodological reliability and human oversight. Consequently, digital forensics </w:t>
      </w:r>
      <w:r w:rsidRPr="0918BD82" w:rsidR="43F86435">
        <w:rPr>
          <w:rFonts w:ascii="Calibri" w:hAnsi="Calibri" w:eastAsia="Calibri" w:cs="Calibri"/>
        </w:rPr>
        <w:t>rem</w:t>
      </w:r>
      <w:r w:rsidRPr="0918BD82" w:rsidR="43F86435">
        <w:rPr>
          <w:rFonts w:ascii="Calibri" w:hAnsi="Calibri" w:eastAsia="Calibri" w:cs="Calibri"/>
        </w:rPr>
        <w:t>ai</w:t>
      </w:r>
      <w:r w:rsidRPr="0918BD82" w:rsidR="43F86435">
        <w:rPr>
          <w:rFonts w:ascii="Calibri" w:hAnsi="Calibri" w:eastAsia="Calibri" w:cs="Calibri"/>
        </w:rPr>
        <w:t>ns</w:t>
      </w:r>
      <w:r w:rsidRPr="0918BD82" w:rsidR="43F86435">
        <w:rPr>
          <w:rFonts w:ascii="Calibri" w:hAnsi="Calibri" w:eastAsia="Calibri" w:cs="Calibri"/>
        </w:rPr>
        <w:t xml:space="preserve"> most effective when developed selectively and strategically, integrated with intelligence-led prioritisation rather than applied uniformly across all cybercrime cases. Encryption, particularly in ransomware and cloud-based services, restricts access to data, while cloud computing complicates evidence acquisition due to distributed storage and shared infrastructure (Singh, 2024). The volume of digital data also places significant str</w:t>
      </w:r>
      <w:r w:rsidRPr="0918BD82" w:rsidR="43F86435">
        <w:rPr>
          <w:rFonts w:ascii="Calibri" w:hAnsi="Calibri" w:eastAsia="Calibri" w:cs="Calibri"/>
        </w:rPr>
        <w:t>ai</w:t>
      </w:r>
      <w:r w:rsidRPr="0918BD82" w:rsidR="43F86435">
        <w:rPr>
          <w:rFonts w:ascii="Calibri" w:hAnsi="Calibri" w:eastAsia="Calibri" w:cs="Calibri"/>
        </w:rPr>
        <w:t xml:space="preserve">n on investigative resources, </w:t>
      </w:r>
      <w:r w:rsidRPr="0918BD82" w:rsidR="43F86435">
        <w:rPr>
          <w:rFonts w:ascii="Calibri" w:hAnsi="Calibri" w:eastAsia="Calibri" w:cs="Calibri"/>
        </w:rPr>
        <w:t>exacerbated</w:t>
      </w:r>
      <w:r w:rsidRPr="0918BD82" w:rsidR="43F86435">
        <w:rPr>
          <w:rFonts w:ascii="Calibri" w:hAnsi="Calibri" w:eastAsia="Calibri" w:cs="Calibri"/>
        </w:rPr>
        <w:t xml:space="preserve"> by persistent skill shortages within specialist cyber units (</w:t>
      </w:r>
      <w:r w:rsidRPr="0918BD82" w:rsidR="43F86435">
        <w:rPr>
          <w:rFonts w:ascii="Calibri" w:hAnsi="Calibri" w:eastAsia="Calibri" w:cs="Calibri"/>
        </w:rPr>
        <w:t>Akeiber</w:t>
      </w:r>
      <w:r w:rsidRPr="0918BD82" w:rsidR="43F86435">
        <w:rPr>
          <w:rFonts w:ascii="Calibri" w:hAnsi="Calibri" w:eastAsia="Calibri" w:cs="Calibri"/>
        </w:rPr>
        <w:t>, 2025)</w:t>
      </w:r>
    </w:p>
    <w:p xmlns:wp14="http://schemas.microsoft.com/office/word/2010/wordml" w:rsidP="217D92FB" wp14:paraId="4430BA70" wp14:textId="77D5686A">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Jurisdictional challenges further limit effectiveness as data is </w:t>
      </w:r>
      <w:r w:rsidRPr="217D92FB" w:rsidR="43F86435">
        <w:rPr>
          <w:rFonts w:ascii="Calibri" w:hAnsi="Calibri" w:eastAsia="Calibri" w:cs="Calibri"/>
        </w:rPr>
        <w:t>frequently</w:t>
      </w:r>
      <w:r w:rsidRPr="217D92FB" w:rsidR="43F86435">
        <w:rPr>
          <w:rFonts w:ascii="Calibri" w:hAnsi="Calibri" w:eastAsia="Calibri" w:cs="Calibri"/>
        </w:rPr>
        <w:t xml:space="preserve"> stored overseas, requiring slow and complex international cooperation mechanisms that delay investigation and reduce enforcement impact (Johnson and Post, 1997). Consequently, while digital forensics </w:t>
      </w:r>
      <w:r w:rsidRPr="217D92FB" w:rsidR="43F86435">
        <w:rPr>
          <w:rFonts w:ascii="Calibri" w:hAnsi="Calibri" w:eastAsia="Calibri" w:cs="Calibri"/>
        </w:rPr>
        <w:t>remains</w:t>
      </w:r>
      <w:r w:rsidRPr="217D92FB" w:rsidR="43F86435">
        <w:rPr>
          <w:rFonts w:ascii="Calibri" w:hAnsi="Calibri" w:eastAsia="Calibri" w:cs="Calibri"/>
        </w:rPr>
        <w:t xml:space="preserve"> a foundational tool in cybercrime policing, its effectiveness is increasingly dependent on integration with threat intelligence, automation, and public-private cooperation.</w:t>
      </w:r>
    </w:p>
    <w:p xmlns:wp14="http://schemas.microsoft.com/office/word/2010/wordml" w:rsidP="217D92FB" wp14:paraId="443E9844" wp14:textId="06025B38">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Cyber threat intelligence is the structured collection, analysis, and dissemination of data relating to cyber threats, enabling organisations to </w:t>
      </w:r>
      <w:r w:rsidRPr="217D92FB" w:rsidR="43F86435">
        <w:rPr>
          <w:rFonts w:ascii="Calibri" w:hAnsi="Calibri" w:eastAsia="Calibri" w:cs="Calibri"/>
        </w:rPr>
        <w:t>anticipate</w:t>
      </w:r>
      <w:r w:rsidRPr="217D92FB" w:rsidR="43F86435">
        <w:rPr>
          <w:rFonts w:ascii="Calibri" w:hAnsi="Calibri" w:eastAsia="Calibri" w:cs="Calibri"/>
        </w:rPr>
        <w:t>, prevent, and respond to attacks by understanding threat actors, their tactics, and indicators of compromise (</w:t>
      </w:r>
      <w:r w:rsidRPr="217D92FB" w:rsidR="43F86435">
        <w:rPr>
          <w:rFonts w:ascii="Calibri" w:hAnsi="Calibri" w:eastAsia="Calibri" w:cs="Calibri"/>
        </w:rPr>
        <w:t>Cascavilla</w:t>
      </w:r>
      <w:r w:rsidRPr="217D92FB" w:rsidR="43F86435">
        <w:rPr>
          <w:rFonts w:ascii="Calibri" w:hAnsi="Calibri" w:eastAsia="Calibri" w:cs="Calibri"/>
        </w:rPr>
        <w:t>, Tamburri, and Van Den Heuvel, 2021). CTI products draw on intelligence feeds, which include real-time indicators of compromise, tactics, techniques, and procedures, as well as vulnerability exploitation data (Knapp, 2025). Effective CTI transforms raw technical data into actionable insight for security professionals and policing partners, supporting early threat detection and strategic planning</w:t>
      </w:r>
    </w:p>
    <w:p xmlns:wp14="http://schemas.microsoft.com/office/word/2010/wordml" w:rsidP="217D92FB" wp14:paraId="5E157E70" wp14:textId="469C3F34">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Intelligence feeds and Indicators of Compromise improve early detection and disruption by enabling automated defence systems and human analysts to </w:t>
      </w:r>
      <w:r w:rsidRPr="217D92FB" w:rsidR="43F86435">
        <w:rPr>
          <w:rFonts w:ascii="Calibri" w:hAnsi="Calibri" w:eastAsia="Calibri" w:cs="Calibri"/>
        </w:rPr>
        <w:t>identify</w:t>
      </w:r>
      <w:r w:rsidRPr="217D92FB" w:rsidR="43F86435">
        <w:rPr>
          <w:rFonts w:ascii="Calibri" w:hAnsi="Calibri" w:eastAsia="Calibri" w:cs="Calibri"/>
        </w:rPr>
        <w:t xml:space="preserve"> malicious behaviour before widespread harm occurs (Knapp, 2025). The effectiveness of cyber threat intelligence depends not merely on volume, but on analytical capacity and strategic integration. While real-time indicators of compromise support rapid detection, excessive reliance on raw feeds risks overwhelming analysts with low-value or redundant data. This problem is particularly acute where intelligence consumption outpaces analytical capability, resulting in missed threats rather than enhanced situational awareness.</w:t>
      </w:r>
    </w:p>
    <w:p xmlns:wp14="http://schemas.microsoft.com/office/word/2010/wordml" w:rsidP="217D92FB" wp14:paraId="6FFA352A" wp14:textId="0454A836">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Shared CTI can support cross-organisational awareness and coordinated action, which is crucial in complex cases such as ransomware campaigns or state-linked attacks. For example, a recent UK parliamentary warning </w:t>
      </w:r>
      <w:r w:rsidRPr="217D92FB" w:rsidR="43F86435">
        <w:rPr>
          <w:rFonts w:ascii="Calibri" w:hAnsi="Calibri" w:eastAsia="Calibri" w:cs="Calibri"/>
        </w:rPr>
        <w:t>regarding</w:t>
      </w:r>
      <w:r w:rsidRPr="217D92FB" w:rsidR="43F86435">
        <w:rPr>
          <w:rFonts w:ascii="Calibri" w:hAnsi="Calibri" w:eastAsia="Calibri" w:cs="Calibri"/>
        </w:rPr>
        <w:t xml:space="preserve"> suspected Chinese intelligence outreach. Where adversaries exploit broad digital platforms to collect sensitive information at scale (House of Commons, 2026).</w:t>
      </w:r>
    </w:p>
    <w:p xmlns:wp14="http://schemas.microsoft.com/office/word/2010/wordml" w:rsidP="217D92FB" wp14:paraId="7FDF1B42" wp14:textId="5317690E">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However, threat intelligence has limitations. Information overload can dilute actionable content, and reliability and timeliness vary between sources, undermining operational value if feeds are outdated or unverified (</w:t>
      </w:r>
      <w:r w:rsidRPr="217D92FB" w:rsidR="43F86435">
        <w:rPr>
          <w:rFonts w:ascii="Calibri" w:hAnsi="Calibri" w:eastAsia="Calibri" w:cs="Calibri"/>
        </w:rPr>
        <w:t>Cascavilla</w:t>
      </w:r>
      <w:r w:rsidRPr="217D92FB" w:rsidR="43F86435">
        <w:rPr>
          <w:rFonts w:ascii="Calibri" w:hAnsi="Calibri" w:eastAsia="Calibri" w:cs="Calibri"/>
        </w:rPr>
        <w:t xml:space="preserve">, Tamburri, and Heuvel, 2021). Barriers to intelligence sharing persist between public agencies and private sector partners due to legal, competitive, and trust concerns, even though collaboration is recognised as necessary to counter sophisticated attacks (Foreign, Commonwealth &amp; Development Office, 2021). Practical intelligence sharing, therefore, requires agreed standards, a legal </w:t>
      </w:r>
      <w:r w:rsidRPr="217D92FB" w:rsidR="43F86435">
        <w:rPr>
          <w:rFonts w:ascii="Calibri" w:hAnsi="Calibri" w:eastAsia="Calibri" w:cs="Calibri"/>
        </w:rPr>
        <w:t>framework</w:t>
      </w:r>
      <w:r w:rsidRPr="217D92FB" w:rsidR="43F86435">
        <w:rPr>
          <w:rFonts w:ascii="Calibri" w:hAnsi="Calibri" w:eastAsia="Calibri" w:cs="Calibri"/>
        </w:rPr>
        <w:t xml:space="preserve"> and trust-based partnerships to balance operational utility with confidentiality and risk management.</w:t>
      </w:r>
    </w:p>
    <w:p xmlns:wp14="http://schemas.microsoft.com/office/word/2010/wordml" w:rsidP="217D92FB" wp14:paraId="71519C1B" wp14:textId="1E04C08F">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The public-private partnership (PPPs) plays </w:t>
      </w:r>
      <w:r w:rsidRPr="217D92FB" w:rsidR="43F86435">
        <w:rPr>
          <w:rFonts w:ascii="Calibri" w:hAnsi="Calibri" w:eastAsia="Calibri" w:cs="Calibri"/>
        </w:rPr>
        <w:t>a central role</w:t>
      </w:r>
      <w:r w:rsidRPr="217D92FB" w:rsidR="43F86435">
        <w:rPr>
          <w:rFonts w:ascii="Calibri" w:hAnsi="Calibri" w:eastAsia="Calibri" w:cs="Calibri"/>
        </w:rPr>
        <w:t xml:space="preserve"> in contemporary cybercrime policing, reflecting the reality that much of the infrastructure targeted or exploited by cyber offenders is owned and </w:t>
      </w:r>
      <w:r w:rsidRPr="217D92FB" w:rsidR="43F86435">
        <w:rPr>
          <w:rFonts w:ascii="Calibri" w:hAnsi="Calibri" w:eastAsia="Calibri" w:cs="Calibri"/>
        </w:rPr>
        <w:t>operated</w:t>
      </w:r>
      <w:r w:rsidRPr="217D92FB" w:rsidR="43F86435">
        <w:rPr>
          <w:rFonts w:ascii="Calibri" w:hAnsi="Calibri" w:eastAsia="Calibri" w:cs="Calibri"/>
        </w:rPr>
        <w:t xml:space="preserve"> by private actors. Internet service providers, financial institutions, cybersecurity </w:t>
      </w:r>
      <w:r w:rsidRPr="217D92FB" w:rsidR="43F86435">
        <w:rPr>
          <w:rFonts w:ascii="Calibri" w:hAnsi="Calibri" w:eastAsia="Calibri" w:cs="Calibri"/>
        </w:rPr>
        <w:t>firms</w:t>
      </w:r>
      <w:r w:rsidRPr="217D92FB" w:rsidR="43F86435">
        <w:rPr>
          <w:rFonts w:ascii="Calibri" w:hAnsi="Calibri" w:eastAsia="Calibri" w:cs="Calibri"/>
        </w:rPr>
        <w:t xml:space="preserve"> and social media platforms are therefore critical partners in detaching, </w:t>
      </w:r>
      <w:r w:rsidRPr="217D92FB" w:rsidR="43F86435">
        <w:rPr>
          <w:rFonts w:ascii="Calibri" w:hAnsi="Calibri" w:eastAsia="Calibri" w:cs="Calibri"/>
        </w:rPr>
        <w:t>preventing</w:t>
      </w:r>
      <w:r w:rsidRPr="217D92FB" w:rsidR="43F86435">
        <w:rPr>
          <w:rFonts w:ascii="Calibri" w:hAnsi="Calibri" w:eastAsia="Calibri" w:cs="Calibri"/>
        </w:rPr>
        <w:t xml:space="preserve"> and disrupting cybercrime activity (Philips, 2022)</w:t>
      </w:r>
    </w:p>
    <w:p xmlns:wp14="http://schemas.microsoft.com/office/word/2010/wordml" w:rsidP="217D92FB" wp14:paraId="63F53C4A" wp14:textId="7BF5F982">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In practice, PPPs support cybercrime policing through the sharing of intelligence, technical </w:t>
      </w:r>
      <w:r w:rsidRPr="217D92FB" w:rsidR="43F86435">
        <w:rPr>
          <w:rFonts w:ascii="Calibri" w:hAnsi="Calibri" w:eastAsia="Calibri" w:cs="Calibri"/>
        </w:rPr>
        <w:t>expertise</w:t>
      </w:r>
      <w:r w:rsidRPr="217D92FB" w:rsidR="43F86435">
        <w:rPr>
          <w:rFonts w:ascii="Calibri" w:hAnsi="Calibri" w:eastAsia="Calibri" w:cs="Calibri"/>
        </w:rPr>
        <w:t xml:space="preserve">, and operational cooperation. Financial institutions play </w:t>
      </w:r>
      <w:r w:rsidRPr="217D92FB" w:rsidR="43F86435">
        <w:rPr>
          <w:rFonts w:ascii="Calibri" w:hAnsi="Calibri" w:eastAsia="Calibri" w:cs="Calibri"/>
        </w:rPr>
        <w:t>a central role</w:t>
      </w:r>
      <w:r w:rsidRPr="217D92FB" w:rsidR="43F86435">
        <w:rPr>
          <w:rFonts w:ascii="Calibri" w:hAnsi="Calibri" w:eastAsia="Calibri" w:cs="Calibri"/>
        </w:rPr>
        <w:t xml:space="preserve"> in fraud prevention through transaction monitoring, account freezing, and intelligence sharing in cyber-enabled fraud cases (Dawda, 2021). ISPs and cybersecurity firms contribute to ransomware and data breach responses by </w:t>
      </w:r>
      <w:r w:rsidRPr="217D92FB" w:rsidR="43F86435">
        <w:rPr>
          <w:rFonts w:ascii="Calibri" w:hAnsi="Calibri" w:eastAsia="Calibri" w:cs="Calibri"/>
        </w:rPr>
        <w:t>identifying</w:t>
      </w:r>
      <w:r w:rsidRPr="217D92FB" w:rsidR="43F86435">
        <w:rPr>
          <w:rFonts w:ascii="Calibri" w:hAnsi="Calibri" w:eastAsia="Calibri" w:cs="Calibri"/>
        </w:rPr>
        <w:t xml:space="preserve"> malicious infrastructure, supporting takedowns, and providing technical analysis that exceeds in-house policing capacity (</w:t>
      </w:r>
      <w:r w:rsidRPr="217D92FB" w:rsidR="43F86435">
        <w:rPr>
          <w:rFonts w:ascii="Calibri" w:hAnsi="Calibri" w:eastAsia="Calibri" w:cs="Calibri"/>
        </w:rPr>
        <w:t>Cascavilla</w:t>
      </w:r>
      <w:r w:rsidRPr="217D92FB" w:rsidR="43F86435">
        <w:rPr>
          <w:rFonts w:ascii="Calibri" w:hAnsi="Calibri" w:eastAsia="Calibri" w:cs="Calibri"/>
        </w:rPr>
        <w:t>, 2021). Social media platforms also play a role by removing malicious accounts and supporting investigations linked to online-enabled offending.</w:t>
      </w:r>
    </w:p>
    <w:p xmlns:wp14="http://schemas.microsoft.com/office/word/2010/wordml" w:rsidP="217D92FB" wp14:paraId="56E42A9B" wp14:textId="3B44F25C">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The principal strength of PPPs lies in access to specialist </w:t>
      </w:r>
      <w:r w:rsidRPr="217D92FB" w:rsidR="43F86435">
        <w:rPr>
          <w:rFonts w:ascii="Calibri" w:hAnsi="Calibri" w:eastAsia="Calibri" w:cs="Calibri"/>
        </w:rPr>
        <w:t>expertise</w:t>
      </w:r>
      <w:r w:rsidRPr="217D92FB" w:rsidR="43F86435">
        <w:rPr>
          <w:rFonts w:ascii="Calibri" w:hAnsi="Calibri" w:eastAsia="Calibri" w:cs="Calibri"/>
        </w:rPr>
        <w:t>, infrastructure and data that policing bodies cannot independently replicate at scale. Such partnerships enhance early detection, improve disruption capability, and support preventive strategies, particularly when integrated with threat intelligence frameworks (Foreign, Commonwealth &amp; Development Office and Foreign &amp; Commonwealth Office, 2021).</w:t>
      </w:r>
    </w:p>
    <w:p xmlns:wp14="http://schemas.microsoft.com/office/word/2010/wordml" w:rsidP="217D92FB" wp14:paraId="0AEE36CA" wp14:textId="6FE5BF95">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However, PPPs, although present significant limitations. Trust deficits persist, particularly where private companies fear reputational damage or legal liability arising from data sharing. Legal and regulatory constraints, including data protection obligations, further restrict information exchange, reducing operational effectiveness (Singh, 2024). Additionally, commercial incentives may conflict with public interest </w:t>
      </w:r>
      <w:r w:rsidRPr="217D92FB" w:rsidR="43F86435">
        <w:rPr>
          <w:rFonts w:ascii="Calibri" w:hAnsi="Calibri" w:eastAsia="Calibri" w:cs="Calibri"/>
        </w:rPr>
        <w:t>objectives</w:t>
      </w:r>
      <w:r w:rsidRPr="217D92FB" w:rsidR="43F86435">
        <w:rPr>
          <w:rFonts w:ascii="Calibri" w:hAnsi="Calibri" w:eastAsia="Calibri" w:cs="Calibri"/>
        </w:rPr>
        <w:t>, particularly where platform engagement or profitability is prioritised over proactive harm reduction.</w:t>
      </w:r>
    </w:p>
    <w:p xmlns:wp14="http://schemas.microsoft.com/office/word/2010/wordml" w:rsidP="0918BD82" wp14:paraId="13CCCC63" wp14:textId="090C7A02">
      <w:pPr>
        <w:pStyle w:val="Normal"/>
        <w:spacing w:after="0" w:afterAutospacing="off" w:line="360" w:lineRule="auto"/>
        <w:ind w:firstLine="720"/>
        <w:jc w:val="both"/>
        <w:rPr>
          <w:rFonts w:ascii="Calibri" w:hAnsi="Calibri" w:eastAsia="Calibri" w:cs="Calibri"/>
          <w:highlight w:val="yellow"/>
        </w:rPr>
      </w:pPr>
      <w:r w:rsidRPr="0918BD82" w:rsidR="43F86435">
        <w:rPr>
          <w:rFonts w:ascii="Calibri" w:hAnsi="Calibri" w:eastAsia="Calibri" w:cs="Calibri"/>
        </w:rPr>
        <w:t xml:space="preserve">A further structural concern is the power imbalance between the state and large technology firms, whose control over platforms, data and technical systems limits policing leverage. This imbalance constrains enforcement and raises concerns about accountability, highlighting the need for clearer governance frameworks and statutory obligations to support </w:t>
      </w:r>
      <w:r w:rsidRPr="0918BD82" w:rsidR="43F86435">
        <w:rPr>
          <w:rFonts w:ascii="Calibri" w:hAnsi="Calibri" w:eastAsia="Calibri" w:cs="Calibri"/>
        </w:rPr>
        <w:t>equitable</w:t>
      </w:r>
      <w:r w:rsidRPr="0918BD82" w:rsidR="43F86435">
        <w:rPr>
          <w:rFonts w:ascii="Calibri" w:hAnsi="Calibri" w:eastAsia="Calibri" w:cs="Calibri"/>
        </w:rPr>
        <w:t xml:space="preserve"> and effective cybercrime partnerships</w:t>
      </w:r>
      <w:r w:rsidRPr="0918BD82" w:rsidR="33BBB1FC">
        <w:rPr>
          <w:rFonts w:ascii="Calibri" w:hAnsi="Calibri" w:eastAsia="Calibri" w:cs="Calibri"/>
        </w:rPr>
        <w:t xml:space="preserve"> (Singh, 2024)</w:t>
      </w:r>
    </w:p>
    <w:p xmlns:wp14="http://schemas.microsoft.com/office/word/2010/wordml" w:rsidP="217D92FB" wp14:paraId="1F75999E" wp14:textId="4C607D5B">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Despite advances in digital forensics, threat intelligence and public-private partnerships, cybercrime policing </w:t>
      </w:r>
      <w:r w:rsidRPr="217D92FB" w:rsidR="43F86435">
        <w:rPr>
          <w:rFonts w:ascii="Calibri" w:hAnsi="Calibri" w:eastAsia="Calibri" w:cs="Calibri"/>
        </w:rPr>
        <w:t>remains</w:t>
      </w:r>
      <w:r w:rsidRPr="217D92FB" w:rsidR="43F86435">
        <w:rPr>
          <w:rFonts w:ascii="Calibri" w:hAnsi="Calibri" w:eastAsia="Calibri" w:cs="Calibri"/>
        </w:rPr>
        <w:t xml:space="preserve"> constrained by a series of structural and systemic barriers. Foremost among these are jurisdictional and legal limitations arising from the inherently transnational nature of cybercrime. </w:t>
      </w:r>
      <w:r w:rsidRPr="217D92FB" w:rsidR="43F86435">
        <w:rPr>
          <w:rFonts w:ascii="Calibri" w:hAnsi="Calibri" w:eastAsia="Calibri" w:cs="Calibri"/>
        </w:rPr>
        <w:t>Offending  frequently</w:t>
      </w:r>
      <w:r w:rsidRPr="217D92FB" w:rsidR="43F86435">
        <w:rPr>
          <w:rFonts w:ascii="Calibri" w:hAnsi="Calibri" w:eastAsia="Calibri" w:cs="Calibri"/>
        </w:rPr>
        <w:t xml:space="preserve"> involves actors' infrastructure and data stored across multiple </w:t>
      </w:r>
      <w:r w:rsidRPr="217D92FB" w:rsidR="43F86435">
        <w:rPr>
          <w:rFonts w:ascii="Calibri" w:hAnsi="Calibri" w:eastAsia="Calibri" w:cs="Calibri"/>
        </w:rPr>
        <w:t>jurisdictions</w:t>
      </w:r>
      <w:r w:rsidRPr="217D92FB" w:rsidR="43F86435">
        <w:rPr>
          <w:rFonts w:ascii="Calibri" w:hAnsi="Calibri" w:eastAsia="Calibri" w:cs="Calibri"/>
        </w:rPr>
        <w:t xml:space="preserve">, </w:t>
      </w:r>
      <w:r w:rsidRPr="217D92FB" w:rsidR="43F86435">
        <w:rPr>
          <w:rFonts w:ascii="Calibri" w:hAnsi="Calibri" w:eastAsia="Calibri" w:cs="Calibri"/>
        </w:rPr>
        <w:t>rendering</w:t>
      </w:r>
      <w:r w:rsidRPr="217D92FB" w:rsidR="43F86435">
        <w:rPr>
          <w:rFonts w:ascii="Calibri" w:hAnsi="Calibri" w:eastAsia="Calibri" w:cs="Calibri"/>
        </w:rPr>
        <w:t xml:space="preserve"> domestic informant power insufficient and international cooperation slow and procedurally complex (Johnson and Post, 1997; Phillips, 2022)</w:t>
      </w:r>
    </w:p>
    <w:p xmlns:wp14="http://schemas.microsoft.com/office/word/2010/wordml" w:rsidP="217D92FB" wp14:paraId="5D126371" wp14:textId="6AE17A05">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A further barrier is the pace of technological change, which consistently outstrips legislative and regulatory developments. Emerging technologies, including cloud computing, cryptocurrencies, and automation, create an enforcement gap that offenders exploit before legal frameworks can adapt (MacColl and Mott, 2023). This problem is </w:t>
      </w:r>
      <w:r w:rsidRPr="217D92FB" w:rsidR="43F86435">
        <w:rPr>
          <w:rFonts w:ascii="Calibri" w:hAnsi="Calibri" w:eastAsia="Calibri" w:cs="Calibri"/>
        </w:rPr>
        <w:t>exacerbated</w:t>
      </w:r>
      <w:r w:rsidRPr="217D92FB" w:rsidR="43F86435">
        <w:rPr>
          <w:rFonts w:ascii="Calibri" w:hAnsi="Calibri" w:eastAsia="Calibri" w:cs="Calibri"/>
        </w:rPr>
        <w:t xml:space="preserve"> by resource constraints and skill shortages within policing, where specialist cyber </w:t>
      </w:r>
      <w:r w:rsidRPr="217D92FB" w:rsidR="43F86435">
        <w:rPr>
          <w:rFonts w:ascii="Calibri" w:hAnsi="Calibri" w:eastAsia="Calibri" w:cs="Calibri"/>
        </w:rPr>
        <w:t>expertise</w:t>
      </w:r>
      <w:r w:rsidRPr="217D92FB" w:rsidR="43F86435">
        <w:rPr>
          <w:rFonts w:ascii="Calibri" w:hAnsi="Calibri" w:eastAsia="Calibri" w:cs="Calibri"/>
        </w:rPr>
        <w:t xml:space="preserve"> is scarce and costly, limiting investigative capacity and strategic resilience (</w:t>
      </w:r>
      <w:r w:rsidRPr="217D92FB" w:rsidR="43F86435">
        <w:rPr>
          <w:rFonts w:ascii="Calibri" w:hAnsi="Calibri" w:eastAsia="Calibri" w:cs="Calibri"/>
        </w:rPr>
        <w:t>Akeriber</w:t>
      </w:r>
      <w:r w:rsidRPr="217D92FB" w:rsidR="43F86435">
        <w:rPr>
          <w:rFonts w:ascii="Calibri" w:hAnsi="Calibri" w:eastAsia="Calibri" w:cs="Calibri"/>
        </w:rPr>
        <w:t>, 2025; Dawda,2021)</w:t>
      </w:r>
    </w:p>
    <w:p xmlns:wp14="http://schemas.microsoft.com/office/word/2010/wordml" w:rsidP="217D92FB" wp14:paraId="6500FC92" wp14:textId="3F97EAB4">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Encryption and anonymisation technologies pose particularly acute challenges. While essential for privacy and security, these technologies significantly impede attribution, evidence recovery, and prosecution, especially in ransomware and organised cybercrime cases (O'Kane, 2018; Ramalho, 2024). As a result, policing increasingly relies on disruption rather than prosecution, raising questions about long-term deterrence. </w:t>
      </w:r>
    </w:p>
    <w:p xmlns:wp14="http://schemas.microsoft.com/office/word/2010/wordml" w:rsidP="217D92FB" wp14:paraId="4AC623A4" wp14:textId="6EB3C4FA">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 xml:space="preserve">The underreporting of cybercrime further undermines effectiveness. Victim particularity </w:t>
      </w:r>
      <w:r w:rsidRPr="0918BD82" w:rsidR="6D1AC996">
        <w:rPr>
          <w:rFonts w:ascii="Calibri" w:hAnsi="Calibri" w:eastAsia="Calibri" w:cs="Calibri"/>
        </w:rPr>
        <w:t>organisation</w:t>
      </w:r>
      <w:r w:rsidRPr="0918BD82" w:rsidR="43F86435">
        <w:rPr>
          <w:rFonts w:ascii="Calibri" w:hAnsi="Calibri" w:eastAsia="Calibri" w:cs="Calibri"/>
        </w:rPr>
        <w:t xml:space="preserve">, may avoid reporting incidence due to </w:t>
      </w:r>
      <w:r w:rsidRPr="0918BD82" w:rsidR="51D0F0DB">
        <w:rPr>
          <w:rFonts w:ascii="Calibri" w:hAnsi="Calibri" w:eastAsia="Calibri" w:cs="Calibri"/>
        </w:rPr>
        <w:t>rational</w:t>
      </w:r>
      <w:r w:rsidRPr="0918BD82" w:rsidR="43F86435">
        <w:rPr>
          <w:rFonts w:ascii="Calibri" w:hAnsi="Calibri" w:eastAsia="Calibri" w:cs="Calibri"/>
        </w:rPr>
        <w:t xml:space="preserve"> concerns or lack of police capacity, resulting in complete intelligence and distorted threat assessment (House of Common and House of Lords,2023) Finally, fragmentation between agonies and sectors limits </w:t>
      </w:r>
      <w:r w:rsidRPr="0918BD82" w:rsidR="5E090E2D">
        <w:rPr>
          <w:rFonts w:ascii="Calibri" w:hAnsi="Calibri" w:eastAsia="Calibri" w:cs="Calibri"/>
        </w:rPr>
        <w:t>coordination</w:t>
      </w:r>
      <w:r w:rsidRPr="0918BD82" w:rsidR="43F86435">
        <w:rPr>
          <w:rFonts w:ascii="Calibri" w:hAnsi="Calibri" w:eastAsia="Calibri" w:cs="Calibri"/>
        </w:rPr>
        <w:t xml:space="preserve">, with inconsistent information sharing and overlapping responsibilities reducing </w:t>
      </w:r>
      <w:r w:rsidRPr="0918BD82" w:rsidR="51AECBC9">
        <w:rPr>
          <w:rFonts w:ascii="Calibri" w:hAnsi="Calibri" w:eastAsia="Calibri" w:cs="Calibri"/>
        </w:rPr>
        <w:t>operational</w:t>
      </w:r>
      <w:r w:rsidRPr="0918BD82" w:rsidR="43F86435">
        <w:rPr>
          <w:rFonts w:ascii="Calibri" w:hAnsi="Calibri" w:eastAsia="Calibri" w:cs="Calibri"/>
        </w:rPr>
        <w:t xml:space="preserve"> coherence (Foreign, Commonwealth &amp; Development Office and Foreign &amp; Commonwealth Office 2021).</w:t>
      </w:r>
    </w:p>
    <w:p xmlns:wp14="http://schemas.microsoft.com/office/word/2010/wordml" w:rsidP="217D92FB" wp14:paraId="04B37419" wp14:textId="42A44791">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 xml:space="preserve">Addressing the systemic barriers </w:t>
      </w:r>
      <w:r w:rsidRPr="0918BD82" w:rsidR="43F86435">
        <w:rPr>
          <w:rFonts w:ascii="Calibri" w:hAnsi="Calibri" w:eastAsia="Calibri" w:cs="Calibri"/>
        </w:rPr>
        <w:t>identified</w:t>
      </w:r>
      <w:r w:rsidRPr="0918BD82" w:rsidR="43F86435">
        <w:rPr>
          <w:rFonts w:ascii="Calibri" w:hAnsi="Calibri" w:eastAsia="Calibri" w:cs="Calibri"/>
        </w:rPr>
        <w:t xml:space="preserve"> requires targeted, evidence-based innovation rather than reliance on traditional enforcement models. One key area is the expanded use of </w:t>
      </w:r>
      <w:r w:rsidRPr="0918BD82" w:rsidR="3555428F">
        <w:rPr>
          <w:rFonts w:ascii="Calibri" w:hAnsi="Calibri" w:eastAsia="Calibri" w:cs="Calibri"/>
        </w:rPr>
        <w:t>artificial intelligence</w:t>
      </w:r>
      <w:r w:rsidRPr="0918BD82" w:rsidR="43F86435">
        <w:rPr>
          <w:rFonts w:ascii="Calibri" w:hAnsi="Calibri" w:eastAsia="Calibri" w:cs="Calibri"/>
        </w:rPr>
        <w:t xml:space="preserve"> and automation in digital forensics, which has the potential to mitigate skills shortages, investigative backlog, and data volume challenges. Learning tools can </w:t>
      </w:r>
      <w:r w:rsidRPr="0918BD82" w:rsidR="43F86435">
        <w:rPr>
          <w:rFonts w:ascii="Calibri" w:hAnsi="Calibri" w:eastAsia="Calibri" w:cs="Calibri"/>
        </w:rPr>
        <w:t>ai</w:t>
      </w:r>
      <w:r w:rsidRPr="0918BD82" w:rsidR="43F86435">
        <w:rPr>
          <w:rFonts w:ascii="Calibri" w:hAnsi="Calibri" w:eastAsia="Calibri" w:cs="Calibri"/>
        </w:rPr>
        <w:t xml:space="preserve">d in triaging large datasets, </w:t>
      </w:r>
      <w:r w:rsidRPr="0918BD82" w:rsidR="43F86435">
        <w:rPr>
          <w:rFonts w:ascii="Calibri" w:hAnsi="Calibri" w:eastAsia="Calibri" w:cs="Calibri"/>
        </w:rPr>
        <w:t>identifying</w:t>
      </w:r>
      <w:r w:rsidRPr="0918BD82" w:rsidR="43F86435">
        <w:rPr>
          <w:rFonts w:ascii="Calibri" w:hAnsi="Calibri" w:eastAsia="Calibri" w:cs="Calibri"/>
        </w:rPr>
        <w:t xml:space="preserve"> anomalies, and accelerating malware analysis, thereby enhancing efficiency without supplanting human judgment (</w:t>
      </w:r>
      <w:r w:rsidRPr="0918BD82" w:rsidR="43F86435">
        <w:rPr>
          <w:rFonts w:ascii="Calibri" w:hAnsi="Calibri" w:eastAsia="Calibri" w:cs="Calibri"/>
        </w:rPr>
        <w:t>Akeiber</w:t>
      </w:r>
      <w:r w:rsidRPr="0918BD82" w:rsidR="43F86435">
        <w:rPr>
          <w:rFonts w:ascii="Calibri" w:hAnsi="Calibri" w:eastAsia="Calibri" w:cs="Calibri"/>
        </w:rPr>
        <w:t>, 2025). However, reliance on automated tools r</w:t>
      </w:r>
      <w:r w:rsidRPr="0918BD82" w:rsidR="43F86435">
        <w:rPr>
          <w:rFonts w:ascii="Calibri" w:hAnsi="Calibri" w:eastAsia="Calibri" w:cs="Calibri"/>
        </w:rPr>
        <w:t>ai</w:t>
      </w:r>
      <w:r w:rsidRPr="0918BD82" w:rsidR="43F86435">
        <w:rPr>
          <w:rFonts w:ascii="Calibri" w:hAnsi="Calibri" w:eastAsia="Calibri" w:cs="Calibri"/>
        </w:rPr>
        <w:t xml:space="preserve">ses concerns </w:t>
      </w:r>
      <w:r w:rsidRPr="0918BD82" w:rsidR="43F86435">
        <w:rPr>
          <w:rFonts w:ascii="Calibri" w:hAnsi="Calibri" w:eastAsia="Calibri" w:cs="Calibri"/>
        </w:rPr>
        <w:t>regarding</w:t>
      </w:r>
      <w:r w:rsidRPr="0918BD82" w:rsidR="43F86435">
        <w:rPr>
          <w:rFonts w:ascii="Calibri" w:hAnsi="Calibri" w:eastAsia="Calibri" w:cs="Calibri"/>
        </w:rPr>
        <w:t xml:space="preserve"> transparency, bias and evidential admissibility, </w:t>
      </w:r>
      <w:r w:rsidRPr="0918BD82" w:rsidR="43F86435">
        <w:rPr>
          <w:rFonts w:ascii="Calibri" w:hAnsi="Calibri" w:eastAsia="Calibri" w:cs="Calibri"/>
        </w:rPr>
        <w:t>necessitating</w:t>
      </w:r>
      <w:r w:rsidRPr="0918BD82" w:rsidR="43F86435">
        <w:rPr>
          <w:rFonts w:ascii="Calibri" w:hAnsi="Calibri" w:eastAsia="Calibri" w:cs="Calibri"/>
        </w:rPr>
        <w:t xml:space="preserve"> robust validation and human oversight.</w:t>
      </w:r>
    </w:p>
    <w:p xmlns:wp14="http://schemas.microsoft.com/office/word/2010/wordml" w:rsidP="217D92FB" wp14:paraId="34DC61D8" wp14:textId="611728CB">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The adoption of intelligence-led policing models tailored to cybercrime offers further improvement by prioritising threats, actors, infrastructure, and harm over volume-based case handling. Cyber threat intelligence enables proactive disruption and resource prioritisation; its effectiveness depends on the quality of intelligence and interagency coordination (</w:t>
      </w:r>
      <w:r w:rsidRPr="217D92FB" w:rsidR="43F86435">
        <w:rPr>
          <w:rFonts w:ascii="Calibri" w:hAnsi="Calibri" w:eastAsia="Calibri" w:cs="Calibri"/>
        </w:rPr>
        <w:t>Cascavila</w:t>
      </w:r>
      <w:r w:rsidRPr="217D92FB" w:rsidR="43F86435">
        <w:rPr>
          <w:rFonts w:ascii="Calibri" w:hAnsi="Calibri" w:eastAsia="Calibri" w:cs="Calibri"/>
        </w:rPr>
        <w:t>, 2021). This approach must therefore be supported by mechanisms to manage information overload and assess the reliability of intelligence.</w:t>
      </w:r>
    </w:p>
    <w:p xmlns:wp14="http://schemas.microsoft.com/office/word/2010/wordml" w:rsidP="217D92FB" wp14:paraId="7AECA8CF" wp14:textId="47B8318F">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An enhanced regulatory framework mandating breach reporting and cooperation can reduce underreporting and improve situational awareness. Parliamentary evidence suggests that clearer legal obligations would strengthen national resilience and victim protection, though excessive regulatory burden risk discouraging </w:t>
      </w:r>
      <w:r w:rsidRPr="217D92FB" w:rsidR="43F86435">
        <w:rPr>
          <w:rFonts w:ascii="Calibri" w:hAnsi="Calibri" w:eastAsia="Calibri" w:cs="Calibri"/>
        </w:rPr>
        <w:t>compliance( House</w:t>
      </w:r>
      <w:r w:rsidRPr="217D92FB" w:rsidR="43F86435">
        <w:rPr>
          <w:rFonts w:ascii="Calibri" w:hAnsi="Calibri" w:eastAsia="Calibri" w:cs="Calibri"/>
        </w:rPr>
        <w:t xml:space="preserve"> of Commons and House of Lords, 2023)</w:t>
      </w:r>
    </w:p>
    <w:p xmlns:wp14="http://schemas.microsoft.com/office/word/2010/wordml" w:rsidP="217D92FB" wp14:paraId="4A978385" wp14:textId="03A89124">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Sustained investment in specialist cyber units and training is also critical to addressing capacity and skill gaps. Without long-term funding and career pathways, technological advances risk outpacing police capabilities (Dawda, 2021). Complementing this, embedding private sector analysts within policing teams can enhance technical </w:t>
      </w:r>
      <w:r w:rsidRPr="217D92FB" w:rsidR="43F86435">
        <w:rPr>
          <w:rFonts w:ascii="Calibri" w:hAnsi="Calibri" w:eastAsia="Calibri" w:cs="Calibri"/>
        </w:rPr>
        <w:t>expertise</w:t>
      </w:r>
      <w:r w:rsidRPr="217D92FB" w:rsidR="43F86435">
        <w:rPr>
          <w:rFonts w:ascii="Calibri" w:hAnsi="Calibri" w:eastAsia="Calibri" w:cs="Calibri"/>
        </w:rPr>
        <w:t xml:space="preserve"> and knowledge transfer, although governance safeguards are </w:t>
      </w:r>
      <w:r w:rsidRPr="217D92FB" w:rsidR="43F86435">
        <w:rPr>
          <w:rFonts w:ascii="Calibri" w:hAnsi="Calibri" w:eastAsia="Calibri" w:cs="Calibri"/>
        </w:rPr>
        <w:t>required</w:t>
      </w:r>
      <w:r w:rsidRPr="217D92FB" w:rsidR="43F86435">
        <w:rPr>
          <w:rFonts w:ascii="Calibri" w:hAnsi="Calibri" w:eastAsia="Calibri" w:cs="Calibri"/>
        </w:rPr>
        <w:t xml:space="preserve"> to manage conflicts of interest and ensure accountability. (Foreign, Commonwealth &amp; Development Office and Foreign &amp; Commonwealth Office 2021).</w:t>
      </w:r>
    </w:p>
    <w:p xmlns:wp14="http://schemas.microsoft.com/office/word/2010/wordml" w:rsidP="217D92FB" wp14:paraId="39B3049E" wp14:textId="7C7ADAE4">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Victim-focused harm reduction strategies, including early notification, guidance, and support, should be embedded within cybercrime responses. Given the limited feasibility of prosecution in many cases, reducing secondary harm </w:t>
      </w:r>
      <w:r w:rsidRPr="217D92FB" w:rsidR="43F86435">
        <w:rPr>
          <w:rFonts w:ascii="Calibri" w:hAnsi="Calibri" w:eastAsia="Calibri" w:cs="Calibri"/>
        </w:rPr>
        <w:t>represents</w:t>
      </w:r>
      <w:r w:rsidRPr="217D92FB" w:rsidR="43F86435">
        <w:rPr>
          <w:rFonts w:ascii="Calibri" w:hAnsi="Calibri" w:eastAsia="Calibri" w:cs="Calibri"/>
        </w:rPr>
        <w:t xml:space="preserve"> a more realised and ethically grounded measure of effectiveness (Scotland, 2025). Collectively, these measures </w:t>
      </w:r>
      <w:r w:rsidRPr="217D92FB" w:rsidR="43F86435">
        <w:rPr>
          <w:rFonts w:ascii="Calibri" w:hAnsi="Calibri" w:eastAsia="Calibri" w:cs="Calibri"/>
        </w:rPr>
        <w:t>demonstrate</w:t>
      </w:r>
      <w:r w:rsidRPr="217D92FB" w:rsidR="43F86435">
        <w:rPr>
          <w:rFonts w:ascii="Calibri" w:hAnsi="Calibri" w:eastAsia="Calibri" w:cs="Calibri"/>
        </w:rPr>
        <w:t xml:space="preserve"> that improving cybercrime policing requires integrated reform across technology governance and victim support rather than reliance on any single solution (Scotland, 2025)</w:t>
      </w:r>
    </w:p>
    <w:p xmlns:wp14="http://schemas.microsoft.com/office/word/2010/wordml" w:rsidP="217D92FB" wp14:paraId="0E42EF06" wp14:textId="3AA35FC5">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 xml:space="preserve">This report critically evaluates the effectiveness of policing strategies, tools, and responses to cybercrime, focusing on digital forensics, threat intelligence, and public-private partnerships across ransomware, data breaches, and cyber-enabled fraud. The analysis </w:t>
      </w:r>
      <w:r w:rsidRPr="217D92FB" w:rsidR="43F86435">
        <w:rPr>
          <w:rFonts w:ascii="Calibri" w:hAnsi="Calibri" w:eastAsia="Calibri" w:cs="Calibri"/>
        </w:rPr>
        <w:t>demonstrates</w:t>
      </w:r>
      <w:r w:rsidRPr="217D92FB" w:rsidR="43F86435">
        <w:rPr>
          <w:rFonts w:ascii="Calibri" w:hAnsi="Calibri" w:eastAsia="Calibri" w:cs="Calibri"/>
        </w:rPr>
        <w:t xml:space="preserve"> that while UK cybercrime policing has developed significant technical and strategic capabilities, overall effectiveness </w:t>
      </w:r>
      <w:r w:rsidRPr="217D92FB" w:rsidR="43F86435">
        <w:rPr>
          <w:rFonts w:ascii="Calibri" w:hAnsi="Calibri" w:eastAsia="Calibri" w:cs="Calibri"/>
        </w:rPr>
        <w:t>remains</w:t>
      </w:r>
      <w:r w:rsidRPr="217D92FB" w:rsidR="43F86435">
        <w:rPr>
          <w:rFonts w:ascii="Calibri" w:hAnsi="Calibri" w:eastAsia="Calibri" w:cs="Calibri"/>
        </w:rPr>
        <w:t xml:space="preserve"> uneven and constrained by structural barriers (Johnson and Post, 1997). Detection and disruption capabilities have improved partly through intelligence-led approaches and cooperation with private actors; yet, attribution and prosecution outcomes </w:t>
      </w:r>
      <w:r w:rsidRPr="217D92FB" w:rsidR="43F86435">
        <w:rPr>
          <w:rFonts w:ascii="Calibri" w:hAnsi="Calibri" w:eastAsia="Calibri" w:cs="Calibri"/>
        </w:rPr>
        <w:t>remain</w:t>
      </w:r>
      <w:r w:rsidRPr="217D92FB" w:rsidR="43F86435">
        <w:rPr>
          <w:rFonts w:ascii="Calibri" w:hAnsi="Calibri" w:eastAsia="Calibri" w:cs="Calibri"/>
        </w:rPr>
        <w:t xml:space="preserve"> limited due to encryption, anonymisation, and cross-border jurisdictional challenges (Johnson and Post, 1997; House of Commons and House of Lords, 2023).</w:t>
      </w:r>
    </w:p>
    <w:p xmlns:wp14="http://schemas.microsoft.com/office/word/2010/wordml" w:rsidP="217D92FB" wp14:paraId="0C41D90B" wp14:textId="0790AC8B">
      <w:pPr>
        <w:pStyle w:val="Normal"/>
        <w:spacing w:after="0" w:afterAutospacing="off" w:line="360" w:lineRule="auto"/>
        <w:ind w:firstLine="720"/>
        <w:jc w:val="both"/>
        <w:rPr>
          <w:rFonts w:ascii="Calibri" w:hAnsi="Calibri" w:eastAsia="Calibri" w:cs="Calibri"/>
        </w:rPr>
      </w:pPr>
      <w:r w:rsidRPr="217D92FB" w:rsidR="43F86435">
        <w:rPr>
          <w:rFonts w:ascii="Calibri" w:hAnsi="Calibri" w:eastAsia="Calibri" w:cs="Calibri"/>
        </w:rPr>
        <w:t>The findings highlight that effectiveness in cybercrime policing cannot be measured solely through traditional enforcement outcomes. Instead, harm reduction, investigative efficiency, victim protection, and adaptability are equally critical indicators. Digital forensics provides evidential robustness and courtroom reliability, but its impact is diminished by data volume, cloud environments, and skills shortages (</w:t>
      </w:r>
      <w:r w:rsidRPr="217D92FB" w:rsidR="43F86435">
        <w:rPr>
          <w:rFonts w:ascii="Calibri" w:hAnsi="Calibri" w:eastAsia="Calibri" w:cs="Calibri"/>
        </w:rPr>
        <w:t>Akeiber</w:t>
      </w:r>
      <w:r w:rsidRPr="217D92FB" w:rsidR="43F86435">
        <w:rPr>
          <w:rFonts w:ascii="Calibri" w:hAnsi="Calibri" w:eastAsia="Calibri" w:cs="Calibri"/>
        </w:rPr>
        <w:t xml:space="preserve">, 2025). Threat intelligence enhances early detection and disruption, yet suffers from information overload and inconsistent sharing, while public-private partnerships offer access to essential </w:t>
      </w:r>
      <w:r w:rsidRPr="217D92FB" w:rsidR="43F86435">
        <w:rPr>
          <w:rFonts w:ascii="Calibri" w:hAnsi="Calibri" w:eastAsia="Calibri" w:cs="Calibri"/>
        </w:rPr>
        <w:t>expertise</w:t>
      </w:r>
      <w:r w:rsidRPr="217D92FB" w:rsidR="43F86435">
        <w:rPr>
          <w:rFonts w:ascii="Calibri" w:hAnsi="Calibri" w:eastAsia="Calibri" w:cs="Calibri"/>
        </w:rPr>
        <w:t xml:space="preserve"> and infrastructure but are constrained by legal, commercial, and power asymmetries (</w:t>
      </w:r>
      <w:r w:rsidRPr="217D92FB" w:rsidR="43F86435">
        <w:rPr>
          <w:rFonts w:ascii="Calibri" w:hAnsi="Calibri" w:eastAsia="Calibri" w:cs="Calibri"/>
        </w:rPr>
        <w:t>Cascavilla</w:t>
      </w:r>
      <w:r w:rsidRPr="217D92FB" w:rsidR="43F86435">
        <w:rPr>
          <w:rFonts w:ascii="Calibri" w:hAnsi="Calibri" w:eastAsia="Calibri" w:cs="Calibri"/>
        </w:rPr>
        <w:t>, 2021; Foreign, Commonwealth &amp; Development Office and Foreign &amp; Commonwealth Office, 2021).</w:t>
      </w:r>
    </w:p>
    <w:p xmlns:wp14="http://schemas.microsoft.com/office/word/2010/wordml" w:rsidP="217D92FB" wp14:paraId="4BF68805" wp14:textId="42D48F52">
      <w:pPr>
        <w:pStyle w:val="Normal"/>
        <w:spacing w:after="0" w:afterAutospacing="off" w:line="360" w:lineRule="auto"/>
        <w:ind w:firstLine="720"/>
        <w:jc w:val="both"/>
        <w:rPr>
          <w:rFonts w:ascii="Calibri" w:hAnsi="Calibri" w:eastAsia="Calibri" w:cs="Calibri"/>
        </w:rPr>
      </w:pPr>
      <w:r w:rsidRPr="0918BD82" w:rsidR="43F86435">
        <w:rPr>
          <w:rFonts w:ascii="Calibri" w:hAnsi="Calibri" w:eastAsia="Calibri" w:cs="Calibri"/>
        </w:rPr>
        <w:t xml:space="preserve">The report reinforces the importance of integrated approaches that balance informant, </w:t>
      </w:r>
      <w:r w:rsidRPr="0918BD82" w:rsidR="43F86435">
        <w:rPr>
          <w:rFonts w:ascii="Calibri" w:hAnsi="Calibri" w:eastAsia="Calibri" w:cs="Calibri"/>
        </w:rPr>
        <w:t>prevention</w:t>
      </w:r>
      <w:r w:rsidRPr="0918BD82" w:rsidR="43F86435">
        <w:rPr>
          <w:rFonts w:ascii="Calibri" w:hAnsi="Calibri" w:eastAsia="Calibri" w:cs="Calibri"/>
        </w:rPr>
        <w:t xml:space="preserve"> and partnership. No single tool or strategy is sufficient in isolation (Cascavilla,2021). The proposed innovations, including </w:t>
      </w:r>
      <w:r w:rsidRPr="0918BD82" w:rsidR="6D431BED">
        <w:rPr>
          <w:rFonts w:ascii="Calibri" w:hAnsi="Calibri" w:eastAsia="Calibri" w:cs="Calibri"/>
        </w:rPr>
        <w:t xml:space="preserve">artificial intelligence </w:t>
      </w:r>
      <w:r w:rsidRPr="0918BD82" w:rsidR="43F86435">
        <w:rPr>
          <w:rFonts w:ascii="Calibri" w:hAnsi="Calibri" w:eastAsia="Calibri" w:cs="Calibri"/>
        </w:rPr>
        <w:t>supported forensics, standardised data sharing frameworks, intelligence-led cyber policing models, enhanced regulation, sust</w:t>
      </w:r>
      <w:r w:rsidRPr="0918BD82" w:rsidR="43F86435">
        <w:rPr>
          <w:rFonts w:ascii="Calibri" w:hAnsi="Calibri" w:eastAsia="Calibri" w:cs="Calibri"/>
        </w:rPr>
        <w:t>ai</w:t>
      </w:r>
      <w:r w:rsidRPr="0918BD82" w:rsidR="43F86435">
        <w:rPr>
          <w:rFonts w:ascii="Calibri" w:hAnsi="Calibri" w:eastAsia="Calibri" w:cs="Calibri"/>
        </w:rPr>
        <w:t>ned investment in specialist units and victim-centred harm reduction, offer realistic evidence-based pathways to improvement. Critically, their values lie not as cure-alls but as complementary measures capable of strengthening resilience, reducing harm, and improving strategic effectiveness in an increasingly complex cyber threat landscape (</w:t>
      </w:r>
      <w:r w:rsidRPr="0918BD82" w:rsidR="43F86435">
        <w:rPr>
          <w:rFonts w:ascii="Calibri" w:hAnsi="Calibri" w:eastAsia="Calibri" w:cs="Calibri"/>
        </w:rPr>
        <w:t>Akeiber</w:t>
      </w:r>
      <w:r w:rsidRPr="0918BD82" w:rsidR="43F86435">
        <w:rPr>
          <w:rFonts w:ascii="Calibri" w:hAnsi="Calibri" w:eastAsia="Calibri" w:cs="Calibri"/>
        </w:rPr>
        <w:t>, 2025).</w:t>
      </w:r>
    </w:p>
    <w:p xmlns:wp14="http://schemas.microsoft.com/office/word/2010/wordml" w:rsidP="217D92FB" wp14:paraId="418103B1" wp14:textId="36B66655">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2A173925" wp14:textId="719640F4">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6E009446" wp14:textId="67B0CF18">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42CD96BA" wp14:textId="6968CF2C">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59050791" wp14:textId="38B2EEBB">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6A6A10AC" wp14:textId="0B9271AE">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034CA0AA" wp14:textId="52872820">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03071AD1" wp14:textId="79A0C9AA">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24DB16F5" wp14:textId="54208338">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6CE4EAB6" wp14:textId="34FB656B">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392D45BD" wp14:textId="7B2E3299">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51EC6DC6" wp14:textId="30102D64">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537A5ECD" wp14:textId="01F18036">
      <w:pPr>
        <w:pStyle w:val="Normal"/>
        <w:spacing w:after="240" w:afterAutospacing="off"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5B0413CD" wp14:textId="08C890C3">
      <w:pPr>
        <w:pStyle w:val="Normal"/>
        <w:spacing w:line="360" w:lineRule="auto"/>
        <w:jc w:val="both"/>
        <w:rPr>
          <w:rFonts w:ascii="Calibri" w:hAnsi="Calibri" w:eastAsia="Calibri" w:cs="Calibri"/>
        </w:rPr>
      </w:pPr>
      <w:r w:rsidRPr="217D92FB" w:rsidR="43F86435">
        <w:rPr>
          <w:rFonts w:ascii="Calibri" w:hAnsi="Calibri" w:eastAsia="Calibri" w:cs="Calibri"/>
        </w:rPr>
        <w:t xml:space="preserve"> </w:t>
      </w:r>
    </w:p>
    <w:p xmlns:wp14="http://schemas.microsoft.com/office/word/2010/wordml" w:rsidP="217D92FB" wp14:paraId="58AA358C" wp14:textId="59CB434F">
      <w:pPr>
        <w:pStyle w:val="Normal"/>
        <w:spacing w:line="360" w:lineRule="auto"/>
        <w:jc w:val="both"/>
        <w:rPr>
          <w:rFonts w:ascii="Calibri" w:hAnsi="Calibri" w:eastAsia="Calibri" w:cs="Calibri"/>
          <w:b w:val="1"/>
          <w:bCs w:val="1"/>
        </w:rPr>
      </w:pPr>
    </w:p>
    <w:p xmlns:wp14="http://schemas.microsoft.com/office/word/2010/wordml" w:rsidP="217D92FB" wp14:paraId="4914F23F" wp14:textId="41162F84">
      <w:pPr>
        <w:pStyle w:val="Normal"/>
        <w:spacing w:line="360" w:lineRule="auto"/>
        <w:jc w:val="both"/>
        <w:rPr>
          <w:rFonts w:ascii="Calibri" w:hAnsi="Calibri" w:eastAsia="Calibri" w:cs="Calibri"/>
          <w:b w:val="1"/>
          <w:bCs w:val="1"/>
        </w:rPr>
      </w:pPr>
      <w:r w:rsidRPr="0918BD82" w:rsidR="10FFDFD4">
        <w:rPr>
          <w:rFonts w:ascii="Calibri" w:hAnsi="Calibri" w:eastAsia="Calibri" w:cs="Calibri"/>
          <w:b w:val="1"/>
          <w:bCs w:val="1"/>
        </w:rPr>
        <w:t>Reference</w:t>
      </w:r>
      <w:r w:rsidRPr="0918BD82" w:rsidR="43F86435">
        <w:rPr>
          <w:rFonts w:ascii="Calibri" w:hAnsi="Calibri" w:eastAsia="Calibri" w:cs="Calibri"/>
          <w:b w:val="1"/>
          <w:bCs w:val="1"/>
        </w:rPr>
        <w:t xml:space="preserve"> </w:t>
      </w:r>
    </w:p>
    <w:p xmlns:wp14="http://schemas.microsoft.com/office/word/2010/wordml" w:rsidP="217D92FB" wp14:paraId="6968BB1D" wp14:textId="4716EEE3">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Akeiber</w:t>
      </w:r>
      <w:r w:rsidRPr="0918BD82" w:rsidR="79986E1E">
        <w:rPr>
          <w:rFonts w:ascii="Calibri" w:hAnsi="Calibri" w:eastAsia="Calibri" w:cs="Calibri"/>
          <w:noProof w:val="0"/>
          <w:sz w:val="24"/>
          <w:szCs w:val="24"/>
          <w:lang w:val="en-GB"/>
        </w:rPr>
        <w:t>, H.J. (2025)</w:t>
      </w:r>
      <w:r w:rsidRPr="0918BD82" w:rsidR="4C271CAC">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A comprehensive study of cybercrime and digital forensics through machine learning and AI</w:t>
      </w:r>
      <w:r w:rsidRPr="0918BD82" w:rsidR="79986E1E">
        <w:rPr>
          <w:rFonts w:ascii="Calibri" w:hAnsi="Calibri" w:eastAsia="Calibri" w:cs="Calibri"/>
          <w:noProof w:val="0"/>
          <w:sz w:val="24"/>
          <w:szCs w:val="24"/>
          <w:lang w:val="en-GB"/>
        </w:rPr>
        <w:t xml:space="preserve">. Available at: </w:t>
      </w:r>
      <w:hyperlink r:id="Rd5f007ca3c8e48ab">
        <w:r w:rsidRPr="0918BD82" w:rsidR="79986E1E">
          <w:rPr>
            <w:rStyle w:val="Hyperlink"/>
            <w:rFonts w:ascii="Calibri" w:hAnsi="Calibri" w:eastAsia="Calibri" w:cs="Calibri"/>
            <w:noProof w:val="0"/>
            <w:sz w:val="24"/>
            <w:szCs w:val="24"/>
            <w:lang w:val="en-GB"/>
          </w:rPr>
          <w:t>https://rjes.iq/index.php/rjes/article/view/168/144</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7486A36C" wp14:textId="6C19EB4B">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Cascavilla</w:t>
      </w:r>
      <w:r w:rsidRPr="0918BD82" w:rsidR="79986E1E">
        <w:rPr>
          <w:rFonts w:ascii="Calibri" w:hAnsi="Calibri" w:eastAsia="Calibri" w:cs="Calibri"/>
          <w:noProof w:val="0"/>
          <w:sz w:val="24"/>
          <w:szCs w:val="24"/>
          <w:lang w:val="en-GB"/>
        </w:rPr>
        <w:t>, G., Tamburri, D. and Heuvel, W.J.</w:t>
      </w:r>
      <w:r w:rsidRPr="0918BD82" w:rsidR="6CB95292">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(2021)</w:t>
      </w:r>
      <w:r w:rsidRPr="0918BD82" w:rsidR="7D8D10BF">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Cybercrime Threat Intelligence: A systematic Multi-vocal Literature review</w:t>
      </w:r>
      <w:r w:rsidRPr="0918BD82" w:rsidR="79986E1E">
        <w:rPr>
          <w:rFonts w:ascii="Calibri" w:hAnsi="Calibri" w:eastAsia="Calibri" w:cs="Calibri"/>
          <w:noProof w:val="0"/>
          <w:sz w:val="24"/>
          <w:szCs w:val="24"/>
          <w:lang w:val="en-GB"/>
        </w:rPr>
        <w:t xml:space="preserve">, ScienceDirect. Available at: </w:t>
      </w:r>
      <w:hyperlink r:id="Rdd4b537b41a84ad8">
        <w:r w:rsidRPr="0918BD82" w:rsidR="79986E1E">
          <w:rPr>
            <w:rStyle w:val="Hyperlink"/>
            <w:rFonts w:ascii="Calibri" w:hAnsi="Calibri" w:eastAsia="Calibri" w:cs="Calibri"/>
            <w:noProof w:val="0"/>
            <w:sz w:val="24"/>
            <w:szCs w:val="24"/>
            <w:lang w:val="en-GB"/>
          </w:rPr>
          <w:t>https://doi.org/10.1016/j.cose.2021.102258</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20733073" wp14:textId="6D43C820">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Cascavilla</w:t>
      </w:r>
      <w:r w:rsidRPr="0918BD82" w:rsidR="79986E1E">
        <w:rPr>
          <w:rFonts w:ascii="Calibri" w:hAnsi="Calibri" w:eastAsia="Calibri" w:cs="Calibri"/>
          <w:noProof w:val="0"/>
          <w:sz w:val="24"/>
          <w:szCs w:val="24"/>
          <w:lang w:val="en-GB"/>
        </w:rPr>
        <w:t>, G., Tamburri, D.A. and Van Den Heuvel, W.J.</w:t>
      </w:r>
      <w:r w:rsidRPr="0918BD82" w:rsidR="22808D10">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(2021</w:t>
      </w:r>
      <w:r w:rsidRPr="0918BD82" w:rsidR="7E8D9D9B">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Cybercrime Threat Intelligence: A Systematic Multivocal Literature Review</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Computers &amp; Security</w:t>
      </w:r>
      <w:r w:rsidRPr="0918BD82" w:rsidR="79986E1E">
        <w:rPr>
          <w:rFonts w:ascii="Calibri" w:hAnsi="Calibri" w:eastAsia="Calibri" w:cs="Calibri"/>
          <w:noProof w:val="0"/>
          <w:sz w:val="24"/>
          <w:szCs w:val="24"/>
          <w:lang w:val="en-GB"/>
        </w:rPr>
        <w:t xml:space="preserve">, 105(1), p.102258. </w:t>
      </w:r>
      <w:r w:rsidRPr="0918BD82" w:rsidR="79986E1E">
        <w:rPr>
          <w:rFonts w:ascii="Calibri" w:hAnsi="Calibri" w:eastAsia="Calibri" w:cs="Calibri"/>
          <w:noProof w:val="0"/>
          <w:sz w:val="24"/>
          <w:szCs w:val="24"/>
          <w:lang w:val="en-GB"/>
        </w:rPr>
        <w:t>doi</w:t>
      </w:r>
      <w:r w:rsidRPr="0918BD82" w:rsidR="79986E1E">
        <w:rPr>
          <w:rFonts w:ascii="Calibri" w:hAnsi="Calibri" w:eastAsia="Calibri" w:cs="Calibri"/>
          <w:noProof w:val="0"/>
          <w:sz w:val="24"/>
          <w:szCs w:val="24"/>
          <w:lang w:val="en-GB"/>
        </w:rPr>
        <w:t xml:space="preserve">: </w:t>
      </w:r>
      <w:hyperlink r:id="R2225f8152cf4431b">
        <w:r w:rsidRPr="0918BD82" w:rsidR="79986E1E">
          <w:rPr>
            <w:rStyle w:val="Hyperlink"/>
            <w:rFonts w:ascii="Calibri" w:hAnsi="Calibri" w:eastAsia="Calibri" w:cs="Calibri"/>
            <w:noProof w:val="0"/>
            <w:sz w:val="24"/>
            <w:szCs w:val="24"/>
            <w:lang w:val="en-GB"/>
          </w:rPr>
          <w:t>https://doi.org/10.1016/j.cose.2021.102258</w:t>
        </w:r>
      </w:hyperlink>
      <w:r w:rsidRPr="0918BD82" w:rsidR="79986E1E">
        <w:rPr>
          <w:rFonts w:ascii="Calibri" w:hAnsi="Calibri" w:eastAsia="Calibri" w:cs="Calibri"/>
          <w:noProof w:val="0"/>
          <w:sz w:val="24"/>
          <w:szCs w:val="24"/>
          <w:lang w:val="en-GB"/>
        </w:rPr>
        <w:t>.</w:t>
      </w:r>
    </w:p>
    <w:p xmlns:wp14="http://schemas.microsoft.com/office/word/2010/wordml" w:rsidP="217D92FB" wp14:paraId="4B6FD08A" wp14:textId="16469260">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 xml:space="preserve">Dawda, S., </w:t>
      </w:r>
      <w:r w:rsidRPr="0918BD82" w:rsidR="79986E1E">
        <w:rPr>
          <w:rFonts w:ascii="Calibri" w:hAnsi="Calibri" w:eastAsia="Calibri" w:cs="Calibri"/>
          <w:noProof w:val="0"/>
          <w:sz w:val="24"/>
          <w:szCs w:val="24"/>
          <w:lang w:val="en-GB"/>
        </w:rPr>
        <w:t>Janjeva</w:t>
      </w:r>
      <w:r w:rsidRPr="0918BD82" w:rsidR="79986E1E">
        <w:rPr>
          <w:rFonts w:ascii="Calibri" w:hAnsi="Calibri" w:eastAsia="Calibri" w:cs="Calibri"/>
          <w:noProof w:val="0"/>
          <w:sz w:val="24"/>
          <w:szCs w:val="24"/>
          <w:lang w:val="en-GB"/>
        </w:rPr>
        <w:t xml:space="preserve">, A. and </w:t>
      </w:r>
      <w:r w:rsidRPr="0918BD82" w:rsidR="79986E1E">
        <w:rPr>
          <w:rFonts w:ascii="Calibri" w:hAnsi="Calibri" w:eastAsia="Calibri" w:cs="Calibri"/>
          <w:noProof w:val="0"/>
          <w:sz w:val="24"/>
          <w:szCs w:val="24"/>
          <w:lang w:val="en-GB"/>
        </w:rPr>
        <w:t>Moiseienko</w:t>
      </w:r>
      <w:r w:rsidRPr="0918BD82" w:rsidR="79986E1E">
        <w:rPr>
          <w:rFonts w:ascii="Calibri" w:hAnsi="Calibri" w:eastAsia="Calibri" w:cs="Calibri"/>
          <w:noProof w:val="0"/>
          <w:sz w:val="24"/>
          <w:szCs w:val="24"/>
          <w:lang w:val="en-GB"/>
        </w:rPr>
        <w:t>, A.</w:t>
      </w:r>
      <w:r w:rsidRPr="0918BD82" w:rsidR="1521FA97">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(2021)</w:t>
      </w:r>
      <w:r w:rsidRPr="0918BD82" w:rsidR="36543AA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The UK's Response to Cyber Fraud: A Strategic Vision</w:t>
      </w:r>
      <w:r w:rsidRPr="0918BD82" w:rsidR="79986E1E">
        <w:rPr>
          <w:rFonts w:ascii="Calibri" w:hAnsi="Calibri" w:eastAsia="Calibri" w:cs="Calibri"/>
          <w:noProof w:val="0"/>
          <w:sz w:val="24"/>
          <w:szCs w:val="24"/>
          <w:lang w:val="en-GB"/>
        </w:rPr>
        <w:t xml:space="preserve">. Royal United Services Institute. Available at: </w:t>
      </w:r>
      <w:hyperlink r:id="R0f61163252454140">
        <w:r w:rsidRPr="0918BD82" w:rsidR="79986E1E">
          <w:rPr>
            <w:rStyle w:val="Hyperlink"/>
            <w:rFonts w:ascii="Calibri" w:hAnsi="Calibri" w:eastAsia="Calibri" w:cs="Calibri"/>
            <w:noProof w:val="0"/>
            <w:sz w:val="24"/>
            <w:szCs w:val="24"/>
            <w:lang w:val="en-GB"/>
          </w:rPr>
          <w:t>https://openresearch-repository.anu.edu.au/items/312e16f1-3061-43de-990a-c5b125213f8e</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142FF292" wp14:textId="4E433F95">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Foreign, Commonwealth &amp; Development Office (2021)</w:t>
      </w:r>
      <w:r w:rsidRPr="0918BD82" w:rsidR="297DB479">
        <w:rPr>
          <w:rFonts w:ascii="Calibri" w:hAnsi="Calibri" w:eastAsia="Calibri" w:cs="Calibri"/>
          <w:noProof w:val="0"/>
          <w:sz w:val="24"/>
          <w:szCs w:val="24"/>
          <w:lang w:val="en-GB"/>
        </w:rPr>
        <w:t xml:space="preserve"> </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Cyber-threat Intelligence Information Sharing Guide</w:t>
      </w:r>
      <w:r w:rsidRPr="0918BD82" w:rsidR="79986E1E">
        <w:rPr>
          <w:rFonts w:ascii="Calibri" w:hAnsi="Calibri" w:eastAsia="Calibri" w:cs="Calibri"/>
          <w:noProof w:val="0"/>
          <w:sz w:val="24"/>
          <w:szCs w:val="24"/>
          <w:lang w:val="en-GB"/>
        </w:rPr>
        <w:t xml:space="preserve">. Available at: </w:t>
      </w:r>
      <w:hyperlink r:id="R4887888cd10c4111">
        <w:r w:rsidRPr="0918BD82" w:rsidR="79986E1E">
          <w:rPr>
            <w:rStyle w:val="Hyperlink"/>
            <w:rFonts w:ascii="Calibri" w:hAnsi="Calibri" w:eastAsia="Calibri" w:cs="Calibri"/>
            <w:noProof w:val="0"/>
            <w:sz w:val="24"/>
            <w:szCs w:val="24"/>
            <w:lang w:val="en-GB"/>
          </w:rPr>
          <w:t>https://www.gov.uk/government/publications/cyber-threat-intelligence-information-sharing/cyber-threat-intelligence-information-sharing-guide#commitment-to-public--private-partnership-ppp</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559986D2" wp14:textId="4DA8C71D">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Foreign, Commonwealth &amp; Development Office and Foreign &amp; Commonwealth Office (2021)</w:t>
      </w:r>
      <w:r w:rsidRPr="0918BD82" w:rsidR="000FA0A3">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Cyber-threat intelligence information sharing</w:t>
      </w:r>
      <w:r w:rsidRPr="0918BD82" w:rsidR="79986E1E">
        <w:rPr>
          <w:rFonts w:ascii="Calibri" w:hAnsi="Calibri" w:eastAsia="Calibri" w:cs="Calibri"/>
          <w:noProof w:val="0"/>
          <w:sz w:val="24"/>
          <w:szCs w:val="24"/>
          <w:lang w:val="en-GB"/>
        </w:rPr>
        <w:t xml:space="preserve">. GOV.UK. Available at: </w:t>
      </w:r>
      <w:hyperlink r:id="R5687df007d8c4e6e">
        <w:r w:rsidRPr="0918BD82" w:rsidR="79986E1E">
          <w:rPr>
            <w:rStyle w:val="Hyperlink"/>
            <w:rFonts w:ascii="Calibri" w:hAnsi="Calibri" w:eastAsia="Calibri" w:cs="Calibri"/>
            <w:noProof w:val="0"/>
            <w:sz w:val="24"/>
            <w:szCs w:val="24"/>
            <w:lang w:val="en-GB"/>
          </w:rPr>
          <w:t>https://www.gov.uk/government/publications/cyber-threat-intelligence-information-sharing</w:t>
        </w:r>
      </w:hyperlink>
      <w:r w:rsidRPr="0918BD82" w:rsidR="79986E1E">
        <w:rPr>
          <w:rFonts w:ascii="Calibri" w:hAnsi="Calibri" w:eastAsia="Calibri" w:cs="Calibri"/>
          <w:noProof w:val="0"/>
          <w:sz w:val="24"/>
          <w:szCs w:val="24"/>
          <w:lang w:val="en-GB"/>
        </w:rPr>
        <w:t xml:space="preserve"> (Accessed: January 13, 2026).</w:t>
      </w:r>
    </w:p>
    <w:p xmlns:wp14="http://schemas.microsoft.com/office/word/2010/wordml" w:rsidP="217D92FB" wp14:paraId="7FEFD200" wp14:textId="144EA2E4">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Gabriel Weimann (2004)</w:t>
      </w:r>
      <w:r w:rsidRPr="0918BD82" w:rsidR="031CE0C8">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How Modern Terrorism Uses the Internet</w:t>
      </w:r>
      <w:r w:rsidRPr="0918BD82" w:rsidR="79986E1E">
        <w:rPr>
          <w:rFonts w:ascii="Calibri" w:hAnsi="Calibri" w:eastAsia="Calibri" w:cs="Calibri"/>
          <w:noProof w:val="0"/>
          <w:sz w:val="24"/>
          <w:szCs w:val="24"/>
          <w:lang w:val="en-GB"/>
        </w:rPr>
        <w:t xml:space="preserve">. Available at: </w:t>
      </w:r>
      <w:hyperlink r:id="R9d977e987ee44797">
        <w:r w:rsidRPr="0918BD82" w:rsidR="79986E1E">
          <w:rPr>
            <w:rStyle w:val="Hyperlink"/>
            <w:rFonts w:ascii="Calibri" w:hAnsi="Calibri" w:eastAsia="Calibri" w:cs="Calibri"/>
            <w:noProof w:val="0"/>
            <w:sz w:val="24"/>
            <w:szCs w:val="24"/>
            <w:lang w:val="en-GB"/>
          </w:rPr>
          <w:t>https://www.usip.org/sites/default/files/sr116.pdf</w:t>
        </w:r>
      </w:hyperlink>
      <w:r w:rsidRPr="0918BD82" w:rsidR="79986E1E">
        <w:rPr>
          <w:rFonts w:ascii="Calibri" w:hAnsi="Calibri" w:eastAsia="Calibri" w:cs="Calibri"/>
          <w:noProof w:val="0"/>
          <w:sz w:val="24"/>
          <w:szCs w:val="24"/>
          <w:lang w:val="en-GB"/>
        </w:rPr>
        <w:t xml:space="preserve"> (Accessed: January 11, 2026).</w:t>
      </w:r>
    </w:p>
    <w:p xmlns:wp14="http://schemas.microsoft.com/office/word/2010/wordml" w:rsidP="217D92FB" wp14:paraId="42A99D0B" wp14:textId="664E5CAE">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Goodwin, J. and Business, C.</w:t>
      </w:r>
      <w:r w:rsidRPr="0918BD82" w:rsidR="5B7E3142">
        <w:rPr>
          <w:rFonts w:ascii="Calibri" w:hAnsi="Calibri" w:eastAsia="Calibri" w:cs="Calibri"/>
          <w:noProof w:val="0"/>
          <w:sz w:val="24"/>
          <w:szCs w:val="24"/>
          <w:lang w:val="en-GB"/>
        </w:rPr>
        <w:t xml:space="preserve">, </w:t>
      </w:r>
      <w:r w:rsidRPr="0918BD82" w:rsidR="79986E1E">
        <w:rPr>
          <w:rFonts w:ascii="Calibri" w:hAnsi="Calibri" w:eastAsia="Calibri" w:cs="Calibri"/>
          <w:noProof w:val="0"/>
          <w:sz w:val="24"/>
          <w:szCs w:val="24"/>
          <w:lang w:val="en-GB"/>
        </w:rPr>
        <w:t xml:space="preserve">(2021) </w:t>
      </w:r>
      <w:r w:rsidRPr="0918BD82" w:rsidR="79986E1E">
        <w:rPr>
          <w:rFonts w:ascii="Calibri" w:hAnsi="Calibri" w:eastAsia="Calibri" w:cs="Calibri"/>
          <w:i w:val="1"/>
          <w:iCs w:val="1"/>
          <w:noProof w:val="0"/>
          <w:sz w:val="24"/>
          <w:szCs w:val="24"/>
          <w:lang w:val="en-GB"/>
        </w:rPr>
        <w:t>Gab: Everything You Need to Know about the fast-growing, controversial social network</w:t>
      </w:r>
      <w:r w:rsidRPr="0918BD82" w:rsidR="79986E1E">
        <w:rPr>
          <w:rFonts w:ascii="Calibri" w:hAnsi="Calibri" w:eastAsia="Calibri" w:cs="Calibri"/>
          <w:noProof w:val="0"/>
          <w:sz w:val="24"/>
          <w:szCs w:val="24"/>
          <w:lang w:val="en-GB"/>
        </w:rPr>
        <w:t xml:space="preserve">. CNN. Available at: </w:t>
      </w:r>
      <w:hyperlink r:id="Rc83487bb72a74502">
        <w:r w:rsidRPr="0918BD82" w:rsidR="79986E1E">
          <w:rPr>
            <w:rStyle w:val="Hyperlink"/>
            <w:rFonts w:ascii="Calibri" w:hAnsi="Calibri" w:eastAsia="Calibri" w:cs="Calibri"/>
            <w:noProof w:val="0"/>
            <w:sz w:val="24"/>
            <w:szCs w:val="24"/>
            <w:lang w:val="en-GB"/>
          </w:rPr>
          <w:t>https://edition.cnn.com/2021/01/17/tech/what-is-gab-explainer/index.html</w:t>
        </w:r>
      </w:hyperlink>
      <w:r w:rsidRPr="0918BD82" w:rsidR="79986E1E">
        <w:rPr>
          <w:rFonts w:ascii="Calibri" w:hAnsi="Calibri" w:eastAsia="Calibri" w:cs="Calibri"/>
          <w:noProof w:val="0"/>
          <w:sz w:val="24"/>
          <w:szCs w:val="24"/>
          <w:lang w:val="en-GB"/>
        </w:rPr>
        <w:t xml:space="preserve"> (Accessed: January 11, 2026).</w:t>
      </w:r>
    </w:p>
    <w:p xmlns:wp14="http://schemas.microsoft.com/office/word/2010/wordml" w:rsidP="217D92FB" wp14:paraId="7E932529" wp14:textId="44B29FB3">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 xml:space="preserve">House of Commons, the House of Lords (2023) </w:t>
      </w:r>
      <w:r w:rsidRPr="0918BD82" w:rsidR="79986E1E">
        <w:rPr>
          <w:rFonts w:ascii="Calibri" w:hAnsi="Calibri" w:eastAsia="Calibri" w:cs="Calibri"/>
          <w:i w:val="1"/>
          <w:iCs w:val="1"/>
          <w:noProof w:val="0"/>
          <w:sz w:val="24"/>
          <w:szCs w:val="24"/>
          <w:lang w:val="en-GB"/>
        </w:rPr>
        <w:t>A Hostage to Fortune: Ransomware and UK National Security</w:t>
      </w:r>
      <w:r w:rsidRPr="0918BD82" w:rsidR="79986E1E">
        <w:rPr>
          <w:rFonts w:ascii="Calibri" w:hAnsi="Calibri" w:eastAsia="Calibri" w:cs="Calibri"/>
          <w:noProof w:val="0"/>
          <w:sz w:val="24"/>
          <w:szCs w:val="24"/>
          <w:lang w:val="en-GB"/>
        </w:rPr>
        <w:t xml:space="preserve">. Available at: </w:t>
      </w:r>
      <w:hyperlink r:id="Rf356f3d170de4573">
        <w:r w:rsidRPr="0918BD82" w:rsidR="79986E1E">
          <w:rPr>
            <w:rStyle w:val="Hyperlink"/>
            <w:rFonts w:ascii="Calibri" w:hAnsi="Calibri" w:eastAsia="Calibri" w:cs="Calibri"/>
            <w:noProof w:val="0"/>
            <w:sz w:val="24"/>
            <w:szCs w:val="24"/>
            <w:lang w:val="en-GB"/>
          </w:rPr>
          <w:t>https://committees.parliament.uk/publications/42493/documents/211438/default/</w:t>
        </w:r>
      </w:hyperlink>
      <w:r w:rsidRPr="0918BD82" w:rsidR="79986E1E">
        <w:rPr>
          <w:rFonts w:ascii="Calibri" w:hAnsi="Calibri" w:eastAsia="Calibri" w:cs="Calibri"/>
          <w:noProof w:val="0"/>
          <w:sz w:val="24"/>
          <w:szCs w:val="24"/>
          <w:lang w:val="en-GB"/>
        </w:rPr>
        <w:t xml:space="preserve"> (Accessed: January 6, 2026).</w:t>
      </w:r>
    </w:p>
    <w:p xmlns:wp14="http://schemas.microsoft.com/office/word/2010/wordml" w:rsidP="217D92FB" wp14:paraId="1A07334D" wp14:textId="7AAC9824">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House of Commons (2026)</w:t>
      </w:r>
      <w:r w:rsidRPr="0918BD82" w:rsidR="7FD59DB4">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China Espionage: Government Security Response – Hansard – UK Parliament</w:t>
      </w:r>
      <w:r w:rsidRPr="0918BD82" w:rsidR="79986E1E">
        <w:rPr>
          <w:rFonts w:ascii="Calibri" w:hAnsi="Calibri" w:eastAsia="Calibri" w:cs="Calibri"/>
          <w:noProof w:val="0"/>
          <w:sz w:val="24"/>
          <w:szCs w:val="24"/>
          <w:lang w:val="en-GB"/>
        </w:rPr>
        <w:t xml:space="preserve">.  Parliament.uk. Available at: </w:t>
      </w:r>
      <w:hyperlink r:id="R8348fa6dc9a34bde">
        <w:r w:rsidRPr="0918BD82" w:rsidR="79986E1E">
          <w:rPr>
            <w:rStyle w:val="Hyperlink"/>
            <w:rFonts w:ascii="Calibri" w:hAnsi="Calibri" w:eastAsia="Calibri" w:cs="Calibri"/>
            <w:noProof w:val="0"/>
            <w:sz w:val="24"/>
            <w:szCs w:val="24"/>
            <w:lang w:val="en-GB"/>
          </w:rPr>
          <w:t>https://hansard.parliament.uk/commons/2025-11-18/debates/39086819-08E6-4218-A26E-6A3368FC5D9C/ChinaEspionageGovernmentSecurityResponse</w:t>
        </w:r>
      </w:hyperlink>
      <w:r w:rsidRPr="0918BD82" w:rsidR="79986E1E">
        <w:rPr>
          <w:rFonts w:ascii="Calibri" w:hAnsi="Calibri" w:eastAsia="Calibri" w:cs="Calibri"/>
          <w:noProof w:val="0"/>
          <w:sz w:val="24"/>
          <w:szCs w:val="24"/>
          <w:lang w:val="en-GB"/>
        </w:rPr>
        <w:t xml:space="preserve"> (Accessed: January 12, 2026).</w:t>
      </w:r>
    </w:p>
    <w:p xmlns:wp14="http://schemas.microsoft.com/office/word/2010/wordml" w:rsidP="217D92FB" wp14:paraId="7637554B" wp14:textId="5DAE5677">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Johnson, D. and Post, D.</w:t>
      </w:r>
      <w:r w:rsidRPr="0918BD82" w:rsidR="3843A3C0">
        <w:rPr>
          <w:rFonts w:ascii="Calibri" w:hAnsi="Calibri" w:eastAsia="Calibri" w:cs="Calibri"/>
          <w:noProof w:val="0"/>
          <w:sz w:val="24"/>
          <w:szCs w:val="24"/>
          <w:lang w:val="en-GB"/>
        </w:rPr>
        <w:t xml:space="preserve">, </w:t>
      </w:r>
      <w:r w:rsidRPr="0918BD82" w:rsidR="79986E1E">
        <w:rPr>
          <w:rFonts w:ascii="Calibri" w:hAnsi="Calibri" w:eastAsia="Calibri" w:cs="Calibri"/>
          <w:noProof w:val="0"/>
          <w:sz w:val="24"/>
          <w:szCs w:val="24"/>
          <w:lang w:val="en-GB"/>
        </w:rPr>
        <w:t>(1997)</w:t>
      </w:r>
      <w:r w:rsidRPr="0918BD82" w:rsidR="0E468D14">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L</w:t>
      </w:r>
      <w:r w:rsidRPr="0918BD82" w:rsidR="79986E1E">
        <w:rPr>
          <w:rFonts w:ascii="Calibri" w:hAnsi="Calibri" w:eastAsia="Calibri" w:cs="Calibri"/>
          <w:i w:val="1"/>
          <w:iCs w:val="1"/>
          <w:noProof w:val="0"/>
          <w:sz w:val="24"/>
          <w:szCs w:val="24"/>
          <w:lang w:val="en-GB"/>
        </w:rPr>
        <w:t xml:space="preserve">aw </w:t>
      </w:r>
      <w:r w:rsidRPr="0918BD82" w:rsidR="79986E1E">
        <w:rPr>
          <w:rFonts w:ascii="Calibri" w:hAnsi="Calibri" w:eastAsia="Calibri" w:cs="Calibri"/>
          <w:i w:val="1"/>
          <w:iCs w:val="1"/>
          <w:noProof w:val="0"/>
          <w:sz w:val="24"/>
          <w:szCs w:val="24"/>
          <w:lang w:val="en-GB"/>
        </w:rPr>
        <w:t>and Borders – The rise of law in cyberspace</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Stanford Law Review</w:t>
      </w:r>
      <w:r w:rsidRPr="0918BD82" w:rsidR="79986E1E">
        <w:rPr>
          <w:rFonts w:ascii="Calibri" w:hAnsi="Calibri" w:eastAsia="Calibri" w:cs="Calibri"/>
          <w:noProof w:val="0"/>
          <w:sz w:val="24"/>
          <w:szCs w:val="24"/>
          <w:lang w:val="en-GB"/>
        </w:rPr>
        <w:t xml:space="preserve">, 48, p. 1367. Temple University Beasley School of Law. Available at: </w:t>
      </w:r>
      <w:hyperlink r:id="R22e7723761624122">
        <w:r w:rsidRPr="0918BD82" w:rsidR="79986E1E">
          <w:rPr>
            <w:rStyle w:val="Hyperlink"/>
            <w:rFonts w:ascii="Calibri" w:hAnsi="Calibri" w:eastAsia="Calibri" w:cs="Calibri"/>
            <w:noProof w:val="0"/>
            <w:sz w:val="24"/>
            <w:szCs w:val="24"/>
            <w:lang w:val="en-GB"/>
          </w:rPr>
          <w:t>https://papers.ssrn.com/sol3/papers.cfm?abstract_id=535</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2D452C0B" wp14:textId="72228D95">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Knapp, G.</w:t>
      </w:r>
      <w:r w:rsidRPr="0918BD82" w:rsidR="3ACA7EFC">
        <w:rPr>
          <w:rFonts w:ascii="Calibri" w:hAnsi="Calibri" w:eastAsia="Calibri" w:cs="Calibri"/>
          <w:noProof w:val="0"/>
          <w:sz w:val="24"/>
          <w:szCs w:val="24"/>
          <w:lang w:val="en-GB"/>
        </w:rPr>
        <w:t xml:space="preserve">, </w:t>
      </w:r>
      <w:r w:rsidRPr="0918BD82" w:rsidR="79986E1E">
        <w:rPr>
          <w:rFonts w:ascii="Calibri" w:hAnsi="Calibri" w:eastAsia="Calibri" w:cs="Calibri"/>
          <w:noProof w:val="0"/>
          <w:sz w:val="24"/>
          <w:szCs w:val="24"/>
          <w:lang w:val="en-GB"/>
        </w:rPr>
        <w:t>(2025)</w:t>
      </w:r>
      <w:r w:rsidRPr="0918BD82" w:rsidR="5473726A">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What is Cyber Threat Intelligence (CTI)? Types &amp; Framework</w:t>
      </w:r>
      <w:r w:rsidRPr="0918BD82" w:rsidR="79986E1E">
        <w:rPr>
          <w:rFonts w:ascii="Calibri" w:hAnsi="Calibri" w:eastAsia="Calibri" w:cs="Calibri"/>
          <w:noProof w:val="0"/>
          <w:sz w:val="24"/>
          <w:szCs w:val="24"/>
          <w:lang w:val="en-GB"/>
        </w:rPr>
        <w:t xml:space="preserve">. Bridewell. Available at: </w:t>
      </w:r>
      <w:hyperlink r:id="R3a884ec14a984606">
        <w:r w:rsidRPr="0918BD82" w:rsidR="79986E1E">
          <w:rPr>
            <w:rStyle w:val="Hyperlink"/>
            <w:rFonts w:ascii="Calibri" w:hAnsi="Calibri" w:eastAsia="Calibri" w:cs="Calibri"/>
            <w:noProof w:val="0"/>
            <w:sz w:val="24"/>
            <w:szCs w:val="24"/>
            <w:lang w:val="en-GB"/>
          </w:rPr>
          <w:t>https://www.bridewell.com/insights/learn/detail/managed-security/what-is-cyber-threat-intelligence-(cti)</w:t>
        </w:r>
      </w:hyperlink>
      <w:r w:rsidRPr="0918BD82" w:rsidR="79986E1E">
        <w:rPr>
          <w:rFonts w:ascii="Calibri" w:hAnsi="Calibri" w:eastAsia="Calibri" w:cs="Calibri"/>
          <w:noProof w:val="0"/>
          <w:sz w:val="24"/>
          <w:szCs w:val="24"/>
          <w:lang w:val="en-GB"/>
        </w:rPr>
        <w:t xml:space="preserve"> (Accessed: January 12, 2026).</w:t>
      </w:r>
    </w:p>
    <w:p xmlns:wp14="http://schemas.microsoft.com/office/word/2010/wordml" w:rsidP="217D92FB" wp14:paraId="497B21FF" wp14:textId="3C9A8562">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MacColl, J. and Mott, G.</w:t>
      </w:r>
      <w:r w:rsidRPr="0918BD82" w:rsidR="79A69707">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(2023) </w:t>
      </w:r>
      <w:r w:rsidRPr="0918BD82" w:rsidR="79986E1E">
        <w:rPr>
          <w:rFonts w:ascii="Calibri" w:hAnsi="Calibri" w:eastAsia="Calibri" w:cs="Calibri"/>
          <w:i w:val="1"/>
          <w:iCs w:val="1"/>
          <w:noProof w:val="0"/>
          <w:sz w:val="24"/>
          <w:szCs w:val="24"/>
          <w:lang w:val="en-GB"/>
        </w:rPr>
        <w:t>Organised cybercrime: The rise of ransomware as a national security threat</w:t>
      </w:r>
      <w:r w:rsidRPr="0918BD82" w:rsidR="79986E1E">
        <w:rPr>
          <w:rFonts w:ascii="Calibri" w:hAnsi="Calibri" w:eastAsia="Calibri" w:cs="Calibri"/>
          <w:noProof w:val="0"/>
          <w:sz w:val="24"/>
          <w:szCs w:val="24"/>
          <w:lang w:val="en-GB"/>
        </w:rPr>
        <w:t xml:space="preserve">. Royal United Services Institute. Available at: </w:t>
      </w:r>
      <w:hyperlink r:id="R6da1b330565548e8">
        <w:r w:rsidRPr="0918BD82" w:rsidR="79986E1E">
          <w:rPr>
            <w:rStyle w:val="Hyperlink"/>
            <w:rFonts w:ascii="Calibri" w:hAnsi="Calibri" w:eastAsia="Calibri" w:cs="Calibri"/>
            <w:noProof w:val="0"/>
            <w:sz w:val="24"/>
            <w:szCs w:val="24"/>
            <w:lang w:val="en-GB"/>
          </w:rPr>
          <w:t>https://www.rusi.org/explore-our-research/publications/commentary/organised-cybercrime-rise-ransomware-national-security-threat</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6298AD83" wp14:textId="54910BD7">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 xml:space="preserve">Macdonald, </w:t>
      </w:r>
      <w:r w:rsidRPr="0918BD82" w:rsidR="79986E1E">
        <w:rPr>
          <w:rFonts w:ascii="Calibri" w:hAnsi="Calibri" w:eastAsia="Calibri" w:cs="Calibri"/>
          <w:noProof w:val="0"/>
          <w:sz w:val="24"/>
          <w:szCs w:val="24"/>
          <w:lang w:val="en-GB"/>
        </w:rPr>
        <w:t>S.</w:t>
      </w:r>
      <w:r w:rsidRPr="0918BD82" w:rsidR="79986E1E">
        <w:rPr>
          <w:rFonts w:ascii="Calibri" w:hAnsi="Calibri" w:eastAsia="Calibri" w:cs="Calibri"/>
          <w:noProof w:val="0"/>
          <w:sz w:val="24"/>
          <w:szCs w:val="24"/>
          <w:lang w:val="en-GB"/>
        </w:rPr>
        <w:t xml:space="preserve"> and Whittaker, J.</w:t>
      </w:r>
      <w:r w:rsidRPr="0918BD82" w:rsidR="7B8026A6">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(2010) </w:t>
      </w:r>
      <w:r w:rsidRPr="0918BD82" w:rsidR="79986E1E">
        <w:rPr>
          <w:rFonts w:ascii="Calibri" w:hAnsi="Calibri" w:eastAsia="Calibri" w:cs="Calibri"/>
          <w:i w:val="1"/>
          <w:iCs w:val="1"/>
          <w:noProof w:val="0"/>
          <w:sz w:val="24"/>
          <w:szCs w:val="24"/>
          <w:lang w:val="en-GB"/>
        </w:rPr>
        <w:t>Online Radicalisation: Contested Terms and Conceptual Clarity</w:t>
      </w:r>
      <w:r w:rsidRPr="0918BD82" w:rsidR="79986E1E">
        <w:rPr>
          <w:rFonts w:ascii="Calibri" w:hAnsi="Calibri" w:eastAsia="Calibri" w:cs="Calibri"/>
          <w:noProof w:val="0"/>
          <w:sz w:val="24"/>
          <w:szCs w:val="24"/>
          <w:lang w:val="en-GB"/>
        </w:rPr>
        <w:t xml:space="preserve">, pp. 33–46. Available at: </w:t>
      </w:r>
      <w:hyperlink r:id="R18b23dc0cdb14dcb">
        <w:r w:rsidRPr="0918BD82" w:rsidR="79986E1E">
          <w:rPr>
            <w:rStyle w:val="Hyperlink"/>
            <w:rFonts w:ascii="Calibri" w:hAnsi="Calibri" w:eastAsia="Calibri" w:cs="Calibri"/>
            <w:noProof w:val="0"/>
            <w:sz w:val="24"/>
            <w:szCs w:val="24"/>
            <w:lang w:val="en-GB"/>
          </w:rPr>
          <w:t>http://www.adv-geosci.net/25/index.html</w:t>
        </w:r>
      </w:hyperlink>
      <w:r w:rsidRPr="0918BD82" w:rsidR="79986E1E">
        <w:rPr>
          <w:rFonts w:ascii="Calibri" w:hAnsi="Calibri" w:eastAsia="Calibri" w:cs="Calibri"/>
          <w:noProof w:val="0"/>
          <w:sz w:val="24"/>
          <w:szCs w:val="24"/>
          <w:lang w:val="en-GB"/>
        </w:rPr>
        <w:t xml:space="preserve"> (Accessed: January 11, 2026).</w:t>
      </w:r>
    </w:p>
    <w:p xmlns:wp14="http://schemas.microsoft.com/office/word/2010/wordml" w:rsidP="217D92FB" wp14:paraId="51B55D4F" wp14:textId="6795630C">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 xml:space="preserve">O'Gorman, </w:t>
      </w:r>
      <w:r w:rsidRPr="0918BD82" w:rsidR="79986E1E">
        <w:rPr>
          <w:rFonts w:ascii="Calibri" w:hAnsi="Calibri" w:eastAsia="Calibri" w:cs="Calibri"/>
          <w:noProof w:val="0"/>
          <w:sz w:val="24"/>
          <w:szCs w:val="24"/>
          <w:lang w:val="en-GB"/>
        </w:rPr>
        <w:t>G.</w:t>
      </w:r>
      <w:r w:rsidRPr="0918BD82" w:rsidR="79986E1E">
        <w:rPr>
          <w:rFonts w:ascii="Calibri" w:hAnsi="Calibri" w:eastAsia="Calibri" w:cs="Calibri"/>
          <w:noProof w:val="0"/>
          <w:sz w:val="24"/>
          <w:szCs w:val="24"/>
          <w:lang w:val="en-GB"/>
        </w:rPr>
        <w:t xml:space="preserve"> and McDonald, G.</w:t>
      </w:r>
      <w:r w:rsidRPr="0918BD82" w:rsidR="3FB269A6">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(2012)</w:t>
      </w:r>
      <w:r w:rsidRPr="0918BD82" w:rsidR="1A871AB0">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Security Response Overview</w:t>
      </w:r>
      <w:r w:rsidRPr="0918BD82" w:rsidR="79986E1E">
        <w:rPr>
          <w:rFonts w:ascii="Calibri" w:hAnsi="Calibri" w:eastAsia="Calibri" w:cs="Calibri"/>
          <w:noProof w:val="0"/>
          <w:sz w:val="24"/>
          <w:szCs w:val="24"/>
          <w:lang w:val="en-GB"/>
        </w:rPr>
        <w:t xml:space="preserve">. Available at: </w:t>
      </w:r>
      <w:hyperlink r:id="R7a70378e6dca4236">
        <w:r w:rsidRPr="0918BD82" w:rsidR="79986E1E">
          <w:rPr>
            <w:rStyle w:val="Hyperlink"/>
            <w:rFonts w:ascii="Calibri" w:hAnsi="Calibri" w:eastAsia="Calibri" w:cs="Calibri"/>
            <w:noProof w:val="0"/>
            <w:sz w:val="24"/>
            <w:szCs w:val="24"/>
            <w:lang w:val="en-GB"/>
          </w:rPr>
          <w:t>https://static.01net.it/01net/2014/10/Symantec_Ransomware_Growing_Menace.pdf</w:t>
        </w:r>
      </w:hyperlink>
      <w:r w:rsidRPr="0918BD82" w:rsidR="79986E1E">
        <w:rPr>
          <w:rFonts w:ascii="Calibri" w:hAnsi="Calibri" w:eastAsia="Calibri" w:cs="Calibri"/>
          <w:noProof w:val="0"/>
          <w:sz w:val="24"/>
          <w:szCs w:val="24"/>
          <w:lang w:val="en-GB"/>
        </w:rPr>
        <w:t xml:space="preserve"> (Accessed: January 5, 2026).</w:t>
      </w:r>
    </w:p>
    <w:p xmlns:wp14="http://schemas.microsoft.com/office/word/2010/wordml" w:rsidP="217D92FB" wp14:paraId="265691D5" wp14:textId="0AC80B59">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 xml:space="preserve">O'Kane, P., Sezer, </w:t>
      </w:r>
      <w:r w:rsidRPr="0918BD82" w:rsidR="79986E1E">
        <w:rPr>
          <w:rFonts w:ascii="Calibri" w:hAnsi="Calibri" w:eastAsia="Calibri" w:cs="Calibri"/>
          <w:noProof w:val="0"/>
          <w:sz w:val="24"/>
          <w:szCs w:val="24"/>
          <w:lang w:val="en-GB"/>
        </w:rPr>
        <w:t>S.</w:t>
      </w:r>
      <w:r w:rsidRPr="0918BD82" w:rsidR="79986E1E">
        <w:rPr>
          <w:rFonts w:ascii="Calibri" w:hAnsi="Calibri" w:eastAsia="Calibri" w:cs="Calibri"/>
          <w:noProof w:val="0"/>
          <w:sz w:val="24"/>
          <w:szCs w:val="24"/>
          <w:lang w:val="en-GB"/>
        </w:rPr>
        <w:t xml:space="preserve"> and Carlin, D.</w:t>
      </w:r>
      <w:r w:rsidRPr="0918BD82" w:rsidR="33E0B020">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(2018)</w:t>
      </w:r>
      <w:r w:rsidRPr="0918BD82" w:rsidR="4CFC3A23">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Evolution of ransomware</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IET Networks</w:t>
      </w:r>
      <w:r w:rsidRPr="0918BD82" w:rsidR="79986E1E">
        <w:rPr>
          <w:rFonts w:ascii="Calibri" w:hAnsi="Calibri" w:eastAsia="Calibri" w:cs="Calibri"/>
          <w:noProof w:val="0"/>
          <w:sz w:val="24"/>
          <w:szCs w:val="24"/>
          <w:lang w:val="en-GB"/>
        </w:rPr>
        <w:t xml:space="preserve">, 7(5), pp. 321–327. Available at: </w:t>
      </w:r>
      <w:hyperlink r:id="R2bf9f60819904a54">
        <w:r w:rsidRPr="0918BD82" w:rsidR="79986E1E">
          <w:rPr>
            <w:rStyle w:val="Hyperlink"/>
            <w:rFonts w:ascii="Calibri" w:hAnsi="Calibri" w:eastAsia="Calibri" w:cs="Calibri"/>
            <w:noProof w:val="0"/>
            <w:sz w:val="24"/>
            <w:szCs w:val="24"/>
            <w:lang w:val="en-GB"/>
          </w:rPr>
          <w:t>https://doi.org/10.1049/iet-net.2017.0207</w:t>
        </w:r>
      </w:hyperlink>
      <w:r w:rsidRPr="0918BD82" w:rsidR="79986E1E">
        <w:rPr>
          <w:rFonts w:ascii="Calibri" w:hAnsi="Calibri" w:eastAsia="Calibri" w:cs="Calibri"/>
          <w:noProof w:val="0"/>
          <w:sz w:val="24"/>
          <w:szCs w:val="24"/>
          <w:lang w:val="en-GB"/>
        </w:rPr>
        <w:t xml:space="preserve"> </w:t>
      </w:r>
    </w:p>
    <w:p xmlns:wp14="http://schemas.microsoft.com/office/word/2010/wordml" w:rsidP="217D92FB" wp14:paraId="5576B019" wp14:textId="70C3C977">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Phillips, K. et al.</w:t>
      </w:r>
      <w:r w:rsidRPr="0918BD82" w:rsidR="1420B2F6">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(2022) ‘Conceptualising Cybercrime: Definitions, typologies and </w:t>
      </w:r>
      <w:r w:rsidRPr="0918BD82" w:rsidR="79986E1E">
        <w:rPr>
          <w:rFonts w:ascii="Calibri" w:hAnsi="Calibri" w:eastAsia="Calibri" w:cs="Calibri"/>
          <w:noProof w:val="0"/>
          <w:sz w:val="24"/>
          <w:szCs w:val="24"/>
          <w:lang w:val="en-GB"/>
        </w:rPr>
        <w:t>taxonomies’</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Forensic Sciences</w:t>
      </w:r>
      <w:r w:rsidRPr="0918BD82" w:rsidR="79986E1E">
        <w:rPr>
          <w:rFonts w:ascii="Calibri" w:hAnsi="Calibri" w:eastAsia="Calibri" w:cs="Calibri"/>
          <w:noProof w:val="0"/>
          <w:sz w:val="24"/>
          <w:szCs w:val="24"/>
          <w:lang w:val="en-GB"/>
        </w:rPr>
        <w:t xml:space="preserve">, 2(2), pp. 379–398. Available at: </w:t>
      </w:r>
      <w:hyperlink r:id="R5f9b36c912424436">
        <w:r w:rsidRPr="0918BD82" w:rsidR="79986E1E">
          <w:rPr>
            <w:rStyle w:val="Hyperlink"/>
            <w:rFonts w:ascii="Calibri" w:hAnsi="Calibri" w:eastAsia="Calibri" w:cs="Calibri"/>
            <w:noProof w:val="0"/>
            <w:sz w:val="24"/>
            <w:szCs w:val="24"/>
            <w:lang w:val="en-GB"/>
          </w:rPr>
          <w:t>https://doi.org/10.3390/forensicsci2020028</w:t>
        </w:r>
      </w:hyperlink>
      <w:r w:rsidRPr="0918BD82" w:rsidR="79986E1E">
        <w:rPr>
          <w:rFonts w:ascii="Calibri" w:hAnsi="Calibri" w:eastAsia="Calibri" w:cs="Calibri"/>
          <w:noProof w:val="0"/>
          <w:sz w:val="24"/>
          <w:szCs w:val="24"/>
          <w:lang w:val="en-GB"/>
        </w:rPr>
        <w:t xml:space="preserve"> </w:t>
      </w:r>
    </w:p>
    <w:p xmlns:wp14="http://schemas.microsoft.com/office/word/2010/wordml" w:rsidP="217D92FB" wp14:paraId="77C1B923" wp14:textId="61D9FF48">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 xml:space="preserve">Ramalho, </w:t>
      </w:r>
      <w:r w:rsidRPr="0918BD82" w:rsidR="79986E1E">
        <w:rPr>
          <w:rFonts w:ascii="Calibri" w:hAnsi="Calibri" w:eastAsia="Calibri" w:cs="Calibri"/>
          <w:noProof w:val="0"/>
          <w:sz w:val="24"/>
          <w:szCs w:val="24"/>
          <w:lang w:val="en-GB"/>
        </w:rPr>
        <w:t>J.</w:t>
      </w:r>
      <w:r w:rsidRPr="0918BD82" w:rsidR="79986E1E">
        <w:rPr>
          <w:rFonts w:ascii="Calibri" w:hAnsi="Calibri" w:eastAsia="Calibri" w:cs="Calibri"/>
          <w:noProof w:val="0"/>
          <w:sz w:val="24"/>
          <w:szCs w:val="24"/>
          <w:lang w:val="en-GB"/>
        </w:rPr>
        <w:t xml:space="preserve"> and University Fernando Pessoa (2024)</w:t>
      </w:r>
      <w:r w:rsidRPr="0918BD82" w:rsidR="3C972199">
        <w:rPr>
          <w:rFonts w:ascii="Calibri" w:hAnsi="Calibri" w:eastAsia="Calibri" w:cs="Calibri"/>
          <w:noProof w:val="0"/>
          <w:sz w:val="24"/>
          <w:szCs w:val="24"/>
          <w:lang w:val="en-GB"/>
        </w:rPr>
        <w:t xml:space="preserve"> </w:t>
      </w:r>
      <w:r w:rsidRPr="0918BD82" w:rsidR="79986E1E">
        <w:rPr>
          <w:rFonts w:ascii="Calibri" w:hAnsi="Calibri" w:eastAsia="Calibri" w:cs="Calibri"/>
          <w:noProof w:val="0"/>
          <w:sz w:val="24"/>
          <w:szCs w:val="24"/>
          <w:lang w:val="en-GB"/>
        </w:rPr>
        <w:t>‘Ransomware: cybercrime and cybersecurity</w:t>
      </w:r>
      <w:r w:rsidRPr="0918BD82" w:rsidR="79986E1E">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Journal of Legal, Ethical and Regulatory Issues</w:t>
      </w:r>
      <w:r w:rsidRPr="0918BD82" w:rsidR="79986E1E">
        <w:rPr>
          <w:rFonts w:ascii="Calibri" w:hAnsi="Calibri" w:eastAsia="Calibri" w:cs="Calibri"/>
          <w:noProof w:val="0"/>
          <w:sz w:val="24"/>
          <w:szCs w:val="24"/>
          <w:lang w:val="en-GB"/>
        </w:rPr>
        <w:t xml:space="preserve">, 27 (Special 5), pp. 1–8. Available at: </w:t>
      </w:r>
      <w:hyperlink r:id="Re47de6317f7c4870">
        <w:r w:rsidRPr="0918BD82" w:rsidR="79986E1E">
          <w:rPr>
            <w:rStyle w:val="Hyperlink"/>
            <w:rFonts w:ascii="Calibri" w:hAnsi="Calibri" w:eastAsia="Calibri" w:cs="Calibri"/>
            <w:noProof w:val="0"/>
            <w:sz w:val="24"/>
            <w:szCs w:val="24"/>
            <w:lang w:val="en-GB"/>
          </w:rPr>
          <w:t>https://heinonline.org/HOL/Page?handle=hein.journals/jnlolletl27&amp;id=638</w:t>
        </w:r>
      </w:hyperlink>
      <w:r w:rsidRPr="0918BD82" w:rsidR="79986E1E">
        <w:rPr>
          <w:rFonts w:ascii="Calibri" w:hAnsi="Calibri" w:eastAsia="Calibri" w:cs="Calibri"/>
          <w:noProof w:val="0"/>
          <w:sz w:val="24"/>
          <w:szCs w:val="24"/>
          <w:lang w:val="en-GB"/>
        </w:rPr>
        <w:t xml:space="preserve"> (Accessed: December 20, 2025).</w:t>
      </w:r>
    </w:p>
    <w:p xmlns:wp14="http://schemas.microsoft.com/office/word/2010/wordml" w:rsidP="217D92FB" wp14:paraId="2E9724D7" wp14:textId="4D6FE330">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Scotland, T.S.</w:t>
      </w:r>
      <w:r w:rsidRPr="0918BD82" w:rsidR="3E0D7113">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(2025) </w:t>
      </w:r>
      <w:r w:rsidRPr="0918BD82" w:rsidR="79986E1E">
        <w:rPr>
          <w:rFonts w:ascii="Calibri" w:hAnsi="Calibri" w:eastAsia="Calibri" w:cs="Calibri"/>
          <w:i w:val="1"/>
          <w:iCs w:val="1"/>
          <w:noProof w:val="0"/>
          <w:sz w:val="24"/>
          <w:szCs w:val="24"/>
          <w:lang w:val="en-GB"/>
        </w:rPr>
        <w:t>M&amp;S Data Breach: What It Means for Customers and How Thompsons Can Help</w:t>
      </w:r>
      <w:r w:rsidRPr="0918BD82" w:rsidR="79986E1E">
        <w:rPr>
          <w:rFonts w:ascii="Calibri" w:hAnsi="Calibri" w:eastAsia="Calibri" w:cs="Calibri"/>
          <w:noProof w:val="0"/>
          <w:sz w:val="24"/>
          <w:szCs w:val="24"/>
          <w:lang w:val="en-GB"/>
        </w:rPr>
        <w:t xml:space="preserve">. Thompsons-Scotland.co.uk. Available at: </w:t>
      </w:r>
      <w:hyperlink r:id="Rb2879583e8e94207">
        <w:r w:rsidRPr="0918BD82" w:rsidR="79986E1E">
          <w:rPr>
            <w:rStyle w:val="Hyperlink"/>
            <w:rFonts w:ascii="Calibri" w:hAnsi="Calibri" w:eastAsia="Calibri" w:cs="Calibri"/>
            <w:noProof w:val="0"/>
            <w:sz w:val="24"/>
            <w:szCs w:val="24"/>
            <w:lang w:val="en-GB"/>
          </w:rPr>
          <w:t>https://www.thompsons-scotland.co.uk/other-services/m-and-s-data-breach-claims</w:t>
        </w:r>
      </w:hyperlink>
      <w:r w:rsidRPr="0918BD82" w:rsidR="79986E1E">
        <w:rPr>
          <w:rFonts w:ascii="Calibri" w:hAnsi="Calibri" w:eastAsia="Calibri" w:cs="Calibri"/>
          <w:noProof w:val="0"/>
          <w:sz w:val="24"/>
          <w:szCs w:val="24"/>
          <w:lang w:val="en-GB"/>
        </w:rPr>
        <w:t xml:space="preserve"> (Accessed: January 5, 2026).</w:t>
      </w:r>
    </w:p>
    <w:p xmlns:wp14="http://schemas.microsoft.com/office/word/2010/wordml" w:rsidP="217D92FB" wp14:paraId="0265553E" wp14:textId="3C66D648">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Singh, T.</w:t>
      </w:r>
      <w:r w:rsidRPr="0918BD82" w:rsidR="0BE85598">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(2024)</w:t>
      </w:r>
      <w:r w:rsidRPr="0918BD82" w:rsidR="71D77A15">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Cybercrime and International Law: Jurisdictional Challenges and Enforcement Mechanisms</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African Journal of Biomedical Research</w:t>
      </w:r>
      <w:r w:rsidRPr="0918BD82" w:rsidR="79986E1E">
        <w:rPr>
          <w:rFonts w:ascii="Calibri" w:hAnsi="Calibri" w:eastAsia="Calibri" w:cs="Calibri"/>
          <w:noProof w:val="0"/>
          <w:sz w:val="24"/>
          <w:szCs w:val="24"/>
          <w:lang w:val="en-GB"/>
        </w:rPr>
        <w:t xml:space="preserve">, pp. 697–708. Available at: </w:t>
      </w:r>
      <w:hyperlink r:id="Rb3d0e4aee27c49d4">
        <w:r w:rsidRPr="0918BD82" w:rsidR="79986E1E">
          <w:rPr>
            <w:rStyle w:val="Hyperlink"/>
            <w:rFonts w:ascii="Calibri" w:hAnsi="Calibri" w:eastAsia="Calibri" w:cs="Calibri"/>
            <w:noProof w:val="0"/>
            <w:sz w:val="24"/>
            <w:szCs w:val="24"/>
            <w:lang w:val="en-GB"/>
          </w:rPr>
          <w:t>https://doi.org/10.53555/ajbr.v27i3s.2101</w:t>
        </w:r>
      </w:hyperlink>
      <w:r w:rsidRPr="0918BD82" w:rsidR="79986E1E">
        <w:rPr>
          <w:rFonts w:ascii="Calibri" w:hAnsi="Calibri" w:eastAsia="Calibri" w:cs="Calibri"/>
          <w:noProof w:val="0"/>
          <w:sz w:val="24"/>
          <w:szCs w:val="24"/>
          <w:lang w:val="en-GB"/>
        </w:rPr>
        <w:t xml:space="preserve"> </w:t>
      </w:r>
    </w:p>
    <w:p xmlns:wp14="http://schemas.microsoft.com/office/word/2010/wordml" w:rsidP="217D92FB" wp14:paraId="4F53A100" wp14:textId="402A1085">
      <w:pPr>
        <w:spacing w:before="240" w:beforeAutospacing="off" w:after="240" w:afterAutospacing="off"/>
        <w:rPr>
          <w:rFonts w:ascii="Calibri" w:hAnsi="Calibri" w:eastAsia="Calibri" w:cs="Calibri"/>
          <w:noProof w:val="0"/>
          <w:sz w:val="24"/>
          <w:szCs w:val="24"/>
          <w:lang w:val="en-GB"/>
        </w:rPr>
      </w:pPr>
      <w:r w:rsidRPr="0918BD82" w:rsidR="79986E1E">
        <w:rPr>
          <w:rFonts w:ascii="Calibri" w:hAnsi="Calibri" w:eastAsia="Calibri" w:cs="Calibri"/>
          <w:noProof w:val="0"/>
          <w:sz w:val="24"/>
          <w:szCs w:val="24"/>
          <w:lang w:val="en-GB"/>
        </w:rPr>
        <w:t>Thomas, T.L.</w:t>
      </w:r>
      <w:r w:rsidRPr="0918BD82" w:rsidR="37C16D48">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(2003)</w:t>
      </w:r>
      <w:r w:rsidRPr="0918BD82" w:rsidR="3BA2CEAB">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Al Qaeda and the Internet: The Danger of ‘</w:t>
      </w:r>
      <w:r w:rsidRPr="0918BD82" w:rsidR="79986E1E">
        <w:rPr>
          <w:rFonts w:ascii="Calibri" w:hAnsi="Calibri" w:eastAsia="Calibri" w:cs="Calibri"/>
          <w:i w:val="1"/>
          <w:iCs w:val="1"/>
          <w:noProof w:val="0"/>
          <w:sz w:val="24"/>
          <w:szCs w:val="24"/>
          <w:lang w:val="en-GB"/>
        </w:rPr>
        <w:t>Cyberplanning</w:t>
      </w:r>
      <w:r w:rsidRPr="0918BD82" w:rsidR="79986E1E">
        <w:rPr>
          <w:rFonts w:ascii="Calibri" w:hAnsi="Calibri" w:eastAsia="Calibri" w:cs="Calibri"/>
          <w:i w:val="1"/>
          <w:iCs w:val="1"/>
          <w:noProof w:val="0"/>
          <w:sz w:val="24"/>
          <w:szCs w:val="24"/>
          <w:lang w:val="en-GB"/>
        </w:rPr>
        <w:t>’</w:t>
      </w:r>
      <w:r w:rsidRPr="0918BD82" w:rsidR="79986E1E">
        <w:rPr>
          <w:rFonts w:ascii="Calibri" w:hAnsi="Calibri" w:eastAsia="Calibri" w:cs="Calibri"/>
          <w:noProof w:val="0"/>
          <w:sz w:val="24"/>
          <w:szCs w:val="24"/>
          <w:lang w:val="en-GB"/>
        </w:rPr>
        <w:t>.</w:t>
      </w:r>
      <w:r w:rsidRPr="0918BD82" w:rsidR="79986E1E">
        <w:rPr>
          <w:rFonts w:ascii="Calibri" w:hAnsi="Calibri" w:eastAsia="Calibri" w:cs="Calibri"/>
          <w:noProof w:val="0"/>
          <w:sz w:val="24"/>
          <w:szCs w:val="24"/>
          <w:lang w:val="en-GB"/>
        </w:rPr>
        <w:t xml:space="preserve"> </w:t>
      </w:r>
      <w:r w:rsidRPr="0918BD82" w:rsidR="79986E1E">
        <w:rPr>
          <w:rFonts w:ascii="Calibri" w:hAnsi="Calibri" w:eastAsia="Calibri" w:cs="Calibri"/>
          <w:i w:val="1"/>
          <w:iCs w:val="1"/>
          <w:noProof w:val="0"/>
          <w:sz w:val="24"/>
          <w:szCs w:val="24"/>
          <w:lang w:val="en-GB"/>
        </w:rPr>
        <w:t>The US Army War College Quarterly: Parameters</w:t>
      </w:r>
      <w:r w:rsidRPr="0918BD82" w:rsidR="79986E1E">
        <w:rPr>
          <w:rFonts w:ascii="Calibri" w:hAnsi="Calibri" w:eastAsia="Calibri" w:cs="Calibri"/>
          <w:noProof w:val="0"/>
          <w:sz w:val="24"/>
          <w:szCs w:val="24"/>
          <w:lang w:val="en-GB"/>
        </w:rPr>
        <w:t xml:space="preserve">, 33. Available at: </w:t>
      </w:r>
      <w:hyperlink r:id="R5cbe8cdaaedf4ad1">
        <w:r w:rsidRPr="0918BD82" w:rsidR="79986E1E">
          <w:rPr>
            <w:rStyle w:val="Hyperlink"/>
            <w:rFonts w:ascii="Calibri" w:hAnsi="Calibri" w:eastAsia="Calibri" w:cs="Calibri"/>
            <w:noProof w:val="0"/>
            <w:sz w:val="24"/>
            <w:szCs w:val="24"/>
            <w:lang w:val="en-GB"/>
          </w:rPr>
          <w:t>https://doi.org/10.55540/0031-1723.2139</w:t>
        </w:r>
      </w:hyperlink>
      <w:r w:rsidRPr="0918BD82" w:rsidR="79986E1E">
        <w:rPr>
          <w:rFonts w:ascii="Calibri" w:hAnsi="Calibri" w:eastAsia="Calibri" w:cs="Calibri"/>
          <w:noProof w:val="0"/>
          <w:sz w:val="24"/>
          <w:szCs w:val="24"/>
          <w:lang w:val="en-GB"/>
        </w:rPr>
        <w:t xml:space="preserve"> </w:t>
      </w:r>
    </w:p>
    <w:p xmlns:wp14="http://schemas.microsoft.com/office/word/2010/wordml" w:rsidP="217D92FB" wp14:paraId="66C5E93F" wp14:textId="5D53630A">
      <w:pPr>
        <w:pStyle w:val="Normal"/>
      </w:pPr>
      <w:r w:rsidR="43F86435">
        <w:rPr/>
        <w:t xml:space="preserve"> </w:t>
      </w:r>
    </w:p>
    <w:p xmlns:wp14="http://schemas.microsoft.com/office/word/2010/wordml" w:rsidP="217D92FB" wp14:paraId="1C98E26F" wp14:textId="102E245B">
      <w:pPr>
        <w:pStyle w:val="Normal"/>
      </w:pPr>
      <w:r w:rsidR="43F86435">
        <w:rPr/>
        <w:t xml:space="preserve"> </w:t>
      </w:r>
    </w:p>
    <w:p xmlns:wp14="http://schemas.microsoft.com/office/word/2010/wordml" w:rsidP="217D92FB" wp14:paraId="2A23164C" wp14:textId="3D506F6D">
      <w:pPr>
        <w:pStyle w:val="Normal"/>
      </w:pPr>
      <w:r w:rsidR="43F86435">
        <w:rPr/>
        <w:t xml:space="preserve"> </w:t>
      </w:r>
    </w:p>
    <w:p xmlns:wp14="http://schemas.microsoft.com/office/word/2010/wordml" w:rsidP="217D92FB" wp14:paraId="144E6332" wp14:textId="1355DDA9">
      <w:pPr>
        <w:pStyle w:val="Normal"/>
      </w:pPr>
      <w:r w:rsidR="43F86435">
        <w:rPr/>
        <w:t xml:space="preserve"> </w:t>
      </w:r>
    </w:p>
    <w:p xmlns:wp14="http://schemas.microsoft.com/office/word/2010/wordml" w:rsidP="0918BD82" wp14:paraId="50A2C7C4" wp14:textId="1F2783AF">
      <w:pPr>
        <w:rPr>
          <w:rFonts w:ascii="Aptos" w:hAnsi="Aptos" w:eastAsia="Aptos" w:cs="Aptos"/>
          <w:b w:val="0"/>
          <w:bCs w:val="0"/>
          <w:i w:val="0"/>
          <w:iCs w:val="0"/>
          <w:caps w:val="0"/>
          <w:smallCaps w:val="0"/>
          <w:noProof w:val="0"/>
          <w:color w:val="000000" w:themeColor="text1" w:themeTint="FF" w:themeShade="FF"/>
          <w:sz w:val="24"/>
          <w:szCs w:val="24"/>
          <w:lang w:val="en-GB"/>
        </w:rPr>
      </w:pPr>
      <w:r w:rsidRPr="0918BD82" w:rsidR="50CDF13D">
        <w:rPr>
          <w:rFonts w:ascii="Aptos" w:hAnsi="Aptos" w:eastAsia="Aptos" w:cs="Aptos"/>
          <w:b w:val="0"/>
          <w:bCs w:val="0"/>
          <w:i w:val="0"/>
          <w:iCs w:val="0"/>
          <w:caps w:val="0"/>
          <w:smallCaps w:val="0"/>
          <w:noProof w:val="0"/>
          <w:color w:val="000000" w:themeColor="text1" w:themeTint="FF" w:themeShade="FF"/>
          <w:sz w:val="24"/>
          <w:szCs w:val="24"/>
          <w:lang w:val="en-US"/>
        </w:rPr>
        <w:t>I acknowledge the use of Grammarly (</w:t>
      </w:r>
      <w:hyperlink r:id="R0753dfe066bf4c0b">
        <w:r w:rsidRPr="0918BD82" w:rsidR="50CDF13D">
          <w:rPr>
            <w:rStyle w:val="Hyperlink"/>
            <w:rFonts w:ascii="Aptos" w:hAnsi="Aptos" w:eastAsia="Aptos" w:cs="Aptos"/>
            <w:b w:val="0"/>
            <w:bCs w:val="0"/>
            <w:i w:val="0"/>
            <w:iCs w:val="0"/>
            <w:caps w:val="0"/>
            <w:smallCaps w:val="0"/>
            <w:strike w:val="0"/>
            <w:dstrike w:val="0"/>
            <w:noProof w:val="0"/>
            <w:sz w:val="24"/>
            <w:szCs w:val="24"/>
            <w:lang w:val="en-US"/>
          </w:rPr>
          <w:t>https://www.grammarly.com/</w:t>
        </w:r>
      </w:hyperlink>
      <w:r w:rsidRPr="0918BD82" w:rsidR="50CDF13D">
        <w:rPr>
          <w:rFonts w:ascii="Aptos" w:hAnsi="Aptos" w:eastAsia="Aptos" w:cs="Aptos"/>
          <w:b w:val="0"/>
          <w:bCs w:val="0"/>
          <w:i w:val="0"/>
          <w:iCs w:val="0"/>
          <w:caps w:val="0"/>
          <w:smallCaps w:val="0"/>
          <w:noProof w:val="0"/>
          <w:color w:val="000000" w:themeColor="text1" w:themeTint="FF" w:themeShade="FF"/>
          <w:sz w:val="24"/>
          <w:szCs w:val="24"/>
          <w:lang w:val="en-US"/>
        </w:rPr>
        <w:t xml:space="preserve">) on 14 </w:t>
      </w:r>
      <w:r w:rsidRPr="0918BD82" w:rsidR="50CDF13D">
        <w:rPr>
          <w:rFonts w:ascii="Aptos" w:hAnsi="Aptos" w:eastAsia="Aptos" w:cs="Aptos"/>
          <w:b w:val="0"/>
          <w:bCs w:val="0"/>
          <w:i w:val="0"/>
          <w:iCs w:val="0"/>
          <w:caps w:val="0"/>
          <w:smallCaps w:val="0"/>
          <w:noProof w:val="0"/>
          <w:color w:val="000000" w:themeColor="text1" w:themeTint="FF" w:themeShade="FF"/>
          <w:sz w:val="24"/>
          <w:szCs w:val="24"/>
          <w:lang w:val="en-US"/>
        </w:rPr>
        <w:t>January</w:t>
      </w:r>
      <w:r w:rsidRPr="0918BD82" w:rsidR="50CDF13D">
        <w:rPr>
          <w:rFonts w:ascii="Aptos" w:hAnsi="Aptos" w:eastAsia="Aptos" w:cs="Aptos"/>
          <w:b w:val="0"/>
          <w:bCs w:val="0"/>
          <w:i w:val="0"/>
          <w:iCs w:val="0"/>
          <w:caps w:val="0"/>
          <w:smallCaps w:val="0"/>
          <w:noProof w:val="0"/>
          <w:color w:val="000000" w:themeColor="text1" w:themeTint="FF" w:themeShade="FF"/>
          <w:sz w:val="24"/>
          <w:szCs w:val="24"/>
          <w:lang w:val="en-US"/>
        </w:rPr>
        <w:t xml:space="preserve"> 2026 to check my work using the prompt(s): </w:t>
      </w:r>
      <w:r w:rsidRPr="0918BD82" w:rsidR="50CDF13D">
        <w:rPr>
          <w:rFonts w:ascii="Aptos" w:hAnsi="Aptos" w:eastAsia="Aptos" w:cs="Aptos"/>
          <w:b w:val="0"/>
          <w:bCs w:val="0"/>
          <w:i w:val="0"/>
          <w:iCs w:val="0"/>
          <w:caps w:val="0"/>
          <w:smallCaps w:val="0"/>
          <w:noProof w:val="0"/>
          <w:color w:val="000000" w:themeColor="text1" w:themeTint="FF" w:themeShade="FF"/>
          <w:sz w:val="24"/>
          <w:szCs w:val="24"/>
          <w:lang w:val="en-GB"/>
        </w:rPr>
        <w:t> </w:t>
      </w:r>
    </w:p>
    <w:p xmlns:wp14="http://schemas.microsoft.com/office/word/2010/wordml" w:rsidP="0918BD82" wp14:paraId="688D8656" wp14:textId="5B979ECF">
      <w:pPr>
        <w:pBdr>
          <w:bottom w:val="single" w:color="FF000000" w:sz="6" w:space="1"/>
        </w:pBdr>
        <w:rPr>
          <w:rFonts w:ascii="Aptos" w:hAnsi="Aptos" w:eastAsia="Aptos" w:cs="Aptos"/>
          <w:b w:val="0"/>
          <w:bCs w:val="0"/>
          <w:i w:val="0"/>
          <w:iCs w:val="0"/>
          <w:caps w:val="0"/>
          <w:smallCaps w:val="0"/>
          <w:noProof w:val="0"/>
          <w:color w:val="000000" w:themeColor="text1" w:themeTint="FF" w:themeShade="FF"/>
          <w:sz w:val="24"/>
          <w:szCs w:val="24"/>
          <w:lang w:val="en-GB"/>
        </w:rPr>
      </w:pPr>
      <w:r w:rsidRPr="0918BD82" w:rsidR="50CDF13D">
        <w:rPr>
          <w:rFonts w:ascii="Aptos" w:hAnsi="Aptos" w:eastAsia="Aptos" w:cs="Aptos"/>
          <w:b w:val="0"/>
          <w:bCs w:val="0"/>
          <w:i w:val="0"/>
          <w:iCs w:val="0"/>
          <w:caps w:val="0"/>
          <w:smallCaps w:val="0"/>
          <w:noProof w:val="0"/>
          <w:color w:val="000000" w:themeColor="text1" w:themeTint="FF" w:themeShade="FF"/>
          <w:sz w:val="24"/>
          <w:szCs w:val="24"/>
          <w:lang w:val="en-US"/>
        </w:rPr>
        <w:t xml:space="preserve"> Please check the following text for grammar and spelling check .I confirm that I have not presented any AI generated text as my own work. I confirm I have copies of my drafts, notes, and other resources I used before, and after the use of AI tools which I may be asked to provide in evidence.</w:t>
      </w:r>
      <w:r w:rsidRPr="0918BD82" w:rsidR="50CDF13D">
        <w:rPr>
          <w:rFonts w:ascii="Aptos" w:hAnsi="Aptos" w:eastAsia="Aptos" w:cs="Aptos"/>
          <w:b w:val="0"/>
          <w:bCs w:val="0"/>
          <w:i w:val="0"/>
          <w:iCs w:val="0"/>
          <w:caps w:val="0"/>
          <w:smallCaps w:val="0"/>
          <w:noProof w:val="0"/>
          <w:color w:val="000000" w:themeColor="text1" w:themeTint="FF" w:themeShade="FF"/>
          <w:sz w:val="24"/>
          <w:szCs w:val="24"/>
          <w:lang w:val="en-GB"/>
        </w:rPr>
        <w:t> </w:t>
      </w:r>
    </w:p>
    <w:p xmlns:wp14="http://schemas.microsoft.com/office/word/2010/wordml" w:rsidP="217D92FB" wp14:paraId="57CBA8DC" wp14:textId="400C9890">
      <w:pPr>
        <w:pStyle w:val="Normal"/>
      </w:pPr>
    </w:p>
    <w:p xmlns:wp14="http://schemas.microsoft.com/office/word/2010/wordml" wp14:paraId="5E5787A5" wp14:textId="4092009A"/>
    <w:sectPr>
      <w:pgSz w:w="11906" w:h="16838" w:orient="portrait"/>
      <w:pgMar w:top="1440" w:right="1440" w:bottom="1440" w:left="1440" w:header="720" w:footer="720" w:gutter="0"/>
      <w:cols w:space="720"/>
      <w:docGrid w:linePitch="360"/>
      <w:headerReference w:type="default" r:id="R91b92da5f978430e"/>
      <w:footerReference w:type="default" r:id="R1d590f6e8f854e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7D92FB" w:rsidTr="0918BD82" w14:paraId="7A3AAAAA">
      <w:trPr>
        <w:trHeight w:val="300"/>
      </w:trPr>
      <w:tc>
        <w:tcPr>
          <w:tcW w:w="3005" w:type="dxa"/>
          <w:tcMar/>
        </w:tcPr>
        <w:p w:rsidR="217D92FB" w:rsidP="217D92FB" w:rsidRDefault="217D92FB" w14:paraId="50A8AA6D" w14:textId="202E9B16">
          <w:pPr>
            <w:pStyle w:val="Header"/>
            <w:bidi w:val="0"/>
            <w:ind w:left="-115"/>
            <w:jc w:val="left"/>
          </w:pPr>
        </w:p>
      </w:tc>
      <w:tc>
        <w:tcPr>
          <w:tcW w:w="3005" w:type="dxa"/>
          <w:tcMar/>
        </w:tcPr>
        <w:p w:rsidR="217D92FB" w:rsidP="217D92FB" w:rsidRDefault="217D92FB" w14:paraId="39E4B008" w14:textId="6A5DAD60">
          <w:pPr>
            <w:pStyle w:val="Header"/>
            <w:bidi w:val="0"/>
            <w:jc w:val="center"/>
          </w:pPr>
          <w:r>
            <w:fldChar w:fldCharType="begin"/>
          </w:r>
          <w:r>
            <w:instrText xml:space="preserve">PAGE</w:instrText>
          </w:r>
          <w:r>
            <w:fldChar w:fldCharType="separate"/>
          </w:r>
          <w:r>
            <w:fldChar w:fldCharType="end"/>
          </w:r>
        </w:p>
      </w:tc>
      <w:tc>
        <w:tcPr>
          <w:tcW w:w="3005" w:type="dxa"/>
          <w:tcMar/>
        </w:tcPr>
        <w:p w:rsidR="217D92FB" w:rsidP="217D92FB" w:rsidRDefault="217D92FB" w14:paraId="1BBEC2BC" w14:textId="05624B9B">
          <w:pPr>
            <w:pStyle w:val="Header"/>
            <w:bidi w:val="0"/>
            <w:ind w:right="-115"/>
            <w:jc w:val="right"/>
          </w:pPr>
        </w:p>
      </w:tc>
    </w:tr>
  </w:tbl>
  <w:p w:rsidR="217D92FB" w:rsidP="217D92FB" w:rsidRDefault="217D92FB" w14:paraId="0805DE5A" w14:textId="420EE5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7D92FB" w:rsidTr="0918BD82" w14:paraId="66CF0ED4">
      <w:trPr>
        <w:trHeight w:val="300"/>
      </w:trPr>
      <w:tc>
        <w:tcPr>
          <w:tcW w:w="3005" w:type="dxa"/>
          <w:tcMar/>
        </w:tcPr>
        <w:p w:rsidR="217D92FB" w:rsidP="217D92FB" w:rsidRDefault="217D92FB" w14:paraId="579F1F80" w14:textId="196EFA51">
          <w:pPr>
            <w:pStyle w:val="Header"/>
            <w:bidi w:val="0"/>
            <w:ind w:left="-115"/>
            <w:jc w:val="left"/>
          </w:pPr>
        </w:p>
      </w:tc>
      <w:tc>
        <w:tcPr>
          <w:tcW w:w="3005" w:type="dxa"/>
          <w:tcMar/>
        </w:tcPr>
        <w:p w:rsidR="217D92FB" w:rsidP="217D92FB" w:rsidRDefault="217D92FB" w14:paraId="186D6E07" w14:textId="1EA3870A">
          <w:pPr>
            <w:pStyle w:val="Header"/>
            <w:bidi w:val="0"/>
            <w:jc w:val="center"/>
          </w:pPr>
        </w:p>
      </w:tc>
      <w:tc>
        <w:tcPr>
          <w:tcW w:w="3005" w:type="dxa"/>
          <w:tcMar/>
        </w:tcPr>
        <w:p w:rsidR="217D92FB" w:rsidP="217D92FB" w:rsidRDefault="217D92FB" w14:paraId="3EFE8CCD" w14:textId="42B6EB8F">
          <w:pPr>
            <w:pStyle w:val="Header"/>
            <w:bidi w:val="0"/>
            <w:ind w:right="-115"/>
            <w:jc w:val="right"/>
          </w:pPr>
        </w:p>
      </w:tc>
    </w:tr>
  </w:tbl>
  <w:p w:rsidR="217D92FB" w:rsidP="217D92FB" w:rsidRDefault="217D92FB" w14:paraId="255219D6" w14:textId="334913B8">
    <w:pPr>
      <w:pStyle w:val="Header"/>
      <w:bidi w:val="0"/>
    </w:pPr>
  </w:p>
</w:hdr>
</file>

<file path=word/intelligence2.xml><?xml version="1.0" encoding="utf-8"?>
<int2:intelligence xmlns:int2="http://schemas.microsoft.com/office/intelligence/2020/intelligence">
  <int2:observations>
    <int2:textHash int2:hashCode="8LUIL9oit9O8zk" int2:id="Nz4nWacG">
      <int2:state int2:type="spell" int2:value="Rejected"/>
    </int2:textHash>
    <int2:textHash int2:hashCode="SOVj8UjcBNizHJ" int2:id="rtecGKhw">
      <int2:state int2:type="spell" int2:value="Rejected"/>
    </int2:textHash>
    <int2:textHash int2:hashCode="IdgCZcIZio4VpH" int2:id="BfEBVAZ2">
      <int2:state int2:type="spell" int2:value="Rejected"/>
    </int2:textHash>
    <int2:textHash int2:hashCode="/w0Dh9EShNBmlD" int2:id="J1uApOH0">
      <int2:state int2:type="spell" int2:value="Rejected"/>
    </int2:textHash>
    <int2:textHash int2:hashCode="4Wi8rmDbyoEx6F" int2:id="QY4avpUS">
      <int2:state int2:type="spell" int2:value="Rejected"/>
    </int2:textHash>
    <int2:textHash int2:hashCode="pRTWzhy17w7lps" int2:id="9T4D8VVT">
      <int2:state int2:type="spell" int2:value="Rejected"/>
    </int2:textHash>
    <int2:textHash int2:hashCode="4oj0FcaecOcb5A" int2:id="amGxjl0z">
      <int2:state int2:type="spell" int2:value="Rejected"/>
    </int2:textHash>
    <int2:textHash int2:hashCode="53dk3BEhtPbEON" int2:id="fXcXKMlR">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A3A2A9"/>
    <w:rsid w:val="000FA0A3"/>
    <w:rsid w:val="00628C9D"/>
    <w:rsid w:val="00F58E31"/>
    <w:rsid w:val="031CE0C8"/>
    <w:rsid w:val="03F7A275"/>
    <w:rsid w:val="05A38F08"/>
    <w:rsid w:val="068E0787"/>
    <w:rsid w:val="08A72657"/>
    <w:rsid w:val="0918BD82"/>
    <w:rsid w:val="097EC3EA"/>
    <w:rsid w:val="0ABC5AB5"/>
    <w:rsid w:val="0B6CECEF"/>
    <w:rsid w:val="0BE85598"/>
    <w:rsid w:val="0C29B7F7"/>
    <w:rsid w:val="0DE765B5"/>
    <w:rsid w:val="0E468D14"/>
    <w:rsid w:val="10A59E32"/>
    <w:rsid w:val="10FFDFD4"/>
    <w:rsid w:val="1138C742"/>
    <w:rsid w:val="13890B6F"/>
    <w:rsid w:val="1420B2F6"/>
    <w:rsid w:val="1521FA97"/>
    <w:rsid w:val="179CAA27"/>
    <w:rsid w:val="18687577"/>
    <w:rsid w:val="191554EE"/>
    <w:rsid w:val="1987AA71"/>
    <w:rsid w:val="1A871AB0"/>
    <w:rsid w:val="1AA3E83E"/>
    <w:rsid w:val="1B509000"/>
    <w:rsid w:val="1D2EDD83"/>
    <w:rsid w:val="1D3F33E0"/>
    <w:rsid w:val="1EEF0F2C"/>
    <w:rsid w:val="217D29BD"/>
    <w:rsid w:val="217D92FB"/>
    <w:rsid w:val="21C981EB"/>
    <w:rsid w:val="22808D10"/>
    <w:rsid w:val="24B8E2CE"/>
    <w:rsid w:val="27BA5FAE"/>
    <w:rsid w:val="292A0CA9"/>
    <w:rsid w:val="297DB479"/>
    <w:rsid w:val="2A3C7EE7"/>
    <w:rsid w:val="2ADE652D"/>
    <w:rsid w:val="2B7451B5"/>
    <w:rsid w:val="2D9712CC"/>
    <w:rsid w:val="2DEAD3BF"/>
    <w:rsid w:val="2DF94A1F"/>
    <w:rsid w:val="2FA6456F"/>
    <w:rsid w:val="315ACDF1"/>
    <w:rsid w:val="3350927C"/>
    <w:rsid w:val="33BBB1FC"/>
    <w:rsid w:val="33E0B020"/>
    <w:rsid w:val="34C3A703"/>
    <w:rsid w:val="34E9DF86"/>
    <w:rsid w:val="3555428F"/>
    <w:rsid w:val="36543AAE"/>
    <w:rsid w:val="3741730F"/>
    <w:rsid w:val="37C16D48"/>
    <w:rsid w:val="3843A3C0"/>
    <w:rsid w:val="38592E9D"/>
    <w:rsid w:val="39E40C20"/>
    <w:rsid w:val="3AC3D068"/>
    <w:rsid w:val="3ACA7EFC"/>
    <w:rsid w:val="3BA2CEAB"/>
    <w:rsid w:val="3C972199"/>
    <w:rsid w:val="3CD72D59"/>
    <w:rsid w:val="3CD91240"/>
    <w:rsid w:val="3D01A87E"/>
    <w:rsid w:val="3D8D0F5C"/>
    <w:rsid w:val="3E0D7113"/>
    <w:rsid w:val="3FB269A6"/>
    <w:rsid w:val="401F297E"/>
    <w:rsid w:val="40A3A2A9"/>
    <w:rsid w:val="43F86435"/>
    <w:rsid w:val="45050E35"/>
    <w:rsid w:val="46C731D9"/>
    <w:rsid w:val="46EDA523"/>
    <w:rsid w:val="4718FED9"/>
    <w:rsid w:val="47F32DB5"/>
    <w:rsid w:val="48BE9E92"/>
    <w:rsid w:val="48D32523"/>
    <w:rsid w:val="4938ECBE"/>
    <w:rsid w:val="4C19E1E9"/>
    <w:rsid w:val="4C271CAC"/>
    <w:rsid w:val="4C6C898D"/>
    <w:rsid w:val="4CFC3A23"/>
    <w:rsid w:val="4E23AEAB"/>
    <w:rsid w:val="507AA994"/>
    <w:rsid w:val="50CDF13D"/>
    <w:rsid w:val="51AECBC9"/>
    <w:rsid w:val="51C812C2"/>
    <w:rsid w:val="51D0F0DB"/>
    <w:rsid w:val="53B1CD53"/>
    <w:rsid w:val="5473726A"/>
    <w:rsid w:val="56461132"/>
    <w:rsid w:val="56B81967"/>
    <w:rsid w:val="581EAD6B"/>
    <w:rsid w:val="58CD5E47"/>
    <w:rsid w:val="5B1FB986"/>
    <w:rsid w:val="5B7E3142"/>
    <w:rsid w:val="5DAE9498"/>
    <w:rsid w:val="5E090E2D"/>
    <w:rsid w:val="5F6F1FED"/>
    <w:rsid w:val="61096652"/>
    <w:rsid w:val="66DC3555"/>
    <w:rsid w:val="67B0973B"/>
    <w:rsid w:val="684C8D38"/>
    <w:rsid w:val="6B51F753"/>
    <w:rsid w:val="6CB95292"/>
    <w:rsid w:val="6CFC048B"/>
    <w:rsid w:val="6D1AC996"/>
    <w:rsid w:val="6D431BED"/>
    <w:rsid w:val="6D6731B3"/>
    <w:rsid w:val="6E4824D0"/>
    <w:rsid w:val="6FE7F41C"/>
    <w:rsid w:val="71057768"/>
    <w:rsid w:val="7156C8E4"/>
    <w:rsid w:val="71D77A15"/>
    <w:rsid w:val="74941026"/>
    <w:rsid w:val="76410B66"/>
    <w:rsid w:val="77E37598"/>
    <w:rsid w:val="77F028F0"/>
    <w:rsid w:val="79986E1E"/>
    <w:rsid w:val="79A69707"/>
    <w:rsid w:val="7A49D7FA"/>
    <w:rsid w:val="7AB0E21A"/>
    <w:rsid w:val="7AC30D44"/>
    <w:rsid w:val="7B8026A6"/>
    <w:rsid w:val="7BE8642F"/>
    <w:rsid w:val="7D45842D"/>
    <w:rsid w:val="7D8D10BF"/>
    <w:rsid w:val="7E8D9D9B"/>
    <w:rsid w:val="7FD59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3A2A9"/>
  <w15:chartTrackingRefBased/>
  <w15:docId w15:val="{591F963E-FF61-48A1-976D-8A16326722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17D92FB"/>
    <w:rPr>
      <w:color w:val="467886"/>
      <w:u w:val="single"/>
    </w:rPr>
  </w:style>
  <w:style w:type="paragraph" w:styleId="Header">
    <w:uiPriority w:val="99"/>
    <w:name w:val="header"/>
    <w:basedOn w:val="Normal"/>
    <w:unhideWhenUsed/>
    <w:rsid w:val="217D92FB"/>
    <w:pPr>
      <w:tabs>
        <w:tab w:val="center" w:leader="none" w:pos="4680"/>
        <w:tab w:val="right" w:leader="none" w:pos="9360"/>
      </w:tabs>
      <w:spacing w:after="0" w:line="240" w:lineRule="auto"/>
    </w:pPr>
  </w:style>
  <w:style w:type="paragraph" w:styleId="Footer">
    <w:uiPriority w:val="99"/>
    <w:name w:val="footer"/>
    <w:basedOn w:val="Normal"/>
    <w:unhideWhenUsed/>
    <w:rsid w:val="217D92F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1b92da5f978430e" /><Relationship Type="http://schemas.openxmlformats.org/officeDocument/2006/relationships/footer" Target="/word/footer.xml" Id="R1d590f6e8f854ef6" /><Relationship Type="http://schemas.openxmlformats.org/officeDocument/2006/relationships/hyperlink" Target="https://rjes.iq/index.php/rjes/article/view/168/144" TargetMode="External" Id="Rd5f007ca3c8e48ab" /><Relationship Type="http://schemas.openxmlformats.org/officeDocument/2006/relationships/hyperlink" Target="https://doi.org/10.1016/j.cose.2021.102258" TargetMode="External" Id="Rdd4b537b41a84ad8" /><Relationship Type="http://schemas.openxmlformats.org/officeDocument/2006/relationships/hyperlink" Target="https://doi.org/10.1016/j.cose.2021.102258" TargetMode="External" Id="R2225f8152cf4431b" /><Relationship Type="http://schemas.openxmlformats.org/officeDocument/2006/relationships/hyperlink" Target="https://openresearch-repository.anu.edu.au/items/312e16f1-3061-43de-990a-c5b125213f8e" TargetMode="External" Id="R0f61163252454140" /><Relationship Type="http://schemas.openxmlformats.org/officeDocument/2006/relationships/hyperlink" Target="https://www.gov.uk/government/publications/cyber-threat-intelligence-information-sharing/cyber-threat-intelligence-information-sharing-guide#commitment-to-public--private-partnership-ppp" TargetMode="External" Id="R4887888cd10c4111" /><Relationship Type="http://schemas.openxmlformats.org/officeDocument/2006/relationships/hyperlink" Target="https://www.gov.uk/government/publications/cyber-threat-intelligence-information-sharing" TargetMode="External" Id="R5687df007d8c4e6e" /><Relationship Type="http://schemas.openxmlformats.org/officeDocument/2006/relationships/hyperlink" Target="https://www.usip.org/sites/default/files/sr116.pdf" TargetMode="External" Id="R9d977e987ee44797" /><Relationship Type="http://schemas.openxmlformats.org/officeDocument/2006/relationships/hyperlink" Target="https://edition.cnn.com/2021/01/17/tech/what-is-gab-explainer/index.html" TargetMode="External" Id="Rc83487bb72a74502" /><Relationship Type="http://schemas.openxmlformats.org/officeDocument/2006/relationships/hyperlink" Target="https://committees.parliament.uk/publications/42493/documents/211438/default/" TargetMode="External" Id="Rf356f3d170de4573" /><Relationship Type="http://schemas.openxmlformats.org/officeDocument/2006/relationships/hyperlink" Target="https://hansard.parliament.uk/commons/2025-11-18/debates/39086819-08E6-4218-A26E-6A3368FC5D9C/ChinaEspionageGovernmentSecurityResponse" TargetMode="External" Id="R8348fa6dc9a34bde" /><Relationship Type="http://schemas.openxmlformats.org/officeDocument/2006/relationships/hyperlink" Target="https://papers.ssrn.com/sol3/papers.cfm?abstract_id=535" TargetMode="External" Id="R22e7723761624122" /><Relationship Type="http://schemas.openxmlformats.org/officeDocument/2006/relationships/hyperlink" Target="https://www.bridewell.com/insights/learn/detail/managed-security/what-is-cyber-threat-intelligence-(cti)" TargetMode="External" Id="R3a884ec14a984606" /><Relationship Type="http://schemas.openxmlformats.org/officeDocument/2006/relationships/hyperlink" Target="https://www.rusi.org/explore-our-research/publications/commentary/organised-cybercrime-rise-ransomware-national-security-threat" TargetMode="External" Id="R6da1b330565548e8" /><Relationship Type="http://schemas.openxmlformats.org/officeDocument/2006/relationships/hyperlink" Target="http://www.adv-geosci.net/25/index.html" TargetMode="External" Id="R18b23dc0cdb14dcb" /><Relationship Type="http://schemas.openxmlformats.org/officeDocument/2006/relationships/hyperlink" Target="https://static.01net.it/01net/2014/10/Symantec_Ransomware_Growing_Menace.pdf" TargetMode="External" Id="R7a70378e6dca4236" /><Relationship Type="http://schemas.openxmlformats.org/officeDocument/2006/relationships/hyperlink" Target="https://doi.org/10.1049/iet-net.2017.0207" TargetMode="External" Id="R2bf9f60819904a54" /><Relationship Type="http://schemas.openxmlformats.org/officeDocument/2006/relationships/hyperlink" Target="https://doi.org/10.3390/forensicsci2020028" TargetMode="External" Id="R5f9b36c912424436" /><Relationship Type="http://schemas.openxmlformats.org/officeDocument/2006/relationships/hyperlink" Target="https://heinonline.org/HOL/Page?handle=hein.journals/jnlolletl27&amp;id=638" TargetMode="External" Id="Re47de6317f7c4870" /><Relationship Type="http://schemas.openxmlformats.org/officeDocument/2006/relationships/hyperlink" Target="https://www.thompsons-scotland.co.uk/other-services/m-and-s-data-breach-claims" TargetMode="External" Id="Rb2879583e8e94207" /><Relationship Type="http://schemas.openxmlformats.org/officeDocument/2006/relationships/hyperlink" Target="https://doi.org/10.53555/ajbr.v27i3s.2101" TargetMode="External" Id="Rb3d0e4aee27c49d4" /><Relationship Type="http://schemas.openxmlformats.org/officeDocument/2006/relationships/hyperlink" Target="https://doi.org/10.55540/0031-1723.2139" TargetMode="External" Id="R5cbe8cdaaedf4ad1" /><Relationship Type="http://schemas.openxmlformats.org/officeDocument/2006/relationships/hyperlink" Target="https://www.grammarly.com/" TargetMode="External" Id="R0753dfe066bf4c0b" /><Relationship Type="http://schemas.microsoft.com/office/2020/10/relationships/intelligence" Target="/word/intelligence2.xml" Id="Rd094d1fe9cfa4e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Jones (2500925)</dc:creator>
  <keywords/>
  <dc:description/>
  <lastModifiedBy>Leah Jones (2500925)</lastModifiedBy>
  <revision>3</revision>
  <dcterms:created xsi:type="dcterms:W3CDTF">2026-01-14T18:40:54.1872367Z</dcterms:created>
  <dcterms:modified xsi:type="dcterms:W3CDTF">2026-01-15T10:34:44.7922086Z</dcterms:modified>
</coreProperties>
</file>